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2012</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6:07:00Z"/>
        </w:trPr>
        <w:tc>
          <w:tcPr>
            <w:tcW w:w="2434" w:type="dxa"/>
            <w:vMerge w:val="restart"/>
          </w:tcPr>
          <w:p>
            <w:pPr>
              <w:rPr>
                <w:ins w:id="1" w:author="Master Repository Process" w:date="2021-09-12T16:07:00Z"/>
              </w:rPr>
            </w:pPr>
          </w:p>
        </w:tc>
        <w:tc>
          <w:tcPr>
            <w:tcW w:w="2434" w:type="dxa"/>
            <w:vMerge w:val="restart"/>
          </w:tcPr>
          <w:p>
            <w:pPr>
              <w:jc w:val="center"/>
              <w:rPr>
                <w:ins w:id="2" w:author="Master Repository Process" w:date="2021-09-12T16:07:00Z"/>
              </w:rPr>
            </w:pPr>
            <w:ins w:id="3" w:author="Master Repository Process" w:date="2021-09-12T16:07: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12T16:07:00Z"/>
              </w:rPr>
            </w:pPr>
            <w:ins w:id="5" w:author="Master Repository Process" w:date="2021-09-12T16:07: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6:07:00Z"/>
        </w:trPr>
        <w:tc>
          <w:tcPr>
            <w:tcW w:w="2434" w:type="dxa"/>
            <w:vMerge/>
          </w:tcPr>
          <w:p>
            <w:pPr>
              <w:rPr>
                <w:ins w:id="7" w:author="Master Repository Process" w:date="2021-09-12T16:07:00Z"/>
              </w:rPr>
            </w:pPr>
          </w:p>
        </w:tc>
        <w:tc>
          <w:tcPr>
            <w:tcW w:w="2434" w:type="dxa"/>
            <w:vMerge/>
          </w:tcPr>
          <w:p>
            <w:pPr>
              <w:jc w:val="center"/>
              <w:rPr>
                <w:ins w:id="8" w:author="Master Repository Process" w:date="2021-09-12T16:07:00Z"/>
              </w:rPr>
            </w:pPr>
          </w:p>
        </w:tc>
        <w:tc>
          <w:tcPr>
            <w:tcW w:w="2434" w:type="dxa"/>
          </w:tcPr>
          <w:p>
            <w:pPr>
              <w:keepNext/>
              <w:rPr>
                <w:ins w:id="9" w:author="Master Repository Process" w:date="2021-09-12T16:07:00Z"/>
                <w:b/>
                <w:sz w:val="22"/>
              </w:rPr>
            </w:pPr>
            <w:ins w:id="10" w:author="Master Repository Process" w:date="2021-09-12T16:07:00Z">
              <w:r>
                <w:rPr>
                  <w:b/>
                  <w:sz w:val="22"/>
                </w:rPr>
                <w:t>at 1</w:t>
              </w:r>
              <w:r>
                <w:rPr>
                  <w:b/>
                  <w:snapToGrid w:val="0"/>
                  <w:sz w:val="22"/>
                </w:rPr>
                <w:t xml:space="preserve"> March 2013</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School Curriculum and Standards Authority Act 1997</w:t>
      </w:r>
    </w:p>
    <w:p>
      <w:pPr>
        <w:pStyle w:val="NameofActReg"/>
      </w:pPr>
      <w:r>
        <w:t>School Curriculum and Standards Authority Regulations 2005</w:t>
      </w:r>
    </w:p>
    <w:p>
      <w:pPr>
        <w:pStyle w:val="Heading2"/>
        <w:pageBreakBefore w:val="0"/>
        <w:spacing w:before="240"/>
      </w:pPr>
      <w:bookmarkStart w:id="11" w:name="_Toc342574054"/>
      <w:bookmarkStart w:id="12" w:name="_Toc342575327"/>
      <w:bookmarkStart w:id="13" w:name="_Toc342575362"/>
      <w:bookmarkStart w:id="14" w:name="_Toc346013385"/>
      <w:bookmarkStart w:id="15" w:name="_Toc346017460"/>
      <w:bookmarkStart w:id="16" w:name="_Toc346017678"/>
      <w:bookmarkStart w:id="17" w:name="_Toc347393875"/>
      <w:bookmarkStart w:id="18" w:name="_Toc350257861"/>
      <w:bookmarkStart w:id="19" w:name="_Toc350262424"/>
      <w:bookmarkStart w:id="20" w:name="_Toc350497673"/>
      <w:bookmarkStart w:id="21" w:name="_Toc423332722"/>
      <w:bookmarkStart w:id="22" w:name="_Toc425219441"/>
      <w:bookmarkStart w:id="23" w:name="_Toc426249308"/>
      <w:bookmarkStart w:id="24" w:name="_Toc449924704"/>
      <w:bookmarkStart w:id="25" w:name="_Toc449947722"/>
      <w:bookmarkStart w:id="26" w:name="_Toc454185713"/>
      <w:bookmarkStart w:id="27" w:name="_Toc515958686"/>
      <w:r>
        <w:rPr>
          <w:rStyle w:val="CharPartNo"/>
        </w:rPr>
        <w:t>P</w:t>
      </w:r>
      <w:bookmarkStart w:id="28" w:name="_GoBack"/>
      <w:bookmarkEnd w:id="28"/>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p>
    <w:p>
      <w:pPr>
        <w:pStyle w:val="Footnoteheading"/>
      </w:pPr>
      <w:r>
        <w:tab/>
        <w:t>[Heading inserted in Gazette 7 Dec 2012 p. 5984.]</w:t>
      </w:r>
    </w:p>
    <w:p>
      <w:pPr>
        <w:pStyle w:val="Heading5"/>
      </w:pPr>
      <w:bookmarkStart w:id="29" w:name="_Toc350497674"/>
      <w:bookmarkStart w:id="30" w:name="_Toc342575363"/>
      <w:r>
        <w:rPr>
          <w:rStyle w:val="CharSectno"/>
        </w:rPr>
        <w:t>1</w:t>
      </w:r>
      <w:r>
        <w:t>.</w:t>
      </w:r>
      <w:r>
        <w:tab/>
        <w:t>Citation</w:t>
      </w:r>
      <w:bookmarkEnd w:id="21"/>
      <w:bookmarkEnd w:id="22"/>
      <w:bookmarkEnd w:id="23"/>
      <w:bookmarkEnd w:id="24"/>
      <w:bookmarkEnd w:id="25"/>
      <w:bookmarkEnd w:id="26"/>
      <w:bookmarkEnd w:id="27"/>
      <w:bookmarkEnd w:id="29"/>
      <w:bookmarkEnd w:id="30"/>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rPr>
          <w:vertAlign w:val="superscript"/>
        </w:rPr>
        <w:t> 1</w:t>
      </w:r>
      <w:r>
        <w:t>.</w:t>
      </w:r>
    </w:p>
    <w:p>
      <w:pPr>
        <w:pStyle w:val="Footnotesection"/>
      </w:pPr>
      <w:bookmarkStart w:id="31" w:name="_Toc423332723"/>
      <w:bookmarkStart w:id="32" w:name="_Toc425219442"/>
      <w:bookmarkStart w:id="33" w:name="_Toc426249309"/>
      <w:bookmarkStart w:id="34" w:name="_Toc449924705"/>
      <w:bookmarkStart w:id="35" w:name="_Toc449947723"/>
      <w:bookmarkStart w:id="36" w:name="_Toc454185714"/>
      <w:bookmarkStart w:id="37" w:name="_Toc515958687"/>
      <w:r>
        <w:tab/>
        <w:t>[Regulation 1 amended in Gazette 14 Aug 2012 p. 3832.]</w:t>
      </w:r>
    </w:p>
    <w:p>
      <w:pPr>
        <w:pStyle w:val="Heading5"/>
        <w:rPr>
          <w:spacing w:val="-2"/>
        </w:rPr>
      </w:pPr>
      <w:bookmarkStart w:id="38" w:name="_Toc350497675"/>
      <w:bookmarkStart w:id="39" w:name="_Toc342575364"/>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bookmarkEnd w:id="39"/>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40" w:name="_Toc350497676"/>
      <w:bookmarkStart w:id="41" w:name="_Toc342575365"/>
      <w:r>
        <w:rPr>
          <w:rStyle w:val="CharSectno"/>
        </w:rPr>
        <w:t>3</w:t>
      </w:r>
      <w:r>
        <w:t>.</w:t>
      </w:r>
      <w:r>
        <w:tab/>
        <w:t>Terms used</w:t>
      </w:r>
      <w:bookmarkEnd w:id="40"/>
      <w:bookmarkEnd w:id="41"/>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2</w:t>
      </w:r>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pPr>
      <w:r>
        <w:rPr>
          <w:b/>
        </w:rPr>
        <w:tab/>
      </w:r>
      <w:r>
        <w:rPr>
          <w:rStyle w:val="CharDefText"/>
        </w:rPr>
        <w:t>section</w:t>
      </w:r>
      <w:r>
        <w:t xml:space="preserve"> means a section of the Act.</w:t>
      </w:r>
    </w:p>
    <w:p>
      <w:pPr>
        <w:pStyle w:val="Footnotesection"/>
      </w:pPr>
      <w:r>
        <w:tab/>
        <w:t>[Regulation 3 amended in Gazette 18 Oct 2006 p. 4453; 7 Dec 2012 p. 5984.]</w:t>
      </w:r>
    </w:p>
    <w:p>
      <w:pPr>
        <w:pStyle w:val="Heading2"/>
      </w:pPr>
      <w:bookmarkStart w:id="42" w:name="_Toc342574058"/>
      <w:bookmarkStart w:id="43" w:name="_Toc342575331"/>
      <w:bookmarkStart w:id="44" w:name="_Toc342575366"/>
      <w:bookmarkStart w:id="45" w:name="_Toc346013389"/>
      <w:bookmarkStart w:id="46" w:name="_Toc346017464"/>
      <w:bookmarkStart w:id="47" w:name="_Toc346017682"/>
      <w:bookmarkStart w:id="48" w:name="_Toc347393879"/>
      <w:bookmarkStart w:id="49" w:name="_Toc350257865"/>
      <w:bookmarkStart w:id="50" w:name="_Toc350262428"/>
      <w:bookmarkStart w:id="51" w:name="_Toc350497677"/>
      <w:r>
        <w:rPr>
          <w:rStyle w:val="CharPartNo"/>
        </w:rPr>
        <w:t>Part 2</w:t>
      </w:r>
      <w:r>
        <w:rPr>
          <w:rStyle w:val="CharDivNo"/>
        </w:rPr>
        <w:t> </w:t>
      </w:r>
      <w:r>
        <w:t>—</w:t>
      </w:r>
      <w:r>
        <w:rPr>
          <w:rStyle w:val="CharDivText"/>
        </w:rPr>
        <w:t> </w:t>
      </w:r>
      <w:r>
        <w:rPr>
          <w:rStyle w:val="CharPartText"/>
        </w:rPr>
        <w:t>General</w:t>
      </w:r>
      <w:bookmarkEnd w:id="42"/>
      <w:bookmarkEnd w:id="43"/>
      <w:bookmarkEnd w:id="44"/>
      <w:bookmarkEnd w:id="45"/>
      <w:bookmarkEnd w:id="46"/>
      <w:bookmarkEnd w:id="47"/>
      <w:bookmarkEnd w:id="48"/>
      <w:bookmarkEnd w:id="49"/>
      <w:bookmarkEnd w:id="50"/>
      <w:bookmarkEnd w:id="51"/>
    </w:p>
    <w:p>
      <w:pPr>
        <w:pStyle w:val="Footnoteheading"/>
      </w:pPr>
      <w:r>
        <w:tab/>
        <w:t>[Heading inserted in Gazette 7 Dec 2012 p. 5984.]</w:t>
      </w:r>
    </w:p>
    <w:p>
      <w:pPr>
        <w:pStyle w:val="Heading5"/>
      </w:pPr>
      <w:bookmarkStart w:id="52" w:name="_Toc350497678"/>
      <w:bookmarkStart w:id="53" w:name="_Toc342575367"/>
      <w:r>
        <w:rPr>
          <w:rStyle w:val="CharSectno"/>
        </w:rPr>
        <w:t>4</w:t>
      </w:r>
      <w:r>
        <w:t>.</w:t>
      </w:r>
      <w:r>
        <w:tab/>
        <w:t>Student records, unique reference number for each student and information prescribed (Act s. 19E)</w:t>
      </w:r>
      <w:bookmarkEnd w:id="52"/>
      <w:bookmarkEnd w:id="53"/>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in Gazette 14 Aug 2012 p. 3833.]</w:t>
      </w:r>
    </w:p>
    <w:p>
      <w:pPr>
        <w:pStyle w:val="Heading5"/>
      </w:pPr>
      <w:bookmarkStart w:id="54" w:name="_Toc350497679"/>
      <w:bookmarkStart w:id="55" w:name="_Toc342575368"/>
      <w:r>
        <w:rPr>
          <w:rStyle w:val="CharSectno"/>
        </w:rPr>
        <w:t>5</w:t>
      </w:r>
      <w:r>
        <w:t>.</w:t>
      </w:r>
      <w:r>
        <w:tab/>
        <w:t xml:space="preserve">Information </w:t>
      </w:r>
      <w:ins w:id="56" w:author="Master Repository Process" w:date="2021-09-12T16:07:00Z">
        <w:r>
          <w:t xml:space="preserve">prescribed </w:t>
        </w:r>
      </w:ins>
      <w:r>
        <w:t xml:space="preserve">to be given </w:t>
      </w:r>
      <w:del w:id="57" w:author="Master Repository Process" w:date="2021-09-12T16:07:00Z">
        <w:r>
          <w:delText>to Authority</w:delText>
        </w:r>
      </w:del>
      <w:ins w:id="58" w:author="Master Repository Process" w:date="2021-09-12T16:07:00Z">
        <w:r>
          <w:t>by school</w:t>
        </w:r>
      </w:ins>
      <w:r>
        <w:t xml:space="preserve"> (Act s. 19G)</w:t>
      </w:r>
      <w:bookmarkEnd w:id="54"/>
      <w:bookmarkEnd w:id="55"/>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 in Gazette 7 Dec 2012 p. 5984.]</w:t>
      </w:r>
    </w:p>
    <w:p>
      <w:pPr>
        <w:pStyle w:val="Heading5"/>
      </w:pPr>
      <w:bookmarkStart w:id="59" w:name="_Toc350497680"/>
      <w:bookmarkStart w:id="60" w:name="_Toc342575369"/>
      <w:r>
        <w:rPr>
          <w:rStyle w:val="CharSectno"/>
        </w:rPr>
        <w:t>6</w:t>
      </w:r>
      <w:r>
        <w:t>.</w:t>
      </w:r>
      <w:r>
        <w:tab/>
        <w:t xml:space="preserve">Information prescribed to be given by </w:t>
      </w:r>
      <w:del w:id="61" w:author="Master Repository Process" w:date="2021-09-12T16:07:00Z">
        <w:r>
          <w:delText>providers</w:delText>
        </w:r>
      </w:del>
      <w:ins w:id="62" w:author="Master Repository Process" w:date="2021-09-12T16:07:00Z">
        <w:r>
          <w:t>provider</w:t>
        </w:r>
      </w:ins>
      <w:r>
        <w:t xml:space="preserve"> other than </w:t>
      </w:r>
      <w:del w:id="63" w:author="Master Repository Process" w:date="2021-09-12T16:07:00Z">
        <w:r>
          <w:delText>schools</w:delText>
        </w:r>
      </w:del>
      <w:ins w:id="64" w:author="Master Repository Process" w:date="2021-09-12T16:07:00Z">
        <w:r>
          <w:t>school</w:t>
        </w:r>
      </w:ins>
      <w:r>
        <w:t xml:space="preserve"> (Act s. 19G)</w:t>
      </w:r>
      <w:bookmarkEnd w:id="59"/>
      <w:bookmarkEnd w:id="60"/>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in Gazette 14 Aug 2012 p. 3833.]</w:t>
      </w:r>
    </w:p>
    <w:p>
      <w:pPr>
        <w:pStyle w:val="Heading5"/>
      </w:pPr>
      <w:bookmarkStart w:id="65" w:name="_Toc350497681"/>
      <w:bookmarkStart w:id="66" w:name="_Toc342575370"/>
      <w:r>
        <w:rPr>
          <w:rStyle w:val="CharSectno"/>
        </w:rPr>
        <w:t>7</w:t>
      </w:r>
      <w:r>
        <w:t>.</w:t>
      </w:r>
      <w:r>
        <w:tab/>
        <w:t>When student record to be opened (Act s. 19C); when information to be given to Authority for Act Part 3A</w:t>
      </w:r>
      <w:bookmarkEnd w:id="65"/>
      <w:bookmarkEnd w:id="66"/>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in Gazette 14 Aug 2012 p. 3833; 7 Dec 2012 p. 5985.]</w:t>
      </w:r>
    </w:p>
    <w:p>
      <w:pPr>
        <w:pStyle w:val="Ednotesection"/>
      </w:pPr>
      <w:r>
        <w:t>[</w:t>
      </w:r>
      <w:r>
        <w:rPr>
          <w:b/>
        </w:rPr>
        <w:t>8.</w:t>
      </w:r>
      <w:r>
        <w:tab/>
        <w:t>Deleted in Gazette 7 Dec 2012 p. 5985.]</w:t>
      </w:r>
    </w:p>
    <w:p>
      <w:pPr>
        <w:pStyle w:val="Heading5"/>
      </w:pPr>
      <w:bookmarkStart w:id="67" w:name="_Toc350497682"/>
      <w:bookmarkStart w:id="68" w:name="_Toc342575371"/>
      <w:r>
        <w:rPr>
          <w:rStyle w:val="CharSectno"/>
        </w:rPr>
        <w:t>9</w:t>
      </w:r>
      <w:r>
        <w:t>.</w:t>
      </w:r>
      <w:r>
        <w:tab/>
        <w:t>Information and times for giving it prescribed (Act s. 19P)</w:t>
      </w:r>
      <w:bookmarkEnd w:id="67"/>
      <w:bookmarkEnd w:id="68"/>
    </w:p>
    <w:p>
      <w:pPr>
        <w:pStyle w:val="Subsection"/>
      </w:pPr>
      <w:r>
        <w:tab/>
        <w:t>(1)</w:t>
      </w:r>
      <w:r>
        <w:tab/>
        <w:t xml:space="preserve">This regulation prescribes the information to be provided to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 in Gazette 7 Dec 2012 p. 5985-6.]</w:t>
      </w:r>
    </w:p>
    <w:p>
      <w:pPr>
        <w:pStyle w:val="Heading2"/>
      </w:pPr>
      <w:bookmarkStart w:id="69" w:name="_Toc342574064"/>
      <w:bookmarkStart w:id="70" w:name="_Toc342575337"/>
      <w:bookmarkStart w:id="71" w:name="_Toc342575372"/>
      <w:bookmarkStart w:id="72" w:name="_Toc346013395"/>
      <w:bookmarkStart w:id="73" w:name="_Toc346017470"/>
      <w:bookmarkStart w:id="74" w:name="_Toc346017688"/>
      <w:bookmarkStart w:id="75" w:name="_Toc347393885"/>
      <w:bookmarkStart w:id="76" w:name="_Toc350257871"/>
      <w:bookmarkStart w:id="77" w:name="_Toc350262434"/>
      <w:bookmarkStart w:id="78" w:name="_Toc350497683"/>
      <w:r>
        <w:rPr>
          <w:rStyle w:val="CharPartNo"/>
        </w:rPr>
        <w:t>Part 3</w:t>
      </w:r>
      <w:r>
        <w:rPr>
          <w:rStyle w:val="CharSDivNo"/>
        </w:rPr>
        <w:t> </w:t>
      </w:r>
      <w:r>
        <w:t>—</w:t>
      </w:r>
      <w:r>
        <w:rPr>
          <w:rStyle w:val="CharDivText"/>
        </w:rPr>
        <w:t> </w:t>
      </w:r>
      <w:r>
        <w:rPr>
          <w:rStyle w:val="CharPartText"/>
        </w:rPr>
        <w:t>Fees and charges</w:t>
      </w:r>
      <w:bookmarkEnd w:id="69"/>
      <w:bookmarkEnd w:id="70"/>
      <w:bookmarkEnd w:id="71"/>
      <w:bookmarkEnd w:id="72"/>
      <w:bookmarkEnd w:id="73"/>
      <w:bookmarkEnd w:id="74"/>
      <w:bookmarkEnd w:id="75"/>
      <w:bookmarkEnd w:id="76"/>
      <w:bookmarkEnd w:id="77"/>
      <w:bookmarkEnd w:id="78"/>
    </w:p>
    <w:p>
      <w:pPr>
        <w:pStyle w:val="Footnoteheading"/>
      </w:pPr>
      <w:r>
        <w:tab/>
        <w:t>[Heading inserted in Gazette 7 Dec 2012 p. 5986.]</w:t>
      </w:r>
    </w:p>
    <w:p>
      <w:pPr>
        <w:pStyle w:val="Heading5"/>
      </w:pPr>
      <w:bookmarkStart w:id="79" w:name="_Toc350497684"/>
      <w:bookmarkStart w:id="80" w:name="_Toc342575373"/>
      <w:r>
        <w:rPr>
          <w:rStyle w:val="CharSectno"/>
        </w:rPr>
        <w:t>10</w:t>
      </w:r>
      <w:r>
        <w:t>.</w:t>
      </w:r>
      <w:r>
        <w:tab/>
        <w:t>Certification, assessment and examination fees and charges for students who are Australian residents (Sch.</w:t>
      </w:r>
      <w:ins w:id="81" w:author="Master Repository Process" w:date="2021-09-12T16:07:00Z">
        <w:r>
          <w:t> </w:t>
        </w:r>
      </w:ins>
      <w:r>
        <w:t>1)</w:t>
      </w:r>
      <w:bookmarkEnd w:id="79"/>
      <w:bookmarkEnd w:id="80"/>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 in Gazette 18 Oct 2006 p. 4454; amended in Gazette 7 Dec 2012 p. 5986.]</w:t>
      </w:r>
    </w:p>
    <w:p>
      <w:pPr>
        <w:pStyle w:val="Heading5"/>
      </w:pPr>
      <w:bookmarkStart w:id="82" w:name="_Toc350497685"/>
      <w:bookmarkStart w:id="83" w:name="_Toc342575374"/>
      <w:r>
        <w:rPr>
          <w:rStyle w:val="CharSectno"/>
        </w:rPr>
        <w:t>11</w:t>
      </w:r>
      <w:r>
        <w:t>.</w:t>
      </w:r>
      <w:r>
        <w:tab/>
        <w:t>Certification, assessment and examination fees and charges for students who are not Australian residents</w:t>
      </w:r>
      <w:bookmarkEnd w:id="82"/>
      <w:bookmarkEnd w:id="83"/>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in Gazette 18 Oct 2006 p. 4454; amended in Gazette 7 Dec 2012 p. 5986.]</w:t>
      </w:r>
    </w:p>
    <w:p>
      <w:pPr>
        <w:pStyle w:val="Heading5"/>
      </w:pPr>
      <w:bookmarkStart w:id="84" w:name="_Toc350497686"/>
      <w:bookmarkStart w:id="85" w:name="_Toc342575375"/>
      <w:r>
        <w:rPr>
          <w:rStyle w:val="CharSectno"/>
        </w:rPr>
        <w:t>12</w:t>
      </w:r>
      <w:r>
        <w:t>.</w:t>
      </w:r>
      <w:r>
        <w:tab/>
        <w:t>Publications supplied by Authority, charges for</w:t>
      </w:r>
      <w:bookmarkEnd w:id="84"/>
      <w:bookmarkEnd w:id="85"/>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in Gazette 18 Oct 2006 p. 4454; amended in Gazette 14 Aug 2012 p. 3833.]</w:t>
      </w:r>
    </w:p>
    <w:p>
      <w:pPr>
        <w:pStyle w:val="Heading2"/>
      </w:pPr>
      <w:bookmarkStart w:id="86" w:name="_Toc342574068"/>
      <w:bookmarkStart w:id="87" w:name="_Toc342575341"/>
      <w:bookmarkStart w:id="88" w:name="_Toc342575376"/>
      <w:bookmarkStart w:id="89" w:name="_Toc346013399"/>
      <w:bookmarkStart w:id="90" w:name="_Toc346017474"/>
      <w:bookmarkStart w:id="91" w:name="_Toc346017692"/>
      <w:bookmarkStart w:id="92" w:name="_Toc347393889"/>
      <w:bookmarkStart w:id="93" w:name="_Toc350257875"/>
      <w:bookmarkStart w:id="94" w:name="_Toc350262438"/>
      <w:bookmarkStart w:id="95" w:name="_Toc350497687"/>
      <w:r>
        <w:rPr>
          <w:rStyle w:val="CharPartNo"/>
        </w:rPr>
        <w:t>Part 4</w:t>
      </w:r>
      <w:r>
        <w:rPr>
          <w:rStyle w:val="CharDivNo"/>
        </w:rPr>
        <w:t> </w:t>
      </w:r>
      <w:r>
        <w:t>—</w:t>
      </w:r>
      <w:r>
        <w:rPr>
          <w:rStyle w:val="CharDivText"/>
        </w:rPr>
        <w:t> </w:t>
      </w:r>
      <w:r>
        <w:rPr>
          <w:rStyle w:val="CharPartText"/>
        </w:rPr>
        <w:t>Examinations</w:t>
      </w:r>
      <w:bookmarkEnd w:id="86"/>
      <w:bookmarkEnd w:id="87"/>
      <w:bookmarkEnd w:id="88"/>
      <w:bookmarkEnd w:id="89"/>
      <w:bookmarkEnd w:id="90"/>
      <w:bookmarkEnd w:id="91"/>
      <w:bookmarkEnd w:id="92"/>
      <w:bookmarkEnd w:id="93"/>
      <w:bookmarkEnd w:id="94"/>
      <w:bookmarkEnd w:id="95"/>
    </w:p>
    <w:p>
      <w:pPr>
        <w:pStyle w:val="Footnoteheading"/>
      </w:pPr>
      <w:r>
        <w:tab/>
        <w:t>[Heading inserted in Gazette 7 Dec 2012 p. 5986.]</w:t>
      </w:r>
    </w:p>
    <w:p>
      <w:pPr>
        <w:pStyle w:val="Heading5"/>
      </w:pPr>
      <w:bookmarkStart w:id="96" w:name="_Toc350497688"/>
      <w:bookmarkStart w:id="97" w:name="_Toc342575377"/>
      <w:r>
        <w:rPr>
          <w:rStyle w:val="CharSectno"/>
        </w:rPr>
        <w:t>13</w:t>
      </w:r>
      <w:r>
        <w:t>.</w:t>
      </w:r>
      <w:r>
        <w:tab/>
        <w:t>Terms used</w:t>
      </w:r>
      <w:bookmarkEnd w:id="96"/>
      <w:bookmarkEnd w:id="97"/>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 in Gazette 7 Dec 2012 p. 5986-7.]</w:t>
      </w:r>
    </w:p>
    <w:p>
      <w:pPr>
        <w:pStyle w:val="Heading5"/>
        <w:rPr>
          <w:del w:id="98" w:author="Master Repository Process" w:date="2021-09-12T16:07:00Z"/>
        </w:rPr>
      </w:pPr>
      <w:bookmarkStart w:id="99" w:name="_Toc342575378"/>
      <w:del w:id="100" w:author="Master Repository Process" w:date="2021-09-12T16:07:00Z">
        <w:r>
          <w:rPr>
            <w:rStyle w:val="CharSectno"/>
          </w:rPr>
          <w:delText>14</w:delText>
        </w:r>
        <w:r>
          <w:delText>.</w:delText>
        </w:r>
        <w:r>
          <w:tab/>
          <w:delText>Requirements relating to enrolment</w:delText>
        </w:r>
        <w:bookmarkEnd w:id="99"/>
      </w:del>
    </w:p>
    <w:p>
      <w:pPr>
        <w:pStyle w:val="Heading5"/>
        <w:rPr>
          <w:ins w:id="101" w:author="Master Repository Process" w:date="2021-09-12T16:07:00Z"/>
        </w:rPr>
      </w:pPr>
      <w:bookmarkStart w:id="102" w:name="_Toc350497689"/>
      <w:ins w:id="103" w:author="Master Repository Process" w:date="2021-09-12T16:07:00Z">
        <w:r>
          <w:rPr>
            <w:rStyle w:val="CharSectno"/>
          </w:rPr>
          <w:t>14</w:t>
        </w:r>
        <w:r>
          <w:t>.</w:t>
        </w:r>
        <w:r>
          <w:tab/>
          <w:t>Prerequisites for taking, and who must take, examinations</w:t>
        </w:r>
        <w:bookmarkEnd w:id="102"/>
      </w:ins>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 in Gazette 7 Dec 2012 p. 5987.]</w:t>
      </w:r>
    </w:p>
    <w:p>
      <w:pPr>
        <w:pStyle w:val="Heading5"/>
        <w:rPr>
          <w:del w:id="104" w:author="Master Repository Process" w:date="2021-09-12T16:07:00Z"/>
        </w:rPr>
      </w:pPr>
      <w:bookmarkStart w:id="105" w:name="_Toc342575379"/>
      <w:del w:id="106" w:author="Master Repository Process" w:date="2021-09-12T16:07:00Z">
        <w:r>
          <w:rPr>
            <w:rStyle w:val="CharSectno"/>
          </w:rPr>
          <w:delText>15</w:delText>
        </w:r>
        <w:r>
          <w:delText>.</w:delText>
        </w:r>
        <w:r>
          <w:tab/>
          <w:delText>Examination centres</w:delText>
        </w:r>
        <w:bookmarkEnd w:id="105"/>
      </w:del>
    </w:p>
    <w:p>
      <w:pPr>
        <w:pStyle w:val="Heading5"/>
        <w:rPr>
          <w:ins w:id="107" w:author="Master Repository Process" w:date="2021-09-12T16:07:00Z"/>
        </w:rPr>
      </w:pPr>
      <w:bookmarkStart w:id="108" w:name="_Toc350497690"/>
      <w:ins w:id="109" w:author="Master Repository Process" w:date="2021-09-12T16:07:00Z">
        <w:r>
          <w:rPr>
            <w:rStyle w:val="CharSectno"/>
          </w:rPr>
          <w:t>15</w:t>
        </w:r>
        <w:r>
          <w:t>.</w:t>
        </w:r>
        <w:r>
          <w:tab/>
          <w:t>Examinations, candidates for to be notified of time and place of</w:t>
        </w:r>
        <w:bookmarkEnd w:id="108"/>
      </w:ins>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 in Gazette 7 Dec 2012 p. 5987.]</w:t>
      </w:r>
    </w:p>
    <w:p>
      <w:pPr>
        <w:pStyle w:val="Heading5"/>
      </w:pPr>
      <w:bookmarkStart w:id="110" w:name="_Toc342575380"/>
      <w:bookmarkStart w:id="111" w:name="_Toc350497691"/>
      <w:r>
        <w:rPr>
          <w:rStyle w:val="CharSectno"/>
        </w:rPr>
        <w:t>16</w:t>
      </w:r>
      <w:r>
        <w:t>.</w:t>
      </w:r>
      <w:r>
        <w:tab/>
        <w:t>Identification documents</w:t>
      </w:r>
      <w:bookmarkEnd w:id="110"/>
      <w:ins w:id="112" w:author="Master Repository Process" w:date="2021-09-12T16:07:00Z">
        <w:r>
          <w:t xml:space="preserve"> for candidates, issue of etc.</w:t>
        </w:r>
      </w:ins>
      <w:bookmarkEnd w:id="111"/>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tab/>
        <w:t>(2)</w:t>
      </w:r>
      <w:r>
        <w:tab/>
        <w:t>A candidate taking an examination must produce his or her identification document if requested to do so by a supervisor.</w:t>
      </w:r>
    </w:p>
    <w:p>
      <w:pPr>
        <w:pStyle w:val="Footnotesection"/>
      </w:pPr>
      <w:r>
        <w:tab/>
        <w:t>[Regulation 16 inserted in Gazette 7 Dec 2012 p. 5988.]</w:t>
      </w:r>
    </w:p>
    <w:p>
      <w:pPr>
        <w:pStyle w:val="Heading5"/>
      </w:pPr>
      <w:bookmarkStart w:id="113" w:name="_Toc342575381"/>
      <w:bookmarkStart w:id="114" w:name="_Toc350497692"/>
      <w:r>
        <w:rPr>
          <w:rStyle w:val="CharSectno"/>
        </w:rPr>
        <w:t>17</w:t>
      </w:r>
      <w:r>
        <w:t>.</w:t>
      </w:r>
      <w:r>
        <w:tab/>
        <w:t>Supervisors</w:t>
      </w:r>
      <w:bookmarkEnd w:id="113"/>
      <w:ins w:id="115" w:author="Master Repository Process" w:date="2021-09-12T16:07:00Z">
        <w:r>
          <w:t>, appointment of; security of examination papers etc.</w:t>
        </w:r>
      </w:ins>
      <w:bookmarkEnd w:id="114"/>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 in Gazette 7 Dec 2012 p. 5988.]</w:t>
      </w:r>
    </w:p>
    <w:p>
      <w:pPr>
        <w:pStyle w:val="Heading5"/>
      </w:pPr>
      <w:bookmarkStart w:id="116" w:name="_Toc350497693"/>
      <w:bookmarkStart w:id="117" w:name="_Toc342575382"/>
      <w:r>
        <w:rPr>
          <w:rStyle w:val="CharSectno"/>
        </w:rPr>
        <w:t>18</w:t>
      </w:r>
      <w:r>
        <w:t>.</w:t>
      </w:r>
      <w:r>
        <w:tab/>
        <w:t>Conduct of examinations</w:t>
      </w:r>
      <w:bookmarkEnd w:id="116"/>
      <w:bookmarkEnd w:id="117"/>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 in Gazette 7 Dec 2012 p. 5988.]</w:t>
      </w:r>
    </w:p>
    <w:p>
      <w:pPr>
        <w:pStyle w:val="Heading5"/>
      </w:pPr>
      <w:bookmarkStart w:id="118" w:name="_Toc350497694"/>
      <w:bookmarkStart w:id="119" w:name="_Toc342575383"/>
      <w:r>
        <w:rPr>
          <w:rStyle w:val="CharSectno"/>
        </w:rPr>
        <w:t>19</w:t>
      </w:r>
      <w:r>
        <w:t>.</w:t>
      </w:r>
      <w:r>
        <w:tab/>
      </w:r>
      <w:del w:id="120" w:author="Master Repository Process" w:date="2021-09-12T16:07:00Z">
        <w:r>
          <w:delText>Examinations</w:delText>
        </w:r>
      </w:del>
      <w:ins w:id="121" w:author="Master Repository Process" w:date="2021-09-12T16:07:00Z">
        <w:r>
          <w:t>Examination answers</w:t>
        </w:r>
      </w:ins>
      <w:r>
        <w:t xml:space="preserve"> to be</w:t>
      </w:r>
      <w:del w:id="122" w:author="Master Repository Process" w:date="2021-09-12T16:07:00Z">
        <w:r>
          <w:delText xml:space="preserve"> answered</w:delText>
        </w:r>
      </w:del>
      <w:r>
        <w:t xml:space="preserve"> in English</w:t>
      </w:r>
      <w:bookmarkEnd w:id="118"/>
      <w:bookmarkEnd w:id="119"/>
    </w:p>
    <w:p>
      <w:pPr>
        <w:pStyle w:val="Subsection"/>
      </w:pPr>
      <w:r>
        <w:tab/>
      </w:r>
      <w:r>
        <w:tab/>
        <w:t>Unless the Authority approves or requires otherwise in respect of a particular examination, a candidate must answer questions in an examination in the English language.</w:t>
      </w:r>
    </w:p>
    <w:p>
      <w:pPr>
        <w:pStyle w:val="Footnotesection"/>
      </w:pPr>
      <w:r>
        <w:tab/>
        <w:t>[Regulation 19 inserted in Gazette 7 Dec 2012 p. 5988.]</w:t>
      </w:r>
    </w:p>
    <w:p>
      <w:pPr>
        <w:pStyle w:val="Heading5"/>
        <w:spacing w:before="180"/>
      </w:pPr>
      <w:bookmarkStart w:id="123" w:name="_Toc342575384"/>
      <w:bookmarkStart w:id="124" w:name="_Toc350497695"/>
      <w:r>
        <w:rPr>
          <w:rStyle w:val="CharSectno"/>
        </w:rPr>
        <w:t>20</w:t>
      </w:r>
      <w:r>
        <w:t>.</w:t>
      </w:r>
      <w:r>
        <w:tab/>
        <w:t xml:space="preserve">Consumption of food and </w:t>
      </w:r>
      <w:del w:id="125" w:author="Master Repository Process" w:date="2021-09-12T16:07:00Z">
        <w:r>
          <w:delText>drinks</w:delText>
        </w:r>
      </w:del>
      <w:bookmarkEnd w:id="123"/>
      <w:ins w:id="126" w:author="Master Repository Process" w:date="2021-09-12T16:07:00Z">
        <w:r>
          <w:t>drink</w:t>
        </w:r>
      </w:ins>
      <w:bookmarkEnd w:id="124"/>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 in Gazette 7 Dec 2012 p. 5988-9.]</w:t>
      </w:r>
    </w:p>
    <w:p>
      <w:pPr>
        <w:pStyle w:val="Heading5"/>
        <w:spacing w:before="180"/>
      </w:pPr>
      <w:bookmarkStart w:id="127" w:name="_Toc350497696"/>
      <w:bookmarkStart w:id="128" w:name="_Toc342575385"/>
      <w:r>
        <w:rPr>
          <w:rStyle w:val="CharSectno"/>
        </w:rPr>
        <w:t>21</w:t>
      </w:r>
      <w:r>
        <w:t>.</w:t>
      </w:r>
      <w:r>
        <w:tab/>
        <w:t>Communicating with other candidates etc.</w:t>
      </w:r>
      <w:bookmarkEnd w:id="127"/>
      <w:bookmarkEnd w:id="128"/>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 in Gazette 7 Dec 2012 p. 5989.]</w:t>
      </w:r>
    </w:p>
    <w:p>
      <w:pPr>
        <w:pStyle w:val="Heading5"/>
        <w:spacing w:before="180"/>
      </w:pPr>
      <w:bookmarkStart w:id="129" w:name="_Toc350497697"/>
      <w:bookmarkStart w:id="130" w:name="_Toc342575386"/>
      <w:r>
        <w:rPr>
          <w:rStyle w:val="CharSectno"/>
        </w:rPr>
        <w:t>22</w:t>
      </w:r>
      <w:r>
        <w:t>.</w:t>
      </w:r>
      <w:r>
        <w:tab/>
      </w:r>
      <w:del w:id="131" w:author="Master Repository Process" w:date="2021-09-12T16:07:00Z">
        <w:r>
          <w:delText>Removal of examination</w:delText>
        </w:r>
      </w:del>
      <w:ins w:id="132" w:author="Master Repository Process" w:date="2021-09-12T16:07:00Z">
        <w:r>
          <w:t>Examination</w:t>
        </w:r>
      </w:ins>
      <w:r>
        <w:t xml:space="preserve"> materials</w:t>
      </w:r>
      <w:ins w:id="133" w:author="Master Repository Process" w:date="2021-09-12T16:07:00Z">
        <w:r>
          <w:t xml:space="preserve"> not to be taken</w:t>
        </w:r>
      </w:ins>
      <w:r>
        <w:t xml:space="preserve"> from examination centre</w:t>
      </w:r>
      <w:bookmarkEnd w:id="129"/>
      <w:bookmarkEnd w:id="130"/>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 in Gazette 7 Dec 2012 p. 5989.]</w:t>
      </w:r>
    </w:p>
    <w:p>
      <w:pPr>
        <w:pStyle w:val="Heading5"/>
      </w:pPr>
      <w:bookmarkStart w:id="134" w:name="_Toc350497698"/>
      <w:bookmarkStart w:id="135" w:name="_Toc342575387"/>
      <w:r>
        <w:rPr>
          <w:rStyle w:val="CharSectno"/>
        </w:rPr>
        <w:t>23</w:t>
      </w:r>
      <w:r>
        <w:t>.</w:t>
      </w:r>
      <w:r>
        <w:tab/>
        <w:t>Leaving examination centre during an examination</w:t>
      </w:r>
      <w:bookmarkEnd w:id="134"/>
      <w:bookmarkEnd w:id="135"/>
    </w:p>
    <w:p>
      <w:pPr>
        <w:pStyle w:val="Subsection"/>
      </w:pPr>
      <w:r>
        <w:tab/>
      </w:r>
      <w:r>
        <w:tab/>
        <w:t>Unless given approval by a supervisor to do so, a candidate must not leave the examination centre during an examination.</w:t>
      </w:r>
    </w:p>
    <w:p>
      <w:pPr>
        <w:pStyle w:val="Footnotesection"/>
      </w:pPr>
      <w:r>
        <w:tab/>
        <w:t>[Regulation 23 inserted in Gazette 7 Dec 2012 p. 5989.]</w:t>
      </w:r>
    </w:p>
    <w:p>
      <w:pPr>
        <w:pStyle w:val="Heading5"/>
      </w:pPr>
      <w:bookmarkStart w:id="136" w:name="_Toc350497699"/>
      <w:bookmarkStart w:id="137" w:name="_Toc342575388"/>
      <w:r>
        <w:rPr>
          <w:rStyle w:val="CharSectno"/>
        </w:rPr>
        <w:t>24</w:t>
      </w:r>
      <w:r>
        <w:t>.</w:t>
      </w:r>
      <w:r>
        <w:tab/>
        <w:t>Practical examinations</w:t>
      </w:r>
      <w:bookmarkEnd w:id="136"/>
      <w:bookmarkEnd w:id="137"/>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 in Gazette 7 Dec 2012 p. 5989-90.]</w:t>
      </w:r>
    </w:p>
    <w:p>
      <w:pPr>
        <w:pStyle w:val="Heading5"/>
        <w:rPr>
          <w:del w:id="138" w:author="Master Repository Process" w:date="2021-09-12T16:07:00Z"/>
        </w:rPr>
      </w:pPr>
      <w:bookmarkStart w:id="139" w:name="_Toc342575389"/>
      <w:del w:id="140" w:author="Master Repository Process" w:date="2021-09-12T16:07:00Z">
        <w:r>
          <w:rPr>
            <w:rStyle w:val="CharSectno"/>
          </w:rPr>
          <w:delText>25</w:delText>
        </w:r>
        <w:r>
          <w:delText>.</w:delText>
        </w:r>
        <w:r>
          <w:tab/>
          <w:delText>Disability and illness, injury or other impairment</w:delText>
        </w:r>
        <w:bookmarkEnd w:id="139"/>
      </w:del>
    </w:p>
    <w:p>
      <w:pPr>
        <w:pStyle w:val="Heading5"/>
        <w:rPr>
          <w:ins w:id="141" w:author="Master Repository Process" w:date="2021-09-12T16:07:00Z"/>
        </w:rPr>
      </w:pPr>
      <w:bookmarkStart w:id="142" w:name="_Toc350497700"/>
      <w:ins w:id="143" w:author="Master Repository Process" w:date="2021-09-12T16:07:00Z">
        <w:r>
          <w:rPr>
            <w:rStyle w:val="CharSectno"/>
          </w:rPr>
          <w:t>25</w:t>
        </w:r>
        <w:r>
          <w:t>.</w:t>
        </w:r>
        <w:r>
          <w:tab/>
          <w:t>Disabled etc. candidates, special arrangements etc. for</w:t>
        </w:r>
        <w:bookmarkEnd w:id="142"/>
      </w:ins>
    </w:p>
    <w:p>
      <w:pPr>
        <w:pStyle w:val="Subsection"/>
        <w:keepNext/>
        <w:keepLines/>
      </w:pPr>
      <w:r>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 in Gazette 7 Dec 2012 p. 5990.]</w:t>
      </w:r>
    </w:p>
    <w:p>
      <w:pPr>
        <w:pStyle w:val="Heading5"/>
      </w:pPr>
      <w:bookmarkStart w:id="144" w:name="_Toc350497701"/>
      <w:bookmarkStart w:id="145" w:name="_Toc342575390"/>
      <w:r>
        <w:rPr>
          <w:rStyle w:val="CharSectno"/>
        </w:rPr>
        <w:t>26</w:t>
      </w:r>
      <w:r>
        <w:t>.</w:t>
      </w:r>
      <w:r>
        <w:tab/>
        <w:t>Fraud, collusion and other misconduct</w:t>
      </w:r>
      <w:bookmarkEnd w:id="144"/>
      <w:bookmarkEnd w:id="145"/>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 in Gazette 7 Dec 2012 p. 5991.]</w:t>
      </w:r>
    </w:p>
    <w:p>
      <w:pPr>
        <w:pStyle w:val="Heading5"/>
      </w:pPr>
      <w:bookmarkStart w:id="146" w:name="_Toc350497702"/>
      <w:bookmarkStart w:id="147" w:name="_Toc342575391"/>
      <w:r>
        <w:rPr>
          <w:rStyle w:val="CharSectno"/>
        </w:rPr>
        <w:t>27</w:t>
      </w:r>
      <w:r>
        <w:t>.</w:t>
      </w:r>
      <w:r>
        <w:tab/>
        <w:t>Appeals committee</w:t>
      </w:r>
      <w:bookmarkEnd w:id="146"/>
      <w:bookmarkEnd w:id="147"/>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w:t>
      </w:r>
      <w:del w:id="148" w:author="Master Repository Process" w:date="2021-09-12T16:07:00Z">
        <w:r>
          <w:delText>4</w:delText>
        </w:r>
      </w:del>
      <w:ins w:id="149" w:author="Master Repository Process" w:date="2021-09-12T16:07:00Z">
        <w:r>
          <w:t>5</w:t>
        </w:r>
      </w:ins>
      <w:r>
        <w:t>)</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 in Gazette 7 Dec 2012 p. 5991-2.]</w:t>
      </w:r>
    </w:p>
    <w:p>
      <w:pPr>
        <w:pStyle w:val="Heading5"/>
      </w:pPr>
      <w:bookmarkStart w:id="150" w:name="_Toc350497703"/>
      <w:bookmarkStart w:id="151" w:name="_Toc342575392"/>
      <w:r>
        <w:rPr>
          <w:rStyle w:val="CharSectno"/>
        </w:rPr>
        <w:t>28</w:t>
      </w:r>
      <w:r>
        <w:t>.</w:t>
      </w:r>
      <w:r>
        <w:tab/>
        <w:t>Committee procedures</w:t>
      </w:r>
      <w:bookmarkEnd w:id="150"/>
      <w:bookmarkEnd w:id="151"/>
    </w:p>
    <w:p>
      <w:pPr>
        <w:pStyle w:val="Subsection"/>
      </w:pPr>
      <w:r>
        <w:tab/>
      </w:r>
      <w:r>
        <w:tab/>
        <w:t>Subject to the directions of the Authority, a committee appointed under regulation 26 or 27 is to determine its own procedures.</w:t>
      </w:r>
    </w:p>
    <w:p>
      <w:pPr>
        <w:pStyle w:val="Footnotesection"/>
      </w:pPr>
      <w:r>
        <w:tab/>
        <w:t>[Regulation 28 inserted in Gazette 7 Dec 2012 p. 5992.]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2" w:name="_Toc342574085"/>
      <w:bookmarkStart w:id="153" w:name="_Toc342575358"/>
      <w:bookmarkStart w:id="154" w:name="_Toc342575393"/>
      <w:bookmarkStart w:id="155" w:name="_Toc346013416"/>
      <w:bookmarkStart w:id="156" w:name="_Toc346017491"/>
      <w:bookmarkStart w:id="157" w:name="_Toc346017709"/>
      <w:bookmarkStart w:id="158" w:name="_Toc347393906"/>
      <w:bookmarkStart w:id="159" w:name="_Toc350257892"/>
      <w:bookmarkStart w:id="160" w:name="_Toc350262455"/>
      <w:bookmarkStart w:id="161" w:name="_Toc350497704"/>
      <w:bookmarkStart w:id="162" w:name="_Toc148929586"/>
      <w:bookmarkStart w:id="163" w:name="_Toc148936995"/>
      <w:bookmarkStart w:id="164" w:name="_Toc224034962"/>
      <w:bookmarkStart w:id="165" w:name="_Toc332628869"/>
      <w:bookmarkStart w:id="166" w:name="_Toc332630676"/>
      <w:bookmarkStart w:id="167" w:name="_Toc333405016"/>
      <w:bookmarkStart w:id="168" w:name="_Toc333405799"/>
      <w:bookmarkStart w:id="169" w:name="_Toc336589541"/>
      <w:bookmarkStart w:id="170" w:name="_Toc336589560"/>
      <w:bookmarkStart w:id="171" w:name="_Toc338323257"/>
      <w:bookmarkStart w:id="172" w:name="_Toc338323273"/>
      <w:bookmarkStart w:id="173" w:name="_Toc338332680"/>
      <w:bookmarkStart w:id="174" w:name="_Toc338332715"/>
      <w:bookmarkStart w:id="175" w:name="_Toc338399373"/>
      <w:bookmarkStart w:id="176" w:name="_Toc338667953"/>
      <w:r>
        <w:rPr>
          <w:rStyle w:val="CharSchNo"/>
        </w:rPr>
        <w:t>Schedule 1</w:t>
      </w:r>
      <w:r>
        <w:rPr>
          <w:rStyle w:val="CharSDivNo"/>
        </w:rPr>
        <w:t> </w:t>
      </w:r>
      <w:r>
        <w:t>—</w:t>
      </w:r>
      <w:r>
        <w:rPr>
          <w:rStyle w:val="CharSDivText"/>
        </w:rPr>
        <w:t> </w:t>
      </w:r>
      <w:r>
        <w:rPr>
          <w:rStyle w:val="CharSchText"/>
        </w:rPr>
        <w:t>Fees and charges for certification, assessment and examination</w:t>
      </w:r>
      <w:bookmarkEnd w:id="152"/>
      <w:bookmarkEnd w:id="153"/>
      <w:bookmarkEnd w:id="154"/>
      <w:bookmarkEnd w:id="155"/>
      <w:bookmarkEnd w:id="156"/>
      <w:bookmarkEnd w:id="157"/>
      <w:bookmarkEnd w:id="158"/>
      <w:bookmarkEnd w:id="159"/>
      <w:bookmarkEnd w:id="160"/>
      <w:bookmarkEnd w:id="161"/>
    </w:p>
    <w:p>
      <w:pPr>
        <w:pStyle w:val="yShoulderClause"/>
      </w:pPr>
      <w:r>
        <w:t>[r. 10]</w:t>
      </w:r>
    </w:p>
    <w:p>
      <w:pPr>
        <w:pStyle w:val="yFootnoteheading"/>
        <w:spacing w:after="60"/>
      </w:pPr>
      <w:r>
        <w:tab/>
        <w:t>[Heading inserted in Gazette 7 Dec 2012 p. 5992.]</w:t>
      </w:r>
    </w:p>
    <w:tbl>
      <w:tblPr>
        <w:tblW w:w="6520" w:type="dxa"/>
        <w:tblInd w:w="534" w:type="dxa"/>
        <w:tblLayout w:type="fixed"/>
        <w:tblLook w:val="0000" w:firstRow="0" w:lastRow="0" w:firstColumn="0" w:lastColumn="0" w:noHBand="0" w:noVBand="0"/>
      </w:tblPr>
      <w:tblGrid>
        <w:gridCol w:w="708"/>
        <w:gridCol w:w="3969"/>
        <w:gridCol w:w="1843"/>
      </w:tblGrid>
      <w:tr>
        <w:trPr>
          <w:cantSplit/>
        </w:trPr>
        <w:tc>
          <w:tcPr>
            <w:tcW w:w="708" w:type="dxa"/>
          </w:tcPr>
          <w:p>
            <w:pPr>
              <w:pStyle w:val="yTableNAm"/>
              <w:rPr>
                <w:b/>
              </w:rPr>
            </w:pPr>
            <w:r>
              <w:rPr>
                <w:b/>
              </w:rPr>
              <w:t>Item</w:t>
            </w:r>
          </w:p>
        </w:tc>
        <w:tc>
          <w:tcPr>
            <w:tcW w:w="3969" w:type="dxa"/>
          </w:tcPr>
          <w:p>
            <w:pPr>
              <w:pStyle w:val="yTableNAm"/>
              <w:rPr>
                <w:b/>
              </w:rPr>
            </w:pPr>
            <w:r>
              <w:rPr>
                <w:b/>
              </w:rPr>
              <w:t>Description</w:t>
            </w:r>
          </w:p>
        </w:tc>
        <w:tc>
          <w:tcPr>
            <w:tcW w:w="1843" w:type="dxa"/>
          </w:tcPr>
          <w:p>
            <w:pPr>
              <w:pStyle w:val="yTableNAm"/>
              <w:rPr>
                <w:b/>
              </w:rPr>
            </w:pPr>
            <w:r>
              <w:rPr>
                <w:b/>
              </w:rPr>
              <w:t>Fee/Charge</w:t>
            </w:r>
          </w:p>
        </w:tc>
      </w:tr>
      <w:tr>
        <w:trPr>
          <w:cantSplit/>
        </w:trPr>
        <w:tc>
          <w:tcPr>
            <w:tcW w:w="708" w:type="dxa"/>
          </w:tcPr>
          <w:p>
            <w:pPr>
              <w:pStyle w:val="yTableNAm"/>
            </w:pPr>
          </w:p>
        </w:tc>
        <w:tc>
          <w:tcPr>
            <w:tcW w:w="3969" w:type="dxa"/>
          </w:tcPr>
          <w:p>
            <w:pPr>
              <w:pStyle w:val="yTableNAm"/>
              <w:rPr>
                <w:b/>
                <w:bCs/>
                <w:i/>
                <w:iCs/>
              </w:rPr>
            </w:pPr>
            <w:r>
              <w:rPr>
                <w:b/>
                <w:bCs/>
                <w:i/>
                <w:iCs/>
              </w:rPr>
              <w:t>Certification</w:t>
            </w:r>
          </w:p>
        </w:tc>
        <w:tc>
          <w:tcPr>
            <w:tcW w:w="1843" w:type="dxa"/>
          </w:tcPr>
          <w:p>
            <w:pPr>
              <w:pStyle w:val="yTableNAm"/>
            </w:pPr>
          </w:p>
        </w:tc>
      </w:tr>
      <w:tr>
        <w:trPr>
          <w:cantSplit/>
        </w:trPr>
        <w:tc>
          <w:tcPr>
            <w:tcW w:w="708" w:type="dxa"/>
          </w:tcPr>
          <w:p>
            <w:pPr>
              <w:pStyle w:val="yTableNAm"/>
            </w:pPr>
            <w:r>
              <w:t>1.</w:t>
            </w:r>
          </w:p>
        </w:tc>
        <w:tc>
          <w:tcPr>
            <w:tcW w:w="3969" w:type="dxa"/>
          </w:tcPr>
          <w:p>
            <w:pPr>
              <w:pStyle w:val="yTableNAm"/>
              <w:tabs>
                <w:tab w:val="left" w:leader="dot" w:pos="3686"/>
              </w:tabs>
            </w:pPr>
            <w:r>
              <w:t xml:space="preserve">Copy of student record (s. 19J(1)) </w:t>
            </w:r>
            <w:r>
              <w:tab/>
            </w:r>
          </w:p>
        </w:tc>
        <w:tc>
          <w:tcPr>
            <w:tcW w:w="1843" w:type="dxa"/>
          </w:tcPr>
          <w:p>
            <w:pPr>
              <w:pStyle w:val="yTableNAm"/>
            </w:pPr>
            <w:r>
              <w:t>$30.00</w:t>
            </w:r>
          </w:p>
        </w:tc>
      </w:tr>
      <w:tr>
        <w:trPr>
          <w:cantSplit/>
        </w:trPr>
        <w:tc>
          <w:tcPr>
            <w:tcW w:w="708" w:type="dxa"/>
          </w:tcPr>
          <w:p>
            <w:pPr>
              <w:pStyle w:val="yTableNAm"/>
            </w:pPr>
            <w:r>
              <w:t>2.</w:t>
            </w:r>
          </w:p>
        </w:tc>
        <w:tc>
          <w:tcPr>
            <w:tcW w:w="3969" w:type="dxa"/>
          </w:tcPr>
          <w:p>
            <w:pPr>
              <w:pStyle w:val="yTableNAm"/>
              <w:tabs>
                <w:tab w:val="left" w:leader="dot" w:pos="3686"/>
              </w:tabs>
            </w:pPr>
            <w:r>
              <w:t xml:space="preserve">Change of entry in application for certification </w:t>
            </w:r>
            <w:r>
              <w:tab/>
            </w:r>
          </w:p>
        </w:tc>
        <w:tc>
          <w:tcPr>
            <w:tcW w:w="1843" w:type="dxa"/>
          </w:tcPr>
          <w:p>
            <w:pPr>
              <w:pStyle w:val="yTableNAm"/>
            </w:pPr>
            <w:r>
              <w:br/>
              <w:t>$36.00</w:t>
            </w:r>
          </w:p>
        </w:tc>
      </w:tr>
      <w:tr>
        <w:trPr>
          <w:cantSplit/>
        </w:trPr>
        <w:tc>
          <w:tcPr>
            <w:tcW w:w="708" w:type="dxa"/>
          </w:tcPr>
          <w:p>
            <w:pPr>
              <w:pStyle w:val="yTableNAm"/>
            </w:pPr>
            <w:r>
              <w:t>3</w:t>
            </w:r>
          </w:p>
        </w:tc>
        <w:tc>
          <w:tcPr>
            <w:tcW w:w="3969" w:type="dxa"/>
          </w:tcPr>
          <w:p>
            <w:pPr>
              <w:pStyle w:val="yTableNAm"/>
              <w:tabs>
                <w:tab w:val="left" w:leader="dot" w:pos="3686"/>
              </w:tabs>
            </w:pPr>
            <w:r>
              <w:t xml:space="preserve">Secondary education equivalence statement </w:t>
            </w:r>
            <w:r>
              <w:tab/>
            </w:r>
          </w:p>
        </w:tc>
        <w:tc>
          <w:tcPr>
            <w:tcW w:w="1843" w:type="dxa"/>
          </w:tcPr>
          <w:p>
            <w:pPr>
              <w:pStyle w:val="yTableNAm"/>
            </w:pPr>
            <w:r>
              <w:br/>
              <w:t>$31.00</w:t>
            </w:r>
          </w:p>
        </w:tc>
      </w:tr>
      <w:tr>
        <w:trPr>
          <w:cantSplit/>
        </w:trPr>
        <w:tc>
          <w:tcPr>
            <w:tcW w:w="708" w:type="dxa"/>
          </w:tcPr>
          <w:p>
            <w:pPr>
              <w:pStyle w:val="yTableNAm"/>
            </w:pPr>
          </w:p>
        </w:tc>
        <w:tc>
          <w:tcPr>
            <w:tcW w:w="3969" w:type="dxa"/>
          </w:tcPr>
          <w:p>
            <w:pPr>
              <w:pStyle w:val="yTableNAm"/>
              <w:tabs>
                <w:tab w:val="left" w:leader="dot" w:pos="3686"/>
              </w:tabs>
              <w:rPr>
                <w:b/>
                <w:bCs/>
                <w:i/>
                <w:iCs/>
              </w:rPr>
            </w:pPr>
            <w:r>
              <w:rPr>
                <w:b/>
                <w:i/>
              </w:rPr>
              <w:t>Assessment</w:t>
            </w:r>
          </w:p>
        </w:tc>
        <w:tc>
          <w:tcPr>
            <w:tcW w:w="1843" w:type="dxa"/>
          </w:tcPr>
          <w:p>
            <w:pPr>
              <w:pStyle w:val="yTableNAm"/>
            </w:pPr>
          </w:p>
        </w:tc>
      </w:tr>
      <w:tr>
        <w:trPr>
          <w:cantSplit/>
        </w:trPr>
        <w:tc>
          <w:tcPr>
            <w:tcW w:w="708" w:type="dxa"/>
          </w:tcPr>
          <w:p>
            <w:pPr>
              <w:pStyle w:val="yTableNAm"/>
            </w:pPr>
            <w:r>
              <w:t>4.</w:t>
            </w:r>
          </w:p>
        </w:tc>
        <w:tc>
          <w:tcPr>
            <w:tcW w:w="3969" w:type="dxa"/>
          </w:tcPr>
          <w:p>
            <w:pPr>
              <w:pStyle w:val="yTableNAm"/>
              <w:tabs>
                <w:tab w:val="left" w:leader="dot" w:pos="3686"/>
              </w:tabs>
            </w:pPr>
            <w:r>
              <w:t xml:space="preserve">Enrolment (late entry) </w:t>
            </w:r>
            <w:r>
              <w:tab/>
            </w:r>
          </w:p>
        </w:tc>
        <w:tc>
          <w:tcPr>
            <w:tcW w:w="1843" w:type="dxa"/>
          </w:tcPr>
          <w:p>
            <w:pPr>
              <w:pStyle w:val="yTableNAm"/>
            </w:pPr>
            <w:r>
              <w:t>$72.00</w:t>
            </w:r>
          </w:p>
        </w:tc>
      </w:tr>
      <w:tr>
        <w:trPr>
          <w:cantSplit/>
        </w:trPr>
        <w:tc>
          <w:tcPr>
            <w:tcW w:w="708" w:type="dxa"/>
          </w:tcPr>
          <w:p>
            <w:pPr>
              <w:pStyle w:val="yTableNAm"/>
            </w:pPr>
            <w:r>
              <w:t>5.</w:t>
            </w:r>
          </w:p>
        </w:tc>
        <w:tc>
          <w:tcPr>
            <w:tcW w:w="3969" w:type="dxa"/>
          </w:tcPr>
          <w:p>
            <w:pPr>
              <w:pStyle w:val="yTableNAm"/>
              <w:tabs>
                <w:tab w:val="left" w:leader="dot" w:pos="3686"/>
              </w:tabs>
            </w:pPr>
            <w:r>
              <w:t xml:space="preserve">Appeal from school assessment </w:t>
            </w:r>
            <w:r>
              <w:tab/>
            </w:r>
          </w:p>
        </w:tc>
        <w:tc>
          <w:tcPr>
            <w:tcW w:w="1843" w:type="dxa"/>
          </w:tcPr>
          <w:p>
            <w:pPr>
              <w:pStyle w:val="yTableNAm"/>
            </w:pPr>
            <w:r>
              <w:t>$15.00</w:t>
            </w:r>
          </w:p>
        </w:tc>
      </w:tr>
      <w:tr>
        <w:trPr>
          <w:cantSplit/>
        </w:trPr>
        <w:tc>
          <w:tcPr>
            <w:tcW w:w="708" w:type="dxa"/>
          </w:tcPr>
          <w:p>
            <w:pPr>
              <w:pStyle w:val="yTableNAm"/>
            </w:pPr>
          </w:p>
        </w:tc>
        <w:tc>
          <w:tcPr>
            <w:tcW w:w="3969" w:type="dxa"/>
          </w:tcPr>
          <w:p>
            <w:pPr>
              <w:pStyle w:val="yTableNAm"/>
              <w:tabs>
                <w:tab w:val="left" w:leader="dot" w:pos="3686"/>
              </w:tabs>
              <w:rPr>
                <w:b/>
                <w:i/>
              </w:rPr>
            </w:pPr>
            <w:r>
              <w:rPr>
                <w:b/>
                <w:i/>
              </w:rPr>
              <w:t>Examination</w:t>
            </w:r>
          </w:p>
        </w:tc>
        <w:tc>
          <w:tcPr>
            <w:tcW w:w="1843" w:type="dxa"/>
          </w:tcPr>
          <w:p>
            <w:pPr>
              <w:pStyle w:val="yTableNAm"/>
            </w:pPr>
          </w:p>
        </w:tc>
      </w:tr>
      <w:tr>
        <w:trPr>
          <w:cantSplit/>
        </w:trPr>
        <w:tc>
          <w:tcPr>
            <w:tcW w:w="708" w:type="dxa"/>
          </w:tcPr>
          <w:p>
            <w:pPr>
              <w:pStyle w:val="yTableNAm"/>
            </w:pPr>
            <w:r>
              <w:t>6.</w:t>
            </w:r>
          </w:p>
        </w:tc>
        <w:tc>
          <w:tcPr>
            <w:tcW w:w="3969" w:type="dxa"/>
          </w:tcPr>
          <w:p>
            <w:pPr>
              <w:pStyle w:val="yTableNAm"/>
              <w:tabs>
                <w:tab w:val="left" w:leader="dot" w:pos="3686"/>
              </w:tabs>
            </w:pPr>
            <w:r>
              <w:t xml:space="preserve">Private candidate </w:t>
            </w:r>
            <w:r>
              <w:tab/>
            </w:r>
          </w:p>
        </w:tc>
        <w:tc>
          <w:tcPr>
            <w:tcW w:w="1843" w:type="dxa"/>
          </w:tcPr>
          <w:p>
            <w:pPr>
              <w:pStyle w:val="yTableNAm"/>
            </w:pPr>
            <w:r>
              <w:t>$36.00</w:t>
            </w:r>
          </w:p>
        </w:tc>
      </w:tr>
      <w:tr>
        <w:trPr>
          <w:cantSplit/>
        </w:trPr>
        <w:tc>
          <w:tcPr>
            <w:tcW w:w="708" w:type="dxa"/>
          </w:tcPr>
          <w:p>
            <w:pPr>
              <w:pStyle w:val="yTableNAm"/>
            </w:pPr>
            <w:r>
              <w:t>7.</w:t>
            </w:r>
          </w:p>
        </w:tc>
        <w:tc>
          <w:tcPr>
            <w:tcW w:w="3969" w:type="dxa"/>
          </w:tcPr>
          <w:p>
            <w:pPr>
              <w:pStyle w:val="yTableNAm"/>
              <w:tabs>
                <w:tab w:val="left" w:leader="dot" w:pos="3686"/>
              </w:tabs>
            </w:pPr>
            <w:r>
              <w:t xml:space="preserve">Private candidate (late entry) </w:t>
            </w:r>
            <w:r>
              <w:tab/>
            </w:r>
          </w:p>
        </w:tc>
        <w:tc>
          <w:tcPr>
            <w:tcW w:w="1843" w:type="dxa"/>
          </w:tcPr>
          <w:p>
            <w:pPr>
              <w:pStyle w:val="yTableNAm"/>
            </w:pPr>
            <w:r>
              <w:t>$72.00</w:t>
            </w:r>
          </w:p>
        </w:tc>
      </w:tr>
      <w:tr>
        <w:trPr>
          <w:cantSplit/>
        </w:trPr>
        <w:tc>
          <w:tcPr>
            <w:tcW w:w="708" w:type="dxa"/>
          </w:tcPr>
          <w:p>
            <w:pPr>
              <w:pStyle w:val="yTableNAm"/>
            </w:pPr>
            <w:r>
              <w:t>8.</w:t>
            </w:r>
          </w:p>
        </w:tc>
        <w:tc>
          <w:tcPr>
            <w:tcW w:w="3969" w:type="dxa"/>
          </w:tcPr>
          <w:p>
            <w:pPr>
              <w:pStyle w:val="yTableNAm"/>
              <w:tabs>
                <w:tab w:val="left" w:leader="dot" w:pos="3686"/>
              </w:tabs>
            </w:pPr>
            <w:r>
              <w:t xml:space="preserve">Private candidate (taking examination without enrolment) </w:t>
            </w:r>
            <w:r>
              <w:tab/>
            </w:r>
          </w:p>
        </w:tc>
        <w:tc>
          <w:tcPr>
            <w:tcW w:w="1843" w:type="dxa"/>
          </w:tcPr>
          <w:p>
            <w:pPr>
              <w:pStyle w:val="yTableNAm"/>
            </w:pPr>
            <w:r>
              <w:br/>
              <w:t>$108.00</w:t>
            </w:r>
          </w:p>
        </w:tc>
      </w:tr>
      <w:tr>
        <w:trPr>
          <w:cantSplit/>
        </w:trPr>
        <w:tc>
          <w:tcPr>
            <w:tcW w:w="708" w:type="dxa"/>
          </w:tcPr>
          <w:p>
            <w:pPr>
              <w:pStyle w:val="yTableNAm"/>
            </w:pPr>
            <w:r>
              <w:t>9.</w:t>
            </w:r>
          </w:p>
        </w:tc>
        <w:tc>
          <w:tcPr>
            <w:tcW w:w="3969" w:type="dxa"/>
          </w:tcPr>
          <w:p>
            <w:pPr>
              <w:pStyle w:val="yTableNAm"/>
              <w:tabs>
                <w:tab w:val="left" w:leader="dot" w:pos="3686"/>
              </w:tabs>
            </w:pPr>
            <w:r>
              <w:t xml:space="preserve">School candidate (taking examination without enrolment) </w:t>
            </w:r>
            <w:r>
              <w:tab/>
            </w:r>
          </w:p>
        </w:tc>
        <w:tc>
          <w:tcPr>
            <w:tcW w:w="1843" w:type="dxa"/>
          </w:tcPr>
          <w:p>
            <w:pPr>
              <w:pStyle w:val="yTableNAm"/>
            </w:pPr>
            <w:r>
              <w:br/>
              <w:t>$108.00</w:t>
            </w:r>
          </w:p>
        </w:tc>
      </w:tr>
      <w:tr>
        <w:trPr>
          <w:cantSplit/>
        </w:trPr>
        <w:tc>
          <w:tcPr>
            <w:tcW w:w="708" w:type="dxa"/>
          </w:tcPr>
          <w:p>
            <w:pPr>
              <w:pStyle w:val="yTableNAm"/>
            </w:pPr>
            <w:r>
              <w:t>10.</w:t>
            </w:r>
          </w:p>
        </w:tc>
        <w:tc>
          <w:tcPr>
            <w:tcW w:w="3969" w:type="dxa"/>
          </w:tcPr>
          <w:p>
            <w:pPr>
              <w:pStyle w:val="yTableNAm"/>
              <w:tabs>
                <w:tab w:val="left" w:leader="dot" w:pos="3686"/>
              </w:tabs>
            </w:pPr>
            <w:r>
              <w:t xml:space="preserve">Candidate taking examination in </w:t>
            </w:r>
            <w:smartTag w:uri="urn:schemas-microsoft-com:office:smarttags" w:element="country-region">
              <w:smartTag w:uri="urn:schemas-microsoft-com:office:smarttags" w:element="place">
                <w:r>
                  <w:t>Australia</w:t>
                </w:r>
              </w:smartTag>
            </w:smartTag>
            <w:r>
              <w:t xml:space="preserve"> but outside the State </w:t>
            </w:r>
            <w:r>
              <w:tab/>
            </w:r>
          </w:p>
        </w:tc>
        <w:tc>
          <w:tcPr>
            <w:tcW w:w="1843" w:type="dxa"/>
          </w:tcPr>
          <w:p>
            <w:pPr>
              <w:pStyle w:val="yTableNAm"/>
            </w:pPr>
            <w:r>
              <w:br/>
              <w:t>$51.00</w:t>
            </w:r>
          </w:p>
        </w:tc>
      </w:tr>
      <w:tr>
        <w:trPr>
          <w:cantSplit/>
        </w:trPr>
        <w:tc>
          <w:tcPr>
            <w:tcW w:w="708" w:type="dxa"/>
          </w:tcPr>
          <w:p>
            <w:pPr>
              <w:pStyle w:val="yTableNAm"/>
            </w:pPr>
            <w:r>
              <w:t>11.</w:t>
            </w:r>
          </w:p>
        </w:tc>
        <w:tc>
          <w:tcPr>
            <w:tcW w:w="3969" w:type="dxa"/>
          </w:tcPr>
          <w:p>
            <w:pPr>
              <w:pStyle w:val="yTableNAm"/>
              <w:tabs>
                <w:tab w:val="left" w:leader="dot" w:pos="3686"/>
              </w:tabs>
            </w:pPr>
            <w:r>
              <w:t xml:space="preserve">Candidate taking examination outside </w:t>
            </w:r>
            <w:smartTag w:uri="urn:schemas-microsoft-com:office:smarttags" w:element="country-region">
              <w:smartTag w:uri="urn:schemas-microsoft-com:office:smarttags" w:element="place">
                <w:r>
                  <w:t>Australia</w:t>
                </w:r>
              </w:smartTag>
            </w:smartTag>
            <w:r>
              <w:t xml:space="preserve"> </w:t>
            </w:r>
            <w:r>
              <w:tab/>
            </w:r>
          </w:p>
        </w:tc>
        <w:tc>
          <w:tcPr>
            <w:tcW w:w="1843" w:type="dxa"/>
          </w:tcPr>
          <w:p>
            <w:pPr>
              <w:pStyle w:val="yTableNAm"/>
            </w:pPr>
            <w:r>
              <w:br/>
              <w:t>$206.00</w:t>
            </w:r>
          </w:p>
        </w:tc>
      </w:tr>
      <w:tr>
        <w:trPr>
          <w:cantSplit/>
        </w:trPr>
        <w:tc>
          <w:tcPr>
            <w:tcW w:w="708" w:type="dxa"/>
          </w:tcPr>
          <w:p>
            <w:pPr>
              <w:pStyle w:val="yTableNAm"/>
            </w:pPr>
            <w:r>
              <w:t>12.</w:t>
            </w:r>
          </w:p>
        </w:tc>
        <w:tc>
          <w:tcPr>
            <w:tcW w:w="3969" w:type="dxa"/>
          </w:tcPr>
          <w:p>
            <w:pPr>
              <w:pStyle w:val="yTableNAm"/>
              <w:tabs>
                <w:tab w:val="left" w:leader="dot" w:pos="3686"/>
              </w:tabs>
            </w:pPr>
            <w:r>
              <w:t xml:space="preserve">Check of results </w:t>
            </w:r>
            <w:r>
              <w:tab/>
            </w:r>
          </w:p>
        </w:tc>
        <w:tc>
          <w:tcPr>
            <w:tcW w:w="1843" w:type="dxa"/>
          </w:tcPr>
          <w:p>
            <w:pPr>
              <w:pStyle w:val="yTableNAm"/>
            </w:pPr>
            <w:r>
              <w:t>$30.00</w:t>
            </w:r>
            <w:r>
              <w:br/>
              <w:t>(for each course)</w:t>
            </w:r>
          </w:p>
        </w:tc>
      </w:tr>
      <w:tr>
        <w:trPr>
          <w:cantSplit/>
        </w:trPr>
        <w:tc>
          <w:tcPr>
            <w:tcW w:w="708" w:type="dxa"/>
          </w:tcPr>
          <w:p>
            <w:pPr>
              <w:pStyle w:val="yTableNAm"/>
            </w:pPr>
            <w:r>
              <w:t>13.</w:t>
            </w:r>
          </w:p>
        </w:tc>
        <w:tc>
          <w:tcPr>
            <w:tcW w:w="3969" w:type="dxa"/>
          </w:tcPr>
          <w:p>
            <w:pPr>
              <w:pStyle w:val="yTableNAm"/>
              <w:tabs>
                <w:tab w:val="left" w:leader="dot" w:pos="3686"/>
              </w:tabs>
            </w:pPr>
            <w:r>
              <w:t xml:space="preserve">Statement of raw marks </w:t>
            </w:r>
            <w:r>
              <w:tab/>
            </w:r>
          </w:p>
        </w:tc>
        <w:tc>
          <w:tcPr>
            <w:tcW w:w="1843" w:type="dxa"/>
          </w:tcPr>
          <w:p>
            <w:pPr>
              <w:pStyle w:val="yTableNAm"/>
            </w:pPr>
            <w:r>
              <w:t>$9.00</w:t>
            </w:r>
            <w:r>
              <w:br/>
              <w:t>(for each course)</w:t>
            </w:r>
          </w:p>
        </w:tc>
      </w:tr>
      <w:tr>
        <w:trPr>
          <w:cantSplit/>
        </w:trPr>
        <w:tc>
          <w:tcPr>
            <w:tcW w:w="708" w:type="dxa"/>
          </w:tcPr>
          <w:p>
            <w:pPr>
              <w:pStyle w:val="yTableNAm"/>
            </w:pPr>
            <w:r>
              <w:t>14.</w:t>
            </w:r>
          </w:p>
        </w:tc>
        <w:tc>
          <w:tcPr>
            <w:tcW w:w="3969" w:type="dxa"/>
          </w:tcPr>
          <w:p>
            <w:pPr>
              <w:pStyle w:val="yTableNAm"/>
              <w:tabs>
                <w:tab w:val="left" w:leader="dot" w:pos="3686"/>
              </w:tabs>
            </w:pPr>
            <w:r>
              <w:t xml:space="preserve">Copy of examination script (obtainable only during the period of 21 days after publication of the examination results) </w:t>
            </w:r>
            <w:r>
              <w:tab/>
            </w:r>
          </w:p>
        </w:tc>
        <w:tc>
          <w:tcPr>
            <w:tcW w:w="1843" w:type="dxa"/>
          </w:tcPr>
          <w:p>
            <w:pPr>
              <w:pStyle w:val="yTableNAm"/>
            </w:pPr>
            <w:r>
              <w:br/>
            </w:r>
            <w:r>
              <w:br/>
              <w:t>$21.00</w:t>
            </w:r>
            <w:r>
              <w:br/>
              <w:t>(for each script)</w:t>
            </w:r>
          </w:p>
        </w:tc>
      </w:tr>
    </w:tbl>
    <w:p>
      <w:pPr>
        <w:pStyle w:val="yFootnotesection"/>
      </w:pPr>
      <w:r>
        <w:tab/>
        <w:t>[Schedule 1 inserted in Gazette 7 Dec 2012 p. 5992-3.]</w:t>
      </w:r>
    </w:p>
    <w:p>
      <w:pPr>
        <w:pStyle w:val="CentredBaseLine"/>
        <w:jc w:val="center"/>
        <w:rPr>
          <w:del w:id="177" w:author="Master Repository Process" w:date="2021-09-12T16:07:00Z"/>
        </w:rPr>
      </w:pPr>
      <w:bookmarkStart w:id="178" w:name="_Toc113695922"/>
      <w:bookmarkStart w:id="179" w:name="_Toc123639188"/>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del w:id="180" w:author="Master Repository Process" w:date="2021-09-12T16:0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81" w:author="Master Repository Process" w:date="2021-09-12T16:07:00Z"/>
        </w:rPr>
      </w:pPr>
      <w:ins w:id="182" w:author="Master Repository Process" w:date="2021-09-12T16:07: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83" w:name="_Toc148929587"/>
      <w:bookmarkStart w:id="184" w:name="_Toc148936996"/>
      <w:bookmarkStart w:id="185" w:name="_Toc224034963"/>
      <w:bookmarkStart w:id="186" w:name="_Toc332628870"/>
      <w:bookmarkStart w:id="187" w:name="_Toc332630677"/>
      <w:bookmarkStart w:id="188" w:name="_Toc333405017"/>
      <w:bookmarkStart w:id="189" w:name="_Toc333405800"/>
      <w:bookmarkStart w:id="190" w:name="_Toc336589542"/>
      <w:bookmarkStart w:id="191" w:name="_Toc336589561"/>
      <w:bookmarkStart w:id="192" w:name="_Toc338323258"/>
      <w:bookmarkStart w:id="193" w:name="_Toc338323274"/>
      <w:bookmarkStart w:id="194" w:name="_Toc338332681"/>
      <w:bookmarkStart w:id="195" w:name="_Toc338332716"/>
      <w:bookmarkStart w:id="196" w:name="_Toc338399374"/>
      <w:bookmarkStart w:id="197" w:name="_Toc338667954"/>
      <w:bookmarkStart w:id="198" w:name="_Toc342574086"/>
      <w:bookmarkStart w:id="199" w:name="_Toc342575359"/>
      <w:bookmarkStart w:id="200" w:name="_Toc342575394"/>
      <w:bookmarkStart w:id="201" w:name="_Toc346013417"/>
      <w:bookmarkStart w:id="202" w:name="_Toc346017492"/>
      <w:bookmarkStart w:id="203" w:name="_Toc346017710"/>
      <w:bookmarkStart w:id="204" w:name="_Toc347393907"/>
      <w:bookmarkStart w:id="205" w:name="_Toc350257893"/>
      <w:bookmarkStart w:id="206" w:name="_Toc350262456"/>
      <w:bookmarkStart w:id="207" w:name="_Toc350497705"/>
      <w:r>
        <w:t>Notes</w:t>
      </w:r>
      <w:bookmarkEnd w:id="178"/>
      <w:bookmarkEnd w:id="179"/>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w:t>
      </w:r>
      <w:ins w:id="208" w:author="Master Repository Process" w:date="2021-09-12T16:07:00Z">
        <w:r>
          <w:rPr>
            <w:snapToGrid w:val="0"/>
          </w:rPr>
          <w:t xml:space="preserve">reprint </w:t>
        </w:r>
      </w:ins>
      <w:r>
        <w:rPr>
          <w:snapToGrid w:val="0"/>
        </w:rPr>
        <w:t>is a compilation</w:t>
      </w:r>
      <w:ins w:id="209" w:author="Master Repository Process" w:date="2021-09-12T16:07:00Z">
        <w:r>
          <w:rPr>
            <w:snapToGrid w:val="0"/>
          </w:rPr>
          <w:t xml:space="preserve"> as at 1 March 2013</w:t>
        </w:r>
      </w:ins>
      <w:r>
        <w:rPr>
          <w:snapToGrid w:val="0"/>
        </w:rPr>
        <w:t xml:space="preserve"> of the </w:t>
      </w:r>
      <w:r>
        <w:rPr>
          <w:i/>
          <w:noProof/>
          <w:snapToGrid w:val="0"/>
        </w:rPr>
        <w:t>School Curriculum and Standards Authority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10" w:name="_Toc350497706"/>
      <w:bookmarkStart w:id="211" w:name="_Toc342575395"/>
      <w:r>
        <w:t>Compilation table</w:t>
      </w:r>
      <w:bookmarkEnd w:id="210"/>
      <w:bookmarkEnd w:id="2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Curriculum Council Regulations 2005</w:t>
            </w:r>
            <w:r>
              <w:rPr>
                <w:sz w:val="19"/>
              </w:rPr>
              <w:t> </w:t>
            </w:r>
            <w:r>
              <w:rPr>
                <w:sz w:val="19"/>
                <w:vertAlign w:val="superscript"/>
              </w:rPr>
              <w:t>3</w:t>
            </w:r>
          </w:p>
        </w:tc>
        <w:tc>
          <w:tcPr>
            <w:tcW w:w="1276" w:type="dxa"/>
            <w:tcBorders>
              <w:top w:val="single" w:sz="8" w:space="0" w:color="auto"/>
            </w:tcBorders>
          </w:tcPr>
          <w:p>
            <w:pPr>
              <w:pStyle w:val="nTable"/>
              <w:spacing w:after="40"/>
              <w:rPr>
                <w:sz w:val="19"/>
              </w:rPr>
            </w:pPr>
            <w:r>
              <w:rPr>
                <w:sz w:val="19"/>
              </w:rPr>
              <w:t>23 Dec 2005 p. 6250-3</w:t>
            </w:r>
          </w:p>
        </w:tc>
        <w:tc>
          <w:tcPr>
            <w:tcW w:w="2693" w:type="dxa"/>
            <w:tcBorders>
              <w:top w:val="single" w:sz="8" w:space="0" w:color="auto"/>
            </w:tcBorders>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Curriculum Council Amendment Regulations 2006</w:t>
            </w:r>
          </w:p>
        </w:tc>
        <w:tc>
          <w:tcPr>
            <w:tcW w:w="1276" w:type="dxa"/>
          </w:tcPr>
          <w:p>
            <w:pPr>
              <w:pStyle w:val="nTable"/>
              <w:spacing w:after="40"/>
              <w:rPr>
                <w:sz w:val="19"/>
              </w:rPr>
            </w:pPr>
            <w:r>
              <w:rPr>
                <w:sz w:val="19"/>
              </w:rPr>
              <w:t>18 Oct 2006 p. 4453-6</w:t>
            </w:r>
          </w:p>
        </w:tc>
        <w:tc>
          <w:tcPr>
            <w:tcW w:w="2693" w:type="dxa"/>
          </w:tcPr>
          <w:p>
            <w:pPr>
              <w:pStyle w:val="nTable"/>
              <w:spacing w:after="40"/>
              <w:rPr>
                <w:sz w:val="19"/>
              </w:rPr>
            </w:pPr>
            <w:r>
              <w:rPr>
                <w:sz w:val="19"/>
              </w:rPr>
              <w:t>18 Oct 2006</w:t>
            </w:r>
          </w:p>
        </w:tc>
      </w:tr>
      <w:tr>
        <w:tc>
          <w:tcPr>
            <w:tcW w:w="3118" w:type="dxa"/>
          </w:tcPr>
          <w:p>
            <w:pPr>
              <w:pStyle w:val="nTable"/>
              <w:spacing w:after="40"/>
              <w:rPr>
                <w:i/>
                <w:sz w:val="19"/>
              </w:rPr>
            </w:pPr>
            <w:r>
              <w:rPr>
                <w:i/>
                <w:sz w:val="19"/>
              </w:rPr>
              <w:t>Curriculum Council Amendment Regulations 2009</w:t>
            </w:r>
          </w:p>
        </w:tc>
        <w:tc>
          <w:tcPr>
            <w:tcW w:w="1276" w:type="dxa"/>
          </w:tcPr>
          <w:p>
            <w:pPr>
              <w:pStyle w:val="nTable"/>
              <w:spacing w:after="40"/>
              <w:rPr>
                <w:sz w:val="19"/>
              </w:rPr>
            </w:pPr>
            <w:r>
              <w:rPr>
                <w:sz w:val="19"/>
              </w:rPr>
              <w:t>6 Mar 2009 p. 683-4</w:t>
            </w:r>
          </w:p>
        </w:tc>
        <w:tc>
          <w:tcPr>
            <w:tcW w:w="2693" w:type="dxa"/>
          </w:tcPr>
          <w:p>
            <w:pPr>
              <w:pStyle w:val="nTable"/>
              <w:spacing w:after="40"/>
              <w:rPr>
                <w:sz w:val="19"/>
              </w:rPr>
            </w:pPr>
            <w:r>
              <w:rPr>
                <w:sz w:val="19"/>
              </w:rPr>
              <w:t>r. 1 and 2: 6 Mar 2009 (see r. 2(a));</w:t>
            </w:r>
            <w:r>
              <w:rPr>
                <w:sz w:val="19"/>
              </w:rPr>
              <w:br/>
              <w:t>Regulations other than r. 1 and 2: 7 Mar 2009 (see r. 2(b))</w:t>
            </w:r>
          </w:p>
        </w:tc>
      </w:tr>
      <w:tr>
        <w:tc>
          <w:tcPr>
            <w:tcW w:w="3118" w:type="dxa"/>
            <w:shd w:val="clear" w:color="auto" w:fill="auto"/>
          </w:tcPr>
          <w:p>
            <w:pPr>
              <w:pStyle w:val="nTable"/>
              <w:spacing w:after="40"/>
              <w:rPr>
                <w:i/>
                <w:sz w:val="19"/>
              </w:rPr>
            </w:pPr>
            <w:r>
              <w:rPr>
                <w:i/>
                <w:sz w:val="19"/>
              </w:rPr>
              <w:t>Curriculum Council Amendment Regulations 2012</w:t>
            </w:r>
          </w:p>
        </w:tc>
        <w:tc>
          <w:tcPr>
            <w:tcW w:w="1276" w:type="dxa"/>
            <w:shd w:val="clear" w:color="auto" w:fill="auto"/>
          </w:tcPr>
          <w:p>
            <w:pPr>
              <w:pStyle w:val="nTable"/>
              <w:spacing w:after="40"/>
              <w:rPr>
                <w:sz w:val="19"/>
              </w:rPr>
            </w:pPr>
            <w:r>
              <w:rPr>
                <w:sz w:val="19"/>
              </w:rPr>
              <w:t>14 Aug 2012 p. 3832</w:t>
            </w:r>
            <w:r>
              <w:rPr>
                <w:sz w:val="19"/>
              </w:rPr>
              <w:noBreakHyphen/>
              <w:t>3</w:t>
            </w:r>
          </w:p>
        </w:tc>
        <w:tc>
          <w:tcPr>
            <w:tcW w:w="2693" w:type="dxa"/>
            <w:shd w:val="clear" w:color="auto" w:fill="auto"/>
          </w:tcPr>
          <w:p>
            <w:pPr>
              <w:pStyle w:val="nTable"/>
              <w:spacing w:after="40"/>
              <w:rPr>
                <w:sz w:val="19"/>
              </w:rPr>
            </w:pPr>
            <w:r>
              <w:rPr>
                <w:sz w:val="19"/>
              </w:rPr>
              <w:t>r. 1 and 2: 14 Aug 2012 (see r. 2(a));</w:t>
            </w:r>
            <w:r>
              <w:rPr>
                <w:sz w:val="19"/>
              </w:rPr>
              <w:br/>
              <w:t>Regulations other than r. 1 and 2: 15 Aug 2012 (see r. 2(b))</w:t>
            </w:r>
          </w:p>
        </w:tc>
      </w:tr>
      <w:tr>
        <w:tc>
          <w:tcPr>
            <w:tcW w:w="7087" w:type="dxa"/>
            <w:gridSpan w:val="3"/>
            <w:shd w:val="clear" w:color="auto" w:fill="auto"/>
          </w:tcPr>
          <w:p>
            <w:pPr>
              <w:pStyle w:val="nTable"/>
              <w:spacing w:after="40"/>
              <w:rPr>
                <w:sz w:val="19"/>
                <w:szCs w:val="19"/>
              </w:rPr>
            </w:pPr>
            <w:r>
              <w:rPr>
                <w:b/>
                <w:sz w:val="19"/>
                <w:szCs w:val="19"/>
              </w:rPr>
              <w:t xml:space="preserve">Reprint 1: The </w:t>
            </w:r>
            <w:r>
              <w:rPr>
                <w:b/>
                <w:i/>
                <w:sz w:val="19"/>
                <w:szCs w:val="19"/>
              </w:rPr>
              <w:t>School Curriculum and Standards Authority Regulations 2005</w:t>
            </w:r>
            <w:r>
              <w:rPr>
                <w:b/>
                <w:sz w:val="19"/>
                <w:szCs w:val="19"/>
              </w:rPr>
              <w:t xml:space="preserve"> as at 19 Oct 2012</w:t>
            </w:r>
            <w:r>
              <w:rPr>
                <w:sz w:val="19"/>
                <w:szCs w:val="19"/>
              </w:rPr>
              <w:t xml:space="preserve"> (includes amendments listed above)</w:t>
            </w:r>
          </w:p>
        </w:tc>
      </w:tr>
      <w:tr>
        <w:tc>
          <w:tcPr>
            <w:tcW w:w="3118" w:type="dxa"/>
            <w:shd w:val="clear" w:color="auto" w:fill="auto"/>
          </w:tcPr>
          <w:p>
            <w:pPr>
              <w:pStyle w:val="nTable"/>
              <w:spacing w:after="40"/>
              <w:rPr>
                <w:i/>
                <w:sz w:val="19"/>
              </w:rPr>
            </w:pPr>
            <w:r>
              <w:rPr>
                <w:i/>
                <w:sz w:val="19"/>
              </w:rPr>
              <w:t>School Curriculum and Standards Authority Amendment Regulations 2012</w:t>
            </w:r>
          </w:p>
        </w:tc>
        <w:tc>
          <w:tcPr>
            <w:tcW w:w="1276" w:type="dxa"/>
            <w:shd w:val="clear" w:color="auto" w:fill="auto"/>
          </w:tcPr>
          <w:p>
            <w:pPr>
              <w:pStyle w:val="nTable"/>
              <w:spacing w:after="40"/>
              <w:rPr>
                <w:sz w:val="19"/>
              </w:rPr>
            </w:pPr>
            <w:r>
              <w:rPr>
                <w:sz w:val="19"/>
              </w:rPr>
              <w:t>7 Dec 2012 p. 5983-93</w:t>
            </w:r>
          </w:p>
        </w:tc>
        <w:tc>
          <w:tcPr>
            <w:tcW w:w="2693" w:type="dxa"/>
            <w:shd w:val="clear" w:color="auto" w:fill="auto"/>
          </w:tcPr>
          <w:p>
            <w:pPr>
              <w:pStyle w:val="nTable"/>
              <w:spacing w:after="40"/>
              <w:rPr>
                <w:sz w:val="19"/>
              </w:rPr>
            </w:pPr>
            <w:r>
              <w:rPr>
                <w:sz w:val="19"/>
              </w:rPr>
              <w:t>r. 1 and 2: 7 Dec 2012 (see r. 2(a));</w:t>
            </w:r>
            <w:r>
              <w:rPr>
                <w:sz w:val="19"/>
              </w:rPr>
              <w:br/>
              <w:t>Regulations other than r. 1 and 2: 8 Dec 2012 (see r. 2(b))</w:t>
            </w:r>
          </w:p>
        </w:tc>
      </w:tr>
      <w:tr>
        <w:trPr>
          <w:ins w:id="212" w:author="Master Repository Process" w:date="2021-09-12T16:07:00Z"/>
        </w:trPr>
        <w:tc>
          <w:tcPr>
            <w:tcW w:w="7087" w:type="dxa"/>
            <w:gridSpan w:val="3"/>
            <w:tcBorders>
              <w:bottom w:val="single" w:sz="8" w:space="0" w:color="auto"/>
            </w:tcBorders>
            <w:shd w:val="clear" w:color="auto" w:fill="auto"/>
          </w:tcPr>
          <w:p>
            <w:pPr>
              <w:pStyle w:val="nTable"/>
              <w:spacing w:after="40"/>
              <w:rPr>
                <w:ins w:id="213" w:author="Master Repository Process" w:date="2021-09-12T16:07:00Z"/>
                <w:sz w:val="19"/>
              </w:rPr>
            </w:pPr>
            <w:ins w:id="214" w:author="Master Repository Process" w:date="2021-09-12T16:07:00Z">
              <w:r>
                <w:rPr>
                  <w:b/>
                  <w:sz w:val="19"/>
                </w:rPr>
                <w:t xml:space="preserve">Reprint 2: The </w:t>
              </w:r>
              <w:r>
                <w:rPr>
                  <w:b/>
                  <w:i/>
                  <w:sz w:val="19"/>
                </w:rPr>
                <w:t xml:space="preserve">School Curriculum and Standards Authority Regulations 2005 </w:t>
              </w:r>
              <w:r>
                <w:rPr>
                  <w:b/>
                  <w:sz w:val="19"/>
                </w:rPr>
                <w:t>as at 1 Mar 2013</w:t>
              </w:r>
              <w:r>
                <w:rPr>
                  <w:sz w:val="19"/>
                </w:rPr>
                <w:t xml:space="preserve"> (includes amendments listed above)</w:t>
              </w:r>
            </w:ins>
          </w:p>
        </w:tc>
      </w:tr>
    </w:tbl>
    <w:p>
      <w:pPr>
        <w:pStyle w:val="nSubsection"/>
        <w:spacing w:before="160"/>
      </w:pPr>
      <w:r>
        <w:rPr>
          <w:vertAlign w:val="superscript"/>
        </w:rPr>
        <w:t>2</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Subsection"/>
      </w:pPr>
      <w:r>
        <w:rPr>
          <w:vertAlign w:val="superscript"/>
        </w:rPr>
        <w:t>3</w:t>
      </w:r>
      <w:r>
        <w:tab/>
        <w:t xml:space="preserve">Now known as the </w:t>
      </w:r>
      <w:r>
        <w:rPr>
          <w:i/>
        </w:rPr>
        <w:t>School Curriculum and Standards Authority Regulations 2005</w:t>
      </w:r>
      <w:r>
        <w:t>; citation changed (see note under r. 1).</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rPr>
          <w:ins w:id="215" w:author="Master Repository Process" w:date="2021-09-12T16:07:00Z"/>
        </w:rPr>
      </w:pPr>
    </w:p>
    <w:p>
      <w:pPr>
        <w:rPr>
          <w:ins w:id="216" w:author="Master Repository Process" w:date="2021-09-12T16:07:00Z"/>
        </w:rPr>
      </w:pPr>
    </w:p>
    <w:p>
      <w:pPr>
        <w:rPr>
          <w:ins w:id="217" w:author="Master Repository Process" w:date="2021-09-12T16:07:00Z"/>
        </w:rPr>
      </w:pPr>
    </w:p>
    <w:p>
      <w:pPr>
        <w:rPr>
          <w:ins w:id="218" w:author="Master Repository Process" w:date="2021-09-12T16:07:00Z"/>
        </w:rPr>
      </w:pPr>
    </w:p>
    <w:p>
      <w:pPr>
        <w:rPr>
          <w:ins w:id="219" w:author="Master Repository Process" w:date="2021-09-12T16:07:00Z"/>
        </w:rPr>
      </w:pPr>
    </w:p>
    <w:p>
      <w:pPr>
        <w:rPr>
          <w:ins w:id="220" w:author="Master Repository Process" w:date="2021-09-12T16:07:00Z"/>
        </w:rPr>
      </w:pPr>
    </w:p>
    <w:p>
      <w:pPr>
        <w:rPr>
          <w:ins w:id="221" w:author="Master Repository Process" w:date="2021-09-12T16:07:00Z"/>
        </w:rPr>
      </w:pPr>
    </w:p>
    <w:p>
      <w:pPr>
        <w:rPr>
          <w:ins w:id="222" w:author="Master Repository Process" w:date="2021-09-12T16:07:00Z"/>
        </w:rPr>
      </w:pPr>
    </w:p>
    <w:p>
      <w:pPr>
        <w:rPr>
          <w:ins w:id="223" w:author="Master Repository Process" w:date="2021-09-12T16:07:00Z"/>
        </w:rPr>
      </w:pPr>
    </w:p>
    <w:p>
      <w:pPr>
        <w:rPr>
          <w:ins w:id="224" w:author="Master Repository Process" w:date="2021-09-12T16:07:00Z"/>
        </w:rPr>
      </w:pPr>
    </w:p>
    <w:p>
      <w:pPr>
        <w:rPr>
          <w:ins w:id="225" w:author="Master Repository Process" w:date="2021-09-12T16:07:00Z"/>
        </w:rPr>
      </w:pPr>
    </w:p>
    <w:p>
      <w:pPr>
        <w:rPr>
          <w:ins w:id="226" w:author="Master Repository Process" w:date="2021-09-12T16:07:00Z"/>
        </w:rPr>
      </w:pPr>
    </w:p>
    <w:p>
      <w:pPr>
        <w:rPr>
          <w:ins w:id="227" w:author="Master Repository Process" w:date="2021-09-12T16:07:00Z"/>
        </w:rPr>
      </w:pPr>
    </w:p>
    <w:p>
      <w:pPr>
        <w:rPr>
          <w:ins w:id="228" w:author="Master Repository Process" w:date="2021-09-12T16:07:00Z"/>
        </w:rPr>
      </w:pPr>
    </w:p>
    <w:p>
      <w:pPr>
        <w:rPr>
          <w:ins w:id="229" w:author="Master Repository Process" w:date="2021-09-12T16:07:00Z"/>
        </w:rPr>
      </w:pPr>
    </w:p>
    <w:p>
      <w:pPr>
        <w:rPr>
          <w:ins w:id="230" w:author="Master Repository Process" w:date="2021-09-12T16:07:00Z"/>
        </w:r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Curriculum and Standards Authority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B669F4C-26FA-4382-8D8D-6FDEF5D9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4192</Words>
  <Characters>20628</Characters>
  <Application>Microsoft Office Word</Application>
  <DocSecurity>0</DocSecurity>
  <Lines>625</Lines>
  <Paragraphs>359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01-b0-01 - 02-a0-00</dc:title>
  <dc:subject/>
  <dc:creator/>
  <cp:keywords/>
  <dc:description/>
  <cp:lastModifiedBy>Master Repository Process</cp:lastModifiedBy>
  <cp:revision>2</cp:revision>
  <cp:lastPrinted>2013-03-13T06:31:00Z</cp:lastPrinted>
  <dcterms:created xsi:type="dcterms:W3CDTF">2021-09-12T08:07:00Z</dcterms:created>
  <dcterms:modified xsi:type="dcterms:W3CDTF">2021-09-12T08:08:00Z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20130301</vt:lpwstr>
  </property>
  <property fmtid="{D5CDD505-2E9C-101B-9397-08002B2CF9AE}" pid="4" name="OwlsUID">
    <vt:i4>38332</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2013-02-28T16:00:00Z</vt:filetime>
  </property>
  <property fmtid="{D5CDD505-2E9C-101B-9397-08002B2CF9AE}" pid="8" name="FromSuffix">
    <vt:lpwstr>01-b0-01</vt:lpwstr>
  </property>
  <property fmtid="{D5CDD505-2E9C-101B-9397-08002B2CF9AE}" pid="9" name="FromAsAtDate">
    <vt:lpwstr>08 Dec 2012</vt:lpwstr>
  </property>
  <property fmtid="{D5CDD505-2E9C-101B-9397-08002B2CF9AE}" pid="10" name="ToSuffix">
    <vt:lpwstr>02-a0-00</vt:lpwstr>
  </property>
  <property fmtid="{D5CDD505-2E9C-101B-9397-08002B2CF9AE}" pid="11" name="ToAsAtDate">
    <vt:lpwstr>01 Mar 2013</vt:lpwstr>
  </property>
</Properties>
</file>