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(Poultry Manure)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2011</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10 May 2013</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4:39:00Z"/>
        </w:trPr>
        <w:tc>
          <w:tcPr>
            <w:tcW w:w="2434" w:type="dxa"/>
            <w:vMerge w:val="restart"/>
          </w:tcPr>
          <w:p>
            <w:pPr>
              <w:rPr>
                <w:ins w:id="1" w:author="Master Repository Process" w:date="2021-08-28T14:39:00Z"/>
              </w:rPr>
            </w:pPr>
          </w:p>
        </w:tc>
        <w:tc>
          <w:tcPr>
            <w:tcW w:w="2434" w:type="dxa"/>
            <w:vMerge w:val="restart"/>
          </w:tcPr>
          <w:p>
            <w:pPr>
              <w:jc w:val="center"/>
              <w:rPr>
                <w:ins w:id="2" w:author="Master Repository Process" w:date="2021-08-28T14:39:00Z"/>
              </w:rPr>
            </w:pPr>
            <w:ins w:id="3" w:author="Master Repository Process" w:date="2021-08-28T14:39: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4:39:00Z"/>
              </w:rPr>
            </w:pPr>
            <w:ins w:id="5" w:author="Master Repository Process" w:date="2021-08-28T14:39: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4:39:00Z"/>
        </w:trPr>
        <w:tc>
          <w:tcPr>
            <w:tcW w:w="2434" w:type="dxa"/>
            <w:vMerge/>
          </w:tcPr>
          <w:p>
            <w:pPr>
              <w:rPr>
                <w:ins w:id="7" w:author="Master Repository Process" w:date="2021-08-28T14:39:00Z"/>
              </w:rPr>
            </w:pPr>
          </w:p>
        </w:tc>
        <w:tc>
          <w:tcPr>
            <w:tcW w:w="2434" w:type="dxa"/>
            <w:vMerge/>
          </w:tcPr>
          <w:p>
            <w:pPr>
              <w:jc w:val="center"/>
              <w:rPr>
                <w:ins w:id="8" w:author="Master Repository Process" w:date="2021-08-28T14:39:00Z"/>
              </w:rPr>
            </w:pPr>
          </w:p>
        </w:tc>
        <w:tc>
          <w:tcPr>
            <w:tcW w:w="2434" w:type="dxa"/>
          </w:tcPr>
          <w:p>
            <w:pPr>
              <w:keepNext/>
              <w:rPr>
                <w:ins w:id="9" w:author="Master Repository Process" w:date="2021-08-28T14:39:00Z"/>
                <w:b/>
                <w:sz w:val="22"/>
              </w:rPr>
            </w:pPr>
            <w:ins w:id="10" w:author="Master Repository Process" w:date="2021-08-28T14:39:00Z">
              <w:r>
                <w:rPr>
                  <w:b/>
                  <w:sz w:val="22"/>
                </w:rPr>
                <w:t>at 10</w:t>
              </w:r>
              <w:r>
                <w:rPr>
                  <w:b/>
                  <w:snapToGrid w:val="0"/>
                  <w:sz w:val="22"/>
                </w:rPr>
                <w:t xml:space="preserve"> May 2013</w:t>
              </w:r>
            </w:ins>
          </w:p>
        </w:tc>
      </w:tr>
    </w:tbl>
    <w:p>
      <w:pPr>
        <w:pStyle w:val="WA"/>
        <w:spacing w:before="120"/>
      </w:pPr>
      <w:r>
        <w:t>Western Australia</w:t>
      </w:r>
    </w:p>
    <w:p>
      <w:pPr>
        <w:pStyle w:val="PrincipalActReg"/>
      </w:pPr>
      <w:r>
        <w:t>Health Act 1911</w:t>
      </w:r>
    </w:p>
    <w:p>
      <w:pPr>
        <w:pStyle w:val="NameofActReg"/>
      </w:pPr>
      <w:r>
        <w:t>Health (Poultry Manure) Regulations 2001</w:t>
      </w:r>
    </w:p>
    <w:p>
      <w:pPr>
        <w:pStyle w:val="Heading5"/>
      </w:pPr>
      <w:bookmarkStart w:id="11" w:name="_Toc355700370"/>
      <w:bookmarkStart w:id="12" w:name="_Toc423332722"/>
      <w:bookmarkStart w:id="13" w:name="_Toc425219441"/>
      <w:bookmarkStart w:id="14" w:name="_Toc426249308"/>
      <w:bookmarkStart w:id="15" w:name="_Toc449924704"/>
      <w:bookmarkStart w:id="16" w:name="_Toc449947722"/>
      <w:bookmarkStart w:id="17" w:name="_Toc454185713"/>
      <w:bookmarkStart w:id="18" w:name="_Toc515958686"/>
      <w:bookmarkStart w:id="19" w:name="_Toc531755013"/>
      <w:bookmarkStart w:id="20" w:name="_Toc302485545"/>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ins w:id="22" w:author="Master Repository Process" w:date="2021-08-28T14:39:00Z">
        <w:r>
          <w:rPr>
            <w:vertAlign w:val="superscript"/>
          </w:rPr>
          <w:t> 1</w:t>
        </w:r>
      </w:ins>
      <w:r>
        <w:t>.</w:t>
      </w:r>
    </w:p>
    <w:p>
      <w:pPr>
        <w:pStyle w:val="Heading5"/>
        <w:rPr>
          <w:spacing w:val="-2"/>
        </w:rPr>
      </w:pPr>
      <w:bookmarkStart w:id="23" w:name="_Toc355700371"/>
      <w:bookmarkStart w:id="24" w:name="_Toc423332723"/>
      <w:bookmarkStart w:id="25" w:name="_Toc425219442"/>
      <w:bookmarkStart w:id="26" w:name="_Toc426249309"/>
      <w:bookmarkStart w:id="27" w:name="_Toc449924705"/>
      <w:bookmarkStart w:id="28" w:name="_Toc449947723"/>
      <w:bookmarkStart w:id="29" w:name="_Toc454185714"/>
      <w:bookmarkStart w:id="30" w:name="_Toc515958687"/>
      <w:bookmarkStart w:id="31" w:name="_Toc531755014"/>
      <w:bookmarkStart w:id="32" w:name="_Toc302485546"/>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33" w:name="_Toc423332724"/>
      <w:bookmarkStart w:id="34" w:name="_Toc425219443"/>
      <w:bookmarkStart w:id="35" w:name="_Toc426249310"/>
      <w:bookmarkStart w:id="36" w:name="_Toc449924706"/>
      <w:bookmarkStart w:id="37" w:name="_Toc449947724"/>
      <w:bookmarkStart w:id="38" w:name="_Toc454185715"/>
      <w:bookmarkStart w:id="39" w:name="_Toc515958688"/>
      <w:bookmarkStart w:id="40" w:name="_Toc531755015"/>
      <w:bookmarkStart w:id="41" w:name="_Toc302485547"/>
      <w:bookmarkStart w:id="42" w:name="_Toc355700372"/>
      <w:r>
        <w:rPr>
          <w:rStyle w:val="CharSectno"/>
        </w:rPr>
        <w:t>3</w:t>
      </w:r>
      <w:r>
        <w:rPr>
          <w:snapToGrid w:val="0"/>
        </w:rPr>
        <w:t>.</w:t>
      </w:r>
      <w:r>
        <w:rPr>
          <w:snapToGrid w:val="0"/>
        </w:rPr>
        <w:tab/>
      </w:r>
      <w:del w:id="43" w:author="Master Repository Process" w:date="2021-08-28T14:39:00Z">
        <w:r>
          <w:rPr>
            <w:snapToGrid w:val="0"/>
          </w:rPr>
          <w:delText>Interpretation</w:delText>
        </w:r>
      </w:del>
      <w:bookmarkEnd w:id="33"/>
      <w:bookmarkEnd w:id="34"/>
      <w:bookmarkEnd w:id="35"/>
      <w:bookmarkEnd w:id="36"/>
      <w:bookmarkEnd w:id="37"/>
      <w:bookmarkEnd w:id="38"/>
      <w:bookmarkEnd w:id="39"/>
      <w:bookmarkEnd w:id="40"/>
      <w:bookmarkEnd w:id="41"/>
      <w:ins w:id="44" w:author="Master Repository Process" w:date="2021-08-28T14:39:00Z">
        <w:r>
          <w:rPr>
            <w:snapToGrid w:val="0"/>
          </w:rPr>
          <w:t>Terms used</w:t>
        </w:r>
      </w:ins>
      <w:bookmarkEnd w:id="42"/>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45" w:name="_Hlt520511003"/>
      <w:bookmarkStart w:id="46" w:name="_Toc355700373"/>
      <w:bookmarkStart w:id="47" w:name="_Toc531755016"/>
      <w:bookmarkStart w:id="48" w:name="_Toc302485548"/>
      <w:bookmarkEnd w:id="45"/>
      <w:r>
        <w:rPr>
          <w:rStyle w:val="CharSectno"/>
        </w:rPr>
        <w:t>4</w:t>
      </w:r>
      <w:r>
        <w:t>.</w:t>
      </w:r>
      <w:r>
        <w:tab/>
        <w:t>Regulations to operate as local laws</w:t>
      </w:r>
      <w:bookmarkEnd w:id="46"/>
      <w:bookmarkEnd w:id="47"/>
      <w:bookmarkEnd w:id="48"/>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509"/>
        <w:gridCol w:w="3360"/>
      </w:tblGrid>
      <w:tr>
        <w:tc>
          <w:tcPr>
            <w:tcW w:w="2509" w:type="dxa"/>
          </w:tcPr>
          <w:p>
            <w:pPr>
              <w:pStyle w:val="TableNAm"/>
            </w:pPr>
            <w:r>
              <w:t xml:space="preserve">City of </w:t>
            </w:r>
            <w:smartTag w:uri="urn:schemas-microsoft-com:office:smarttags" w:element="City">
              <w:smartTag w:uri="urn:schemas-microsoft-com:office:smarttags" w:element="place">
                <w:r>
                  <w:t>Armadale</w:t>
                </w:r>
              </w:smartTag>
            </w:smartTag>
          </w:p>
        </w:tc>
        <w:tc>
          <w:tcPr>
            <w:tcW w:w="3360" w:type="dxa"/>
          </w:tcPr>
          <w:p>
            <w:pPr>
              <w:pStyle w:val="TableNAm"/>
            </w:pPr>
            <w:r>
              <w:t xml:space="preserve">Town of Kwinana </w:t>
            </w:r>
          </w:p>
        </w:tc>
      </w:tr>
      <w:tr>
        <w:tc>
          <w:tcPr>
            <w:tcW w:w="2509" w:type="dxa"/>
          </w:tcPr>
          <w:p>
            <w:pPr>
              <w:pStyle w:val="TableNAm"/>
            </w:pPr>
            <w:r>
              <w:t xml:space="preserve">City of </w:t>
            </w:r>
            <w:smartTag w:uri="urn:schemas-microsoft-com:office:smarttags" w:element="City">
              <w:smartTag w:uri="urn:schemas-microsoft-com:office:smarttags" w:element="place">
                <w:r>
                  <w:t>Cockburn</w:t>
                </w:r>
              </w:smartTag>
            </w:smartTag>
          </w:p>
        </w:tc>
        <w:tc>
          <w:tcPr>
            <w:tcW w:w="3360" w:type="dxa"/>
          </w:tcPr>
          <w:p>
            <w:pPr>
              <w:pStyle w:val="TableNAm"/>
            </w:pPr>
            <w:r>
              <w:t>Shire of Chittering</w:t>
            </w:r>
          </w:p>
        </w:tc>
      </w:tr>
      <w:tr>
        <w:tc>
          <w:tcPr>
            <w:tcW w:w="2509" w:type="dxa"/>
          </w:tcPr>
          <w:p>
            <w:pPr>
              <w:pStyle w:val="TableNAm"/>
            </w:pPr>
            <w:r>
              <w:t xml:space="preserve">City of </w:t>
            </w:r>
            <w:smartTag w:uri="urn:schemas-microsoft-com:office:smarttags" w:element="City">
              <w:smartTag w:uri="urn:schemas-microsoft-com:office:smarttags" w:element="place">
                <w:r>
                  <w:t>Joondalup</w:t>
                </w:r>
              </w:smartTag>
            </w:smartTag>
          </w:p>
        </w:tc>
        <w:tc>
          <w:tcPr>
            <w:tcW w:w="3360" w:type="dxa"/>
          </w:tcPr>
          <w:p>
            <w:pPr>
              <w:pStyle w:val="TableNAm"/>
            </w:pPr>
            <w:r>
              <w:t>Shire of Gingin</w:t>
            </w:r>
          </w:p>
        </w:tc>
      </w:tr>
      <w:tr>
        <w:tc>
          <w:tcPr>
            <w:tcW w:w="2509" w:type="dxa"/>
          </w:tcPr>
          <w:p>
            <w:pPr>
              <w:pStyle w:val="TableNAm"/>
            </w:pPr>
            <w:r>
              <w:t xml:space="preserve">City of </w:t>
            </w:r>
            <w:smartTag w:uri="urn:schemas-microsoft-com:office:smarttags" w:element="City">
              <w:smartTag w:uri="urn:schemas-microsoft-com:office:smarttags" w:element="place">
                <w:r>
                  <w:t>Rockingham</w:t>
                </w:r>
              </w:smartTag>
            </w:smartTag>
          </w:p>
        </w:tc>
        <w:tc>
          <w:tcPr>
            <w:tcW w:w="3360" w:type="dxa"/>
          </w:tcPr>
          <w:p>
            <w:pPr>
              <w:pStyle w:val="TableNAm"/>
            </w:pPr>
            <w:r>
              <w:t>Shire of Harvey</w:t>
            </w:r>
          </w:p>
        </w:tc>
      </w:tr>
      <w:tr>
        <w:tc>
          <w:tcPr>
            <w:tcW w:w="2509" w:type="dxa"/>
          </w:tcPr>
          <w:p>
            <w:pPr>
              <w:pStyle w:val="TableNAm"/>
            </w:pPr>
            <w:r>
              <w:t xml:space="preserve">City of </w:t>
            </w:r>
            <w:smartTag w:uri="urn:schemas-microsoft-com:office:smarttags" w:element="City">
              <w:smartTag w:uri="urn:schemas-microsoft-com:office:smarttags" w:element="place">
                <w:r>
                  <w:t>Swan</w:t>
                </w:r>
              </w:smartTag>
            </w:smartTag>
          </w:p>
        </w:tc>
        <w:tc>
          <w:tcPr>
            <w:tcW w:w="3360" w:type="dxa"/>
          </w:tcPr>
          <w:p>
            <w:pPr>
              <w:pStyle w:val="TableNAm"/>
            </w:pPr>
            <w:r>
              <w:t>Shire of Kalamunda</w:t>
            </w:r>
          </w:p>
        </w:tc>
      </w:tr>
      <w:tr>
        <w:tc>
          <w:tcPr>
            <w:tcW w:w="2509" w:type="dxa"/>
          </w:tcPr>
          <w:p>
            <w:pPr>
              <w:pStyle w:val="TableNAm"/>
            </w:pPr>
            <w:r>
              <w:t xml:space="preserve">City of </w:t>
            </w:r>
            <w:smartTag w:uri="urn:schemas-microsoft-com:office:smarttags" w:element="City">
              <w:smartTag w:uri="urn:schemas-microsoft-com:office:smarttags" w:element="place">
                <w:r>
                  <w:t>Wanneroo</w:t>
                </w:r>
              </w:smartTag>
            </w:smartTag>
          </w:p>
        </w:tc>
        <w:tc>
          <w:tcPr>
            <w:tcW w:w="3360" w:type="dxa"/>
          </w:tcPr>
          <w:p>
            <w:pPr>
              <w:pStyle w:val="TableNAm"/>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NAm"/>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w:t>
      </w:r>
      <w:del w:id="49" w:author="Master Repository Process" w:date="2021-08-28T14:39:00Z">
        <w:r>
          <w:delText>November</w:delText>
        </w:r>
      </w:del>
      <w:ins w:id="50" w:author="Master Repository Process" w:date="2021-08-28T14:39:00Z">
        <w:r>
          <w:t>Nov</w:t>
        </w:r>
      </w:ins>
      <w:r>
        <w:t> 2001 p. 6072</w:t>
      </w:r>
      <w:r>
        <w:noBreakHyphen/>
        <w:t>3.]</w:t>
      </w:r>
    </w:p>
    <w:p>
      <w:pPr>
        <w:pStyle w:val="Heading5"/>
      </w:pPr>
      <w:bookmarkStart w:id="51" w:name="_Toc355700374"/>
      <w:bookmarkStart w:id="52" w:name="_Toc531755017"/>
      <w:bookmarkStart w:id="53" w:name="_Toc302485549"/>
      <w:r>
        <w:rPr>
          <w:rStyle w:val="CharSectno"/>
        </w:rPr>
        <w:t>5</w:t>
      </w:r>
      <w:r>
        <w:t>.</w:t>
      </w:r>
      <w:r>
        <w:tab/>
        <w:t>Untreated poultry manure specified to be a “hazardous substance”</w:t>
      </w:r>
      <w:bookmarkEnd w:id="51"/>
      <w:bookmarkEnd w:id="52"/>
      <w:bookmarkEnd w:id="53"/>
    </w:p>
    <w:p>
      <w:pPr>
        <w:pStyle w:val="Subsection"/>
      </w:pPr>
      <w:r>
        <w:tab/>
      </w:r>
      <w:r>
        <w:tab/>
        <w:t>Under section 199(21) of the Act, untreated poultry manure is specified to be a “hazardous substance”.</w:t>
      </w:r>
    </w:p>
    <w:p>
      <w:pPr>
        <w:pStyle w:val="Heading5"/>
      </w:pPr>
      <w:bookmarkStart w:id="54" w:name="_Toc355700375"/>
      <w:bookmarkStart w:id="55" w:name="_Toc531755018"/>
      <w:bookmarkStart w:id="56" w:name="_Toc302485550"/>
      <w:r>
        <w:rPr>
          <w:rStyle w:val="CharSectno"/>
        </w:rPr>
        <w:t>6</w:t>
      </w:r>
      <w:r>
        <w:t>.</w:t>
      </w:r>
      <w:r>
        <w:tab/>
        <w:t>Storage, etc., of untreated poultry manure</w:t>
      </w:r>
      <w:bookmarkEnd w:id="54"/>
      <w:bookmarkEnd w:id="55"/>
      <w:bookmarkEnd w:id="56"/>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Footnotesection"/>
        <w:spacing w:before="100"/>
      </w:pPr>
      <w:r>
        <w:tab/>
        <w:t>[Regulation 6 amended in Gazette 20 Oct 2006 p. 4469; 24 May 2011 p. 1896.]</w:t>
      </w:r>
    </w:p>
    <w:p>
      <w:pPr>
        <w:pStyle w:val="Ednotesection"/>
        <w:rPr>
          <w:rStyle w:val="CharSectno"/>
        </w:rPr>
      </w:pPr>
      <w:bookmarkStart w:id="57" w:name="_Hlt520511016"/>
      <w:bookmarkStart w:id="58" w:name="_Toc531755020"/>
      <w:bookmarkEnd w:id="57"/>
      <w:r>
        <w:rPr>
          <w:rStyle w:val="CharSectno"/>
        </w:rPr>
        <w:t>[</w:t>
      </w:r>
      <w:r>
        <w:rPr>
          <w:rStyle w:val="CharSectno"/>
          <w:b/>
        </w:rPr>
        <w:t>7.</w:t>
      </w:r>
      <w:r>
        <w:rPr>
          <w:rStyle w:val="CharSectno"/>
        </w:rPr>
        <w:tab/>
        <w:t>Deleted in Gazette 24 May 2011 p. 1896.]</w:t>
      </w:r>
    </w:p>
    <w:p>
      <w:pPr>
        <w:pStyle w:val="Heading5"/>
      </w:pPr>
      <w:bookmarkStart w:id="59" w:name="_Toc355700376"/>
      <w:bookmarkStart w:id="60" w:name="_Toc302485551"/>
      <w:r>
        <w:rPr>
          <w:rStyle w:val="CharSectno"/>
        </w:rPr>
        <w:t>8</w:t>
      </w:r>
      <w:r>
        <w:t>.</w:t>
      </w:r>
      <w:r>
        <w:tab/>
        <w:t>Offences</w:t>
      </w:r>
      <w:bookmarkEnd w:id="59"/>
      <w:bookmarkEnd w:id="58"/>
      <w:bookmarkEnd w:id="60"/>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a person shall not use commercially</w:t>
      </w:r>
      <w:r>
        <w:noBreakHyphen/>
        <w:t>derived untreated poultry manure.</w:t>
      </w:r>
    </w:p>
    <w:p>
      <w:pPr>
        <w:pStyle w:val="Penstart"/>
        <w:rPr>
          <w:snapToGrid w:val="0"/>
        </w:rPr>
      </w:pPr>
      <w:r>
        <w:rPr>
          <w:snapToGrid w:val="0"/>
        </w:rPr>
        <w:tab/>
        <w:t>Penalty: see regulation 9.</w:t>
      </w:r>
    </w:p>
    <w:p>
      <w:pPr>
        <w:pStyle w:val="Footnotesection"/>
      </w:pPr>
      <w:r>
        <w:tab/>
        <w:t>[Regulation 8 amended in Gazette 24 May 2011 p. 1896.]</w:t>
      </w:r>
    </w:p>
    <w:p>
      <w:pPr>
        <w:pStyle w:val="Heading5"/>
      </w:pPr>
      <w:bookmarkStart w:id="61" w:name="_Toc355700377"/>
      <w:bookmarkStart w:id="62" w:name="_Toc531755021"/>
      <w:bookmarkStart w:id="63" w:name="_Toc302485552"/>
      <w:r>
        <w:rPr>
          <w:rStyle w:val="CharSectno"/>
        </w:rPr>
        <w:t>9</w:t>
      </w:r>
      <w:r>
        <w:t>.</w:t>
      </w:r>
      <w:r>
        <w:tab/>
        <w:t>Penalty</w:t>
      </w:r>
      <w:bookmarkEnd w:id="61"/>
      <w:bookmarkEnd w:id="62"/>
      <w:bookmarkEnd w:id="63"/>
    </w:p>
    <w:p>
      <w:pPr>
        <w:pStyle w:val="Subsection"/>
        <w:keepNext/>
      </w:pPr>
      <w:r>
        <w:tab/>
      </w:r>
      <w:r>
        <w:tab/>
        <w:t xml:space="preserve">The penalty for an offence under regulation </w:t>
      </w:r>
      <w:bookmarkStart w:id="64" w:name="_Hlt520511378"/>
      <w:r>
        <w:t>8</w:t>
      </w:r>
      <w:bookmarkEnd w:id="64"/>
      <w:r>
        <w:t xml:space="preserve"> is —</w:t>
      </w:r>
    </w:p>
    <w:p>
      <w:pPr>
        <w:pStyle w:val="Indenta"/>
        <w:rPr>
          <w:snapToGrid w:val="0"/>
        </w:rPr>
      </w:pPr>
      <w:r>
        <w:rPr>
          <w:snapToGrid w:val="0"/>
        </w:rPr>
        <w:tab/>
        <w:t>(a)</w:t>
      </w:r>
      <w:r>
        <w:rPr>
          <w:snapToGrid w:val="0"/>
        </w:rPr>
        <w:tab/>
        <w:t>in the case of a first offence — a penalty which is not less than $100 and not more than $1 000;</w:t>
      </w:r>
      <w:ins w:id="65" w:author="Master Repository Process" w:date="2021-08-28T14:39:00Z">
        <w:r>
          <w:rPr>
            <w:snapToGrid w:val="0"/>
          </w:rPr>
          <w:t xml:space="preserve"> and</w:t>
        </w:r>
      </w:ins>
    </w:p>
    <w:p>
      <w:pPr>
        <w:pStyle w:val="Indenta"/>
        <w:rPr>
          <w:snapToGrid w:val="0"/>
        </w:rPr>
      </w:pPr>
      <w:r>
        <w:rPr>
          <w:snapToGrid w:val="0"/>
        </w:rPr>
        <w:tab/>
        <w:t>(b)</w:t>
      </w:r>
      <w:r>
        <w:rPr>
          <w:snapToGrid w:val="0"/>
        </w:rPr>
        <w:tab/>
        <w:t>in the case of a second offence — a penalty which is not less than $200 and not more than $1 000;</w:t>
      </w:r>
      <w:ins w:id="66" w:author="Master Repository Process" w:date="2021-08-28T14:39:00Z">
        <w:r>
          <w:rPr>
            <w:snapToGrid w:val="0"/>
          </w:rPr>
          <w:t xml:space="preserve"> and</w:t>
        </w:r>
      </w:ins>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67" w:name="_Toc355700378"/>
      <w:bookmarkStart w:id="68" w:name="_Toc302485553"/>
      <w:r>
        <w:rPr>
          <w:rStyle w:val="CharSectno"/>
        </w:rPr>
        <w:t>10</w:t>
      </w:r>
      <w:r>
        <w:t>.</w:t>
      </w:r>
      <w:r>
        <w:tab/>
        <w:t>Expiry of regulations</w:t>
      </w:r>
      <w:bookmarkEnd w:id="67"/>
      <w:bookmarkEnd w:id="68"/>
    </w:p>
    <w:p>
      <w:pPr>
        <w:pStyle w:val="Subsection"/>
      </w:pPr>
      <w:r>
        <w:tab/>
      </w:r>
      <w:r>
        <w:tab/>
        <w:t>These regulations expire on 1 September 2013</w:t>
      </w:r>
      <w:r>
        <w:rPr>
          <w:iCs/>
        </w:rPr>
        <w:t>.</w:t>
      </w:r>
    </w:p>
    <w:p>
      <w:pPr>
        <w:pStyle w:val="Footnotesection"/>
      </w:pPr>
      <w:r>
        <w:tab/>
        <w:t>[Regulation 10 inserted in Gazette 24 May 2011 p. 1897.]</w:t>
      </w:r>
    </w:p>
    <w:p>
      <w:pPr>
        <w:pStyle w:val="CentredBaseLine"/>
        <w:jc w:val="center"/>
        <w:rPr>
          <w:ins w:id="69" w:author="Master Repository Process" w:date="2021-08-28T14:39:00Z"/>
        </w:rPr>
      </w:pPr>
      <w:ins w:id="70" w:author="Master Repository Process" w:date="2021-08-28T14:39: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1" w:name="_Toc355700354"/>
      <w:bookmarkStart w:id="72" w:name="_Toc355700367"/>
      <w:bookmarkStart w:id="73" w:name="_Toc355700379"/>
      <w:bookmarkStart w:id="74" w:name="_Toc149031339"/>
      <w:bookmarkStart w:id="75" w:name="_Toc149031555"/>
      <w:bookmarkStart w:id="76" w:name="_Toc149036416"/>
      <w:bookmarkStart w:id="77" w:name="_Toc293933109"/>
      <w:bookmarkStart w:id="78" w:name="_Toc302485042"/>
      <w:bookmarkStart w:id="79" w:name="_Toc302485554"/>
      <w:r>
        <w:t>Notes</w:t>
      </w:r>
      <w:bookmarkEnd w:id="71"/>
      <w:bookmarkEnd w:id="72"/>
      <w:bookmarkEnd w:id="73"/>
      <w:bookmarkEnd w:id="74"/>
      <w:bookmarkEnd w:id="75"/>
      <w:bookmarkEnd w:id="76"/>
      <w:bookmarkEnd w:id="77"/>
      <w:bookmarkEnd w:id="78"/>
      <w:bookmarkEnd w:id="79"/>
    </w:p>
    <w:p>
      <w:pPr>
        <w:pStyle w:val="nSubsection"/>
        <w:rPr>
          <w:snapToGrid w:val="0"/>
        </w:rPr>
      </w:pPr>
      <w:r>
        <w:rPr>
          <w:snapToGrid w:val="0"/>
          <w:vertAlign w:val="superscript"/>
        </w:rPr>
        <w:t>1</w:t>
      </w:r>
      <w:r>
        <w:rPr>
          <w:snapToGrid w:val="0"/>
        </w:rPr>
        <w:tab/>
        <w:t>This</w:t>
      </w:r>
      <w:del w:id="80" w:author="Master Repository Process" w:date="2021-08-28T14:39:00Z">
        <w:r>
          <w:rPr>
            <w:snapToGrid w:val="0"/>
          </w:rPr>
          <w:delText> </w:delText>
        </w:r>
      </w:del>
      <w:ins w:id="81" w:author="Master Repository Process" w:date="2021-08-28T14:39:00Z">
        <w:r>
          <w:rPr>
            <w:snapToGrid w:val="0"/>
          </w:rPr>
          <w:t xml:space="preserve"> reprint </w:t>
        </w:r>
      </w:ins>
      <w:r>
        <w:rPr>
          <w:snapToGrid w:val="0"/>
        </w:rPr>
        <w:t xml:space="preserve">is a compilation </w:t>
      </w:r>
      <w:ins w:id="82" w:author="Master Repository Process" w:date="2021-08-28T14:39:00Z">
        <w:r>
          <w:rPr>
            <w:snapToGrid w:val="0"/>
          </w:rPr>
          <w:t xml:space="preserve">as at 10 May 2013 </w:t>
        </w:r>
      </w:ins>
      <w:r>
        <w:rPr>
          <w:snapToGrid w:val="0"/>
        </w:rPr>
        <w:t xml:space="preserve">of the </w:t>
      </w:r>
      <w:r>
        <w:rPr>
          <w:i/>
          <w:noProof/>
          <w:snapToGrid w:val="0"/>
        </w:rPr>
        <w:t>Health (Poultry Manure) Regulations</w:t>
      </w:r>
      <w:del w:id="83" w:author="Master Repository Process" w:date="2021-08-28T14:39:00Z">
        <w:r>
          <w:rPr>
            <w:i/>
          </w:rPr>
          <w:delText> </w:delText>
        </w:r>
      </w:del>
      <w:ins w:id="84" w:author="Master Repository Process" w:date="2021-08-28T14:39:00Z">
        <w:r>
          <w:rPr>
            <w:i/>
            <w:noProof/>
            <w:snapToGrid w:val="0"/>
          </w:rPr>
          <w:t xml:space="preserve"> </w:t>
        </w:r>
      </w:ins>
      <w:r>
        <w:rPr>
          <w:i/>
          <w:noProof/>
          <w:snapToGrid w:val="0"/>
        </w:rPr>
        <w:t>2001</w:t>
      </w:r>
      <w:del w:id="85" w:author="Master Repository Process" w:date="2021-08-28T14:39:00Z">
        <w:r>
          <w:rPr>
            <w:vertAlign w:val="superscript"/>
          </w:rPr>
          <w:delText> 2</w:delText>
        </w:r>
      </w:del>
      <w:r>
        <w:rPr>
          <w:snapToGrid w:val="0"/>
        </w:rPr>
        <w:t xml:space="preserve"> and includes the amendments made by the other written laws referred to in the following table.</w:t>
      </w:r>
      <w:ins w:id="86" w:author="Master Repository Process" w:date="2021-08-28T14:39:00Z">
        <w:r>
          <w:rPr>
            <w:snapToGrid w:val="0"/>
          </w:rPr>
          <w:t xml:space="preserve">  The table also contains information about any reprint.</w:t>
        </w:r>
      </w:ins>
    </w:p>
    <w:p>
      <w:pPr>
        <w:pStyle w:val="nHeading3"/>
      </w:pPr>
      <w:bookmarkStart w:id="87" w:name="_Toc355700380"/>
      <w:bookmarkStart w:id="88" w:name="_Toc302485555"/>
      <w: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(Poultry Manure) Amendment Regulations 2006</w:t>
            </w:r>
          </w:p>
        </w:tc>
        <w:tc>
          <w:tcPr>
            <w:tcW w:w="1276" w:type="dxa"/>
          </w:tcPr>
          <w:p>
            <w:pPr>
              <w:pStyle w:val="nTable"/>
              <w:spacing w:after="40"/>
              <w:rPr>
                <w:sz w:val="19"/>
              </w:rPr>
            </w:pPr>
            <w:r>
              <w:rPr>
                <w:sz w:val="19"/>
              </w:rPr>
              <w:t>20 Oct 2006 p. 4469</w:t>
            </w:r>
          </w:p>
        </w:tc>
        <w:tc>
          <w:tcPr>
            <w:tcW w:w="2693" w:type="dxa"/>
          </w:tcPr>
          <w:p>
            <w:pPr>
              <w:pStyle w:val="nTable"/>
              <w:spacing w:after="40"/>
              <w:rPr>
                <w:sz w:val="19"/>
              </w:rPr>
            </w:pPr>
            <w:r>
              <w:rPr>
                <w:sz w:val="19"/>
              </w:rPr>
              <w:t>20 Oct 2006</w:t>
            </w:r>
          </w:p>
        </w:tc>
      </w:tr>
      <w:tr>
        <w:tc>
          <w:tcPr>
            <w:tcW w:w="3119" w:type="dxa"/>
            <w:shd w:val="clear" w:color="auto" w:fill="auto"/>
          </w:tcPr>
          <w:p>
            <w:pPr>
              <w:pStyle w:val="nTable"/>
              <w:spacing w:after="40"/>
              <w:rPr>
                <w:i/>
                <w:sz w:val="19"/>
              </w:rPr>
            </w:pPr>
            <w:r>
              <w:rPr>
                <w:i/>
                <w:sz w:val="19"/>
              </w:rPr>
              <w:t>Health (Poultry Manure) Amendment Regulations 2011</w:t>
            </w:r>
          </w:p>
        </w:tc>
        <w:tc>
          <w:tcPr>
            <w:tcW w:w="1276" w:type="dxa"/>
            <w:shd w:val="clear" w:color="auto" w:fill="auto"/>
          </w:tcPr>
          <w:p>
            <w:pPr>
              <w:pStyle w:val="nTable"/>
              <w:spacing w:after="40"/>
              <w:rPr>
                <w:sz w:val="19"/>
              </w:rPr>
            </w:pPr>
            <w:r>
              <w:rPr>
                <w:sz w:val="19"/>
              </w:rPr>
              <w:t>24 May 2011 p. 1896-7</w:t>
            </w:r>
          </w:p>
        </w:tc>
        <w:tc>
          <w:tcPr>
            <w:tcW w:w="2693" w:type="dxa"/>
            <w:shd w:val="clear" w:color="auto" w:fill="auto"/>
          </w:tcPr>
          <w:p>
            <w:pPr>
              <w:pStyle w:val="nTable"/>
              <w:spacing w:after="40"/>
              <w:rPr>
                <w:sz w:val="19"/>
              </w:rPr>
            </w:pPr>
            <w:r>
              <w:rPr>
                <w:sz w:val="19"/>
              </w:rPr>
              <w:t>r. 1 and 2: 24 May 2011 (see</w:t>
            </w:r>
            <w:del w:id="89" w:author="Master Repository Process" w:date="2021-08-28T14:39:00Z">
              <w:r>
                <w:rPr>
                  <w:sz w:val="19"/>
                </w:rPr>
                <w:delText xml:space="preserve"> </w:delText>
              </w:r>
            </w:del>
            <w:ins w:id="90" w:author="Master Repository Process" w:date="2021-08-28T14:39:00Z">
              <w:r>
                <w:rPr>
                  <w:sz w:val="19"/>
                </w:rPr>
                <w:t> </w:t>
              </w:r>
            </w:ins>
            <w:r>
              <w:rPr>
                <w:sz w:val="19"/>
              </w:rPr>
              <w:t>r. 2(a));</w:t>
            </w:r>
            <w:r>
              <w:rPr>
                <w:sz w:val="19"/>
              </w:rPr>
              <w:br/>
              <w:t>Regulations other than r. 1 and 2: 1 Sep 2011 (see r. 2(b))</w:t>
            </w:r>
          </w:p>
        </w:tc>
      </w:tr>
      <w:tr>
        <w:trPr>
          <w:ins w:id="91" w:author="Master Repository Process" w:date="2021-08-28T14:39:00Z"/>
        </w:trPr>
        <w:tc>
          <w:tcPr>
            <w:tcW w:w="7088" w:type="dxa"/>
            <w:gridSpan w:val="3"/>
            <w:tcBorders>
              <w:bottom w:val="single" w:sz="8" w:space="0" w:color="auto"/>
            </w:tcBorders>
            <w:shd w:val="clear" w:color="auto" w:fill="auto"/>
          </w:tcPr>
          <w:p>
            <w:pPr>
              <w:pStyle w:val="nTable"/>
              <w:spacing w:after="40"/>
              <w:rPr>
                <w:ins w:id="92" w:author="Master Repository Process" w:date="2021-08-28T14:39:00Z"/>
                <w:sz w:val="19"/>
              </w:rPr>
            </w:pPr>
            <w:ins w:id="93" w:author="Master Repository Process" w:date="2021-08-28T14:39:00Z">
              <w:r>
                <w:rPr>
                  <w:b/>
                  <w:sz w:val="19"/>
                </w:rPr>
                <w:t xml:space="preserve">Reprint 1: The </w:t>
              </w:r>
              <w:r>
                <w:rPr>
                  <w:b/>
                  <w:i/>
                  <w:sz w:val="19"/>
                </w:rPr>
                <w:t>Health (Poultry Manure) Regulations 2001</w:t>
              </w:r>
              <w:r>
                <w:rPr>
                  <w:b/>
                  <w:sz w:val="19"/>
                </w:rPr>
                <w:t xml:space="preserve"> as at 10 May 2013</w:t>
              </w:r>
              <w:r>
                <w:rPr>
                  <w:sz w:val="19"/>
                </w:rPr>
                <w:t xml:space="preserve"> (includes amendments listed above)</w:t>
              </w:r>
            </w:ins>
          </w:p>
        </w:tc>
      </w:tr>
    </w:tbl>
    <w:p>
      <w:pPr>
        <w:pStyle w:val="nSubsection"/>
        <w:rPr>
          <w:del w:id="94" w:author="Master Repository Process" w:date="2021-08-28T14:39:00Z"/>
        </w:rPr>
      </w:pPr>
      <w:del w:id="95" w:author="Master Repository Process" w:date="2021-08-28T14:39:00Z">
        <w:r>
          <w:rPr>
            <w:vertAlign w:val="superscript"/>
          </w:rPr>
          <w:delText>2</w:delText>
        </w:r>
        <w:r>
          <w:tab/>
          <w:delText>These regulations expire 1 Sep 2013 (see r. 10).</w:delText>
        </w:r>
      </w:del>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210"/>
    <w:docVar w:name="WAFER_20151211131210" w:val="RemoveTrackChanges"/>
    <w:docVar w:name="WAFER_20151211131210_GUID" w:val="51c078f3-0e3f-4d24-a45d-4bdc2ed85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E5E298A-4CD7-4FC8-876F-0EB2F35F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5187</Characters>
  <Application>Microsoft Office Word</Application>
  <DocSecurity>0</DocSecurity>
  <Lines>178</Lines>
  <Paragraphs>109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00-d0-03 - 01-a0-02</dc:title>
  <dc:subject/>
  <dc:creator/>
  <cp:keywords/>
  <dc:description/>
  <cp:lastModifiedBy>Master Repository Process</cp:lastModifiedBy>
  <cp:revision>2</cp:revision>
  <cp:lastPrinted>2013-05-07T06:30:00Z</cp:lastPrinted>
  <dcterms:created xsi:type="dcterms:W3CDTF">2021-08-28T06:39:00Z</dcterms:created>
  <dcterms:modified xsi:type="dcterms:W3CDTF">2021-08-28T06:39:00Z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20130510</vt:lpwstr>
  </property>
  <property fmtid="{D5CDD505-2E9C-101B-9397-08002B2CF9AE}" pid="4" name="DocumentType">
    <vt:lpwstr>Reg</vt:lpwstr>
  </property>
  <property fmtid="{D5CDD505-2E9C-101B-9397-08002B2CF9AE}" pid="5" name="OwlsUID">
    <vt:i4>3477</vt:i4>
  </property>
  <property fmtid="{D5CDD505-2E9C-101B-9397-08002B2CF9AE}" pid="6" name="ReprintNo">
    <vt:lpwstr>1</vt:lpwstr>
  </property>
  <property fmtid="{D5CDD505-2E9C-101B-9397-08002B2CF9AE}" pid="7" name="ReprintedAsAt">
    <vt:filetime>2013-05-09T16:00:00Z</vt:filetime>
  </property>
  <property fmtid="{D5CDD505-2E9C-101B-9397-08002B2CF9AE}" pid="8" name="FromSuffix">
    <vt:lpwstr>00-d0-03</vt:lpwstr>
  </property>
  <property fmtid="{D5CDD505-2E9C-101B-9397-08002B2CF9AE}" pid="9" name="FromAsAtDate">
    <vt:lpwstr>01 Sep 2011</vt:lpwstr>
  </property>
  <property fmtid="{D5CDD505-2E9C-101B-9397-08002B2CF9AE}" pid="10" name="ToSuffix">
    <vt:lpwstr>01-a0-02</vt:lpwstr>
  </property>
  <property fmtid="{D5CDD505-2E9C-101B-9397-08002B2CF9AE}" pid="11" name="ToAsAtDate">
    <vt:lpwstr>10 May 2013</vt:lpwstr>
  </property>
</Properties>
</file>