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378164736"/>
      <w:bookmarkStart w:id="1" w:name="_Toc459094043"/>
      <w:bookmarkStart w:id="2" w:name="_Toc92878607"/>
      <w:bookmarkStart w:id="3" w:name="_Toc139257800"/>
      <w:bookmarkStart w:id="4" w:name="_Toc153176869"/>
      <w:bookmarkStart w:id="5" w:name="_Toc36011127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378164737"/>
      <w:bookmarkStart w:id="10" w:name="_Toc459094044"/>
      <w:bookmarkStart w:id="11" w:name="_Toc92878608"/>
      <w:bookmarkStart w:id="12" w:name="_Toc139257801"/>
      <w:bookmarkStart w:id="13" w:name="_Toc153176870"/>
      <w:bookmarkStart w:id="14" w:name="_Toc360111275"/>
      <w:r>
        <w:rPr>
          <w:rStyle w:val="CharSectno"/>
        </w:rPr>
        <w:t>2</w:t>
      </w:r>
      <w:r>
        <w:rPr>
          <w:snapToGrid w:val="0"/>
        </w:rPr>
        <w:t>.</w:t>
      </w:r>
      <w:r>
        <w:rPr>
          <w:snapToGrid w:val="0"/>
        </w:rPr>
        <w:tab/>
        <w:t>Forms</w:t>
      </w:r>
      <w:bookmarkEnd w:id="9"/>
      <w:bookmarkEnd w:id="10"/>
      <w:bookmarkEnd w:id="11"/>
      <w:bookmarkEnd w:id="12"/>
      <w:bookmarkEnd w:id="13"/>
      <w:bookmarkEnd w:id="14"/>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378164738"/>
      <w:bookmarkStart w:id="16" w:name="_Toc459094045"/>
      <w:bookmarkStart w:id="17" w:name="_Toc92878609"/>
      <w:bookmarkStart w:id="18" w:name="_Toc139257802"/>
      <w:bookmarkStart w:id="19" w:name="_Toc153176871"/>
      <w:bookmarkStart w:id="20" w:name="_Toc360111276"/>
      <w:r>
        <w:rPr>
          <w:rStyle w:val="CharSectno"/>
        </w:rPr>
        <w:t>3</w:t>
      </w:r>
      <w:r>
        <w:rPr>
          <w:snapToGrid w:val="0"/>
        </w:rPr>
        <w:t>.</w:t>
      </w:r>
      <w:r>
        <w:rPr>
          <w:snapToGrid w:val="0"/>
        </w:rPr>
        <w:tab/>
        <w:t>Application by corporation</w:t>
      </w:r>
      <w:bookmarkEnd w:id="15"/>
      <w:bookmarkEnd w:id="16"/>
      <w:bookmarkEnd w:id="17"/>
      <w:bookmarkEnd w:id="18"/>
      <w:bookmarkEnd w:id="19"/>
      <w:bookmarkEnd w:id="2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1" w:name="_Toc378164739"/>
      <w:bookmarkStart w:id="22" w:name="_Toc360111277"/>
      <w:bookmarkStart w:id="23" w:name="_Toc459094047"/>
      <w:bookmarkStart w:id="24" w:name="_Toc92878611"/>
      <w:bookmarkStart w:id="25" w:name="_Toc139257804"/>
      <w:bookmarkStart w:id="26" w:name="_Toc153176873"/>
      <w:r>
        <w:rPr>
          <w:rStyle w:val="CharSectno"/>
        </w:rPr>
        <w:t>4</w:t>
      </w:r>
      <w:r>
        <w:t>.</w:t>
      </w:r>
      <w:r>
        <w:tab/>
        <w:t>Fees</w:t>
      </w:r>
      <w:bookmarkEnd w:id="21"/>
      <w:bookmarkEnd w:id="22"/>
    </w:p>
    <w:p>
      <w:pPr>
        <w:pStyle w:val="Subsection"/>
      </w:pPr>
      <w:r>
        <w:tab/>
      </w:r>
      <w:r>
        <w:tab/>
        <w:t>The fees specified in the Table are payable for the matters specified in the Table.</w:t>
      </w:r>
    </w:p>
    <w:p>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c>
          <w:tcPr>
            <w:tcW w:w="3685" w:type="dxa"/>
          </w:tcPr>
          <w:p>
            <w:pPr>
              <w:pStyle w:val="TableNAm"/>
            </w:pPr>
            <w:r>
              <w:t>Issue or renewal of licence</w:t>
            </w:r>
          </w:p>
        </w:tc>
        <w:tc>
          <w:tcPr>
            <w:tcW w:w="1843" w:type="dxa"/>
          </w:tcPr>
          <w:p>
            <w:pPr>
              <w:pStyle w:val="TableNAm"/>
            </w:pPr>
            <w:r>
              <w:t>$540.00</w:t>
            </w:r>
          </w:p>
        </w:tc>
      </w:tr>
      <w:tr>
        <w:tc>
          <w:tcPr>
            <w:tcW w:w="3685" w:type="dxa"/>
          </w:tcPr>
          <w:p>
            <w:pPr>
              <w:pStyle w:val="TableNAm"/>
            </w:pPr>
            <w:r>
              <w:t>Transfer of licence</w:t>
            </w:r>
          </w:p>
        </w:tc>
        <w:tc>
          <w:tcPr>
            <w:tcW w:w="1843" w:type="dxa"/>
          </w:tcPr>
          <w:p>
            <w:pPr>
              <w:pStyle w:val="TableNAm"/>
            </w:pPr>
            <w:r>
              <w:t>$304.00</w:t>
            </w:r>
          </w:p>
        </w:tc>
      </w:tr>
      <w:tr>
        <w:tc>
          <w:tcPr>
            <w:tcW w:w="3685" w:type="dxa"/>
          </w:tcPr>
          <w:p>
            <w:pPr>
              <w:pStyle w:val="TableNAm"/>
            </w:pPr>
            <w:r>
              <w:t>Issue of duplicate licence</w:t>
            </w:r>
          </w:p>
        </w:tc>
        <w:tc>
          <w:tcPr>
            <w:tcW w:w="1843" w:type="dxa"/>
          </w:tcPr>
          <w:p>
            <w:pPr>
              <w:pStyle w:val="TableNAm"/>
            </w:pPr>
            <w:r>
              <w:t>$33.00</w:t>
            </w:r>
          </w:p>
        </w:tc>
      </w:tr>
      <w:tr>
        <w:tc>
          <w:tcPr>
            <w:tcW w:w="3685" w:type="dxa"/>
          </w:tcPr>
          <w:p>
            <w:pPr>
              <w:pStyle w:val="TableNAm"/>
            </w:pPr>
            <w:r>
              <w:t>Inspection of register kept under section 12 of the Act</w:t>
            </w:r>
          </w:p>
        </w:tc>
        <w:tc>
          <w:tcPr>
            <w:tcW w:w="1843" w:type="dxa"/>
          </w:tcPr>
          <w:p>
            <w:pPr>
              <w:pStyle w:val="TableNAm"/>
            </w:pPr>
            <w:r>
              <w:br/>
              <w:t>$10.90</w:t>
            </w:r>
          </w:p>
        </w:tc>
      </w:tr>
    </w:tbl>
    <w:p>
      <w:pPr>
        <w:pStyle w:val="Footnotesection"/>
      </w:pPr>
      <w:r>
        <w:tab/>
        <w:t>[Regulation 4 inserted in Gazette 27 Jun 2013 p. 2677-8.]</w:t>
      </w:r>
    </w:p>
    <w:p>
      <w:pPr>
        <w:pStyle w:val="Heading5"/>
        <w:rPr>
          <w:snapToGrid w:val="0"/>
        </w:rPr>
      </w:pPr>
      <w:bookmarkStart w:id="27" w:name="_Toc378164740"/>
      <w:bookmarkStart w:id="28" w:name="_Toc360111278"/>
      <w:r>
        <w:rPr>
          <w:rStyle w:val="CharSectno"/>
        </w:rPr>
        <w:t>5</w:t>
      </w:r>
      <w:r>
        <w:rPr>
          <w:snapToGrid w:val="0"/>
        </w:rPr>
        <w:t>.</w:t>
      </w:r>
      <w:r>
        <w:rPr>
          <w:snapToGrid w:val="0"/>
        </w:rPr>
        <w:tab/>
        <w:t xml:space="preserve">Transfer of </w:t>
      </w:r>
      <w:bookmarkEnd w:id="23"/>
      <w:r>
        <w:rPr>
          <w:snapToGrid w:val="0"/>
        </w:rPr>
        <w:t>licence</w:t>
      </w:r>
      <w:bookmarkEnd w:id="27"/>
      <w:bookmarkEnd w:id="24"/>
      <w:bookmarkEnd w:id="25"/>
      <w:bookmarkEnd w:id="26"/>
      <w:bookmarkEnd w:id="28"/>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9" w:name="_Toc378164741"/>
      <w:bookmarkStart w:id="30" w:name="_Toc92878612"/>
      <w:bookmarkStart w:id="31" w:name="_Toc139257805"/>
      <w:bookmarkStart w:id="32" w:name="_Toc153176874"/>
      <w:bookmarkStart w:id="33" w:name="_Toc360111279"/>
      <w:bookmarkStart w:id="34" w:name="_Toc459094049"/>
      <w:r>
        <w:rPr>
          <w:rStyle w:val="CharSectno"/>
        </w:rPr>
        <w:t>6</w:t>
      </w:r>
      <w:r>
        <w:t>.</w:t>
      </w:r>
      <w:r>
        <w:tab/>
      </w:r>
      <w:r>
        <w:rPr>
          <w:snapToGrid w:val="0"/>
        </w:rPr>
        <w:t>Lodging of application</w:t>
      </w:r>
      <w:bookmarkEnd w:id="29"/>
      <w:bookmarkEnd w:id="30"/>
      <w:bookmarkEnd w:id="31"/>
      <w:bookmarkEnd w:id="32"/>
      <w:bookmarkEnd w:id="33"/>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5" w:name="_Toc378164742"/>
      <w:bookmarkStart w:id="36" w:name="_Toc92878613"/>
      <w:bookmarkStart w:id="37" w:name="_Toc139257806"/>
      <w:bookmarkStart w:id="38" w:name="_Toc153176875"/>
      <w:bookmarkStart w:id="39" w:name="_Toc360111280"/>
      <w:r>
        <w:rPr>
          <w:rStyle w:val="CharSectno"/>
        </w:rPr>
        <w:t>7</w:t>
      </w:r>
      <w:r>
        <w:rPr>
          <w:snapToGrid w:val="0"/>
        </w:rPr>
        <w:t>.</w:t>
      </w:r>
      <w:r>
        <w:rPr>
          <w:snapToGrid w:val="0"/>
        </w:rPr>
        <w:tab/>
        <w:t xml:space="preserve">Duplicate </w:t>
      </w:r>
      <w:bookmarkEnd w:id="34"/>
      <w:r>
        <w:rPr>
          <w:snapToGrid w:val="0"/>
        </w:rPr>
        <w:t>licence</w:t>
      </w:r>
      <w:bookmarkEnd w:id="35"/>
      <w:bookmarkEnd w:id="36"/>
      <w:bookmarkEnd w:id="37"/>
      <w:bookmarkEnd w:id="38"/>
      <w:bookmarkEnd w:id="3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40"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41" w:name="_Toc378164743"/>
      <w:bookmarkStart w:id="42" w:name="_Toc92878614"/>
      <w:bookmarkStart w:id="43" w:name="_Toc139257807"/>
      <w:bookmarkStart w:id="44" w:name="_Toc153176876"/>
      <w:bookmarkStart w:id="45" w:name="_Toc360111281"/>
      <w:r>
        <w:rPr>
          <w:rStyle w:val="CharSectno"/>
        </w:rPr>
        <w:t>8</w:t>
      </w:r>
      <w:r>
        <w:rPr>
          <w:snapToGrid w:val="0"/>
        </w:rPr>
        <w:t>.</w:t>
      </w:r>
      <w:r>
        <w:rPr>
          <w:snapToGrid w:val="0"/>
        </w:rPr>
        <w:tab/>
        <w:t>Fidelity bond</w:t>
      </w:r>
      <w:bookmarkEnd w:id="41"/>
      <w:bookmarkEnd w:id="40"/>
      <w:bookmarkEnd w:id="42"/>
      <w:bookmarkEnd w:id="43"/>
      <w:bookmarkEnd w:id="44"/>
      <w:bookmarkEnd w:id="45"/>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6" w:name="_Toc459094051"/>
      <w:r>
        <w:tab/>
        <w:t>[Regulation 8 amended in Gazette 30 Dec 2004 p. 6916.]</w:t>
      </w:r>
    </w:p>
    <w:p>
      <w:pPr>
        <w:pStyle w:val="Heading5"/>
        <w:rPr>
          <w:snapToGrid w:val="0"/>
        </w:rPr>
      </w:pPr>
      <w:bookmarkStart w:id="47" w:name="_Toc378164744"/>
      <w:bookmarkStart w:id="48" w:name="_Toc92878615"/>
      <w:bookmarkStart w:id="49" w:name="_Toc139257808"/>
      <w:bookmarkStart w:id="50" w:name="_Toc153176877"/>
      <w:bookmarkStart w:id="51" w:name="_Toc360111282"/>
      <w:r>
        <w:rPr>
          <w:rStyle w:val="CharSectno"/>
        </w:rPr>
        <w:t>9</w:t>
      </w:r>
      <w:r>
        <w:rPr>
          <w:snapToGrid w:val="0"/>
        </w:rPr>
        <w:t>.</w:t>
      </w:r>
      <w:r>
        <w:rPr>
          <w:snapToGrid w:val="0"/>
        </w:rPr>
        <w:tab/>
        <w:t xml:space="preserve">Surrender of </w:t>
      </w:r>
      <w:bookmarkEnd w:id="46"/>
      <w:r>
        <w:rPr>
          <w:snapToGrid w:val="0"/>
        </w:rPr>
        <w:t>licence</w:t>
      </w:r>
      <w:bookmarkEnd w:id="47"/>
      <w:bookmarkEnd w:id="48"/>
      <w:bookmarkEnd w:id="49"/>
      <w:bookmarkEnd w:id="50"/>
      <w:bookmarkEnd w:id="5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52" w:name="_Toc459094052"/>
      <w:r>
        <w:tab/>
        <w:t>[Regulation 9 amended in Gazette 30 Dec 2004 p. 6916.]</w:t>
      </w:r>
    </w:p>
    <w:p>
      <w:pPr>
        <w:pStyle w:val="Heading5"/>
        <w:rPr>
          <w:snapToGrid w:val="0"/>
        </w:rPr>
      </w:pPr>
      <w:bookmarkStart w:id="53" w:name="_Toc378164745"/>
      <w:bookmarkStart w:id="54" w:name="_Toc92878616"/>
      <w:bookmarkStart w:id="55" w:name="_Toc139257809"/>
      <w:bookmarkStart w:id="56" w:name="_Toc153176878"/>
      <w:bookmarkStart w:id="57" w:name="_Toc360111283"/>
      <w:r>
        <w:rPr>
          <w:rStyle w:val="CharSectno"/>
        </w:rPr>
        <w:t>10</w:t>
      </w:r>
      <w:r>
        <w:rPr>
          <w:snapToGrid w:val="0"/>
        </w:rPr>
        <w:t>.</w:t>
      </w:r>
      <w:r>
        <w:rPr>
          <w:snapToGrid w:val="0"/>
        </w:rPr>
        <w:tab/>
        <w:t>Non</w:t>
      </w:r>
      <w:r>
        <w:rPr>
          <w:snapToGrid w:val="0"/>
        </w:rPr>
        <w:noBreakHyphen/>
        <w:t>disclosure by auditor and person appointed by Minister</w:t>
      </w:r>
      <w:bookmarkEnd w:id="53"/>
      <w:bookmarkEnd w:id="52"/>
      <w:bookmarkEnd w:id="54"/>
      <w:bookmarkEnd w:id="55"/>
      <w:bookmarkEnd w:id="56"/>
      <w:bookmarkEnd w:id="57"/>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8" w:name="_Toc378164746"/>
      <w:bookmarkStart w:id="59" w:name="_Toc459094053"/>
      <w:bookmarkStart w:id="60" w:name="_Toc92878617"/>
      <w:bookmarkStart w:id="61" w:name="_Toc139257810"/>
      <w:bookmarkStart w:id="62" w:name="_Toc153176879"/>
      <w:bookmarkStart w:id="63" w:name="_Toc360111284"/>
      <w:r>
        <w:rPr>
          <w:rStyle w:val="CharSectno"/>
        </w:rPr>
        <w:t>11</w:t>
      </w:r>
      <w:r>
        <w:rPr>
          <w:snapToGrid w:val="0"/>
        </w:rPr>
        <w:t>.</w:t>
      </w:r>
      <w:r>
        <w:rPr>
          <w:snapToGrid w:val="0"/>
        </w:rPr>
        <w:tab/>
        <w:t>Offence</w:t>
      </w:r>
      <w:bookmarkEnd w:id="58"/>
      <w:bookmarkEnd w:id="59"/>
      <w:bookmarkEnd w:id="60"/>
      <w:bookmarkEnd w:id="61"/>
      <w:bookmarkEnd w:id="62"/>
      <w:bookmarkEnd w:id="6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64" w:name="_Toc378164747"/>
      <w:bookmarkStart w:id="65" w:name="_Toc459094054"/>
      <w:bookmarkStart w:id="66" w:name="_Toc92878618"/>
      <w:bookmarkStart w:id="67" w:name="_Toc139257811"/>
      <w:bookmarkStart w:id="68" w:name="_Toc153176880"/>
      <w:bookmarkStart w:id="69" w:name="_Toc360111285"/>
      <w:r>
        <w:rPr>
          <w:rStyle w:val="CharSectno"/>
        </w:rPr>
        <w:t>12</w:t>
      </w:r>
      <w:r>
        <w:rPr>
          <w:snapToGrid w:val="0"/>
        </w:rPr>
        <w:t>.</w:t>
      </w:r>
      <w:r>
        <w:rPr>
          <w:snapToGrid w:val="0"/>
        </w:rPr>
        <w:tab/>
        <w:t>Change of address</w:t>
      </w:r>
      <w:bookmarkEnd w:id="64"/>
      <w:bookmarkEnd w:id="65"/>
      <w:bookmarkEnd w:id="66"/>
      <w:bookmarkEnd w:id="67"/>
      <w:bookmarkEnd w:id="68"/>
      <w:bookmarkEnd w:id="69"/>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0" w:name="_Toc459094055"/>
      <w:r>
        <w:tab/>
        <w:t>[Regulation 12 amended in Gazette 30 Dec 2004 p. 6916.]</w:t>
      </w:r>
    </w:p>
    <w:p>
      <w:pPr>
        <w:pStyle w:val="Heading5"/>
        <w:rPr>
          <w:snapToGrid w:val="0"/>
        </w:rPr>
      </w:pPr>
      <w:bookmarkStart w:id="71" w:name="_Toc378164748"/>
      <w:bookmarkStart w:id="72" w:name="_Toc92878619"/>
      <w:bookmarkStart w:id="73" w:name="_Toc139257812"/>
      <w:bookmarkStart w:id="74" w:name="_Toc153176881"/>
      <w:bookmarkStart w:id="75" w:name="_Toc360111286"/>
      <w:r>
        <w:rPr>
          <w:rStyle w:val="CharSectno"/>
        </w:rPr>
        <w:t>13</w:t>
      </w:r>
      <w:r>
        <w:rPr>
          <w:snapToGrid w:val="0"/>
        </w:rPr>
        <w:t>.</w:t>
      </w:r>
      <w:r>
        <w:rPr>
          <w:snapToGrid w:val="0"/>
        </w:rPr>
        <w:tab/>
        <w:t>Charges by licensee</w:t>
      </w:r>
      <w:bookmarkEnd w:id="71"/>
      <w:bookmarkEnd w:id="70"/>
      <w:bookmarkEnd w:id="72"/>
      <w:bookmarkEnd w:id="73"/>
      <w:bookmarkEnd w:id="74"/>
      <w:bookmarkEnd w:id="7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76" w:name="_Toc378164749"/>
      <w:bookmarkStart w:id="77" w:name="_Toc459094056"/>
      <w:bookmarkStart w:id="78" w:name="_Toc92878620"/>
      <w:bookmarkStart w:id="79" w:name="_Toc139257813"/>
      <w:bookmarkStart w:id="80" w:name="_Toc153176882"/>
      <w:bookmarkStart w:id="81" w:name="_Toc360111287"/>
      <w:r>
        <w:rPr>
          <w:rStyle w:val="CharSectno"/>
        </w:rPr>
        <w:t>14</w:t>
      </w:r>
      <w:r>
        <w:rPr>
          <w:snapToGrid w:val="0"/>
        </w:rPr>
        <w:t>.</w:t>
      </w:r>
      <w:r>
        <w:rPr>
          <w:snapToGrid w:val="0"/>
        </w:rPr>
        <w:tab/>
        <w:t>Exemptions</w:t>
      </w:r>
      <w:bookmarkEnd w:id="76"/>
      <w:bookmarkEnd w:id="77"/>
      <w:bookmarkEnd w:id="78"/>
      <w:bookmarkEnd w:id="79"/>
      <w:bookmarkEnd w:id="80"/>
      <w:bookmarkEnd w:id="81"/>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82" w:name="_Toc378164750"/>
      <w:bookmarkStart w:id="83" w:name="_Toc459094057"/>
      <w:bookmarkStart w:id="84" w:name="_Toc92878621"/>
      <w:bookmarkStart w:id="85" w:name="_Toc139257814"/>
      <w:bookmarkStart w:id="86" w:name="_Toc153176883"/>
      <w:bookmarkStart w:id="87" w:name="_Toc360111288"/>
      <w:r>
        <w:rPr>
          <w:rStyle w:val="CharSectno"/>
        </w:rPr>
        <w:t>15</w:t>
      </w:r>
      <w:r>
        <w:rPr>
          <w:snapToGrid w:val="0"/>
        </w:rPr>
        <w:t>.</w:t>
      </w:r>
      <w:r>
        <w:rPr>
          <w:snapToGrid w:val="0"/>
        </w:rPr>
        <w:tab/>
        <w:t>Penalties</w:t>
      </w:r>
      <w:bookmarkEnd w:id="82"/>
      <w:bookmarkEnd w:id="83"/>
      <w:bookmarkEnd w:id="84"/>
      <w:bookmarkEnd w:id="85"/>
      <w:bookmarkEnd w:id="86"/>
      <w:bookmarkEnd w:id="8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88" w:name="_Toc378164751"/>
      <w:bookmarkStart w:id="89" w:name="_Toc153176884"/>
      <w:bookmarkStart w:id="90" w:name="_Toc360111289"/>
      <w:r>
        <w:rPr>
          <w:rStyle w:val="CharSectno"/>
        </w:rPr>
        <w:t>16</w:t>
      </w:r>
      <w:r>
        <w:t>.</w:t>
      </w:r>
      <w:r>
        <w:tab/>
        <w:t>Infringement notices</w:t>
      </w:r>
      <w:bookmarkEnd w:id="88"/>
      <w:bookmarkEnd w:id="89"/>
      <w:bookmarkEnd w:id="9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1" w:name="_Toc378164752"/>
      <w:bookmarkStart w:id="92" w:name="_Toc92694634"/>
      <w:bookmarkStart w:id="93" w:name="_Toc92878576"/>
      <w:bookmarkStart w:id="94" w:name="_Toc92878622"/>
      <w:bookmarkStart w:id="95" w:name="_Toc139257815"/>
      <w:bookmarkStart w:id="96" w:name="_Toc139257849"/>
      <w:bookmarkStart w:id="97" w:name="_Toc146624698"/>
      <w:bookmarkStart w:id="98" w:name="_Toc146685527"/>
      <w:bookmarkStart w:id="99" w:name="_Toc148339289"/>
      <w:bookmarkStart w:id="100" w:name="_Toc148344865"/>
      <w:bookmarkStart w:id="101" w:name="_Toc148344902"/>
      <w:bookmarkStart w:id="102" w:name="_Toc149706397"/>
      <w:bookmarkStart w:id="103" w:name="_Toc150157319"/>
      <w:bookmarkStart w:id="104" w:name="_Toc153176885"/>
      <w:bookmarkStart w:id="105" w:name="_Toc156290769"/>
      <w:bookmarkStart w:id="106" w:name="_Toc156357298"/>
      <w:bookmarkStart w:id="107" w:name="_Toc170721809"/>
      <w:bookmarkStart w:id="108" w:name="_Toc202599574"/>
      <w:bookmarkStart w:id="109" w:name="_Toc233694940"/>
      <w:bookmarkStart w:id="110" w:name="_Toc235608343"/>
      <w:bookmarkStart w:id="111" w:name="_Toc236196588"/>
      <w:bookmarkStart w:id="112" w:name="_Toc236205066"/>
      <w:bookmarkStart w:id="113" w:name="_Toc238008888"/>
      <w:bookmarkStart w:id="114" w:name="_Toc265665252"/>
      <w:bookmarkStart w:id="115" w:name="_Toc297280101"/>
      <w:bookmarkStart w:id="116" w:name="_Toc328486717"/>
      <w:bookmarkStart w:id="117" w:name="_Toc360111290"/>
      <w:r>
        <w:rPr>
          <w:rStyle w:val="CharSchNo"/>
        </w:rPr>
        <w:t>First Schedule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118" w:author="Master Repository Process" w:date="2021-08-01T04:41:00Z">
              <w:r>
                <w:rPr>
                  <w:sz w:val="20"/>
                </w:rPr>
                <w:t>, some or all of the following action may be taken —</w:t>
              </w:r>
            </w:ins>
            <w:r>
              <w:rPr>
                <w:sz w:val="20"/>
              </w:rPr>
              <w:t xml:space="preserve"> your driver’s licence </w:t>
            </w:r>
            <w:del w:id="119" w:author="Master Repository Process" w:date="2021-08-01T04:41:00Z">
              <w:r>
                <w:rPr>
                  <w:sz w:val="20"/>
                </w:rPr>
                <w:delText>and/or</w:delText>
              </w:r>
            </w:del>
            <w:ins w:id="120" w:author="Master Repository Process" w:date="2021-08-01T04:41:00Z">
              <w:r>
                <w:rPr>
                  <w:sz w:val="20"/>
                </w:rPr>
                <w:t>may be suspended; your</w:t>
              </w:r>
            </w:ins>
            <w:r>
              <w:rPr>
                <w:sz w:val="20"/>
              </w:rPr>
              <w:t xml:space="preserve"> vehicle licence may be suspended</w:t>
            </w:r>
            <w:ins w:id="121" w:author="Master Repository Process" w:date="2021-08-01T04:41:00Z">
              <w:r>
                <w:rPr>
                  <w:sz w:val="20"/>
                </w:rPr>
                <w:t xml:space="preserve"> or cancelled; your details may be published on a website; your vehicle may be immobilised or have its number plates removed; and your property may be seized and sold</w:t>
              </w:r>
            </w:ins>
            <w:r>
              <w:rPr>
                <w:sz w:val="20"/>
              </w:rPr>
              <w:t>.</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w:t>
      </w:r>
      <w:del w:id="122" w:author="Master Repository Process" w:date="2021-08-01T04:41:00Z">
        <w:r>
          <w:delText>4103</w:delText>
        </w:r>
      </w:del>
      <w:ins w:id="123" w:author="Master Repository Process" w:date="2021-08-01T04:41:00Z">
        <w:r>
          <w:t>4103; amended in Gazette 20 Aug 2013 p. 3828</w:t>
        </w:r>
      </w:ins>
      <w:r>
        <w:t>.]</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24" w:name="_Toc378164753"/>
      <w:bookmarkStart w:id="125" w:name="_Toc92694635"/>
      <w:bookmarkStart w:id="126" w:name="_Toc92878577"/>
      <w:bookmarkStart w:id="127" w:name="_Toc92878623"/>
      <w:bookmarkStart w:id="128" w:name="_Toc139257816"/>
      <w:bookmarkStart w:id="129" w:name="_Toc139257850"/>
      <w:bookmarkStart w:id="130" w:name="_Toc146624699"/>
      <w:bookmarkStart w:id="131" w:name="_Toc146685528"/>
      <w:bookmarkStart w:id="132" w:name="_Toc148339290"/>
      <w:bookmarkStart w:id="133" w:name="_Toc148344866"/>
      <w:bookmarkStart w:id="134" w:name="_Toc148344903"/>
      <w:bookmarkStart w:id="135" w:name="_Toc149706398"/>
      <w:bookmarkStart w:id="136" w:name="_Toc150157320"/>
      <w:bookmarkStart w:id="137" w:name="_Toc153176886"/>
      <w:bookmarkStart w:id="138" w:name="_Toc156290770"/>
      <w:bookmarkStart w:id="139" w:name="_Toc156357299"/>
      <w:bookmarkStart w:id="140" w:name="_Toc170721810"/>
      <w:bookmarkStart w:id="141" w:name="_Toc202599575"/>
      <w:bookmarkStart w:id="142" w:name="_Toc233694941"/>
      <w:bookmarkStart w:id="143" w:name="_Toc235608344"/>
      <w:bookmarkStart w:id="144" w:name="_Toc236196589"/>
      <w:bookmarkStart w:id="145" w:name="_Toc236205067"/>
      <w:bookmarkStart w:id="146" w:name="_Toc238008889"/>
      <w:bookmarkStart w:id="147" w:name="_Toc265665253"/>
      <w:bookmarkStart w:id="148" w:name="_Toc297280102"/>
      <w:bookmarkStart w:id="149" w:name="_Toc328486718"/>
      <w:bookmarkStart w:id="150" w:name="_Toc360111291"/>
      <w:r>
        <w:rPr>
          <w:rStyle w:val="CharSchNo"/>
        </w:rPr>
        <w:t>Second Schedule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51" w:name="_Toc378164754"/>
      <w:bookmarkStart w:id="152" w:name="_Toc146624700"/>
      <w:bookmarkStart w:id="153" w:name="_Toc146685529"/>
      <w:bookmarkStart w:id="154" w:name="_Toc148339291"/>
      <w:bookmarkStart w:id="155" w:name="_Toc148344867"/>
      <w:bookmarkStart w:id="156" w:name="_Toc148344904"/>
      <w:bookmarkStart w:id="157" w:name="_Toc149706399"/>
      <w:bookmarkStart w:id="158" w:name="_Toc150157321"/>
      <w:bookmarkStart w:id="159" w:name="_Toc153176887"/>
      <w:bookmarkStart w:id="160" w:name="_Toc156290771"/>
      <w:bookmarkStart w:id="161" w:name="_Toc156357300"/>
      <w:bookmarkStart w:id="162" w:name="_Toc170721811"/>
      <w:bookmarkStart w:id="163" w:name="_Toc202599576"/>
      <w:bookmarkStart w:id="164" w:name="_Toc233694942"/>
      <w:bookmarkStart w:id="165" w:name="_Toc235608345"/>
      <w:bookmarkStart w:id="166" w:name="_Toc236196590"/>
      <w:bookmarkStart w:id="167" w:name="_Toc236205068"/>
      <w:bookmarkStart w:id="168" w:name="_Toc238008890"/>
      <w:bookmarkStart w:id="169" w:name="_Toc265665254"/>
      <w:bookmarkStart w:id="170" w:name="_Toc297280103"/>
      <w:bookmarkStart w:id="171" w:name="_Toc328486719"/>
      <w:bookmarkStart w:id="172" w:name="_Toc360111292"/>
      <w:r>
        <w:rPr>
          <w:rStyle w:val="CharSchNo"/>
        </w:rPr>
        <w:t>Third Schedule</w:t>
      </w:r>
      <w:r>
        <w:t> — </w:t>
      </w:r>
      <w:r>
        <w:rPr>
          <w:rStyle w:val="CharSchText"/>
        </w:rPr>
        <w:t>Prescribed offences and modified penalties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3" w:name="_Toc378164755"/>
      <w:bookmarkStart w:id="174" w:name="_Toc92694636"/>
      <w:bookmarkStart w:id="175" w:name="_Toc92878578"/>
      <w:bookmarkStart w:id="176" w:name="_Toc92878624"/>
      <w:bookmarkStart w:id="177" w:name="_Toc92878671"/>
      <w:bookmarkStart w:id="178" w:name="_Toc139257817"/>
      <w:bookmarkStart w:id="179" w:name="_Toc139257851"/>
      <w:bookmarkStart w:id="180" w:name="_Toc146624701"/>
      <w:bookmarkStart w:id="181" w:name="_Toc146685530"/>
      <w:bookmarkStart w:id="182" w:name="_Toc148339292"/>
      <w:bookmarkStart w:id="183" w:name="_Toc148344868"/>
      <w:bookmarkStart w:id="184" w:name="_Toc148344905"/>
      <w:bookmarkStart w:id="185" w:name="_Toc149706400"/>
      <w:bookmarkStart w:id="186" w:name="_Toc150157322"/>
      <w:bookmarkStart w:id="187" w:name="_Toc153176888"/>
      <w:bookmarkStart w:id="188" w:name="_Toc156290772"/>
      <w:bookmarkStart w:id="189" w:name="_Toc156357301"/>
      <w:bookmarkStart w:id="190" w:name="_Toc170721812"/>
      <w:bookmarkStart w:id="191" w:name="_Toc202599577"/>
      <w:bookmarkStart w:id="192" w:name="_Toc233694943"/>
      <w:bookmarkStart w:id="193" w:name="_Toc235608346"/>
      <w:bookmarkStart w:id="194" w:name="_Toc236196591"/>
      <w:bookmarkStart w:id="195" w:name="_Toc236205069"/>
      <w:bookmarkStart w:id="196" w:name="_Toc238008891"/>
      <w:bookmarkStart w:id="197" w:name="_Toc265665255"/>
      <w:bookmarkStart w:id="198" w:name="_Toc297280104"/>
      <w:bookmarkStart w:id="199" w:name="_Toc328486720"/>
      <w:bookmarkStart w:id="200" w:name="_Toc360111293"/>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1" w:name="_Toc378164756"/>
      <w:bookmarkStart w:id="202" w:name="_Toc360111294"/>
      <w:r>
        <w:rPr>
          <w:snapToGrid w:val="0"/>
        </w:rPr>
        <w:t>Compilation table</w:t>
      </w:r>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9" w:type="dxa"/>
          </w:tcPr>
          <w:p>
            <w:pPr>
              <w:pStyle w:val="nTable"/>
              <w:spacing w:after="40"/>
              <w:ind w:right="113"/>
              <w:rPr>
                <w:i/>
                <w:sz w:val="19"/>
              </w:rPr>
            </w:pPr>
            <w:r>
              <w:rPr>
                <w:i/>
                <w:sz w:val="19"/>
              </w:rPr>
              <w:t>Debt Collectors Licensing Amendment Regulations 2012</w:t>
            </w:r>
          </w:p>
        </w:tc>
        <w:tc>
          <w:tcPr>
            <w:tcW w:w="1276" w:type="dxa"/>
          </w:tcPr>
          <w:p>
            <w:pPr>
              <w:pStyle w:val="nTable"/>
              <w:spacing w:after="40"/>
              <w:rPr>
                <w:sz w:val="19"/>
              </w:rPr>
            </w:pPr>
            <w:r>
              <w:rPr>
                <w:sz w:val="19"/>
              </w:rPr>
              <w:t>15 Jun 2012 p. 2585-6</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rPr>
          <w:cantSplit/>
        </w:trPr>
        <w:tc>
          <w:tcPr>
            <w:tcW w:w="3119" w:type="dxa"/>
          </w:tcPr>
          <w:p>
            <w:pPr>
              <w:pStyle w:val="nTable"/>
              <w:spacing w:after="40"/>
              <w:ind w:right="113"/>
              <w:rPr>
                <w:i/>
                <w:sz w:val="19"/>
              </w:rPr>
            </w:pPr>
            <w:r>
              <w:rPr>
                <w:i/>
                <w:sz w:val="19"/>
              </w:rPr>
              <w:t>Debt Collectors Licensing Amendment Regulations (No. 2) 2013</w:t>
            </w:r>
          </w:p>
        </w:tc>
        <w:tc>
          <w:tcPr>
            <w:tcW w:w="1276" w:type="dxa"/>
          </w:tcPr>
          <w:p>
            <w:pPr>
              <w:pStyle w:val="nTable"/>
              <w:spacing w:after="40"/>
              <w:rPr>
                <w:sz w:val="19"/>
              </w:rPr>
            </w:pPr>
            <w:r>
              <w:rPr>
                <w:sz w:val="19"/>
              </w:rPr>
              <w:t>27 Jun 2013 p. 2677-8</w:t>
            </w:r>
          </w:p>
        </w:tc>
        <w:tc>
          <w:tcPr>
            <w:tcW w:w="2693" w:type="dxa"/>
          </w:tcPr>
          <w:p>
            <w:pPr>
              <w:pStyle w:val="nTable"/>
              <w:spacing w:after="40"/>
              <w:rPr>
                <w:i/>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rPr>
          <w:cantSplit/>
          <w:ins w:id="203" w:author="Master Repository Process" w:date="2021-08-01T04:41:00Z"/>
        </w:trPr>
        <w:tc>
          <w:tcPr>
            <w:tcW w:w="3119" w:type="dxa"/>
            <w:tcBorders>
              <w:bottom w:val="single" w:sz="4" w:space="0" w:color="auto"/>
            </w:tcBorders>
          </w:tcPr>
          <w:p>
            <w:pPr>
              <w:pStyle w:val="nTable"/>
              <w:spacing w:after="40"/>
              <w:ind w:right="113"/>
              <w:rPr>
                <w:ins w:id="204" w:author="Master Repository Process" w:date="2021-08-01T04:41:00Z"/>
                <w:i/>
                <w:sz w:val="19"/>
              </w:rPr>
            </w:pPr>
            <w:ins w:id="205" w:author="Master Repository Process" w:date="2021-08-01T04:41:00Z">
              <w:r>
                <w:rPr>
                  <w:i/>
                  <w:sz w:val="19"/>
                </w:rPr>
                <w:t>Debt Collectors Licensing Amendment Regulations 2013</w:t>
              </w:r>
            </w:ins>
          </w:p>
        </w:tc>
        <w:tc>
          <w:tcPr>
            <w:tcW w:w="1276" w:type="dxa"/>
            <w:tcBorders>
              <w:bottom w:val="single" w:sz="4" w:space="0" w:color="auto"/>
            </w:tcBorders>
          </w:tcPr>
          <w:p>
            <w:pPr>
              <w:pStyle w:val="nTable"/>
              <w:spacing w:after="40"/>
              <w:rPr>
                <w:ins w:id="206" w:author="Master Repository Process" w:date="2021-08-01T04:41:00Z"/>
                <w:sz w:val="19"/>
              </w:rPr>
            </w:pPr>
            <w:ins w:id="207" w:author="Master Repository Process" w:date="2021-08-01T04:41:00Z">
              <w:r>
                <w:rPr>
                  <w:sz w:val="19"/>
                </w:rPr>
                <w:t>20 Aug 2013 p. 3828</w:t>
              </w:r>
            </w:ins>
          </w:p>
        </w:tc>
        <w:tc>
          <w:tcPr>
            <w:tcW w:w="2693" w:type="dxa"/>
            <w:tcBorders>
              <w:bottom w:val="single" w:sz="4" w:space="0" w:color="auto"/>
            </w:tcBorders>
          </w:tcPr>
          <w:p>
            <w:pPr>
              <w:pStyle w:val="nTable"/>
              <w:spacing w:after="40"/>
              <w:rPr>
                <w:ins w:id="208" w:author="Master Repository Process" w:date="2021-08-01T04:41:00Z"/>
                <w:i/>
                <w:snapToGrid w:val="0"/>
                <w:spacing w:val="-2"/>
                <w:sz w:val="19"/>
              </w:rPr>
            </w:pPr>
            <w:ins w:id="209" w:author="Master Repository Process" w:date="2021-08-01T04:41:00Z">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ins>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z w:val="16"/>
        </w:rPr>
      </w:pPr>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630"/>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51210085630" w:val="RemoveTrackChanges"/>
    <w:docVar w:name="WAFER_20151210085630_GUID" w:val="87841736-c7c6-41a5-a733-b78754167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5A63B33-0CCB-4855-881B-57C668DE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4452</Words>
  <Characters>24089</Characters>
  <Application>Microsoft Office Word</Application>
  <DocSecurity>0</DocSecurity>
  <Lines>752</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04-e0-01 - 04-f0-02</dc:title>
  <dc:subject/>
  <dc:creator/>
  <cp:keywords/>
  <dc:description/>
  <cp:lastModifiedBy>Master Repository Process</cp:lastModifiedBy>
  <cp:revision>2</cp:revision>
  <cp:lastPrinted>2009-08-14T02:45:00Z</cp:lastPrinted>
  <dcterms:created xsi:type="dcterms:W3CDTF">2021-07-31T20:41:00Z</dcterms:created>
  <dcterms:modified xsi:type="dcterms:W3CDTF">2021-07-31T20:42:00Z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01 Jul 2013</vt:lpwstr>
  </property>
  <property fmtid="{D5CDD505-2E9C-101B-9397-08002B2CF9AE}" pid="9" name="ToSuffix">
    <vt:lpwstr>04-f0-02</vt:lpwstr>
  </property>
  <property fmtid="{D5CDD505-2E9C-101B-9397-08002B2CF9AE}" pid="10" name="ToAsAtDate">
    <vt:lpwstr>21 Aug 2013</vt:lpwstr>
  </property>
</Properties>
</file>