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2013</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Oct 2013</w:t>
      </w:r>
      <w:r>
        <w:fldChar w:fldCharType="end"/>
      </w:r>
      <w:r>
        <w:t xml:space="preserve">, </w:t>
      </w:r>
      <w:r>
        <w:fldChar w:fldCharType="begin"/>
      </w:r>
      <w:r>
        <w:instrText xml:space="preserve"> DocProperty ToSuffix</w:instrText>
      </w:r>
      <w:r>
        <w:fldChar w:fldCharType="separate"/>
      </w:r>
      <w:r>
        <w:t>00-c0-10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Fair Trading Act 2010</w:t>
      </w:r>
    </w:p>
    <w:p>
      <w:pPr>
        <w:pStyle w:val="NameofActReg"/>
      </w:pPr>
      <w:r>
        <w:t>Fair Trading (Retirement Villages Interim Code) Regulations 2013</w:t>
      </w:r>
    </w:p>
    <w:p>
      <w:pPr>
        <w:pStyle w:val="Heading5"/>
      </w:pPr>
      <w:bookmarkStart w:id="1" w:name="_Toc377546539"/>
      <w:bookmarkStart w:id="2" w:name="_Toc435100997"/>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346019056"/>
      <w:bookmarkStart w:id="11" w:name="_Toc347312777"/>
      <w:bookmarkStart w:id="12" w:name="_Toc347319740"/>
      <w:bookmarkStart w:id="13" w:name="_Toc352160721"/>
      <w:r>
        <w:rPr>
          <w:rStyle w:val="CharSectno"/>
        </w:rPr>
        <w:t>1</w:t>
      </w:r>
      <w:bookmarkStart w:id="14" w:name="_GoBack"/>
      <w:bookmarkEnd w:id="14"/>
      <w:r>
        <w:t>.</w:t>
      </w:r>
      <w: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Fair Trading (Retirement Villages Interim Code) Regulations 2013</w:t>
      </w:r>
      <w:r>
        <w:t>.</w:t>
      </w:r>
    </w:p>
    <w:p>
      <w:pPr>
        <w:pStyle w:val="Heading5"/>
        <w:rPr>
          <w:spacing w:val="-2"/>
        </w:rPr>
      </w:pPr>
      <w:bookmarkStart w:id="16" w:name="_Toc377546540"/>
      <w:bookmarkStart w:id="17" w:name="_Toc435100998"/>
      <w:bookmarkStart w:id="18" w:name="_Toc423332723"/>
      <w:bookmarkStart w:id="19" w:name="_Toc425219442"/>
      <w:bookmarkStart w:id="20" w:name="_Toc426249309"/>
      <w:bookmarkStart w:id="21" w:name="_Toc449924705"/>
      <w:bookmarkStart w:id="22" w:name="_Toc449947723"/>
      <w:bookmarkStart w:id="23" w:name="_Toc454185714"/>
      <w:bookmarkStart w:id="24" w:name="_Toc515958687"/>
      <w:bookmarkStart w:id="25" w:name="_Toc346019057"/>
      <w:bookmarkStart w:id="26" w:name="_Toc347312778"/>
      <w:bookmarkStart w:id="27" w:name="_Toc347319741"/>
      <w:bookmarkStart w:id="28" w:name="_Toc352160722"/>
      <w:r>
        <w:rPr>
          <w:rStyle w:val="CharSectno"/>
        </w:rPr>
        <w:t>2</w:t>
      </w:r>
      <w:r>
        <w:rPr>
          <w:spacing w:val="-2"/>
        </w:rPr>
        <w:t>.</w:t>
      </w:r>
      <w:r>
        <w:rPr>
          <w:spacing w:val="-2"/>
        </w:rPr>
        <w:tab/>
        <w:t>Commencement</w:t>
      </w:r>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2013.</w:t>
      </w:r>
    </w:p>
    <w:p>
      <w:pPr>
        <w:pStyle w:val="Heading5"/>
        <w:rPr>
          <w:snapToGrid w:val="0"/>
        </w:rPr>
      </w:pPr>
      <w:bookmarkStart w:id="29" w:name="_Toc377546541"/>
      <w:bookmarkStart w:id="30" w:name="_Toc435100999"/>
      <w:bookmarkStart w:id="31" w:name="_Toc352136909"/>
      <w:bookmarkStart w:id="32" w:name="_Toc352160723"/>
      <w:r>
        <w:rPr>
          <w:rStyle w:val="CharSectno"/>
        </w:rPr>
        <w:t>3</w:t>
      </w:r>
      <w:r>
        <w:rPr>
          <w:snapToGrid w:val="0"/>
        </w:rPr>
        <w:t>.</w:t>
      </w:r>
      <w:r>
        <w:rPr>
          <w:snapToGrid w:val="0"/>
        </w:rPr>
        <w:tab/>
        <w:t>Code of practice prescribed</w:t>
      </w:r>
      <w:bookmarkEnd w:id="29"/>
      <w:bookmarkEnd w:id="30"/>
      <w:bookmarkEnd w:id="31"/>
      <w:bookmarkEnd w:id="32"/>
    </w:p>
    <w:p>
      <w:pPr>
        <w:pStyle w:val="Subsection"/>
      </w:pPr>
      <w:r>
        <w:tab/>
        <w:t>(1)</w:t>
      </w:r>
      <w:r>
        <w:tab/>
        <w:t xml:space="preserve">The code of practice set out in Schedule 1 and cited as the </w:t>
      </w:r>
      <w:r>
        <w:rPr>
          <w:i/>
        </w:rPr>
        <w:t>Interim Code of Fair Practice for Retirement Villages 2013</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 xml:space="preserve">Interim Code of Fair Practice for Retirement Villages 2013 </w:t>
      </w:r>
      <w:r>
        <w:t>is to remain in force for the period of 6 months beginning on 1 April 2013.</w:t>
      </w:r>
    </w:p>
    <w:p>
      <w:pPr>
        <w:pStyle w:val="Heading5"/>
      </w:pPr>
      <w:bookmarkStart w:id="33" w:name="_Toc377546542"/>
      <w:bookmarkStart w:id="34" w:name="_Toc435101000"/>
      <w:bookmarkStart w:id="35" w:name="_Toc352136910"/>
      <w:bookmarkStart w:id="36" w:name="_Toc352160724"/>
      <w:r>
        <w:rPr>
          <w:rStyle w:val="CharSectno"/>
        </w:rPr>
        <w:t>4</w:t>
      </w:r>
      <w:r>
        <w:t>.</w:t>
      </w:r>
      <w:r>
        <w:tab/>
        <w:t>Terms used in the code of practice</w:t>
      </w:r>
      <w:bookmarkEnd w:id="33"/>
      <w:bookmarkEnd w:id="34"/>
      <w:bookmarkEnd w:id="35"/>
      <w:bookmarkEnd w:id="36"/>
    </w:p>
    <w:p>
      <w:pPr>
        <w:pStyle w:val="Subsection"/>
      </w:pPr>
      <w:r>
        <w:tab/>
        <w:t>(1)</w:t>
      </w:r>
      <w:r>
        <w:tab/>
        <w:t xml:space="preserve">Except where the contrary intention appears, words and expressions used in the </w:t>
      </w:r>
      <w:r>
        <w:rPr>
          <w:i/>
        </w:rPr>
        <w:t xml:space="preserve">Interim Code of Fair Practice for </w:t>
      </w:r>
      <w:r>
        <w:rPr>
          <w:i/>
        </w:rPr>
        <w:lastRenderedPageBreak/>
        <w:t>Retirement Villages 2013</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2013</w:t>
      </w:r>
      <w:r>
        <w:t xml:space="preserve"> are not part of the Code and are included only to assist readers of the Code.</w:t>
      </w:r>
    </w:p>
    <w:p>
      <w:pPr>
        <w:pStyle w:val="Heading5"/>
      </w:pPr>
      <w:bookmarkStart w:id="37" w:name="_Toc377546543"/>
      <w:bookmarkStart w:id="38" w:name="_Toc435101001"/>
      <w:bookmarkStart w:id="39" w:name="_Toc352136911"/>
      <w:bookmarkStart w:id="40" w:name="_Toc352160725"/>
      <w:r>
        <w:rPr>
          <w:rStyle w:val="CharSectno"/>
        </w:rPr>
        <w:t>5</w:t>
      </w:r>
      <w:r>
        <w:t>.</w:t>
      </w:r>
      <w:r>
        <w:tab/>
      </w:r>
      <w:r>
        <w:rPr>
          <w:i/>
        </w:rPr>
        <w:t>Fair Trading (Retirement Villages Interim Code) Regulations 2012</w:t>
      </w:r>
      <w:r>
        <w:t> repealed</w:t>
      </w:r>
      <w:bookmarkEnd w:id="37"/>
      <w:bookmarkEnd w:id="38"/>
      <w:bookmarkEnd w:id="39"/>
      <w:bookmarkEnd w:id="40"/>
    </w:p>
    <w:p>
      <w:pPr>
        <w:pStyle w:val="Subsection"/>
      </w:pPr>
      <w:r>
        <w:tab/>
      </w:r>
      <w:r>
        <w:tab/>
        <w:t xml:space="preserve">The </w:t>
      </w:r>
      <w:r>
        <w:rPr>
          <w:i/>
        </w:rPr>
        <w:t>Fair Trading (Retirement Villages Interim Code) Regulations 2012</w:t>
      </w:r>
      <w:r>
        <w:t xml:space="preserve"> are repealed.</w:t>
      </w: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bookmarkStart w:id="41" w:name="_Toc352136912"/>
    </w:p>
    <w:p>
      <w:pPr>
        <w:pStyle w:val="yScheduleHeading"/>
      </w:pPr>
      <w:bookmarkStart w:id="42" w:name="_Toc377546544"/>
      <w:bookmarkStart w:id="43" w:name="_Toc426552098"/>
      <w:bookmarkStart w:id="44" w:name="_Toc426552171"/>
      <w:bookmarkStart w:id="45" w:name="_Toc435101002"/>
      <w:bookmarkStart w:id="46" w:name="_Toc352154970"/>
      <w:bookmarkStart w:id="47" w:name="_Toc352155034"/>
      <w:bookmarkStart w:id="48" w:name="_Toc352156504"/>
      <w:bookmarkStart w:id="49" w:name="_Toc352156752"/>
      <w:bookmarkStart w:id="50" w:name="_Toc352157306"/>
      <w:bookmarkStart w:id="51" w:name="_Toc352157721"/>
      <w:bookmarkStart w:id="52" w:name="_Toc352160602"/>
      <w:bookmarkStart w:id="53" w:name="_Toc352160664"/>
      <w:bookmarkStart w:id="54" w:name="_Toc352160726"/>
      <w:bookmarkStart w:id="55" w:name="_Toc377546598"/>
      <w:bookmarkStart w:id="56" w:name="_Toc426552152"/>
      <w:bookmarkStart w:id="57" w:name="_Toc426552225"/>
      <w:bookmarkStart w:id="58" w:name="_Toc435101056"/>
      <w:r>
        <w:rPr>
          <w:rStyle w:val="CharSchNo"/>
        </w:rPr>
        <w:t>Schedule 1</w:t>
      </w:r>
      <w:r>
        <w:rPr>
          <w:rStyle w:val="CharSDivNo"/>
        </w:rPr>
        <w:t> </w:t>
      </w:r>
      <w:r>
        <w:t>—</w:t>
      </w:r>
      <w:r>
        <w:rPr>
          <w:rStyle w:val="CharSDivText"/>
        </w:rPr>
        <w:t> </w:t>
      </w:r>
      <w:r>
        <w:rPr>
          <w:rStyle w:val="CharSchText"/>
          <w:i/>
        </w:rPr>
        <w:t>Interim Code of Fair Practice for Retirement Villages 2013</w:t>
      </w:r>
      <w:bookmarkEnd w:id="42"/>
      <w:bookmarkEnd w:id="43"/>
      <w:bookmarkEnd w:id="44"/>
      <w:bookmarkEnd w:id="45"/>
      <w:bookmarkEnd w:id="41"/>
      <w:bookmarkEnd w:id="46"/>
      <w:bookmarkEnd w:id="47"/>
      <w:bookmarkEnd w:id="48"/>
      <w:bookmarkEnd w:id="49"/>
      <w:bookmarkEnd w:id="50"/>
      <w:bookmarkEnd w:id="51"/>
      <w:bookmarkEnd w:id="52"/>
      <w:bookmarkEnd w:id="53"/>
      <w:bookmarkEnd w:id="54"/>
    </w:p>
    <w:p>
      <w:pPr>
        <w:pStyle w:val="yShoulderClause"/>
      </w:pPr>
      <w:r>
        <w:t xml:space="preserve">[r. 3(1)] </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44.  It is, in substance, the same as the </w:t>
      </w:r>
      <w:r>
        <w:rPr>
          <w:i/>
          <w:sz w:val="24"/>
          <w:szCs w:val="24"/>
        </w:rPr>
        <w:t xml:space="preserve">Interim Code of Fair Practice for Retirement Villages 2012, </w:t>
      </w:r>
      <w:r>
        <w:rPr>
          <w:sz w:val="24"/>
          <w:szCs w:val="24"/>
        </w:rPr>
        <w:t>which</w:t>
      </w:r>
      <w:r>
        <w:rPr>
          <w:i/>
          <w:sz w:val="24"/>
          <w:szCs w:val="24"/>
        </w:rPr>
        <w:t xml:space="preserve"> </w:t>
      </w:r>
      <w:r>
        <w:rPr>
          <w:sz w:val="24"/>
          <w:szCs w:val="24"/>
        </w:rPr>
        <w:t>lapsed on 31 March 2013.  This Code will remain in force for 6 months from 1 April 2013,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ins w:id="59" w:author="Master Repository Process" w:date="2021-08-01T14:58:00Z">
        <w:r>
          <w:rPr>
            <w:rFonts w:ascii="Symbol" w:hAnsi="Symbol"/>
            <w:sz w:val="24"/>
            <w:szCs w:val="24"/>
          </w:rPr>
          <w:t></w:t>
        </w:r>
        <w:r>
          <w:rPr>
            <w:rFonts w:ascii="Symbol" w:hAnsi="Symbol"/>
            <w:sz w:val="24"/>
            <w:szCs w:val="24"/>
          </w:rPr>
          <w:tab/>
        </w:r>
      </w:ins>
      <w:r>
        <w:rPr>
          <w:sz w:val="24"/>
          <w:szCs w:val="24"/>
        </w:rPr>
        <w:t>the administering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 w:val="24"/>
          <w:szCs w:val="24"/>
        </w:rPr>
      </w:pPr>
      <w:ins w:id="60" w:author="Master Repository Process" w:date="2021-08-01T14:58:00Z">
        <w:r>
          <w:rPr>
            <w:rFonts w:ascii="Symbol" w:hAnsi="Symbol"/>
            <w:sz w:val="24"/>
            <w:szCs w:val="24"/>
          </w:rPr>
          <w:t></w:t>
        </w:r>
        <w:r>
          <w:rPr>
            <w:rFonts w:ascii="Symbol" w:hAnsi="Symbol"/>
            <w:sz w:val="24"/>
            <w:szCs w:val="24"/>
          </w:rPr>
          <w:tab/>
        </w:r>
      </w:ins>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 w:val="24"/>
          <w:szCs w:val="24"/>
        </w:rPr>
      </w:pPr>
      <w:r>
        <w:rPr>
          <w:sz w:val="24"/>
          <w:szCs w:val="24"/>
        </w:rPr>
        <w:t>An administering body that fails to comply with an order made by the State Administrative Tribunal commits an offence that is punishable by a fine of up to $50,000.</w:t>
      </w:r>
    </w:p>
    <w:p>
      <w:pPr>
        <w:sectPr>
          <w:headerReference w:type="even" r:id="rId15"/>
          <w:headerReference w:type="default" r:id="rId16"/>
          <w:pgSz w:w="11907" w:h="16840" w:code="9"/>
          <w:pgMar w:top="2381" w:right="2410" w:bottom="3544" w:left="2410" w:header="720" w:footer="3544" w:gutter="0"/>
          <w:cols w:space="720"/>
        </w:sectPr>
      </w:pPr>
      <w:bookmarkStart w:id="62" w:name="_Toc352136913"/>
    </w:p>
    <w:p>
      <w:pPr>
        <w:pStyle w:val="yHeading3"/>
      </w:pPr>
      <w:bookmarkStart w:id="63" w:name="_Toc377546545"/>
      <w:bookmarkStart w:id="64" w:name="_Toc426552099"/>
      <w:bookmarkStart w:id="65" w:name="_Toc426552172"/>
      <w:bookmarkStart w:id="66" w:name="_Toc435101003"/>
      <w:bookmarkStart w:id="67" w:name="_Toc352154971"/>
      <w:bookmarkStart w:id="68" w:name="_Toc352155035"/>
      <w:bookmarkStart w:id="69" w:name="_Toc352156505"/>
      <w:bookmarkStart w:id="70" w:name="_Toc352156753"/>
      <w:bookmarkStart w:id="71" w:name="_Toc352157307"/>
      <w:bookmarkStart w:id="72" w:name="_Toc352157722"/>
      <w:bookmarkStart w:id="73" w:name="_Toc352160603"/>
      <w:bookmarkStart w:id="74" w:name="_Toc352160665"/>
      <w:bookmarkStart w:id="75" w:name="_Toc352160727"/>
      <w:r>
        <w:rPr>
          <w:rStyle w:val="CharSDivNo"/>
        </w:rPr>
        <w:t>Division 1</w:t>
      </w:r>
      <w:r>
        <w:t> — </w:t>
      </w:r>
      <w:r>
        <w:rPr>
          <w:rStyle w:val="CharSDivText"/>
        </w:rPr>
        <w:t>Preliminary</w:t>
      </w:r>
      <w:bookmarkEnd w:id="63"/>
      <w:bookmarkEnd w:id="64"/>
      <w:bookmarkEnd w:id="65"/>
      <w:bookmarkEnd w:id="66"/>
      <w:bookmarkEnd w:id="62"/>
      <w:bookmarkEnd w:id="67"/>
      <w:bookmarkEnd w:id="68"/>
      <w:bookmarkEnd w:id="69"/>
      <w:bookmarkEnd w:id="70"/>
      <w:bookmarkEnd w:id="71"/>
      <w:bookmarkEnd w:id="72"/>
      <w:bookmarkEnd w:id="73"/>
      <w:bookmarkEnd w:id="74"/>
      <w:bookmarkEnd w:id="75"/>
    </w:p>
    <w:p>
      <w:pPr>
        <w:pStyle w:val="yHeading5"/>
        <w:keepLines w:val="0"/>
        <w:spacing w:before="120"/>
        <w:rPr>
          <w:sz w:val="24"/>
        </w:rPr>
      </w:pPr>
      <w:bookmarkStart w:id="76" w:name="_Toc377546546"/>
      <w:bookmarkStart w:id="77" w:name="_Toc435101004"/>
      <w:bookmarkStart w:id="78" w:name="_Toc352136914"/>
      <w:bookmarkStart w:id="79" w:name="_Toc352160728"/>
      <w:r>
        <w:rPr>
          <w:rStyle w:val="CharSClsNo"/>
          <w:sz w:val="24"/>
        </w:rPr>
        <w:t>1.1</w:t>
      </w:r>
      <w:r>
        <w:rPr>
          <w:sz w:val="24"/>
        </w:rPr>
        <w:tab/>
        <w:t>Citation</w:t>
      </w:r>
      <w:bookmarkEnd w:id="76"/>
      <w:bookmarkEnd w:id="77"/>
      <w:bookmarkEnd w:id="78"/>
      <w:bookmarkEnd w:id="79"/>
    </w:p>
    <w:p>
      <w:pPr>
        <w:pStyle w:val="ySubsection"/>
      </w:pPr>
      <w:r>
        <w:tab/>
      </w:r>
      <w:r>
        <w:tab/>
        <w:t xml:space="preserve">This Code is the </w:t>
      </w:r>
      <w:r>
        <w:rPr>
          <w:i/>
        </w:rPr>
        <w:t>Interim Code of Fair Practice for Retirement Villages 2013</w:t>
      </w:r>
      <w: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b/>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 w:val="24"/>
          <w:szCs w:val="24"/>
        </w:rPr>
      </w:pPr>
      <w:r>
        <w:rPr>
          <w:rStyle w:val="CharDefText"/>
          <w:sz w:val="24"/>
          <w:szCs w:val="24"/>
        </w:rPr>
        <w:t>working day</w:t>
      </w:r>
      <w:r>
        <w:rPr>
          <w:sz w:val="24"/>
          <w:szCs w:val="24"/>
        </w:rPr>
        <w:t xml:space="preserve"> means a day other than a Saturday, a Sunday or a public holiday.</w:t>
      </w:r>
    </w:p>
    <w:p>
      <w:pPr>
        <w:pStyle w:val="yHeading5"/>
        <w:rPr>
          <w:sz w:val="24"/>
        </w:rPr>
      </w:pPr>
      <w:bookmarkStart w:id="80" w:name="_Toc377546547"/>
      <w:bookmarkStart w:id="81" w:name="_Toc435101005"/>
      <w:bookmarkStart w:id="82" w:name="_Toc352136915"/>
      <w:bookmarkStart w:id="83" w:name="_Toc352160729"/>
      <w:r>
        <w:rPr>
          <w:rStyle w:val="CharSClsNo"/>
          <w:sz w:val="24"/>
        </w:rPr>
        <w:t>1.2</w:t>
      </w:r>
      <w:r>
        <w:rPr>
          <w:sz w:val="24"/>
        </w:rPr>
        <w:tab/>
        <w:t>Application</w:t>
      </w:r>
      <w:bookmarkEnd w:id="80"/>
      <w:bookmarkEnd w:id="81"/>
      <w:bookmarkEnd w:id="82"/>
      <w:bookmarkEnd w:id="83"/>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rStyle w:val="CharPartNo"/>
          <w:sz w:val="24"/>
          <w:szCs w:val="24"/>
        </w:rPr>
        <w:t xml:space="preserve">Note that under the </w:t>
      </w:r>
      <w:r>
        <w:rPr>
          <w:rStyle w:val="CharPartNo"/>
          <w:i/>
          <w:sz w:val="24"/>
          <w:szCs w:val="24"/>
        </w:rPr>
        <w:t>Fair Trading Act 2010</w:t>
      </w:r>
      <w:r>
        <w:rPr>
          <w:rStyle w:val="CharPartNo"/>
          <w:sz w:val="24"/>
          <w:szCs w:val="24"/>
        </w:rPr>
        <w:t xml:space="preserve"> section 10 this Code binds the Crown.</w:t>
      </w:r>
    </w:p>
    <w:p>
      <w:pPr>
        <w:pStyle w:val="yHeading5"/>
        <w:keepLines w:val="0"/>
        <w:rPr>
          <w:sz w:val="24"/>
        </w:rPr>
      </w:pPr>
      <w:bookmarkStart w:id="84" w:name="_Toc377546548"/>
      <w:bookmarkStart w:id="85" w:name="_Toc435101006"/>
      <w:bookmarkStart w:id="86" w:name="_Toc352136916"/>
      <w:bookmarkStart w:id="87" w:name="_Toc352160730"/>
      <w:r>
        <w:rPr>
          <w:rStyle w:val="CharSClsNo"/>
          <w:sz w:val="24"/>
        </w:rPr>
        <w:t>1.3</w:t>
      </w:r>
      <w:r>
        <w:rPr>
          <w:sz w:val="24"/>
        </w:rPr>
        <w:tab/>
        <w:t>General principles</w:t>
      </w:r>
      <w:bookmarkEnd w:id="84"/>
      <w:bookmarkEnd w:id="85"/>
      <w:bookmarkEnd w:id="86"/>
      <w:bookmarkEnd w:id="87"/>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88" w:name="_Toc377546549"/>
      <w:bookmarkStart w:id="89" w:name="_Toc435101007"/>
      <w:bookmarkStart w:id="90" w:name="_Toc352136917"/>
      <w:bookmarkStart w:id="91" w:name="_Toc352160731"/>
      <w:r>
        <w:rPr>
          <w:rStyle w:val="CharSClsNo"/>
          <w:sz w:val="24"/>
        </w:rPr>
        <w:t>1.4</w:t>
      </w:r>
      <w:r>
        <w:rPr>
          <w:sz w:val="24"/>
        </w:rPr>
        <w:tab/>
        <w:t>Objectives of the Code</w:t>
      </w:r>
      <w:bookmarkEnd w:id="88"/>
      <w:bookmarkEnd w:id="89"/>
      <w:bookmarkEnd w:id="90"/>
      <w:bookmarkEnd w:id="91"/>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92" w:name="_Toc377546550"/>
      <w:bookmarkStart w:id="93" w:name="_Toc435101008"/>
      <w:bookmarkStart w:id="94" w:name="_Toc352136918"/>
      <w:bookmarkStart w:id="95" w:name="_Toc352160732"/>
      <w:r>
        <w:rPr>
          <w:rStyle w:val="CharSClsNo"/>
          <w:sz w:val="24"/>
        </w:rPr>
        <w:t>1.5</w:t>
      </w:r>
      <w:r>
        <w:rPr>
          <w:sz w:val="24"/>
        </w:rPr>
        <w:tab/>
        <w:t>Resident’s basic rights</w:t>
      </w:r>
      <w:bookmarkEnd w:id="92"/>
      <w:bookmarkEnd w:id="93"/>
      <w:bookmarkEnd w:id="94"/>
      <w:bookmarkEnd w:id="95"/>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rStyle w:val="CharPartNo"/>
          <w:sz w:val="24"/>
          <w:szCs w:val="24"/>
        </w:rPr>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96" w:name="_Toc377546551"/>
      <w:bookmarkStart w:id="97" w:name="_Toc426552105"/>
      <w:bookmarkStart w:id="98" w:name="_Toc426552178"/>
      <w:bookmarkStart w:id="99" w:name="_Toc435101009"/>
      <w:bookmarkStart w:id="100" w:name="_Toc352136919"/>
      <w:bookmarkStart w:id="101" w:name="_Toc352154977"/>
      <w:bookmarkStart w:id="102" w:name="_Toc352155041"/>
      <w:bookmarkStart w:id="103" w:name="_Toc352156511"/>
      <w:bookmarkStart w:id="104" w:name="_Toc352156759"/>
      <w:bookmarkStart w:id="105" w:name="_Toc352157313"/>
      <w:bookmarkStart w:id="106" w:name="_Toc352157728"/>
      <w:bookmarkStart w:id="107" w:name="_Toc352160609"/>
      <w:bookmarkStart w:id="108" w:name="_Toc352160671"/>
      <w:bookmarkStart w:id="109" w:name="_Toc352160733"/>
      <w:r>
        <w:rPr>
          <w:rStyle w:val="CharSDivNo"/>
        </w:rPr>
        <w:t>Division 2</w:t>
      </w:r>
      <w:r>
        <w:t> — </w:t>
      </w:r>
      <w:r>
        <w:rPr>
          <w:rStyle w:val="CharSDivText"/>
        </w:rPr>
        <w:t>Advertising and promotion of retirement villages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yHeading5"/>
        <w:rPr>
          <w:sz w:val="24"/>
        </w:rPr>
      </w:pPr>
      <w:bookmarkStart w:id="110" w:name="_Toc377546552"/>
      <w:bookmarkStart w:id="111" w:name="_Toc435101010"/>
      <w:bookmarkStart w:id="112" w:name="_Toc352136920"/>
      <w:bookmarkStart w:id="113" w:name="_Toc352160734"/>
      <w:r>
        <w:rPr>
          <w:rStyle w:val="CharSClsNo"/>
          <w:sz w:val="24"/>
        </w:rPr>
        <w:t>2.1</w:t>
      </w:r>
      <w:r>
        <w:rPr>
          <w:sz w:val="24"/>
        </w:rPr>
        <w:tab/>
        <w:t>General</w:t>
      </w:r>
      <w:bookmarkEnd w:id="110"/>
      <w:bookmarkEnd w:id="111"/>
      <w:bookmarkEnd w:id="112"/>
      <w:bookmarkEnd w:id="11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114" w:name="_Toc377546553"/>
      <w:bookmarkStart w:id="115" w:name="_Toc435101011"/>
      <w:bookmarkStart w:id="116" w:name="_Toc352136921"/>
      <w:bookmarkStart w:id="117" w:name="_Toc352160735"/>
      <w:r>
        <w:rPr>
          <w:rStyle w:val="CharSClsNo"/>
          <w:sz w:val="24"/>
        </w:rPr>
        <w:t>2.2</w:t>
      </w:r>
      <w:r>
        <w:rPr>
          <w:sz w:val="24"/>
        </w:rPr>
        <w:tab/>
        <w:t>Retirement village developments</w:t>
      </w:r>
      <w:bookmarkEnd w:id="114"/>
      <w:bookmarkEnd w:id="115"/>
      <w:bookmarkEnd w:id="116"/>
      <w:bookmarkEnd w:id="117"/>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118" w:name="_Toc377546554"/>
      <w:bookmarkStart w:id="119" w:name="_Toc435101012"/>
      <w:bookmarkStart w:id="120" w:name="_Toc352136922"/>
      <w:bookmarkStart w:id="121" w:name="_Toc352160736"/>
      <w:r>
        <w:rPr>
          <w:rStyle w:val="CharSClsNo"/>
          <w:sz w:val="24"/>
        </w:rPr>
        <w:t>2.3</w:t>
      </w:r>
      <w:r>
        <w:rPr>
          <w:sz w:val="24"/>
        </w:rPr>
        <w:tab/>
        <w:t>Proposed amenities and services</w:t>
      </w:r>
      <w:bookmarkEnd w:id="118"/>
      <w:bookmarkEnd w:id="119"/>
      <w:bookmarkEnd w:id="120"/>
      <w:bookmarkEnd w:id="12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122" w:name="_Toc377546555"/>
      <w:bookmarkStart w:id="123" w:name="_Toc435101013"/>
      <w:bookmarkStart w:id="124" w:name="_Toc352136923"/>
      <w:bookmarkStart w:id="125" w:name="_Toc352160737"/>
      <w:r>
        <w:rPr>
          <w:rStyle w:val="CharSClsNo"/>
          <w:sz w:val="24"/>
        </w:rPr>
        <w:t>2.4</w:t>
      </w:r>
      <w:r>
        <w:rPr>
          <w:sz w:val="24"/>
        </w:rPr>
        <w:tab/>
        <w:t>Approvals for facilities that provide residential aged care services</w:t>
      </w:r>
      <w:bookmarkEnd w:id="122"/>
      <w:bookmarkEnd w:id="123"/>
      <w:bookmarkEnd w:id="124"/>
      <w:bookmarkEnd w:id="125"/>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126" w:name="_Toc377546556"/>
      <w:bookmarkStart w:id="127" w:name="_Toc435101014"/>
      <w:bookmarkStart w:id="128" w:name="_Toc352136924"/>
      <w:bookmarkStart w:id="129" w:name="_Toc352160738"/>
      <w:r>
        <w:rPr>
          <w:rStyle w:val="CharSClsNo"/>
          <w:sz w:val="24"/>
        </w:rPr>
        <w:t>2.5</w:t>
      </w:r>
      <w:r>
        <w:tab/>
      </w:r>
      <w:r>
        <w:rPr>
          <w:sz w:val="24"/>
        </w:rPr>
        <w:t>Access to residential aged care services</w:t>
      </w:r>
      <w:bookmarkEnd w:id="126"/>
      <w:bookmarkEnd w:id="127"/>
      <w:bookmarkEnd w:id="128"/>
      <w:bookmarkEnd w:id="129"/>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pPr>
      <w:bookmarkStart w:id="130" w:name="_Toc377546557"/>
      <w:bookmarkStart w:id="131" w:name="_Toc426552111"/>
      <w:bookmarkStart w:id="132" w:name="_Toc426552184"/>
      <w:bookmarkStart w:id="133" w:name="_Toc435101015"/>
      <w:bookmarkStart w:id="134" w:name="_Toc352136925"/>
      <w:bookmarkStart w:id="135" w:name="_Toc352154983"/>
      <w:bookmarkStart w:id="136" w:name="_Toc352155047"/>
      <w:bookmarkStart w:id="137" w:name="_Toc352156517"/>
      <w:bookmarkStart w:id="138" w:name="_Toc352156765"/>
      <w:bookmarkStart w:id="139" w:name="_Toc352157319"/>
      <w:bookmarkStart w:id="140" w:name="_Toc352157734"/>
      <w:bookmarkStart w:id="141" w:name="_Toc352160615"/>
      <w:bookmarkStart w:id="142" w:name="_Toc352160677"/>
      <w:bookmarkStart w:id="143" w:name="_Toc352160739"/>
      <w:r>
        <w:rPr>
          <w:rStyle w:val="CharSDivNo"/>
        </w:rPr>
        <w:t>Division 3</w:t>
      </w:r>
      <w:r>
        <w:t> — </w:t>
      </w:r>
      <w:r>
        <w:rPr>
          <w:rStyle w:val="CharSDivText"/>
        </w:rPr>
        <w:t>Prospective resident’s right to information before entering into a residence contract or service contract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Heading5"/>
        <w:spacing w:before="160"/>
        <w:rPr>
          <w:sz w:val="24"/>
        </w:rPr>
      </w:pPr>
      <w:bookmarkStart w:id="144" w:name="_Toc377546558"/>
      <w:bookmarkStart w:id="145" w:name="_Toc435101016"/>
      <w:bookmarkStart w:id="146" w:name="_Toc352136926"/>
      <w:bookmarkStart w:id="147" w:name="_Toc352160740"/>
      <w:r>
        <w:rPr>
          <w:rStyle w:val="CharSClsNo"/>
          <w:sz w:val="24"/>
        </w:rPr>
        <w:t>3.1</w:t>
      </w:r>
      <w:r>
        <w:tab/>
      </w:r>
      <w:r>
        <w:rPr>
          <w:sz w:val="24"/>
        </w:rPr>
        <w:t>Before entering into a residence contract</w:t>
      </w:r>
      <w:bookmarkEnd w:id="144"/>
      <w:bookmarkEnd w:id="145"/>
      <w:bookmarkEnd w:id="146"/>
      <w:bookmarkEnd w:id="14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rPr>
          <w:rStyle w:val="CharPartNo"/>
          <w:sz w:val="24"/>
          <w:szCs w:val="24"/>
        </w:rP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The questions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48" w:author="Master Repository Process" w:date="2021-08-01T14:58:00Z">
        <w:r>
          <w:rPr>
            <w:rFonts w:ascii="Symbol" w:hAnsi="Symbol"/>
            <w:iCs/>
            <w:sz w:val="24"/>
            <w:szCs w:val="24"/>
          </w:rPr>
          <w:t></w:t>
        </w:r>
        <w:r>
          <w:rPr>
            <w:rFonts w:ascii="Symbol" w:hAnsi="Symbol"/>
            <w:iCs/>
            <w:sz w:val="24"/>
            <w:szCs w:val="24"/>
          </w:rPr>
          <w:tab/>
        </w:r>
      </w:ins>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49" w:author="Master Repository Process" w:date="2021-08-01T14:58:00Z">
        <w:r>
          <w:rPr>
            <w:rFonts w:ascii="Symbol" w:hAnsi="Symbol"/>
            <w:iCs/>
            <w:sz w:val="24"/>
            <w:szCs w:val="24"/>
          </w:rPr>
          <w:t></w:t>
        </w:r>
        <w:r>
          <w:rPr>
            <w:rFonts w:ascii="Symbol" w:hAnsi="Symbol"/>
            <w:iCs/>
            <w:sz w:val="24"/>
            <w:szCs w:val="24"/>
          </w:rPr>
          <w:tab/>
        </w:r>
      </w:ins>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50" w:author="Master Repository Process" w:date="2021-08-01T14:58:00Z">
        <w:r>
          <w:rPr>
            <w:rFonts w:ascii="Symbol" w:hAnsi="Symbol"/>
            <w:iCs/>
            <w:sz w:val="24"/>
            <w:szCs w:val="24"/>
          </w:rPr>
          <w:t></w:t>
        </w:r>
        <w:r>
          <w:rPr>
            <w:rFonts w:ascii="Symbol" w:hAnsi="Symbol"/>
            <w:iCs/>
            <w:sz w:val="24"/>
            <w:szCs w:val="24"/>
          </w:rPr>
          <w:tab/>
        </w:r>
      </w:ins>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ins w:id="151" w:author="Master Repository Process" w:date="2021-08-01T14:58:00Z">
        <w:r>
          <w:rPr>
            <w:rFonts w:ascii="Symbol" w:hAnsi="Symbol"/>
            <w:iCs/>
            <w:sz w:val="24"/>
            <w:szCs w:val="24"/>
          </w:rPr>
          <w:t></w:t>
        </w:r>
        <w:r>
          <w:rPr>
            <w:rFonts w:ascii="Symbol" w:hAnsi="Symbol"/>
            <w:iCs/>
            <w:sz w:val="24"/>
            <w:szCs w:val="24"/>
          </w:rPr>
          <w:tab/>
        </w:r>
      </w:ins>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ins w:id="152" w:author="Master Repository Process" w:date="2021-08-01T14:58:00Z">
        <w:r>
          <w:rPr>
            <w:rFonts w:ascii="Symbol" w:hAnsi="Symbol"/>
            <w:sz w:val="24"/>
            <w:szCs w:val="24"/>
          </w:rPr>
          <w:t></w:t>
        </w:r>
        <w:r>
          <w:rPr>
            <w:rFonts w:ascii="Symbol" w:hAnsi="Symbol"/>
            <w:sz w:val="24"/>
            <w:szCs w:val="24"/>
          </w:rPr>
          <w:tab/>
        </w:r>
      </w:ins>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153" w:name="_Toc377546559"/>
      <w:bookmarkStart w:id="154" w:name="_Toc435101017"/>
      <w:bookmarkStart w:id="155" w:name="_Toc352136927"/>
      <w:bookmarkStart w:id="156" w:name="_Toc352160741"/>
      <w:r>
        <w:rPr>
          <w:rStyle w:val="CharSClsNo"/>
          <w:sz w:val="24"/>
        </w:rPr>
        <w:t>3.2</w:t>
      </w:r>
      <w:r>
        <w:rPr>
          <w:sz w:val="24"/>
        </w:rPr>
        <w:tab/>
        <w:t>Before entering into a service contract</w:t>
      </w:r>
      <w:bookmarkEnd w:id="153"/>
      <w:bookmarkEnd w:id="154"/>
      <w:bookmarkEnd w:id="155"/>
      <w:bookmarkEnd w:id="156"/>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157" w:name="_Toc377546560"/>
      <w:bookmarkStart w:id="158" w:name="_Toc426552114"/>
      <w:bookmarkStart w:id="159" w:name="_Toc426552187"/>
      <w:bookmarkStart w:id="160" w:name="_Toc435101018"/>
      <w:bookmarkStart w:id="161" w:name="_Toc352136928"/>
      <w:bookmarkStart w:id="162" w:name="_Toc352154986"/>
      <w:bookmarkStart w:id="163" w:name="_Toc352155050"/>
      <w:bookmarkStart w:id="164" w:name="_Toc352156520"/>
      <w:bookmarkStart w:id="165" w:name="_Toc352156768"/>
      <w:bookmarkStart w:id="166" w:name="_Toc352157322"/>
      <w:bookmarkStart w:id="167" w:name="_Toc352157737"/>
      <w:bookmarkStart w:id="168" w:name="_Toc352160618"/>
      <w:bookmarkStart w:id="169" w:name="_Toc352160680"/>
      <w:bookmarkStart w:id="170" w:name="_Toc352160742"/>
      <w:r>
        <w:rPr>
          <w:rStyle w:val="CharSDivNo"/>
        </w:rPr>
        <w:t>Division 4</w:t>
      </w:r>
      <w:r>
        <w:t> — </w:t>
      </w:r>
      <w:r>
        <w:rPr>
          <w:rStyle w:val="CharSDivText"/>
        </w:rPr>
        <w:t>Residence contract and service contract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Heading5"/>
        <w:rPr>
          <w:sz w:val="24"/>
        </w:rPr>
      </w:pPr>
      <w:bookmarkStart w:id="171" w:name="_Toc377546561"/>
      <w:bookmarkStart w:id="172" w:name="_Toc435101019"/>
      <w:bookmarkStart w:id="173" w:name="_Toc352136929"/>
      <w:bookmarkStart w:id="174" w:name="_Toc352160743"/>
      <w:r>
        <w:rPr>
          <w:rStyle w:val="CharSClsNo"/>
          <w:sz w:val="24"/>
        </w:rPr>
        <w:t>4.1</w:t>
      </w:r>
      <w:r>
        <w:rPr>
          <w:sz w:val="24"/>
        </w:rPr>
        <w:tab/>
        <w:t>Legibility and presentation requirements</w:t>
      </w:r>
      <w:bookmarkEnd w:id="171"/>
      <w:bookmarkEnd w:id="172"/>
      <w:bookmarkEnd w:id="173"/>
      <w:bookmarkEnd w:id="174"/>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175" w:name="_Toc377546562"/>
      <w:bookmarkStart w:id="176" w:name="_Toc435101020"/>
      <w:bookmarkStart w:id="177" w:name="_Toc352136930"/>
      <w:bookmarkStart w:id="178" w:name="_Toc352160744"/>
      <w:r>
        <w:rPr>
          <w:rStyle w:val="CharSClsNo"/>
          <w:sz w:val="24"/>
        </w:rPr>
        <w:t>4.2</w:t>
      </w:r>
      <w:r>
        <w:rPr>
          <w:sz w:val="24"/>
        </w:rPr>
        <w:tab/>
        <w:t>Title and tenure</w:t>
      </w:r>
      <w:bookmarkEnd w:id="175"/>
      <w:bookmarkEnd w:id="176"/>
      <w:bookmarkEnd w:id="177"/>
      <w:bookmarkEnd w:id="178"/>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179" w:name="_Toc377546563"/>
      <w:bookmarkStart w:id="180" w:name="_Toc435101021"/>
      <w:bookmarkStart w:id="181" w:name="_Toc352136931"/>
      <w:bookmarkStart w:id="182" w:name="_Toc352160745"/>
      <w:r>
        <w:rPr>
          <w:rStyle w:val="CharSClsNo"/>
          <w:sz w:val="24"/>
        </w:rPr>
        <w:t>4.3</w:t>
      </w:r>
      <w:r>
        <w:tab/>
      </w:r>
      <w:r>
        <w:rPr>
          <w:sz w:val="24"/>
        </w:rPr>
        <w:t>Residential premises</w:t>
      </w:r>
      <w:bookmarkEnd w:id="179"/>
      <w:bookmarkEnd w:id="180"/>
      <w:bookmarkEnd w:id="181"/>
      <w:bookmarkEnd w:id="182"/>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183" w:name="_Toc377546564"/>
      <w:bookmarkStart w:id="184" w:name="_Toc435101022"/>
      <w:bookmarkStart w:id="185" w:name="_Toc352136932"/>
      <w:bookmarkStart w:id="186" w:name="_Toc352160746"/>
      <w:r>
        <w:rPr>
          <w:rStyle w:val="CharSClsNo"/>
          <w:sz w:val="24"/>
        </w:rPr>
        <w:t>4.4</w:t>
      </w:r>
      <w:r>
        <w:tab/>
      </w:r>
      <w:r>
        <w:rPr>
          <w:sz w:val="24"/>
        </w:rPr>
        <w:t>Amenities</w:t>
      </w:r>
      <w:bookmarkEnd w:id="183"/>
      <w:bookmarkEnd w:id="184"/>
      <w:bookmarkEnd w:id="185"/>
      <w:bookmarkEnd w:id="186"/>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187" w:name="_Toc377546565"/>
      <w:bookmarkStart w:id="188" w:name="_Toc435101023"/>
      <w:bookmarkStart w:id="189" w:name="_Toc352136933"/>
      <w:bookmarkStart w:id="190" w:name="_Toc352160747"/>
      <w:r>
        <w:rPr>
          <w:rStyle w:val="CharSClsNo"/>
          <w:sz w:val="24"/>
        </w:rPr>
        <w:t>4.5</w:t>
      </w:r>
      <w:r>
        <w:tab/>
      </w:r>
      <w:r>
        <w:rPr>
          <w:sz w:val="24"/>
        </w:rPr>
        <w:t>Services</w:t>
      </w:r>
      <w:bookmarkEnd w:id="187"/>
      <w:bookmarkEnd w:id="188"/>
      <w:bookmarkEnd w:id="189"/>
      <w:bookmarkEnd w:id="190"/>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191" w:name="_Toc377546566"/>
      <w:bookmarkStart w:id="192" w:name="_Toc435101024"/>
      <w:bookmarkStart w:id="193" w:name="_Toc352136934"/>
      <w:bookmarkStart w:id="194" w:name="_Toc352160748"/>
      <w:r>
        <w:rPr>
          <w:rStyle w:val="CharSClsNo"/>
          <w:sz w:val="24"/>
        </w:rPr>
        <w:t>4.6</w:t>
      </w:r>
      <w:r>
        <w:tab/>
      </w:r>
      <w:r>
        <w:rPr>
          <w:sz w:val="24"/>
        </w:rPr>
        <w:t>Payment of premium and refund entitlement</w:t>
      </w:r>
      <w:bookmarkEnd w:id="191"/>
      <w:bookmarkEnd w:id="192"/>
      <w:bookmarkEnd w:id="193"/>
      <w:bookmarkEnd w:id="194"/>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195" w:name="_Toc377546567"/>
      <w:bookmarkStart w:id="196" w:name="_Toc435101025"/>
      <w:bookmarkStart w:id="197" w:name="_Toc352136935"/>
      <w:bookmarkStart w:id="198" w:name="_Toc352160749"/>
      <w:r>
        <w:rPr>
          <w:rStyle w:val="CharSClsNo"/>
          <w:sz w:val="24"/>
        </w:rPr>
        <w:t>4.7</w:t>
      </w:r>
      <w:r>
        <w:tab/>
      </w:r>
      <w:r>
        <w:rPr>
          <w:sz w:val="24"/>
        </w:rPr>
        <w:t>Charges for village operating costs</w:t>
      </w:r>
      <w:bookmarkEnd w:id="195"/>
      <w:bookmarkEnd w:id="196"/>
      <w:bookmarkEnd w:id="197"/>
      <w:bookmarkEnd w:id="198"/>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199" w:name="_Toc377546568"/>
      <w:bookmarkStart w:id="200" w:name="_Toc435101026"/>
      <w:bookmarkStart w:id="201" w:name="_Toc352136936"/>
      <w:bookmarkStart w:id="202" w:name="_Toc352160750"/>
      <w:r>
        <w:rPr>
          <w:rStyle w:val="CharSClsNo"/>
          <w:sz w:val="24"/>
        </w:rPr>
        <w:t>4.8</w:t>
      </w:r>
      <w:r>
        <w:tab/>
      </w:r>
      <w:r>
        <w:rPr>
          <w:sz w:val="24"/>
        </w:rPr>
        <w:t>Reserve funds</w:t>
      </w:r>
      <w:bookmarkEnd w:id="199"/>
      <w:bookmarkEnd w:id="200"/>
      <w:bookmarkEnd w:id="201"/>
      <w:bookmarkEnd w:id="202"/>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203" w:name="_Toc377546569"/>
      <w:bookmarkStart w:id="204" w:name="_Toc435101027"/>
      <w:bookmarkStart w:id="205" w:name="_Toc352136937"/>
      <w:bookmarkStart w:id="206" w:name="_Toc352160751"/>
      <w:r>
        <w:rPr>
          <w:rStyle w:val="CharSClsNo"/>
          <w:sz w:val="24"/>
        </w:rPr>
        <w:t>4.9</w:t>
      </w:r>
      <w:r>
        <w:tab/>
      </w:r>
      <w:r>
        <w:rPr>
          <w:sz w:val="24"/>
        </w:rPr>
        <w:t>Relocation</w:t>
      </w:r>
      <w:bookmarkEnd w:id="203"/>
      <w:bookmarkEnd w:id="204"/>
      <w:bookmarkEnd w:id="205"/>
      <w:bookmarkEnd w:id="206"/>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207" w:name="_Toc377546570"/>
      <w:bookmarkStart w:id="208" w:name="_Toc435101028"/>
      <w:bookmarkStart w:id="209" w:name="_Toc352136938"/>
      <w:bookmarkStart w:id="210" w:name="_Toc352160752"/>
      <w:r>
        <w:rPr>
          <w:rStyle w:val="CharSClsNo"/>
          <w:sz w:val="24"/>
        </w:rPr>
        <w:t>4.10</w:t>
      </w:r>
      <w:r>
        <w:tab/>
      </w:r>
      <w:r>
        <w:rPr>
          <w:sz w:val="24"/>
        </w:rPr>
        <w:t>Termination of residence contract and fees payable on termination</w:t>
      </w:r>
      <w:bookmarkEnd w:id="207"/>
      <w:bookmarkEnd w:id="208"/>
      <w:bookmarkEnd w:id="209"/>
      <w:bookmarkEnd w:id="210"/>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211" w:name="_Toc377546571"/>
      <w:bookmarkStart w:id="212" w:name="_Toc435101029"/>
      <w:bookmarkStart w:id="213" w:name="_Toc352136939"/>
      <w:bookmarkStart w:id="214" w:name="_Toc352160753"/>
      <w:r>
        <w:rPr>
          <w:rStyle w:val="CharSClsNo"/>
          <w:sz w:val="24"/>
        </w:rPr>
        <w:t>4.11</w:t>
      </w:r>
      <w:r>
        <w:rPr>
          <w:sz w:val="24"/>
        </w:rPr>
        <w:tab/>
        <w:t xml:space="preserve">Residence contract to refer to this Code and the </w:t>
      </w:r>
      <w:r>
        <w:rPr>
          <w:i/>
          <w:sz w:val="24"/>
        </w:rPr>
        <w:t>Retirement Villages Act 1992</w:t>
      </w:r>
      <w:bookmarkEnd w:id="211"/>
      <w:bookmarkEnd w:id="212"/>
      <w:bookmarkEnd w:id="213"/>
      <w:bookmarkEnd w:id="214"/>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215" w:name="_Toc377546572"/>
      <w:bookmarkStart w:id="216" w:name="_Toc426552126"/>
      <w:bookmarkStart w:id="217" w:name="_Toc426552199"/>
      <w:bookmarkStart w:id="218" w:name="_Toc435101030"/>
      <w:bookmarkStart w:id="219" w:name="_Toc352136940"/>
      <w:bookmarkStart w:id="220" w:name="_Toc352154998"/>
      <w:bookmarkStart w:id="221" w:name="_Toc352155062"/>
      <w:bookmarkStart w:id="222" w:name="_Toc352156532"/>
      <w:bookmarkStart w:id="223" w:name="_Toc352156780"/>
      <w:bookmarkStart w:id="224" w:name="_Toc352157334"/>
      <w:bookmarkStart w:id="225" w:name="_Toc352157749"/>
      <w:bookmarkStart w:id="226" w:name="_Toc352160630"/>
      <w:bookmarkStart w:id="227" w:name="_Toc352160692"/>
      <w:bookmarkStart w:id="228" w:name="_Toc352160754"/>
      <w:r>
        <w:rPr>
          <w:rStyle w:val="CharSDivNo"/>
        </w:rPr>
        <w:t>Division 5</w:t>
      </w:r>
      <w:r>
        <w:t> — </w:t>
      </w:r>
      <w:r>
        <w:rPr>
          <w:rStyle w:val="CharSDivText"/>
        </w:rPr>
        <w:t>Village management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Heading5"/>
      </w:pPr>
      <w:bookmarkStart w:id="229" w:name="_Toc377546573"/>
      <w:bookmarkStart w:id="230" w:name="_Toc435101031"/>
      <w:bookmarkStart w:id="231" w:name="_Toc352136941"/>
      <w:bookmarkStart w:id="232" w:name="_Toc352160755"/>
      <w:r>
        <w:rPr>
          <w:rStyle w:val="CharSClsNo"/>
          <w:sz w:val="24"/>
        </w:rPr>
        <w:t>5.1</w:t>
      </w:r>
      <w:r>
        <w:tab/>
      </w:r>
      <w:r>
        <w:rPr>
          <w:sz w:val="24"/>
        </w:rPr>
        <w:t>Interpretation</w:t>
      </w:r>
      <w:bookmarkEnd w:id="229"/>
      <w:bookmarkEnd w:id="230"/>
      <w:bookmarkEnd w:id="231"/>
      <w:bookmarkEnd w:id="232"/>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233" w:name="_Toc377546574"/>
      <w:bookmarkStart w:id="234" w:name="_Toc435101032"/>
      <w:bookmarkStart w:id="235" w:name="_Toc352136942"/>
      <w:bookmarkStart w:id="236" w:name="_Toc352160756"/>
      <w:r>
        <w:rPr>
          <w:rStyle w:val="CharSClsNo"/>
          <w:sz w:val="24"/>
        </w:rPr>
        <w:t>5.2</w:t>
      </w:r>
      <w:r>
        <w:tab/>
      </w:r>
      <w:r>
        <w:rPr>
          <w:sz w:val="24"/>
        </w:rPr>
        <w:t>Management procedures and resident consultation</w:t>
      </w:r>
      <w:bookmarkEnd w:id="233"/>
      <w:bookmarkEnd w:id="234"/>
      <w:bookmarkEnd w:id="235"/>
      <w:bookmarkEnd w:id="236"/>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237" w:name="_Toc377546575"/>
      <w:bookmarkStart w:id="238" w:name="_Toc435101033"/>
      <w:bookmarkStart w:id="239" w:name="_Toc352136943"/>
      <w:bookmarkStart w:id="240" w:name="_Toc352160757"/>
      <w:r>
        <w:rPr>
          <w:rStyle w:val="CharSClsNo"/>
          <w:sz w:val="24"/>
        </w:rPr>
        <w:t>5.3</w:t>
      </w:r>
      <w:r>
        <w:tab/>
      </w:r>
      <w:r>
        <w:rPr>
          <w:sz w:val="24"/>
        </w:rPr>
        <w:t>Village operating budget</w:t>
      </w:r>
      <w:bookmarkEnd w:id="237"/>
      <w:bookmarkEnd w:id="238"/>
      <w:bookmarkEnd w:id="239"/>
      <w:bookmarkEnd w:id="240"/>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241" w:name="_Toc377546576"/>
      <w:bookmarkStart w:id="242" w:name="_Toc435101034"/>
      <w:bookmarkStart w:id="243" w:name="_Toc352136944"/>
      <w:bookmarkStart w:id="244" w:name="_Toc352160758"/>
      <w:r>
        <w:rPr>
          <w:rStyle w:val="CharSClsNo"/>
          <w:sz w:val="24"/>
        </w:rPr>
        <w:t>5.4</w:t>
      </w:r>
      <w:r>
        <w:tab/>
      </w:r>
      <w:r>
        <w:rPr>
          <w:sz w:val="24"/>
        </w:rPr>
        <w:t>Quarterly operating income and expenditure statements</w:t>
      </w:r>
      <w:bookmarkEnd w:id="241"/>
      <w:bookmarkEnd w:id="242"/>
      <w:bookmarkEnd w:id="243"/>
      <w:bookmarkEnd w:id="244"/>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245" w:name="_Toc377546577"/>
      <w:bookmarkStart w:id="246" w:name="_Toc435101035"/>
      <w:bookmarkStart w:id="247" w:name="_Toc352136945"/>
      <w:bookmarkStart w:id="248" w:name="_Toc352160759"/>
      <w:r>
        <w:rPr>
          <w:rStyle w:val="CharSClsNo"/>
          <w:sz w:val="24"/>
        </w:rPr>
        <w:t>5.5</w:t>
      </w:r>
      <w:r>
        <w:tab/>
      </w:r>
      <w:r>
        <w:rPr>
          <w:sz w:val="24"/>
        </w:rPr>
        <w:t>Annual accounts</w:t>
      </w:r>
      <w:bookmarkEnd w:id="245"/>
      <w:bookmarkEnd w:id="246"/>
      <w:bookmarkEnd w:id="247"/>
      <w:bookmarkEnd w:id="248"/>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249" w:name="_Toc377546578"/>
      <w:bookmarkStart w:id="250" w:name="_Toc435101036"/>
      <w:bookmarkStart w:id="251" w:name="_Toc352136946"/>
      <w:bookmarkStart w:id="252" w:name="_Toc352160760"/>
      <w:r>
        <w:rPr>
          <w:rStyle w:val="CharSClsNo"/>
          <w:sz w:val="24"/>
        </w:rPr>
        <w:t>5.6</w:t>
      </w:r>
      <w:r>
        <w:tab/>
      </w:r>
      <w:r>
        <w:rPr>
          <w:sz w:val="24"/>
        </w:rPr>
        <w:t>Budget surplus</w:t>
      </w:r>
      <w:bookmarkEnd w:id="249"/>
      <w:bookmarkEnd w:id="250"/>
      <w:bookmarkEnd w:id="251"/>
      <w:bookmarkEnd w:id="252"/>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253" w:name="_Toc377546579"/>
      <w:bookmarkStart w:id="254" w:name="_Toc435101037"/>
      <w:bookmarkStart w:id="255" w:name="_Toc352136947"/>
      <w:bookmarkStart w:id="256" w:name="_Toc352160761"/>
      <w:r>
        <w:rPr>
          <w:rStyle w:val="CharSClsNo"/>
          <w:sz w:val="24"/>
        </w:rPr>
        <w:t>5.7</w:t>
      </w:r>
      <w:r>
        <w:tab/>
      </w:r>
      <w:r>
        <w:rPr>
          <w:sz w:val="24"/>
        </w:rPr>
        <w:t>Marketing of residential premises</w:t>
      </w:r>
      <w:bookmarkEnd w:id="253"/>
      <w:bookmarkEnd w:id="254"/>
      <w:bookmarkEnd w:id="255"/>
      <w:bookmarkEnd w:id="256"/>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257" w:name="_Toc377546580"/>
      <w:bookmarkStart w:id="258" w:name="_Toc435101038"/>
      <w:bookmarkStart w:id="259" w:name="_Toc352136948"/>
      <w:bookmarkStart w:id="260" w:name="_Toc352160762"/>
      <w:r>
        <w:rPr>
          <w:rStyle w:val="CharSClsNo"/>
          <w:sz w:val="24"/>
        </w:rPr>
        <w:t>5.8</w:t>
      </w:r>
      <w:r>
        <w:tab/>
      </w:r>
      <w:r>
        <w:rPr>
          <w:sz w:val="24"/>
        </w:rPr>
        <w:t>Repair and refurbishment of residential premises</w:t>
      </w:r>
      <w:bookmarkEnd w:id="257"/>
      <w:bookmarkEnd w:id="258"/>
      <w:bookmarkEnd w:id="259"/>
      <w:bookmarkEnd w:id="26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261" w:name="_Toc377546581"/>
      <w:bookmarkStart w:id="262" w:name="_Toc435101039"/>
      <w:bookmarkStart w:id="263" w:name="_Toc352136949"/>
      <w:bookmarkStart w:id="264" w:name="_Toc352160763"/>
      <w:r>
        <w:rPr>
          <w:rStyle w:val="CharSClsNo"/>
          <w:sz w:val="24"/>
        </w:rPr>
        <w:t>5.9</w:t>
      </w:r>
      <w:r>
        <w:tab/>
      </w:r>
      <w:r>
        <w:rPr>
          <w:sz w:val="24"/>
        </w:rPr>
        <w:t>Residence rules</w:t>
      </w:r>
      <w:bookmarkEnd w:id="261"/>
      <w:bookmarkEnd w:id="262"/>
      <w:bookmarkEnd w:id="263"/>
      <w:bookmarkEnd w:id="264"/>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265" w:name="_Toc377546582"/>
      <w:bookmarkStart w:id="266" w:name="_Toc435101040"/>
      <w:bookmarkStart w:id="267" w:name="_Toc352136950"/>
      <w:bookmarkStart w:id="268" w:name="_Toc352160764"/>
      <w:r>
        <w:rPr>
          <w:rStyle w:val="CharSClsNo"/>
          <w:sz w:val="24"/>
        </w:rPr>
        <w:t>5.10</w:t>
      </w:r>
      <w:r>
        <w:tab/>
      </w:r>
      <w:r>
        <w:rPr>
          <w:sz w:val="24"/>
        </w:rPr>
        <w:t>Residents’ committee</w:t>
      </w:r>
      <w:bookmarkEnd w:id="265"/>
      <w:bookmarkEnd w:id="266"/>
      <w:bookmarkEnd w:id="267"/>
      <w:bookmarkEnd w:id="268"/>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269" w:name="_Toc377546583"/>
      <w:bookmarkStart w:id="270" w:name="_Toc435101041"/>
      <w:bookmarkStart w:id="271" w:name="_Toc352136951"/>
      <w:bookmarkStart w:id="272" w:name="_Toc352160765"/>
      <w:r>
        <w:rPr>
          <w:rStyle w:val="CharSClsNo"/>
          <w:sz w:val="24"/>
        </w:rPr>
        <w:t>5.11</w:t>
      </w:r>
      <w:r>
        <w:tab/>
      </w:r>
      <w:r>
        <w:rPr>
          <w:sz w:val="24"/>
        </w:rPr>
        <w:t>Residents’ meetings</w:t>
      </w:r>
      <w:bookmarkEnd w:id="269"/>
      <w:bookmarkEnd w:id="270"/>
      <w:bookmarkEnd w:id="271"/>
      <w:bookmarkEnd w:id="272"/>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273" w:name="_Toc377546584"/>
      <w:bookmarkStart w:id="274" w:name="_Toc435101042"/>
      <w:bookmarkStart w:id="275" w:name="_Toc352136952"/>
      <w:bookmarkStart w:id="276" w:name="_Toc352160766"/>
      <w:r>
        <w:rPr>
          <w:rStyle w:val="CharSClsNo"/>
          <w:sz w:val="24"/>
        </w:rPr>
        <w:t>5.12</w:t>
      </w:r>
      <w:r>
        <w:tab/>
      </w:r>
      <w:r>
        <w:rPr>
          <w:sz w:val="24"/>
        </w:rPr>
        <w:t>Proxy voting</w:t>
      </w:r>
      <w:bookmarkEnd w:id="273"/>
      <w:bookmarkEnd w:id="274"/>
      <w:bookmarkEnd w:id="275"/>
      <w:bookmarkEnd w:id="276"/>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277" w:name="_Toc377546585"/>
      <w:bookmarkStart w:id="278" w:name="_Toc426552139"/>
      <w:bookmarkStart w:id="279" w:name="_Toc426552212"/>
      <w:bookmarkStart w:id="280" w:name="_Toc435101043"/>
      <w:bookmarkStart w:id="281" w:name="_Toc352136953"/>
      <w:bookmarkStart w:id="282" w:name="_Toc352155011"/>
      <w:bookmarkStart w:id="283" w:name="_Toc352155075"/>
      <w:bookmarkStart w:id="284" w:name="_Toc352156545"/>
      <w:bookmarkStart w:id="285" w:name="_Toc352156793"/>
      <w:bookmarkStart w:id="286" w:name="_Toc352157347"/>
      <w:bookmarkStart w:id="287" w:name="_Toc352157762"/>
      <w:bookmarkStart w:id="288" w:name="_Toc352160643"/>
      <w:bookmarkStart w:id="289" w:name="_Toc352160705"/>
      <w:bookmarkStart w:id="290" w:name="_Toc352160767"/>
      <w:r>
        <w:rPr>
          <w:rStyle w:val="CharSDivNo"/>
        </w:rPr>
        <w:t>Division 6</w:t>
      </w:r>
      <w:r>
        <w:t> — </w:t>
      </w:r>
      <w:r>
        <w:rPr>
          <w:rStyle w:val="CharSDivText"/>
        </w:rPr>
        <w:t>Dispute resolution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Heading5"/>
        <w:spacing w:before="160"/>
      </w:pPr>
      <w:bookmarkStart w:id="291" w:name="_Toc377546586"/>
      <w:bookmarkStart w:id="292" w:name="_Toc435101044"/>
      <w:bookmarkStart w:id="293" w:name="_Toc352136954"/>
      <w:bookmarkStart w:id="294" w:name="_Toc352160768"/>
      <w:r>
        <w:rPr>
          <w:rStyle w:val="CharSClsNo"/>
          <w:sz w:val="24"/>
        </w:rPr>
        <w:t>6.1</w:t>
      </w:r>
      <w:r>
        <w:tab/>
      </w:r>
      <w:r>
        <w:rPr>
          <w:sz w:val="24"/>
        </w:rPr>
        <w:t>Interpretation</w:t>
      </w:r>
      <w:bookmarkEnd w:id="291"/>
      <w:bookmarkEnd w:id="292"/>
      <w:bookmarkEnd w:id="293"/>
      <w:bookmarkEnd w:id="294"/>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295" w:name="_Toc377546587"/>
      <w:bookmarkStart w:id="296" w:name="_Toc435101045"/>
      <w:bookmarkStart w:id="297" w:name="_Toc352136955"/>
      <w:bookmarkStart w:id="298" w:name="_Toc352160769"/>
      <w:r>
        <w:rPr>
          <w:rStyle w:val="CharSClsNo"/>
          <w:sz w:val="24"/>
        </w:rPr>
        <w:t>6.2</w:t>
      </w:r>
      <w:r>
        <w:tab/>
      </w:r>
      <w:r>
        <w:rPr>
          <w:sz w:val="24"/>
        </w:rPr>
        <w:t>Village dispute process</w:t>
      </w:r>
      <w:bookmarkEnd w:id="295"/>
      <w:bookmarkEnd w:id="296"/>
      <w:bookmarkEnd w:id="297"/>
      <w:bookmarkEnd w:id="298"/>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299" w:name="_Toc377546588"/>
      <w:bookmarkStart w:id="300" w:name="_Toc435101046"/>
      <w:bookmarkStart w:id="301" w:name="_Toc352136956"/>
      <w:bookmarkStart w:id="302" w:name="_Toc352160770"/>
      <w:r>
        <w:rPr>
          <w:rStyle w:val="CharSClsNo"/>
          <w:sz w:val="24"/>
        </w:rPr>
        <w:t>6.3</w:t>
      </w:r>
      <w:r>
        <w:tab/>
      </w:r>
      <w:r>
        <w:rPr>
          <w:sz w:val="24"/>
        </w:rPr>
        <w:t>Mediation of dispute</w:t>
      </w:r>
      <w:bookmarkEnd w:id="299"/>
      <w:bookmarkEnd w:id="300"/>
      <w:bookmarkEnd w:id="301"/>
      <w:bookmarkEnd w:id="302"/>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303" w:name="_Toc377546589"/>
      <w:bookmarkStart w:id="304" w:name="_Toc426552143"/>
      <w:bookmarkStart w:id="305" w:name="_Toc426552216"/>
      <w:bookmarkStart w:id="306" w:name="_Toc435101047"/>
      <w:bookmarkStart w:id="307" w:name="_Toc352136957"/>
      <w:bookmarkStart w:id="308" w:name="_Toc352155015"/>
      <w:bookmarkStart w:id="309" w:name="_Toc352155079"/>
      <w:bookmarkStart w:id="310" w:name="_Toc352156549"/>
      <w:bookmarkStart w:id="311" w:name="_Toc352156797"/>
      <w:bookmarkStart w:id="312" w:name="_Toc352157351"/>
      <w:bookmarkStart w:id="313" w:name="_Toc352157766"/>
      <w:bookmarkStart w:id="314" w:name="_Toc352160647"/>
      <w:bookmarkStart w:id="315" w:name="_Toc352160709"/>
      <w:bookmarkStart w:id="316" w:name="_Toc352160771"/>
      <w:r>
        <w:rPr>
          <w:rStyle w:val="CharSDivNo"/>
        </w:rPr>
        <w:t>Division 7</w:t>
      </w:r>
      <w:r>
        <w:t> — </w:t>
      </w:r>
      <w:r>
        <w:rPr>
          <w:rStyle w:val="CharSDivText"/>
        </w:rPr>
        <w:t>Termination of residence contracts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Heading5"/>
        <w:spacing w:before="160"/>
        <w:rPr>
          <w:sz w:val="24"/>
        </w:rPr>
      </w:pPr>
      <w:bookmarkStart w:id="317" w:name="_Toc377546590"/>
      <w:bookmarkStart w:id="318" w:name="_Toc435101048"/>
      <w:bookmarkStart w:id="319" w:name="_Toc352136958"/>
      <w:bookmarkStart w:id="320" w:name="_Toc352160772"/>
      <w:r>
        <w:rPr>
          <w:rStyle w:val="CharSClsNo"/>
          <w:sz w:val="24"/>
        </w:rPr>
        <w:t>7.1</w:t>
      </w:r>
      <w:r>
        <w:rPr>
          <w:sz w:val="24"/>
        </w:rPr>
        <w:tab/>
        <w:t>Notice of intention to terminate</w:t>
      </w:r>
      <w:bookmarkEnd w:id="317"/>
      <w:bookmarkEnd w:id="318"/>
      <w:bookmarkEnd w:id="319"/>
      <w:bookmarkEnd w:id="320"/>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w:t>
      </w:r>
      <w:r>
        <w:rPr>
          <w:sz w:val="24"/>
          <w:szCs w:val="24"/>
        </w:rPr>
        <w:t xml:space="preserve">2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1" w:author="Master Repository Process" w:date="2021-08-01T14:58:00Z">
        <w:r>
          <w:rPr>
            <w:rFonts w:ascii="Symbol" w:hAnsi="Symbol"/>
            <w:sz w:val="24"/>
            <w:szCs w:val="24"/>
          </w:rPr>
          <w:t></w:t>
        </w:r>
        <w:r>
          <w:rPr>
            <w:rFonts w:ascii="Symbol" w:hAnsi="Symbol"/>
            <w:sz w:val="24"/>
            <w:szCs w:val="24"/>
          </w:rPr>
          <w:tab/>
        </w:r>
      </w:ins>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2" w:author="Master Repository Process" w:date="2021-08-01T14:58:00Z">
        <w:r>
          <w:rPr>
            <w:rFonts w:ascii="Symbol" w:hAnsi="Symbol"/>
            <w:sz w:val="24"/>
            <w:szCs w:val="24"/>
          </w:rPr>
          <w:t></w:t>
        </w:r>
        <w:r>
          <w:rPr>
            <w:rFonts w:ascii="Symbol" w:hAnsi="Symbol"/>
            <w:sz w:val="24"/>
            <w:szCs w:val="24"/>
          </w:rPr>
          <w:tab/>
        </w:r>
      </w:ins>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3" w:author="Master Repository Process" w:date="2021-08-01T14:58:00Z">
        <w:r>
          <w:rPr>
            <w:rFonts w:ascii="Symbol" w:hAnsi="Symbol"/>
            <w:sz w:val="24"/>
            <w:szCs w:val="24"/>
          </w:rPr>
          <w:t></w:t>
        </w:r>
        <w:r>
          <w:rPr>
            <w:rFonts w:ascii="Symbol" w:hAnsi="Symbol"/>
            <w:sz w:val="24"/>
            <w:szCs w:val="24"/>
          </w:rPr>
          <w:tab/>
        </w:r>
      </w:ins>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4" w:author="Master Repository Process" w:date="2021-08-01T14:58:00Z">
        <w:r>
          <w:rPr>
            <w:rFonts w:ascii="Symbol" w:hAnsi="Symbol"/>
            <w:sz w:val="24"/>
            <w:szCs w:val="24"/>
          </w:rPr>
          <w:t></w:t>
        </w:r>
        <w:r>
          <w:rPr>
            <w:rFonts w:ascii="Symbol" w:hAnsi="Symbol"/>
            <w:sz w:val="24"/>
            <w:szCs w:val="24"/>
          </w:rPr>
          <w:tab/>
        </w:r>
      </w:ins>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5" w:author="Master Repository Process" w:date="2021-08-01T14:58:00Z">
        <w:r>
          <w:rPr>
            <w:rFonts w:ascii="Symbol" w:hAnsi="Symbol"/>
            <w:sz w:val="24"/>
            <w:szCs w:val="24"/>
          </w:rPr>
          <w:t></w:t>
        </w:r>
        <w:r>
          <w:rPr>
            <w:rFonts w:ascii="Symbol" w:hAnsi="Symbol"/>
            <w:sz w:val="24"/>
            <w:szCs w:val="24"/>
          </w:rPr>
          <w:tab/>
        </w:r>
      </w:ins>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6" w:author="Master Repository Process" w:date="2021-08-01T14:58:00Z">
        <w:r>
          <w:rPr>
            <w:rFonts w:ascii="Symbol" w:hAnsi="Symbol"/>
            <w:sz w:val="24"/>
            <w:szCs w:val="24"/>
          </w:rPr>
          <w:t></w:t>
        </w:r>
        <w:r>
          <w:rPr>
            <w:rFonts w:ascii="Symbol" w:hAnsi="Symbol"/>
            <w:sz w:val="24"/>
            <w:szCs w:val="24"/>
          </w:rPr>
          <w:tab/>
        </w:r>
      </w:ins>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7" w:author="Master Repository Process" w:date="2021-08-01T14:58:00Z">
        <w:r>
          <w:rPr>
            <w:rFonts w:ascii="Symbol" w:hAnsi="Symbol"/>
            <w:sz w:val="24"/>
            <w:szCs w:val="24"/>
          </w:rPr>
          <w:t></w:t>
        </w:r>
        <w:r>
          <w:rPr>
            <w:rFonts w:ascii="Symbol" w:hAnsi="Symbol"/>
            <w:sz w:val="24"/>
            <w:szCs w:val="24"/>
          </w:rPr>
          <w:tab/>
        </w:r>
      </w:ins>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8" w:author="Master Repository Process" w:date="2021-08-01T14:58:00Z">
        <w:r>
          <w:rPr>
            <w:rFonts w:ascii="Symbol" w:hAnsi="Symbol"/>
            <w:sz w:val="24"/>
            <w:szCs w:val="24"/>
          </w:rPr>
          <w:t></w:t>
        </w:r>
        <w:r>
          <w:rPr>
            <w:rFonts w:ascii="Symbol" w:hAnsi="Symbol"/>
            <w:sz w:val="24"/>
            <w:szCs w:val="24"/>
          </w:rPr>
          <w:tab/>
        </w:r>
      </w:ins>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ins w:id="329" w:author="Master Repository Process" w:date="2021-08-01T14:58:00Z">
        <w:r>
          <w:rPr>
            <w:rFonts w:ascii="Symbol" w:hAnsi="Symbol"/>
            <w:sz w:val="24"/>
            <w:szCs w:val="24"/>
          </w:rPr>
          <w:t></w:t>
        </w:r>
        <w:r>
          <w:rPr>
            <w:rFonts w:ascii="Symbol" w:hAnsi="Symbol"/>
            <w:sz w:val="24"/>
            <w:szCs w:val="24"/>
          </w:rPr>
          <w:tab/>
        </w:r>
      </w:ins>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330" w:name="_Toc377546591"/>
      <w:bookmarkStart w:id="331" w:name="_Toc426552145"/>
      <w:bookmarkStart w:id="332" w:name="_Toc426552218"/>
      <w:bookmarkStart w:id="333" w:name="_Toc435101049"/>
      <w:bookmarkStart w:id="334" w:name="_Toc352136959"/>
      <w:bookmarkStart w:id="335" w:name="_Toc352155017"/>
      <w:bookmarkStart w:id="336" w:name="_Toc352155081"/>
      <w:bookmarkStart w:id="337" w:name="_Toc352156551"/>
      <w:bookmarkStart w:id="338" w:name="_Toc352156799"/>
      <w:bookmarkStart w:id="339" w:name="_Toc352157353"/>
      <w:bookmarkStart w:id="340" w:name="_Toc352157768"/>
      <w:bookmarkStart w:id="341" w:name="_Toc352160649"/>
      <w:bookmarkStart w:id="342" w:name="_Toc352160711"/>
      <w:bookmarkStart w:id="343" w:name="_Toc352160773"/>
      <w:r>
        <w:rPr>
          <w:rStyle w:val="CharSDivNo"/>
        </w:rPr>
        <w:t>Division 8</w:t>
      </w:r>
      <w:r>
        <w:t> — </w:t>
      </w:r>
      <w:r>
        <w:rPr>
          <w:rStyle w:val="CharSDivText"/>
        </w:rPr>
        <w:t>Miscellaneous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Heading5"/>
        <w:spacing w:before="160"/>
        <w:rPr>
          <w:sz w:val="24"/>
        </w:rPr>
      </w:pPr>
      <w:bookmarkStart w:id="344" w:name="_Toc377546592"/>
      <w:bookmarkStart w:id="345" w:name="_Toc435101050"/>
      <w:bookmarkStart w:id="346" w:name="_Toc352136960"/>
      <w:bookmarkStart w:id="347" w:name="_Toc352160774"/>
      <w:r>
        <w:rPr>
          <w:rStyle w:val="CharSClsNo"/>
          <w:sz w:val="24"/>
        </w:rPr>
        <w:t>8.1</w:t>
      </w:r>
      <w:r>
        <w:rPr>
          <w:sz w:val="24"/>
        </w:rPr>
        <w:tab/>
        <w:t>Service of documents</w:t>
      </w:r>
      <w:bookmarkEnd w:id="344"/>
      <w:bookmarkEnd w:id="345"/>
      <w:bookmarkEnd w:id="346"/>
      <w:bookmarkEnd w:id="347"/>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17"/>
          <w:headerReference w:type="default" r:id="rId18"/>
          <w:pgSz w:w="11907" w:h="16840" w:code="9"/>
          <w:pgMar w:top="2381" w:right="2410" w:bottom="3544" w:left="2410" w:header="720" w:footer="3544" w:gutter="0"/>
          <w:cols w:space="720"/>
        </w:sectPr>
      </w:pPr>
      <w:bookmarkStart w:id="348" w:name="_Toc377546593"/>
      <w:bookmarkStart w:id="349" w:name="_Toc426552147"/>
      <w:bookmarkStart w:id="350" w:name="_Toc426552220"/>
      <w:bookmarkStart w:id="351" w:name="_Toc435101051"/>
    </w:p>
    <w:p>
      <w:pPr>
        <w:pStyle w:val="yScheduleHeading"/>
      </w:pPr>
      <w:bookmarkStart w:id="352" w:name="_Toc352136961"/>
      <w:bookmarkStart w:id="353" w:name="_Toc352155019"/>
      <w:bookmarkStart w:id="354" w:name="_Toc352155083"/>
      <w:bookmarkStart w:id="355" w:name="_Toc352156553"/>
      <w:bookmarkStart w:id="356" w:name="_Toc352156801"/>
      <w:bookmarkStart w:id="357" w:name="_Toc352157355"/>
      <w:bookmarkStart w:id="358" w:name="_Toc352157770"/>
      <w:bookmarkStart w:id="359" w:name="_Toc352160651"/>
      <w:bookmarkStart w:id="360" w:name="_Toc352160713"/>
      <w:bookmarkStart w:id="361" w:name="_Toc352160775"/>
      <w:r>
        <w:rPr>
          <w:rStyle w:val="CharSchNo"/>
        </w:rPr>
        <w:t>Appendix 1</w:t>
      </w:r>
      <w:r>
        <w:rPr>
          <w:rStyle w:val="CharSDivNo"/>
        </w:rPr>
        <w:t> </w:t>
      </w:r>
      <w:r>
        <w:t>—</w:t>
      </w:r>
      <w:r>
        <w:rPr>
          <w:rStyle w:val="CharSDivText"/>
        </w:rPr>
        <w:t> </w:t>
      </w:r>
      <w:r>
        <w:rPr>
          <w:rStyle w:val="CharSchText"/>
        </w:rPr>
        <w:t>Checklist for prospective resident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w:t>
      </w:r>
      <w:r>
        <w:rPr>
          <w:sz w:val="24"/>
          <w:szCs w:val="24"/>
        </w:rPr>
        <w:t xml:space="preserve"> </w:t>
      </w:r>
      <w:r>
        <w:rPr>
          <w:i/>
          <w:sz w:val="24"/>
          <w:szCs w:val="24"/>
        </w:rPr>
        <w:t>Retirement Villages 2013</w:t>
      </w:r>
      <w:r>
        <w:rPr>
          <w:sz w:val="24"/>
          <w:szCs w:val="24"/>
        </w:rPr>
        <w:t xml:space="preserve"> and the </w:t>
      </w:r>
      <w:r>
        <w:rPr>
          <w:i/>
          <w:sz w:val="24"/>
          <w:szCs w:val="24"/>
        </w:rPr>
        <w:t>Retirement Villages Act 1992</w:t>
      </w:r>
      <w:r>
        <w:rPr>
          <w:sz w:val="24"/>
          <w:szCs w:val="24"/>
        </w:rPr>
        <w:t>?</w:t>
      </w:r>
    </w:p>
    <w:p>
      <w:pPr>
        <w:pStyle w:val="yScheduleHeading"/>
      </w:pPr>
      <w:bookmarkStart w:id="362" w:name="_Toc377546594"/>
      <w:bookmarkStart w:id="363" w:name="_Toc426552148"/>
      <w:bookmarkStart w:id="364" w:name="_Toc426552221"/>
      <w:bookmarkStart w:id="365" w:name="_Toc435101052"/>
      <w:bookmarkStart w:id="366" w:name="_Toc352136962"/>
      <w:bookmarkStart w:id="367" w:name="_Toc352155020"/>
      <w:bookmarkStart w:id="368" w:name="_Toc352155084"/>
      <w:bookmarkStart w:id="369" w:name="_Toc352156554"/>
      <w:bookmarkStart w:id="370" w:name="_Toc352156802"/>
      <w:bookmarkStart w:id="371" w:name="_Toc352157356"/>
      <w:bookmarkStart w:id="372" w:name="_Toc352157771"/>
      <w:bookmarkStart w:id="373" w:name="_Toc352160652"/>
      <w:bookmarkStart w:id="374" w:name="_Toc352160714"/>
      <w:bookmarkStart w:id="375" w:name="_Toc352160776"/>
      <w:r>
        <w:rPr>
          <w:rStyle w:val="CharSchNo"/>
        </w:rPr>
        <w:t>Appendix 2</w:t>
      </w:r>
      <w:r>
        <w:rPr>
          <w:rStyle w:val="CharSDivNo"/>
        </w:rPr>
        <w:t> </w:t>
      </w:r>
      <w:r>
        <w:rPr>
          <w:rStyle w:val="CharPartText"/>
        </w:rPr>
        <w:t>—</w:t>
      </w:r>
      <w:r>
        <w:rPr>
          <w:rStyle w:val="CharSDivText"/>
        </w:rPr>
        <w:t> </w:t>
      </w:r>
      <w:r>
        <w:rPr>
          <w:rStyle w:val="CharSchText"/>
        </w:rPr>
        <w:t>Model proposed operating budget form</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ScheduleHeading"/>
      </w:pPr>
      <w:bookmarkStart w:id="376" w:name="_Toc377546595"/>
      <w:bookmarkStart w:id="377" w:name="_Toc426552149"/>
      <w:bookmarkStart w:id="378" w:name="_Toc426552222"/>
      <w:bookmarkStart w:id="379" w:name="_Toc435101053"/>
      <w:bookmarkStart w:id="380" w:name="_Toc352136963"/>
      <w:bookmarkStart w:id="381" w:name="_Toc352155021"/>
      <w:bookmarkStart w:id="382" w:name="_Toc352155085"/>
      <w:bookmarkStart w:id="383" w:name="_Toc352156555"/>
      <w:bookmarkStart w:id="384" w:name="_Toc352156803"/>
      <w:bookmarkStart w:id="385" w:name="_Toc352157357"/>
      <w:bookmarkStart w:id="386" w:name="_Toc352157772"/>
      <w:bookmarkStart w:id="387" w:name="_Toc352160653"/>
      <w:bookmarkStart w:id="388" w:name="_Toc352160715"/>
      <w:bookmarkStart w:id="389" w:name="_Toc352160777"/>
      <w:r>
        <w:rPr>
          <w:rStyle w:val="CharSchNo"/>
        </w:rPr>
        <w:t>Appendix 3</w:t>
      </w:r>
      <w:r>
        <w:rPr>
          <w:rStyle w:val="CharSDivNo"/>
        </w:rPr>
        <w:t> </w:t>
      </w:r>
      <w:r>
        <w:t>—</w:t>
      </w:r>
      <w:r>
        <w:rPr>
          <w:rStyle w:val="CharSDivText"/>
        </w:rPr>
        <w:t> </w:t>
      </w:r>
      <w:r>
        <w:rPr>
          <w:rStyle w:val="CharSchText"/>
        </w:rPr>
        <w:t>Model quarterly income and expenditure statement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390" w:name="_Toc377546596"/>
      <w:bookmarkStart w:id="391" w:name="_Toc426552150"/>
      <w:bookmarkStart w:id="392" w:name="_Toc426552223"/>
      <w:bookmarkStart w:id="393" w:name="_Toc435101054"/>
      <w:bookmarkStart w:id="394" w:name="_Toc352136964"/>
      <w:bookmarkStart w:id="395" w:name="_Toc352155022"/>
      <w:bookmarkStart w:id="396" w:name="_Toc352155086"/>
      <w:bookmarkStart w:id="397" w:name="_Toc352156556"/>
      <w:bookmarkStart w:id="398" w:name="_Toc352156804"/>
      <w:bookmarkStart w:id="399" w:name="_Toc352157358"/>
      <w:bookmarkStart w:id="400" w:name="_Toc352157773"/>
      <w:bookmarkStart w:id="401" w:name="_Toc352160654"/>
      <w:bookmarkStart w:id="402" w:name="_Toc352160716"/>
      <w:bookmarkStart w:id="403" w:name="_Toc352160778"/>
      <w:r>
        <w:rPr>
          <w:rStyle w:val="CharSchNo"/>
        </w:rPr>
        <w:t>Appendix 4</w:t>
      </w:r>
      <w:r>
        <w:rPr>
          <w:rStyle w:val="CharSDivNo"/>
        </w:rPr>
        <w:t> </w:t>
      </w:r>
      <w:r>
        <w:rPr>
          <w:rStyle w:val="CharPartText"/>
        </w:rPr>
        <w:t>—</w:t>
      </w:r>
      <w:r>
        <w:rPr>
          <w:rStyle w:val="CharSDivText"/>
        </w:rPr>
        <w:t> </w:t>
      </w:r>
      <w:r>
        <w:rPr>
          <w:rStyle w:val="CharSchText"/>
        </w:rPr>
        <w:t>Model reserve fund quarterly income and expenditure statement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404" w:name="_Toc377546597"/>
      <w:bookmarkStart w:id="405" w:name="_Toc426552151"/>
      <w:bookmarkStart w:id="406" w:name="_Toc426552224"/>
      <w:bookmarkStart w:id="407" w:name="_Toc435101055"/>
      <w:bookmarkStart w:id="408" w:name="_Toc352136965"/>
      <w:bookmarkStart w:id="409" w:name="_Toc352155023"/>
      <w:bookmarkStart w:id="410" w:name="_Toc352155087"/>
      <w:bookmarkStart w:id="411" w:name="_Toc352156557"/>
      <w:bookmarkStart w:id="412" w:name="_Toc352156805"/>
      <w:bookmarkStart w:id="413" w:name="_Toc352157359"/>
      <w:bookmarkStart w:id="414" w:name="_Toc352157774"/>
      <w:bookmarkStart w:id="415" w:name="_Toc352160655"/>
      <w:bookmarkStart w:id="416" w:name="_Toc352160717"/>
      <w:bookmarkStart w:id="417" w:name="_Toc352160779"/>
      <w:r>
        <w:rPr>
          <w:rStyle w:val="CharSchNo"/>
        </w:rPr>
        <w:t>Appendix 5</w:t>
      </w:r>
      <w:r>
        <w:rPr>
          <w:rStyle w:val="CharSDivNo"/>
        </w:rPr>
        <w:t> </w:t>
      </w:r>
      <w:r>
        <w:t>—</w:t>
      </w:r>
      <w:r>
        <w:rPr>
          <w:rStyle w:val="CharSDivText"/>
        </w:rPr>
        <w:t> </w:t>
      </w:r>
      <w:r>
        <w:rPr>
          <w:rStyle w:val="CharSchText"/>
        </w:rPr>
        <w:t>Form of appointment of proxy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60" w:hanging="360"/>
      </w:pPr>
      <w:ins w:id="418" w:author="Master Repository Process" w:date="2021-08-01T14:58:00Z">
        <w:r>
          <w:rPr>
            <w:rFonts w:ascii="Symbol" w:hAnsi="Symbol"/>
          </w:rPr>
          <w:t></w:t>
        </w:r>
        <w:r>
          <w:rPr>
            <w:rFonts w:ascii="Symbol" w:hAnsi="Symbol"/>
          </w:rPr>
          <w:tab/>
        </w:r>
      </w:ins>
      <w:r>
        <w:t>All matters raised at the meeting that require, or provide for, a vote of the residents, at my proxy’s discretion.</w:t>
      </w:r>
    </w:p>
    <w:p>
      <w:pPr>
        <w:pStyle w:val="yMiscellaneousBody"/>
        <w:tabs>
          <w:tab w:val="left" w:pos="360"/>
        </w:tabs>
        <w:spacing w:before="120"/>
        <w:ind w:left="357" w:hanging="357"/>
      </w:pPr>
      <w:ins w:id="419" w:author="Master Repository Process" w:date="2021-08-01T14:58:00Z">
        <w:r>
          <w:rPr>
            <w:rFonts w:ascii="Symbol" w:hAnsi="Symbol"/>
          </w:rPr>
          <w:t></w:t>
        </w:r>
        <w:r>
          <w:rPr>
            <w:rFonts w:ascii="Symbol" w:hAnsi="Symbol"/>
          </w:rPr>
          <w:tab/>
        </w:r>
      </w:ins>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ins w:id="420" w:author="Master Repository Process" w:date="2021-08-01T14:58:00Z">
        <w:r>
          <w:rPr>
            <w:rFonts w:ascii="Symbol" w:hAnsi="Symbol"/>
          </w:rPr>
          <w:t></w:t>
        </w:r>
        <w:r>
          <w:rPr>
            <w:rFonts w:ascii="Symbol" w:hAnsi="Symbol"/>
          </w:rPr>
          <w:tab/>
        </w:r>
      </w:ins>
      <w:r>
        <w:t>the person appointed as the resident’s proxy; and</w:t>
      </w:r>
    </w:p>
    <w:p>
      <w:pPr>
        <w:pStyle w:val="yMiscellaneousBody"/>
        <w:tabs>
          <w:tab w:val="left" w:pos="360"/>
        </w:tabs>
        <w:ind w:left="786" w:hanging="360"/>
      </w:pPr>
      <w:ins w:id="421" w:author="Master Repository Process" w:date="2021-08-01T14:58:00Z">
        <w:r>
          <w:rPr>
            <w:rFonts w:ascii="Symbol" w:hAnsi="Symbol"/>
          </w:rPr>
          <w:t></w:t>
        </w:r>
        <w:r>
          <w:rPr>
            <w:rFonts w:ascii="Symbol" w:hAnsi="Symbol"/>
          </w:rPr>
          <w:tab/>
        </w:r>
      </w:ins>
      <w:r>
        <w:t>the chairperson of the meeting at which the proxy was to vote.</w:t>
      </w:r>
    </w:p>
    <w:p>
      <w:pPr>
        <w:sectPr>
          <w:headerReference w:type="even" r:id="rId19"/>
          <w:headerReference w:type="default" r:id="rId20"/>
          <w:pgSz w:w="11907" w:h="16840" w:code="9"/>
          <w:pgMar w:top="2381" w:right="2410" w:bottom="3544" w:left="2410" w:header="720" w:footer="3544" w:gutter="0"/>
          <w:cols w:space="720"/>
        </w:sectPr>
      </w:pPr>
    </w:p>
    <w:p>
      <w:pPr>
        <w:pStyle w:val="nHeading2"/>
      </w:pPr>
      <w:bookmarkStart w:id="422" w:name="_Toc113695922"/>
      <w:bookmarkStart w:id="423" w:name="_Toc347313307"/>
      <w:bookmarkStart w:id="424" w:name="_Toc347319683"/>
      <w:bookmarkStart w:id="425" w:name="_Toc347319742"/>
      <w:bookmarkStart w:id="426" w:name="_Toc348601239"/>
      <w:bookmarkStart w:id="427" w:name="_Toc352155024"/>
      <w:bookmarkStart w:id="428" w:name="_Toc352155088"/>
      <w:bookmarkStart w:id="429" w:name="_Toc352156558"/>
      <w:bookmarkStart w:id="430" w:name="_Toc352156806"/>
      <w:bookmarkStart w:id="431" w:name="_Toc352157360"/>
      <w:bookmarkStart w:id="432" w:name="_Toc352157775"/>
      <w:bookmarkStart w:id="433" w:name="_Toc352160656"/>
      <w:bookmarkStart w:id="434" w:name="_Toc352160718"/>
      <w:bookmarkStart w:id="435" w:name="_Toc352160780"/>
      <w:r>
        <w:t>Notes</w:t>
      </w:r>
      <w:bookmarkEnd w:id="55"/>
      <w:bookmarkEnd w:id="56"/>
      <w:bookmarkEnd w:id="57"/>
      <w:bookmarkEnd w:id="58"/>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Subsection"/>
        <w:rPr>
          <w:snapToGrid w:val="0"/>
        </w:rPr>
      </w:pPr>
      <w:bookmarkStart w:id="436" w:name="_Toc70311430"/>
      <w:r>
        <w:rPr>
          <w:snapToGrid w:val="0"/>
          <w:vertAlign w:val="superscript"/>
        </w:rPr>
        <w:t>1</w:t>
      </w:r>
      <w:r>
        <w:rPr>
          <w:snapToGrid w:val="0"/>
        </w:rPr>
        <w:tab/>
        <w:t xml:space="preserve">This is a compilation of the </w:t>
      </w:r>
      <w:r>
        <w:rPr>
          <w:i/>
          <w:noProof/>
          <w:snapToGrid w:val="0"/>
        </w:rPr>
        <w:t>Fair Trading (Retirement Villages Interim Code) Regulations 2013</w:t>
      </w:r>
      <w:r>
        <w:rPr>
          <w:snapToGrid w:val="0"/>
        </w:rPr>
        <w:t xml:space="preserve">.  The following table contains information about those regulations. </w:t>
      </w:r>
    </w:p>
    <w:p>
      <w:pPr>
        <w:pStyle w:val="nHeading3"/>
      </w:pPr>
      <w:bookmarkStart w:id="437" w:name="_Toc377546599"/>
      <w:bookmarkStart w:id="438" w:name="_Toc435101057"/>
      <w:bookmarkStart w:id="439" w:name="_Toc352160781"/>
      <w:bookmarkEnd w:id="436"/>
      <w:r>
        <w:t>Compilation table</w:t>
      </w:r>
      <w:bookmarkEnd w:id="437"/>
      <w:bookmarkEnd w:id="438"/>
      <w:bookmarkEnd w:id="4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pPr>
            <w:r>
              <w:rPr>
                <w:i/>
                <w:noProof/>
                <w:snapToGrid w:val="0"/>
              </w:rPr>
              <w:t>Fair Trading (Retirement Villages Interim Code) Regulations 2013</w:t>
            </w:r>
          </w:p>
        </w:tc>
        <w:tc>
          <w:tcPr>
            <w:tcW w:w="1276" w:type="dxa"/>
            <w:tcBorders>
              <w:top w:val="single" w:sz="8" w:space="0" w:color="auto"/>
              <w:bottom w:val="nil"/>
            </w:tcBorders>
            <w:shd w:val="clear" w:color="auto" w:fill="auto"/>
          </w:tcPr>
          <w:p>
            <w:pPr>
              <w:pStyle w:val="nTable"/>
              <w:spacing w:after="40"/>
            </w:pPr>
            <w:r>
              <w:t>31 Jan 2013 p. 351</w:t>
            </w:r>
            <w:r>
              <w:noBreakHyphen/>
              <w:t>416</w:t>
            </w:r>
          </w:p>
        </w:tc>
        <w:tc>
          <w:tcPr>
            <w:tcW w:w="2693" w:type="dxa"/>
            <w:tcBorders>
              <w:top w:val="single" w:sz="8" w:space="0" w:color="auto"/>
              <w:bottom w:val="nil"/>
            </w:tcBorders>
            <w:shd w:val="clear" w:color="auto" w:fill="auto"/>
          </w:tcPr>
          <w:p>
            <w:pPr>
              <w:pStyle w:val="nTable"/>
              <w:spacing w:after="40"/>
            </w:pPr>
            <w:r>
              <w:t>r. 1 and 2: 31 Jan 2013 (see r. 2(a));</w:t>
            </w:r>
            <w:r>
              <w:br/>
              <w:t>Regulations other than r. 1 and 2: 1 Apr 2013 (see r. 2(b))</w:t>
            </w:r>
          </w:p>
        </w:tc>
      </w:tr>
      <w:tr>
        <w:trPr>
          <w:ins w:id="440" w:author="Master Repository Process" w:date="2021-08-01T14:58:00Z"/>
        </w:trPr>
        <w:tc>
          <w:tcPr>
            <w:tcW w:w="7087" w:type="dxa"/>
            <w:gridSpan w:val="3"/>
            <w:tcBorders>
              <w:top w:val="nil"/>
              <w:bottom w:val="single" w:sz="4" w:space="0" w:color="auto"/>
            </w:tcBorders>
            <w:shd w:val="clear" w:color="auto" w:fill="auto"/>
          </w:tcPr>
          <w:p>
            <w:pPr>
              <w:pStyle w:val="nTable"/>
              <w:spacing w:after="40"/>
              <w:rPr>
                <w:ins w:id="441" w:author="Master Repository Process" w:date="2021-08-01T14:58:00Z"/>
                <w:b/>
                <w:color w:val="FF0000"/>
              </w:rPr>
            </w:pPr>
            <w:ins w:id="442" w:author="Master Repository Process" w:date="2021-08-01T14:58:00Z">
              <w:r>
                <w:rPr>
                  <w:b/>
                  <w:color w:val="FF0000"/>
                </w:rPr>
                <w:t xml:space="preserve">These regulations were repealed by the </w:t>
              </w:r>
              <w:r>
                <w:rPr>
                  <w:b/>
                  <w:i/>
                  <w:iCs/>
                  <w:color w:val="FF0000"/>
                </w:rPr>
                <w:t>Fair Trading (Retirement Villages Interim Code) Regulations (No. 2) 2013</w:t>
              </w:r>
              <w:r>
                <w:rPr>
                  <w:b/>
                  <w:color w:val="FF0000"/>
                </w:rPr>
                <w:t xml:space="preserve"> r. 5 as at 1 Oct 2013 (see r. 2(b) and </w:t>
              </w:r>
              <w:r>
                <w:rPr>
                  <w:b/>
                  <w:i/>
                  <w:color w:val="FF0000"/>
                </w:rPr>
                <w:t>Gazette</w:t>
              </w:r>
              <w:r>
                <w:rPr>
                  <w:b/>
                  <w:color w:val="FF0000"/>
                </w:rPr>
                <w:t xml:space="preserve"> 26 Sep 2013 p. 4464)</w:t>
              </w:r>
            </w:ins>
          </w:p>
        </w:tc>
      </w:tr>
    </w:tbl>
    <w:p>
      <w:bookmarkStart w:id="443" w:name="AutoSch"/>
      <w:bookmarkStart w:id="444" w:name="endcomma"/>
      <w:bookmarkStart w:id="445" w:name="_Hlt48116945"/>
      <w:bookmarkEnd w:id="443"/>
      <w:bookmarkEnd w:id="444"/>
      <w:bookmarkEnd w:id="445"/>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Fair Trading (Retirement Villages Interim Code) Regulations 2013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Fair Trading (Retirement Villages Interim Code) Regulations 2013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2013</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7" w:name="Coversheet"/>
    <w:bookmarkEnd w:id="4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1" w:name="Schedule"/>
    <w:bookmarkEnd w:id="6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2013</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Fair Practice for Retirement Villages 2013</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Fair Practice for Retirement Villages 2013</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3F1D7FC5"/>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8"/>
  </w:num>
  <w:num w:numId="3">
    <w:abstractNumId w:val="16"/>
  </w:num>
  <w:num w:numId="4">
    <w:abstractNumId w:val="1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4"/>
  </w:num>
  <w:num w:numId="19">
    <w:abstractNumId w:val="11"/>
  </w:num>
  <w:num w:numId="20">
    <w:abstractNumId w:val="30"/>
  </w:num>
  <w:num w:numId="21">
    <w:abstractNumId w:val="10"/>
  </w:num>
  <w:num w:numId="22">
    <w:abstractNumId w:val="18"/>
  </w:num>
  <w:num w:numId="23">
    <w:abstractNumId w:val="27"/>
  </w:num>
  <w:num w:numId="24">
    <w:abstractNumId w:val="24"/>
  </w:num>
  <w:num w:numId="25">
    <w:abstractNumId w:val="13"/>
  </w:num>
  <w:num w:numId="26">
    <w:abstractNumId w:val="21"/>
  </w:num>
  <w:num w:numId="27">
    <w:abstractNumId w:val="34"/>
  </w:num>
  <w:num w:numId="28">
    <w:abstractNumId w:val="25"/>
  </w:num>
  <w:num w:numId="29">
    <w:abstractNumId w:val="33"/>
  </w:num>
  <w:num w:numId="30">
    <w:abstractNumId w:val="29"/>
  </w:num>
  <w:num w:numId="31">
    <w:abstractNumId w:val="31"/>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1113"/>
    <w:docVar w:name="WAFER_20140115104722" w:val="RemoveTocBookmarks,RemoveUnusedBookmarks,RemoveLanguageTags,UsedStyles,ResetPageSize,UpdateArrangement"/>
    <w:docVar w:name="WAFER_20140115104722_GUID" w:val="4d144bc5-cd13-4060-8784-d0ec17cefd51"/>
    <w:docVar w:name="WAFER_20140115104859" w:val="RemoveTocBookmarks,RunningHeaders"/>
    <w:docVar w:name="WAFER_20140115104859_GUID" w:val="2e930aa6-277b-4f6f-b271-038ebe64fba6"/>
    <w:docVar w:name="WAFER_20150730145601" w:val="ResetPageSize,UpdateArrangement,UpdateNTable"/>
    <w:docVar w:name="WAFER_20150730145601_GUID" w:val="0051eb2f-17e1-43a4-bdd1-f9b28769be7b"/>
    <w:docVar w:name="WAFER_20151112111113" w:val="UpdateStyles,UsedStyles"/>
    <w:docVar w:name="WAFER_20151112111113_GUID" w:val="2ab8d96d-c854-4ec6-a6b9-bc0604614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A1A2FBE2-4D9D-4F21-9A42-0E672EBE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8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9.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11943</Words>
  <Characters>63060</Characters>
  <Application>Microsoft Office Word</Application>
  <DocSecurity>0</DocSecurity>
  <Lines>1910</Lines>
  <Paragraphs>852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2013 00-b0-03 - 00-c0-10</dc:title>
  <dc:subject/>
  <dc:creator/>
  <cp:keywords/>
  <dc:description/>
  <cp:lastModifiedBy>Master Repository Process</cp:lastModifiedBy>
  <cp:revision>2</cp:revision>
  <cp:lastPrinted>2013-01-15T05:17:00Z</cp:lastPrinted>
  <dcterms:created xsi:type="dcterms:W3CDTF">2021-08-01T06:58:00Z</dcterms:created>
  <dcterms:modified xsi:type="dcterms:W3CDTF">2021-08-01T06:58:00Z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Jan 2013 p 351-416</vt:lpwstr>
  </property>
  <property fmtid="{D5CDD505-2E9C-101B-9397-08002B2CF9AE}" pid="3" name="CommencementDate">
    <vt:lpwstr>20131001</vt:lpwstr>
  </property>
  <property fmtid="{D5CDD505-2E9C-101B-9397-08002B2CF9AE}" pid="4" name="StationID">
    <vt:lpwstr>12</vt:lpwstr>
  </property>
  <property fmtid="{D5CDD505-2E9C-101B-9397-08002B2CF9AE}" pid="5" name="DocumentType">
    <vt:lpwstr>Reg</vt:lpwstr>
  </property>
  <property fmtid="{D5CDD505-2E9C-101B-9397-08002B2CF9AE}" pid="6" name="Status">
    <vt:lpwstr>NIF</vt:lpwstr>
  </property>
  <property fmtid="{D5CDD505-2E9C-101B-9397-08002B2CF9AE}" pid="7" name="FromSuffix">
    <vt:lpwstr>00-b0-03</vt:lpwstr>
  </property>
  <property fmtid="{D5CDD505-2E9C-101B-9397-08002B2CF9AE}" pid="8" name="FromAsAtDate">
    <vt:lpwstr>01 Apr 2013</vt:lpwstr>
  </property>
  <property fmtid="{D5CDD505-2E9C-101B-9397-08002B2CF9AE}" pid="9" name="ToSuffix">
    <vt:lpwstr>00-c0-10</vt:lpwstr>
  </property>
  <property fmtid="{D5CDD505-2E9C-101B-9397-08002B2CF9AE}" pid="10" name="ToAsAtDate">
    <vt:lpwstr>01 Oct 2013</vt:lpwstr>
  </property>
</Properties>
</file>