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pPr>
      <w:bookmarkStart w:id="0" w:name="_Hlt54069459"/>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May 2013</w:t>
      </w:r>
      <w:r>
        <w:fldChar w:fldCharType="end"/>
      </w:r>
      <w:r>
        <w:t xml:space="preserve">, </w:t>
      </w:r>
      <w:r>
        <w:fldChar w:fldCharType="begin"/>
      </w:r>
      <w:r>
        <w:instrText xml:space="preserve"> DocProperty FromSuffix </w:instrText>
      </w:r>
      <w:r>
        <w:fldChar w:fldCharType="separate"/>
      </w:r>
      <w:r>
        <w:t>02-a0-00</w:t>
      </w:r>
      <w:r>
        <w:fldChar w:fldCharType="end"/>
      </w:r>
      <w:r>
        <w:t>] and [</w:t>
      </w:r>
      <w:r>
        <w:fldChar w:fldCharType="begin"/>
      </w:r>
      <w:r>
        <w:instrText xml:space="preserve"> DocProperty ToAsAtDate</w:instrText>
      </w:r>
      <w:r>
        <w:fldChar w:fldCharType="separate"/>
      </w:r>
      <w:r>
        <w:t>04 Nov 2013</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w:t>
            </w:r>
            <w:r>
              <w:rPr>
                <w:b/>
                <w:snapToGrid w:val="0"/>
                <w:sz w:val="22"/>
              </w:rPr>
              <w:t xml:space="preserve"> May 2013</w:t>
            </w:r>
          </w:p>
        </w:tc>
      </w:tr>
    </w:tbl>
    <w:p>
      <w:pPr>
        <w:pStyle w:val="WA"/>
        <w:spacing w:before="120"/>
      </w:pPr>
      <w:r>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w:t>
      </w:r>
      <w:bookmarkStart w:id="1" w:name="_GoBack"/>
      <w:bookmarkEnd w:id="1"/>
      <w:r>
        <w:rPr>
          <w:snapToGrid w:val="0"/>
        </w:rPr>
        <w:t>n Act to provide for the enforcement of judgments given in the civil jurisdiction of courts and for related matters.</w:t>
      </w:r>
    </w:p>
    <w:p>
      <w:pPr>
        <w:pStyle w:val="Heading2"/>
      </w:pPr>
      <w:bookmarkStart w:id="2" w:name="_Toc352745464"/>
      <w:bookmarkStart w:id="3" w:name="_Toc352766055"/>
      <w:bookmarkStart w:id="4" w:name="_Toc356200618"/>
      <w:bookmarkStart w:id="5" w:name="_Toc356227413"/>
      <w:bookmarkStart w:id="6" w:name="_Toc357670331"/>
      <w:bookmarkStart w:id="7" w:name="_Toc37149171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371491717"/>
      <w:bookmarkStart w:id="9" w:name="_Toc357670332"/>
      <w:r>
        <w:rPr>
          <w:rStyle w:val="CharSectno"/>
        </w:rPr>
        <w:t>1</w:t>
      </w:r>
      <w:r>
        <w:rPr>
          <w:snapToGrid w:val="0"/>
        </w:rPr>
        <w:t>.</w:t>
      </w:r>
      <w:r>
        <w:rPr>
          <w:snapToGrid w:val="0"/>
        </w:rPr>
        <w:tab/>
        <w:t>Short title</w:t>
      </w:r>
      <w:bookmarkEnd w:id="8"/>
      <w:bookmarkEnd w:id="9"/>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10" w:name="_Toc371491718"/>
      <w:bookmarkStart w:id="11" w:name="_Toc357670333"/>
      <w:r>
        <w:rPr>
          <w:rStyle w:val="CharSectno"/>
        </w:rPr>
        <w:t>2</w:t>
      </w:r>
      <w:r>
        <w:rPr>
          <w:snapToGrid w:val="0"/>
        </w:rPr>
        <w:t>.</w:t>
      </w:r>
      <w:r>
        <w:rPr>
          <w:snapToGrid w:val="0"/>
        </w:rPr>
        <w:tab/>
        <w:t>Commencement</w:t>
      </w:r>
      <w:bookmarkEnd w:id="10"/>
      <w:bookmarkEnd w:id="11"/>
    </w:p>
    <w:p>
      <w:pPr>
        <w:pStyle w:val="Subsection"/>
      </w:pPr>
      <w:r>
        <w:tab/>
      </w:r>
      <w:r>
        <w:tab/>
        <w:t>This Act comes into operation on a day fixed by proclamation</w:t>
      </w:r>
      <w:r>
        <w:rPr>
          <w:vertAlign w:val="superscript"/>
        </w:rPr>
        <w:t> 1</w:t>
      </w:r>
      <w:r>
        <w:t>.</w:t>
      </w:r>
    </w:p>
    <w:p>
      <w:pPr>
        <w:pStyle w:val="Heading5"/>
      </w:pPr>
      <w:bookmarkStart w:id="12" w:name="_Toc371491719"/>
      <w:bookmarkStart w:id="13" w:name="_Toc357670334"/>
      <w:r>
        <w:rPr>
          <w:rStyle w:val="CharSectno"/>
        </w:rPr>
        <w:t>3</w:t>
      </w:r>
      <w:r>
        <w:t>.</w:t>
      </w:r>
      <w:r>
        <w:tab/>
        <w:t>Terms used</w:t>
      </w:r>
      <w:bookmarkEnd w:id="12"/>
      <w:bookmarkEnd w:id="13"/>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w:t>
      </w:r>
      <w:bookmarkStart w:id="14" w:name="_Hlt54000259"/>
      <w:r>
        <w:t> 46</w:t>
      </w:r>
      <w:bookmarkEnd w:id="14"/>
      <w:r>
        <w:t>;</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w:t>
      </w:r>
      <w:bookmarkStart w:id="15" w:name="_Hlt53477864"/>
      <w:bookmarkStart w:id="16" w:name="_Hlt53470978"/>
      <w:bookmarkEnd w:id="15"/>
      <w:r>
        <w:t>8</w:t>
      </w:r>
      <w:bookmarkEnd w:id="16"/>
      <w:r>
        <w:t>;</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bookmarkStart w:id="17" w:name="_Hlt45010290"/>
      <w:bookmarkEnd w:id="17"/>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w:t>
      </w:r>
      <w:bookmarkStart w:id="18" w:name="_Hlt39466119"/>
      <w:r>
        <w:t>n 112</w:t>
      </w:r>
      <w:bookmarkEnd w:id="18"/>
      <w:r>
        <w:t>;</w:t>
      </w:r>
    </w:p>
    <w:p>
      <w:pPr>
        <w:pStyle w:val="Defstart"/>
      </w:pPr>
      <w:r>
        <w:rPr>
          <w:b/>
        </w:rPr>
        <w:tab/>
      </w:r>
      <w:r>
        <w:rPr>
          <w:rStyle w:val="CharDefText"/>
        </w:rPr>
        <w:t>instalment order</w:t>
      </w:r>
      <w:r>
        <w:rPr>
          <w:b/>
        </w:rPr>
        <w:t xml:space="preserve"> </w:t>
      </w:r>
      <w:r>
        <w:t>means an order made under section </w:t>
      </w:r>
      <w:bookmarkStart w:id="19" w:name="_Hlt36004766"/>
      <w:r>
        <w:t>33(2)</w:t>
      </w:r>
      <w:bookmarkEnd w:id="19"/>
      <w:r>
        <w:t>;</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20" w:name="_Hlt47243771"/>
      <w:bookmarkEnd w:id="20"/>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w:t>
      </w:r>
      <w:bookmarkStart w:id="21" w:name="_Hlt46729640"/>
      <w:r>
        <w:t> 4</w:t>
      </w:r>
      <w:bookmarkEnd w:id="21"/>
      <w:r>
        <w:t xml:space="preserve">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w:t>
      </w:r>
      <w:bookmarkStart w:id="22" w:name="_Hlt39380725"/>
      <w:r>
        <w:t>95(2)</w:t>
      </w:r>
      <w:bookmarkEnd w:id="22"/>
      <w:r>
        <w:t>;</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23" w:name="_Toc371491720"/>
      <w:bookmarkStart w:id="24" w:name="_Toc357670335"/>
      <w:r>
        <w:rPr>
          <w:rStyle w:val="CharSectno"/>
        </w:rPr>
        <w:t>4</w:t>
      </w:r>
      <w:r>
        <w:t>.</w:t>
      </w:r>
      <w:r>
        <w:tab/>
        <w:t>Term used: earnings</w:t>
      </w:r>
      <w:bookmarkEnd w:id="23"/>
      <w:bookmarkEnd w:id="24"/>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25" w:name="_Hlt54075703"/>
      <w:bookmarkEnd w:id="25"/>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keepNext/>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r>
        <w:rPr>
          <w:vertAlign w:val="superscript"/>
        </w:rPr>
        <w:t> 2</w:t>
      </w:r>
      <w:r>
        <w:t>;</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26" w:name="_Toc371491721"/>
      <w:bookmarkStart w:id="27" w:name="_Toc357670336"/>
      <w:r>
        <w:rPr>
          <w:rStyle w:val="CharSectno"/>
        </w:rPr>
        <w:t>5</w:t>
      </w:r>
      <w:r>
        <w:t>.</w:t>
      </w:r>
      <w:r>
        <w:tab/>
        <w:t>Judgments to which this Act applies</w:t>
      </w:r>
      <w:bookmarkEnd w:id="26"/>
      <w:bookmarkEnd w:id="27"/>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 xml:space="preserve">the </w:t>
      </w:r>
      <w:smartTag w:uri="urn:schemas-microsoft-com:office:smarttags" w:element="Street">
        <w:smartTag w:uri="urn:schemas-microsoft-com:office:smarttags" w:element="address">
          <w:r>
            <w:t>Magistrates Court</w:t>
          </w:r>
        </w:smartTag>
      </w:smartTag>
      <w:r>
        <w:t>.</w:t>
      </w:r>
    </w:p>
    <w:p>
      <w:pPr>
        <w:pStyle w:val="Heading5"/>
      </w:pPr>
      <w:bookmarkStart w:id="28" w:name="_Toc371491722"/>
      <w:bookmarkStart w:id="29" w:name="_Toc357670337"/>
      <w:r>
        <w:rPr>
          <w:rStyle w:val="CharSectno"/>
        </w:rPr>
        <w:t>6</w:t>
      </w:r>
      <w:r>
        <w:t>.</w:t>
      </w:r>
      <w:r>
        <w:tab/>
        <w:t>Crown bound</w:t>
      </w:r>
      <w:bookmarkEnd w:id="28"/>
      <w:bookmarkEnd w:id="29"/>
    </w:p>
    <w:p>
      <w:pPr>
        <w:pStyle w:val="Subsection"/>
      </w:pPr>
      <w:r>
        <w:tab/>
      </w:r>
      <w:r>
        <w:tab/>
        <w:t>This Act binds the Crown.</w:t>
      </w:r>
    </w:p>
    <w:p>
      <w:pPr>
        <w:pStyle w:val="Heading5"/>
      </w:pPr>
      <w:bookmarkStart w:id="30" w:name="_Toc371491723"/>
      <w:bookmarkStart w:id="31" w:name="_Toc357670338"/>
      <w:r>
        <w:rPr>
          <w:rStyle w:val="CharSectno"/>
        </w:rPr>
        <w:t>7</w:t>
      </w:r>
      <w:r>
        <w:t>.</w:t>
      </w:r>
      <w:r>
        <w:tab/>
        <w:t>Common law writs etc. and rules, application of</w:t>
      </w:r>
      <w:bookmarkEnd w:id="30"/>
      <w:bookmarkEnd w:id="31"/>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32" w:name="_Toc352745472"/>
      <w:bookmarkStart w:id="33" w:name="_Toc352766063"/>
      <w:bookmarkStart w:id="34" w:name="_Toc356200626"/>
      <w:bookmarkStart w:id="35" w:name="_Toc356227421"/>
      <w:bookmarkStart w:id="36" w:name="_Toc357670339"/>
      <w:bookmarkStart w:id="37" w:name="_Toc371491724"/>
      <w:r>
        <w:rPr>
          <w:rStyle w:val="CharPartNo"/>
        </w:rPr>
        <w:t>Part 2</w:t>
      </w:r>
      <w:r>
        <w:rPr>
          <w:rStyle w:val="CharDivNo"/>
        </w:rPr>
        <w:t> </w:t>
      </w:r>
      <w:r>
        <w:t>—</w:t>
      </w:r>
      <w:r>
        <w:rPr>
          <w:rStyle w:val="CharDivText"/>
        </w:rPr>
        <w:t> </w:t>
      </w:r>
      <w:r>
        <w:rPr>
          <w:rStyle w:val="CharPartText"/>
        </w:rPr>
        <w:t>Interest on judgment sums</w:t>
      </w:r>
      <w:bookmarkEnd w:id="32"/>
      <w:bookmarkEnd w:id="33"/>
      <w:bookmarkEnd w:id="34"/>
      <w:bookmarkEnd w:id="35"/>
      <w:bookmarkEnd w:id="36"/>
      <w:bookmarkEnd w:id="37"/>
    </w:p>
    <w:p>
      <w:pPr>
        <w:pStyle w:val="Heading5"/>
      </w:pPr>
      <w:bookmarkStart w:id="38" w:name="_Toc371491725"/>
      <w:bookmarkStart w:id="39" w:name="_Toc357670340"/>
      <w:r>
        <w:rPr>
          <w:rStyle w:val="CharSectno"/>
        </w:rPr>
        <w:t>8</w:t>
      </w:r>
      <w:r>
        <w:t>.</w:t>
      </w:r>
      <w:r>
        <w:tab/>
        <w:t>Interest on judgment sums</w:t>
      </w:r>
      <w:bookmarkEnd w:id="38"/>
      <w:bookmarkEnd w:id="39"/>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40" w:name="_Toc352745474"/>
      <w:bookmarkStart w:id="41" w:name="_Toc352766065"/>
      <w:bookmarkStart w:id="42" w:name="_Toc356200628"/>
      <w:bookmarkStart w:id="43" w:name="_Toc356227423"/>
      <w:bookmarkStart w:id="44" w:name="_Toc357670341"/>
      <w:bookmarkStart w:id="45" w:name="_Toc371491726"/>
      <w:r>
        <w:rPr>
          <w:rStyle w:val="CharPartNo"/>
        </w:rPr>
        <w:t>Part 3</w:t>
      </w:r>
      <w:r>
        <w:t> — </w:t>
      </w:r>
      <w:r>
        <w:rPr>
          <w:rStyle w:val="CharPartText"/>
        </w:rPr>
        <w:t>Provisions applying to all judgments</w:t>
      </w:r>
      <w:bookmarkEnd w:id="40"/>
      <w:bookmarkEnd w:id="41"/>
      <w:bookmarkEnd w:id="42"/>
      <w:bookmarkEnd w:id="43"/>
      <w:bookmarkEnd w:id="44"/>
      <w:bookmarkEnd w:id="45"/>
    </w:p>
    <w:p>
      <w:pPr>
        <w:pStyle w:val="Heading3"/>
      </w:pPr>
      <w:bookmarkStart w:id="46" w:name="_Toc352745475"/>
      <w:bookmarkStart w:id="47" w:name="_Toc352766066"/>
      <w:bookmarkStart w:id="48" w:name="_Toc356200629"/>
      <w:bookmarkStart w:id="49" w:name="_Toc356227424"/>
      <w:bookmarkStart w:id="50" w:name="_Toc357670342"/>
      <w:bookmarkStart w:id="51" w:name="_Toc371491727"/>
      <w:r>
        <w:rPr>
          <w:rStyle w:val="CharDivNo"/>
        </w:rPr>
        <w:t>Division 1</w:t>
      </w:r>
      <w:r>
        <w:t> — </w:t>
      </w:r>
      <w:r>
        <w:rPr>
          <w:rStyle w:val="CharDivText"/>
        </w:rPr>
        <w:t>Procedural matters</w:t>
      </w:r>
      <w:bookmarkEnd w:id="46"/>
      <w:bookmarkEnd w:id="47"/>
      <w:bookmarkEnd w:id="48"/>
      <w:bookmarkEnd w:id="49"/>
      <w:bookmarkEnd w:id="50"/>
      <w:bookmarkEnd w:id="51"/>
    </w:p>
    <w:p>
      <w:pPr>
        <w:pStyle w:val="Heading5"/>
      </w:pPr>
      <w:bookmarkStart w:id="52" w:name="_Toc371491728"/>
      <w:bookmarkStart w:id="53" w:name="_Toc357670343"/>
      <w:r>
        <w:rPr>
          <w:rStyle w:val="CharSectno"/>
        </w:rPr>
        <w:t>9</w:t>
      </w:r>
      <w:r>
        <w:t>.</w:t>
      </w:r>
      <w:r>
        <w:tab/>
        <w:t>Applying to a court under this Act</w:t>
      </w:r>
      <w:bookmarkEnd w:id="52"/>
      <w:bookmarkEnd w:id="53"/>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54" w:name="_Hlt45010228"/>
      <w:bookmarkStart w:id="55" w:name="_Toc371491729"/>
      <w:bookmarkStart w:id="56" w:name="_Toc357670344"/>
      <w:bookmarkEnd w:id="54"/>
      <w:r>
        <w:rPr>
          <w:rStyle w:val="CharSectno"/>
        </w:rPr>
        <w:t>10</w:t>
      </w:r>
      <w:r>
        <w:t>.</w:t>
      </w:r>
      <w:r>
        <w:tab/>
        <w:t>Costs of proceedings under this Act</w:t>
      </w:r>
      <w:bookmarkEnd w:id="55"/>
      <w:bookmarkEnd w:id="56"/>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57" w:name="_Toc352745478"/>
      <w:bookmarkStart w:id="58" w:name="_Toc352766069"/>
      <w:bookmarkStart w:id="59" w:name="_Toc356200632"/>
      <w:bookmarkStart w:id="60" w:name="_Toc356227427"/>
      <w:bookmarkStart w:id="61" w:name="_Toc357670345"/>
      <w:bookmarkStart w:id="62" w:name="_Toc371491730"/>
      <w:r>
        <w:rPr>
          <w:rStyle w:val="CharDivNo"/>
        </w:rPr>
        <w:t>Division 2</w:t>
      </w:r>
      <w:r>
        <w:t> — </w:t>
      </w:r>
      <w:r>
        <w:rPr>
          <w:rStyle w:val="CharDivText"/>
        </w:rPr>
        <w:t>General</w:t>
      </w:r>
      <w:bookmarkEnd w:id="57"/>
      <w:bookmarkEnd w:id="58"/>
      <w:bookmarkEnd w:id="59"/>
      <w:bookmarkEnd w:id="60"/>
      <w:bookmarkEnd w:id="61"/>
      <w:bookmarkEnd w:id="62"/>
    </w:p>
    <w:p>
      <w:pPr>
        <w:pStyle w:val="Heading5"/>
      </w:pPr>
      <w:bookmarkStart w:id="63" w:name="_Toc371491731"/>
      <w:bookmarkStart w:id="64" w:name="_Toc357670346"/>
      <w:r>
        <w:rPr>
          <w:rStyle w:val="CharSectno"/>
        </w:rPr>
        <w:t>11</w:t>
      </w:r>
      <w:r>
        <w:t>.</w:t>
      </w:r>
      <w:r>
        <w:tab/>
        <w:t>When judgments have effect</w:t>
      </w:r>
      <w:bookmarkEnd w:id="63"/>
      <w:bookmarkEnd w:id="64"/>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65" w:name="_Hlt43625703"/>
      <w:bookmarkEnd w:id="65"/>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66" w:name="_Toc371491732"/>
      <w:bookmarkStart w:id="67" w:name="_Toc357670347"/>
      <w:r>
        <w:rPr>
          <w:rStyle w:val="CharSectno"/>
        </w:rPr>
        <w:t>12</w:t>
      </w:r>
      <w:r>
        <w:t>.</w:t>
      </w:r>
      <w:r>
        <w:tab/>
        <w:t>Limitation period for enforcement</w:t>
      </w:r>
      <w:bookmarkEnd w:id="66"/>
      <w:bookmarkEnd w:id="67"/>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68" w:name="_Toc371491733"/>
      <w:bookmarkStart w:id="69" w:name="_Toc357670348"/>
      <w:r>
        <w:rPr>
          <w:rStyle w:val="CharSectno"/>
        </w:rPr>
        <w:t>13</w:t>
      </w:r>
      <w:r>
        <w:t>.</w:t>
      </w:r>
      <w:r>
        <w:tab/>
        <w:t>Court’s leave to enforce needed in some cases</w:t>
      </w:r>
      <w:bookmarkEnd w:id="68"/>
      <w:bookmarkEnd w:id="69"/>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 or</w:t>
      </w:r>
    </w:p>
    <w:p>
      <w:pPr>
        <w:pStyle w:val="Indenta"/>
      </w:pPr>
      <w:r>
        <w:tab/>
        <w:t>(b)</w:t>
      </w:r>
      <w:r>
        <w:tab/>
        <w:t>if the order in the judgment that a person seeks to enforce is subject to the fulfilment of a condition; or</w:t>
      </w:r>
    </w:p>
    <w:p>
      <w:pPr>
        <w:pStyle w:val="Indenta"/>
      </w:pPr>
      <w:r>
        <w:tab/>
        <w:t>(c)</w:t>
      </w:r>
      <w:r>
        <w:tab/>
        <w:t>if the property that is proposed for seizure under the order to satisfy the judgment is in the hands of a receiver; or</w:t>
      </w:r>
    </w:p>
    <w:p>
      <w:pPr>
        <w:pStyle w:val="Indenta"/>
      </w:pPr>
      <w:r>
        <w:tab/>
        <w:t>(d)</w:t>
      </w:r>
      <w:r>
        <w:tab/>
        <w:t>if the person seeking to enforce the judgment was not personally a party to the case in which the judgment was given; or</w:t>
      </w:r>
    </w:p>
    <w:p>
      <w:pPr>
        <w:pStyle w:val="Indenta"/>
      </w:pPr>
      <w:r>
        <w:tab/>
        <w:t>(e)</w:t>
      </w:r>
      <w:r>
        <w:tab/>
        <w:t>if the person liable to satisfy the judgment was not personally a party to the case in which the judgment was given, unless section 14(2)(b) applies to the person; or</w:t>
      </w:r>
    </w:p>
    <w:p>
      <w:pPr>
        <w:pStyle w:val="Indenta"/>
      </w:pPr>
      <w:r>
        <w:tab/>
        <w:t>(f)</w:t>
      </w:r>
      <w:r>
        <w:tab/>
        <w:t>if the judgment is against a partnership and is sought to be enforced against a person to whom section 14(2)(b) does not apply; or</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may give leave if it is satisfied that the person seeking to enforce the judgment is entitled to do so and that the person against whom the order is sought is liable to satisfy the judgment; and</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70" w:name="_Hlt39458492"/>
      <w:bookmarkStart w:id="71" w:name="_Toc371491734"/>
      <w:bookmarkStart w:id="72" w:name="_Toc357670349"/>
      <w:bookmarkEnd w:id="70"/>
      <w:r>
        <w:rPr>
          <w:rStyle w:val="CharSectno"/>
        </w:rPr>
        <w:t>14</w:t>
      </w:r>
      <w:r>
        <w:t>.</w:t>
      </w:r>
      <w:r>
        <w:tab/>
        <w:t>Partnerships, enforcement against</w:t>
      </w:r>
      <w:bookmarkEnd w:id="71"/>
      <w:bookmarkEnd w:id="72"/>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73" w:name="_Hlt53999206"/>
      <w:r>
        <w:t> 5</w:t>
      </w:r>
      <w:bookmarkEnd w:id="73"/>
      <w:r>
        <w:t xml:space="preserve"> — </w:t>
      </w:r>
    </w:p>
    <w:p>
      <w:pPr>
        <w:pStyle w:val="Indenta"/>
      </w:pPr>
      <w:r>
        <w:tab/>
        <w:t>(a)</w:t>
      </w:r>
      <w:r>
        <w:tab/>
        <w:t>against the partnership or in respect of any available debt in relation to, or any property of, the partnership; or</w:t>
      </w:r>
    </w:p>
    <w:p>
      <w:pPr>
        <w:pStyle w:val="Indenta"/>
      </w:pPr>
      <w:r>
        <w:tab/>
      </w:r>
      <w:bookmarkStart w:id="74" w:name="_Hlt38966487"/>
      <w:bookmarkEnd w:id="74"/>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 or</w:t>
      </w:r>
    </w:p>
    <w:p>
      <w:pPr>
        <w:pStyle w:val="Indenti"/>
      </w:pPr>
      <w:r>
        <w:tab/>
        <w:t>(ii)</w:t>
      </w:r>
      <w:r>
        <w:tab/>
        <w:t>entered an appearance in the case as a partner; or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75" w:name="_Toc352745483"/>
      <w:bookmarkStart w:id="76" w:name="_Toc352766074"/>
      <w:bookmarkStart w:id="77" w:name="_Toc356200637"/>
      <w:bookmarkStart w:id="78" w:name="_Toc356227432"/>
      <w:bookmarkStart w:id="79" w:name="_Toc357670350"/>
      <w:bookmarkStart w:id="80" w:name="_Toc371491735"/>
      <w:r>
        <w:rPr>
          <w:rStyle w:val="CharDivNo"/>
        </w:rPr>
        <w:t>Division 3</w:t>
      </w:r>
      <w:r>
        <w:t> — </w:t>
      </w:r>
      <w:r>
        <w:rPr>
          <w:rStyle w:val="CharDivText"/>
        </w:rPr>
        <w:t>Suspending the enforcement of judgments</w:t>
      </w:r>
      <w:bookmarkEnd w:id="75"/>
      <w:bookmarkEnd w:id="76"/>
      <w:bookmarkEnd w:id="77"/>
      <w:bookmarkEnd w:id="78"/>
      <w:bookmarkEnd w:id="79"/>
      <w:bookmarkEnd w:id="80"/>
    </w:p>
    <w:p>
      <w:pPr>
        <w:pStyle w:val="Heading5"/>
      </w:pPr>
      <w:bookmarkStart w:id="81" w:name="_Toc371491736"/>
      <w:bookmarkStart w:id="82" w:name="_Toc357670351"/>
      <w:r>
        <w:rPr>
          <w:rStyle w:val="CharSectno"/>
        </w:rPr>
        <w:t>15</w:t>
      </w:r>
      <w:r>
        <w:t>.</w:t>
      </w:r>
      <w:r>
        <w:tab/>
        <w:t>Suspension order</w:t>
      </w:r>
      <w:bookmarkEnd w:id="81"/>
      <w:bookmarkEnd w:id="82"/>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83" w:name="_Hlt53477850"/>
      <w:bookmarkEnd w:id="83"/>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84" w:name="_Toc371491737"/>
      <w:bookmarkStart w:id="85" w:name="_Toc357670352"/>
      <w:r>
        <w:rPr>
          <w:rStyle w:val="CharSectno"/>
        </w:rPr>
        <w:t>16</w:t>
      </w:r>
      <w:r>
        <w:t>.</w:t>
      </w:r>
      <w:r>
        <w:tab/>
        <w:t>Suspension order, effect of</w:t>
      </w:r>
      <w:bookmarkEnd w:id="84"/>
      <w:bookmarkEnd w:id="85"/>
    </w:p>
    <w:p>
      <w:pPr>
        <w:pStyle w:val="Subsection"/>
      </w:pPr>
      <w:r>
        <w:tab/>
        <w:t>(1)</w:t>
      </w:r>
      <w:r>
        <w:tab/>
        <w:t>A suspension order has effect according to its contents.</w:t>
      </w:r>
    </w:p>
    <w:p>
      <w:pPr>
        <w:pStyle w:val="Subsection"/>
      </w:pPr>
      <w:bookmarkStart w:id="86" w:name="_Hlt43625753"/>
      <w:bookmarkEnd w:id="86"/>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87" w:name="_Toc352745486"/>
      <w:bookmarkStart w:id="88" w:name="_Toc352766077"/>
      <w:bookmarkStart w:id="89" w:name="_Toc356200640"/>
      <w:bookmarkStart w:id="90" w:name="_Toc356227435"/>
      <w:bookmarkStart w:id="91" w:name="_Toc357670353"/>
      <w:bookmarkStart w:id="92" w:name="_Toc371491738"/>
      <w:r>
        <w:rPr>
          <w:rStyle w:val="CharPartNo"/>
        </w:rPr>
        <w:t>Par</w:t>
      </w:r>
      <w:bookmarkStart w:id="93" w:name="_Hlt38967106"/>
      <w:bookmarkEnd w:id="93"/>
      <w:r>
        <w:rPr>
          <w:rStyle w:val="CharPartNo"/>
        </w:rPr>
        <w:t>t 4</w:t>
      </w:r>
      <w:r>
        <w:t> — </w:t>
      </w:r>
      <w:r>
        <w:rPr>
          <w:rStyle w:val="CharPartText"/>
        </w:rPr>
        <w:t>Enforcing monetary judgments</w:t>
      </w:r>
      <w:bookmarkEnd w:id="87"/>
      <w:bookmarkEnd w:id="88"/>
      <w:bookmarkEnd w:id="89"/>
      <w:bookmarkEnd w:id="90"/>
      <w:bookmarkEnd w:id="91"/>
      <w:bookmarkEnd w:id="92"/>
      <w:r>
        <w:t xml:space="preserve">  </w:t>
      </w:r>
    </w:p>
    <w:p>
      <w:pPr>
        <w:pStyle w:val="Heading3"/>
      </w:pPr>
      <w:bookmarkStart w:id="94" w:name="_Toc352745487"/>
      <w:bookmarkStart w:id="95" w:name="_Toc352766078"/>
      <w:bookmarkStart w:id="96" w:name="_Toc356200641"/>
      <w:bookmarkStart w:id="97" w:name="_Toc356227436"/>
      <w:bookmarkStart w:id="98" w:name="_Toc357670354"/>
      <w:bookmarkStart w:id="99" w:name="_Toc371491739"/>
      <w:r>
        <w:rPr>
          <w:rStyle w:val="CharDivNo"/>
        </w:rPr>
        <w:t>Division 1</w:t>
      </w:r>
      <w:r>
        <w:t> — </w:t>
      </w:r>
      <w:r>
        <w:rPr>
          <w:rStyle w:val="CharDivText"/>
        </w:rPr>
        <w:t>General</w:t>
      </w:r>
      <w:bookmarkEnd w:id="94"/>
      <w:bookmarkEnd w:id="95"/>
      <w:bookmarkEnd w:id="96"/>
      <w:bookmarkEnd w:id="97"/>
      <w:bookmarkEnd w:id="98"/>
      <w:bookmarkEnd w:id="99"/>
    </w:p>
    <w:p>
      <w:pPr>
        <w:pStyle w:val="Heading5"/>
      </w:pPr>
      <w:bookmarkStart w:id="100" w:name="_Toc371491740"/>
      <w:bookmarkStart w:id="101" w:name="_Toc357670355"/>
      <w:r>
        <w:rPr>
          <w:rStyle w:val="CharSectno"/>
        </w:rPr>
        <w:t>17</w:t>
      </w:r>
      <w:r>
        <w:t>.</w:t>
      </w:r>
      <w:r>
        <w:tab/>
        <w:t>Term used: enforcement order</w:t>
      </w:r>
      <w:bookmarkEnd w:id="100"/>
      <w:bookmarkEnd w:id="101"/>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 or</w:t>
      </w:r>
    </w:p>
    <w:p>
      <w:pPr>
        <w:pStyle w:val="Defpara"/>
      </w:pPr>
      <w:r>
        <w:tab/>
        <w:t>(b)</w:t>
      </w:r>
      <w:r>
        <w:tab/>
        <w:t>an instalment order made under section 33; or</w:t>
      </w:r>
    </w:p>
    <w:p>
      <w:pPr>
        <w:pStyle w:val="Defpara"/>
      </w:pPr>
      <w:r>
        <w:tab/>
        <w:t>(c)</w:t>
      </w:r>
      <w:r>
        <w:tab/>
        <w:t>an earnings appropriation order made under section 35; or</w:t>
      </w:r>
    </w:p>
    <w:p>
      <w:pPr>
        <w:pStyle w:val="Defpara"/>
      </w:pPr>
      <w:r>
        <w:tab/>
        <w:t>(d)</w:t>
      </w:r>
      <w:r>
        <w:tab/>
        <w:t>a debt appropriation order made under section 49; or</w:t>
      </w:r>
    </w:p>
    <w:p>
      <w:pPr>
        <w:pStyle w:val="Defpara"/>
      </w:pPr>
      <w:r>
        <w:tab/>
        <w:t>(e)</w:t>
      </w:r>
      <w:r>
        <w:tab/>
        <w:t>a property (seizure and sale) order made under section 59; or</w:t>
      </w:r>
    </w:p>
    <w:p>
      <w:pPr>
        <w:pStyle w:val="Defpara"/>
      </w:pPr>
      <w:r>
        <w:tab/>
        <w:t>(f)</w:t>
      </w:r>
      <w:r>
        <w:tab/>
        <w:t>an order made under section</w:t>
      </w:r>
      <w:bookmarkStart w:id="102" w:name="_Hlt45011271"/>
      <w:r>
        <w:t> 86</w:t>
      </w:r>
      <w:bookmarkEnd w:id="102"/>
      <w:r>
        <w:t>.</w:t>
      </w:r>
    </w:p>
    <w:p>
      <w:pPr>
        <w:pStyle w:val="Heading5"/>
      </w:pPr>
      <w:bookmarkStart w:id="103" w:name="_Hlt46733567"/>
      <w:bookmarkStart w:id="104" w:name="_Toc371491741"/>
      <w:bookmarkStart w:id="105" w:name="_Toc357670356"/>
      <w:bookmarkEnd w:id="103"/>
      <w:r>
        <w:rPr>
          <w:rStyle w:val="CharSectno"/>
        </w:rPr>
        <w:t>18</w:t>
      </w:r>
      <w:r>
        <w:t>.</w:t>
      </w:r>
      <w:r>
        <w:tab/>
        <w:t>Enforcement orders, applicability of</w:t>
      </w:r>
      <w:bookmarkEnd w:id="104"/>
      <w:bookmarkEnd w:id="105"/>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106" w:name="_Toc371491742"/>
      <w:bookmarkStart w:id="107" w:name="_Toc357670357"/>
      <w:r>
        <w:rPr>
          <w:rStyle w:val="CharSectno"/>
        </w:rPr>
        <w:t>19</w:t>
      </w:r>
      <w:r>
        <w:t>.</w:t>
      </w:r>
      <w:r>
        <w:tab/>
        <w:t>Enforcement orders, application for etc.</w:t>
      </w:r>
      <w:bookmarkEnd w:id="106"/>
      <w:bookmarkEnd w:id="107"/>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108" w:name="_Hlt53802644"/>
      <w:r>
        <w:t> 21</w:t>
      </w:r>
      <w:bookmarkEnd w:id="108"/>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109" w:name="_Hlt38966553"/>
      <w:bookmarkEnd w:id="109"/>
    </w:p>
    <w:p>
      <w:pPr>
        <w:pStyle w:val="Heading5"/>
      </w:pPr>
      <w:bookmarkStart w:id="110" w:name="_Toc371491743"/>
      <w:bookmarkStart w:id="111" w:name="_Toc357670358"/>
      <w:r>
        <w:rPr>
          <w:rStyle w:val="CharSectno"/>
        </w:rPr>
        <w:t>20</w:t>
      </w:r>
      <w:r>
        <w:t>.</w:t>
      </w:r>
      <w:r>
        <w:tab/>
        <w:t>Enforcement and other orders, making of</w:t>
      </w:r>
      <w:bookmarkEnd w:id="110"/>
      <w:bookmarkEnd w:id="111"/>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112" w:name="_Hlt46715005"/>
      <w:bookmarkStart w:id="113" w:name="_Toc371491744"/>
      <w:bookmarkStart w:id="114" w:name="_Toc357670359"/>
      <w:bookmarkEnd w:id="112"/>
      <w:r>
        <w:rPr>
          <w:rStyle w:val="CharSectno"/>
        </w:rPr>
        <w:t>21</w:t>
      </w:r>
      <w:r>
        <w:t>.</w:t>
      </w:r>
      <w:r>
        <w:tab/>
        <w:t>Certain orders only available at or after means inquiry</w:t>
      </w:r>
      <w:bookmarkEnd w:id="113"/>
      <w:bookmarkEnd w:id="114"/>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115" w:name="_Hlt53803176"/>
      <w:bookmarkEnd w:id="115"/>
      <w:r>
        <w:t>aking an order referred to in subsection (1) in respect of a judgment debtor who is a natural person, the court should ensure that the order does not impose unreasonable obligations on the judgment d</w:t>
      </w:r>
      <w:bookmarkStart w:id="116" w:name="_Hlt38966547"/>
      <w:bookmarkEnd w:id="116"/>
      <w:r>
        <w:t>ebtor having regard to the judgment debtor’s means to satisfy the judgment.</w:t>
      </w:r>
    </w:p>
    <w:p>
      <w:pPr>
        <w:pStyle w:val="Heading5"/>
      </w:pPr>
      <w:bookmarkStart w:id="117" w:name="_Hlt46715019"/>
      <w:bookmarkStart w:id="118" w:name="_Toc371491745"/>
      <w:bookmarkStart w:id="119" w:name="_Toc357670360"/>
      <w:bookmarkEnd w:id="117"/>
      <w:r>
        <w:rPr>
          <w:rStyle w:val="CharSectno"/>
        </w:rPr>
        <w:t>22</w:t>
      </w:r>
      <w:r>
        <w:t>.</w:t>
      </w:r>
      <w:r>
        <w:tab/>
        <w:t>More than one enforcement order, applications for</w:t>
      </w:r>
      <w:bookmarkEnd w:id="118"/>
      <w:bookmarkEnd w:id="119"/>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120" w:name="_Hlt38086025"/>
      <w:bookmarkStart w:id="121" w:name="_Toc371491746"/>
      <w:bookmarkStart w:id="122" w:name="_Toc357670361"/>
      <w:bookmarkEnd w:id="120"/>
      <w:r>
        <w:rPr>
          <w:rStyle w:val="CharSectno"/>
        </w:rPr>
        <w:t>23</w:t>
      </w:r>
      <w:r>
        <w:t>.</w:t>
      </w:r>
      <w:r>
        <w:tab/>
        <w:t>Multiple enforcement orders, effect of</w:t>
      </w:r>
      <w:bookmarkEnd w:id="121"/>
      <w:bookmarkEnd w:id="122"/>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123" w:name="_Hlt47325718"/>
      <w:r>
        <w:t> 6</w:t>
      </w:r>
      <w:bookmarkEnd w:id="123"/>
      <w:r>
        <w:t>.</w:t>
      </w:r>
    </w:p>
    <w:p>
      <w:pPr>
        <w:pStyle w:val="Heading5"/>
      </w:pPr>
      <w:bookmarkStart w:id="124" w:name="_Hlt39286232"/>
      <w:bookmarkStart w:id="125" w:name="_Toc371491747"/>
      <w:bookmarkStart w:id="126" w:name="_Toc357670362"/>
      <w:bookmarkEnd w:id="124"/>
      <w:r>
        <w:rPr>
          <w:rStyle w:val="CharSectno"/>
        </w:rPr>
        <w:t>24</w:t>
      </w:r>
      <w:r>
        <w:t>.</w:t>
      </w:r>
      <w:r>
        <w:tab/>
        <w:t>Money recovered, judgment creditor’s duties as to</w:t>
      </w:r>
      <w:bookmarkEnd w:id="125"/>
      <w:bookmarkEnd w:id="126"/>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 and</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 and</w:t>
      </w:r>
    </w:p>
    <w:p>
      <w:pPr>
        <w:pStyle w:val="Indenta"/>
      </w:pPr>
      <w:r>
        <w:tab/>
        <w:t>(d)</w:t>
      </w:r>
      <w:r>
        <w:tab/>
        <w:t>any interest due on the judgment sum; and</w:t>
      </w:r>
    </w:p>
    <w:p>
      <w:pPr>
        <w:pStyle w:val="Indenta"/>
      </w:pPr>
      <w:r>
        <w:tab/>
        <w:t>(e)</w:t>
      </w:r>
      <w:r>
        <w:tab/>
        <w:t>the enforcement costs in connection with the judgment; and</w:t>
      </w:r>
    </w:p>
    <w:p>
      <w:pPr>
        <w:pStyle w:val="Indenta"/>
      </w:pPr>
      <w:r>
        <w:tab/>
        <w:t>(f)</w:t>
      </w:r>
      <w:r>
        <w:tab/>
        <w:t xml:space="preserve">money received or recovered by the judgment creditor in </w:t>
      </w:r>
      <w:bookmarkStart w:id="127" w:name="_Hlt53803014"/>
      <w:bookmarkEnd w:id="127"/>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128" w:name="_Toc371491748"/>
      <w:bookmarkStart w:id="129" w:name="_Toc357670363"/>
      <w:r>
        <w:rPr>
          <w:rStyle w:val="CharSectno"/>
        </w:rPr>
        <w:t>25</w:t>
      </w:r>
      <w:r>
        <w:t>.</w:t>
      </w:r>
      <w:r>
        <w:tab/>
        <w:t>Excess money recovered, consequences</w:t>
      </w:r>
      <w:bookmarkEnd w:id="128"/>
      <w:bookmarkEnd w:id="129"/>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130" w:name="_Toc352745497"/>
      <w:bookmarkStart w:id="131" w:name="_Toc352766088"/>
      <w:bookmarkStart w:id="132" w:name="_Toc356200651"/>
      <w:bookmarkStart w:id="133" w:name="_Toc356227446"/>
      <w:bookmarkStart w:id="134" w:name="_Toc357670364"/>
      <w:bookmarkStart w:id="135" w:name="_Toc371491749"/>
      <w:r>
        <w:rPr>
          <w:rStyle w:val="CharDivNo"/>
        </w:rPr>
        <w:t>Division 2</w:t>
      </w:r>
      <w:r>
        <w:t> — </w:t>
      </w:r>
      <w:r>
        <w:rPr>
          <w:rStyle w:val="CharDivText"/>
        </w:rPr>
        <w:t>Means inquiry</w:t>
      </w:r>
      <w:bookmarkEnd w:id="130"/>
      <w:bookmarkEnd w:id="131"/>
      <w:bookmarkEnd w:id="132"/>
      <w:bookmarkEnd w:id="133"/>
      <w:bookmarkEnd w:id="134"/>
      <w:bookmarkEnd w:id="135"/>
    </w:p>
    <w:p>
      <w:pPr>
        <w:pStyle w:val="Heading5"/>
      </w:pPr>
      <w:bookmarkStart w:id="136" w:name="_Hlt53482524"/>
      <w:bookmarkStart w:id="137" w:name="_Toc371491750"/>
      <w:bookmarkStart w:id="138" w:name="_Toc357670365"/>
      <w:bookmarkEnd w:id="136"/>
      <w:r>
        <w:rPr>
          <w:rStyle w:val="CharSectno"/>
        </w:rPr>
        <w:t>26</w:t>
      </w:r>
      <w:r>
        <w:t>.</w:t>
      </w:r>
      <w:r>
        <w:tab/>
        <w:t>Means inquiry, nature of</w:t>
      </w:r>
      <w:bookmarkEnd w:id="137"/>
      <w:bookmarkEnd w:id="138"/>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 and</w:t>
      </w:r>
    </w:p>
    <w:p>
      <w:pPr>
        <w:pStyle w:val="Indenta"/>
      </w:pPr>
      <w:bookmarkStart w:id="139" w:name="_Hlt54065463"/>
      <w:bookmarkEnd w:id="139"/>
      <w:r>
        <w:tab/>
        <w:t>(b)</w:t>
      </w:r>
      <w:r>
        <w:tab/>
        <w:t>whether there are or will be any earnings of the judgment debtor that might be appropriated to satisfy the judgment debt and, if there are, the net earnings for the purpose of Division 4; and</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140" w:name="_Toc371491751"/>
      <w:bookmarkStart w:id="141" w:name="_Toc357670366"/>
      <w:r>
        <w:rPr>
          <w:rStyle w:val="CharSectno"/>
        </w:rPr>
        <w:t>27</w:t>
      </w:r>
      <w:r>
        <w:t>.</w:t>
      </w:r>
      <w:r>
        <w:tab/>
        <w:t>Means inquiry, application for by judgment creditor</w:t>
      </w:r>
      <w:bookmarkEnd w:id="140"/>
      <w:bookmarkEnd w:id="141"/>
    </w:p>
    <w:p>
      <w:pPr>
        <w:pStyle w:val="Subsection"/>
      </w:pPr>
      <w:r>
        <w:tab/>
      </w:r>
      <w:bookmarkStart w:id="142" w:name="_Hlt53482576"/>
      <w:bookmarkEnd w:id="142"/>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a partner; and</w:t>
      </w:r>
    </w:p>
    <w:p>
      <w:pPr>
        <w:pStyle w:val="Indenta"/>
      </w:pPr>
      <w:r>
        <w:tab/>
        <w:t>(c)</w:t>
      </w:r>
      <w:r>
        <w:tab/>
        <w:t>if the judgment debtor is a corporation, contain the name and address of an officer of the corporation; and</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143" w:name="_Toc371491752"/>
      <w:bookmarkStart w:id="144" w:name="_Toc357670367"/>
      <w:r>
        <w:rPr>
          <w:rStyle w:val="CharSectno"/>
        </w:rPr>
        <w:t>28</w:t>
      </w:r>
      <w:r>
        <w:t>.</w:t>
      </w:r>
      <w:r>
        <w:tab/>
        <w:t>Means inquiry, application for by judgment debtor</w:t>
      </w:r>
      <w:bookmarkEnd w:id="143"/>
      <w:bookmarkEnd w:id="144"/>
    </w:p>
    <w:p>
      <w:pPr>
        <w:pStyle w:val="Subsection"/>
      </w:pPr>
      <w:r>
        <w:tab/>
        <w:t>(1)</w:t>
      </w:r>
      <w:r>
        <w:tab/>
        <w:t xml:space="preserve">A judgment debtor who applies for a suspension order on the grounds that the debtor </w:t>
      </w:r>
      <w:bookmarkStart w:id="145" w:name="_Hlt53477863"/>
      <w:bookmarkEnd w:id="145"/>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146" w:name="_Hlt53482789"/>
      <w:bookmarkEnd w:id="146"/>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147" w:name="_Toc371491753"/>
      <w:bookmarkStart w:id="148" w:name="_Toc357670368"/>
      <w:r>
        <w:rPr>
          <w:rStyle w:val="CharSectno"/>
        </w:rPr>
        <w:t>29</w:t>
      </w:r>
      <w:r>
        <w:t>.</w:t>
      </w:r>
      <w:r>
        <w:tab/>
        <w:t>Means inquiry, summons to attend</w:t>
      </w:r>
      <w:bookmarkEnd w:id="147"/>
      <w:bookmarkEnd w:id="148"/>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149" w:name="_Hlt46814560"/>
      <w:bookmarkEnd w:id="149"/>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150" w:name="_Hlt53802877"/>
      <w:bookmarkEnd w:id="150"/>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151" w:name="_Toc371491754"/>
      <w:bookmarkStart w:id="152" w:name="_Toc357670369"/>
      <w:r>
        <w:rPr>
          <w:rStyle w:val="CharSectno"/>
        </w:rPr>
        <w:t>30</w:t>
      </w:r>
      <w:r>
        <w:t>.</w:t>
      </w:r>
      <w:r>
        <w:tab/>
        <w:t>Means inquiry, conduct of</w:t>
      </w:r>
      <w:bookmarkEnd w:id="151"/>
      <w:bookmarkEnd w:id="152"/>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At a means inquiry the court is to determine the matters listed in section</w:t>
      </w:r>
      <w:bookmarkStart w:id="153" w:name="_Hlt53482882"/>
      <w:r>
        <w:t> 26</w:t>
      </w:r>
      <w:bookmarkEnd w:id="153"/>
      <w:r>
        <w:t>.</w:t>
      </w:r>
    </w:p>
    <w:p>
      <w:pPr>
        <w:pStyle w:val="Subsection"/>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pPr>
      <w:r>
        <w:tab/>
        <w:t>(4)</w:t>
      </w:r>
      <w:r>
        <w:tab/>
        <w:t>A judgment debtor who contravenes subsection (3) is guilty of a contempt of court.</w:t>
      </w:r>
    </w:p>
    <w:p>
      <w:pPr>
        <w:pStyle w:val="Subsection"/>
      </w:pPr>
      <w:r>
        <w:tab/>
        <w:t>(5)</w:t>
      </w:r>
      <w:r>
        <w:tab/>
        <w:t>A court may adjourn a means inquiry.</w:t>
      </w:r>
    </w:p>
    <w:p>
      <w:pPr>
        <w:pStyle w:val="Subsection"/>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pPr>
      <w:r>
        <w:tab/>
      </w:r>
      <w:r>
        <w:tab/>
        <w:t xml:space="preserve">may appear on behalf of the judgment creditor, despite the </w:t>
      </w:r>
      <w:r>
        <w:rPr>
          <w:i/>
          <w:iCs/>
        </w:rPr>
        <w:t>Legal Profession Act 2008</w:t>
      </w:r>
      <w:r>
        <w:t xml:space="preserve"> section 12.</w:t>
      </w:r>
    </w:p>
    <w:p>
      <w:pPr>
        <w:pStyle w:val="Subsection"/>
      </w:pPr>
      <w:bookmarkStart w:id="154" w:name="_Hlt53802701"/>
      <w:bookmarkEnd w:id="154"/>
      <w:r>
        <w:tab/>
        <w:t>(7)</w:t>
      </w:r>
      <w:r>
        <w:tab/>
        <w:t xml:space="preserve">A means inquiry in the </w:t>
      </w:r>
      <w:smartTag w:uri="urn:schemas-microsoft-com:office:smarttags" w:element="Street">
        <w:smartTag w:uri="urn:schemas-microsoft-com:office:smarttags" w:element="address">
          <w:r>
            <w:t>Magistrates Court</w:t>
          </w:r>
        </w:smartTag>
      </w:smartTag>
      <w:r>
        <w:t xml:space="preserve">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pPr>
      <w:r>
        <w:tab/>
        <w:t>(8)</w:t>
      </w:r>
      <w:r>
        <w:tab/>
        <w:t xml:space="preserve">At a means inquiry in the </w:t>
      </w:r>
      <w:smartTag w:uri="urn:schemas-microsoft-com:office:smarttags" w:element="Street">
        <w:smartTag w:uri="urn:schemas-microsoft-com:office:smarttags" w:element="address">
          <w:r>
            <w:t>Magistrates Court</w:t>
          </w:r>
        </w:smartTag>
      </w:smartTag>
      <w:r>
        <w:t xml:space="preserve">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 No. 21 of 2008 s. 645.]</w:t>
      </w:r>
    </w:p>
    <w:p>
      <w:pPr>
        <w:pStyle w:val="Heading5"/>
      </w:pPr>
      <w:bookmarkStart w:id="155" w:name="_Toc371491755"/>
      <w:bookmarkStart w:id="156" w:name="_Toc357670370"/>
      <w:r>
        <w:rPr>
          <w:rStyle w:val="CharSectno"/>
        </w:rPr>
        <w:t>31</w:t>
      </w:r>
      <w:r>
        <w:t>.</w:t>
      </w:r>
      <w:r>
        <w:tab/>
        <w:t>Orders at or after a means inquiry</w:t>
      </w:r>
      <w:bookmarkEnd w:id="155"/>
      <w:bookmarkEnd w:id="156"/>
    </w:p>
    <w:p>
      <w:pPr>
        <w:pStyle w:val="Subsection"/>
        <w:keepNext/>
        <w:keepLines/>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157" w:name="_Hlt53802498"/>
      <w:bookmarkEnd w:id="157"/>
      <w:r>
        <w:t>(2)</w:t>
      </w:r>
      <w:r>
        <w:tab/>
        <w:t xml:space="preserve">After a means inquiry has been held, the judgment creditor may apply for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spacing w:before="120"/>
      </w:pPr>
      <w:r>
        <w:tab/>
      </w:r>
      <w:bookmarkStart w:id="158" w:name="_Hlt53802542"/>
      <w:bookmarkEnd w:id="158"/>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159" w:name="_Toc352745504"/>
      <w:bookmarkStart w:id="160" w:name="_Toc352766095"/>
      <w:bookmarkStart w:id="161" w:name="_Toc356200658"/>
      <w:bookmarkStart w:id="162" w:name="_Toc356227453"/>
      <w:bookmarkStart w:id="163" w:name="_Toc357670371"/>
      <w:bookmarkStart w:id="164" w:name="_Toc371491756"/>
      <w:r>
        <w:rPr>
          <w:rStyle w:val="CharDivNo"/>
        </w:rPr>
        <w:t>Division 3</w:t>
      </w:r>
      <w:r>
        <w:t> — </w:t>
      </w:r>
      <w:r>
        <w:rPr>
          <w:rStyle w:val="CharDivText"/>
        </w:rPr>
        <w:t>Orders for payment</w:t>
      </w:r>
      <w:bookmarkEnd w:id="159"/>
      <w:bookmarkEnd w:id="160"/>
      <w:bookmarkEnd w:id="161"/>
      <w:bookmarkEnd w:id="162"/>
      <w:bookmarkEnd w:id="163"/>
      <w:bookmarkEnd w:id="164"/>
    </w:p>
    <w:p>
      <w:pPr>
        <w:pStyle w:val="Heading5"/>
        <w:spacing w:before="180"/>
      </w:pPr>
      <w:bookmarkStart w:id="165" w:name="_Toc371491757"/>
      <w:bookmarkStart w:id="166" w:name="_Toc357670372"/>
      <w:r>
        <w:rPr>
          <w:rStyle w:val="CharSectno"/>
        </w:rPr>
        <w:t>32</w:t>
      </w:r>
      <w:r>
        <w:t>.</w:t>
      </w:r>
      <w:r>
        <w:tab/>
        <w:t>Time for payment order</w:t>
      </w:r>
      <w:bookmarkEnd w:id="165"/>
      <w:bookmarkEnd w:id="166"/>
    </w:p>
    <w:p>
      <w:pPr>
        <w:pStyle w:val="Subsection"/>
        <w:spacing w:before="120"/>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167" w:name="_Hlt53802478"/>
      <w:r>
        <w:t> 21</w:t>
      </w:r>
      <w:bookmarkEnd w:id="167"/>
      <w:r>
        <w:t xml:space="preserve"> and 22.</w:t>
      </w:r>
    </w:p>
    <w:p>
      <w:pPr>
        <w:pStyle w:val="Heading5"/>
      </w:pPr>
      <w:bookmarkStart w:id="168" w:name="_Toc371491758"/>
      <w:bookmarkStart w:id="169" w:name="_Toc357670373"/>
      <w:r>
        <w:rPr>
          <w:rStyle w:val="CharSectno"/>
        </w:rPr>
        <w:t>33</w:t>
      </w:r>
      <w:r>
        <w:t>.</w:t>
      </w:r>
      <w:r>
        <w:tab/>
        <w:t>Instalment order</w:t>
      </w:r>
      <w:bookmarkEnd w:id="168"/>
      <w:bookmarkEnd w:id="169"/>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170" w:name="_Toc352745507"/>
      <w:bookmarkStart w:id="171" w:name="_Toc352766098"/>
      <w:bookmarkStart w:id="172" w:name="_Toc356200661"/>
      <w:bookmarkStart w:id="173" w:name="_Toc356227456"/>
      <w:bookmarkStart w:id="174" w:name="_Toc357670374"/>
      <w:bookmarkStart w:id="175" w:name="_Toc371491759"/>
      <w:r>
        <w:rPr>
          <w:rStyle w:val="CharDivNo"/>
        </w:rPr>
        <w:t>Division 4</w:t>
      </w:r>
      <w:r>
        <w:t> — </w:t>
      </w:r>
      <w:r>
        <w:rPr>
          <w:rStyle w:val="CharDivText"/>
        </w:rPr>
        <w:t>Appropriating a judgment debtor’s earnings</w:t>
      </w:r>
      <w:bookmarkEnd w:id="170"/>
      <w:bookmarkEnd w:id="171"/>
      <w:bookmarkEnd w:id="172"/>
      <w:bookmarkEnd w:id="173"/>
      <w:bookmarkEnd w:id="174"/>
      <w:bookmarkEnd w:id="175"/>
    </w:p>
    <w:p>
      <w:pPr>
        <w:pStyle w:val="Heading5"/>
      </w:pPr>
      <w:bookmarkStart w:id="176" w:name="_Toc371491760"/>
      <w:bookmarkStart w:id="177" w:name="_Toc357670375"/>
      <w:r>
        <w:rPr>
          <w:rStyle w:val="CharSectno"/>
        </w:rPr>
        <w:t>34</w:t>
      </w:r>
      <w:r>
        <w:t>.</w:t>
      </w:r>
      <w:r>
        <w:tab/>
        <w:t>Terms used</w:t>
      </w:r>
      <w:bookmarkEnd w:id="176"/>
      <w:bookmarkEnd w:id="177"/>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178" w:name="_Hlt38973811"/>
      <w:bookmarkStart w:id="179" w:name="_Toc371491761"/>
      <w:bookmarkStart w:id="180" w:name="_Toc357670376"/>
      <w:bookmarkEnd w:id="178"/>
      <w:r>
        <w:rPr>
          <w:rStyle w:val="CharSectno"/>
        </w:rPr>
        <w:t>35</w:t>
      </w:r>
      <w:r>
        <w:t>.</w:t>
      </w:r>
      <w:r>
        <w:tab/>
        <w:t>Earnings appropriation order</w:t>
      </w:r>
      <w:bookmarkEnd w:id="179"/>
      <w:bookmarkEnd w:id="180"/>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181" w:name="_Hlt45690224"/>
      <w:bookmarkEnd w:id="181"/>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182" w:name="_Toc371491762"/>
      <w:bookmarkStart w:id="183" w:name="_Toc357670377"/>
      <w:r>
        <w:rPr>
          <w:rStyle w:val="CharSectno"/>
        </w:rPr>
        <w:t>36</w:t>
      </w:r>
      <w:r>
        <w:t>.</w:t>
      </w:r>
      <w:r>
        <w:tab/>
        <w:t>Earnings appropriation order, content and service of</w:t>
      </w:r>
      <w:bookmarkEnd w:id="182"/>
      <w:bookmarkEnd w:id="183"/>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 and</w:t>
      </w:r>
    </w:p>
    <w:p>
      <w:pPr>
        <w:pStyle w:val="Indenta"/>
      </w:pPr>
      <w:r>
        <w:tab/>
        <w:t>(b)</w:t>
      </w:r>
      <w:r>
        <w:tab/>
        <w:t>state the name and address of the judgment debtor and the judgment creditor; and</w:t>
      </w:r>
    </w:p>
    <w:p>
      <w:pPr>
        <w:pStyle w:val="Indenta"/>
      </w:pPr>
      <w:r>
        <w:tab/>
        <w:t>(c)</w:t>
      </w:r>
      <w:r>
        <w:tab/>
        <w:t>identify the earnings to which the order applies; and</w:t>
      </w:r>
    </w:p>
    <w:p>
      <w:pPr>
        <w:pStyle w:val="Indenta"/>
      </w:pPr>
      <w:r>
        <w:tab/>
        <w:t>(d)</w:t>
      </w:r>
      <w:r>
        <w:tab/>
        <w:t>state the judgment debt as at the date of the order; and</w:t>
      </w:r>
    </w:p>
    <w:p>
      <w:pPr>
        <w:pStyle w:val="Indenta"/>
      </w:pPr>
      <w:r>
        <w:tab/>
        <w:t>(e)</w:t>
      </w:r>
      <w:r>
        <w:tab/>
        <w:t>order the third person to pay the judgment creditor from the earnings a stated amount or amounts; and</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184" w:name="_Toc371491763"/>
      <w:bookmarkStart w:id="185" w:name="_Toc357670378"/>
      <w:r>
        <w:rPr>
          <w:rStyle w:val="CharSectno"/>
        </w:rPr>
        <w:t>37</w:t>
      </w:r>
      <w:r>
        <w:t>.</w:t>
      </w:r>
      <w:r>
        <w:tab/>
        <w:t>Earnings appropriation order, effect of</w:t>
      </w:r>
      <w:bookmarkEnd w:id="184"/>
      <w:bookmarkEnd w:id="185"/>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becomes aware that an objection has been allowed under section 41;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186" w:name="_Toc371491764"/>
      <w:bookmarkStart w:id="187" w:name="_Toc357670379"/>
      <w:r>
        <w:rPr>
          <w:rStyle w:val="CharSectno"/>
        </w:rPr>
        <w:t>38</w:t>
      </w:r>
      <w:r>
        <w:t>.</w:t>
      </w:r>
      <w:r>
        <w:tab/>
        <w:t>Third person’s obligations</w:t>
      </w:r>
      <w:bookmarkEnd w:id="186"/>
      <w:bookmarkEnd w:id="187"/>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188" w:name="_Toc371491765"/>
      <w:bookmarkStart w:id="189" w:name="_Toc357670380"/>
      <w:r>
        <w:rPr>
          <w:rStyle w:val="CharSectno"/>
        </w:rPr>
        <w:t>39</w:t>
      </w:r>
      <w:r>
        <w:t>.</w:t>
      </w:r>
      <w:r>
        <w:tab/>
        <w:t>Third person entitled to expenses of obeying order</w:t>
      </w:r>
      <w:bookmarkEnd w:id="188"/>
      <w:bookmarkEnd w:id="189"/>
    </w:p>
    <w:p>
      <w:pPr>
        <w:pStyle w:val="Subsection"/>
      </w:pPr>
      <w:r>
        <w:tab/>
      </w:r>
      <w:bookmarkStart w:id="190" w:name="_Hlt36433701"/>
      <w:bookmarkEnd w:id="190"/>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191" w:name="_Toc371491766"/>
      <w:bookmarkStart w:id="192" w:name="_Toc357670381"/>
      <w:r>
        <w:rPr>
          <w:rStyle w:val="CharSectno"/>
        </w:rPr>
        <w:t>40</w:t>
      </w:r>
      <w:r>
        <w:t>.</w:t>
      </w:r>
      <w:r>
        <w:tab/>
        <w:t>Third person may object to appropriation order</w:t>
      </w:r>
      <w:bookmarkEnd w:id="191"/>
      <w:bookmarkEnd w:id="192"/>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193" w:name="_Toc371491767"/>
      <w:bookmarkStart w:id="194" w:name="_Toc357670382"/>
      <w:r>
        <w:rPr>
          <w:rStyle w:val="CharSectno"/>
        </w:rPr>
        <w:t>41</w:t>
      </w:r>
      <w:r>
        <w:t>.</w:t>
      </w:r>
      <w:r>
        <w:tab/>
        <w:t>Objection to appropriation order, consequences of</w:t>
      </w:r>
      <w:bookmarkEnd w:id="193"/>
      <w:bookmarkEnd w:id="194"/>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195" w:name="_Toc371491768"/>
      <w:bookmarkStart w:id="196" w:name="_Toc357670383"/>
      <w:r>
        <w:rPr>
          <w:rStyle w:val="CharSectno"/>
        </w:rPr>
        <w:t>42</w:t>
      </w:r>
      <w:r>
        <w:t>.</w:t>
      </w:r>
      <w:r>
        <w:tab/>
        <w:t>Earnings appropriation order, failure to obey</w:t>
      </w:r>
      <w:bookmarkEnd w:id="195"/>
      <w:bookmarkEnd w:id="196"/>
    </w:p>
    <w:p>
      <w:pPr>
        <w:pStyle w:val="Subsection"/>
      </w:pPr>
      <w:r>
        <w:tab/>
        <w:t>(1)</w:t>
      </w:r>
      <w:r>
        <w:tab/>
        <w:t xml:space="preserve">If a third person who is served with an earnings appropriation order — </w:t>
      </w:r>
    </w:p>
    <w:p>
      <w:pPr>
        <w:pStyle w:val="Indenta"/>
      </w:pPr>
      <w:r>
        <w:tab/>
        <w:t>(a)</w:t>
      </w:r>
      <w:r>
        <w:tab/>
        <w:t>does not obey the order; or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197" w:name="_Toc371491769"/>
      <w:bookmarkStart w:id="198" w:name="_Toc357670384"/>
      <w:r>
        <w:rPr>
          <w:rStyle w:val="CharSectno"/>
        </w:rPr>
        <w:t>43</w:t>
      </w:r>
      <w:r>
        <w:t>.</w:t>
      </w:r>
      <w:r>
        <w:tab/>
        <w:t>Earnings appropriation order, effect of obeying</w:t>
      </w:r>
      <w:bookmarkEnd w:id="197"/>
      <w:bookmarkEnd w:id="198"/>
    </w:p>
    <w:p>
      <w:pPr>
        <w:pStyle w:val="Subsection"/>
        <w:keepNext/>
      </w:pPr>
      <w:r>
        <w:tab/>
        <w:t>(1)</w:t>
      </w:r>
      <w:r>
        <w:tab/>
        <w:t xml:space="preserve">Any amount — </w:t>
      </w:r>
    </w:p>
    <w:p>
      <w:pPr>
        <w:pStyle w:val="Indenta"/>
      </w:pPr>
      <w:r>
        <w:tab/>
        <w:t>(a)</w:t>
      </w:r>
      <w:r>
        <w:tab/>
        <w:t>paid by the third person to the judgment creditor under an earnings appropriation order; or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199" w:name="_Toc371491770"/>
      <w:bookmarkStart w:id="200" w:name="_Toc357670385"/>
      <w:r>
        <w:rPr>
          <w:rStyle w:val="CharSectno"/>
        </w:rPr>
        <w:t>44</w:t>
      </w:r>
      <w:r>
        <w:t>.</w:t>
      </w:r>
      <w:r>
        <w:tab/>
        <w:t>Employees, protection of</w:t>
      </w:r>
      <w:bookmarkEnd w:id="199"/>
      <w:bookmarkEnd w:id="200"/>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201" w:name="_Toc352745519"/>
      <w:bookmarkStart w:id="202" w:name="_Toc352766110"/>
      <w:bookmarkStart w:id="203" w:name="_Toc356200673"/>
      <w:bookmarkStart w:id="204" w:name="_Toc356227468"/>
      <w:bookmarkStart w:id="205" w:name="_Toc357670386"/>
      <w:bookmarkStart w:id="206" w:name="_Toc371491771"/>
      <w:r>
        <w:rPr>
          <w:rStyle w:val="CharDivNo"/>
        </w:rPr>
        <w:t>Division 5</w:t>
      </w:r>
      <w:r>
        <w:t> — </w:t>
      </w:r>
      <w:r>
        <w:rPr>
          <w:rStyle w:val="CharDivText"/>
        </w:rPr>
        <w:t>Appropriating debts owed to a judgment debtor</w:t>
      </w:r>
      <w:bookmarkEnd w:id="201"/>
      <w:bookmarkEnd w:id="202"/>
      <w:bookmarkEnd w:id="203"/>
      <w:bookmarkEnd w:id="204"/>
      <w:bookmarkEnd w:id="205"/>
      <w:bookmarkEnd w:id="206"/>
    </w:p>
    <w:p>
      <w:pPr>
        <w:pStyle w:val="Heading5"/>
      </w:pPr>
      <w:bookmarkStart w:id="207" w:name="_Toc371491772"/>
      <w:bookmarkStart w:id="208" w:name="_Toc357670387"/>
      <w:r>
        <w:rPr>
          <w:rStyle w:val="CharSectno"/>
        </w:rPr>
        <w:t>45</w:t>
      </w:r>
      <w:r>
        <w:t>.</w:t>
      </w:r>
      <w:r>
        <w:tab/>
        <w:t>Terms used</w:t>
      </w:r>
      <w:bookmarkEnd w:id="207"/>
      <w:bookmarkEnd w:id="208"/>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 or</w:t>
      </w:r>
    </w:p>
    <w:p>
      <w:pPr>
        <w:pStyle w:val="Defpara"/>
      </w:pPr>
      <w:r>
        <w:tab/>
        <w:t>(c)</w:t>
      </w:r>
      <w:r>
        <w:tab/>
        <w:t>a co</w:t>
      </w:r>
      <w:r>
        <w:noBreakHyphen/>
        <w:t xml:space="preserve">operative registered under the </w:t>
      </w:r>
      <w:r>
        <w:rPr>
          <w:i/>
          <w:iCs/>
        </w:rPr>
        <w:t>Co</w:t>
      </w:r>
      <w:r>
        <w:rPr>
          <w:i/>
          <w:iCs/>
        </w:rPr>
        <w:noBreakHyphen/>
        <w:t>operatives Act 2009</w:t>
      </w:r>
      <w:r>
        <w:t xml:space="preserve"> that is permitted under that Act to accept money on deposit; or</w:t>
      </w:r>
    </w:p>
    <w:p>
      <w:pPr>
        <w:pStyle w:val="Ednotepara"/>
      </w:pPr>
      <w:r>
        <w:tab/>
        <w:t>[(d)</w:t>
      </w:r>
      <w:r>
        <w:tab/>
        <w:t>deleted]</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Footnotesection"/>
      </w:pPr>
      <w:r>
        <w:tab/>
        <w:t>[Section 45 amended by No. 17 of 2005 s. 20; No. 24 of 2009 s. 507 and 512.]</w:t>
      </w:r>
    </w:p>
    <w:p>
      <w:pPr>
        <w:pStyle w:val="Heading5"/>
      </w:pPr>
      <w:bookmarkStart w:id="209" w:name="_Hlt54000263"/>
      <w:bookmarkStart w:id="210" w:name="_Toc371491773"/>
      <w:bookmarkStart w:id="211" w:name="_Toc357670388"/>
      <w:bookmarkEnd w:id="209"/>
      <w:r>
        <w:rPr>
          <w:rStyle w:val="CharSectno"/>
        </w:rPr>
        <w:t>46</w:t>
      </w:r>
      <w:r>
        <w:t>.</w:t>
      </w:r>
      <w:r>
        <w:tab/>
        <w:t>Available debt in relation to a judgment debtor</w:t>
      </w:r>
      <w:bookmarkEnd w:id="210"/>
      <w:bookmarkEnd w:id="211"/>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 or</w:t>
      </w:r>
    </w:p>
    <w:p>
      <w:pPr>
        <w:pStyle w:val="Indenta"/>
      </w:pPr>
      <w:r>
        <w:tab/>
        <w:t>(b)</w:t>
      </w:r>
      <w:r>
        <w:tab/>
        <w:t>will arise on the fulfilment of one or more conditions under —</w:t>
      </w:r>
    </w:p>
    <w:p>
      <w:pPr>
        <w:pStyle w:val="Indenti"/>
      </w:pPr>
      <w:r>
        <w:tab/>
        <w:t>(i)</w:t>
      </w:r>
      <w:r>
        <w:tab/>
        <w:t>an existing agreement or trust; or</w:t>
      </w:r>
    </w:p>
    <w:p>
      <w:pPr>
        <w:pStyle w:val="Indenti"/>
      </w:pPr>
      <w:r>
        <w:tab/>
        <w:t>(ii)</w:t>
      </w:r>
      <w:r>
        <w:tab/>
        <w:t>the will of a deceased person; or</w:t>
      </w:r>
    </w:p>
    <w:p>
      <w:pPr>
        <w:pStyle w:val="Indenti"/>
      </w:pPr>
      <w:r>
        <w:tab/>
        <w:t>(iii)</w:t>
      </w:r>
      <w:r>
        <w:tab/>
        <w:t>an issued share or other marketable security;</w:t>
      </w:r>
    </w:p>
    <w:p>
      <w:pPr>
        <w:pStyle w:val="Indenta"/>
      </w:pPr>
      <w:r>
        <w:tab/>
      </w:r>
      <w:r>
        <w:tab/>
        <w:t>or</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212" w:name="_Toc371491774"/>
      <w:bookmarkStart w:id="213" w:name="_Toc357670389"/>
      <w:r>
        <w:rPr>
          <w:rStyle w:val="CharSectno"/>
        </w:rPr>
        <w:t>47</w:t>
      </w:r>
      <w:r>
        <w:t>.</w:t>
      </w:r>
      <w:r>
        <w:tab/>
      </w:r>
      <w:r>
        <w:rPr>
          <w:i/>
        </w:rPr>
        <w:t>Workmen’s Wages Act 1898</w:t>
      </w:r>
      <w:r>
        <w:t>, application of</w:t>
      </w:r>
      <w:bookmarkEnd w:id="212"/>
      <w:bookmarkEnd w:id="213"/>
    </w:p>
    <w:p>
      <w:pPr>
        <w:pStyle w:val="Subsection"/>
      </w:pPr>
      <w:r>
        <w:tab/>
      </w:r>
      <w:r>
        <w:tab/>
        <w:t xml:space="preserve">This Division is subject to </w:t>
      </w:r>
      <w:bookmarkStart w:id="214" w:name="_Hlt39311174"/>
      <w:bookmarkEnd w:id="214"/>
      <w:r>
        <w:t xml:space="preserve">the </w:t>
      </w:r>
      <w:r>
        <w:rPr>
          <w:i/>
        </w:rPr>
        <w:t>Workmen’s Wages Act 1898</w:t>
      </w:r>
      <w:r>
        <w:t xml:space="preserve"> section 6</w:t>
      </w:r>
      <w:r>
        <w:rPr>
          <w:vertAlign w:val="superscript"/>
        </w:rPr>
        <w:t> 3</w:t>
      </w:r>
      <w:r>
        <w:t>.</w:t>
      </w:r>
    </w:p>
    <w:p>
      <w:pPr>
        <w:pStyle w:val="Heading5"/>
      </w:pPr>
      <w:bookmarkStart w:id="215" w:name="_Toc371491775"/>
      <w:bookmarkStart w:id="216" w:name="_Toc357670390"/>
      <w:r>
        <w:rPr>
          <w:rStyle w:val="CharSectno"/>
        </w:rPr>
        <w:t>48</w:t>
      </w:r>
      <w:r>
        <w:t>.</w:t>
      </w:r>
      <w:r>
        <w:tab/>
        <w:t>Available debts, provisions about</w:t>
      </w:r>
      <w:bookmarkEnd w:id="215"/>
      <w:bookmarkEnd w:id="216"/>
    </w:p>
    <w:p>
      <w:pPr>
        <w:pStyle w:val="Subsection"/>
      </w:pPr>
      <w:r>
        <w:tab/>
      </w:r>
      <w:r>
        <w:tab/>
        <w:t>Schedule</w:t>
      </w:r>
      <w:bookmarkStart w:id="217" w:name="_Hlt38097963"/>
      <w:r>
        <w:t> 1</w:t>
      </w:r>
      <w:bookmarkEnd w:id="217"/>
      <w:r>
        <w:t xml:space="preserve"> has effect.</w:t>
      </w:r>
    </w:p>
    <w:p>
      <w:pPr>
        <w:pStyle w:val="Heading5"/>
      </w:pPr>
      <w:bookmarkStart w:id="218" w:name="_Hlt38973858"/>
      <w:bookmarkStart w:id="219" w:name="_Toc371491776"/>
      <w:bookmarkStart w:id="220" w:name="_Toc357670391"/>
      <w:bookmarkEnd w:id="218"/>
      <w:r>
        <w:rPr>
          <w:rStyle w:val="CharSectno"/>
        </w:rPr>
        <w:t>49</w:t>
      </w:r>
      <w:r>
        <w:t>.</w:t>
      </w:r>
      <w:r>
        <w:tab/>
        <w:t>Debt appropriation order</w:t>
      </w:r>
      <w:bookmarkEnd w:id="219"/>
      <w:bookmarkEnd w:id="220"/>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221" w:name="_Hlt38189788"/>
      <w:bookmarkEnd w:id="221"/>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222" w:name="_Hlt46650614"/>
      <w:r>
        <w:t> 2</w:t>
      </w:r>
      <w:bookmarkEnd w:id="222"/>
      <w:r>
        <w:t>,</w:t>
      </w:r>
      <w:bookmarkStart w:id="223" w:name="_Hlt46650638"/>
      <w:r>
        <w:t> 3</w:t>
      </w:r>
      <w:bookmarkEnd w:id="223"/>
      <w:r>
        <w:t xml:space="preserve"> or</w:t>
      </w:r>
      <w:bookmarkStart w:id="224" w:name="_Hlt46650655"/>
      <w:r>
        <w:t> 4</w:t>
      </w:r>
      <w:bookmarkEnd w:id="224"/>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225" w:name="_Toc371491777"/>
      <w:bookmarkStart w:id="226" w:name="_Toc357670392"/>
      <w:r>
        <w:rPr>
          <w:rStyle w:val="CharSectno"/>
        </w:rPr>
        <w:t>50</w:t>
      </w:r>
      <w:r>
        <w:t>.</w:t>
      </w:r>
      <w:r>
        <w:tab/>
        <w:t>Debt appropriation order, content and service of</w:t>
      </w:r>
      <w:bookmarkEnd w:id="225"/>
      <w:bookmarkEnd w:id="226"/>
    </w:p>
    <w:p>
      <w:pPr>
        <w:pStyle w:val="Subsection"/>
        <w:keepNext/>
        <w:keepLines/>
      </w:pPr>
      <w:r>
        <w:tab/>
        <w:t>(1)</w:t>
      </w:r>
      <w:r>
        <w:tab/>
        <w:t>A debt appropriation order is to —</w:t>
      </w:r>
    </w:p>
    <w:p>
      <w:pPr>
        <w:pStyle w:val="Indenta"/>
      </w:pPr>
      <w:r>
        <w:tab/>
        <w:t>(a)</w:t>
      </w:r>
      <w:r>
        <w:tab/>
        <w:t>be addressed to the person who owes or will or may owe the available debt;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identify the available debt to which the order applies; and</w:t>
      </w:r>
    </w:p>
    <w:p>
      <w:pPr>
        <w:pStyle w:val="Indenta"/>
      </w:pPr>
      <w:r>
        <w:tab/>
        <w:t>(e)</w:t>
      </w:r>
      <w:r>
        <w:tab/>
        <w:t>if the available debt is, will be or may be owed to the judgment debtor jointly with another or others, state the portion of the available debt to which the order applies; and</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227" w:name="_Hlt38269150"/>
      <w:r>
        <w:t> 53(1)</w:t>
      </w:r>
      <w:bookmarkEnd w:id="227"/>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228" w:name="_Toc371491778"/>
      <w:bookmarkStart w:id="229" w:name="_Toc357670393"/>
      <w:r>
        <w:rPr>
          <w:rStyle w:val="CharSectno"/>
        </w:rPr>
        <w:t>51</w:t>
      </w:r>
      <w:r>
        <w:t>.</w:t>
      </w:r>
      <w:r>
        <w:tab/>
        <w:t>Debt appropriation order, effect of</w:t>
      </w:r>
      <w:bookmarkEnd w:id="228"/>
      <w:bookmarkEnd w:id="229"/>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 and</w:t>
      </w:r>
    </w:p>
    <w:p>
      <w:pPr>
        <w:pStyle w:val="Indenta"/>
      </w:pPr>
      <w:r>
        <w:tab/>
        <w:t>(b)</w:t>
      </w:r>
      <w:r>
        <w:tab/>
        <w:t>any order made under Schedule 1 clause</w:t>
      </w:r>
      <w:bookmarkStart w:id="230" w:name="_Hlt38173482"/>
      <w:r>
        <w:t> 3</w:t>
      </w:r>
      <w:bookmarkEnd w:id="230"/>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 or</w:t>
      </w:r>
    </w:p>
    <w:p>
      <w:pPr>
        <w:pStyle w:val="Indenta"/>
      </w:pPr>
      <w:r>
        <w:tab/>
        <w:t>(b)</w:t>
      </w:r>
      <w:r>
        <w:tab/>
        <w:t>when the third person is notified that an objection has been allowed under section 55; or</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231" w:name="_Hlt38097084"/>
      <w:bookmarkEnd w:id="231"/>
      <w:r>
        <w:tab/>
        <w:t>(7)</w:t>
      </w:r>
      <w:r>
        <w:tab/>
        <w:t>If a debt appropriation order ceases to have effect or the judgment debt to which it relates is satisfied, the judgment creditor must immediately notify the third person.</w:t>
      </w:r>
    </w:p>
    <w:p>
      <w:pPr>
        <w:pStyle w:val="Penstart"/>
      </w:pPr>
      <w:bookmarkStart w:id="232" w:name="_Hlt43625787"/>
      <w:bookmarkEnd w:id="232"/>
      <w:r>
        <w:tab/>
        <w:t>Penalty: Imprisonment for 12 months.</w:t>
      </w:r>
    </w:p>
    <w:p>
      <w:pPr>
        <w:pStyle w:val="Heading5"/>
      </w:pPr>
      <w:bookmarkStart w:id="233" w:name="_Toc371491779"/>
      <w:bookmarkStart w:id="234" w:name="_Toc357670394"/>
      <w:r>
        <w:rPr>
          <w:rStyle w:val="CharSectno"/>
        </w:rPr>
        <w:t>52</w:t>
      </w:r>
      <w:r>
        <w:t>.</w:t>
      </w:r>
      <w:r>
        <w:tab/>
        <w:t>Third person’s obligations</w:t>
      </w:r>
      <w:bookmarkEnd w:id="233"/>
      <w:bookmarkEnd w:id="234"/>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235" w:name="_Hlt45691131"/>
      <w:bookmarkStart w:id="236" w:name="_Toc371491780"/>
      <w:bookmarkStart w:id="237" w:name="_Toc357670395"/>
      <w:bookmarkEnd w:id="235"/>
      <w:r>
        <w:rPr>
          <w:rStyle w:val="CharSectno"/>
        </w:rPr>
        <w:t>53</w:t>
      </w:r>
      <w:r>
        <w:t>.</w:t>
      </w:r>
      <w:r>
        <w:tab/>
        <w:t>Third person entitled to expenses of obeying order</w:t>
      </w:r>
      <w:bookmarkEnd w:id="236"/>
      <w:bookmarkEnd w:id="237"/>
    </w:p>
    <w:p>
      <w:pPr>
        <w:pStyle w:val="Subsection"/>
      </w:pPr>
      <w:r>
        <w:tab/>
      </w:r>
      <w:bookmarkStart w:id="238" w:name="_Hlt38096602"/>
      <w:bookmarkEnd w:id="238"/>
      <w:r>
        <w:t>(1)</w:t>
      </w:r>
      <w:r>
        <w:tab/>
        <w:t xml:space="preserve">A third person who obeys a debt appropriation order is entitled to the reasonable expenses (not exceeding the </w:t>
      </w:r>
      <w:bookmarkStart w:id="239" w:name="_Hlt46562503"/>
      <w:bookmarkEnd w:id="239"/>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240" w:name="_Toc371491781"/>
      <w:bookmarkStart w:id="241" w:name="_Toc357670396"/>
      <w:r>
        <w:rPr>
          <w:rStyle w:val="CharSectno"/>
        </w:rPr>
        <w:t>54</w:t>
      </w:r>
      <w:r>
        <w:t>.</w:t>
      </w:r>
      <w:r>
        <w:tab/>
        <w:t>Third person may object to appropriation order</w:t>
      </w:r>
      <w:bookmarkEnd w:id="240"/>
      <w:bookmarkEnd w:id="241"/>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 and</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 and</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242" w:name="_Toc371491782"/>
      <w:bookmarkStart w:id="243" w:name="_Toc357670397"/>
      <w:r>
        <w:rPr>
          <w:rStyle w:val="CharSectno"/>
        </w:rPr>
        <w:t>55</w:t>
      </w:r>
      <w:r>
        <w:t>.</w:t>
      </w:r>
      <w:r>
        <w:tab/>
        <w:t>Objection to appropriation order, consequences of</w:t>
      </w:r>
      <w:bookmarkEnd w:id="242"/>
      <w:bookmarkEnd w:id="243"/>
    </w:p>
    <w:p>
      <w:pPr>
        <w:pStyle w:val="Subsection"/>
      </w:pPr>
      <w:r>
        <w:tab/>
        <w:t>(1)</w:t>
      </w:r>
      <w:r>
        <w:tab/>
        <w:t>A judgment creditor who is served with an objection under section 54(3) may allow the objection.</w:t>
      </w:r>
    </w:p>
    <w:p>
      <w:pPr>
        <w:pStyle w:val="Subsection"/>
      </w:pPr>
      <w:bookmarkStart w:id="244" w:name="_Hlt38097096"/>
      <w:bookmarkEnd w:id="244"/>
      <w:r>
        <w:tab/>
        <w:t>(2)</w:t>
      </w:r>
      <w:r>
        <w:tab/>
        <w:t xml:space="preserve">If the judgment creditor does not allow the objection within 7 days after the date of it, any of — </w:t>
      </w:r>
    </w:p>
    <w:p>
      <w:pPr>
        <w:pStyle w:val="Indenta"/>
      </w:pPr>
      <w:r>
        <w:tab/>
        <w:t>(a)</w:t>
      </w:r>
      <w:r>
        <w:tab/>
        <w:t>the third person; or</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245" w:name="_Toc371491783"/>
      <w:bookmarkStart w:id="246" w:name="_Toc357670398"/>
      <w:r>
        <w:rPr>
          <w:rStyle w:val="CharSectno"/>
        </w:rPr>
        <w:t>56</w:t>
      </w:r>
      <w:r>
        <w:t>.</w:t>
      </w:r>
      <w:r>
        <w:tab/>
        <w:t>Debt appropriation order, failure to obey</w:t>
      </w:r>
      <w:bookmarkEnd w:id="245"/>
      <w:bookmarkEnd w:id="246"/>
    </w:p>
    <w:p>
      <w:pPr>
        <w:pStyle w:val="Subsection"/>
      </w:pPr>
      <w:r>
        <w:tab/>
        <w:t>(1)</w:t>
      </w:r>
      <w:r>
        <w:tab/>
        <w:t xml:space="preserve">If a third person who is served with a debt appropriation order — </w:t>
      </w:r>
    </w:p>
    <w:p>
      <w:pPr>
        <w:pStyle w:val="Indenta"/>
      </w:pPr>
      <w:r>
        <w:tab/>
        <w:t>(a)</w:t>
      </w:r>
      <w:r>
        <w:tab/>
        <w:t>does not obey the order; or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247" w:name="_Toc371491784"/>
      <w:bookmarkStart w:id="248" w:name="_Toc357670399"/>
      <w:r>
        <w:rPr>
          <w:rStyle w:val="CharSectno"/>
        </w:rPr>
        <w:t>57</w:t>
      </w:r>
      <w:r>
        <w:t>.</w:t>
      </w:r>
      <w:r>
        <w:tab/>
        <w:t>Debt appropriation order, effect of obeying</w:t>
      </w:r>
      <w:bookmarkEnd w:id="247"/>
      <w:bookmarkEnd w:id="248"/>
    </w:p>
    <w:p>
      <w:pPr>
        <w:pStyle w:val="Subsection"/>
        <w:keepNext/>
      </w:pPr>
      <w:r>
        <w:tab/>
        <w:t>(1)</w:t>
      </w:r>
      <w:r>
        <w:tab/>
        <w:t xml:space="preserve">Any amount — </w:t>
      </w:r>
    </w:p>
    <w:p>
      <w:pPr>
        <w:pStyle w:val="Indenta"/>
      </w:pPr>
      <w:r>
        <w:tab/>
        <w:t>(a)</w:t>
      </w:r>
      <w:r>
        <w:tab/>
        <w:t>paid by a third person to the judgment creditor under a debt appropriation order; or</w:t>
      </w:r>
    </w:p>
    <w:p>
      <w:pPr>
        <w:pStyle w:val="Indenta"/>
      </w:pPr>
      <w:bookmarkStart w:id="249" w:name="_Hlt53991648"/>
      <w:bookmarkEnd w:id="249"/>
      <w:r>
        <w:tab/>
        <w:t>(b)</w:t>
      </w:r>
      <w:r>
        <w:tab/>
        <w:t>recovered by a third person under section</w:t>
      </w:r>
      <w:bookmarkStart w:id="250" w:name="_Hlt46562496"/>
      <w:r>
        <w:t> 53</w:t>
      </w:r>
      <w:bookmarkEnd w:id="250"/>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251" w:name="_Toc371491785"/>
      <w:bookmarkStart w:id="252" w:name="_Toc357670400"/>
      <w:r>
        <w:rPr>
          <w:rStyle w:val="CharSectno"/>
        </w:rPr>
        <w:t>58</w:t>
      </w:r>
      <w:r>
        <w:t>.</w:t>
      </w:r>
      <w:r>
        <w:tab/>
        <w:t>Money in court due to a judgment debtor, appropriation of</w:t>
      </w:r>
      <w:bookmarkEnd w:id="251"/>
      <w:bookmarkEnd w:id="252"/>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253" w:name="_Toc352745534"/>
      <w:bookmarkStart w:id="254" w:name="_Toc352766125"/>
      <w:bookmarkStart w:id="255" w:name="_Toc356200688"/>
      <w:bookmarkStart w:id="256" w:name="_Toc356227483"/>
      <w:bookmarkStart w:id="257" w:name="_Toc357670401"/>
      <w:bookmarkStart w:id="258" w:name="_Toc371491786"/>
      <w:r>
        <w:rPr>
          <w:rStyle w:val="CharDivNo"/>
        </w:rPr>
        <w:t xml:space="preserve">Division </w:t>
      </w:r>
      <w:bookmarkStart w:id="259" w:name="_Hlt47325720"/>
      <w:bookmarkEnd w:id="259"/>
      <w:r>
        <w:rPr>
          <w:rStyle w:val="CharDivNo"/>
        </w:rPr>
        <w:t>6</w:t>
      </w:r>
      <w:r>
        <w:t> — </w:t>
      </w:r>
      <w:r>
        <w:rPr>
          <w:rStyle w:val="CharDivText"/>
        </w:rPr>
        <w:t>Seizing and selling a judgment debtor’s property</w:t>
      </w:r>
      <w:bookmarkEnd w:id="253"/>
      <w:bookmarkEnd w:id="254"/>
      <w:bookmarkEnd w:id="255"/>
      <w:bookmarkEnd w:id="256"/>
      <w:bookmarkEnd w:id="257"/>
      <w:bookmarkEnd w:id="258"/>
    </w:p>
    <w:p>
      <w:pPr>
        <w:pStyle w:val="Heading4"/>
      </w:pPr>
      <w:bookmarkStart w:id="260" w:name="_Toc352745535"/>
      <w:bookmarkStart w:id="261" w:name="_Toc352766126"/>
      <w:bookmarkStart w:id="262" w:name="_Toc356200689"/>
      <w:bookmarkStart w:id="263" w:name="_Toc356227484"/>
      <w:bookmarkStart w:id="264" w:name="_Toc357670402"/>
      <w:bookmarkStart w:id="265" w:name="_Toc371491787"/>
      <w:r>
        <w:t>Subdivision 1 — General</w:t>
      </w:r>
      <w:bookmarkEnd w:id="260"/>
      <w:bookmarkEnd w:id="261"/>
      <w:bookmarkEnd w:id="262"/>
      <w:bookmarkEnd w:id="263"/>
      <w:bookmarkEnd w:id="264"/>
      <w:bookmarkEnd w:id="265"/>
    </w:p>
    <w:p>
      <w:pPr>
        <w:pStyle w:val="Heading5"/>
      </w:pPr>
      <w:bookmarkStart w:id="266" w:name="_Toc371491788"/>
      <w:bookmarkStart w:id="267" w:name="_Toc357670403"/>
      <w:r>
        <w:rPr>
          <w:rStyle w:val="CharSectno"/>
        </w:rPr>
        <w:t>59</w:t>
      </w:r>
      <w:r>
        <w:t>.</w:t>
      </w:r>
      <w:r>
        <w:tab/>
        <w:t>Property (seizure and sale) order</w:t>
      </w:r>
      <w:bookmarkEnd w:id="266"/>
      <w:bookmarkEnd w:id="267"/>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268" w:name="_Toc371491789"/>
      <w:bookmarkStart w:id="269" w:name="_Toc357670404"/>
      <w:r>
        <w:rPr>
          <w:rStyle w:val="CharSectno"/>
        </w:rPr>
        <w:t>60</w:t>
      </w:r>
      <w:r>
        <w:t>.</w:t>
      </w:r>
      <w:r>
        <w:tab/>
        <w:t>Property (seizure and sale) order, content and service of</w:t>
      </w:r>
      <w:bookmarkEnd w:id="268"/>
      <w:bookmarkEnd w:id="269"/>
    </w:p>
    <w:p>
      <w:pPr>
        <w:pStyle w:val="Subsection"/>
        <w:keepNext/>
      </w:pPr>
      <w:r>
        <w:tab/>
        <w:t>(1)</w:t>
      </w:r>
      <w:r>
        <w:tab/>
        <w:t xml:space="preserve">A property (seizure and sale) order must — </w:t>
      </w:r>
    </w:p>
    <w:p>
      <w:pPr>
        <w:pStyle w:val="Indenta"/>
      </w:pPr>
      <w:r>
        <w:tab/>
        <w:t>(a)</w:t>
      </w:r>
      <w:r>
        <w:tab/>
        <w:t>be addressed to the sheriff; and</w:t>
      </w:r>
    </w:p>
    <w:p>
      <w:pPr>
        <w:pStyle w:val="Indenta"/>
      </w:pPr>
      <w:r>
        <w:tab/>
        <w:t>(b)</w:t>
      </w:r>
      <w:r>
        <w:tab/>
        <w:t>state the name and address of the judgment debtor and the judgment creditor; and</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270" w:name="_Toc371491790"/>
      <w:bookmarkStart w:id="271" w:name="_Toc357670405"/>
      <w:r>
        <w:rPr>
          <w:rStyle w:val="CharSectno"/>
        </w:rPr>
        <w:t>61</w:t>
      </w:r>
      <w:r>
        <w:t>.</w:t>
      </w:r>
      <w:r>
        <w:tab/>
        <w:t>Receipt of order to be recorded by sheriff</w:t>
      </w:r>
      <w:bookmarkEnd w:id="270"/>
      <w:bookmarkEnd w:id="271"/>
    </w:p>
    <w:p>
      <w:pPr>
        <w:pStyle w:val="Subsection"/>
      </w:pPr>
      <w:r>
        <w:tab/>
      </w:r>
      <w:r>
        <w:tab/>
        <w:t>On receipt of a property (seizure and sale) order the sheriff must record the date and time when it was received.</w:t>
      </w:r>
    </w:p>
    <w:p>
      <w:pPr>
        <w:pStyle w:val="Heading5"/>
      </w:pPr>
      <w:bookmarkStart w:id="272" w:name="_Toc371491791"/>
      <w:bookmarkStart w:id="273" w:name="_Toc357670406"/>
      <w:r>
        <w:rPr>
          <w:rStyle w:val="CharSectno"/>
        </w:rPr>
        <w:t>62</w:t>
      </w:r>
      <w:r>
        <w:t>.</w:t>
      </w:r>
      <w:r>
        <w:tab/>
        <w:t>Property (seizure and sale) order, duration of</w:t>
      </w:r>
      <w:bookmarkEnd w:id="272"/>
      <w:bookmarkEnd w:id="273"/>
    </w:p>
    <w:p>
      <w:pPr>
        <w:pStyle w:val="Subsection"/>
      </w:pPr>
      <w:r>
        <w:tab/>
        <w:t>(1)</w:t>
      </w:r>
      <w:r>
        <w:tab/>
        <w:t xml:space="preserve">A property (seizure and sale) order ceases to operate — </w:t>
      </w:r>
    </w:p>
    <w:p>
      <w:pPr>
        <w:pStyle w:val="Indenta"/>
      </w:pPr>
      <w:r>
        <w:tab/>
        <w:t>(a)</w:t>
      </w:r>
      <w:r>
        <w:tab/>
        <w:t>when the judgment debt in relation to which it was made is satisfied; or</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274" w:name="_Hlt53992301"/>
      <w:bookmarkEnd w:id="274"/>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275" w:name="_Toc371491792"/>
      <w:bookmarkStart w:id="276" w:name="_Toc357670407"/>
      <w:r>
        <w:rPr>
          <w:rStyle w:val="CharSectno"/>
        </w:rPr>
        <w:t>63</w:t>
      </w:r>
      <w:r>
        <w:t>.</w:t>
      </w:r>
      <w:r>
        <w:tab/>
        <w:t>Determining a judgment debtor’s interest in property</w:t>
      </w:r>
      <w:bookmarkEnd w:id="275"/>
      <w:bookmarkEnd w:id="276"/>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keepLines/>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 and</w:t>
      </w:r>
    </w:p>
    <w:p>
      <w:pPr>
        <w:pStyle w:val="Indenta"/>
      </w:pPr>
      <w:r>
        <w:tab/>
        <w:t>(b)</w:t>
      </w:r>
      <w:r>
        <w:tab/>
        <w:t xml:space="preserve">if the interest is a security over the property — </w:t>
      </w:r>
    </w:p>
    <w:p>
      <w:pPr>
        <w:pStyle w:val="Indenti"/>
      </w:pPr>
      <w:r>
        <w:tab/>
        <w:t>(i)</w:t>
      </w:r>
      <w:r>
        <w:tab/>
        <w:t>the amount secured against the property; and</w:t>
      </w:r>
    </w:p>
    <w:p>
      <w:pPr>
        <w:pStyle w:val="Indenti"/>
      </w:pPr>
      <w:r>
        <w:tab/>
        <w:t>(ii)</w:t>
      </w:r>
      <w:r>
        <w:tab/>
        <w:t>the amount outstanding under the security; and</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r>
      <w:r>
        <w:tab/>
        <w:t>and</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277" w:name="_Toc371491793"/>
      <w:bookmarkStart w:id="278" w:name="_Toc357670408"/>
      <w:r>
        <w:rPr>
          <w:rStyle w:val="CharSectno"/>
        </w:rPr>
        <w:t>64</w:t>
      </w:r>
      <w:r>
        <w:t>.</w:t>
      </w:r>
      <w:r>
        <w:tab/>
        <w:t>Personal property to be sold in preference to real property</w:t>
      </w:r>
      <w:bookmarkEnd w:id="277"/>
      <w:bookmarkEnd w:id="278"/>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279" w:name="_Toc371491794"/>
      <w:bookmarkStart w:id="280" w:name="_Toc357670409"/>
      <w:r>
        <w:rPr>
          <w:rStyle w:val="CharSectno"/>
        </w:rPr>
        <w:t>65</w:t>
      </w:r>
      <w:r>
        <w:t>.</w:t>
      </w:r>
      <w:r>
        <w:tab/>
        <w:t>Only sufficient property to be sold</w:t>
      </w:r>
      <w:bookmarkEnd w:id="279"/>
      <w:bookmarkEnd w:id="280"/>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281" w:name="_Toc371491795"/>
      <w:bookmarkStart w:id="282" w:name="_Toc357670410"/>
      <w:r>
        <w:rPr>
          <w:rStyle w:val="CharSectno"/>
        </w:rPr>
        <w:t>66</w:t>
      </w:r>
      <w:r>
        <w:t>.</w:t>
      </w:r>
      <w:r>
        <w:tab/>
        <w:t>Seized property, sheriff to determine fair value of</w:t>
      </w:r>
      <w:bookmarkEnd w:id="281"/>
      <w:bookmarkEnd w:id="282"/>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283" w:name="_Toc371491796"/>
      <w:bookmarkStart w:id="284" w:name="_Toc357670411"/>
      <w:r>
        <w:rPr>
          <w:rStyle w:val="CharSectno"/>
        </w:rPr>
        <w:t>67</w:t>
      </w:r>
      <w:r>
        <w:t>.</w:t>
      </w:r>
      <w:r>
        <w:tab/>
        <w:t>Interests of others</w:t>
      </w:r>
      <w:bookmarkEnd w:id="283"/>
      <w:bookmarkEnd w:id="284"/>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 and</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285" w:name="_Toc371491797"/>
      <w:bookmarkStart w:id="286" w:name="_Toc357670412"/>
      <w:r>
        <w:rPr>
          <w:rStyle w:val="CharSectno"/>
        </w:rPr>
        <w:t>68</w:t>
      </w:r>
      <w:r>
        <w:t>.</w:t>
      </w:r>
      <w:r>
        <w:tab/>
      </w:r>
      <w:smartTag w:uri="urn:schemas-microsoft-com:office:smarttags" w:element="place">
        <w:smartTag w:uri="urn:schemas-microsoft-com:office:smarttags" w:element="City">
          <w:r>
            <w:t>Sale</w:t>
          </w:r>
        </w:smartTag>
      </w:smartTag>
      <w:r>
        <w:t xml:space="preserve"> to be advertised</w:t>
      </w:r>
      <w:bookmarkEnd w:id="285"/>
      <w:bookmarkEnd w:id="286"/>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287" w:name="_Toc371491798"/>
      <w:bookmarkStart w:id="288" w:name="_Toc357670413"/>
      <w:r>
        <w:rPr>
          <w:rStyle w:val="CharSectno"/>
        </w:rPr>
        <w:t>69</w:t>
      </w:r>
      <w:r>
        <w:t>.</w:t>
      </w:r>
      <w:r>
        <w:tab/>
        <w:t>Place and manner of sale</w:t>
      </w:r>
      <w:bookmarkEnd w:id="287"/>
      <w:bookmarkEnd w:id="288"/>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r>
      <w:r>
        <w:tab/>
        <w:t>and</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spacing w:before="180"/>
      </w:pPr>
      <w:bookmarkStart w:id="289" w:name="_Toc371491799"/>
      <w:bookmarkStart w:id="290" w:name="_Toc357670414"/>
      <w:r>
        <w:rPr>
          <w:rStyle w:val="CharSectno"/>
        </w:rPr>
        <w:t>70</w:t>
      </w:r>
      <w:r>
        <w:t>.</w:t>
      </w:r>
      <w:r>
        <w:tab/>
        <w:t>Transfers of property sold, sheriff may sign</w:t>
      </w:r>
      <w:bookmarkEnd w:id="289"/>
      <w:bookmarkEnd w:id="290"/>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spacing w:before="180"/>
      </w:pPr>
      <w:bookmarkStart w:id="291" w:name="_Toc371491800"/>
      <w:bookmarkStart w:id="292" w:name="_Toc357670415"/>
      <w:r>
        <w:rPr>
          <w:rStyle w:val="CharSectno"/>
        </w:rPr>
        <w:t>71</w:t>
      </w:r>
      <w:r>
        <w:t>.</w:t>
      </w:r>
      <w:r>
        <w:tab/>
        <w:t>Purchasers of property sold, protection of</w:t>
      </w:r>
      <w:bookmarkEnd w:id="291"/>
      <w:bookmarkEnd w:id="292"/>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 and</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293" w:name="_Toc371491801"/>
      <w:bookmarkStart w:id="294" w:name="_Toc357670416"/>
      <w:r>
        <w:rPr>
          <w:rStyle w:val="CharSectno"/>
        </w:rPr>
        <w:t>72</w:t>
      </w:r>
      <w:r>
        <w:t>.</w:t>
      </w:r>
      <w:r>
        <w:tab/>
        <w:t>Proceeds of sale, how to be applied</w:t>
      </w:r>
      <w:bookmarkEnd w:id="293"/>
      <w:bookmarkEnd w:id="294"/>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keepNext/>
      </w:pPr>
      <w:r>
        <w:tab/>
        <w:t>(7)</w:t>
      </w:r>
      <w:r>
        <w:tab/>
        <w:t xml:space="preserve">For the purposes of subsection (4)(b)(ii) the proceeds are to be paid — </w:t>
      </w:r>
    </w:p>
    <w:p>
      <w:pPr>
        <w:pStyle w:val="Indenta"/>
        <w:spacing w:before="120"/>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spacing w:before="100"/>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spacing w:before="100"/>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spacing w:before="120"/>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spacing w:before="120"/>
      </w:pPr>
      <w:r>
        <w:tab/>
        <w:t>(c)</w:t>
      </w:r>
      <w:r>
        <w:tab/>
        <w:t xml:space="preserve">in the case of the proceeds of a sale of a saleable interest in land that is not under the operation of the </w:t>
      </w:r>
      <w:r>
        <w:rPr>
          <w:i/>
        </w:rPr>
        <w:t>Transfer of Land Act 1893</w:t>
      </w:r>
      <w:r>
        <w:t> —</w:t>
      </w:r>
    </w:p>
    <w:p>
      <w:pPr>
        <w:pStyle w:val="Indenti"/>
        <w:spacing w:before="100"/>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spacing w:before="100"/>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ind w:left="890" w:hanging="890"/>
      </w:pPr>
      <w:r>
        <w:tab/>
        <w:t>[Section 72 amended by No. 5 of 2008 s. 10.]</w:t>
      </w:r>
    </w:p>
    <w:p>
      <w:pPr>
        <w:pStyle w:val="Heading5"/>
      </w:pPr>
      <w:bookmarkStart w:id="295" w:name="_Toc371491802"/>
      <w:bookmarkStart w:id="296" w:name="_Toc357670417"/>
      <w:r>
        <w:rPr>
          <w:rStyle w:val="CharSectno"/>
        </w:rPr>
        <w:t>73</w:t>
      </w:r>
      <w:r>
        <w:t>.</w:t>
      </w:r>
      <w:r>
        <w:tab/>
        <w:t>Priority of orders, establishing</w:t>
      </w:r>
      <w:bookmarkEnd w:id="295"/>
      <w:bookmarkEnd w:id="296"/>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 and</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297" w:name="_Toc352745551"/>
      <w:bookmarkStart w:id="298" w:name="_Toc352766142"/>
      <w:bookmarkStart w:id="299" w:name="_Toc356200705"/>
      <w:bookmarkStart w:id="300" w:name="_Toc356227500"/>
      <w:bookmarkStart w:id="301" w:name="_Toc357670418"/>
      <w:bookmarkStart w:id="302" w:name="_Toc371491803"/>
      <w:r>
        <w:t>Subdivision 2 — Seizing and selling personal property</w:t>
      </w:r>
      <w:bookmarkEnd w:id="297"/>
      <w:bookmarkEnd w:id="298"/>
      <w:bookmarkEnd w:id="299"/>
      <w:bookmarkEnd w:id="300"/>
      <w:bookmarkEnd w:id="301"/>
      <w:bookmarkEnd w:id="302"/>
    </w:p>
    <w:p>
      <w:pPr>
        <w:pStyle w:val="Heading5"/>
      </w:pPr>
      <w:bookmarkStart w:id="303" w:name="_Toc371491804"/>
      <w:bookmarkStart w:id="304" w:name="_Toc357670419"/>
      <w:r>
        <w:rPr>
          <w:rStyle w:val="CharSectno"/>
        </w:rPr>
        <w:t>74</w:t>
      </w:r>
      <w:r>
        <w:t>.</w:t>
      </w:r>
      <w:r>
        <w:tab/>
        <w:t>Property (seizure and sale) order, effect of</w:t>
      </w:r>
      <w:bookmarkEnd w:id="303"/>
      <w:bookmarkEnd w:id="304"/>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305" w:name="_Hlt54075773"/>
      <w:bookmarkEnd w:id="305"/>
      <w:r>
        <w:tab/>
        <w:t>(b)</w:t>
      </w:r>
      <w:r>
        <w:tab/>
        <w:t xml:space="preserve">entitles the sheriff — </w:t>
      </w:r>
    </w:p>
    <w:p>
      <w:pPr>
        <w:pStyle w:val="Indenti"/>
      </w:pPr>
      <w:r>
        <w:tab/>
        <w:t>(i)</w:t>
      </w:r>
      <w:r>
        <w:tab/>
        <w:t>to seize any such property in which the judgment debtor has a saleable interest and to sell that interest; and</w:t>
      </w:r>
    </w:p>
    <w:p>
      <w:pPr>
        <w:pStyle w:val="Indenti"/>
      </w:pPr>
      <w:r>
        <w:tab/>
        <w:t>(ii)</w:t>
      </w:r>
      <w:r>
        <w:tab/>
        <w:t>to seize any money of the judgment debtor; and</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306" w:name="_Hlt53904247"/>
      <w:bookmarkEnd w:id="306"/>
      <w:r>
        <w:t>(4)</w:t>
      </w:r>
      <w:r>
        <w:tab/>
        <w:t xml:space="preserve">If, after the sheriff receives the order, a person acquires an </w:t>
      </w:r>
      <w:bookmarkStart w:id="307" w:name="_Hlt47180086"/>
      <w:bookmarkEnd w:id="307"/>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308" w:name="_Toc371491805"/>
      <w:bookmarkStart w:id="309" w:name="_Toc357670420"/>
      <w:r>
        <w:rPr>
          <w:rStyle w:val="CharSectno"/>
        </w:rPr>
        <w:t>75</w:t>
      </w:r>
      <w:r>
        <w:t>.</w:t>
      </w:r>
      <w:r>
        <w:tab/>
        <w:t>Seizing personal property, powers enabling</w:t>
      </w:r>
      <w:bookmarkEnd w:id="308"/>
      <w:bookmarkEnd w:id="309"/>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310" w:name="_Hlt53804165"/>
      <w:bookmarkStart w:id="311" w:name="_Toc371491806"/>
      <w:bookmarkStart w:id="312" w:name="_Toc357670421"/>
      <w:bookmarkEnd w:id="310"/>
      <w:r>
        <w:rPr>
          <w:rStyle w:val="CharSectno"/>
        </w:rPr>
        <w:t>76</w:t>
      </w:r>
      <w:r>
        <w:t>.</w:t>
      </w:r>
      <w:r>
        <w:tab/>
        <w:t>Property that cannot be seized and sold</w:t>
      </w:r>
      <w:bookmarkEnd w:id="311"/>
      <w:bookmarkEnd w:id="312"/>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313" w:name="_Hlt43625803"/>
      <w:bookmarkEnd w:id="313"/>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314" w:name="_Toc371491807"/>
      <w:bookmarkStart w:id="315" w:name="_Toc357670422"/>
      <w:r>
        <w:rPr>
          <w:rStyle w:val="CharSectno"/>
        </w:rPr>
        <w:t>77</w:t>
      </w:r>
      <w:r>
        <w:t>.</w:t>
      </w:r>
      <w:r>
        <w:tab/>
        <w:t>Seizure notice to be issued</w:t>
      </w:r>
      <w:bookmarkEnd w:id="314"/>
      <w:bookmarkEnd w:id="315"/>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 and</w:t>
      </w:r>
    </w:p>
    <w:p>
      <w:pPr>
        <w:pStyle w:val="Indenta"/>
      </w:pPr>
      <w:r>
        <w:tab/>
        <w:t>(b)</w:t>
      </w:r>
      <w:r>
        <w:tab/>
        <w:t>state the judgment debt as at the date of the notice; and</w:t>
      </w:r>
    </w:p>
    <w:p>
      <w:pPr>
        <w:pStyle w:val="Indenta"/>
      </w:pPr>
      <w:r>
        <w:tab/>
        <w:t>(c)</w:t>
      </w:r>
      <w:r>
        <w:tab/>
        <w:t>describe the personal property seized; and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316" w:name="_Toc371491808"/>
      <w:bookmarkStart w:id="317" w:name="_Toc357670423"/>
      <w:r>
        <w:rPr>
          <w:rStyle w:val="CharSectno"/>
        </w:rPr>
        <w:t>78</w:t>
      </w:r>
      <w:r>
        <w:t>.</w:t>
      </w:r>
      <w:r>
        <w:tab/>
        <w:t>Custody of seized property</w:t>
      </w:r>
      <w:bookmarkEnd w:id="316"/>
      <w:bookmarkEnd w:id="317"/>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 and</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318" w:name="_Toc371491809"/>
      <w:bookmarkStart w:id="319" w:name="_Toc357670424"/>
      <w:r>
        <w:rPr>
          <w:rStyle w:val="CharSectno"/>
        </w:rPr>
        <w:t>79</w:t>
      </w:r>
      <w:r>
        <w:t>.</w:t>
      </w:r>
      <w:r>
        <w:tab/>
        <w:t>Cheques etc., consequences of seizing</w:t>
      </w:r>
      <w:bookmarkEnd w:id="318"/>
      <w:bookmarkEnd w:id="319"/>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320" w:name="_Toc352745558"/>
      <w:bookmarkStart w:id="321" w:name="_Toc352766149"/>
      <w:bookmarkStart w:id="322" w:name="_Toc356200712"/>
      <w:bookmarkStart w:id="323" w:name="_Toc356227507"/>
      <w:bookmarkStart w:id="324" w:name="_Toc357670425"/>
      <w:bookmarkStart w:id="325" w:name="_Toc371491810"/>
      <w:r>
        <w:t>Subdivision 3 — Seizing and selling real property</w:t>
      </w:r>
      <w:bookmarkEnd w:id="320"/>
      <w:bookmarkEnd w:id="321"/>
      <w:bookmarkEnd w:id="322"/>
      <w:bookmarkEnd w:id="323"/>
      <w:bookmarkEnd w:id="324"/>
      <w:bookmarkEnd w:id="325"/>
    </w:p>
    <w:p>
      <w:pPr>
        <w:pStyle w:val="Heading5"/>
      </w:pPr>
      <w:bookmarkStart w:id="326" w:name="_Toc371491811"/>
      <w:bookmarkStart w:id="327" w:name="_Toc357670426"/>
      <w:r>
        <w:rPr>
          <w:rStyle w:val="CharSectno"/>
        </w:rPr>
        <w:t>80</w:t>
      </w:r>
      <w:r>
        <w:t>.</w:t>
      </w:r>
      <w:r>
        <w:tab/>
        <w:t>Property (seizure and sale) order, effect of</w:t>
      </w:r>
      <w:bookmarkEnd w:id="326"/>
      <w:bookmarkEnd w:id="327"/>
    </w:p>
    <w:p>
      <w:pPr>
        <w:pStyle w:val="Subsection"/>
        <w:keepNext/>
      </w:pPr>
      <w:bookmarkStart w:id="328" w:name="_Hlt53991659"/>
      <w:bookmarkEnd w:id="328"/>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329" w:name="_Hlt54075784"/>
      <w:bookmarkEnd w:id="329"/>
      <w:r>
        <w:tab/>
        <w:t>(b)</w:t>
      </w:r>
      <w:r>
        <w:tab/>
        <w:t xml:space="preserve">entitles the sheriff — </w:t>
      </w:r>
    </w:p>
    <w:p>
      <w:pPr>
        <w:pStyle w:val="Indenti"/>
      </w:pPr>
      <w:r>
        <w:tab/>
        <w:t>(i)</w:t>
      </w:r>
      <w:r>
        <w:tab/>
        <w:t>to seize the land; 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keepLines/>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330" w:name="_Toc371491812"/>
      <w:bookmarkStart w:id="331" w:name="_Toc357670427"/>
      <w:r>
        <w:rPr>
          <w:rStyle w:val="CharSectno"/>
        </w:rPr>
        <w:t>81</w:t>
      </w:r>
      <w:r>
        <w:t>.</w:t>
      </w:r>
      <w:r>
        <w:tab/>
        <w:t>Power of entry</w:t>
      </w:r>
      <w:bookmarkEnd w:id="330"/>
      <w:bookmarkEnd w:id="331"/>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332" w:name="_Hlt54075795"/>
      <w:bookmarkEnd w:id="332"/>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333" w:name="_Toc371491813"/>
      <w:bookmarkStart w:id="334" w:name="_Toc357670428"/>
      <w:r>
        <w:rPr>
          <w:rStyle w:val="CharSectno"/>
        </w:rPr>
        <w:t>82</w:t>
      </w:r>
      <w:r>
        <w:t>.</w:t>
      </w:r>
      <w:r>
        <w:tab/>
        <w:t>Judgment debtor may be permitted to sell or mortgage real property</w:t>
      </w:r>
      <w:bookmarkEnd w:id="333"/>
      <w:bookmarkEnd w:id="334"/>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 and</w:t>
      </w:r>
    </w:p>
    <w:p>
      <w:pPr>
        <w:pStyle w:val="Indenta"/>
      </w:pPr>
      <w:r>
        <w:tab/>
        <w:t>(b)</w:t>
      </w:r>
      <w:r>
        <w:tab/>
        <w:t>require the amount of any deposit paid in respect of any sale of the interest to be paid to the sheriff to be held by the sheriff as stakeholder; and</w:t>
      </w:r>
    </w:p>
    <w:p>
      <w:pPr>
        <w:pStyle w:val="Indenta"/>
      </w:pPr>
      <w:r>
        <w:tab/>
        <w:t>(c)</w:t>
      </w:r>
      <w:r>
        <w:tab/>
        <w:t>state the minimum amount (including any such deposit) that must be paid to the sheriff out of the money realised from any sale or mortgage of the interest; and</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 and</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keepNext/>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 and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335" w:name="_Toc352745562"/>
      <w:bookmarkStart w:id="336" w:name="_Toc352766153"/>
      <w:bookmarkStart w:id="337" w:name="_Toc356200716"/>
      <w:bookmarkStart w:id="338" w:name="_Toc356227511"/>
      <w:bookmarkStart w:id="339" w:name="_Toc357670429"/>
      <w:bookmarkStart w:id="340" w:name="_Toc371491814"/>
      <w:r>
        <w:t>Subdivision 4 — Interpleader</w:t>
      </w:r>
      <w:bookmarkEnd w:id="335"/>
      <w:bookmarkEnd w:id="336"/>
      <w:bookmarkEnd w:id="337"/>
      <w:bookmarkEnd w:id="338"/>
      <w:bookmarkEnd w:id="339"/>
      <w:bookmarkEnd w:id="340"/>
    </w:p>
    <w:p>
      <w:pPr>
        <w:pStyle w:val="Heading5"/>
      </w:pPr>
      <w:bookmarkStart w:id="341" w:name="_Toc371491815"/>
      <w:bookmarkStart w:id="342" w:name="_Toc357670430"/>
      <w:r>
        <w:rPr>
          <w:rStyle w:val="CharSectno"/>
        </w:rPr>
        <w:t>83</w:t>
      </w:r>
      <w:r>
        <w:t>.</w:t>
      </w:r>
      <w:r>
        <w:tab/>
        <w:t>Making a claim to property</w:t>
      </w:r>
      <w:bookmarkEnd w:id="341"/>
      <w:bookmarkEnd w:id="342"/>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 or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343" w:name="_Hlt53991674"/>
      <w:bookmarkEnd w:id="343"/>
      <w:r>
        <w:tab/>
        <w:t>(2)</w:t>
      </w:r>
      <w:r>
        <w:tab/>
        <w:t xml:space="preserve">The claim must — </w:t>
      </w:r>
    </w:p>
    <w:p>
      <w:pPr>
        <w:pStyle w:val="Indenta"/>
      </w:pPr>
      <w:r>
        <w:tab/>
        <w:t>(a)</w:t>
      </w:r>
      <w:r>
        <w:tab/>
        <w:t>be in writing; and</w:t>
      </w:r>
    </w:p>
    <w:p>
      <w:pPr>
        <w:pStyle w:val="Indenta"/>
      </w:pPr>
      <w:r>
        <w:tab/>
        <w:t>(b)</w:t>
      </w:r>
      <w:r>
        <w:tab/>
        <w:t>describe the property or interest that is claimed; and</w:t>
      </w:r>
    </w:p>
    <w:p>
      <w:pPr>
        <w:pStyle w:val="Indenta"/>
      </w:pPr>
      <w:r>
        <w:tab/>
        <w:t>(c)</w:t>
      </w:r>
      <w:r>
        <w:tab/>
        <w:t>state the basis for the claim; and</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344" w:name="_Toc371491816"/>
      <w:bookmarkStart w:id="345" w:name="_Toc357670431"/>
      <w:r>
        <w:rPr>
          <w:rStyle w:val="CharSectno"/>
        </w:rPr>
        <w:t>84</w:t>
      </w:r>
      <w:r>
        <w:t>.</w:t>
      </w:r>
      <w:r>
        <w:tab/>
        <w:t>Judgment creditor may admit or dispute claim</w:t>
      </w:r>
      <w:bookmarkEnd w:id="344"/>
      <w:bookmarkEnd w:id="345"/>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 xml:space="preserve">to the District Court if the property (seizure and sale)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346" w:name="_Toc352745565"/>
      <w:bookmarkStart w:id="347" w:name="_Toc352766156"/>
      <w:bookmarkStart w:id="348" w:name="_Toc356200719"/>
      <w:bookmarkStart w:id="349" w:name="_Toc356227514"/>
      <w:bookmarkStart w:id="350" w:name="_Toc357670432"/>
      <w:bookmarkStart w:id="351" w:name="_Toc371491817"/>
      <w:r>
        <w:rPr>
          <w:rStyle w:val="CharDivNo"/>
        </w:rPr>
        <w:t>Division 7</w:t>
      </w:r>
      <w:r>
        <w:t> — </w:t>
      </w:r>
      <w:r>
        <w:rPr>
          <w:rStyle w:val="CharDivText"/>
        </w:rPr>
        <w:t>Receivers and special remedies</w:t>
      </w:r>
      <w:bookmarkEnd w:id="346"/>
      <w:bookmarkEnd w:id="347"/>
      <w:bookmarkEnd w:id="348"/>
      <w:bookmarkEnd w:id="349"/>
      <w:bookmarkEnd w:id="350"/>
      <w:bookmarkEnd w:id="351"/>
    </w:p>
    <w:p>
      <w:pPr>
        <w:pStyle w:val="Heading5"/>
      </w:pPr>
      <w:bookmarkStart w:id="352" w:name="_Toc371491818"/>
      <w:bookmarkStart w:id="353" w:name="_Toc357670433"/>
      <w:r>
        <w:rPr>
          <w:rStyle w:val="CharSectno"/>
        </w:rPr>
        <w:t>85</w:t>
      </w:r>
      <w:r>
        <w:t>.</w:t>
      </w:r>
      <w:r>
        <w:tab/>
        <w:t>Term used: available asset</w:t>
      </w:r>
      <w:bookmarkEnd w:id="352"/>
      <w:bookmarkEnd w:id="353"/>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354" w:name="_Toc371491819"/>
      <w:bookmarkStart w:id="355" w:name="_Toc357670434"/>
      <w:r>
        <w:rPr>
          <w:rStyle w:val="CharSectno"/>
        </w:rPr>
        <w:t>86</w:t>
      </w:r>
      <w:r>
        <w:t>.</w:t>
      </w:r>
      <w:r>
        <w:tab/>
        <w:t>Appointing a receiver, injunctions etc.</w:t>
      </w:r>
      <w:bookmarkEnd w:id="354"/>
      <w:bookmarkEnd w:id="355"/>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356" w:name="_Toc371491820"/>
      <w:bookmarkStart w:id="357" w:name="_Toc357670435"/>
      <w:r>
        <w:rPr>
          <w:rStyle w:val="CharSectno"/>
        </w:rPr>
        <w:t>87</w:t>
      </w:r>
      <w:r>
        <w:t>.</w:t>
      </w:r>
      <w:r>
        <w:tab/>
        <w:t>Receiver, appointment of etc.</w:t>
      </w:r>
      <w:bookmarkEnd w:id="356"/>
      <w:bookmarkEnd w:id="357"/>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358" w:name="_Toc352745569"/>
      <w:bookmarkStart w:id="359" w:name="_Toc352766160"/>
      <w:bookmarkStart w:id="360" w:name="_Toc356200723"/>
      <w:bookmarkStart w:id="361" w:name="_Toc356227518"/>
      <w:bookmarkStart w:id="362" w:name="_Toc357670436"/>
      <w:bookmarkStart w:id="363" w:name="_Toc371491821"/>
      <w:r>
        <w:rPr>
          <w:rStyle w:val="CharDivNo"/>
        </w:rPr>
        <w:t>Division 8</w:t>
      </w:r>
      <w:r>
        <w:t> — </w:t>
      </w:r>
      <w:r>
        <w:rPr>
          <w:rStyle w:val="CharDivText"/>
        </w:rPr>
        <w:t>Disobeying time for payment orders and instalment orders</w:t>
      </w:r>
      <w:bookmarkEnd w:id="358"/>
      <w:bookmarkEnd w:id="359"/>
      <w:bookmarkEnd w:id="360"/>
      <w:bookmarkEnd w:id="361"/>
      <w:bookmarkEnd w:id="362"/>
      <w:bookmarkEnd w:id="363"/>
    </w:p>
    <w:p>
      <w:pPr>
        <w:pStyle w:val="Heading5"/>
      </w:pPr>
      <w:bookmarkStart w:id="364" w:name="_Toc371491822"/>
      <w:bookmarkStart w:id="365" w:name="_Toc357670437"/>
      <w:r>
        <w:rPr>
          <w:rStyle w:val="CharSectno"/>
        </w:rPr>
        <w:t>88</w:t>
      </w:r>
      <w:r>
        <w:t>.</w:t>
      </w:r>
      <w:r>
        <w:tab/>
        <w:t>Summons to default inquiry, request for</w:t>
      </w:r>
      <w:bookmarkEnd w:id="364"/>
      <w:bookmarkEnd w:id="365"/>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 and</w:t>
      </w:r>
    </w:p>
    <w:p>
      <w:pPr>
        <w:pStyle w:val="Indenta"/>
      </w:pPr>
      <w:r>
        <w:tab/>
        <w:t>(b)</w:t>
      </w:r>
      <w:r>
        <w:tab/>
        <w:t>if the judgment debtor is a partnership, contain the name and address of one or more partners; and</w:t>
      </w:r>
    </w:p>
    <w:p>
      <w:pPr>
        <w:pStyle w:val="Indenta"/>
      </w:pPr>
      <w:r>
        <w:tab/>
        <w:t>(c)</w:t>
      </w:r>
      <w:r>
        <w:tab/>
        <w:t>if the judgment debtor is a corporation, contain the name and address of one or more officers of the corporation; and</w:t>
      </w:r>
    </w:p>
    <w:p>
      <w:pPr>
        <w:pStyle w:val="Indenta"/>
      </w:pPr>
      <w:r>
        <w:tab/>
        <w:t>(d)</w:t>
      </w:r>
      <w:r>
        <w:tab/>
        <w:t>contain the name and address of any other person who the judgment creditor thinks may be able to assist with the inquiry and who should be summoned to it; and</w:t>
      </w:r>
    </w:p>
    <w:p>
      <w:pPr>
        <w:pStyle w:val="Indenta"/>
        <w:keepNext/>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366" w:name="_Toc371491823"/>
      <w:bookmarkStart w:id="367" w:name="_Toc357670438"/>
      <w:r>
        <w:rPr>
          <w:rStyle w:val="CharSectno"/>
        </w:rPr>
        <w:t>89</w:t>
      </w:r>
      <w:r>
        <w:t>.</w:t>
      </w:r>
      <w:r>
        <w:tab/>
        <w:t>Default inquiry, summons to attend</w:t>
      </w:r>
      <w:bookmarkEnd w:id="366"/>
      <w:bookmarkEnd w:id="367"/>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368" w:name="_Hlt53819258"/>
      <w:bookmarkEnd w:id="368"/>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369" w:name="_Toc371491824"/>
      <w:bookmarkStart w:id="370" w:name="_Toc357670439"/>
      <w:r>
        <w:rPr>
          <w:rStyle w:val="CharSectno"/>
        </w:rPr>
        <w:t>90</w:t>
      </w:r>
      <w:r>
        <w:t>.</w:t>
      </w:r>
      <w:r>
        <w:tab/>
        <w:t>Default inquiry, nature of</w:t>
      </w:r>
      <w:bookmarkEnd w:id="369"/>
      <w:bookmarkEnd w:id="370"/>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r>
        <w:tab/>
        <w:t>(7)</w:t>
      </w:r>
      <w:r>
        <w:tab/>
        <w:t xml:space="preserve">Any person who under section 30(6) may appear on behalf of a judgment creditor at a means inquiry in the </w:t>
      </w:r>
      <w:smartTag w:uri="urn:schemas-microsoft-com:office:smarttags" w:element="Street">
        <w:smartTag w:uri="urn:schemas-microsoft-com:office:smarttags" w:element="address">
          <w:r>
            <w:t>Magistrates Court</w:t>
          </w:r>
        </w:smartTag>
      </w:smartTag>
      <w:r>
        <w:t xml:space="preserve"> may appear on behalf of a judgment creditor at a default inquiry in that court.</w:t>
      </w:r>
    </w:p>
    <w:p>
      <w:pPr>
        <w:pStyle w:val="Footnotesection"/>
      </w:pPr>
      <w:r>
        <w:tab/>
        <w:t>[Section 90 amended by No. 5 of 2008 s. 11.]</w:t>
      </w:r>
    </w:p>
    <w:p>
      <w:pPr>
        <w:pStyle w:val="Heading5"/>
      </w:pPr>
      <w:bookmarkStart w:id="371" w:name="_Toc371491825"/>
      <w:bookmarkStart w:id="372" w:name="_Toc357670440"/>
      <w:r>
        <w:rPr>
          <w:rStyle w:val="CharSectno"/>
        </w:rPr>
        <w:t>91</w:t>
      </w:r>
      <w:r>
        <w:t>.</w:t>
      </w:r>
      <w:r>
        <w:tab/>
        <w:t>Imprisonment for default, judgment creditor’s duties</w:t>
      </w:r>
      <w:bookmarkEnd w:id="371"/>
      <w:bookmarkEnd w:id="372"/>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373" w:name="_Toc371491826"/>
      <w:bookmarkStart w:id="374" w:name="_Toc357670441"/>
      <w:r>
        <w:rPr>
          <w:rStyle w:val="CharSectno"/>
        </w:rPr>
        <w:t>92</w:t>
      </w:r>
      <w:r>
        <w:t>.</w:t>
      </w:r>
      <w:r>
        <w:tab/>
        <w:t>Imprisonment for default, release from</w:t>
      </w:r>
      <w:bookmarkEnd w:id="373"/>
      <w:bookmarkEnd w:id="374"/>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 or</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375" w:name="_Hlt54664797"/>
      <w:bookmarkEnd w:id="375"/>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376" w:name="_Toc352745575"/>
      <w:bookmarkStart w:id="377" w:name="_Toc352766166"/>
      <w:bookmarkStart w:id="378" w:name="_Toc356200729"/>
      <w:bookmarkStart w:id="379" w:name="_Toc356227524"/>
      <w:bookmarkStart w:id="380" w:name="_Toc357670442"/>
      <w:bookmarkStart w:id="381" w:name="_Toc371491827"/>
      <w:r>
        <w:rPr>
          <w:rStyle w:val="CharDivNo"/>
        </w:rPr>
        <w:t>Division 9</w:t>
      </w:r>
      <w:r>
        <w:t> — </w:t>
      </w:r>
      <w:r>
        <w:rPr>
          <w:rStyle w:val="CharDivText"/>
        </w:rPr>
        <w:t>Miscellaneous</w:t>
      </w:r>
      <w:bookmarkEnd w:id="376"/>
      <w:bookmarkEnd w:id="377"/>
      <w:bookmarkEnd w:id="378"/>
      <w:bookmarkEnd w:id="379"/>
      <w:bookmarkEnd w:id="380"/>
      <w:bookmarkEnd w:id="381"/>
    </w:p>
    <w:p>
      <w:pPr>
        <w:pStyle w:val="Heading5"/>
      </w:pPr>
      <w:bookmarkStart w:id="382" w:name="_Toc371491828"/>
      <w:bookmarkStart w:id="383" w:name="_Toc357670443"/>
      <w:r>
        <w:rPr>
          <w:rStyle w:val="CharSectno"/>
        </w:rPr>
        <w:t>93</w:t>
      </w:r>
      <w:r>
        <w:t>.</w:t>
      </w:r>
      <w:r>
        <w:tab/>
        <w:t>Judgments against objects</w:t>
      </w:r>
      <w:bookmarkEnd w:id="382"/>
      <w:bookmarkEnd w:id="383"/>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384" w:name="_Toc352745577"/>
      <w:bookmarkStart w:id="385" w:name="_Toc352766168"/>
      <w:bookmarkStart w:id="386" w:name="_Toc356200731"/>
      <w:bookmarkStart w:id="387" w:name="_Toc356227526"/>
      <w:bookmarkStart w:id="388" w:name="_Toc357670444"/>
      <w:bookmarkStart w:id="389" w:name="_Toc371491829"/>
      <w:r>
        <w:rPr>
          <w:rStyle w:val="CharPartNo"/>
        </w:rPr>
        <w:t xml:space="preserve">Part </w:t>
      </w:r>
      <w:bookmarkStart w:id="390" w:name="_Hlt53472488"/>
      <w:bookmarkEnd w:id="390"/>
      <w:r>
        <w:rPr>
          <w:rStyle w:val="CharPartNo"/>
        </w:rPr>
        <w:t>5</w:t>
      </w:r>
      <w:r>
        <w:t> — </w:t>
      </w:r>
      <w:r>
        <w:rPr>
          <w:rStyle w:val="CharPartText"/>
        </w:rPr>
        <w:t>Enforcing non</w:t>
      </w:r>
      <w:r>
        <w:rPr>
          <w:rStyle w:val="CharPartText"/>
        </w:rPr>
        <w:noBreakHyphen/>
        <w:t>monetary judgments</w:t>
      </w:r>
      <w:bookmarkEnd w:id="384"/>
      <w:bookmarkEnd w:id="385"/>
      <w:bookmarkEnd w:id="386"/>
      <w:bookmarkEnd w:id="387"/>
      <w:bookmarkEnd w:id="388"/>
      <w:bookmarkEnd w:id="389"/>
    </w:p>
    <w:p>
      <w:pPr>
        <w:pStyle w:val="Heading3"/>
      </w:pPr>
      <w:bookmarkStart w:id="391" w:name="_Toc352745578"/>
      <w:bookmarkStart w:id="392" w:name="_Toc352766169"/>
      <w:bookmarkStart w:id="393" w:name="_Toc356200732"/>
      <w:bookmarkStart w:id="394" w:name="_Toc356227527"/>
      <w:bookmarkStart w:id="395" w:name="_Toc357670445"/>
      <w:bookmarkStart w:id="396" w:name="_Toc371491830"/>
      <w:r>
        <w:rPr>
          <w:rStyle w:val="CharDivNo"/>
        </w:rPr>
        <w:t xml:space="preserve">Division </w:t>
      </w:r>
      <w:bookmarkStart w:id="397" w:name="_Hlt46915827"/>
      <w:bookmarkEnd w:id="397"/>
      <w:r>
        <w:rPr>
          <w:rStyle w:val="CharDivNo"/>
        </w:rPr>
        <w:t>1</w:t>
      </w:r>
      <w:r>
        <w:t> — </w:t>
      </w:r>
      <w:r>
        <w:rPr>
          <w:rStyle w:val="CharDivText"/>
        </w:rPr>
        <w:t>Judgments requiring property to be given up</w:t>
      </w:r>
      <w:bookmarkEnd w:id="391"/>
      <w:bookmarkEnd w:id="392"/>
      <w:bookmarkEnd w:id="393"/>
      <w:bookmarkEnd w:id="394"/>
      <w:bookmarkEnd w:id="395"/>
      <w:bookmarkEnd w:id="396"/>
    </w:p>
    <w:p>
      <w:pPr>
        <w:pStyle w:val="Heading5"/>
      </w:pPr>
      <w:bookmarkStart w:id="398" w:name="_Toc371491831"/>
      <w:bookmarkStart w:id="399" w:name="_Toc357670446"/>
      <w:r>
        <w:rPr>
          <w:rStyle w:val="CharSectno"/>
        </w:rPr>
        <w:t>94</w:t>
      </w:r>
      <w:r>
        <w:t>.</w:t>
      </w:r>
      <w:r>
        <w:tab/>
        <w:t>Application of this Division</w:t>
      </w:r>
      <w:bookmarkEnd w:id="398"/>
      <w:bookmarkEnd w:id="399"/>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400" w:name="_Toc371491832"/>
      <w:bookmarkStart w:id="401" w:name="_Toc357670447"/>
      <w:r>
        <w:rPr>
          <w:rStyle w:val="CharSectno"/>
        </w:rPr>
        <w:t>95</w:t>
      </w:r>
      <w:r>
        <w:t>.</w:t>
      </w:r>
      <w:r>
        <w:tab/>
        <w:t>Property (seizure and delivery) order</w:t>
      </w:r>
      <w:bookmarkEnd w:id="400"/>
      <w:bookmarkEnd w:id="401"/>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402" w:name="_Toc371491833"/>
      <w:bookmarkStart w:id="403" w:name="_Toc357670448"/>
      <w:r>
        <w:rPr>
          <w:rStyle w:val="CharSectno"/>
        </w:rPr>
        <w:t>96</w:t>
      </w:r>
      <w:r>
        <w:t>.</w:t>
      </w:r>
      <w:r>
        <w:tab/>
        <w:t>Property (seizure and delivery) order, effect of</w:t>
      </w:r>
      <w:bookmarkEnd w:id="402"/>
      <w:bookmarkEnd w:id="403"/>
    </w:p>
    <w:p>
      <w:pPr>
        <w:pStyle w:val="Subsection"/>
        <w:keepNext/>
        <w:keepLines/>
      </w:pPr>
      <w:r>
        <w:tab/>
      </w:r>
      <w:bookmarkStart w:id="404" w:name="_Hlt53905818"/>
      <w:bookmarkEnd w:id="404"/>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spacing w:before="120"/>
      </w:pPr>
      <w:r>
        <w:tab/>
      </w:r>
      <w:r>
        <w:tab/>
        <w:t>the sheriff may exercise the powers in subsection (1)(b) without that consent, at any time between 9 a.m. and 5 p.m.</w:t>
      </w:r>
    </w:p>
    <w:p>
      <w:pPr>
        <w:pStyle w:val="Subsection"/>
        <w:spacing w:before="120"/>
      </w:pPr>
      <w:r>
        <w:tab/>
        <w:t>(5)</w:t>
      </w:r>
      <w:r>
        <w:tab/>
        <w:t>If a person unlawfully resumes possession of real or personal property seized from the person under a property (seizure and delivery) order, section 98 applies as if the person had disobeyed a judgment to which Division</w:t>
      </w:r>
      <w:bookmarkStart w:id="405" w:name="_Hlt47240371"/>
      <w:r>
        <w:t> 2</w:t>
      </w:r>
      <w:bookmarkEnd w:id="405"/>
      <w:r>
        <w:t xml:space="preserve"> applies.</w:t>
      </w:r>
    </w:p>
    <w:p>
      <w:pPr>
        <w:pStyle w:val="Heading3"/>
      </w:pPr>
      <w:bookmarkStart w:id="406" w:name="_Toc352745582"/>
      <w:bookmarkStart w:id="407" w:name="_Toc352766173"/>
      <w:bookmarkStart w:id="408" w:name="_Toc356200736"/>
      <w:bookmarkStart w:id="409" w:name="_Toc356227531"/>
      <w:bookmarkStart w:id="410" w:name="_Toc357670449"/>
      <w:bookmarkStart w:id="411" w:name="_Toc371491834"/>
      <w:r>
        <w:rPr>
          <w:rStyle w:val="CharDivNo"/>
        </w:rPr>
        <w:t>Division 2</w:t>
      </w:r>
      <w:r>
        <w:t> — </w:t>
      </w:r>
      <w:r>
        <w:rPr>
          <w:rStyle w:val="CharDivText"/>
        </w:rPr>
        <w:t>Other non</w:t>
      </w:r>
      <w:r>
        <w:rPr>
          <w:rStyle w:val="CharDivText"/>
        </w:rPr>
        <w:noBreakHyphen/>
        <w:t>monetary judgments</w:t>
      </w:r>
      <w:bookmarkEnd w:id="406"/>
      <w:bookmarkEnd w:id="407"/>
      <w:bookmarkEnd w:id="408"/>
      <w:bookmarkEnd w:id="409"/>
      <w:bookmarkEnd w:id="410"/>
      <w:bookmarkEnd w:id="411"/>
    </w:p>
    <w:p>
      <w:pPr>
        <w:pStyle w:val="Heading5"/>
      </w:pPr>
      <w:bookmarkStart w:id="412" w:name="_Toc371491835"/>
      <w:bookmarkStart w:id="413" w:name="_Toc357670450"/>
      <w:r>
        <w:rPr>
          <w:rStyle w:val="CharSectno"/>
        </w:rPr>
        <w:t>97</w:t>
      </w:r>
      <w:r>
        <w:t>.</w:t>
      </w:r>
      <w:r>
        <w:tab/>
        <w:t>Application of this Division</w:t>
      </w:r>
      <w:bookmarkEnd w:id="412"/>
      <w:bookmarkEnd w:id="413"/>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414" w:name="_Toc371491836"/>
      <w:bookmarkStart w:id="415" w:name="_Toc357670451"/>
      <w:r>
        <w:rPr>
          <w:rStyle w:val="CharSectno"/>
        </w:rPr>
        <w:t>98</w:t>
      </w:r>
      <w:r>
        <w:t>.</w:t>
      </w:r>
      <w:r>
        <w:tab/>
        <w:t>Disobeying judgment is a contempt of court</w:t>
      </w:r>
      <w:bookmarkEnd w:id="414"/>
      <w:bookmarkEnd w:id="415"/>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416" w:name="_Toc371491837"/>
      <w:bookmarkStart w:id="417" w:name="_Toc357670452"/>
      <w:r>
        <w:rPr>
          <w:rStyle w:val="CharSectno"/>
        </w:rPr>
        <w:t>99</w:t>
      </w:r>
      <w:r>
        <w:t>.</w:t>
      </w:r>
      <w:r>
        <w:tab/>
        <w:t>Court may order act to be done at expense of obligated person</w:t>
      </w:r>
      <w:bookmarkEnd w:id="416"/>
      <w:bookmarkEnd w:id="417"/>
    </w:p>
    <w:p>
      <w:pPr>
        <w:pStyle w:val="Subsection"/>
      </w:pPr>
      <w:r>
        <w:tab/>
        <w:t>(1)</w:t>
      </w:r>
      <w:r>
        <w:tab/>
        <w:t xml:space="preserve">This section applies if a judgment requires or has the effect of requiring a person (the </w:t>
      </w:r>
      <w:r>
        <w:rPr>
          <w:rStyle w:val="CharDefText"/>
        </w:rPr>
        <w:t>obligated person</w:t>
      </w:r>
      <w:r>
        <w:t>) to do an act.</w:t>
      </w:r>
    </w:p>
    <w:p>
      <w:pPr>
        <w:pStyle w:val="Subsection"/>
      </w:pPr>
      <w:r>
        <w:tab/>
        <w:t>(2)</w:t>
      </w:r>
      <w:r>
        <w:tab/>
        <w:t xml:space="preserve">In order to enforce such a judgment, a person who is entitled to the benefit of the judgment may apply to the court for an order addressed to — </w:t>
      </w:r>
    </w:p>
    <w:p>
      <w:pPr>
        <w:pStyle w:val="Indenta"/>
      </w:pPr>
      <w:r>
        <w:tab/>
        <w:t>(a)</w:t>
      </w:r>
      <w:r>
        <w:tab/>
        <w:t>the person entitled to the benefit of the judgment; or</w:t>
      </w:r>
    </w:p>
    <w:p>
      <w:pPr>
        <w:pStyle w:val="Indenta"/>
      </w:pPr>
      <w:r>
        <w:tab/>
        <w:t>(b)</w:t>
      </w:r>
      <w:r>
        <w:tab/>
        <w:t>a person appointed by the court,</w:t>
      </w:r>
    </w:p>
    <w:p>
      <w:pPr>
        <w:pStyle w:val="Subsection"/>
      </w:pPr>
      <w:r>
        <w:tab/>
      </w:r>
      <w:r>
        <w:tab/>
        <w:t>that authorises that person to do the act concerned, or as much of it as is practicable, at the expense of the obligated person.</w:t>
      </w:r>
    </w:p>
    <w:p>
      <w:pPr>
        <w:pStyle w:val="Subsection"/>
      </w:pPr>
      <w:r>
        <w:tab/>
        <w:t>(3)</w:t>
      </w:r>
      <w:r>
        <w:tab/>
        <w:t>The court may make such an order and may do so on terms as to costs or otherwise.</w:t>
      </w:r>
    </w:p>
    <w:p>
      <w:pPr>
        <w:pStyle w:val="Subsection"/>
      </w:pPr>
      <w:r>
        <w:tab/>
        <w:t>(4)</w:t>
      </w:r>
      <w:r>
        <w:tab/>
        <w:t>The court may make such an order whether or not proceedings for contempt are being taken against the obligated person.</w:t>
      </w:r>
    </w:p>
    <w:p>
      <w:pPr>
        <w:pStyle w:val="Subsection"/>
      </w:pPr>
      <w:r>
        <w:tab/>
        <w:t>(5)</w:t>
      </w:r>
      <w:r>
        <w:tab/>
        <w:t>When or after making such an order the court may make any necessary ancillary or consequential order including an order providing for the expenses of carrying out the order to be determined by the court.</w:t>
      </w:r>
    </w:p>
    <w:p>
      <w:pPr>
        <w:pStyle w:val="Subsection"/>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418" w:name="_Toc352745586"/>
      <w:bookmarkStart w:id="419" w:name="_Toc352766177"/>
      <w:bookmarkStart w:id="420" w:name="_Toc356200740"/>
      <w:bookmarkStart w:id="421" w:name="_Toc356227535"/>
      <w:bookmarkStart w:id="422" w:name="_Toc357670453"/>
      <w:bookmarkStart w:id="423" w:name="_Toc371491838"/>
      <w:r>
        <w:rPr>
          <w:rStyle w:val="CharPartNo"/>
        </w:rPr>
        <w:t>Part 6</w:t>
      </w:r>
      <w:r>
        <w:rPr>
          <w:rStyle w:val="CharDivNo"/>
        </w:rPr>
        <w:t> </w:t>
      </w:r>
      <w:r>
        <w:t>—</w:t>
      </w:r>
      <w:r>
        <w:rPr>
          <w:rStyle w:val="CharDivText"/>
        </w:rPr>
        <w:t> </w:t>
      </w:r>
      <w:r>
        <w:rPr>
          <w:rStyle w:val="CharPartText"/>
        </w:rPr>
        <w:t>Miscellaneous enforcement provisions</w:t>
      </w:r>
      <w:bookmarkEnd w:id="418"/>
      <w:bookmarkEnd w:id="419"/>
      <w:bookmarkEnd w:id="420"/>
      <w:bookmarkEnd w:id="421"/>
      <w:bookmarkEnd w:id="422"/>
      <w:bookmarkEnd w:id="423"/>
    </w:p>
    <w:p>
      <w:pPr>
        <w:pStyle w:val="Heading5"/>
      </w:pPr>
      <w:bookmarkStart w:id="424" w:name="_Hlt53472532"/>
      <w:bookmarkStart w:id="425" w:name="_Toc371491839"/>
      <w:bookmarkStart w:id="426" w:name="_Toc357670454"/>
      <w:bookmarkEnd w:id="424"/>
      <w:r>
        <w:rPr>
          <w:rStyle w:val="CharSectno"/>
        </w:rPr>
        <w:t>100</w:t>
      </w:r>
      <w:r>
        <w:t>.</w:t>
      </w:r>
      <w:r>
        <w:tab/>
        <w:t>Personal property on land, powers to deal with</w:t>
      </w:r>
      <w:bookmarkEnd w:id="425"/>
      <w:bookmarkEnd w:id="426"/>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427" w:name="_Toc371491840"/>
      <w:bookmarkStart w:id="428" w:name="_Toc357670455"/>
      <w:r>
        <w:rPr>
          <w:rStyle w:val="CharSectno"/>
        </w:rPr>
        <w:t>101</w:t>
      </w:r>
      <w:r>
        <w:t>.</w:t>
      </w:r>
      <w:r>
        <w:tab/>
        <w:t>Signing of documents, court may order</w:t>
      </w:r>
      <w:bookmarkEnd w:id="427"/>
      <w:bookmarkEnd w:id="428"/>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429" w:name="_Toc371491841"/>
      <w:bookmarkStart w:id="430" w:name="_Toc357670456"/>
      <w:r>
        <w:rPr>
          <w:rStyle w:val="CharSectno"/>
        </w:rPr>
        <w:t>102</w:t>
      </w:r>
      <w:r>
        <w:t>.</w:t>
      </w:r>
      <w:r>
        <w:tab/>
        <w:t>Duration and renewal of orders and warrants</w:t>
      </w:r>
      <w:bookmarkEnd w:id="429"/>
      <w:bookmarkEnd w:id="430"/>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431" w:name="_Toc371491842"/>
      <w:bookmarkStart w:id="432" w:name="_Toc357670457"/>
      <w:r>
        <w:rPr>
          <w:rStyle w:val="CharSectno"/>
        </w:rPr>
        <w:t>103</w:t>
      </w:r>
      <w:r>
        <w:t>.</w:t>
      </w:r>
      <w:r>
        <w:tab/>
        <w:t>Amending and cancelling orders etc.</w:t>
      </w:r>
      <w:bookmarkEnd w:id="431"/>
      <w:bookmarkEnd w:id="432"/>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 or</w:t>
      </w:r>
    </w:p>
    <w:p>
      <w:pPr>
        <w:pStyle w:val="Indenta"/>
      </w:pPr>
      <w:r>
        <w:tab/>
        <w:t>(b)</w:t>
      </w:r>
      <w:r>
        <w:tab/>
        <w:t>to whom the original order is addressed; or</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r>
        <w:tab/>
        <w:t>(b)</w:t>
      </w:r>
      <w:r>
        <w:tab/>
        <w:t>otherwise, when it is served on the person to whom the original order was addressed.</w:t>
      </w:r>
    </w:p>
    <w:p>
      <w:pPr>
        <w:pStyle w:val="Footnotesection"/>
      </w:pPr>
      <w:r>
        <w:tab/>
        <w:t>[Section 103 amended by No. 5 of 2008 s. 13.]</w:t>
      </w:r>
    </w:p>
    <w:p>
      <w:pPr>
        <w:pStyle w:val="Heading5"/>
      </w:pPr>
      <w:bookmarkStart w:id="433" w:name="_Toc371491843"/>
      <w:bookmarkStart w:id="434" w:name="_Toc357670458"/>
      <w:r>
        <w:rPr>
          <w:rStyle w:val="CharSectno"/>
        </w:rPr>
        <w:t>104</w:t>
      </w:r>
      <w:r>
        <w:t>.</w:t>
      </w:r>
      <w:r>
        <w:tab/>
        <w:t>Directions, court may give</w:t>
      </w:r>
      <w:bookmarkEnd w:id="433"/>
      <w:bookmarkEnd w:id="434"/>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 or</w:t>
      </w:r>
    </w:p>
    <w:p>
      <w:pPr>
        <w:pStyle w:val="Indenta"/>
      </w:pPr>
      <w:r>
        <w:tab/>
        <w:t>(b)</w:t>
      </w:r>
      <w:r>
        <w:tab/>
        <w:t>a person to whom the order is addressed; or</w:t>
      </w:r>
    </w:p>
    <w:p>
      <w:pPr>
        <w:pStyle w:val="Indenta"/>
      </w:pPr>
      <w:r>
        <w:tab/>
        <w:t>(c)</w:t>
      </w:r>
      <w:r>
        <w:tab/>
        <w:t>a person who is authorised to do anything under the order; or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 xml:space="preserve">to the District Court if the order was issued by the District Court or the </w:t>
      </w:r>
      <w:smartTag w:uri="urn:schemas-microsoft-com:office:smarttags" w:element="Street">
        <w:smartTag w:uri="urn:schemas-microsoft-com:office:smarttags" w:element="address">
          <w:r>
            <w:t>Magistrates Court</w:t>
          </w:r>
        </w:smartTag>
      </w:smartTag>
      <w:r>
        <w: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435" w:name="_Toc371491844"/>
      <w:bookmarkStart w:id="436" w:name="_Toc357670459"/>
      <w:r>
        <w:rPr>
          <w:rStyle w:val="CharSectno"/>
        </w:rPr>
        <w:t>105</w:t>
      </w:r>
      <w:r>
        <w:t>.</w:t>
      </w:r>
      <w:r>
        <w:tab/>
        <w:t>Irregular enforcement, courts’ powers as to</w:t>
      </w:r>
      <w:bookmarkEnd w:id="435"/>
      <w:bookmarkEnd w:id="436"/>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437" w:name="_Hlt46916232"/>
      <w:bookmarkStart w:id="438" w:name="_Toc352745593"/>
      <w:bookmarkStart w:id="439" w:name="_Toc352766184"/>
      <w:bookmarkStart w:id="440" w:name="_Toc356200747"/>
      <w:bookmarkStart w:id="441" w:name="_Toc356227542"/>
      <w:bookmarkStart w:id="442" w:name="_Toc357670460"/>
      <w:bookmarkStart w:id="443" w:name="_Toc371491845"/>
      <w:bookmarkEnd w:id="437"/>
      <w:r>
        <w:rPr>
          <w:rStyle w:val="CharPartNo"/>
        </w:rPr>
        <w:t>Part 7</w:t>
      </w:r>
      <w:r>
        <w:t> — </w:t>
      </w:r>
      <w:r>
        <w:rPr>
          <w:rStyle w:val="CharPartText"/>
        </w:rPr>
        <w:t>Administrative matters</w:t>
      </w:r>
      <w:bookmarkEnd w:id="438"/>
      <w:bookmarkEnd w:id="439"/>
      <w:bookmarkEnd w:id="440"/>
      <w:bookmarkEnd w:id="441"/>
      <w:bookmarkEnd w:id="442"/>
      <w:bookmarkEnd w:id="443"/>
    </w:p>
    <w:p>
      <w:pPr>
        <w:pStyle w:val="Heading3"/>
      </w:pPr>
      <w:bookmarkStart w:id="444" w:name="_Toc352745594"/>
      <w:bookmarkStart w:id="445" w:name="_Toc352766185"/>
      <w:bookmarkStart w:id="446" w:name="_Toc356200748"/>
      <w:bookmarkStart w:id="447" w:name="_Toc356227543"/>
      <w:bookmarkStart w:id="448" w:name="_Toc357670461"/>
      <w:bookmarkStart w:id="449" w:name="_Toc371491846"/>
      <w:r>
        <w:rPr>
          <w:rStyle w:val="CharDivNo"/>
        </w:rPr>
        <w:t>Division 1</w:t>
      </w:r>
      <w:r>
        <w:t> — </w:t>
      </w:r>
      <w:r>
        <w:rPr>
          <w:rStyle w:val="CharDivText"/>
        </w:rPr>
        <w:t>Officers</w:t>
      </w:r>
      <w:bookmarkEnd w:id="444"/>
      <w:bookmarkEnd w:id="445"/>
      <w:bookmarkEnd w:id="446"/>
      <w:bookmarkEnd w:id="447"/>
      <w:bookmarkEnd w:id="448"/>
      <w:bookmarkEnd w:id="449"/>
    </w:p>
    <w:p>
      <w:pPr>
        <w:pStyle w:val="Heading5"/>
      </w:pPr>
      <w:bookmarkStart w:id="450" w:name="_Hlt39464124"/>
      <w:bookmarkStart w:id="451" w:name="_Toc371491847"/>
      <w:bookmarkStart w:id="452" w:name="_Toc357670462"/>
      <w:bookmarkEnd w:id="450"/>
      <w:r>
        <w:rPr>
          <w:rStyle w:val="CharSectno"/>
        </w:rPr>
        <w:t>106</w:t>
      </w:r>
      <w:r>
        <w:t>.</w:t>
      </w:r>
      <w:r>
        <w:tab/>
        <w:t>Terms used</w:t>
      </w:r>
      <w:bookmarkEnd w:id="451"/>
      <w:bookmarkEnd w:id="452"/>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tab/>
      </w:r>
      <w:r>
        <w:rPr>
          <w:rStyle w:val="CharDefText"/>
        </w:rPr>
        <w:t>police office</w:t>
      </w:r>
      <w:r>
        <w:rPr>
          <w:rStyle w:val="CharDefText"/>
        </w:rPr>
        <w:noBreakHyphen/>
        <w:t>holder</w:t>
      </w:r>
      <w:r>
        <w:t xml:space="preserve"> means a person who holds an appointment made under the </w:t>
      </w:r>
      <w:r>
        <w:rPr>
          <w:i/>
        </w:rPr>
        <w:t>Police Act 1892</w:t>
      </w:r>
      <w:r>
        <w:t xml:space="preserve"> Part I, III, IIIA or IIIB;</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 No. 42 of 2009 s. 13(2) and (3).]</w:t>
      </w:r>
    </w:p>
    <w:p>
      <w:pPr>
        <w:pStyle w:val="Heading5"/>
      </w:pPr>
      <w:bookmarkStart w:id="453" w:name="_Toc371491848"/>
      <w:bookmarkStart w:id="454" w:name="_Toc357670463"/>
      <w:r>
        <w:rPr>
          <w:rStyle w:val="CharSectno"/>
        </w:rPr>
        <w:t>107</w:t>
      </w:r>
      <w:r>
        <w:t>.</w:t>
      </w:r>
      <w:r>
        <w:tab/>
        <w:t>Bailiffs, appointment of</w:t>
      </w:r>
      <w:bookmarkEnd w:id="453"/>
      <w:bookmarkEnd w:id="454"/>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w:t>
      </w:r>
      <w:r>
        <w:noBreakHyphen/>
        <w:t>holder,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Footnotesection"/>
      </w:pPr>
      <w:r>
        <w:tab/>
        <w:t>[Section 107 amended by No. 42 of 2009 s. 13(4).]</w:t>
      </w:r>
    </w:p>
    <w:p>
      <w:pPr>
        <w:pStyle w:val="Heading5"/>
      </w:pPr>
      <w:bookmarkStart w:id="455" w:name="_Toc371491849"/>
      <w:bookmarkStart w:id="456" w:name="_Toc357670464"/>
      <w:r>
        <w:rPr>
          <w:rStyle w:val="CharSectno"/>
        </w:rPr>
        <w:t>108</w:t>
      </w:r>
      <w:r>
        <w:t>.</w:t>
      </w:r>
      <w:r>
        <w:tab/>
        <w:t>Assistant bailiffs, appointment of</w:t>
      </w:r>
      <w:bookmarkEnd w:id="455"/>
      <w:bookmarkEnd w:id="456"/>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457" w:name="_Toc371491850"/>
      <w:bookmarkStart w:id="458" w:name="_Toc357670465"/>
      <w:r>
        <w:rPr>
          <w:rStyle w:val="CharSectno"/>
        </w:rPr>
        <w:t>109</w:t>
      </w:r>
      <w:r>
        <w:t>.</w:t>
      </w:r>
      <w:r>
        <w:tab/>
        <w:t>Sheriff may delegate to bailiffs</w:t>
      </w:r>
      <w:bookmarkEnd w:id="457"/>
      <w:bookmarkEnd w:id="458"/>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w:t>
      </w:r>
      <w:r>
        <w:noBreakHyphen/>
        <w:t>holder)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15; No. 42 of 2009 s. 13(5).]</w:t>
      </w:r>
    </w:p>
    <w:p>
      <w:pPr>
        <w:pStyle w:val="Heading5"/>
      </w:pPr>
      <w:bookmarkStart w:id="459" w:name="_Toc371491851"/>
      <w:bookmarkStart w:id="460" w:name="_Toc357670466"/>
      <w:r>
        <w:rPr>
          <w:rStyle w:val="CharSectno"/>
        </w:rPr>
        <w:t>110</w:t>
      </w:r>
      <w:r>
        <w:t>.</w:t>
      </w:r>
      <w:r>
        <w:tab/>
        <w:t>Bailiffs’ functions</w:t>
      </w:r>
      <w:bookmarkEnd w:id="459"/>
      <w:bookmarkEnd w:id="460"/>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461" w:name="_Toc371491852"/>
      <w:bookmarkStart w:id="462" w:name="_Toc357670467"/>
      <w:r>
        <w:rPr>
          <w:rStyle w:val="CharSectno"/>
        </w:rPr>
        <w:t>111</w:t>
      </w:r>
      <w:r>
        <w:t>.</w:t>
      </w:r>
      <w:r>
        <w:tab/>
        <w:t>Protection from liability</w:t>
      </w:r>
      <w:bookmarkEnd w:id="461"/>
      <w:bookmarkEnd w:id="462"/>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 and</w:t>
      </w:r>
    </w:p>
    <w:p>
      <w:pPr>
        <w:pStyle w:val="Defpara"/>
      </w:pPr>
      <w:r>
        <w:tab/>
        <w:t>(b)</w:t>
      </w:r>
      <w:r>
        <w:tab/>
        <w:t>a deputy sheriff; and</w:t>
      </w:r>
    </w:p>
    <w:p>
      <w:pPr>
        <w:pStyle w:val="Defpara"/>
      </w:pPr>
      <w:r>
        <w:tab/>
        <w:t>(c)</w:t>
      </w:r>
      <w:r>
        <w:tab/>
        <w:t>a bailiff or an assistant bailiff within the declared areas.</w:t>
      </w:r>
    </w:p>
    <w:p>
      <w:pPr>
        <w:pStyle w:val="Subsection"/>
      </w:pPr>
      <w:r>
        <w:tab/>
        <w:t>(2)</w:t>
      </w:r>
      <w: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pPr>
      <w:r>
        <w:tab/>
        <w:t>(4)</w:t>
      </w:r>
      <w:r>
        <w:tab/>
        <w:t>The Crown is also relieved of any liability that it might otherwise have had for another person having done anything as described in subsection (3).</w:t>
      </w:r>
    </w:p>
    <w:p>
      <w:pPr>
        <w:pStyle w:val="Subsection"/>
      </w:pPr>
      <w:r>
        <w:tab/>
        <w:t>(5)</w:t>
      </w:r>
      <w:r>
        <w:tab/>
        <w:t>The protection given by this section applies even though the thing done as described in subsection (3) may have been capable of being done whether or not this Act had been enacted.</w:t>
      </w:r>
    </w:p>
    <w:p>
      <w:pPr>
        <w:pStyle w:val="Heading3"/>
      </w:pPr>
      <w:bookmarkStart w:id="463" w:name="_Toc352745601"/>
      <w:bookmarkStart w:id="464" w:name="_Toc352766192"/>
      <w:bookmarkStart w:id="465" w:name="_Toc356200755"/>
      <w:bookmarkStart w:id="466" w:name="_Toc356227550"/>
      <w:bookmarkStart w:id="467" w:name="_Toc357670468"/>
      <w:bookmarkStart w:id="468" w:name="_Toc371491853"/>
      <w:r>
        <w:rPr>
          <w:rStyle w:val="CharDivNo"/>
        </w:rPr>
        <w:t>Division 2</w:t>
      </w:r>
      <w:r>
        <w:t> — </w:t>
      </w:r>
      <w:r>
        <w:rPr>
          <w:rStyle w:val="CharDivText"/>
        </w:rPr>
        <w:t>Provisions about the sheriff</w:t>
      </w:r>
      <w:bookmarkEnd w:id="463"/>
      <w:bookmarkEnd w:id="464"/>
      <w:bookmarkEnd w:id="465"/>
      <w:bookmarkEnd w:id="466"/>
      <w:bookmarkEnd w:id="467"/>
      <w:bookmarkEnd w:id="468"/>
    </w:p>
    <w:p>
      <w:pPr>
        <w:pStyle w:val="Heading5"/>
      </w:pPr>
      <w:bookmarkStart w:id="469" w:name="_Toc371491854"/>
      <w:bookmarkStart w:id="470" w:name="_Toc357670469"/>
      <w:r>
        <w:rPr>
          <w:rStyle w:val="CharSectno"/>
        </w:rPr>
        <w:t>112</w:t>
      </w:r>
      <w:r>
        <w:t>.</w:t>
      </w:r>
      <w:r>
        <w:tab/>
        <w:t>Sheriff unable to act, court’s powers</w:t>
      </w:r>
      <w:bookmarkEnd w:id="469"/>
      <w:bookmarkEnd w:id="470"/>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471" w:name="_Toc371491855"/>
      <w:bookmarkStart w:id="472" w:name="_Toc357670470"/>
      <w:r>
        <w:rPr>
          <w:rStyle w:val="CharSectno"/>
        </w:rPr>
        <w:t>113</w:t>
      </w:r>
      <w:r>
        <w:t>.</w:t>
      </w:r>
      <w:r>
        <w:tab/>
        <w:t>Sheriff exempt from some fees</w:t>
      </w:r>
      <w:bookmarkEnd w:id="471"/>
      <w:bookmarkEnd w:id="472"/>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THeadingNAm"/>
      </w:pPr>
      <w: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TableNAm"/>
              <w:rPr>
                <w:i/>
                <w:iCs/>
              </w:rPr>
            </w:pPr>
            <w:r>
              <w:rPr>
                <w:i/>
                <w:iCs/>
              </w:rPr>
              <w:t>Electoral Act 1907</w:t>
            </w:r>
          </w:p>
        </w:tc>
      </w:tr>
      <w:tr>
        <w:tc>
          <w:tcPr>
            <w:tcW w:w="5528" w:type="dxa"/>
          </w:tcPr>
          <w:p>
            <w:pPr>
              <w:pStyle w:val="TableNAm"/>
              <w:rPr>
                <w:i/>
                <w:iCs/>
              </w:rPr>
            </w:pPr>
            <w:r>
              <w:rPr>
                <w:i/>
                <w:iCs/>
              </w:rPr>
              <w:t>Road Traffic Act 1974</w:t>
            </w:r>
          </w:p>
        </w:tc>
      </w:tr>
      <w:tr>
        <w:tc>
          <w:tcPr>
            <w:tcW w:w="5528" w:type="dxa"/>
          </w:tcPr>
          <w:p>
            <w:pPr>
              <w:pStyle w:val="TableNAm"/>
              <w:rPr>
                <w:i/>
                <w:iCs/>
              </w:rPr>
            </w:pPr>
            <w:r>
              <w:rPr>
                <w:i/>
                <w:iCs/>
              </w:rPr>
              <w:t>Western Australian Marine Act 1982</w:t>
            </w:r>
          </w:p>
        </w:tc>
      </w:tr>
    </w:tbl>
    <w:p>
      <w:pPr>
        <w:pStyle w:val="Heading5"/>
      </w:pPr>
      <w:bookmarkStart w:id="473" w:name="_Toc371491856"/>
      <w:bookmarkStart w:id="474" w:name="_Toc357670471"/>
      <w:r>
        <w:rPr>
          <w:rStyle w:val="CharSectno"/>
        </w:rPr>
        <w:t>114</w:t>
      </w:r>
      <w:r>
        <w:t>.</w:t>
      </w:r>
      <w:r>
        <w:tab/>
        <w:t>Sheriff entitled to access to some official records</w:t>
      </w:r>
      <w:bookmarkEnd w:id="473"/>
      <w:bookmarkEnd w:id="474"/>
    </w:p>
    <w:p>
      <w:pPr>
        <w:pStyle w:val="Subsection"/>
      </w:pPr>
      <w:r>
        <w:tab/>
      </w:r>
      <w:r>
        <w:tab/>
        <w:t>To the extent that it is necessary for the performance of the sheriff’s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475" w:name="_Toc371491857"/>
      <w:bookmarkStart w:id="476" w:name="_Toc357670472"/>
      <w:r>
        <w:rPr>
          <w:rStyle w:val="CharSectno"/>
        </w:rPr>
        <w:t>115</w:t>
      </w:r>
      <w:r>
        <w:t>.</w:t>
      </w:r>
      <w:r>
        <w:tab/>
        <w:t>Sheriff exempt from some licensing requirements</w:t>
      </w:r>
      <w:bookmarkEnd w:id="475"/>
      <w:bookmarkEnd w:id="476"/>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477" w:name="_Toc352745606"/>
      <w:bookmarkStart w:id="478" w:name="_Toc352766197"/>
      <w:bookmarkStart w:id="479" w:name="_Toc356200760"/>
      <w:bookmarkStart w:id="480" w:name="_Toc356227555"/>
      <w:bookmarkStart w:id="481" w:name="_Toc357670473"/>
      <w:bookmarkStart w:id="482" w:name="_Toc371491858"/>
      <w:r>
        <w:rPr>
          <w:rStyle w:val="CharPartNo"/>
        </w:rPr>
        <w:t>Part 8</w:t>
      </w:r>
      <w:r>
        <w:rPr>
          <w:rStyle w:val="CharDivNo"/>
        </w:rPr>
        <w:t> </w:t>
      </w:r>
      <w:r>
        <w:t>—</w:t>
      </w:r>
      <w:r>
        <w:rPr>
          <w:rStyle w:val="CharDivText"/>
        </w:rPr>
        <w:t> </w:t>
      </w:r>
      <w:r>
        <w:rPr>
          <w:rStyle w:val="CharPartText"/>
        </w:rPr>
        <w:t>Miscellaneous</w:t>
      </w:r>
      <w:bookmarkEnd w:id="477"/>
      <w:bookmarkEnd w:id="478"/>
      <w:bookmarkEnd w:id="479"/>
      <w:bookmarkEnd w:id="480"/>
      <w:bookmarkEnd w:id="481"/>
      <w:bookmarkEnd w:id="482"/>
    </w:p>
    <w:p>
      <w:pPr>
        <w:pStyle w:val="Heading5"/>
      </w:pPr>
      <w:bookmarkStart w:id="483" w:name="_Toc371491859"/>
      <w:bookmarkStart w:id="484" w:name="_Toc357670474"/>
      <w:r>
        <w:rPr>
          <w:rStyle w:val="CharSectno"/>
        </w:rPr>
        <w:t>116</w:t>
      </w:r>
      <w:r>
        <w:t>.</w:t>
      </w:r>
      <w:r>
        <w:tab/>
        <w:t>Protection of person acting under sealed court order</w:t>
      </w:r>
      <w:bookmarkEnd w:id="483"/>
      <w:bookmarkEnd w:id="484"/>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485" w:name="_Toc371491860"/>
      <w:bookmarkStart w:id="486" w:name="_Toc357670475"/>
      <w:r>
        <w:rPr>
          <w:rStyle w:val="CharSectno"/>
        </w:rPr>
        <w:t>117</w:t>
      </w:r>
      <w:r>
        <w:t>.</w:t>
      </w:r>
      <w:r>
        <w:tab/>
        <w:t>Sheriff and bailiffs to carry out orders</w:t>
      </w:r>
      <w:bookmarkEnd w:id="485"/>
      <w:bookmarkEnd w:id="486"/>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487" w:name="_Toc371491861"/>
      <w:bookmarkStart w:id="488" w:name="_Toc357670476"/>
      <w:r>
        <w:rPr>
          <w:rStyle w:val="CharSectno"/>
        </w:rPr>
        <w:t>118</w:t>
      </w:r>
      <w:r>
        <w:t>.</w:t>
      </w:r>
      <w:r>
        <w:tab/>
        <w:t>Impersonating an officer, offence of</w:t>
      </w:r>
      <w:bookmarkEnd w:id="487"/>
      <w:bookmarkEnd w:id="488"/>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489" w:name="_Toc371491862"/>
      <w:bookmarkStart w:id="490" w:name="_Toc357670477"/>
      <w:r>
        <w:rPr>
          <w:rStyle w:val="CharSectno"/>
        </w:rPr>
        <w:t>119</w:t>
      </w:r>
      <w:r>
        <w:t>.</w:t>
      </w:r>
      <w:r>
        <w:tab/>
        <w:t>Regulations</w:t>
      </w:r>
      <w:bookmarkEnd w:id="489"/>
      <w:bookmarkEnd w:id="490"/>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491" w:name="_Hlt39476099"/>
      <w:bookmarkEnd w:id="491"/>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492" w:name="_Toc371491863"/>
      <w:bookmarkStart w:id="493" w:name="_Toc357670478"/>
      <w:r>
        <w:rPr>
          <w:rStyle w:val="CharSectno"/>
        </w:rPr>
        <w:t>120</w:t>
      </w:r>
      <w:r>
        <w:t>.</w:t>
      </w:r>
      <w:r>
        <w:tab/>
        <w:t>Fees, regulations may prescribe</w:t>
      </w:r>
      <w:bookmarkEnd w:id="492"/>
      <w:bookmarkEnd w:id="493"/>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494" w:name="_Toc371491864"/>
      <w:bookmarkStart w:id="495" w:name="_Toc357670479"/>
      <w:r>
        <w:rPr>
          <w:rStyle w:val="CharSectno"/>
        </w:rPr>
        <w:t>121</w:t>
      </w:r>
      <w:r>
        <w:t>.</w:t>
      </w:r>
      <w:r>
        <w:tab/>
        <w:t>Rules of court</w:t>
      </w:r>
      <w:bookmarkEnd w:id="494"/>
      <w:bookmarkEnd w:id="495"/>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496" w:name="_Hlt38169472"/>
      <w:bookmarkEnd w:id="496"/>
    </w:p>
    <w:p>
      <w:pPr>
        <w:pStyle w:val="yScheduleHeading"/>
        <w:outlineLvl w:val="0"/>
      </w:pPr>
      <w:bookmarkStart w:id="497" w:name="_Toc352745613"/>
      <w:bookmarkStart w:id="498" w:name="_Toc352766204"/>
      <w:bookmarkStart w:id="499" w:name="_Toc356200767"/>
      <w:bookmarkStart w:id="500" w:name="_Toc356227562"/>
      <w:bookmarkStart w:id="501" w:name="_Toc357670480"/>
      <w:bookmarkStart w:id="502" w:name="_Toc371491865"/>
      <w:r>
        <w:rPr>
          <w:rStyle w:val="CharSchNo"/>
        </w:rPr>
        <w:t xml:space="preserve">Schedule </w:t>
      </w:r>
      <w:bookmarkStart w:id="503" w:name="_Hlt38272938"/>
      <w:bookmarkEnd w:id="503"/>
      <w:r>
        <w:rPr>
          <w:rStyle w:val="CharSchNo"/>
        </w:rPr>
        <w:t>1</w:t>
      </w:r>
      <w:r>
        <w:t xml:space="preserve"> — </w:t>
      </w:r>
      <w:r>
        <w:rPr>
          <w:rStyle w:val="CharSchText"/>
        </w:rPr>
        <w:t>Provisions about available debts</w:t>
      </w:r>
      <w:bookmarkEnd w:id="497"/>
      <w:bookmarkEnd w:id="498"/>
      <w:bookmarkEnd w:id="499"/>
      <w:bookmarkEnd w:id="500"/>
      <w:bookmarkEnd w:id="501"/>
      <w:bookmarkEnd w:id="502"/>
    </w:p>
    <w:p>
      <w:pPr>
        <w:pStyle w:val="yShoulderClause"/>
      </w:pPr>
      <w:bookmarkStart w:id="504" w:name="_Hlt38190823"/>
      <w:bookmarkEnd w:id="504"/>
      <w:r>
        <w:t>[s.</w:t>
      </w:r>
      <w:bookmarkStart w:id="505" w:name="_Hlt38097926"/>
      <w:r>
        <w:t> 48</w:t>
      </w:r>
      <w:bookmarkEnd w:id="505"/>
      <w:r>
        <w:t>]</w:t>
      </w:r>
    </w:p>
    <w:p>
      <w:pPr>
        <w:pStyle w:val="yHeading5"/>
        <w:outlineLvl w:val="0"/>
      </w:pPr>
      <w:bookmarkStart w:id="506" w:name="_Hlt38181997"/>
      <w:bookmarkStart w:id="507" w:name="_Toc371491866"/>
      <w:bookmarkStart w:id="508" w:name="_Toc357670481"/>
      <w:bookmarkEnd w:id="506"/>
      <w:r>
        <w:rPr>
          <w:rStyle w:val="CharSClsNo"/>
        </w:rPr>
        <w:t>1</w:t>
      </w:r>
      <w:r>
        <w:t>.</w:t>
      </w:r>
      <w:r>
        <w:tab/>
        <w:t>Financial institution accounts in name of judgment debtor</w:t>
      </w:r>
      <w:bookmarkEnd w:id="507"/>
      <w:bookmarkEnd w:id="508"/>
    </w:p>
    <w:p>
      <w:pPr>
        <w:pStyle w:val="ySubsection"/>
      </w:pPr>
      <w:r>
        <w:tab/>
        <w:t>(1)</w:t>
      </w:r>
      <w:r>
        <w:tab/>
        <w:t xml:space="preserve">This clause does not apply to an account that is prescribed by </w:t>
      </w:r>
      <w:bookmarkStart w:id="509" w:name="_Hlt38190280"/>
      <w:bookmarkEnd w:id="509"/>
      <w:r>
        <w:t>regulations as being exempt from the operation of this clause.</w:t>
      </w:r>
    </w:p>
    <w:p>
      <w:pPr>
        <w:pStyle w:val="ySubsection"/>
      </w:pPr>
      <w:r>
        <w:tab/>
        <w:t>(2)</w:t>
      </w:r>
      <w:r>
        <w:tab/>
        <w:t>For the purpose of determining whether</w:t>
      </w:r>
      <w:bookmarkStart w:id="510" w:name="_Hlt38171773"/>
      <w:bookmarkEnd w:id="510"/>
      <w:r>
        <w:t xml:space="preserve"> money, in an account with a financial institution, standing to the credit </w:t>
      </w:r>
      <w:bookmarkStart w:id="511" w:name="_Hlt38267369"/>
      <w:r>
        <w:t xml:space="preserve">of the judgment debtor alone or </w:t>
      </w:r>
      <w:bookmarkStart w:id="512" w:name="_Hlt38171635"/>
      <w:bookmarkEnd w:id="512"/>
      <w:r>
        <w:t>jointly with another or others</w:t>
      </w:r>
      <w:bookmarkStart w:id="513" w:name="_Hlt38171603"/>
      <w:bookmarkEnd w:id="513"/>
      <w:r>
        <w:t xml:space="preserve"> </w:t>
      </w:r>
      <w:bookmarkEnd w:id="511"/>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514" w:name="_Hlt38193179"/>
      <w:bookmarkEnd w:id="514"/>
      <w:r>
        <w:t>(3)</w:t>
      </w:r>
      <w:r>
        <w:tab/>
        <w:t xml:space="preserve">Any charge on any money, in an account with a financial institution, standing to the credit of a judgment debtor alone or jointly with </w:t>
      </w:r>
      <w:bookmarkStart w:id="515" w:name="_Hlt38182420"/>
      <w:bookmarkEnd w:id="515"/>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516" w:name="_Hlt38172025"/>
      <w:bookmarkEnd w:id="516"/>
      <w:r>
        <w:t xml:space="preserve"> standing to the credit of the judgment </w:t>
      </w:r>
      <w:bookmarkStart w:id="517" w:name="_Hlt38172104"/>
      <w:bookmarkEnd w:id="517"/>
      <w:r>
        <w:t xml:space="preserve">debtor alone or jointly with another or others in an account with a financial institution of which the judgment debtor is a member as is the </w:t>
      </w:r>
      <w:bookmarkStart w:id="518" w:name="_Hlt38267344"/>
      <w:bookmarkEnd w:id="518"/>
      <w:r>
        <w:t>minimum amount that must be maintained in the account in order that the judgment debtor retains the membership is not an available debt.</w:t>
      </w:r>
    </w:p>
    <w:p>
      <w:pPr>
        <w:pStyle w:val="yHeading5"/>
        <w:outlineLvl w:val="0"/>
      </w:pPr>
      <w:bookmarkStart w:id="519" w:name="_Hlt46650635"/>
      <w:bookmarkStart w:id="520" w:name="_Toc371491867"/>
      <w:bookmarkStart w:id="521" w:name="_Toc357670482"/>
      <w:bookmarkEnd w:id="519"/>
      <w:r>
        <w:rPr>
          <w:rStyle w:val="CharSClsNo"/>
        </w:rPr>
        <w:t>2</w:t>
      </w:r>
      <w:r>
        <w:t>.</w:t>
      </w:r>
      <w:r>
        <w:tab/>
        <w:t>Debts owed to judgment debtor and others jointly</w:t>
      </w:r>
      <w:bookmarkEnd w:id="520"/>
      <w:bookmarkEnd w:id="521"/>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522" w:name="_Hlt38193072"/>
      <w:bookmarkEnd w:id="522"/>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523" w:name="_Hlt38193158"/>
      <w:bookmarkStart w:id="524" w:name="_Toc371491868"/>
      <w:bookmarkStart w:id="525" w:name="_Toc357670483"/>
      <w:bookmarkEnd w:id="523"/>
      <w:r>
        <w:rPr>
          <w:rStyle w:val="CharSClsNo"/>
        </w:rPr>
        <w:t>3</w:t>
      </w:r>
      <w:r>
        <w:t>.</w:t>
      </w:r>
      <w:r>
        <w:tab/>
        <w:t>Available debts, court may exempt certain portions</w:t>
      </w:r>
      <w:bookmarkEnd w:id="524"/>
      <w:bookmarkEnd w:id="525"/>
    </w:p>
    <w:p>
      <w:pPr>
        <w:pStyle w:val="ySubsection"/>
      </w:pPr>
      <w:r>
        <w:tab/>
        <w:t>(1)</w:t>
      </w:r>
      <w:r>
        <w:tab/>
        <w:t xml:space="preserve">If an available debt is money payable for the use of property owned by the judgment debtor alone or </w:t>
      </w:r>
      <w:bookmarkStart w:id="526" w:name="_Hlt38192660"/>
      <w:bookmarkEnd w:id="526"/>
      <w:r>
        <w:t xml:space="preserve">jointly with another or others, the court by order may exempt from payment under a debt appropriation order that applies to the debt so much of the debt as is required by the judgment debtor to keep or maintain the </w:t>
      </w:r>
      <w:bookmarkStart w:id="527" w:name="_Hlt46563418"/>
      <w:bookmarkEnd w:id="527"/>
      <w:r>
        <w:t>property.</w:t>
      </w:r>
    </w:p>
    <w:p>
      <w:pPr>
        <w:pStyle w:val="ySubsection"/>
      </w:pPr>
      <w:r>
        <w:tab/>
        <w:t>(2)</w:t>
      </w:r>
      <w:r>
        <w:tab/>
        <w:t>If an available debt is money payable under an agreement with the judgment debtor</w:t>
      </w:r>
      <w:bookmarkStart w:id="528" w:name="_Hlt38174226"/>
      <w:bookmarkEnd w:id="528"/>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529" w:name="_Hlt46650653"/>
      <w:bookmarkEnd w:id="529"/>
      <w:r>
        <w:t>including those of his or her dependents.</w:t>
      </w:r>
    </w:p>
    <w:p>
      <w:pPr>
        <w:pStyle w:val="yHeading5"/>
        <w:outlineLvl w:val="0"/>
      </w:pPr>
      <w:bookmarkStart w:id="530" w:name="_Hlt38188185"/>
      <w:bookmarkStart w:id="531" w:name="_Toc371491869"/>
      <w:bookmarkStart w:id="532" w:name="_Toc357670484"/>
      <w:bookmarkEnd w:id="530"/>
      <w:r>
        <w:rPr>
          <w:rStyle w:val="CharSClsNo"/>
        </w:rPr>
        <w:t>4</w:t>
      </w:r>
      <w:r>
        <w:t>.</w:t>
      </w:r>
      <w:r>
        <w:tab/>
        <w:t>Debts payable on conditions</w:t>
      </w:r>
      <w:bookmarkEnd w:id="531"/>
      <w:bookmarkEnd w:id="532"/>
    </w:p>
    <w:p>
      <w:pPr>
        <w:pStyle w:val="ySubsection"/>
        <w:keepNext/>
      </w:pPr>
      <w:r>
        <w:tab/>
        <w:t>(1)</w:t>
      </w:r>
      <w:r>
        <w:tab/>
        <w:t>If</w:t>
      </w:r>
      <w:bookmarkStart w:id="533" w:name="_Hlt38187883"/>
      <w:bookmarkEnd w:id="533"/>
      <w:r>
        <w:t xml:space="preserve"> — </w:t>
      </w:r>
    </w:p>
    <w:p>
      <w:pPr>
        <w:pStyle w:val="yIndenta"/>
      </w:pPr>
      <w:bookmarkStart w:id="534" w:name="_Hlt38189781"/>
      <w:bookmarkEnd w:id="534"/>
      <w:r>
        <w:tab/>
        <w:t>(a)</w:t>
      </w:r>
      <w:r>
        <w:tab/>
        <w:t>the payment of an available debt to a judgment debtor depends on the judgment debtor fulfilling a condition; and</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bookmarkEnd w:id="0"/>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535" w:name="_Toc352745618"/>
      <w:bookmarkStart w:id="536" w:name="_Toc352766209"/>
      <w:bookmarkStart w:id="537" w:name="_Toc356200772"/>
      <w:bookmarkStart w:id="538" w:name="_Toc356227567"/>
      <w:bookmarkStart w:id="539" w:name="_Toc357670485"/>
      <w:bookmarkStart w:id="540" w:name="_Toc371491870"/>
      <w:r>
        <w:t>Notes</w:t>
      </w:r>
      <w:bookmarkEnd w:id="535"/>
      <w:bookmarkEnd w:id="536"/>
      <w:bookmarkEnd w:id="537"/>
      <w:bookmarkEnd w:id="538"/>
      <w:bookmarkEnd w:id="539"/>
      <w:bookmarkEnd w:id="540"/>
    </w:p>
    <w:p>
      <w:pPr>
        <w:pStyle w:val="nSubsection"/>
        <w:rPr>
          <w:snapToGrid w:val="0"/>
        </w:rPr>
      </w:pPr>
      <w:r>
        <w:rPr>
          <w:snapToGrid w:val="0"/>
          <w:vertAlign w:val="superscript"/>
        </w:rPr>
        <w:t>1</w:t>
      </w:r>
      <w:r>
        <w:rPr>
          <w:snapToGrid w:val="0"/>
        </w:rPr>
        <w:tab/>
        <w:t xml:space="preserve">This </w:t>
      </w:r>
      <w:del w:id="541" w:author="svcMRProcess" w:date="2018-08-21T14:08:00Z">
        <w:r>
          <w:rPr>
            <w:snapToGrid w:val="0"/>
          </w:rPr>
          <w:delText xml:space="preserve">reprint </w:delText>
        </w:r>
      </w:del>
      <w:r>
        <w:rPr>
          <w:snapToGrid w:val="0"/>
        </w:rPr>
        <w:t>is a compilation</w:t>
      </w:r>
      <w:del w:id="542" w:author="svcMRProcess" w:date="2018-08-21T14:08:00Z">
        <w:r>
          <w:rPr>
            <w:snapToGrid w:val="0"/>
          </w:rPr>
          <w:delText xml:space="preserve"> as at 24 May 2013</w:delText>
        </w:r>
      </w:del>
      <w:r>
        <w:rPr>
          <w:snapToGrid w:val="0"/>
        </w:rPr>
        <w:t xml:space="preserve"> of the </w:t>
      </w:r>
      <w:r>
        <w:rPr>
          <w:i/>
          <w:noProof/>
          <w:snapToGrid w:val="0"/>
        </w:rPr>
        <w:t>Civil Judgments Enforcement Act 2004</w:t>
      </w:r>
      <w:r>
        <w:rPr>
          <w:i/>
          <w:snapToGrid w:val="0"/>
        </w:rPr>
        <w:t xml:space="preserve"> </w:t>
      </w:r>
      <w:r>
        <w:rPr>
          <w:snapToGrid w:val="0"/>
        </w:rPr>
        <w:t>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543" w:name="_Toc371491871"/>
      <w:bookmarkStart w:id="544" w:name="_Toc357670486"/>
      <w:r>
        <w:rPr>
          <w:snapToGrid w:val="0"/>
        </w:rPr>
        <w:t>Compilation table</w:t>
      </w:r>
      <w:bookmarkEnd w:id="543"/>
      <w:bookmarkEnd w:id="5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rFonts w:ascii="Times" w:hAnsi="Times"/>
                <w:sz w:val="19"/>
              </w:rPr>
            </w:pPr>
            <w:r>
              <w:rPr>
                <w:rFonts w:ascii="Times" w:hAnsi="Times"/>
                <w:i/>
                <w:noProof/>
                <w:snapToGrid w:val="0"/>
                <w:sz w:val="19"/>
              </w:rPr>
              <w:t>Civil Judgments Enforcement Act 2004</w:t>
            </w:r>
          </w:p>
        </w:tc>
        <w:tc>
          <w:tcPr>
            <w:tcW w:w="1134" w:type="dxa"/>
            <w:tcBorders>
              <w:top w:val="single" w:sz="8" w:space="0" w:color="auto"/>
            </w:tcBorders>
          </w:tcPr>
          <w:p>
            <w:pPr>
              <w:pStyle w:val="nTable"/>
              <w:spacing w:after="40"/>
              <w:rPr>
                <w:rFonts w:ascii="Times" w:hAnsi="Times"/>
                <w:sz w:val="19"/>
              </w:rPr>
            </w:pPr>
            <w:r>
              <w:rPr>
                <w:rFonts w:ascii="Times" w:hAnsi="Times"/>
                <w:sz w:val="19"/>
              </w:rPr>
              <w:t>28 of 2004</w:t>
            </w:r>
          </w:p>
        </w:tc>
        <w:tc>
          <w:tcPr>
            <w:tcW w:w="1134" w:type="dxa"/>
            <w:tcBorders>
              <w:top w:val="single" w:sz="8" w:space="0" w:color="auto"/>
            </w:tcBorders>
          </w:tcPr>
          <w:p>
            <w:pPr>
              <w:pStyle w:val="nTable"/>
              <w:spacing w:after="40"/>
              <w:rPr>
                <w:rFonts w:ascii="Times" w:hAnsi="Times"/>
                <w:sz w:val="19"/>
              </w:rPr>
            </w:pPr>
            <w:r>
              <w:rPr>
                <w:rFonts w:ascii="Times" w:hAnsi="Times"/>
                <w:sz w:val="19"/>
              </w:rPr>
              <w:t>14 Oct 2004</w:t>
            </w:r>
          </w:p>
        </w:tc>
        <w:tc>
          <w:tcPr>
            <w:tcW w:w="2552" w:type="dxa"/>
            <w:tcBorders>
              <w:top w:val="single" w:sz="8" w:space="0" w:color="auto"/>
            </w:tcBorders>
          </w:tcPr>
          <w:p>
            <w:pPr>
              <w:pStyle w:val="nTable"/>
              <w:spacing w:after="40"/>
              <w:rPr>
                <w:rFonts w:ascii="Times" w:hAnsi="Times"/>
                <w:sz w:val="19"/>
              </w:rPr>
            </w:pPr>
            <w:r>
              <w:rPr>
                <w:rFonts w:ascii="Times" w:hAnsi="Times"/>
                <w:sz w:val="19"/>
              </w:rPr>
              <w:t>s. 1 and 2: 14 Oct 2004;</w:t>
            </w:r>
            <w:r>
              <w:rPr>
                <w:rFonts w:ascii="Times" w:hAnsi="Times"/>
                <w:sz w:val="19"/>
              </w:rPr>
              <w:br/>
              <w:t xml:space="preserve">Act other than s. 1 and 2: 1 May 2005 (see s. 2 and </w:t>
            </w:r>
            <w:r>
              <w:rPr>
                <w:rFonts w:ascii="Times" w:hAnsi="Times"/>
                <w:i/>
                <w:sz w:val="19"/>
              </w:rPr>
              <w:t>Gazette</w:t>
            </w:r>
            <w:r>
              <w:rPr>
                <w:rFonts w:ascii="Times" w:hAnsi="Times"/>
                <w:sz w:val="19"/>
              </w:rPr>
              <w:t xml:space="preserve"> 31 Dec 2004 p. 7128)</w:t>
            </w:r>
          </w:p>
        </w:tc>
      </w:tr>
      <w:tr>
        <w:tc>
          <w:tcPr>
            <w:tcW w:w="2268" w:type="dxa"/>
          </w:tcPr>
          <w:p>
            <w:pPr>
              <w:pStyle w:val="nTable"/>
              <w:spacing w:after="40"/>
              <w:rPr>
                <w:rFonts w:ascii="Times" w:hAnsi="Times"/>
                <w:i/>
                <w:noProof/>
                <w:snapToGrid w:val="0"/>
                <w:sz w:val="19"/>
              </w:rPr>
            </w:pPr>
            <w:r>
              <w:rPr>
                <w:rFonts w:ascii="Times" w:hAnsi="Times"/>
                <w:i/>
                <w:iCs/>
                <w:sz w:val="19"/>
              </w:rPr>
              <w:t>Housing Societies Repeal Act 2005</w:t>
            </w:r>
            <w:r>
              <w:rPr>
                <w:rFonts w:ascii="Times" w:hAnsi="Times"/>
                <w:sz w:val="19"/>
              </w:rPr>
              <w:t xml:space="preserve"> s. 20 </w:t>
            </w:r>
          </w:p>
        </w:tc>
        <w:tc>
          <w:tcPr>
            <w:tcW w:w="1134" w:type="dxa"/>
          </w:tcPr>
          <w:p>
            <w:pPr>
              <w:pStyle w:val="nTable"/>
              <w:spacing w:after="40"/>
              <w:rPr>
                <w:rFonts w:ascii="Times" w:hAnsi="Times"/>
                <w:sz w:val="19"/>
              </w:rPr>
            </w:pPr>
            <w:r>
              <w:rPr>
                <w:rFonts w:ascii="Times" w:hAnsi="Times"/>
                <w:sz w:val="19"/>
              </w:rPr>
              <w:t>17 of 2005</w:t>
            </w:r>
          </w:p>
        </w:tc>
        <w:tc>
          <w:tcPr>
            <w:tcW w:w="1134" w:type="dxa"/>
          </w:tcPr>
          <w:p>
            <w:pPr>
              <w:pStyle w:val="nTable"/>
              <w:spacing w:after="40"/>
              <w:rPr>
                <w:rFonts w:ascii="Times" w:hAnsi="Times"/>
                <w:sz w:val="19"/>
              </w:rPr>
            </w:pPr>
            <w:r>
              <w:rPr>
                <w:rFonts w:ascii="Times" w:hAnsi="Times"/>
                <w:sz w:val="19"/>
              </w:rPr>
              <w:t>5 Oct 2005</w:t>
            </w:r>
          </w:p>
        </w:tc>
        <w:tc>
          <w:tcPr>
            <w:tcW w:w="2552" w:type="dxa"/>
          </w:tcPr>
          <w:p>
            <w:pPr>
              <w:pStyle w:val="nTable"/>
              <w:spacing w:after="40"/>
              <w:rPr>
                <w:rFonts w:ascii="Times" w:hAnsi="Times"/>
                <w:sz w:val="19"/>
              </w:rPr>
            </w:pPr>
            <w:r>
              <w:rPr>
                <w:rFonts w:ascii="Times" w:hAnsi="Times"/>
                <w:sz w:val="19"/>
              </w:rPr>
              <w:t xml:space="preserve">10 Jul 2010 (see s. 2(3) and </w:t>
            </w:r>
            <w:r>
              <w:rPr>
                <w:rFonts w:ascii="Times" w:hAnsi="Times"/>
                <w:i/>
                <w:iCs/>
                <w:sz w:val="19"/>
              </w:rPr>
              <w:t>Gazette</w:t>
            </w:r>
            <w:r>
              <w:rPr>
                <w:rFonts w:ascii="Times" w:hAnsi="Times"/>
                <w:sz w:val="19"/>
              </w:rPr>
              <w:t xml:space="preserve"> 9 Jul 2010 p. 3239)</w:t>
            </w:r>
          </w:p>
        </w:tc>
      </w:tr>
      <w:tr>
        <w:tc>
          <w:tcPr>
            <w:tcW w:w="2268" w:type="dxa"/>
          </w:tcPr>
          <w:p>
            <w:pPr>
              <w:pStyle w:val="nTable"/>
              <w:spacing w:after="40"/>
              <w:rPr>
                <w:rFonts w:ascii="Times" w:hAnsi="Times"/>
                <w:i/>
                <w:noProof/>
                <w:snapToGrid w:val="0"/>
                <w:sz w:val="19"/>
              </w:rPr>
            </w:pPr>
            <w:r>
              <w:rPr>
                <w:rFonts w:ascii="Times" w:hAnsi="Times"/>
                <w:i/>
                <w:noProof/>
                <w:snapToGrid w:val="0"/>
                <w:sz w:val="19"/>
              </w:rPr>
              <w:t>Planning and Development (Consequential and Transitional Provisions) Act 2005</w:t>
            </w:r>
            <w:r>
              <w:rPr>
                <w:rFonts w:ascii="Times" w:hAnsi="Times"/>
                <w:iCs/>
                <w:noProof/>
                <w:snapToGrid w:val="0"/>
                <w:sz w:val="19"/>
              </w:rPr>
              <w:t xml:space="preserve"> s. 15</w:t>
            </w:r>
          </w:p>
        </w:tc>
        <w:tc>
          <w:tcPr>
            <w:tcW w:w="1134" w:type="dxa"/>
          </w:tcPr>
          <w:p>
            <w:pPr>
              <w:pStyle w:val="nTable"/>
              <w:spacing w:after="40"/>
              <w:rPr>
                <w:rFonts w:ascii="Times" w:hAnsi="Times"/>
                <w:sz w:val="19"/>
              </w:rPr>
            </w:pPr>
            <w:r>
              <w:rPr>
                <w:rFonts w:ascii="Times" w:hAnsi="Times"/>
                <w:snapToGrid w:val="0"/>
                <w:sz w:val="19"/>
              </w:rPr>
              <w:t>38 of 2005</w:t>
            </w:r>
          </w:p>
        </w:tc>
        <w:tc>
          <w:tcPr>
            <w:tcW w:w="1134" w:type="dxa"/>
          </w:tcPr>
          <w:p>
            <w:pPr>
              <w:pStyle w:val="nTable"/>
              <w:spacing w:after="40"/>
              <w:rPr>
                <w:rFonts w:ascii="Times" w:hAnsi="Times"/>
                <w:sz w:val="19"/>
              </w:rPr>
            </w:pPr>
            <w:r>
              <w:rPr>
                <w:rFonts w:ascii="Times" w:hAnsi="Times"/>
                <w:sz w:val="19"/>
              </w:rPr>
              <w:t>12 Dec 2005</w:t>
            </w:r>
          </w:p>
        </w:tc>
        <w:tc>
          <w:tcPr>
            <w:tcW w:w="2552" w:type="dxa"/>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c>
          <w:tcPr>
            <w:tcW w:w="2268" w:type="dxa"/>
          </w:tcPr>
          <w:p>
            <w:pPr>
              <w:pStyle w:val="nTable"/>
              <w:spacing w:after="40"/>
              <w:rPr>
                <w:rFonts w:ascii="Times" w:hAnsi="Times"/>
                <w:i/>
                <w:noProof/>
                <w:snapToGrid w:val="0"/>
                <w:sz w:val="19"/>
              </w:rPr>
            </w:pPr>
            <w:r>
              <w:rPr>
                <w:rFonts w:ascii="Times" w:hAnsi="Times"/>
                <w:i/>
                <w:iCs/>
                <w:sz w:val="19"/>
              </w:rPr>
              <w:t>Acts Amendment (Justice) Act 2008</w:t>
            </w:r>
            <w:r>
              <w:rPr>
                <w:rFonts w:ascii="Times" w:hAnsi="Times"/>
                <w:sz w:val="19"/>
              </w:rPr>
              <w:t xml:space="preserve"> Pt. 3</w:t>
            </w:r>
          </w:p>
        </w:tc>
        <w:tc>
          <w:tcPr>
            <w:tcW w:w="1134" w:type="dxa"/>
          </w:tcPr>
          <w:p>
            <w:pPr>
              <w:pStyle w:val="nTable"/>
              <w:spacing w:after="40"/>
              <w:rPr>
                <w:rFonts w:ascii="Times" w:hAnsi="Times"/>
                <w:snapToGrid w:val="0"/>
                <w:sz w:val="19"/>
              </w:rPr>
            </w:pPr>
            <w:r>
              <w:rPr>
                <w:rFonts w:ascii="Times" w:hAnsi="Times"/>
                <w:snapToGrid w:val="0"/>
                <w:sz w:val="19"/>
              </w:rPr>
              <w:t>5 of 2008</w:t>
            </w:r>
          </w:p>
        </w:tc>
        <w:tc>
          <w:tcPr>
            <w:tcW w:w="1134" w:type="dxa"/>
          </w:tcPr>
          <w:p>
            <w:pPr>
              <w:pStyle w:val="nTable"/>
              <w:spacing w:after="40"/>
              <w:rPr>
                <w:rFonts w:ascii="Times" w:hAnsi="Times"/>
                <w:sz w:val="19"/>
              </w:rPr>
            </w:pPr>
            <w:r>
              <w:rPr>
                <w:rFonts w:ascii="Times" w:hAnsi="Times"/>
                <w:sz w:val="19"/>
              </w:rPr>
              <w:t>31 Mar 2008</w:t>
            </w:r>
          </w:p>
        </w:tc>
        <w:tc>
          <w:tcPr>
            <w:tcW w:w="2552" w:type="dxa"/>
          </w:tcPr>
          <w:p>
            <w:pPr>
              <w:pStyle w:val="nTable"/>
              <w:spacing w:after="40"/>
              <w:rPr>
                <w:rFonts w:ascii="Times" w:hAnsi="Times"/>
                <w:sz w:val="19"/>
              </w:rPr>
            </w:pPr>
            <w:r>
              <w:rPr>
                <w:rFonts w:ascii="Times" w:hAnsi="Times"/>
                <w:snapToGrid w:val="0"/>
                <w:sz w:val="19"/>
              </w:rPr>
              <w:t xml:space="preserve">30 Sep 2008 (see s. 2(d) and </w:t>
            </w:r>
            <w:r>
              <w:rPr>
                <w:rFonts w:ascii="Times" w:hAnsi="Times"/>
                <w:i/>
                <w:iCs/>
                <w:snapToGrid w:val="0"/>
                <w:sz w:val="19"/>
              </w:rPr>
              <w:t xml:space="preserve">Gazette </w:t>
            </w:r>
            <w:r>
              <w:rPr>
                <w:rFonts w:ascii="Times" w:hAnsi="Times"/>
                <w:snapToGrid w:val="0"/>
                <w:sz w:val="19"/>
              </w:rPr>
              <w:t>11 Jul 2008 p. 3253)</w:t>
            </w:r>
          </w:p>
        </w:tc>
      </w:tr>
      <w:tr>
        <w:tc>
          <w:tcPr>
            <w:tcW w:w="2268" w:type="dxa"/>
          </w:tcPr>
          <w:p>
            <w:pPr>
              <w:pStyle w:val="nTable"/>
              <w:spacing w:after="40"/>
              <w:rPr>
                <w:rFonts w:ascii="Times" w:hAnsi="Times"/>
                <w:i/>
                <w:iCs/>
                <w:sz w:val="19"/>
              </w:rPr>
            </w:pPr>
            <w:r>
              <w:rPr>
                <w:rFonts w:ascii="Times" w:hAnsi="Times"/>
                <w:i/>
                <w:iCs/>
                <w:snapToGrid w:val="0"/>
                <w:sz w:val="19"/>
              </w:rPr>
              <w:t xml:space="preserve">Legal Profession Act 2008 </w:t>
            </w:r>
            <w:r>
              <w:rPr>
                <w:rFonts w:ascii="Times" w:hAnsi="Times"/>
                <w:snapToGrid w:val="0"/>
                <w:sz w:val="19"/>
              </w:rPr>
              <w:t>s. 645</w:t>
            </w:r>
          </w:p>
        </w:tc>
        <w:tc>
          <w:tcPr>
            <w:tcW w:w="1134" w:type="dxa"/>
          </w:tcPr>
          <w:p>
            <w:pPr>
              <w:pStyle w:val="nTable"/>
              <w:spacing w:after="40"/>
              <w:rPr>
                <w:rFonts w:ascii="Times" w:hAnsi="Times"/>
                <w:snapToGrid w:val="0"/>
                <w:sz w:val="19"/>
              </w:rPr>
            </w:pPr>
            <w:r>
              <w:rPr>
                <w:rFonts w:ascii="Times" w:hAnsi="Times"/>
                <w:snapToGrid w:val="0"/>
                <w:sz w:val="19"/>
              </w:rPr>
              <w:t>21 of 2008</w:t>
            </w:r>
          </w:p>
        </w:tc>
        <w:tc>
          <w:tcPr>
            <w:tcW w:w="1134" w:type="dxa"/>
          </w:tcPr>
          <w:p>
            <w:pPr>
              <w:pStyle w:val="nTable"/>
              <w:spacing w:after="40"/>
              <w:rPr>
                <w:rFonts w:ascii="Times" w:hAnsi="Times"/>
                <w:sz w:val="19"/>
              </w:rPr>
            </w:pPr>
            <w:r>
              <w:rPr>
                <w:rFonts w:ascii="Times" w:hAnsi="Times"/>
                <w:snapToGrid w:val="0"/>
                <w:sz w:val="19"/>
              </w:rPr>
              <w:t>27 May 2008</w:t>
            </w:r>
          </w:p>
        </w:tc>
        <w:tc>
          <w:tcPr>
            <w:tcW w:w="2552" w:type="dxa"/>
          </w:tcPr>
          <w:p>
            <w:pPr>
              <w:pStyle w:val="nTable"/>
              <w:spacing w:after="40"/>
              <w:rPr>
                <w:rFonts w:ascii="Times" w:hAnsi="Times"/>
                <w:snapToGrid w:val="0"/>
                <w:sz w:val="19"/>
              </w:rPr>
            </w:pPr>
            <w:r>
              <w:rPr>
                <w:rFonts w:ascii="Times" w:hAnsi="Times"/>
                <w:snapToGrid w:val="0"/>
                <w:sz w:val="19"/>
              </w:rPr>
              <w:t xml:space="preserve">1 Mar 2009 (see s. 2(b) and </w:t>
            </w:r>
            <w:r>
              <w:rPr>
                <w:rFonts w:ascii="Times" w:hAnsi="Times"/>
                <w:i/>
                <w:iCs/>
                <w:snapToGrid w:val="0"/>
                <w:sz w:val="19"/>
              </w:rPr>
              <w:t xml:space="preserve">Gazette </w:t>
            </w:r>
            <w:r>
              <w:rPr>
                <w:rFonts w:ascii="Times" w:hAnsi="Times"/>
                <w:snapToGrid w:val="0"/>
                <w:sz w:val="19"/>
              </w:rPr>
              <w:t>27 Feb 2009 p. 511)</w:t>
            </w:r>
          </w:p>
        </w:tc>
      </w:tr>
      <w:tr>
        <w:trPr>
          <w:cantSplit/>
        </w:trPr>
        <w:tc>
          <w:tcPr>
            <w:tcW w:w="7088" w:type="dxa"/>
            <w:gridSpan w:val="4"/>
          </w:tcPr>
          <w:p>
            <w:pPr>
              <w:pStyle w:val="nTable"/>
              <w:spacing w:after="40"/>
              <w:rPr>
                <w:snapToGrid w:val="0"/>
                <w:sz w:val="19"/>
              </w:rPr>
            </w:pPr>
            <w:r>
              <w:rPr>
                <w:b/>
                <w:bCs/>
                <w:snapToGrid w:val="0"/>
                <w:sz w:val="19"/>
              </w:rPr>
              <w:t xml:space="preserve">Reprint 1: The </w:t>
            </w:r>
            <w:r>
              <w:rPr>
                <w:b/>
                <w:bCs/>
                <w:i/>
                <w:noProof/>
                <w:snapToGrid w:val="0"/>
                <w:sz w:val="19"/>
              </w:rPr>
              <w:t>Civil Judgments Enforcement Act 2004</w:t>
            </w:r>
            <w:r>
              <w:rPr>
                <w:b/>
                <w:bCs/>
                <w:snapToGrid w:val="0"/>
                <w:sz w:val="19"/>
              </w:rPr>
              <w:t xml:space="preserve"> as at 20 Feb 2009</w:t>
            </w:r>
            <w:r>
              <w:rPr>
                <w:snapToGrid w:val="0"/>
                <w:sz w:val="19"/>
              </w:rPr>
              <w:t xml:space="preserve"> (includes amendments listed above except those in the </w:t>
            </w:r>
            <w:r>
              <w:rPr>
                <w:i/>
                <w:iCs/>
                <w:sz w:val="19"/>
              </w:rPr>
              <w:t>Housing Societies Repeal Act 2005</w:t>
            </w:r>
            <w:r>
              <w:rPr>
                <w:snapToGrid w:val="0"/>
                <w:sz w:val="19"/>
              </w:rPr>
              <w:t xml:space="preserve"> and the</w:t>
            </w:r>
            <w:r>
              <w:rPr>
                <w:i/>
                <w:iCs/>
                <w:sz w:val="19"/>
              </w:rPr>
              <w:t xml:space="preserve"> </w:t>
            </w:r>
            <w:r>
              <w:rPr>
                <w:i/>
                <w:iCs/>
                <w:snapToGrid w:val="0"/>
                <w:sz w:val="19"/>
              </w:rPr>
              <w:t>Legal Profession Act 2008</w:t>
            </w:r>
            <w:r>
              <w:rPr>
                <w:snapToGrid w:val="0"/>
                <w:sz w:val="19"/>
              </w:rPr>
              <w: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z w:val="19"/>
              </w:rPr>
            </w:pPr>
            <w:r>
              <w:rPr>
                <w:i/>
                <w:iCs/>
                <w:sz w:val="19"/>
              </w:rPr>
              <w:t>Co-operatives Act 2009</w:t>
            </w:r>
            <w:r>
              <w:rPr>
                <w:sz w:val="19"/>
              </w:rPr>
              <w:t xml:space="preserve"> s. 507 and 512</w:t>
            </w:r>
          </w:p>
        </w:tc>
        <w:tc>
          <w:tcPr>
            <w:tcW w:w="1134" w:type="dxa"/>
            <w:tcBorders>
              <w:top w:val="nil"/>
              <w:bottom w:val="nil"/>
            </w:tcBorders>
          </w:tcPr>
          <w:p>
            <w:pPr>
              <w:pStyle w:val="nTable"/>
              <w:keepNext/>
              <w:keepLines/>
              <w:spacing w:after="40"/>
              <w:rPr>
                <w:sz w:val="19"/>
              </w:rPr>
            </w:pPr>
            <w:r>
              <w:rPr>
                <w:sz w:val="19"/>
              </w:rPr>
              <w:t>24 of 2009</w:t>
            </w:r>
          </w:p>
        </w:tc>
        <w:tc>
          <w:tcPr>
            <w:tcW w:w="1134" w:type="dxa"/>
            <w:tcBorders>
              <w:top w:val="nil"/>
              <w:bottom w:val="nil"/>
            </w:tcBorders>
          </w:tcPr>
          <w:p>
            <w:pPr>
              <w:pStyle w:val="nTable"/>
              <w:keepNext/>
              <w:keepLines/>
              <w:spacing w:after="40"/>
              <w:rPr>
                <w:sz w:val="19"/>
              </w:rPr>
            </w:pPr>
            <w:r>
              <w:rPr>
                <w:sz w:val="19"/>
              </w:rPr>
              <w:t>22 Oct 2009</w:t>
            </w:r>
          </w:p>
        </w:tc>
        <w:tc>
          <w:tcPr>
            <w:tcW w:w="2552" w:type="dxa"/>
            <w:tcBorders>
              <w:top w:val="nil"/>
              <w:bottom w:val="nil"/>
            </w:tcBorders>
          </w:tcPr>
          <w:p>
            <w:pPr>
              <w:pStyle w:val="nTable"/>
              <w:keepNext/>
              <w:keepLines/>
              <w:spacing w:after="40"/>
              <w:rPr>
                <w:sz w:val="19"/>
              </w:rPr>
            </w:pPr>
            <w:r>
              <w:rPr>
                <w:sz w:val="19"/>
              </w:rPr>
              <w:t xml:space="preserve">s. 507: 1 Sep 2010 (see s. 2(b) and </w:t>
            </w:r>
            <w:r>
              <w:rPr>
                <w:i/>
                <w:iCs/>
                <w:sz w:val="19"/>
              </w:rPr>
              <w:t>Gazette</w:t>
            </w:r>
            <w:r>
              <w:rPr>
                <w:sz w:val="19"/>
              </w:rPr>
              <w:t xml:space="preserve"> 13 Aug 2010 p. 3975);</w:t>
            </w:r>
            <w:r>
              <w:rPr>
                <w:sz w:val="19"/>
              </w:rPr>
              <w:br/>
              <w:t xml:space="preserve">s. 512: </w:t>
            </w:r>
            <w:r>
              <w:rPr>
                <w:snapToGrid w:val="0"/>
                <w:sz w:val="19"/>
              </w:rPr>
              <w:t xml:space="preserve">1 Sep 2012 (see s. 2(c) </w:t>
            </w:r>
            <w:r>
              <w:rPr>
                <w:sz w:val="19"/>
              </w:rPr>
              <w:t xml:space="preserve">and </w:t>
            </w:r>
            <w:r>
              <w:rPr>
                <w:i/>
                <w:sz w:val="19"/>
              </w:rPr>
              <w:t>Gazette</w:t>
            </w:r>
            <w:r>
              <w:rPr>
                <w:sz w:val="19"/>
              </w:rPr>
              <w:t xml:space="preserve"> 13 Aug 2010 p. 3975</w:t>
            </w:r>
            <w:r>
              <w:rPr>
                <w:snapToGrid w:val="0"/>
                <w:sz w:val="19"/>
              </w:rPr>
              <w:t>)</w:t>
            </w:r>
          </w:p>
        </w:tc>
      </w:tr>
      <w:tr>
        <w:tc>
          <w:tcPr>
            <w:tcW w:w="2268" w:type="dxa"/>
          </w:tcPr>
          <w:p>
            <w:pPr>
              <w:pStyle w:val="nTable"/>
              <w:spacing w:after="40"/>
              <w:rPr>
                <w:i/>
                <w:iCs/>
                <w:sz w:val="19"/>
              </w:rPr>
            </w:pPr>
            <w:r>
              <w:rPr>
                <w:i/>
                <w:iCs/>
                <w:snapToGrid w:val="0"/>
                <w:sz w:val="19"/>
              </w:rPr>
              <w:t xml:space="preserve">Police Amendment Act 2009 </w:t>
            </w:r>
            <w:r>
              <w:rPr>
                <w:snapToGrid w:val="0"/>
                <w:sz w:val="19"/>
              </w:rPr>
              <w:t>s. 13</w:t>
            </w:r>
          </w:p>
        </w:tc>
        <w:tc>
          <w:tcPr>
            <w:tcW w:w="1134" w:type="dxa"/>
          </w:tcPr>
          <w:p>
            <w:pPr>
              <w:pStyle w:val="nTable"/>
              <w:spacing w:after="40"/>
              <w:rPr>
                <w:snapToGrid w:val="0"/>
                <w:sz w:val="19"/>
              </w:rPr>
            </w:pPr>
            <w:r>
              <w:rPr>
                <w:snapToGrid w:val="0"/>
                <w:sz w:val="19"/>
              </w:rPr>
              <w:t>42 of 2009</w:t>
            </w:r>
          </w:p>
        </w:tc>
        <w:tc>
          <w:tcPr>
            <w:tcW w:w="1134" w:type="dxa"/>
          </w:tcPr>
          <w:p>
            <w:pPr>
              <w:pStyle w:val="nTable"/>
              <w:spacing w:after="40"/>
              <w:rPr>
                <w:sz w:val="19"/>
              </w:rPr>
            </w:pPr>
            <w:r>
              <w:rPr>
                <w:snapToGrid w:val="0"/>
                <w:sz w:val="19"/>
              </w:rPr>
              <w:t>3 Dec 2009</w:t>
            </w:r>
          </w:p>
        </w:tc>
        <w:tc>
          <w:tcPr>
            <w:tcW w:w="2552" w:type="dxa"/>
          </w:tcPr>
          <w:p>
            <w:pPr>
              <w:pStyle w:val="nTable"/>
              <w:spacing w:after="40"/>
              <w:rPr>
                <w:snapToGrid w:val="0"/>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c>
          <w:tcPr>
            <w:tcW w:w="7088" w:type="dxa"/>
            <w:gridSpan w:val="4"/>
            <w:tcBorders>
              <w:bottom w:val="single" w:sz="4" w:space="0" w:color="auto"/>
            </w:tcBorders>
          </w:tcPr>
          <w:p>
            <w:pPr>
              <w:pStyle w:val="nTable"/>
              <w:spacing w:after="40"/>
              <w:rPr>
                <w:snapToGrid w:val="0"/>
                <w:sz w:val="19"/>
              </w:rPr>
            </w:pPr>
            <w:r>
              <w:rPr>
                <w:b/>
                <w:snapToGrid w:val="0"/>
                <w:sz w:val="19"/>
              </w:rPr>
              <w:t xml:space="preserve">Reprint 2:  The </w:t>
            </w:r>
            <w:r>
              <w:rPr>
                <w:b/>
                <w:i/>
                <w:snapToGrid w:val="0"/>
                <w:sz w:val="19"/>
              </w:rPr>
              <w:t>Civil Judgments Enforcement Act 2004</w:t>
            </w:r>
            <w:r>
              <w:rPr>
                <w:b/>
                <w:snapToGrid w:val="0"/>
                <w:sz w:val="19"/>
              </w:rPr>
              <w:t xml:space="preserve"> as at 24  May 2013</w:t>
            </w:r>
            <w:r>
              <w:rPr>
                <w:snapToGrid w:val="0"/>
                <w:sz w:val="19"/>
              </w:rPr>
              <w:t xml:space="preserve"> (includes amendments listed above)</w:t>
            </w:r>
          </w:p>
        </w:tc>
      </w:tr>
    </w:tbl>
    <w:p>
      <w:pPr>
        <w:pStyle w:val="nSubsection"/>
        <w:keepNext/>
        <w:keepLines/>
        <w:spacing w:before="120"/>
      </w:pPr>
      <w:r>
        <w:rPr>
          <w:vertAlign w:val="superscript"/>
        </w:rPr>
        <w:t>1a</w:t>
      </w:r>
      <w:r>
        <w:tab/>
        <w:t>On the date as at which thi</w:t>
      </w:r>
      <w:bookmarkStart w:id="545" w:name="_Hlt507390729"/>
      <w:bookmarkEnd w:id="545"/>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546" w:name="_Toc371491872"/>
      <w:bookmarkStart w:id="547" w:name="_Toc357670487"/>
      <w:r>
        <w:rPr>
          <w:snapToGrid w:val="0"/>
        </w:rPr>
        <w:t>Provisions that have not come into operation</w:t>
      </w:r>
      <w:bookmarkEnd w:id="546"/>
      <w:bookmarkEnd w:id="547"/>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1130"/>
        <w:gridCol w:w="1130"/>
        <w:gridCol w:w="2540"/>
        <w:gridCol w:w="29"/>
      </w:tblGrid>
      <w:tr>
        <w:tc>
          <w:tcPr>
            <w:tcW w:w="2267"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Short title</w:t>
            </w:r>
          </w:p>
        </w:tc>
        <w:tc>
          <w:tcPr>
            <w:tcW w:w="1133"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Number and year</w:t>
            </w:r>
          </w:p>
        </w:tc>
        <w:tc>
          <w:tcPr>
            <w:tcW w:w="1133"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Assent</w:t>
            </w:r>
          </w:p>
        </w:tc>
        <w:tc>
          <w:tcPr>
            <w:tcW w:w="2554" w:type="dxa"/>
            <w:gridSpan w:val="2"/>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Commencement</w:t>
            </w:r>
          </w:p>
        </w:tc>
      </w:tr>
      <w:tr>
        <w:tc>
          <w:tcPr>
            <w:tcW w:w="2267" w:type="dxa"/>
            <w:tcBorders>
              <w:top w:val="single" w:sz="8" w:space="0" w:color="auto"/>
              <w:bottom w:val="nil"/>
            </w:tcBorders>
            <w:shd w:val="clear" w:color="auto" w:fill="auto"/>
          </w:tcPr>
          <w:p>
            <w:pPr>
              <w:pStyle w:val="nTable"/>
              <w:spacing w:after="40"/>
              <w:rPr>
                <w:i/>
                <w:iCs/>
                <w:sz w:val="19"/>
              </w:rPr>
            </w:pPr>
            <w:r>
              <w:rPr>
                <w:i/>
                <w:iCs/>
                <w:snapToGrid w:val="0"/>
                <w:sz w:val="19"/>
              </w:rPr>
              <w:t xml:space="preserve">Road Traffic Legislation Amendment Act 2012 </w:t>
            </w:r>
            <w:r>
              <w:rPr>
                <w:iCs/>
                <w:snapToGrid w:val="0"/>
                <w:sz w:val="19"/>
              </w:rPr>
              <w:t>Pt. 4 Div. 8</w:t>
            </w:r>
            <w:r>
              <w:rPr>
                <w:rFonts w:ascii="Times" w:hAnsi="Times"/>
                <w:iCs/>
                <w:sz w:val="19"/>
                <w:vertAlign w:val="superscript"/>
              </w:rPr>
              <w:t> </w:t>
            </w:r>
            <w:r>
              <w:rPr>
                <w:iCs/>
                <w:snapToGrid w:val="0"/>
                <w:sz w:val="19"/>
                <w:vertAlign w:val="superscript"/>
              </w:rPr>
              <w:t>5</w:t>
            </w:r>
          </w:p>
        </w:tc>
        <w:tc>
          <w:tcPr>
            <w:tcW w:w="1133" w:type="dxa"/>
            <w:tcBorders>
              <w:top w:val="single" w:sz="8" w:space="0" w:color="auto"/>
              <w:bottom w:val="nil"/>
            </w:tcBorders>
            <w:shd w:val="clear" w:color="auto" w:fill="auto"/>
          </w:tcPr>
          <w:p>
            <w:pPr>
              <w:pStyle w:val="nTable"/>
              <w:spacing w:after="40"/>
              <w:rPr>
                <w:sz w:val="19"/>
              </w:rPr>
            </w:pPr>
            <w:r>
              <w:rPr>
                <w:snapToGrid w:val="0"/>
                <w:sz w:val="19"/>
              </w:rPr>
              <w:t>8 of 2012</w:t>
            </w:r>
          </w:p>
        </w:tc>
        <w:tc>
          <w:tcPr>
            <w:tcW w:w="1133" w:type="dxa"/>
            <w:tcBorders>
              <w:top w:val="single" w:sz="8" w:space="0" w:color="auto"/>
              <w:bottom w:val="nil"/>
            </w:tcBorders>
            <w:shd w:val="clear" w:color="auto" w:fill="auto"/>
          </w:tcPr>
          <w:p>
            <w:pPr>
              <w:pStyle w:val="nTable"/>
              <w:spacing w:after="40"/>
              <w:rPr>
                <w:sz w:val="19"/>
              </w:rPr>
            </w:pPr>
            <w:r>
              <w:rPr>
                <w:sz w:val="19"/>
              </w:rPr>
              <w:t>21 May 2012</w:t>
            </w:r>
          </w:p>
        </w:tc>
        <w:tc>
          <w:tcPr>
            <w:tcW w:w="2554" w:type="dxa"/>
            <w:gridSpan w:val="2"/>
            <w:tcBorders>
              <w:top w:val="single" w:sz="8" w:space="0" w:color="auto"/>
              <w:bottom w:val="nil"/>
            </w:tcBorders>
            <w:shd w:val="clear" w:color="auto" w:fill="auto"/>
          </w:tcPr>
          <w:p>
            <w:pPr>
              <w:pStyle w:val="nTable"/>
              <w:spacing w:after="40"/>
              <w:rPr>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blPrEx>
          <w:tblBorders>
            <w:top w:val="none" w:sz="0" w:space="0" w:color="auto"/>
            <w:bottom w:val="none" w:sz="0" w:space="0" w:color="auto"/>
            <w:insideH w:val="none" w:sz="0" w:space="0" w:color="auto"/>
          </w:tblBorders>
        </w:tblPrEx>
        <w:trPr>
          <w:gridAfter w:val="1"/>
          <w:wAfter w:w="29" w:type="dxa"/>
          <w:cantSplit/>
          <w:ins w:id="548" w:author="svcMRProcess" w:date="2018-08-21T14:08:00Z"/>
        </w:trPr>
        <w:tc>
          <w:tcPr>
            <w:tcW w:w="2268" w:type="dxa"/>
            <w:tcBorders>
              <w:bottom w:val="single" w:sz="4" w:space="0" w:color="auto"/>
            </w:tcBorders>
            <w:shd w:val="clear" w:color="auto" w:fill="auto"/>
          </w:tcPr>
          <w:p>
            <w:pPr>
              <w:pStyle w:val="nTable"/>
              <w:spacing w:after="40"/>
              <w:rPr>
                <w:ins w:id="549" w:author="svcMRProcess" w:date="2018-08-21T14:08:00Z"/>
                <w:snapToGrid w:val="0"/>
                <w:sz w:val="19"/>
                <w:vertAlign w:val="superscript"/>
              </w:rPr>
            </w:pPr>
            <w:ins w:id="550" w:author="svcMRProcess" w:date="2018-08-21T14:08:00Z">
              <w:r>
                <w:rPr>
                  <w:i/>
                  <w:snapToGrid w:val="0"/>
                  <w:sz w:val="19"/>
                </w:rPr>
                <w:t xml:space="preserve">Courts and Tribunals (Electronic Processes Facilitation) Act 2013 </w:t>
              </w:r>
              <w:r>
                <w:rPr>
                  <w:snapToGrid w:val="0"/>
                  <w:sz w:val="19"/>
                </w:rPr>
                <w:t>Pt. 3 Div. 3 </w:t>
              </w:r>
              <w:r>
                <w:rPr>
                  <w:snapToGrid w:val="0"/>
                  <w:sz w:val="19"/>
                  <w:vertAlign w:val="superscript"/>
                </w:rPr>
                <w:t xml:space="preserve"> 6</w:t>
              </w:r>
            </w:ins>
          </w:p>
        </w:tc>
        <w:tc>
          <w:tcPr>
            <w:tcW w:w="1134" w:type="dxa"/>
            <w:tcBorders>
              <w:bottom w:val="single" w:sz="4" w:space="0" w:color="auto"/>
            </w:tcBorders>
            <w:shd w:val="clear" w:color="auto" w:fill="auto"/>
          </w:tcPr>
          <w:p>
            <w:pPr>
              <w:pStyle w:val="nTable"/>
              <w:spacing w:after="40"/>
              <w:rPr>
                <w:ins w:id="551" w:author="svcMRProcess" w:date="2018-08-21T14:08:00Z"/>
                <w:snapToGrid w:val="0"/>
                <w:sz w:val="19"/>
              </w:rPr>
            </w:pPr>
            <w:ins w:id="552" w:author="svcMRProcess" w:date="2018-08-21T14:08:00Z">
              <w:r>
                <w:rPr>
                  <w:snapToGrid w:val="0"/>
                  <w:sz w:val="19"/>
                </w:rPr>
                <w:t>20 of 2013</w:t>
              </w:r>
            </w:ins>
          </w:p>
        </w:tc>
        <w:tc>
          <w:tcPr>
            <w:tcW w:w="1134" w:type="dxa"/>
            <w:tcBorders>
              <w:bottom w:val="single" w:sz="4" w:space="0" w:color="auto"/>
            </w:tcBorders>
            <w:shd w:val="clear" w:color="auto" w:fill="auto"/>
          </w:tcPr>
          <w:p>
            <w:pPr>
              <w:pStyle w:val="nTable"/>
              <w:spacing w:after="40"/>
              <w:rPr>
                <w:ins w:id="553" w:author="svcMRProcess" w:date="2018-08-21T14:08:00Z"/>
                <w:sz w:val="19"/>
              </w:rPr>
            </w:pPr>
            <w:ins w:id="554" w:author="svcMRProcess" w:date="2018-08-21T14:08:00Z">
              <w:r>
                <w:rPr>
                  <w:sz w:val="19"/>
                </w:rPr>
                <w:t>4 Nov 2013</w:t>
              </w:r>
            </w:ins>
          </w:p>
        </w:tc>
        <w:tc>
          <w:tcPr>
            <w:tcW w:w="2551" w:type="dxa"/>
            <w:tcBorders>
              <w:bottom w:val="single" w:sz="4" w:space="0" w:color="auto"/>
            </w:tcBorders>
            <w:shd w:val="clear" w:color="auto" w:fill="auto"/>
          </w:tcPr>
          <w:p>
            <w:pPr>
              <w:pStyle w:val="nTable"/>
              <w:spacing w:after="40"/>
              <w:rPr>
                <w:ins w:id="555" w:author="svcMRProcess" w:date="2018-08-21T14:08:00Z"/>
                <w:snapToGrid w:val="0"/>
                <w:sz w:val="19"/>
              </w:rPr>
            </w:pPr>
            <w:ins w:id="556" w:author="svcMRProcess" w:date="2018-08-21T14:08:00Z">
              <w:r>
                <w:rPr>
                  <w:snapToGrid w:val="0"/>
                  <w:sz w:val="19"/>
                </w:rPr>
                <w:t>To be proclaimed (see s. 2(b))</w:t>
              </w:r>
            </w:ins>
          </w:p>
        </w:tc>
      </w:tr>
    </w:tbl>
    <w:p>
      <w:pPr>
        <w:pStyle w:val="nSubsection"/>
        <w:keepNext/>
        <w:keepLines/>
        <w:spacing w:before="160"/>
        <w:rPr>
          <w:ins w:id="557" w:author="svcMRProcess" w:date="2018-08-21T14:08:00Z"/>
          <w:snapToGrid w:val="0"/>
          <w:vertAlign w:val="superscript"/>
        </w:rPr>
      </w:pPr>
    </w:p>
    <w:p>
      <w:pPr>
        <w:pStyle w:val="nSubsection"/>
        <w:keepNext/>
        <w:keepLines/>
        <w:spacing w:before="160"/>
        <w:rPr>
          <w:snapToGrid w:val="0"/>
          <w:vertAlign w:val="superscript"/>
        </w:rPr>
      </w:pPr>
      <w:r>
        <w:rPr>
          <w:snapToGrid w:val="0"/>
          <w:vertAlign w:val="superscript"/>
        </w:rPr>
        <w:t>2</w:t>
      </w:r>
      <w:r>
        <w:rPr>
          <w:snapToGrid w:val="0"/>
        </w:rPr>
        <w:tab/>
        <w:t xml:space="preserve">The correct short title of this Commonwealth Act is the </w:t>
      </w:r>
      <w:r>
        <w:rPr>
          <w:i/>
          <w:snapToGrid w:val="0"/>
        </w:rPr>
        <w:t>Child Support (Assessment) Act 1989</w:t>
      </w:r>
      <w:r>
        <w:rPr>
          <w:snapToGrid w:val="0"/>
        </w:rPr>
        <w:t>.</w:t>
      </w:r>
    </w:p>
    <w:p>
      <w:pPr>
        <w:pStyle w:val="nSubsection"/>
        <w:keepNext/>
        <w:keepLines/>
        <w:rPr>
          <w:snapToGrid w:val="0"/>
        </w:rPr>
      </w:pPr>
      <w:r>
        <w:rPr>
          <w:snapToGrid w:val="0"/>
          <w:vertAlign w:val="superscript"/>
        </w:rPr>
        <w:t>3</w:t>
      </w:r>
      <w:r>
        <w:rPr>
          <w:snapToGrid w:val="0"/>
        </w:rPr>
        <w:tab/>
        <w:t xml:space="preserve">The </w:t>
      </w:r>
      <w:r>
        <w:rPr>
          <w:i/>
          <w:snapToGrid w:val="0"/>
        </w:rPr>
        <w:t>Workmen’s Wages Act 1898</w:t>
      </w:r>
      <w:r>
        <w:rPr>
          <w:snapToGrid w:val="0"/>
        </w:rPr>
        <w:t xml:space="preserve"> was repealed by the </w:t>
      </w:r>
      <w:r>
        <w:rPr>
          <w:i/>
          <w:snapToGrid w:val="0"/>
        </w:rPr>
        <w:t>Statutes (Repeals and Minor Amendments) Act 2009.</w:t>
      </w:r>
    </w:p>
    <w:p>
      <w:pPr>
        <w:pStyle w:val="nSubsection"/>
        <w:keepNext/>
        <w:keepLines/>
        <w:rPr>
          <w:snapToGrid w:val="0"/>
        </w:rPr>
      </w:pPr>
      <w:r>
        <w:rPr>
          <w:snapToGrid w:val="0"/>
          <w:vertAlign w:val="superscript"/>
        </w:rPr>
        <w:t>4</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sz w:val="16"/>
          <w:szCs w:val="16"/>
        </w:rPr>
      </w:pPr>
    </w:p>
    <w:p>
      <w:pPr>
        <w:pStyle w:val="nzHeading2"/>
        <w:spacing w:before="80"/>
      </w:pPr>
      <w:r>
        <w:rPr>
          <w:rStyle w:val="CharPartNo"/>
        </w:rPr>
        <w:t>Part 22</w:t>
      </w:r>
      <w:r>
        <w:t> — </w:t>
      </w:r>
      <w:r>
        <w:rPr>
          <w:rStyle w:val="CharPartText"/>
        </w:rPr>
        <w:t>Transitional provisions</w:t>
      </w:r>
    </w:p>
    <w:p>
      <w:pPr>
        <w:pStyle w:val="nzHeading3"/>
        <w:spacing w:before="80"/>
      </w:pPr>
      <w:r>
        <w:rPr>
          <w:rStyle w:val="CharDivNo"/>
        </w:rPr>
        <w:t>Division 1</w:t>
      </w:r>
      <w:r>
        <w:t> — </w:t>
      </w:r>
      <w:r>
        <w:rPr>
          <w:rStyle w:val="CharDivText"/>
        </w:rPr>
        <w:t>Provisions about enforcing judgments</w:t>
      </w:r>
    </w:p>
    <w:p>
      <w:pPr>
        <w:pStyle w:val="nzHeading5"/>
      </w:pPr>
      <w:r>
        <w:rPr>
          <w:rStyle w:val="CharSectno"/>
        </w:rPr>
        <w:t>143</w:t>
      </w:r>
      <w:r>
        <w:t>.</w:t>
      </w:r>
      <w:r>
        <w:tab/>
        <w:t>Interpretation</w:t>
      </w:r>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r>
        <w:rPr>
          <w:rStyle w:val="CharSectno"/>
        </w:rPr>
        <w:t>145</w:t>
      </w:r>
      <w:r>
        <w:t>.</w:t>
      </w:r>
      <w:r>
        <w:tab/>
        <w:t>Pending proceedings to enforce a judgment</w:t>
      </w:r>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keepNext/>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sz w:val="18"/>
        </w:rPr>
      </w:pPr>
    </w:p>
    <w:p>
      <w:pPr>
        <w:pStyle w:val="nSubsection"/>
        <w:keepNext/>
        <w:keepLines/>
        <w:spacing w:before="120"/>
        <w:rPr>
          <w:snapToGrid w:val="0"/>
        </w:rPr>
      </w:pPr>
      <w:r>
        <w:rPr>
          <w:snapToGrid w:val="0"/>
          <w:vertAlign w:val="superscript"/>
        </w:rPr>
        <w:t>5</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 xml:space="preserve">Road Traffic Legislation Amendment Act 2012 </w:t>
      </w:r>
      <w:r>
        <w:rPr>
          <w:snapToGrid w:val="0"/>
        </w:rPr>
        <w:t>Pt. 4 Div. 8 had not come into operation.  It reads as follows:</w:t>
      </w:r>
    </w:p>
    <w:p>
      <w:pPr>
        <w:pStyle w:val="BlankOpen"/>
        <w:rPr>
          <w:snapToGrid w:val="0"/>
          <w:sz w:val="18"/>
        </w:rPr>
      </w:pPr>
    </w:p>
    <w:p>
      <w:pPr>
        <w:pStyle w:val="nzHeading3"/>
      </w:pPr>
      <w:r>
        <w:rPr>
          <w:rStyle w:val="CharDivNo"/>
        </w:rPr>
        <w:t>Division 8</w:t>
      </w:r>
      <w:r>
        <w:t> — </w:t>
      </w:r>
      <w:r>
        <w:rPr>
          <w:rStyle w:val="CharDivText"/>
          <w:i/>
          <w:iCs/>
        </w:rPr>
        <w:t>Civil Judgments Enforcement Act 2004</w:t>
      </w:r>
      <w:r>
        <w:rPr>
          <w:rStyle w:val="CharDivText"/>
        </w:rPr>
        <w:t> amended</w:t>
      </w:r>
    </w:p>
    <w:p>
      <w:pPr>
        <w:pStyle w:val="nzHeading5"/>
      </w:pPr>
      <w:r>
        <w:rPr>
          <w:rStyle w:val="CharSectno"/>
        </w:rPr>
        <w:t>57</w:t>
      </w:r>
      <w:r>
        <w:t>.</w:t>
      </w:r>
      <w:r>
        <w:tab/>
        <w:t>Act amended</w:t>
      </w:r>
    </w:p>
    <w:p>
      <w:pPr>
        <w:pStyle w:val="nzSubsection"/>
      </w:pPr>
      <w:r>
        <w:tab/>
      </w:r>
      <w:r>
        <w:tab/>
        <w:t xml:space="preserve">This Division amends the </w:t>
      </w:r>
      <w:r>
        <w:rPr>
          <w:i/>
        </w:rPr>
        <w:t>Civil Judgments Enforcement Act 2004</w:t>
      </w:r>
      <w:r>
        <w:t>.</w:t>
      </w:r>
    </w:p>
    <w:p>
      <w:pPr>
        <w:pStyle w:val="nzHeading5"/>
      </w:pPr>
      <w:r>
        <w:rPr>
          <w:rStyle w:val="CharSectno"/>
        </w:rPr>
        <w:t>58</w:t>
      </w:r>
      <w:r>
        <w:t>.</w:t>
      </w:r>
      <w:r>
        <w:tab/>
        <w:t>Section 113 amended</w:t>
      </w:r>
    </w:p>
    <w:p>
      <w:pPr>
        <w:pStyle w:val="nzSubsection"/>
      </w:pPr>
      <w:r>
        <w:tab/>
      </w:r>
      <w:r>
        <w:tab/>
        <w:t>In section 113 in the Table insert in alphabetical order:</w:t>
      </w:r>
    </w:p>
    <w:p>
      <w:pPr>
        <w:pStyle w:val="BlankOpen"/>
        <w:rPr>
          <w:sz w:val="16"/>
        </w:rPr>
      </w:pPr>
    </w:p>
    <w:tbl>
      <w:tblPr>
        <w:tblW w:w="0" w:type="auto"/>
        <w:tblInd w:w="1452" w:type="dxa"/>
        <w:tblLayout w:type="fixed"/>
        <w:tblCellMar>
          <w:bottom w:w="113" w:type="dxa"/>
        </w:tblCellMar>
        <w:tblLook w:val="0000" w:firstRow="0" w:lastRow="0" w:firstColumn="0" w:lastColumn="0" w:noHBand="0" w:noVBand="0"/>
      </w:tblPr>
      <w:tblGrid>
        <w:gridCol w:w="4776"/>
      </w:tblGrid>
      <w:tr>
        <w:trPr>
          <w:cantSplit/>
        </w:trPr>
        <w:tc>
          <w:tcPr>
            <w:tcW w:w="4776" w:type="dxa"/>
          </w:tcPr>
          <w:p>
            <w:pPr>
              <w:pStyle w:val="TableNAm"/>
              <w:spacing w:before="60"/>
              <w:rPr>
                <w:sz w:val="20"/>
              </w:rPr>
            </w:pPr>
            <w:r>
              <w:rPr>
                <w:i/>
                <w:iCs/>
                <w:sz w:val="20"/>
              </w:rPr>
              <w:t>Road Traffic (Administration) Act 2008</w:t>
            </w:r>
          </w:p>
        </w:tc>
      </w:tr>
      <w:tr>
        <w:trPr>
          <w:cantSplit/>
        </w:trPr>
        <w:tc>
          <w:tcPr>
            <w:tcW w:w="4776" w:type="dxa"/>
          </w:tcPr>
          <w:p>
            <w:pPr>
              <w:pStyle w:val="TableNAm"/>
              <w:spacing w:before="60"/>
              <w:rPr>
                <w:sz w:val="20"/>
              </w:rPr>
            </w:pPr>
            <w:r>
              <w:rPr>
                <w:i/>
                <w:iCs/>
                <w:sz w:val="20"/>
              </w:rPr>
              <w:t>Road Traffic (Authorisation to Drive) Act 2008</w:t>
            </w:r>
          </w:p>
        </w:tc>
      </w:tr>
      <w:tr>
        <w:trPr>
          <w:cantSplit/>
        </w:trPr>
        <w:tc>
          <w:tcPr>
            <w:tcW w:w="4776" w:type="dxa"/>
          </w:tcPr>
          <w:p>
            <w:pPr>
              <w:pStyle w:val="TableNAm"/>
              <w:spacing w:before="60"/>
              <w:rPr>
                <w:sz w:val="20"/>
              </w:rPr>
            </w:pPr>
            <w:r>
              <w:rPr>
                <w:i/>
                <w:iCs/>
                <w:sz w:val="20"/>
              </w:rPr>
              <w:t>Road Traffic (Vehicles) Act 2012</w:t>
            </w:r>
          </w:p>
        </w:tc>
      </w:tr>
    </w:tbl>
    <w:p>
      <w:pPr>
        <w:pStyle w:val="BlankClose"/>
        <w:rPr>
          <w:sz w:val="16"/>
        </w:rPr>
      </w:pPr>
    </w:p>
    <w:p>
      <w:pPr>
        <w:pStyle w:val="nzHeading5"/>
      </w:pPr>
      <w:r>
        <w:rPr>
          <w:rStyle w:val="CharSectno"/>
        </w:rPr>
        <w:t>59</w:t>
      </w:r>
      <w:r>
        <w:t>.</w:t>
      </w:r>
      <w:r>
        <w:tab/>
        <w:t>Section 114 amended</w:t>
      </w:r>
    </w:p>
    <w:p>
      <w:pPr>
        <w:pStyle w:val="nzSubsection"/>
      </w:pPr>
      <w:r>
        <w:tab/>
      </w:r>
      <w:r>
        <w:tab/>
        <w:t>In section 114(a):</w:t>
      </w:r>
    </w:p>
    <w:p>
      <w:pPr>
        <w:pStyle w:val="nzIndenta"/>
      </w:pPr>
      <w:r>
        <w:tab/>
        <w:t>(a)</w:t>
      </w:r>
      <w:r>
        <w:tab/>
        <w:t xml:space="preserve">delete “the </w:t>
      </w:r>
      <w:r>
        <w:rPr>
          <w:i/>
          <w:iCs/>
        </w:rPr>
        <w:t>Road Traffic Act 1974</w:t>
      </w:r>
      <w:r>
        <w:t>” and insert:</w:t>
      </w:r>
    </w:p>
    <w:p>
      <w:pPr>
        <w:pStyle w:val="BlankOpen"/>
      </w:pPr>
    </w:p>
    <w:p>
      <w:pPr>
        <w:pStyle w:val="nzIndenta"/>
      </w:pPr>
      <w:r>
        <w:tab/>
      </w:r>
      <w:r>
        <w:tab/>
        <w:t xml:space="preserve">a road law as defined in the </w:t>
      </w:r>
      <w:r>
        <w:rPr>
          <w:i/>
          <w:iCs/>
        </w:rPr>
        <w:t>Road Traffic (Administration) Act 2008</w:t>
      </w:r>
      <w:r>
        <w:t xml:space="preserve"> section 4</w:t>
      </w:r>
    </w:p>
    <w:p>
      <w:pPr>
        <w:pStyle w:val="BlankClose"/>
      </w:pPr>
    </w:p>
    <w:p>
      <w:pPr>
        <w:pStyle w:val="nzIndenta"/>
      </w:pPr>
      <w:r>
        <w:tab/>
        <w:t>(b)</w:t>
      </w:r>
      <w:r>
        <w:tab/>
        <w:t>delete “that Act; or” and insert:</w:t>
      </w:r>
    </w:p>
    <w:p>
      <w:pPr>
        <w:pStyle w:val="BlankOpen"/>
      </w:pPr>
    </w:p>
    <w:p>
      <w:pPr>
        <w:pStyle w:val="nzIndenta"/>
      </w:pPr>
      <w:r>
        <w:tab/>
      </w:r>
      <w:r>
        <w:tab/>
        <w:t>a road law; or</w:t>
      </w:r>
    </w:p>
    <w:p>
      <w:pPr>
        <w:pStyle w:val="BlankClose"/>
      </w:pPr>
    </w:p>
    <w:p>
      <w:pPr>
        <w:pStyle w:val="BlankClose"/>
      </w:pPr>
    </w:p>
    <w:p>
      <w:pPr>
        <w:pStyle w:val="nSubsection"/>
        <w:spacing w:before="200"/>
        <w:rPr>
          <w:ins w:id="558" w:author="svcMRProcess" w:date="2018-08-21T14:08:00Z"/>
          <w:snapToGrid w:val="0"/>
        </w:rPr>
      </w:pPr>
      <w:ins w:id="559" w:author="svcMRProcess" w:date="2018-08-21T14:08:00Z">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Courts and Tribunals (Electronic Processes Facilitation) Act 2013 </w:t>
        </w:r>
        <w:r>
          <w:rPr>
            <w:snapToGrid w:val="0"/>
          </w:rPr>
          <w:t>Pt. 3 Div</w:t>
        </w:r>
        <w:r>
          <w:rPr>
            <w:i/>
            <w:snapToGrid w:val="0"/>
          </w:rPr>
          <w:t xml:space="preserve">. </w:t>
        </w:r>
        <w:r>
          <w:rPr>
            <w:snapToGrid w:val="0"/>
          </w:rPr>
          <w:t>3 had not come into operation.  It reads as follows:</w:t>
        </w:r>
      </w:ins>
    </w:p>
    <w:p>
      <w:pPr>
        <w:pStyle w:val="BlankOpen"/>
        <w:rPr>
          <w:ins w:id="560" w:author="svcMRProcess" w:date="2018-08-21T14:08:00Z"/>
          <w:snapToGrid w:val="0"/>
        </w:rPr>
      </w:pPr>
    </w:p>
    <w:p>
      <w:pPr>
        <w:pStyle w:val="nzHeading2"/>
        <w:rPr>
          <w:ins w:id="561" w:author="svcMRProcess" w:date="2018-08-21T14:08:00Z"/>
        </w:rPr>
      </w:pPr>
      <w:bookmarkStart w:id="562" w:name="_Toc363656365"/>
      <w:bookmarkStart w:id="563" w:name="_Toc363656559"/>
      <w:bookmarkStart w:id="564" w:name="_Toc363737819"/>
      <w:bookmarkStart w:id="565" w:name="_Toc363738723"/>
      <w:bookmarkStart w:id="566" w:name="_Toc363740119"/>
      <w:bookmarkStart w:id="567" w:name="_Toc363741208"/>
      <w:bookmarkStart w:id="568" w:name="_Toc370472798"/>
      <w:bookmarkStart w:id="569" w:name="_Toc370897503"/>
      <w:bookmarkStart w:id="570" w:name="_Toc371343320"/>
      <w:bookmarkStart w:id="571" w:name="UpToHere"/>
      <w:bookmarkStart w:id="572" w:name="_Toc363656383"/>
      <w:bookmarkStart w:id="573" w:name="_Toc363656577"/>
      <w:bookmarkStart w:id="574" w:name="_Toc363737837"/>
      <w:bookmarkStart w:id="575" w:name="_Toc363738741"/>
      <w:bookmarkStart w:id="576" w:name="_Toc363740137"/>
      <w:bookmarkStart w:id="577" w:name="_Toc363741226"/>
      <w:bookmarkStart w:id="578" w:name="_Toc370472816"/>
      <w:bookmarkStart w:id="579" w:name="_Toc370897521"/>
      <w:bookmarkStart w:id="580" w:name="_Toc371343338"/>
      <w:ins w:id="581" w:author="svcMRProcess" w:date="2018-08-21T14:08:00Z">
        <w:r>
          <w:rPr>
            <w:rStyle w:val="CharPartNo"/>
          </w:rPr>
          <w:t>Part 3</w:t>
        </w:r>
        <w:r>
          <w:t> — </w:t>
        </w:r>
        <w:r>
          <w:rPr>
            <w:rStyle w:val="CharPartText"/>
          </w:rPr>
          <w:t>Amendments to other Acts</w:t>
        </w:r>
        <w:bookmarkEnd w:id="562"/>
        <w:bookmarkEnd w:id="563"/>
        <w:bookmarkEnd w:id="564"/>
        <w:bookmarkEnd w:id="565"/>
        <w:bookmarkEnd w:id="566"/>
        <w:bookmarkEnd w:id="567"/>
        <w:bookmarkEnd w:id="568"/>
        <w:bookmarkEnd w:id="569"/>
        <w:bookmarkEnd w:id="570"/>
      </w:ins>
    </w:p>
    <w:bookmarkEnd w:id="571"/>
    <w:p>
      <w:pPr>
        <w:pStyle w:val="nzHeading3"/>
        <w:rPr>
          <w:ins w:id="582" w:author="svcMRProcess" w:date="2018-08-21T14:08:00Z"/>
          <w:rStyle w:val="CharDivText"/>
        </w:rPr>
      </w:pPr>
      <w:ins w:id="583" w:author="svcMRProcess" w:date="2018-08-21T14:08:00Z">
        <w:r>
          <w:rPr>
            <w:rStyle w:val="CharDivNo"/>
          </w:rPr>
          <w:t>Division 3</w:t>
        </w:r>
        <w:r>
          <w:t> — </w:t>
        </w:r>
        <w:r>
          <w:rPr>
            <w:rStyle w:val="CharDivText"/>
            <w:i/>
          </w:rPr>
          <w:t>Civil Judgments Enforcement Act 2004</w:t>
        </w:r>
        <w:r>
          <w:rPr>
            <w:rStyle w:val="CharDivText"/>
          </w:rPr>
          <w:t xml:space="preserve"> amended</w:t>
        </w:r>
        <w:bookmarkEnd w:id="572"/>
        <w:bookmarkEnd w:id="573"/>
        <w:bookmarkEnd w:id="574"/>
        <w:bookmarkEnd w:id="575"/>
        <w:bookmarkEnd w:id="576"/>
        <w:bookmarkEnd w:id="577"/>
        <w:bookmarkEnd w:id="578"/>
        <w:bookmarkEnd w:id="579"/>
        <w:bookmarkEnd w:id="580"/>
      </w:ins>
    </w:p>
    <w:p>
      <w:pPr>
        <w:pStyle w:val="nzHeading5"/>
        <w:rPr>
          <w:ins w:id="584" w:author="svcMRProcess" w:date="2018-08-21T14:08:00Z"/>
        </w:rPr>
      </w:pPr>
      <w:bookmarkStart w:id="585" w:name="_Toc370897522"/>
      <w:bookmarkStart w:id="586" w:name="_Toc371343339"/>
      <w:ins w:id="587" w:author="svcMRProcess" w:date="2018-08-21T14:08:00Z">
        <w:r>
          <w:rPr>
            <w:rStyle w:val="CharSectno"/>
          </w:rPr>
          <w:t>34</w:t>
        </w:r>
        <w:r>
          <w:t>.</w:t>
        </w:r>
        <w:r>
          <w:tab/>
          <w:t>Act amended</w:t>
        </w:r>
        <w:bookmarkEnd w:id="585"/>
        <w:bookmarkEnd w:id="586"/>
      </w:ins>
    </w:p>
    <w:p>
      <w:pPr>
        <w:pStyle w:val="nzSubsection"/>
        <w:rPr>
          <w:ins w:id="588" w:author="svcMRProcess" w:date="2018-08-21T14:08:00Z"/>
        </w:rPr>
      </w:pPr>
      <w:ins w:id="589" w:author="svcMRProcess" w:date="2018-08-21T14:08:00Z">
        <w:r>
          <w:tab/>
        </w:r>
        <w:r>
          <w:tab/>
          <w:t xml:space="preserve">This Division amends the </w:t>
        </w:r>
        <w:r>
          <w:rPr>
            <w:i/>
          </w:rPr>
          <w:t>Civil Judgments Enforcement Act 2004</w:t>
        </w:r>
        <w:r>
          <w:t>.</w:t>
        </w:r>
      </w:ins>
    </w:p>
    <w:p>
      <w:pPr>
        <w:pStyle w:val="nzHeading5"/>
        <w:rPr>
          <w:ins w:id="590" w:author="svcMRProcess" w:date="2018-08-21T14:08:00Z"/>
        </w:rPr>
      </w:pPr>
      <w:bookmarkStart w:id="591" w:name="_Toc370897523"/>
      <w:bookmarkStart w:id="592" w:name="_Toc371343340"/>
      <w:ins w:id="593" w:author="svcMRProcess" w:date="2018-08-21T14:08:00Z">
        <w:r>
          <w:rPr>
            <w:rStyle w:val="CharSectno"/>
          </w:rPr>
          <w:t>35</w:t>
        </w:r>
        <w:r>
          <w:t>.</w:t>
        </w:r>
        <w:r>
          <w:tab/>
          <w:t>Section 6A inserted</w:t>
        </w:r>
        <w:bookmarkEnd w:id="591"/>
        <w:bookmarkEnd w:id="592"/>
      </w:ins>
    </w:p>
    <w:p>
      <w:pPr>
        <w:pStyle w:val="nzSubsection"/>
        <w:rPr>
          <w:ins w:id="594" w:author="svcMRProcess" w:date="2018-08-21T14:08:00Z"/>
        </w:rPr>
      </w:pPr>
      <w:ins w:id="595" w:author="svcMRProcess" w:date="2018-08-21T14:08:00Z">
        <w:r>
          <w:tab/>
        </w:r>
        <w:r>
          <w:tab/>
          <w:t>After section 5 insert:</w:t>
        </w:r>
      </w:ins>
    </w:p>
    <w:p>
      <w:pPr>
        <w:pStyle w:val="BlankOpen"/>
        <w:rPr>
          <w:ins w:id="596" w:author="svcMRProcess" w:date="2018-08-21T14:08:00Z"/>
        </w:rPr>
      </w:pPr>
    </w:p>
    <w:p>
      <w:pPr>
        <w:pStyle w:val="zHeading5"/>
        <w:rPr>
          <w:ins w:id="597" w:author="svcMRProcess" w:date="2018-08-21T14:08:00Z"/>
        </w:rPr>
      </w:pPr>
      <w:bookmarkStart w:id="598" w:name="_Toc370897524"/>
      <w:bookmarkStart w:id="599" w:name="_Toc371343341"/>
      <w:ins w:id="600" w:author="svcMRProcess" w:date="2018-08-21T14:08:00Z">
        <w:r>
          <w:t>6A.</w:t>
        </w:r>
        <w:r>
          <w:tab/>
        </w:r>
        <w:r>
          <w:rPr>
            <w:i/>
          </w:rPr>
          <w:t>Courts and Tribunals (Electronic Processes Facilitation) Act 2013</w:t>
        </w:r>
        <w:r>
          <w:t xml:space="preserve"> Part 2 applies</w:t>
        </w:r>
        <w:bookmarkEnd w:id="598"/>
        <w:bookmarkEnd w:id="599"/>
      </w:ins>
    </w:p>
    <w:p>
      <w:pPr>
        <w:pStyle w:val="zSubsection"/>
        <w:rPr>
          <w:ins w:id="601" w:author="svcMRProcess" w:date="2018-08-21T14:08:00Z"/>
        </w:rPr>
      </w:pPr>
      <w:ins w:id="602" w:author="svcMRProcess" w:date="2018-08-21T14:08:00Z">
        <w:r>
          <w:tab/>
        </w:r>
        <w:r>
          <w:tab/>
          <w:t xml:space="preserve">The </w:t>
        </w:r>
        <w:r>
          <w:rPr>
            <w:i/>
          </w:rPr>
          <w:t>Courts and Tribunals (Electronic Processes Facilitation) Act 2013</w:t>
        </w:r>
        <w:r>
          <w:t xml:space="preserve"> Part 2 applies to this Act.</w:t>
        </w:r>
      </w:ins>
    </w:p>
    <w:p>
      <w:pPr>
        <w:pStyle w:val="BlankClose"/>
        <w:rPr>
          <w:ins w:id="603" w:author="svcMRProcess" w:date="2018-08-21T14:08:00Z"/>
        </w:rPr>
      </w:pPr>
    </w:p>
    <w:p>
      <w:pPr>
        <w:pStyle w:val="BlankOpen"/>
        <w:rPr>
          <w:ins w:id="604" w:author="svcMRProcess" w:date="2018-08-21T14:08:00Z"/>
          <w:snapToGrid w:val="0"/>
        </w:rPr>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8E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FE35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CA3F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D689A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24A8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5868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76AC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8EAB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7C7B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F6AE7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B1D85E2E"/>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2FF52EB"/>
    <w:multiLevelType w:val="multilevel"/>
    <w:tmpl w:val="EEE09222"/>
    <w:name w:val="DefinitionNumbers"/>
    <w:lvl w:ilvl="0">
      <w:start w:val="1"/>
      <w:numFmt w:val="decimal"/>
      <w:pStyle w:val="DefinitionNumbers"/>
      <w:lvlText w:val=""/>
      <w:lvlJc w:val="left"/>
      <w:pPr>
        <w:tabs>
          <w:tab w:val="left" w:pos="0"/>
        </w:tabs>
        <w:ind w:left="0"/>
      </w:pPr>
      <w:rPr>
        <w:rFonts w:hint="default"/>
      </w:rPr>
    </w:lvl>
    <w:lvl w:ilvl="1">
      <w:start w:val="1"/>
      <w:numFmt w:val="decimal"/>
      <w:lvlText w:val=""/>
      <w:lvlJc w:val="left"/>
      <w:pPr>
        <w:tabs>
          <w:tab w:val="left" w:pos="0"/>
        </w:tabs>
        <w:ind w:left="0"/>
      </w:pPr>
      <w:rPr>
        <w:rFonts w:hint="default"/>
      </w:rPr>
    </w:lvl>
    <w:lvl w:ilvl="2">
      <w:start w:val="1"/>
      <w:numFmt w:val="decimal"/>
      <w:lvlText w:val="(%3)"/>
      <w:lvlJc w:val="left"/>
      <w:pPr>
        <w:tabs>
          <w:tab w:val="left" w:pos="0"/>
        </w:tabs>
        <w:ind w:left="0"/>
      </w:pPr>
      <w:rPr>
        <w:rFonts w:hint="default"/>
      </w:rPr>
    </w:lvl>
    <w:lvl w:ilvl="3">
      <w:start w:val="1"/>
      <w:numFmt w:val="decimal"/>
      <w:lvlText w:val="(%4)"/>
      <w:lvlJc w:val="left"/>
      <w:pPr>
        <w:tabs>
          <w:tab w:val="left" w:pos="0"/>
        </w:tabs>
        <w:ind w:left="0"/>
      </w:pPr>
      <w:rPr>
        <w:rFonts w:hint="default"/>
      </w:rPr>
    </w:lvl>
    <w:lvl w:ilvl="4">
      <w:start w:val="1"/>
      <w:numFmt w:val="decimal"/>
      <w:lvlText w:val="(%5)"/>
      <w:lvlJc w:val="left"/>
      <w:pPr>
        <w:tabs>
          <w:tab w:val="left" w:pos="0"/>
        </w:tabs>
        <w:ind w:left="0"/>
      </w:pPr>
      <w:rPr>
        <w:rFonts w:hint="default"/>
      </w:rPr>
    </w:lvl>
    <w:lvl w:ilvl="5">
      <w:start w:val="1"/>
      <w:numFmt w:val="decimal"/>
      <w:lvlText w:val=""/>
      <w:lvlJc w:val="left"/>
      <w:pPr>
        <w:tabs>
          <w:tab w:val="left" w:pos="0"/>
        </w:tabs>
        <w:ind w:left="0"/>
      </w:pPr>
      <w:rPr>
        <w:rFonts w:hint="default"/>
      </w:rPr>
    </w:lvl>
    <w:lvl w:ilvl="6">
      <w:start w:val="1"/>
      <w:numFmt w:val="decimal"/>
      <w:lvlText w:val=""/>
      <w:lvlJc w:val="left"/>
      <w:pPr>
        <w:tabs>
          <w:tab w:val="left" w:pos="0"/>
        </w:tabs>
        <w:ind w:left="0"/>
      </w:pPr>
      <w:rPr>
        <w:rFonts w:hint="default"/>
      </w:rPr>
    </w:lvl>
    <w:lvl w:ilvl="7">
      <w:start w:val="1"/>
      <w:numFmt w:val="decimal"/>
      <w:lvlText w:val=""/>
      <w:lvlJc w:val="left"/>
      <w:pPr>
        <w:tabs>
          <w:tab w:val="left" w:pos="0"/>
        </w:tabs>
        <w:ind w:left="0"/>
      </w:pPr>
      <w:rPr>
        <w:rFonts w:hint="default"/>
      </w:rPr>
    </w:lvl>
    <w:lvl w:ilvl="8">
      <w:start w:val="1"/>
      <w:numFmt w:val="decimal"/>
      <w:lvlText w:val=""/>
      <w:lvlJc w:val="left"/>
      <w:pPr>
        <w:tabs>
          <w:tab w:val="left" w:pos="0"/>
        </w:tabs>
        <w:ind w:left="0"/>
      </w:pPr>
      <w:rPr>
        <w:rFonts w:hint="default"/>
      </w:rPr>
    </w:lvl>
  </w:abstractNum>
  <w:abstractNum w:abstractNumId="14">
    <w:nsid w:val="2A6C2C33"/>
    <w:multiLevelType w:val="multilevel"/>
    <w:tmpl w:val="A29477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6">
    <w:nsid w:val="3C2808C0"/>
    <w:multiLevelType w:val="singleLevel"/>
    <w:tmpl w:val="304A052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2">
    <w:nsid w:val="7AB12928"/>
    <w:multiLevelType w:val="multilevel"/>
    <w:tmpl w:val="4B987CF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3">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4"/>
  </w:num>
  <w:num w:numId="14">
    <w:abstractNumId w:val="16"/>
  </w:num>
  <w:num w:numId="15">
    <w:abstractNumId w:val="11"/>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18"/>
  </w:num>
  <w:num w:numId="29">
    <w:abstractNumId w:val="13"/>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6"/>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29"/>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pPr>
  </w:style>
  <w:style w:type="paragraph" w:styleId="ListBullet3">
    <w:name w:val="List Bullet 3"/>
    <w:basedOn w:val="Normal"/>
    <w:autoRedefine/>
    <w:pPr>
      <w:numPr>
        <w:numId w:val="32"/>
      </w:numPr>
    </w:pPr>
  </w:style>
  <w:style w:type="paragraph" w:styleId="ListBullet4">
    <w:name w:val="List Bullet 4"/>
    <w:basedOn w:val="Normal"/>
    <w:autoRedefine/>
    <w:pPr>
      <w:numPr>
        <w:numId w:val="33"/>
      </w:numPr>
    </w:pPr>
  </w:style>
  <w:style w:type="paragraph" w:styleId="ListBullet5">
    <w:name w:val="List Bullet 5"/>
    <w:basedOn w:val="Normal"/>
    <w:autoRedefine/>
    <w:pPr>
      <w:numPr>
        <w:numId w:val="3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pPr>
  </w:style>
  <w:style w:type="paragraph" w:styleId="ListNumber3">
    <w:name w:val="List Number 3"/>
    <w:basedOn w:val="Normal"/>
    <w:pPr>
      <w:numPr>
        <w:numId w:val="37"/>
      </w:numPr>
    </w:pPr>
  </w:style>
  <w:style w:type="paragraph" w:styleId="ListNumber4">
    <w:name w:val="List Number 4"/>
    <w:basedOn w:val="Normal"/>
    <w:pPr>
      <w:numPr>
        <w:numId w:val="38"/>
      </w:numPr>
    </w:pPr>
  </w:style>
  <w:style w:type="paragraph" w:styleId="ListNumber5">
    <w:name w:val="List Number 5"/>
    <w:basedOn w:val="Normal"/>
    <w:pPr>
      <w:numPr>
        <w:numId w:val="3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paragraph" w:customStyle="1" w:styleId="Page1">
    <w:name w:val="Page1"/>
    <w:basedOn w:val="Normal"/>
    <w:pPr>
      <w:spacing w:before="5103"/>
    </w:pPr>
    <w:rPr>
      <w:b/>
      <w:sz w:val="34"/>
    </w:rPr>
  </w:style>
  <w:style w:type="character" w:customStyle="1" w:styleId="CharSectno">
    <w:name w:val="CharSectno"/>
    <w:rPr>
      <w:noProof w:val="0"/>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EquationCaption">
    <w:name w:val="_Equation Caption"/>
    <w:rPr>
      <w:rFonts w:ascii="Times New Roman" w:hAnsi="Times New Roman"/>
      <w:noProof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29"/>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0"/>
      </w:numPr>
    </w:pPr>
  </w:style>
  <w:style w:type="paragraph" w:styleId="ListBullet2">
    <w:name w:val="List Bullet 2"/>
    <w:basedOn w:val="Normal"/>
    <w:autoRedefine/>
    <w:pPr>
      <w:numPr>
        <w:numId w:val="31"/>
      </w:numPr>
    </w:pPr>
  </w:style>
  <w:style w:type="paragraph" w:styleId="ListBullet3">
    <w:name w:val="List Bullet 3"/>
    <w:basedOn w:val="Normal"/>
    <w:autoRedefine/>
    <w:pPr>
      <w:numPr>
        <w:numId w:val="32"/>
      </w:numPr>
    </w:pPr>
  </w:style>
  <w:style w:type="paragraph" w:styleId="ListBullet4">
    <w:name w:val="List Bullet 4"/>
    <w:basedOn w:val="Normal"/>
    <w:autoRedefine/>
    <w:pPr>
      <w:numPr>
        <w:numId w:val="33"/>
      </w:numPr>
    </w:pPr>
  </w:style>
  <w:style w:type="paragraph" w:styleId="ListBullet5">
    <w:name w:val="List Bullet 5"/>
    <w:basedOn w:val="Normal"/>
    <w:autoRedefine/>
    <w:pPr>
      <w:numPr>
        <w:numId w:val="3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5"/>
      </w:numPr>
    </w:pPr>
  </w:style>
  <w:style w:type="paragraph" w:styleId="ListNumber2">
    <w:name w:val="List Number 2"/>
    <w:basedOn w:val="Normal"/>
    <w:pPr>
      <w:numPr>
        <w:numId w:val="36"/>
      </w:numPr>
    </w:pPr>
  </w:style>
  <w:style w:type="paragraph" w:styleId="ListNumber3">
    <w:name w:val="List Number 3"/>
    <w:basedOn w:val="Normal"/>
    <w:pPr>
      <w:numPr>
        <w:numId w:val="37"/>
      </w:numPr>
    </w:pPr>
  </w:style>
  <w:style w:type="paragraph" w:styleId="ListNumber4">
    <w:name w:val="List Number 4"/>
    <w:basedOn w:val="Normal"/>
    <w:pPr>
      <w:numPr>
        <w:numId w:val="38"/>
      </w:numPr>
    </w:pPr>
  </w:style>
  <w:style w:type="paragraph" w:styleId="ListNumber5">
    <w:name w:val="List Number 5"/>
    <w:basedOn w:val="Normal"/>
    <w:pPr>
      <w:numPr>
        <w:numId w:val="39"/>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0"/>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23622</Words>
  <Characters>109608</Characters>
  <Application>Microsoft Office Word</Application>
  <DocSecurity>0</DocSecurity>
  <Lines>2884</Lines>
  <Paragraphs>1624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131606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02-a0-00 - 02-b0-00</dc:title>
  <dc:subject/>
  <dc:creator/>
  <cp:keywords/>
  <dc:description/>
  <cp:lastModifiedBy>svcMRProcess</cp:lastModifiedBy>
  <cp:revision>2</cp:revision>
  <cp:lastPrinted>2013-06-06T02:28:00Z</cp:lastPrinted>
  <dcterms:created xsi:type="dcterms:W3CDTF">2018-08-21T06:08:00Z</dcterms:created>
  <dcterms:modified xsi:type="dcterms:W3CDTF">2018-08-21T06:08:00Z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20131104</vt:lpwstr>
  </property>
  <property fmtid="{D5CDD505-2E9C-101B-9397-08002B2CF9AE}" pid="4" name="DocumentType">
    <vt:lpwstr>Act</vt:lpwstr>
  </property>
  <property fmtid="{D5CDD505-2E9C-101B-9397-08002B2CF9AE}" pid="5" name="OwlsUID">
    <vt:i4>9237</vt:i4>
  </property>
  <property fmtid="{D5CDD505-2E9C-101B-9397-08002B2CF9AE}" pid="6" name="ReprintNo">
    <vt:lpwstr>2</vt:lpwstr>
  </property>
  <property fmtid="{D5CDD505-2E9C-101B-9397-08002B2CF9AE}" pid="7" name="ReprintedAsAt">
    <vt:filetime>2013-05-23T16:00:00Z</vt:filetime>
  </property>
  <property fmtid="{D5CDD505-2E9C-101B-9397-08002B2CF9AE}" pid="8" name="FromSuffix">
    <vt:lpwstr>02-a0-00</vt:lpwstr>
  </property>
  <property fmtid="{D5CDD505-2E9C-101B-9397-08002B2CF9AE}" pid="9" name="FromAsAtDate">
    <vt:lpwstr>24 May 2013</vt:lpwstr>
  </property>
  <property fmtid="{D5CDD505-2E9C-101B-9397-08002B2CF9AE}" pid="10" name="ToSuffix">
    <vt:lpwstr>02-b0-00</vt:lpwstr>
  </property>
  <property fmtid="{D5CDD505-2E9C-101B-9397-08002B2CF9AE}" pid="11" name="ToAsAtDate">
    <vt:lpwstr>04 Nov 2013</vt:lpwstr>
  </property>
</Properties>
</file>