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Aug 2013</w:t>
      </w:r>
      <w:r>
        <w:fldChar w:fldCharType="end"/>
      </w:r>
      <w:r>
        <w:t xml:space="preserve">, </w:t>
      </w:r>
      <w:r>
        <w:fldChar w:fldCharType="begin"/>
      </w:r>
      <w:r>
        <w:instrText xml:space="preserve"> DocProperty FromSuffix </w:instrText>
      </w:r>
      <w:r>
        <w:fldChar w:fldCharType="separate"/>
      </w:r>
      <w:r>
        <w:t>03-g0-04</w:t>
      </w:r>
      <w:r>
        <w:fldChar w:fldCharType="end"/>
      </w:r>
      <w:r>
        <w:t>] and [</w:t>
      </w:r>
      <w:r>
        <w:fldChar w:fldCharType="begin"/>
      </w:r>
      <w:r>
        <w:instrText xml:space="preserve"> DocProperty ToAsAtDate</w:instrText>
      </w:r>
      <w:r>
        <w:fldChar w:fldCharType="separate"/>
      </w:r>
      <w:r>
        <w:t>10 Jan 2014</w:t>
      </w:r>
      <w:r>
        <w:fldChar w:fldCharType="end"/>
      </w:r>
      <w:r>
        <w:t xml:space="preserve">, </w:t>
      </w:r>
      <w:r>
        <w:fldChar w:fldCharType="begin"/>
      </w:r>
      <w:r>
        <w:instrText xml:space="preserve"> DocProperty ToSuffix</w:instrText>
      </w:r>
      <w:r>
        <w:fldChar w:fldCharType="separate"/>
      </w:r>
      <w:r>
        <w:t>04-a0-05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3T16:32:00Z"/>
        </w:trPr>
        <w:tc>
          <w:tcPr>
            <w:tcW w:w="2434" w:type="dxa"/>
            <w:vMerge w:val="restart"/>
          </w:tcPr>
          <w:p>
            <w:pPr>
              <w:rPr>
                <w:ins w:id="2" w:author="svcMRProcess" w:date="2018-09-03T16:32:00Z"/>
              </w:rPr>
            </w:pPr>
          </w:p>
        </w:tc>
        <w:tc>
          <w:tcPr>
            <w:tcW w:w="2434" w:type="dxa"/>
            <w:vMerge w:val="restart"/>
          </w:tcPr>
          <w:p>
            <w:pPr>
              <w:jc w:val="center"/>
              <w:rPr>
                <w:ins w:id="3" w:author="svcMRProcess" w:date="2018-09-03T16:32:00Z"/>
              </w:rPr>
            </w:pPr>
            <w:ins w:id="4" w:author="svcMRProcess" w:date="2018-09-03T16: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3T16:32:00Z"/>
              </w:rPr>
            </w:pPr>
            <w:ins w:id="6" w:author="svcMRProcess" w:date="2018-09-03T16:32:00Z">
              <w:r>
                <w:rPr>
                  <w:b/>
                  <w:sz w:val="22"/>
                </w:rPr>
                <w:t xml:space="preserve">Reprinted under the </w:t>
              </w:r>
              <w:r>
                <w:rPr>
                  <w:b/>
                  <w:i/>
                  <w:sz w:val="22"/>
                </w:rPr>
                <w:t>Reprints Act 1984</w:t>
              </w:r>
              <w:r>
                <w:rPr>
                  <w:b/>
                  <w:sz w:val="22"/>
                </w:rPr>
                <w:t xml:space="preserve"> as</w:t>
              </w:r>
            </w:ins>
          </w:p>
        </w:tc>
      </w:tr>
      <w:tr>
        <w:trPr>
          <w:cantSplit/>
          <w:ins w:id="7" w:author="svcMRProcess" w:date="2018-09-03T16:32:00Z"/>
        </w:trPr>
        <w:tc>
          <w:tcPr>
            <w:tcW w:w="2434" w:type="dxa"/>
            <w:vMerge/>
          </w:tcPr>
          <w:p>
            <w:pPr>
              <w:rPr>
                <w:ins w:id="8" w:author="svcMRProcess" w:date="2018-09-03T16:32:00Z"/>
              </w:rPr>
            </w:pPr>
          </w:p>
        </w:tc>
        <w:tc>
          <w:tcPr>
            <w:tcW w:w="2434" w:type="dxa"/>
            <w:vMerge/>
          </w:tcPr>
          <w:p>
            <w:pPr>
              <w:jc w:val="center"/>
              <w:rPr>
                <w:ins w:id="9" w:author="svcMRProcess" w:date="2018-09-03T16:32:00Z"/>
              </w:rPr>
            </w:pPr>
          </w:p>
        </w:tc>
        <w:tc>
          <w:tcPr>
            <w:tcW w:w="2434" w:type="dxa"/>
          </w:tcPr>
          <w:p>
            <w:pPr>
              <w:keepNext/>
              <w:rPr>
                <w:ins w:id="10" w:author="svcMRProcess" w:date="2018-09-03T16:32:00Z"/>
                <w:b/>
                <w:sz w:val="22"/>
              </w:rPr>
            </w:pPr>
            <w:ins w:id="11" w:author="svcMRProcess" w:date="2018-09-03T16:32:00Z">
              <w:r>
                <w:rPr>
                  <w:b/>
                  <w:sz w:val="22"/>
                </w:rPr>
                <w:t>at 10 January 2014</w:t>
              </w:r>
            </w:ins>
          </w:p>
        </w:tc>
      </w:tr>
    </w:tbl>
    <w:p>
      <w:pPr>
        <w:pStyle w:val="WA"/>
        <w:spacing w:before="12"/>
      </w:pPr>
      <w:r>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 </w:t>
      </w:r>
    </w:p>
    <w:p>
      <w:pPr>
        <w:pStyle w:val="LongTitle"/>
        <w:spacing w:before="240"/>
        <w:rPr>
          <w:snapToGrid w:val="0"/>
        </w:rPr>
      </w:pPr>
      <w:r>
        <w:rPr>
          <w:snapToGrid w:val="0"/>
        </w:rPr>
        <w:t>A</w:t>
      </w:r>
      <w:bookmarkStart w:id="12" w:name="_GoBack"/>
      <w:bookmarkEnd w:id="12"/>
      <w:r>
        <w:rPr>
          <w:snapToGrid w:val="0"/>
        </w:rPr>
        <w:t xml:space="preserve">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13" w:name="_Toc381880215"/>
      <w:bookmarkStart w:id="14" w:name="_Toc381880316"/>
      <w:bookmarkStart w:id="15" w:name="_Toc381881036"/>
      <w:bookmarkStart w:id="16" w:name="_Toc419713675"/>
      <w:bookmarkStart w:id="17" w:name="_Toc419713775"/>
      <w:bookmarkStart w:id="18" w:name="_Toc426464921"/>
      <w:bookmarkStart w:id="19" w:name="_Toc377550459"/>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r>
        <w:rPr>
          <w:rStyle w:val="CharPartText"/>
        </w:rPr>
        <w:t xml:space="preserve"> </w:t>
      </w:r>
    </w:p>
    <w:p>
      <w:pPr>
        <w:pStyle w:val="Heading5"/>
        <w:spacing w:before="180"/>
        <w:rPr>
          <w:snapToGrid w:val="0"/>
        </w:rPr>
      </w:pPr>
      <w:bookmarkStart w:id="20" w:name="_Toc381881037"/>
      <w:bookmarkStart w:id="21" w:name="_Toc426464922"/>
      <w:bookmarkStart w:id="22" w:name="_Toc377550460"/>
      <w:r>
        <w:rPr>
          <w:rStyle w:val="CharSectno"/>
        </w:rPr>
        <w:t>1</w:t>
      </w:r>
      <w:r>
        <w:rPr>
          <w:snapToGrid w:val="0"/>
        </w:rPr>
        <w:t>.</w:t>
      </w:r>
      <w:r>
        <w:rPr>
          <w:snapToGrid w:val="0"/>
        </w:rPr>
        <w:tab/>
        <w:t>Short title</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23" w:name="_Toc381881038"/>
      <w:bookmarkStart w:id="24" w:name="_Toc426464923"/>
      <w:bookmarkStart w:id="25" w:name="_Toc377550461"/>
      <w:r>
        <w:rPr>
          <w:rStyle w:val="CharSectno"/>
        </w:rPr>
        <w:t>2</w:t>
      </w:r>
      <w:r>
        <w:rPr>
          <w:snapToGrid w:val="0"/>
        </w:rPr>
        <w:t>.</w:t>
      </w:r>
      <w:r>
        <w:rPr>
          <w:snapToGrid w:val="0"/>
        </w:rPr>
        <w:tab/>
        <w:t>Commencement</w:t>
      </w:r>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6" w:name="_Toc381881039"/>
      <w:bookmarkStart w:id="27" w:name="_Toc426464924"/>
      <w:bookmarkStart w:id="28" w:name="_Toc377550462"/>
      <w:r>
        <w:rPr>
          <w:rStyle w:val="CharSectno"/>
        </w:rPr>
        <w:t>3</w:t>
      </w:r>
      <w:r>
        <w:rPr>
          <w:snapToGrid w:val="0"/>
        </w:rPr>
        <w:t>.</w:t>
      </w:r>
      <w:r>
        <w:rPr>
          <w:snapToGrid w:val="0"/>
        </w:rPr>
        <w:tab/>
        <w:t>Terms used</w:t>
      </w:r>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lastRenderedPageBreak/>
        <w:tab/>
      </w:r>
      <w:r>
        <w:rPr>
          <w:rStyle w:val="CharDefText"/>
        </w:rPr>
        <w:t>community organisation</w:t>
      </w:r>
      <w:r>
        <w:t xml:space="preserve"> means — </w:t>
      </w:r>
    </w:p>
    <w:p>
      <w:pPr>
        <w:pStyle w:val="Defpara"/>
        <w:spacing w:before="70"/>
      </w:pPr>
      <w:r>
        <w:tab/>
        <w:t>(a)</w:t>
      </w:r>
      <w:r>
        <w:tab/>
        <w:t xml:space="preserve">an association incorporated under the </w:t>
      </w:r>
      <w:r>
        <w:rPr>
          <w:i/>
        </w:rPr>
        <w:t>Associations Incorporation Act 1987</w:t>
      </w:r>
      <w:r>
        <w:t>; or</w:t>
      </w:r>
    </w:p>
    <w:p>
      <w:pPr>
        <w:pStyle w:val="Defpara"/>
        <w:spacing w:before="70"/>
      </w:pPr>
      <w:r>
        <w:tab/>
        <w:t>(b)</w:t>
      </w:r>
      <w:r>
        <w:tab/>
        <w:t xml:space="preserve">a company limited by guarantee that is registered under section 150 of the </w:t>
      </w:r>
      <w:r>
        <w:rPr>
          <w:i/>
        </w:rPr>
        <w:t>Corporations Act 2001</w:t>
      </w:r>
      <w:r>
        <w:t xml:space="preserve"> of the Commonwealth; or</w:t>
      </w:r>
    </w:p>
    <w:p>
      <w:pPr>
        <w:pStyle w:val="Defpara"/>
        <w:spacing w:before="70"/>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del w:id="29" w:author="svcMRProcess" w:date="2018-09-03T16:32:00Z">
        <w:r>
          <w:rPr>
            <w:vertAlign w:val="superscript"/>
          </w:rPr>
          <w:delText> </w:delText>
        </w:r>
      </w:del>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spacing w:before="70"/>
      </w:pPr>
      <w:r>
        <w:tab/>
        <w:t>(a)</w:t>
      </w:r>
      <w:r>
        <w:tab/>
        <w:t>a department of the Public Service; or</w:t>
      </w:r>
    </w:p>
    <w:p>
      <w:pPr>
        <w:pStyle w:val="Defpara"/>
        <w:spacing w:before="70"/>
      </w:pPr>
      <w:r>
        <w:tab/>
        <w:t>(b)</w:t>
      </w:r>
      <w:r>
        <w:tab/>
        <w:t>an agency, authority or instrumentality of the Crown in right of the State; or</w:t>
      </w:r>
    </w:p>
    <w:p>
      <w:pPr>
        <w:pStyle w:val="Defpara"/>
        <w:spacing w:before="70"/>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30" w:name="_Toc381881040"/>
      <w:bookmarkStart w:id="31" w:name="_Toc426464925"/>
      <w:bookmarkStart w:id="32" w:name="_Toc377550463"/>
      <w:r>
        <w:rPr>
          <w:rStyle w:val="CharSectno"/>
        </w:rPr>
        <w:t>3A</w:t>
      </w:r>
      <w:r>
        <w:t>.</w:t>
      </w:r>
      <w:r>
        <w:tab/>
        <w:t>Eligible community organisations</w:t>
      </w:r>
      <w:bookmarkEnd w:id="30"/>
      <w:bookmarkEnd w:id="31"/>
      <w:bookmarkEnd w:id="32"/>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33" w:name="_Toc381880220"/>
      <w:bookmarkStart w:id="34" w:name="_Toc381880321"/>
      <w:bookmarkStart w:id="35" w:name="_Toc381881041"/>
      <w:bookmarkStart w:id="36" w:name="_Toc419713680"/>
      <w:bookmarkStart w:id="37" w:name="_Toc419713780"/>
      <w:bookmarkStart w:id="38" w:name="_Toc426464926"/>
      <w:bookmarkStart w:id="39" w:name="_Toc377550464"/>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33"/>
      <w:bookmarkEnd w:id="34"/>
      <w:bookmarkEnd w:id="35"/>
      <w:bookmarkEnd w:id="36"/>
      <w:bookmarkEnd w:id="37"/>
      <w:bookmarkEnd w:id="38"/>
      <w:bookmarkEnd w:id="39"/>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40" w:name="_Toc381880221"/>
      <w:bookmarkStart w:id="41" w:name="_Toc381880322"/>
      <w:bookmarkStart w:id="42" w:name="_Toc381881042"/>
      <w:bookmarkStart w:id="43" w:name="_Toc419713681"/>
      <w:bookmarkStart w:id="44" w:name="_Toc419713781"/>
      <w:bookmarkStart w:id="45" w:name="_Toc426464927"/>
      <w:bookmarkStart w:id="46" w:name="_Toc377550465"/>
      <w:r>
        <w:rPr>
          <w:rStyle w:val="CharDivNo"/>
        </w:rPr>
        <w:t>Division 1</w:t>
      </w:r>
      <w:r>
        <w:rPr>
          <w:snapToGrid w:val="0"/>
        </w:rPr>
        <w:t> — </w:t>
      </w:r>
      <w:r>
        <w:rPr>
          <w:rStyle w:val="CharDivText"/>
        </w:rPr>
        <w:t>The Commission and the board of commissioners</w:t>
      </w:r>
      <w:bookmarkEnd w:id="40"/>
      <w:bookmarkEnd w:id="41"/>
      <w:bookmarkEnd w:id="42"/>
      <w:bookmarkEnd w:id="43"/>
      <w:bookmarkEnd w:id="44"/>
      <w:bookmarkEnd w:id="45"/>
      <w:bookmarkEnd w:id="46"/>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47" w:name="_Toc381881043"/>
      <w:bookmarkStart w:id="48" w:name="_Toc426464928"/>
      <w:bookmarkStart w:id="49" w:name="_Toc377550466"/>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50" w:name="_Toc381881044"/>
      <w:bookmarkStart w:id="51" w:name="_Toc426464929"/>
      <w:bookmarkStart w:id="52" w:name="_Toc377550467"/>
      <w:r>
        <w:rPr>
          <w:rStyle w:val="CharSectno"/>
        </w:rPr>
        <w:t>4A</w:t>
      </w:r>
      <w:r>
        <w:rPr>
          <w:snapToGrid w:val="0"/>
        </w:rPr>
        <w:t>.</w:t>
      </w:r>
      <w:r>
        <w:rPr>
          <w:snapToGrid w:val="0"/>
        </w:rPr>
        <w:tab/>
        <w:t>Agent of Crown</w:t>
      </w:r>
      <w:bookmarkEnd w:id="50"/>
      <w:bookmarkEnd w:id="51"/>
      <w:bookmarkEnd w:id="52"/>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53" w:name="_Toc381881045"/>
      <w:bookmarkStart w:id="54" w:name="_Toc426464930"/>
      <w:bookmarkStart w:id="55" w:name="_Toc377550468"/>
      <w:r>
        <w:rPr>
          <w:rStyle w:val="CharSectno"/>
        </w:rPr>
        <w:t>5</w:t>
      </w:r>
      <w:r>
        <w:rPr>
          <w:snapToGrid w:val="0"/>
        </w:rPr>
        <w:t>.</w:t>
      </w:r>
      <w:r>
        <w:rPr>
          <w:snapToGrid w:val="0"/>
        </w:rPr>
        <w:tab/>
        <w:t>Board of commissioners</w:t>
      </w:r>
      <w:bookmarkEnd w:id="53"/>
      <w:bookmarkEnd w:id="54"/>
      <w:bookmarkEnd w:id="55"/>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56" w:name="_Toc381880225"/>
      <w:bookmarkStart w:id="57" w:name="_Toc381880326"/>
      <w:bookmarkStart w:id="58" w:name="_Toc381881046"/>
      <w:bookmarkStart w:id="59" w:name="_Toc419713685"/>
      <w:bookmarkStart w:id="60" w:name="_Toc419713785"/>
      <w:bookmarkStart w:id="61" w:name="_Toc426464931"/>
      <w:bookmarkStart w:id="62" w:name="_Toc377550469"/>
      <w:r>
        <w:rPr>
          <w:rStyle w:val="CharDivNo"/>
        </w:rPr>
        <w:t>Division 2</w:t>
      </w:r>
      <w:r>
        <w:rPr>
          <w:snapToGrid w:val="0"/>
        </w:rPr>
        <w:t> — </w:t>
      </w:r>
      <w:r>
        <w:rPr>
          <w:rStyle w:val="CharDivText"/>
        </w:rPr>
        <w:t>Functions and powers of the Commission</w:t>
      </w:r>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381881047"/>
      <w:bookmarkStart w:id="64" w:name="_Toc426464932"/>
      <w:bookmarkStart w:id="65" w:name="_Toc377550470"/>
      <w:r>
        <w:rPr>
          <w:rStyle w:val="CharSectno"/>
        </w:rPr>
        <w:t>6</w:t>
      </w:r>
      <w:r>
        <w:rPr>
          <w:snapToGrid w:val="0"/>
        </w:rPr>
        <w:t>.</w:t>
      </w:r>
      <w:r>
        <w:rPr>
          <w:snapToGrid w:val="0"/>
        </w:rPr>
        <w:tab/>
        <w:t>Functions</w:t>
      </w:r>
      <w:bookmarkEnd w:id="63"/>
      <w:bookmarkEnd w:id="64"/>
      <w:bookmarkEnd w:id="65"/>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66" w:name="_Toc381881048"/>
      <w:bookmarkStart w:id="67" w:name="_Toc426464933"/>
      <w:bookmarkStart w:id="68" w:name="_Toc377550471"/>
      <w:r>
        <w:rPr>
          <w:rStyle w:val="CharSectno"/>
        </w:rPr>
        <w:t>7</w:t>
      </w:r>
      <w:r>
        <w:rPr>
          <w:snapToGrid w:val="0"/>
        </w:rPr>
        <w:t>.</w:t>
      </w:r>
      <w:r>
        <w:rPr>
          <w:snapToGrid w:val="0"/>
        </w:rPr>
        <w:tab/>
        <w:t>Powers</w:t>
      </w:r>
      <w:bookmarkEnd w:id="66"/>
      <w:bookmarkEnd w:id="67"/>
      <w:bookmarkEnd w:id="68"/>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80"/>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7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spacing w:before="70"/>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spacing w:before="70"/>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69" w:name="_Toc381881049"/>
      <w:bookmarkStart w:id="70" w:name="_Toc426464934"/>
      <w:bookmarkStart w:id="71" w:name="_Toc377550472"/>
      <w:r>
        <w:rPr>
          <w:rStyle w:val="CharSectno"/>
        </w:rPr>
        <w:t>8</w:t>
      </w:r>
      <w:r>
        <w:rPr>
          <w:snapToGrid w:val="0"/>
        </w:rPr>
        <w:t>.</w:t>
      </w:r>
      <w:r>
        <w:rPr>
          <w:snapToGrid w:val="0"/>
        </w:rPr>
        <w:tab/>
        <w:t>Commission to act efficiently and economically</w:t>
      </w:r>
      <w:bookmarkEnd w:id="69"/>
      <w:bookmarkEnd w:id="70"/>
      <w:bookmarkEnd w:id="71"/>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72" w:name="_Toc381881050"/>
      <w:bookmarkStart w:id="73" w:name="_Toc426464935"/>
      <w:bookmarkStart w:id="74" w:name="_Toc377550473"/>
      <w:r>
        <w:rPr>
          <w:rStyle w:val="CharSectno"/>
        </w:rPr>
        <w:t>9</w:t>
      </w:r>
      <w:r>
        <w:rPr>
          <w:snapToGrid w:val="0"/>
        </w:rPr>
        <w:t>.</w:t>
      </w:r>
      <w:r>
        <w:rPr>
          <w:snapToGrid w:val="0"/>
        </w:rPr>
        <w:tab/>
        <w:t>Delegation</w:t>
      </w:r>
      <w:bookmarkEnd w:id="72"/>
      <w:bookmarkEnd w:id="73"/>
      <w:bookmarkEnd w:id="74"/>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by No. 49 of 1992 s. 28.]</w:t>
      </w:r>
    </w:p>
    <w:p>
      <w:pPr>
        <w:pStyle w:val="Heading5"/>
        <w:rPr>
          <w:snapToGrid w:val="0"/>
        </w:rPr>
      </w:pPr>
      <w:bookmarkStart w:id="75" w:name="_Toc381881051"/>
      <w:bookmarkStart w:id="76" w:name="_Toc426464936"/>
      <w:bookmarkStart w:id="77" w:name="_Toc377550474"/>
      <w:r>
        <w:rPr>
          <w:rStyle w:val="CharSectno"/>
        </w:rPr>
        <w:t>10</w:t>
      </w:r>
      <w:r>
        <w:rPr>
          <w:snapToGrid w:val="0"/>
        </w:rPr>
        <w:t>.</w:t>
      </w:r>
      <w:r>
        <w:rPr>
          <w:snapToGrid w:val="0"/>
        </w:rPr>
        <w:tab/>
        <w:t>Directions by Minister</w:t>
      </w:r>
      <w:bookmarkEnd w:id="75"/>
      <w:bookmarkEnd w:id="76"/>
      <w:bookmarkEnd w:id="7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w:t>
      </w:r>
      <w:del w:id="78" w:author="svcMRProcess" w:date="2018-09-03T16:32:00Z">
        <w:r>
          <w:rPr>
            <w:snapToGrid w:val="0"/>
          </w:rPr>
          <w:delText xml:space="preserve"> to its</w:delText>
        </w:r>
      </w:del>
      <w:r>
        <w:rPr>
          <w:snapToGrid w:val="0"/>
        </w:rPr>
        <w:t xml:space="preserve">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by No. 5 of 1989 s. 16; No. 41 of 1996 s. 3; No. 77 of 2006 Sch. 1 cl. 91(1).]</w:t>
      </w:r>
    </w:p>
    <w:p>
      <w:pPr>
        <w:pStyle w:val="Heading5"/>
        <w:rPr>
          <w:snapToGrid w:val="0"/>
        </w:rPr>
      </w:pPr>
      <w:bookmarkStart w:id="79" w:name="_Toc381881052"/>
      <w:bookmarkStart w:id="80" w:name="_Toc426464937"/>
      <w:bookmarkStart w:id="81" w:name="_Toc377550475"/>
      <w:r>
        <w:rPr>
          <w:rStyle w:val="CharSectno"/>
        </w:rPr>
        <w:t>10A</w:t>
      </w:r>
      <w:r>
        <w:rPr>
          <w:snapToGrid w:val="0"/>
        </w:rPr>
        <w:t>.</w:t>
      </w:r>
      <w:r>
        <w:rPr>
          <w:snapToGrid w:val="0"/>
        </w:rPr>
        <w:tab/>
        <w:t>Minister to have access to information</w:t>
      </w:r>
      <w:bookmarkEnd w:id="79"/>
      <w:bookmarkEnd w:id="80"/>
      <w:bookmarkEnd w:id="8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by No. 45 of 1996 s. 12.] </w:t>
      </w:r>
    </w:p>
    <w:p>
      <w:pPr>
        <w:pStyle w:val="Heading5"/>
        <w:rPr>
          <w:snapToGrid w:val="0"/>
        </w:rPr>
      </w:pPr>
      <w:bookmarkStart w:id="82" w:name="_Toc381881053"/>
      <w:bookmarkStart w:id="83" w:name="_Toc426464938"/>
      <w:bookmarkStart w:id="84" w:name="_Toc377550476"/>
      <w:r>
        <w:rPr>
          <w:rStyle w:val="CharSectno"/>
        </w:rPr>
        <w:t>10B</w:t>
      </w:r>
      <w:r>
        <w:rPr>
          <w:snapToGrid w:val="0"/>
        </w:rPr>
        <w:t>.</w:t>
      </w:r>
      <w:r>
        <w:rPr>
          <w:snapToGrid w:val="0"/>
        </w:rPr>
        <w:tab/>
        <w:t>Confidential information</w:t>
      </w:r>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by No. 45 of 1996 s. 12.] </w:t>
      </w:r>
    </w:p>
    <w:p>
      <w:pPr>
        <w:pStyle w:val="Heading3"/>
        <w:rPr>
          <w:snapToGrid w:val="0"/>
        </w:rPr>
      </w:pPr>
      <w:bookmarkStart w:id="85" w:name="_Toc381880233"/>
      <w:bookmarkStart w:id="86" w:name="_Toc381880334"/>
      <w:bookmarkStart w:id="87" w:name="_Toc381881054"/>
      <w:bookmarkStart w:id="88" w:name="_Toc419713693"/>
      <w:bookmarkStart w:id="89" w:name="_Toc419713793"/>
      <w:bookmarkStart w:id="90" w:name="_Toc426464939"/>
      <w:bookmarkStart w:id="91" w:name="_Toc377550477"/>
      <w:r>
        <w:rPr>
          <w:rStyle w:val="CharDivNo"/>
        </w:rPr>
        <w:t>Division 3</w:t>
      </w:r>
      <w:r>
        <w:rPr>
          <w:snapToGrid w:val="0"/>
        </w:rPr>
        <w:t> — </w:t>
      </w:r>
      <w:r>
        <w:rPr>
          <w:rStyle w:val="CharDivText"/>
        </w:rPr>
        <w:t>Staff of the Commission</w:t>
      </w:r>
      <w:bookmarkEnd w:id="85"/>
      <w:bookmarkEnd w:id="86"/>
      <w:bookmarkEnd w:id="87"/>
      <w:bookmarkEnd w:id="88"/>
      <w:bookmarkEnd w:id="89"/>
      <w:bookmarkEnd w:id="90"/>
      <w:bookmarkEnd w:id="91"/>
      <w:r>
        <w:rPr>
          <w:rStyle w:val="CharDivText"/>
        </w:rPr>
        <w:t xml:space="preserve"> </w:t>
      </w:r>
    </w:p>
    <w:p>
      <w:pPr>
        <w:pStyle w:val="Heading5"/>
        <w:spacing w:before="200"/>
        <w:rPr>
          <w:snapToGrid w:val="0"/>
        </w:rPr>
      </w:pPr>
      <w:bookmarkStart w:id="92" w:name="_Toc381881055"/>
      <w:bookmarkStart w:id="93" w:name="_Toc426464940"/>
      <w:bookmarkStart w:id="94" w:name="_Toc377550478"/>
      <w:r>
        <w:rPr>
          <w:rStyle w:val="CharSectno"/>
        </w:rPr>
        <w:t>11</w:t>
      </w:r>
      <w:r>
        <w:rPr>
          <w:snapToGrid w:val="0"/>
        </w:rPr>
        <w:t>.</w:t>
      </w:r>
      <w:r>
        <w:rPr>
          <w:snapToGrid w:val="0"/>
        </w:rPr>
        <w:tab/>
        <w:t>Managing director</w:t>
      </w:r>
      <w:bookmarkEnd w:id="92"/>
      <w:bookmarkEnd w:id="93"/>
      <w:bookmarkEnd w:id="94"/>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by No. 39 of 2010 s. 89.]</w:t>
      </w:r>
    </w:p>
    <w:p>
      <w:pPr>
        <w:pStyle w:val="Heading5"/>
        <w:spacing w:before="200"/>
        <w:rPr>
          <w:snapToGrid w:val="0"/>
        </w:rPr>
      </w:pPr>
      <w:bookmarkStart w:id="95" w:name="_Toc381881056"/>
      <w:bookmarkStart w:id="96" w:name="_Toc426464941"/>
      <w:bookmarkStart w:id="97" w:name="_Toc377550479"/>
      <w:r>
        <w:rPr>
          <w:rStyle w:val="CharSectno"/>
        </w:rPr>
        <w:t>12</w:t>
      </w:r>
      <w:r>
        <w:rPr>
          <w:snapToGrid w:val="0"/>
        </w:rPr>
        <w:t>.</w:t>
      </w:r>
      <w:r>
        <w:rPr>
          <w:snapToGrid w:val="0"/>
        </w:rPr>
        <w:tab/>
        <w:t>Appointment of staff and consultants</w:t>
      </w:r>
      <w:bookmarkEnd w:id="95"/>
      <w:bookmarkEnd w:id="96"/>
      <w:bookmarkEnd w:id="97"/>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98" w:name="_Toc381881057"/>
      <w:bookmarkStart w:id="99" w:name="_Toc426464942"/>
      <w:bookmarkStart w:id="100" w:name="_Toc377550480"/>
      <w:r>
        <w:rPr>
          <w:rStyle w:val="CharSectno"/>
        </w:rPr>
        <w:t>12A</w:t>
      </w:r>
      <w:r>
        <w:rPr>
          <w:snapToGrid w:val="0"/>
        </w:rPr>
        <w:t>.</w:t>
      </w:r>
      <w:r>
        <w:rPr>
          <w:snapToGrid w:val="0"/>
        </w:rPr>
        <w:tab/>
        <w:t>Status of managing director and officers and employees of Commission</w:t>
      </w:r>
      <w:bookmarkEnd w:id="98"/>
      <w:bookmarkEnd w:id="99"/>
      <w:bookmarkEnd w:id="10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w:t>
      </w:r>
      <w:del w:id="101" w:author="svcMRProcess" w:date="2018-09-03T16:32:00Z">
        <w:r>
          <w:rPr>
            <w:snapToGrid w:val="0"/>
            <w:vertAlign w:val="superscript"/>
          </w:rPr>
          <w:delText>5</w:delText>
        </w:r>
      </w:del>
      <w:ins w:id="102" w:author="svcMRProcess" w:date="2018-09-03T16:32:00Z">
        <w:r>
          <w:rPr>
            <w:snapToGrid w:val="0"/>
            <w:vertAlign w:val="superscript"/>
          </w:rPr>
          <w:t>4</w:t>
        </w:r>
      </w:ins>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03" w:name="_Toc381881058"/>
      <w:bookmarkStart w:id="104" w:name="_Toc426464943"/>
      <w:bookmarkStart w:id="105" w:name="_Toc377550481"/>
      <w:r>
        <w:rPr>
          <w:rStyle w:val="CharSectno"/>
        </w:rPr>
        <w:t>13</w:t>
      </w:r>
      <w:r>
        <w:rPr>
          <w:snapToGrid w:val="0"/>
        </w:rPr>
        <w:t>.</w:t>
      </w:r>
      <w:r>
        <w:rPr>
          <w:snapToGrid w:val="0"/>
        </w:rPr>
        <w:tab/>
        <w:t>Use of staff and facilities of departments and instrumentalities</w:t>
      </w:r>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06" w:name="_Toc381881059"/>
      <w:bookmarkStart w:id="107" w:name="_Toc426464944"/>
      <w:bookmarkStart w:id="108" w:name="_Toc377550482"/>
      <w:r>
        <w:rPr>
          <w:rStyle w:val="CharSectno"/>
        </w:rPr>
        <w:t>13A</w:t>
      </w:r>
      <w:r>
        <w:rPr>
          <w:snapToGrid w:val="0"/>
        </w:rPr>
        <w:t>.</w:t>
      </w:r>
      <w:r>
        <w:rPr>
          <w:snapToGrid w:val="0"/>
        </w:rPr>
        <w:tab/>
        <w:t>Use of staff and facilities of an insurer</w:t>
      </w:r>
      <w:bookmarkEnd w:id="106"/>
      <w:bookmarkEnd w:id="107"/>
      <w:bookmarkEnd w:id="108"/>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09" w:name="_Toc381881060"/>
      <w:bookmarkStart w:id="110" w:name="_Toc426464945"/>
      <w:bookmarkStart w:id="111" w:name="_Toc377550483"/>
      <w:r>
        <w:rPr>
          <w:rStyle w:val="CharSectno"/>
        </w:rPr>
        <w:t>14</w:t>
      </w:r>
      <w:r>
        <w:rPr>
          <w:snapToGrid w:val="0"/>
        </w:rPr>
        <w:t>.</w:t>
      </w:r>
      <w:r>
        <w:rPr>
          <w:snapToGrid w:val="0"/>
        </w:rPr>
        <w:tab/>
        <w:t>Superannuation</w:t>
      </w:r>
      <w:bookmarkEnd w:id="109"/>
      <w:bookmarkEnd w:id="110"/>
      <w:bookmarkEnd w:id="111"/>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spacing w:before="280"/>
      </w:pPr>
      <w:bookmarkStart w:id="112" w:name="_Toc381880240"/>
      <w:bookmarkStart w:id="113" w:name="_Toc381880341"/>
      <w:bookmarkStart w:id="114" w:name="_Toc381881061"/>
      <w:bookmarkStart w:id="115" w:name="_Toc419713700"/>
      <w:bookmarkStart w:id="116" w:name="_Toc419713800"/>
      <w:bookmarkStart w:id="117" w:name="_Toc426464946"/>
      <w:bookmarkStart w:id="118" w:name="_Toc377550484"/>
      <w:r>
        <w:rPr>
          <w:rStyle w:val="CharDivNo"/>
        </w:rPr>
        <w:t>Division 3A</w:t>
      </w:r>
      <w:r>
        <w:t> — </w:t>
      </w:r>
      <w:r>
        <w:rPr>
          <w:rStyle w:val="CharDivText"/>
        </w:rPr>
        <w:t>Strategic development plan and statement of corporate intent</w:t>
      </w:r>
      <w:bookmarkEnd w:id="112"/>
      <w:bookmarkEnd w:id="113"/>
      <w:bookmarkEnd w:id="114"/>
      <w:bookmarkEnd w:id="115"/>
      <w:bookmarkEnd w:id="116"/>
      <w:bookmarkEnd w:id="117"/>
      <w:bookmarkEnd w:id="118"/>
    </w:p>
    <w:p>
      <w:pPr>
        <w:pStyle w:val="Footnoteheading"/>
      </w:pPr>
      <w:r>
        <w:tab/>
        <w:t>[Heading inserted by No. 28 of 2006 s. 425.]</w:t>
      </w:r>
    </w:p>
    <w:p>
      <w:pPr>
        <w:pStyle w:val="Heading5"/>
      </w:pPr>
      <w:bookmarkStart w:id="119" w:name="_Toc381881062"/>
      <w:bookmarkStart w:id="120" w:name="_Toc426464947"/>
      <w:bookmarkStart w:id="121" w:name="_Toc377550485"/>
      <w:r>
        <w:rPr>
          <w:rStyle w:val="CharSectno"/>
        </w:rPr>
        <w:t>14A</w:t>
      </w:r>
      <w:r>
        <w:t>.</w:t>
      </w:r>
      <w:r>
        <w:tab/>
        <w:t>Duty to observe policy instruments</w:t>
      </w:r>
      <w:bookmarkEnd w:id="119"/>
      <w:bookmarkEnd w:id="120"/>
      <w:bookmarkEnd w:id="121"/>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14A inserted by No. 28 of 2006 s. 425.]</w:t>
      </w:r>
    </w:p>
    <w:p>
      <w:pPr>
        <w:pStyle w:val="Heading5"/>
      </w:pPr>
      <w:bookmarkStart w:id="122" w:name="_Toc381881063"/>
      <w:bookmarkStart w:id="123" w:name="_Toc426464948"/>
      <w:bookmarkStart w:id="124" w:name="_Toc377550486"/>
      <w:r>
        <w:rPr>
          <w:rStyle w:val="CharSectno"/>
        </w:rPr>
        <w:t>14B</w:t>
      </w:r>
      <w:r>
        <w:t>.</w:t>
      </w:r>
      <w:r>
        <w:tab/>
        <w:t>Strategic development plan and statement of corporate intent</w:t>
      </w:r>
      <w:bookmarkEnd w:id="122"/>
      <w:bookmarkEnd w:id="123"/>
      <w:bookmarkEnd w:id="124"/>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keepLines/>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r>
        <w:tab/>
        <w:t>[Section 14B inserted by No. 28 of 2006 s. 425.]</w:t>
      </w:r>
    </w:p>
    <w:p>
      <w:pPr>
        <w:pStyle w:val="Heading5"/>
        <w:spacing w:before="240"/>
      </w:pPr>
      <w:bookmarkStart w:id="125" w:name="_Toc381881064"/>
      <w:bookmarkStart w:id="126" w:name="_Toc426464949"/>
      <w:bookmarkStart w:id="127" w:name="_Toc377550487"/>
      <w:r>
        <w:rPr>
          <w:rStyle w:val="CharSectno"/>
        </w:rPr>
        <w:t>14C</w:t>
      </w:r>
      <w:r>
        <w:t>.</w:t>
      </w:r>
      <w:r>
        <w:tab/>
        <w:t>Laying directions about strategic development plan or statement of corporate intent before Parliament</w:t>
      </w:r>
      <w:bookmarkEnd w:id="125"/>
      <w:bookmarkEnd w:id="126"/>
      <w:bookmarkEnd w:id="127"/>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28" w:name="_Toc381880244"/>
      <w:bookmarkStart w:id="129" w:name="_Toc381880345"/>
      <w:bookmarkStart w:id="130" w:name="_Toc381881065"/>
      <w:bookmarkStart w:id="131" w:name="_Toc419713704"/>
      <w:bookmarkStart w:id="132" w:name="_Toc419713804"/>
      <w:bookmarkStart w:id="133" w:name="_Toc426464950"/>
      <w:bookmarkStart w:id="134" w:name="_Toc377550488"/>
      <w:r>
        <w:rPr>
          <w:rStyle w:val="CharDivNo"/>
        </w:rPr>
        <w:t>Division 4</w:t>
      </w:r>
      <w:r>
        <w:rPr>
          <w:snapToGrid w:val="0"/>
        </w:rPr>
        <w:t> — </w:t>
      </w:r>
      <w:r>
        <w:rPr>
          <w:rStyle w:val="CharDivText"/>
        </w:rPr>
        <w:t>Financial provisions relating to the Commission</w:t>
      </w:r>
      <w:bookmarkEnd w:id="128"/>
      <w:bookmarkEnd w:id="129"/>
      <w:bookmarkEnd w:id="130"/>
      <w:bookmarkEnd w:id="131"/>
      <w:bookmarkEnd w:id="132"/>
      <w:bookmarkEnd w:id="133"/>
      <w:bookmarkEnd w:id="134"/>
      <w:r>
        <w:rPr>
          <w:rStyle w:val="CharDivText"/>
        </w:rPr>
        <w:t xml:space="preserve"> </w:t>
      </w:r>
    </w:p>
    <w:p>
      <w:pPr>
        <w:pStyle w:val="Heading4"/>
        <w:rPr>
          <w:snapToGrid w:val="0"/>
        </w:rPr>
      </w:pPr>
      <w:bookmarkStart w:id="135" w:name="_Toc381880245"/>
      <w:bookmarkStart w:id="136" w:name="_Toc381880346"/>
      <w:bookmarkStart w:id="137" w:name="_Toc381881066"/>
      <w:bookmarkStart w:id="138" w:name="_Toc419713705"/>
      <w:bookmarkStart w:id="139" w:name="_Toc419713805"/>
      <w:bookmarkStart w:id="140" w:name="_Toc426464951"/>
      <w:bookmarkStart w:id="141" w:name="_Toc377550489"/>
      <w:r>
        <w:rPr>
          <w:snapToGrid w:val="0"/>
        </w:rPr>
        <w:t>Subdivision A — Income, expenditure and property of the Commission</w:t>
      </w:r>
      <w:bookmarkEnd w:id="135"/>
      <w:bookmarkEnd w:id="136"/>
      <w:bookmarkEnd w:id="137"/>
      <w:bookmarkEnd w:id="138"/>
      <w:bookmarkEnd w:id="139"/>
      <w:bookmarkEnd w:id="140"/>
      <w:bookmarkEnd w:id="141"/>
      <w:r>
        <w:rPr>
          <w:snapToGrid w:val="0"/>
        </w:rPr>
        <w:t xml:space="preserve"> </w:t>
      </w:r>
    </w:p>
    <w:p>
      <w:pPr>
        <w:pStyle w:val="Heading5"/>
        <w:rPr>
          <w:snapToGrid w:val="0"/>
        </w:rPr>
      </w:pPr>
      <w:bookmarkStart w:id="142" w:name="_Toc381881067"/>
      <w:bookmarkStart w:id="143" w:name="_Toc426464952"/>
      <w:bookmarkStart w:id="144" w:name="_Toc377550490"/>
      <w:r>
        <w:rPr>
          <w:rStyle w:val="CharSectno"/>
        </w:rPr>
        <w:t>15</w:t>
      </w:r>
      <w:r>
        <w:rPr>
          <w:snapToGrid w:val="0"/>
        </w:rPr>
        <w:t>.</w:t>
      </w:r>
      <w:r>
        <w:rPr>
          <w:snapToGrid w:val="0"/>
        </w:rPr>
        <w:tab/>
        <w:t>Moneys available to Commission</w:t>
      </w:r>
      <w:bookmarkEnd w:id="142"/>
      <w:bookmarkEnd w:id="143"/>
      <w:bookmarkEnd w:id="144"/>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145" w:name="_Toc381881068"/>
      <w:bookmarkStart w:id="146" w:name="_Toc426464953"/>
      <w:bookmarkStart w:id="147" w:name="_Toc377550491"/>
      <w:r>
        <w:rPr>
          <w:rStyle w:val="CharSectno"/>
        </w:rPr>
        <w:t>16</w:t>
      </w:r>
      <w:r>
        <w:rPr>
          <w:snapToGrid w:val="0"/>
        </w:rPr>
        <w:t>.</w:t>
      </w:r>
      <w:r>
        <w:rPr>
          <w:snapToGrid w:val="0"/>
        </w:rPr>
        <w:tab/>
        <w:t>Establishment and composition of Funds</w:t>
      </w:r>
      <w:bookmarkEnd w:id="145"/>
      <w:bookmarkEnd w:id="146"/>
      <w:bookmarkEnd w:id="147"/>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w:t>
      </w:r>
      <w:del w:id="148" w:author="svcMRProcess" w:date="2018-09-03T16:32:00Z">
        <w:r>
          <w:rPr>
            <w:snapToGrid w:val="0"/>
          </w:rPr>
          <w:delText>)(ii</w:delText>
        </w:r>
      </w:del>
      <w:r>
        <w:rPr>
          <w:snapToGrid w:val="0"/>
        </w:rPr>
        <w:t>)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w:t>
      </w:r>
      <w:del w:id="149" w:author="svcMRProcess" w:date="2018-09-03T16:32:00Z">
        <w:r>
          <w:delText>49 of 1996 s. 64; No. </w:delText>
        </w:r>
      </w:del>
      <w:r>
        <w:t>45 of 1996 s. 15</w:t>
      </w:r>
      <w:ins w:id="150" w:author="svcMRProcess" w:date="2018-09-03T16:32:00Z">
        <w:r>
          <w:t>; No. 49 of 1996 s. 64</w:t>
        </w:r>
      </w:ins>
      <w:r>
        <w:t>; No. 34 of 2002 s. 8; No. 77 of 2006 Sch. 1 cl. 91(3) and (4); No. 8 of 2009 s. 79(3).]</w:t>
      </w:r>
    </w:p>
    <w:p>
      <w:pPr>
        <w:pStyle w:val="Heading5"/>
        <w:rPr>
          <w:snapToGrid w:val="0"/>
        </w:rPr>
      </w:pPr>
      <w:bookmarkStart w:id="151" w:name="_Toc381881069"/>
      <w:bookmarkStart w:id="152" w:name="_Toc426464954"/>
      <w:bookmarkStart w:id="153" w:name="_Toc377550492"/>
      <w:r>
        <w:rPr>
          <w:rStyle w:val="CharSectno"/>
        </w:rPr>
        <w:t>17</w:t>
      </w:r>
      <w:r>
        <w:rPr>
          <w:snapToGrid w:val="0"/>
        </w:rPr>
        <w:t>.</w:t>
      </w:r>
      <w:r>
        <w:rPr>
          <w:snapToGrid w:val="0"/>
        </w:rPr>
        <w:tab/>
        <w:t>Apportionment of income, expenditure and assets</w:t>
      </w:r>
      <w:bookmarkEnd w:id="151"/>
      <w:bookmarkEnd w:id="152"/>
      <w:bookmarkEnd w:id="153"/>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54" w:name="_Toc381881070"/>
      <w:bookmarkStart w:id="155" w:name="_Toc426464955"/>
      <w:bookmarkStart w:id="156" w:name="_Toc377550493"/>
      <w:r>
        <w:rPr>
          <w:rStyle w:val="CharSectno"/>
        </w:rPr>
        <w:t>18</w:t>
      </w:r>
      <w:r>
        <w:rPr>
          <w:snapToGrid w:val="0"/>
        </w:rPr>
        <w:t>.</w:t>
      </w:r>
      <w:r>
        <w:rPr>
          <w:snapToGrid w:val="0"/>
        </w:rPr>
        <w:tab/>
        <w:t>Transfer between Funds</w:t>
      </w:r>
      <w:bookmarkEnd w:id="154"/>
      <w:bookmarkEnd w:id="155"/>
      <w:bookmarkEnd w:id="156"/>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157" w:name="_Toc381880250"/>
      <w:bookmarkStart w:id="158" w:name="_Toc381880351"/>
      <w:bookmarkStart w:id="159" w:name="_Toc381881071"/>
      <w:bookmarkStart w:id="160" w:name="_Toc419713710"/>
      <w:bookmarkStart w:id="161" w:name="_Toc419713810"/>
      <w:bookmarkStart w:id="162" w:name="_Toc426464956"/>
      <w:bookmarkStart w:id="163" w:name="_Toc377550494"/>
      <w:r>
        <w:rPr>
          <w:snapToGrid w:val="0"/>
        </w:rPr>
        <w:t>Subdivision Aa — Investment and property management</w:t>
      </w:r>
      <w:bookmarkEnd w:id="157"/>
      <w:bookmarkEnd w:id="158"/>
      <w:bookmarkEnd w:id="159"/>
      <w:bookmarkEnd w:id="160"/>
      <w:bookmarkEnd w:id="161"/>
      <w:bookmarkEnd w:id="162"/>
      <w:bookmarkEnd w:id="163"/>
      <w:r>
        <w:rPr>
          <w:snapToGrid w:val="0"/>
        </w:rPr>
        <w:t xml:space="preserve"> </w:t>
      </w:r>
    </w:p>
    <w:p>
      <w:pPr>
        <w:pStyle w:val="Footnoteheading"/>
        <w:keepNext/>
        <w:keepLines/>
      </w:pPr>
      <w:r>
        <w:tab/>
        <w:t>[Heading inserted by No. 45 of 1996 s. 17.]</w:t>
      </w:r>
    </w:p>
    <w:p>
      <w:pPr>
        <w:pStyle w:val="Heading5"/>
        <w:rPr>
          <w:snapToGrid w:val="0"/>
        </w:rPr>
      </w:pPr>
      <w:bookmarkStart w:id="164" w:name="_Toc381881072"/>
      <w:bookmarkStart w:id="165" w:name="_Toc426464957"/>
      <w:bookmarkStart w:id="166" w:name="_Toc377550495"/>
      <w:r>
        <w:rPr>
          <w:rStyle w:val="CharSectno"/>
        </w:rPr>
        <w:t>19</w:t>
      </w:r>
      <w:r>
        <w:rPr>
          <w:snapToGrid w:val="0"/>
        </w:rPr>
        <w:t>.</w:t>
      </w:r>
      <w:r>
        <w:rPr>
          <w:snapToGrid w:val="0"/>
        </w:rPr>
        <w:tab/>
        <w:t>Arrangements for appointment of investment managers</w:t>
      </w:r>
      <w:bookmarkEnd w:id="164"/>
      <w:bookmarkEnd w:id="165"/>
      <w:bookmarkEnd w:id="166"/>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67" w:name="_Toc381881073"/>
      <w:bookmarkStart w:id="168" w:name="_Toc426464958"/>
      <w:bookmarkStart w:id="169" w:name="_Toc377550496"/>
      <w:r>
        <w:rPr>
          <w:rStyle w:val="CharSectno"/>
        </w:rPr>
        <w:t>19A</w:t>
      </w:r>
      <w:r>
        <w:rPr>
          <w:snapToGrid w:val="0"/>
        </w:rPr>
        <w:t>.</w:t>
      </w:r>
      <w:r>
        <w:rPr>
          <w:snapToGrid w:val="0"/>
        </w:rPr>
        <w:tab/>
        <w:t>Investment policy</w:t>
      </w:r>
      <w:bookmarkEnd w:id="167"/>
      <w:bookmarkEnd w:id="168"/>
      <w:bookmarkEnd w:id="169"/>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70" w:name="_Toc381880253"/>
      <w:bookmarkStart w:id="171" w:name="_Toc381880354"/>
      <w:bookmarkStart w:id="172" w:name="_Toc381881074"/>
      <w:bookmarkStart w:id="173" w:name="_Toc419713713"/>
      <w:bookmarkStart w:id="174" w:name="_Toc419713813"/>
      <w:bookmarkStart w:id="175" w:name="_Toc426464959"/>
      <w:bookmarkStart w:id="176" w:name="_Toc377550497"/>
      <w:r>
        <w:rPr>
          <w:snapToGrid w:val="0"/>
        </w:rPr>
        <w:t>Subdivision B — Financial administration, audit and reporting</w:t>
      </w:r>
      <w:bookmarkEnd w:id="170"/>
      <w:bookmarkEnd w:id="171"/>
      <w:bookmarkEnd w:id="172"/>
      <w:bookmarkEnd w:id="173"/>
      <w:bookmarkEnd w:id="174"/>
      <w:bookmarkEnd w:id="175"/>
      <w:bookmarkEnd w:id="176"/>
      <w:r>
        <w:rPr>
          <w:snapToGrid w:val="0"/>
        </w:rPr>
        <w:t xml:space="preserve"> </w:t>
      </w:r>
    </w:p>
    <w:p>
      <w:pPr>
        <w:pStyle w:val="Heading5"/>
        <w:spacing w:before="240"/>
        <w:rPr>
          <w:snapToGrid w:val="0"/>
        </w:rPr>
      </w:pPr>
      <w:bookmarkStart w:id="177" w:name="_Toc381881075"/>
      <w:bookmarkStart w:id="178" w:name="_Toc426464960"/>
      <w:bookmarkStart w:id="179" w:name="_Toc377550498"/>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177"/>
      <w:bookmarkEnd w:id="178"/>
      <w:bookmarkEnd w:id="179"/>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180" w:name="_Toc381881076"/>
      <w:bookmarkStart w:id="181" w:name="_Toc426464961"/>
      <w:bookmarkStart w:id="182" w:name="_Toc377550499"/>
      <w:r>
        <w:rPr>
          <w:rStyle w:val="CharSectno"/>
        </w:rPr>
        <w:t>21</w:t>
      </w:r>
      <w:r>
        <w:rPr>
          <w:snapToGrid w:val="0"/>
        </w:rPr>
        <w:t>.</w:t>
      </w:r>
      <w:r>
        <w:rPr>
          <w:snapToGrid w:val="0"/>
        </w:rPr>
        <w:tab/>
        <w:t>Provisions and reserves</w:t>
      </w:r>
      <w:bookmarkEnd w:id="180"/>
      <w:bookmarkEnd w:id="181"/>
      <w:bookmarkEnd w:id="182"/>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183" w:name="_Toc381881077"/>
      <w:bookmarkStart w:id="184" w:name="_Toc426464962"/>
      <w:bookmarkStart w:id="185" w:name="_Toc377550500"/>
      <w:r>
        <w:rPr>
          <w:rStyle w:val="CharSectno"/>
        </w:rPr>
        <w:t>22</w:t>
      </w:r>
      <w:r>
        <w:rPr>
          <w:snapToGrid w:val="0"/>
        </w:rPr>
        <w:t>.</w:t>
      </w:r>
      <w:r>
        <w:rPr>
          <w:snapToGrid w:val="0"/>
        </w:rPr>
        <w:tab/>
        <w:t>Accounts</w:t>
      </w:r>
      <w:bookmarkEnd w:id="183"/>
      <w:bookmarkEnd w:id="184"/>
      <w:bookmarkEnd w:id="185"/>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w:t>
      </w:r>
      <w:del w:id="186" w:author="svcMRProcess" w:date="2018-09-03T16:32:00Z">
        <w:r>
          <w:delText> </w:delText>
        </w:r>
      </w:del>
      <w:ins w:id="187" w:author="svcMRProcess" w:date="2018-09-03T16:32:00Z">
        <w:r>
          <w:t xml:space="preserve"> </w:t>
        </w:r>
      </w:ins>
      <w:r>
        <w:t>Sch. 1 cl. 91(7).]</w:t>
      </w:r>
    </w:p>
    <w:p>
      <w:pPr>
        <w:pStyle w:val="Heading5"/>
        <w:spacing w:before="240"/>
        <w:rPr>
          <w:snapToGrid w:val="0"/>
        </w:rPr>
      </w:pPr>
      <w:bookmarkStart w:id="188" w:name="_Toc381881078"/>
      <w:bookmarkStart w:id="189" w:name="_Toc426464963"/>
      <w:bookmarkStart w:id="190" w:name="_Toc377550501"/>
      <w:r>
        <w:rPr>
          <w:rStyle w:val="CharSectno"/>
        </w:rPr>
        <w:t>23</w:t>
      </w:r>
      <w:r>
        <w:rPr>
          <w:snapToGrid w:val="0"/>
        </w:rPr>
        <w:t>.</w:t>
      </w:r>
      <w:r>
        <w:rPr>
          <w:snapToGrid w:val="0"/>
        </w:rPr>
        <w:tab/>
        <w:t>Annual reports, financial statements</w:t>
      </w:r>
      <w:bookmarkEnd w:id="188"/>
      <w:bookmarkEnd w:id="189"/>
      <w:bookmarkEnd w:id="190"/>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191" w:name="_Toc381880258"/>
      <w:bookmarkStart w:id="192" w:name="_Toc381880359"/>
      <w:bookmarkStart w:id="193" w:name="_Toc381881079"/>
      <w:bookmarkStart w:id="194" w:name="_Toc419713718"/>
      <w:bookmarkStart w:id="195" w:name="_Toc419713818"/>
      <w:bookmarkStart w:id="196" w:name="_Toc426464964"/>
      <w:bookmarkStart w:id="197" w:name="_Toc377550502"/>
      <w:r>
        <w:rPr>
          <w:snapToGrid w:val="0"/>
        </w:rPr>
        <w:t>Subdivision C — Borrowing and financial accommodation</w:t>
      </w:r>
      <w:bookmarkEnd w:id="191"/>
      <w:bookmarkEnd w:id="192"/>
      <w:bookmarkEnd w:id="193"/>
      <w:bookmarkEnd w:id="194"/>
      <w:bookmarkEnd w:id="195"/>
      <w:bookmarkEnd w:id="196"/>
      <w:bookmarkEnd w:id="197"/>
      <w:r>
        <w:rPr>
          <w:snapToGrid w:val="0"/>
        </w:rPr>
        <w:t xml:space="preserve"> </w:t>
      </w:r>
    </w:p>
    <w:p>
      <w:pPr>
        <w:pStyle w:val="Heading5"/>
        <w:rPr>
          <w:snapToGrid w:val="0"/>
        </w:rPr>
      </w:pPr>
      <w:bookmarkStart w:id="198" w:name="_Toc381881080"/>
      <w:bookmarkStart w:id="199" w:name="_Toc426464965"/>
      <w:bookmarkStart w:id="200" w:name="_Toc377550503"/>
      <w:r>
        <w:rPr>
          <w:rStyle w:val="CharSectno"/>
        </w:rPr>
        <w:t>24</w:t>
      </w:r>
      <w:r>
        <w:rPr>
          <w:snapToGrid w:val="0"/>
        </w:rPr>
        <w:t>.</w:t>
      </w:r>
      <w:r>
        <w:rPr>
          <w:snapToGrid w:val="0"/>
        </w:rPr>
        <w:tab/>
        <w:t>Power to borrow etc., generally</w:t>
      </w:r>
      <w:bookmarkEnd w:id="198"/>
      <w:bookmarkEnd w:id="199"/>
      <w:bookmarkEnd w:id="200"/>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01" w:name="_Toc381881081"/>
      <w:bookmarkStart w:id="202" w:name="_Toc426464966"/>
      <w:bookmarkStart w:id="203" w:name="_Toc377550504"/>
      <w:r>
        <w:rPr>
          <w:rStyle w:val="CharSectno"/>
        </w:rPr>
        <w:t>25</w:t>
      </w:r>
      <w:r>
        <w:rPr>
          <w:snapToGrid w:val="0"/>
        </w:rPr>
        <w:t>.</w:t>
      </w:r>
      <w:r>
        <w:rPr>
          <w:snapToGrid w:val="0"/>
        </w:rPr>
        <w:tab/>
        <w:t>Power to make provision to pay off loans</w:t>
      </w:r>
      <w:bookmarkEnd w:id="201"/>
      <w:bookmarkEnd w:id="202"/>
      <w:bookmarkEnd w:id="203"/>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04" w:name="_Toc381881082"/>
      <w:bookmarkStart w:id="205" w:name="_Toc426464967"/>
      <w:bookmarkStart w:id="206" w:name="_Toc377550505"/>
      <w:r>
        <w:rPr>
          <w:rStyle w:val="CharSectno"/>
        </w:rPr>
        <w:t>26</w:t>
      </w:r>
      <w:r>
        <w:rPr>
          <w:snapToGrid w:val="0"/>
        </w:rPr>
        <w:t>.</w:t>
      </w:r>
      <w:r>
        <w:rPr>
          <w:snapToGrid w:val="0"/>
        </w:rPr>
        <w:tab/>
        <w:t>Borrowing power, from Treasury sources</w:t>
      </w:r>
      <w:bookmarkEnd w:id="204"/>
      <w:bookmarkEnd w:id="205"/>
      <w:bookmarkEnd w:id="206"/>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07" w:name="_Toc381881083"/>
      <w:bookmarkStart w:id="208" w:name="_Toc426464968"/>
      <w:bookmarkStart w:id="209" w:name="_Toc377550506"/>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207"/>
      <w:bookmarkEnd w:id="208"/>
      <w:bookmarkEnd w:id="209"/>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Pr>
      <w:bookmarkStart w:id="210" w:name="_Toc381880263"/>
      <w:bookmarkStart w:id="211" w:name="_Toc381880364"/>
      <w:bookmarkStart w:id="212" w:name="_Toc381881084"/>
      <w:bookmarkStart w:id="213" w:name="_Toc419713723"/>
      <w:bookmarkStart w:id="214" w:name="_Toc419713823"/>
      <w:bookmarkStart w:id="215" w:name="_Toc426464969"/>
      <w:bookmarkStart w:id="216" w:name="_Toc377550507"/>
      <w:r>
        <w:t>Subdivision D — Dividends to State</w:t>
      </w:r>
      <w:bookmarkEnd w:id="210"/>
      <w:bookmarkEnd w:id="211"/>
      <w:bookmarkEnd w:id="212"/>
      <w:bookmarkEnd w:id="213"/>
      <w:bookmarkEnd w:id="214"/>
      <w:bookmarkEnd w:id="215"/>
      <w:bookmarkEnd w:id="216"/>
    </w:p>
    <w:p>
      <w:pPr>
        <w:pStyle w:val="Footnoteheading"/>
        <w:keepNext/>
      </w:pPr>
      <w:r>
        <w:tab/>
        <w:t>[Heading inserted by No. 7 of 2013 s. 4.]</w:t>
      </w:r>
    </w:p>
    <w:p>
      <w:pPr>
        <w:pStyle w:val="Heading5"/>
      </w:pPr>
      <w:bookmarkStart w:id="217" w:name="_Toc381881085"/>
      <w:bookmarkStart w:id="218" w:name="_Toc426464970"/>
      <w:bookmarkStart w:id="219" w:name="_Toc377550508"/>
      <w:r>
        <w:rPr>
          <w:rStyle w:val="CharSectno"/>
        </w:rPr>
        <w:t>28</w:t>
      </w:r>
      <w:r>
        <w:t>.</w:t>
      </w:r>
      <w:r>
        <w:tab/>
        <w:t>Interim dividend</w:t>
      </w:r>
      <w:bookmarkEnd w:id="217"/>
      <w:bookmarkEnd w:id="218"/>
      <w:bookmarkEnd w:id="219"/>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220" w:name="_Toc381881086"/>
      <w:bookmarkStart w:id="221" w:name="_Toc426464971"/>
      <w:bookmarkStart w:id="222" w:name="_Toc377550509"/>
      <w:r>
        <w:rPr>
          <w:rStyle w:val="CharSectno"/>
        </w:rPr>
        <w:t>29</w:t>
      </w:r>
      <w:r>
        <w:t>.</w:t>
      </w:r>
      <w:r>
        <w:tab/>
        <w:t>Annual dividend</w:t>
      </w:r>
      <w:bookmarkEnd w:id="220"/>
      <w:bookmarkEnd w:id="221"/>
      <w:bookmarkEnd w:id="222"/>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spacing w:before="60"/>
      </w:pPr>
      <w:r>
        <w:tab/>
      </w:r>
      <w:r>
        <w:tab/>
        <w:t>and</w:t>
      </w:r>
    </w:p>
    <w:p>
      <w:pPr>
        <w:pStyle w:val="Indenta"/>
        <w:spacing w:before="60"/>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spacing w:before="60"/>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by No. 7 of 2013 s. 4.]</w:t>
      </w:r>
    </w:p>
    <w:p>
      <w:pPr>
        <w:pStyle w:val="Heading5"/>
      </w:pPr>
      <w:bookmarkStart w:id="223" w:name="_Toc381881087"/>
      <w:bookmarkStart w:id="224" w:name="_Toc426464972"/>
      <w:bookmarkStart w:id="225" w:name="_Toc377550510"/>
      <w:r>
        <w:rPr>
          <w:rStyle w:val="CharSectno"/>
        </w:rPr>
        <w:t>30</w:t>
      </w:r>
      <w:r>
        <w:t>.</w:t>
      </w:r>
      <w:r>
        <w:tab/>
        <w:t>Provisions for s. 28 and 29</w:t>
      </w:r>
      <w:bookmarkEnd w:id="223"/>
      <w:bookmarkEnd w:id="224"/>
      <w:bookmarkEnd w:id="225"/>
    </w:p>
    <w:p>
      <w:pPr>
        <w:pStyle w:val="Subsection"/>
        <w:spacing w:before="13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3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30"/>
      </w:pPr>
      <w:r>
        <w:tab/>
        <w:t>(3)</w:t>
      </w:r>
      <w:r>
        <w:tab/>
        <w:t>Any interim dividend or dividend paid under section 28 or 29 must be credited to the Consolidated Account.</w:t>
      </w:r>
    </w:p>
    <w:p>
      <w:pPr>
        <w:pStyle w:val="Footnotesection"/>
        <w:spacing w:before="80"/>
      </w:pPr>
      <w:r>
        <w:tab/>
        <w:t>[Section 30 inserted by No. 7 of 2013 s. 4.]</w:t>
      </w:r>
    </w:p>
    <w:p>
      <w:pPr>
        <w:pStyle w:val="Heading5"/>
      </w:pPr>
      <w:bookmarkStart w:id="226" w:name="_Toc381881088"/>
      <w:bookmarkStart w:id="227" w:name="_Toc426464973"/>
      <w:bookmarkStart w:id="228" w:name="_Toc377550511"/>
      <w:r>
        <w:rPr>
          <w:rStyle w:val="CharSectno"/>
        </w:rPr>
        <w:t>31</w:t>
      </w:r>
      <w:r>
        <w:t>.</w:t>
      </w:r>
      <w:r>
        <w:tab/>
        <w:t xml:space="preserve">Transitional provisions for </w:t>
      </w:r>
      <w:r>
        <w:rPr>
          <w:i/>
        </w:rPr>
        <w:t>Insurance Commission of Western Australia Amendment Act 2013</w:t>
      </w:r>
      <w:r>
        <w:t>: interim dividends</w:t>
      </w:r>
      <w:bookmarkEnd w:id="226"/>
      <w:bookmarkEnd w:id="227"/>
      <w:bookmarkEnd w:id="228"/>
    </w:p>
    <w:p>
      <w:pPr>
        <w:pStyle w:val="Subsection"/>
      </w:pPr>
      <w:r>
        <w:tab/>
        <w:t>(1)</w:t>
      </w:r>
      <w:r>
        <w:tab/>
        <w:t xml:space="preserve">Section 28 applies in respect of the financial year in which the </w:t>
      </w:r>
      <w:r>
        <w:rPr>
          <w:i/>
        </w:rPr>
        <w:t>Insurance Commission of Western Australia Amendment Act 2013</w:t>
      </w:r>
      <w:r>
        <w:t xml:space="preserve"> section 4 comes into operation</w:t>
      </w:r>
      <w:ins w:id="229" w:author="svcMRProcess" w:date="2018-09-03T16:32:00Z">
        <w:r>
          <w:rPr>
            <w:vertAlign w:val="superscript"/>
          </w:rPr>
          <w:t> 1</w:t>
        </w:r>
      </w:ins>
      <w:r>
        <w:t xml:space="preserve">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230" w:name="_Toc381881089"/>
      <w:bookmarkStart w:id="231" w:name="_Toc426464974"/>
      <w:bookmarkStart w:id="232" w:name="_Toc377550512"/>
      <w:r>
        <w:rPr>
          <w:rStyle w:val="CharSectno"/>
        </w:rPr>
        <w:t>32</w:t>
      </w:r>
      <w:r>
        <w:t>.</w:t>
      </w:r>
      <w:r>
        <w:tab/>
        <w:t xml:space="preserve">Transitional provisions for </w:t>
      </w:r>
      <w:r>
        <w:rPr>
          <w:i/>
        </w:rPr>
        <w:t>Insurance Commission of Western Australia Amendment Act 2013</w:t>
      </w:r>
      <w:r>
        <w:t>: annual dividends</w:t>
      </w:r>
      <w:bookmarkEnd w:id="230"/>
      <w:bookmarkEnd w:id="231"/>
      <w:bookmarkEnd w:id="232"/>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ins w:id="233" w:author="svcMRProcess" w:date="2018-09-03T16:32:00Z">
        <w:r>
          <w:rPr>
            <w:vertAlign w:val="superscript"/>
          </w:rPr>
          <w:t> 1</w:t>
        </w:r>
      </w:ins>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ind w:left="993" w:hanging="993"/>
      </w:pPr>
      <w:r>
        <w:t>[Part III:</w:t>
      </w:r>
      <w:r>
        <w:tab/>
      </w:r>
      <w:del w:id="234" w:author="svcMRProcess" w:date="2018-09-03T16:32:00Z">
        <w:r>
          <w:delText xml:space="preserve"> </w:delText>
        </w:r>
      </w:del>
      <w:r>
        <w:t xml:space="preserve">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235" w:name="_Toc381880269"/>
      <w:bookmarkStart w:id="236" w:name="_Toc381880370"/>
      <w:bookmarkStart w:id="237" w:name="_Toc381881090"/>
      <w:bookmarkStart w:id="238" w:name="_Toc419713729"/>
      <w:bookmarkStart w:id="239" w:name="_Toc419713829"/>
      <w:bookmarkStart w:id="240" w:name="_Toc426464975"/>
      <w:bookmarkStart w:id="241" w:name="_Toc377550513"/>
      <w:r>
        <w:rPr>
          <w:rStyle w:val="CharPartNo"/>
        </w:rPr>
        <w:t>Part IV</w:t>
      </w:r>
      <w:r>
        <w:rPr>
          <w:rStyle w:val="CharDivNo"/>
        </w:rPr>
        <w:t> </w:t>
      </w:r>
      <w:r>
        <w:t>—</w:t>
      </w:r>
      <w:r>
        <w:rPr>
          <w:rStyle w:val="CharDivText"/>
        </w:rPr>
        <w:t> </w:t>
      </w:r>
      <w:r>
        <w:rPr>
          <w:rStyle w:val="CharPartText"/>
        </w:rPr>
        <w:t>General</w:t>
      </w:r>
      <w:bookmarkEnd w:id="235"/>
      <w:bookmarkEnd w:id="236"/>
      <w:bookmarkEnd w:id="237"/>
      <w:bookmarkEnd w:id="238"/>
      <w:bookmarkEnd w:id="239"/>
      <w:bookmarkEnd w:id="240"/>
      <w:bookmarkEnd w:id="241"/>
      <w:r>
        <w:rPr>
          <w:rStyle w:val="CharPartText"/>
        </w:rPr>
        <w:t xml:space="preserve"> </w:t>
      </w:r>
    </w:p>
    <w:p>
      <w:pPr>
        <w:pStyle w:val="Heading5"/>
        <w:rPr>
          <w:snapToGrid w:val="0"/>
        </w:rPr>
      </w:pPr>
      <w:bookmarkStart w:id="242" w:name="_Toc381881091"/>
      <w:bookmarkStart w:id="243" w:name="_Toc426464976"/>
      <w:bookmarkStart w:id="244" w:name="_Toc377550514"/>
      <w:r>
        <w:rPr>
          <w:rStyle w:val="CharSectno"/>
        </w:rPr>
        <w:t>42</w:t>
      </w:r>
      <w:r>
        <w:rPr>
          <w:snapToGrid w:val="0"/>
        </w:rPr>
        <w:t>.</w:t>
      </w:r>
      <w:r>
        <w:rPr>
          <w:snapToGrid w:val="0"/>
        </w:rPr>
        <w:tab/>
        <w:t>Secrecy</w:t>
      </w:r>
      <w:bookmarkEnd w:id="242"/>
      <w:bookmarkEnd w:id="243"/>
      <w:bookmarkEnd w:id="244"/>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245" w:name="_Toc381881092"/>
      <w:bookmarkStart w:id="246" w:name="_Toc426464977"/>
      <w:bookmarkStart w:id="247" w:name="_Toc377550515"/>
      <w:r>
        <w:rPr>
          <w:rStyle w:val="CharSectno"/>
        </w:rPr>
        <w:t>43</w:t>
      </w:r>
      <w:r>
        <w:rPr>
          <w:snapToGrid w:val="0"/>
        </w:rPr>
        <w:t>.</w:t>
      </w:r>
      <w:r>
        <w:rPr>
          <w:snapToGrid w:val="0"/>
        </w:rPr>
        <w:tab/>
        <w:t>Execution of documents and entry into contracts</w:t>
      </w:r>
      <w:bookmarkEnd w:id="245"/>
      <w:bookmarkEnd w:id="246"/>
      <w:bookmarkEnd w:id="24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Ednotesubsection"/>
        <w:rPr>
          <w:del w:id="248" w:author="svcMRProcess" w:date="2018-09-03T16:32:00Z"/>
        </w:rPr>
      </w:pPr>
      <w:del w:id="249" w:author="svcMRProcess" w:date="2018-09-03T16:32:00Z">
        <w:r>
          <w:tab/>
          <w:delText>[(9)</w:delText>
        </w:r>
        <w:r>
          <w:tab/>
          <w:delText>deleted]</w:delText>
        </w:r>
      </w:del>
    </w:p>
    <w:p>
      <w:pPr>
        <w:pStyle w:val="Footnotesection"/>
      </w:pPr>
      <w:r>
        <w:tab/>
        <w:t xml:space="preserve">[Section 43 amended by No. 45 of 1996 s. </w:t>
      </w:r>
      <w:del w:id="250" w:author="svcMRProcess" w:date="2018-09-03T16:32:00Z">
        <w:r>
          <w:delText>22</w:delText>
        </w:r>
      </w:del>
      <w:ins w:id="251" w:author="svcMRProcess" w:date="2018-09-03T16:32:00Z">
        <w:r>
          <w:t>22; correction to reprint in Gazette 4 Aug 2015 p. 3135</w:t>
        </w:r>
      </w:ins>
      <w:r>
        <w:t>.]</w:t>
      </w:r>
    </w:p>
    <w:p>
      <w:pPr>
        <w:pStyle w:val="Heading5"/>
        <w:spacing w:before="800"/>
        <w:rPr>
          <w:snapToGrid w:val="0"/>
        </w:rPr>
      </w:pPr>
      <w:bookmarkStart w:id="252" w:name="_Toc381881093"/>
      <w:bookmarkStart w:id="253" w:name="_Toc426464978"/>
      <w:bookmarkStart w:id="254" w:name="_Toc377550516"/>
      <w:r>
        <w:rPr>
          <w:rStyle w:val="CharSectno"/>
        </w:rPr>
        <w:t>44</w:t>
      </w:r>
      <w:r>
        <w:rPr>
          <w:snapToGrid w:val="0"/>
        </w:rPr>
        <w:t>.</w:t>
      </w:r>
      <w:r>
        <w:rPr>
          <w:snapToGrid w:val="0"/>
        </w:rPr>
        <w:tab/>
        <w:t>Exemption of certain public authorities from workers’ compensation insurance requirements</w:t>
      </w:r>
      <w:bookmarkEnd w:id="252"/>
      <w:bookmarkEnd w:id="253"/>
      <w:bookmarkEnd w:id="254"/>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255" w:name="_Toc381881094"/>
      <w:bookmarkStart w:id="256" w:name="_Toc426464979"/>
      <w:bookmarkStart w:id="257" w:name="_Toc377550517"/>
      <w:r>
        <w:rPr>
          <w:rStyle w:val="CharSectno"/>
        </w:rPr>
        <w:t>45</w:t>
      </w:r>
      <w:r>
        <w:rPr>
          <w:snapToGrid w:val="0"/>
        </w:rPr>
        <w:t>.</w:t>
      </w:r>
      <w:r>
        <w:rPr>
          <w:snapToGrid w:val="0"/>
        </w:rPr>
        <w:tab/>
        <w:t>Regulations</w:t>
      </w:r>
      <w:bookmarkEnd w:id="255"/>
      <w:bookmarkEnd w:id="256"/>
      <w:bookmarkEnd w:id="2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258" w:name="_Toc381880274"/>
      <w:bookmarkStart w:id="259" w:name="_Toc381880375"/>
      <w:bookmarkStart w:id="260" w:name="_Toc381881095"/>
      <w:bookmarkStart w:id="261" w:name="_Toc419713734"/>
      <w:bookmarkStart w:id="262" w:name="_Toc419713834"/>
      <w:bookmarkStart w:id="263" w:name="_Toc426464980"/>
      <w:bookmarkStart w:id="264" w:name="_Toc377550518"/>
      <w:r>
        <w:rPr>
          <w:rStyle w:val="CharPartNo"/>
        </w:rPr>
        <w:t>Part V</w:t>
      </w:r>
      <w:r>
        <w:rPr>
          <w:rStyle w:val="CharDivNo"/>
        </w:rPr>
        <w:t> </w:t>
      </w:r>
      <w:r>
        <w:t>—</w:t>
      </w:r>
      <w:r>
        <w:rPr>
          <w:rStyle w:val="CharDivText"/>
        </w:rPr>
        <w:t> </w:t>
      </w:r>
      <w:r>
        <w:rPr>
          <w:rStyle w:val="CharPartText"/>
        </w:rPr>
        <w:t>Repeal, amendments, saving, validation and transitional</w:t>
      </w:r>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381881096"/>
      <w:bookmarkStart w:id="266" w:name="_Toc426464981"/>
      <w:bookmarkStart w:id="267" w:name="_Toc377550519"/>
      <w:r>
        <w:rPr>
          <w:rStyle w:val="CharSectno"/>
        </w:rPr>
        <w:t>46</w:t>
      </w:r>
      <w:r>
        <w:rPr>
          <w:snapToGrid w:val="0"/>
        </w:rPr>
        <w:t>.</w:t>
      </w:r>
      <w:r>
        <w:rPr>
          <w:snapToGrid w:val="0"/>
        </w:rPr>
        <w:tab/>
        <w:t>Repeal and amendments</w:t>
      </w:r>
      <w:bookmarkEnd w:id="265"/>
      <w:bookmarkEnd w:id="266"/>
      <w:bookmarkEnd w:id="267"/>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268" w:name="_Toc381881097"/>
      <w:bookmarkStart w:id="269" w:name="_Toc426464982"/>
      <w:bookmarkStart w:id="270" w:name="_Toc377550520"/>
      <w:r>
        <w:rPr>
          <w:rStyle w:val="CharSectno"/>
        </w:rPr>
        <w:t>47</w:t>
      </w:r>
      <w:r>
        <w:rPr>
          <w:snapToGrid w:val="0"/>
        </w:rPr>
        <w:t>.</w:t>
      </w:r>
      <w:r>
        <w:rPr>
          <w:snapToGrid w:val="0"/>
        </w:rPr>
        <w:tab/>
        <w:t>Saving, validation and transitional provisions</w:t>
      </w:r>
      <w:bookmarkEnd w:id="268"/>
      <w:bookmarkEnd w:id="269"/>
      <w:bookmarkEnd w:id="270"/>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271" w:name="_Toc381881098"/>
      <w:bookmarkStart w:id="272" w:name="_Toc426464983"/>
      <w:bookmarkStart w:id="273" w:name="_Toc377550521"/>
      <w:r>
        <w:rPr>
          <w:rStyle w:val="CharSectno"/>
        </w:rPr>
        <w:t>48</w:t>
      </w:r>
      <w:r>
        <w:rPr>
          <w:snapToGrid w:val="0"/>
        </w:rPr>
        <w:t>.</w:t>
      </w:r>
      <w:r>
        <w:rPr>
          <w:snapToGrid w:val="0"/>
        </w:rPr>
        <w:tab/>
        <w:t>Oversight by Public Accounts Committee</w:t>
      </w:r>
      <w:bookmarkEnd w:id="271"/>
      <w:bookmarkEnd w:id="272"/>
      <w:bookmarkEnd w:id="273"/>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74" w:name="_Toc381880278"/>
      <w:bookmarkStart w:id="275" w:name="_Toc381880379"/>
      <w:bookmarkStart w:id="276" w:name="_Toc381881099"/>
      <w:bookmarkStart w:id="277" w:name="_Toc419713738"/>
      <w:bookmarkStart w:id="278" w:name="_Toc419713838"/>
      <w:bookmarkStart w:id="279" w:name="_Toc426464984"/>
      <w:bookmarkStart w:id="280" w:name="_Toc377550522"/>
      <w:r>
        <w:rPr>
          <w:rStyle w:val="CharSchNo"/>
        </w:rPr>
        <w:t>Schedule 1</w:t>
      </w:r>
      <w:r>
        <w:t> — </w:t>
      </w:r>
      <w:r>
        <w:rPr>
          <w:rStyle w:val="CharSchText"/>
        </w:rPr>
        <w:t>Provisions as to commissioners</w:t>
      </w:r>
      <w:bookmarkEnd w:id="274"/>
      <w:bookmarkEnd w:id="275"/>
      <w:bookmarkEnd w:id="276"/>
      <w:bookmarkEnd w:id="277"/>
      <w:bookmarkEnd w:id="278"/>
      <w:bookmarkEnd w:id="279"/>
      <w:bookmarkEnd w:id="280"/>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281" w:name="_Toc381881100"/>
      <w:bookmarkStart w:id="282" w:name="_Toc426464985"/>
      <w:bookmarkStart w:id="283" w:name="_Toc377550523"/>
      <w:r>
        <w:rPr>
          <w:rStyle w:val="CharSClsNo"/>
        </w:rPr>
        <w:t>1</w:t>
      </w:r>
      <w:r>
        <w:rPr>
          <w:snapToGrid w:val="0"/>
        </w:rPr>
        <w:t>.</w:t>
      </w:r>
      <w:r>
        <w:rPr>
          <w:snapToGrid w:val="0"/>
        </w:rPr>
        <w:tab/>
        <w:t>Terms used</w:t>
      </w:r>
      <w:bookmarkEnd w:id="281"/>
      <w:bookmarkEnd w:id="282"/>
      <w:bookmarkEnd w:id="283"/>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284" w:name="_Toc381881101"/>
      <w:bookmarkStart w:id="285" w:name="_Toc426464986"/>
      <w:bookmarkStart w:id="286" w:name="_Toc377550524"/>
      <w:r>
        <w:rPr>
          <w:rStyle w:val="CharSClsNo"/>
        </w:rPr>
        <w:t>2</w:t>
      </w:r>
      <w:r>
        <w:rPr>
          <w:snapToGrid w:val="0"/>
        </w:rPr>
        <w:t>.</w:t>
      </w:r>
      <w:r>
        <w:rPr>
          <w:snapToGrid w:val="0"/>
        </w:rPr>
        <w:tab/>
        <w:t>Commissioners — terms and vacation of office</w:t>
      </w:r>
      <w:bookmarkEnd w:id="284"/>
      <w:bookmarkEnd w:id="285"/>
      <w:bookmarkEnd w:id="286"/>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287" w:name="_Toc381881102"/>
      <w:bookmarkStart w:id="288" w:name="_Toc426464987"/>
      <w:bookmarkStart w:id="289" w:name="_Toc377550525"/>
      <w:r>
        <w:rPr>
          <w:rStyle w:val="CharSClsNo"/>
        </w:rPr>
        <w:t>3</w:t>
      </w:r>
      <w:r>
        <w:rPr>
          <w:snapToGrid w:val="0"/>
        </w:rPr>
        <w:t>.</w:t>
      </w:r>
      <w:r>
        <w:rPr>
          <w:snapToGrid w:val="0"/>
        </w:rPr>
        <w:tab/>
        <w:t>Alternate commissioners</w:t>
      </w:r>
      <w:bookmarkEnd w:id="287"/>
      <w:bookmarkEnd w:id="288"/>
      <w:bookmarkEnd w:id="289"/>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290" w:name="_Toc381881103"/>
      <w:bookmarkStart w:id="291" w:name="_Toc426464988"/>
      <w:bookmarkStart w:id="292" w:name="_Toc377550526"/>
      <w:r>
        <w:rPr>
          <w:rStyle w:val="CharSClsNo"/>
        </w:rPr>
        <w:t>4</w:t>
      </w:r>
      <w:r>
        <w:rPr>
          <w:snapToGrid w:val="0"/>
        </w:rPr>
        <w:t>.</w:t>
      </w:r>
      <w:r>
        <w:rPr>
          <w:snapToGrid w:val="0"/>
        </w:rPr>
        <w:tab/>
        <w:t>Chairman and deputy chairman — term and vacation of office</w:t>
      </w:r>
      <w:bookmarkEnd w:id="290"/>
      <w:bookmarkEnd w:id="291"/>
      <w:bookmarkEnd w:id="292"/>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293" w:name="_Toc381881104"/>
      <w:bookmarkStart w:id="294" w:name="_Toc426464989"/>
      <w:bookmarkStart w:id="295" w:name="_Toc377550527"/>
      <w:r>
        <w:rPr>
          <w:rStyle w:val="CharSClsNo"/>
        </w:rPr>
        <w:t>5</w:t>
      </w:r>
      <w:r>
        <w:rPr>
          <w:snapToGrid w:val="0"/>
        </w:rPr>
        <w:t>.</w:t>
      </w:r>
      <w:r>
        <w:rPr>
          <w:snapToGrid w:val="0"/>
        </w:rPr>
        <w:tab/>
        <w:t>Disclosure of pecuniary interests</w:t>
      </w:r>
      <w:bookmarkEnd w:id="293"/>
      <w:bookmarkEnd w:id="294"/>
      <w:bookmarkEnd w:id="295"/>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296" w:name="_Toc381881105"/>
      <w:bookmarkStart w:id="297" w:name="_Toc426464990"/>
      <w:bookmarkStart w:id="298" w:name="_Toc377550528"/>
      <w:r>
        <w:rPr>
          <w:rStyle w:val="CharSClsNo"/>
        </w:rPr>
        <w:t>6</w:t>
      </w:r>
      <w:r>
        <w:rPr>
          <w:snapToGrid w:val="0"/>
        </w:rPr>
        <w:t>.</w:t>
      </w:r>
      <w:r>
        <w:rPr>
          <w:snapToGrid w:val="0"/>
        </w:rPr>
        <w:tab/>
        <w:t>Meetings</w:t>
      </w:r>
      <w:bookmarkEnd w:id="296"/>
      <w:bookmarkEnd w:id="297"/>
      <w:bookmarkEnd w:id="298"/>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299" w:name="_Toc381881106"/>
      <w:bookmarkStart w:id="300" w:name="_Toc426464991"/>
      <w:bookmarkStart w:id="301" w:name="_Toc377550529"/>
      <w:r>
        <w:rPr>
          <w:rStyle w:val="CharSClsNo"/>
        </w:rPr>
        <w:t>6A</w:t>
      </w:r>
      <w:r>
        <w:rPr>
          <w:snapToGrid w:val="0"/>
        </w:rPr>
        <w:t>.</w:t>
      </w:r>
      <w:r>
        <w:rPr>
          <w:snapToGrid w:val="0"/>
        </w:rPr>
        <w:tab/>
        <w:t>Telephone and video meetings</w:t>
      </w:r>
      <w:bookmarkEnd w:id="299"/>
      <w:bookmarkEnd w:id="300"/>
      <w:bookmarkEnd w:id="301"/>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302" w:name="_Toc381881107"/>
      <w:bookmarkStart w:id="303" w:name="_Toc426464992"/>
      <w:bookmarkStart w:id="304" w:name="_Toc377550530"/>
      <w:r>
        <w:rPr>
          <w:rStyle w:val="CharSClsNo"/>
        </w:rPr>
        <w:t>7</w:t>
      </w:r>
      <w:r>
        <w:rPr>
          <w:snapToGrid w:val="0"/>
        </w:rPr>
        <w:t>.</w:t>
      </w:r>
      <w:r>
        <w:rPr>
          <w:snapToGrid w:val="0"/>
        </w:rPr>
        <w:tab/>
        <w:t>Committees</w:t>
      </w:r>
      <w:bookmarkEnd w:id="302"/>
      <w:bookmarkEnd w:id="303"/>
      <w:bookmarkEnd w:id="304"/>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305" w:name="_Toc381881108"/>
      <w:bookmarkStart w:id="306" w:name="_Toc426464993"/>
      <w:bookmarkStart w:id="307" w:name="_Toc377550531"/>
      <w:r>
        <w:rPr>
          <w:rStyle w:val="CharSClsNo"/>
        </w:rPr>
        <w:t>8</w:t>
      </w:r>
      <w:r>
        <w:rPr>
          <w:snapToGrid w:val="0"/>
        </w:rPr>
        <w:t>.</w:t>
      </w:r>
      <w:r>
        <w:rPr>
          <w:snapToGrid w:val="0"/>
        </w:rPr>
        <w:tab/>
        <w:t>Resolution may be passed without meeting</w:t>
      </w:r>
      <w:bookmarkEnd w:id="305"/>
      <w:bookmarkEnd w:id="306"/>
      <w:bookmarkEnd w:id="307"/>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308" w:name="_Toc381881109"/>
      <w:bookmarkStart w:id="309" w:name="_Toc426464994"/>
      <w:bookmarkStart w:id="310" w:name="_Toc377550532"/>
      <w:r>
        <w:rPr>
          <w:rStyle w:val="CharSClsNo"/>
        </w:rPr>
        <w:t>8A</w:t>
      </w:r>
      <w:r>
        <w:rPr>
          <w:snapToGrid w:val="0"/>
        </w:rPr>
        <w:t>.</w:t>
      </w:r>
      <w:r>
        <w:rPr>
          <w:snapToGrid w:val="0"/>
        </w:rPr>
        <w:tab/>
        <w:t>Minutes of meetings etc.</w:t>
      </w:r>
      <w:bookmarkEnd w:id="308"/>
      <w:bookmarkEnd w:id="309"/>
      <w:bookmarkEnd w:id="310"/>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311" w:name="_Toc381881110"/>
      <w:bookmarkStart w:id="312" w:name="_Toc426464995"/>
      <w:bookmarkStart w:id="313" w:name="_Toc377550533"/>
      <w:r>
        <w:rPr>
          <w:rStyle w:val="CharSClsNo"/>
        </w:rPr>
        <w:t>9</w:t>
      </w:r>
      <w:r>
        <w:rPr>
          <w:snapToGrid w:val="0"/>
        </w:rPr>
        <w:t>.</w:t>
      </w:r>
      <w:r>
        <w:rPr>
          <w:snapToGrid w:val="0"/>
        </w:rPr>
        <w:tab/>
        <w:t>Leave of absence</w:t>
      </w:r>
      <w:bookmarkEnd w:id="311"/>
      <w:bookmarkEnd w:id="312"/>
      <w:bookmarkEnd w:id="313"/>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314" w:name="_Toc381881111"/>
      <w:bookmarkStart w:id="315" w:name="_Toc426464996"/>
      <w:bookmarkStart w:id="316" w:name="_Toc377550534"/>
      <w:r>
        <w:rPr>
          <w:rStyle w:val="CharSClsNo"/>
        </w:rPr>
        <w:t>10</w:t>
      </w:r>
      <w:r>
        <w:rPr>
          <w:snapToGrid w:val="0"/>
        </w:rPr>
        <w:t>.</w:t>
      </w:r>
      <w:r>
        <w:rPr>
          <w:snapToGrid w:val="0"/>
        </w:rPr>
        <w:tab/>
        <w:t>Board to determine own procedures</w:t>
      </w:r>
      <w:bookmarkEnd w:id="314"/>
      <w:bookmarkEnd w:id="315"/>
      <w:bookmarkEnd w:id="316"/>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317" w:name="_Toc381881112"/>
      <w:bookmarkStart w:id="318" w:name="_Toc426464997"/>
      <w:bookmarkStart w:id="319" w:name="_Toc377550535"/>
      <w:r>
        <w:rPr>
          <w:rStyle w:val="CharSClsNo"/>
        </w:rPr>
        <w:t>11</w:t>
      </w:r>
      <w:r>
        <w:rPr>
          <w:snapToGrid w:val="0"/>
        </w:rPr>
        <w:t>.</w:t>
      </w:r>
      <w:r>
        <w:rPr>
          <w:snapToGrid w:val="0"/>
        </w:rPr>
        <w:tab/>
        <w:t>Protection of commissioners</w:t>
      </w:r>
      <w:bookmarkEnd w:id="317"/>
      <w:bookmarkEnd w:id="318"/>
      <w:bookmarkEnd w:id="319"/>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320" w:name="_Toc381880292"/>
      <w:bookmarkStart w:id="321" w:name="_Toc381880393"/>
      <w:bookmarkStart w:id="322" w:name="_Toc381881113"/>
      <w:bookmarkStart w:id="323" w:name="_Toc419713752"/>
      <w:bookmarkStart w:id="324" w:name="_Toc419713852"/>
      <w:bookmarkStart w:id="325" w:name="_Toc426464998"/>
      <w:bookmarkStart w:id="326" w:name="_Toc377550536"/>
      <w:r>
        <w:rPr>
          <w:rStyle w:val="CharSchNo"/>
        </w:rPr>
        <w:t>Schedule 4</w:t>
      </w:r>
      <w:r>
        <w:t> — </w:t>
      </w:r>
      <w:r>
        <w:rPr>
          <w:rStyle w:val="CharSchText"/>
        </w:rPr>
        <w:t>Saving, validation and transitional provisions</w:t>
      </w:r>
      <w:bookmarkEnd w:id="320"/>
      <w:bookmarkEnd w:id="321"/>
      <w:bookmarkEnd w:id="322"/>
      <w:bookmarkEnd w:id="323"/>
      <w:bookmarkEnd w:id="324"/>
      <w:bookmarkEnd w:id="325"/>
      <w:bookmarkEnd w:id="326"/>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327" w:name="_Toc381881114"/>
      <w:bookmarkStart w:id="328" w:name="_Toc426464999"/>
      <w:bookmarkStart w:id="329" w:name="_Toc377550537"/>
      <w:r>
        <w:rPr>
          <w:rStyle w:val="CharSClsNo"/>
        </w:rPr>
        <w:t>1</w:t>
      </w:r>
      <w:r>
        <w:rPr>
          <w:snapToGrid w:val="0"/>
        </w:rPr>
        <w:t>.</w:t>
      </w:r>
      <w:r>
        <w:rPr>
          <w:snapToGrid w:val="0"/>
        </w:rPr>
        <w:tab/>
        <w:t>Terms used</w:t>
      </w:r>
      <w:bookmarkEnd w:id="327"/>
      <w:bookmarkEnd w:id="328"/>
      <w:bookmarkEnd w:id="32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330" w:name="_Toc381881115"/>
      <w:bookmarkStart w:id="331" w:name="_Toc426465000"/>
      <w:bookmarkStart w:id="332" w:name="_Toc377550538"/>
      <w:r>
        <w:rPr>
          <w:rStyle w:val="CharSClsNo"/>
        </w:rPr>
        <w:t>2</w:t>
      </w:r>
      <w:r>
        <w:rPr>
          <w:snapToGrid w:val="0"/>
        </w:rPr>
        <w:t>.</w:t>
      </w:r>
      <w:r>
        <w:rPr>
          <w:snapToGrid w:val="0"/>
        </w:rPr>
        <w:tab/>
        <w:t>Transfer of assets, liabilities and records of MVIT</w:t>
      </w:r>
      <w:bookmarkEnd w:id="330"/>
      <w:bookmarkEnd w:id="331"/>
      <w:bookmarkEnd w:id="33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ins w:id="333" w:author="svcMRProcess" w:date="2018-09-03T16:32:00Z">
        <w:r>
          <w:rPr>
            <w:snapToGrid w:val="0"/>
            <w:vertAlign w:val="superscript"/>
          </w:rPr>
          <w:t> 5</w:t>
        </w:r>
      </w:ins>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334" w:name="_Toc381881116"/>
      <w:bookmarkStart w:id="335" w:name="_Toc426465001"/>
      <w:bookmarkStart w:id="336" w:name="_Toc377550539"/>
      <w:r>
        <w:rPr>
          <w:rStyle w:val="CharSClsNo"/>
        </w:rPr>
        <w:t>3</w:t>
      </w:r>
      <w:r>
        <w:rPr>
          <w:snapToGrid w:val="0"/>
        </w:rPr>
        <w:t>.</w:t>
      </w:r>
      <w:r>
        <w:rPr>
          <w:snapToGrid w:val="0"/>
        </w:rPr>
        <w:tab/>
        <w:t>MVIT insurance policies</w:t>
      </w:r>
      <w:bookmarkEnd w:id="334"/>
      <w:bookmarkEnd w:id="335"/>
      <w:bookmarkEnd w:id="336"/>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337" w:name="_Toc381881117"/>
      <w:bookmarkStart w:id="338" w:name="_Toc426465002"/>
      <w:bookmarkStart w:id="339" w:name="_Toc377550540"/>
      <w:r>
        <w:rPr>
          <w:rStyle w:val="CharSClsNo"/>
        </w:rPr>
        <w:t>4</w:t>
      </w:r>
      <w:r>
        <w:rPr>
          <w:snapToGrid w:val="0"/>
        </w:rPr>
        <w:t>.</w:t>
      </w:r>
      <w:r>
        <w:rPr>
          <w:snapToGrid w:val="0"/>
        </w:rPr>
        <w:tab/>
        <w:t>Agreements, instruments, determinations and proceedings generally</w:t>
      </w:r>
      <w:bookmarkEnd w:id="337"/>
      <w:bookmarkEnd w:id="338"/>
      <w:bookmarkEnd w:id="339"/>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340" w:name="_Toc381881118"/>
      <w:bookmarkStart w:id="341" w:name="_Toc426465003"/>
      <w:bookmarkStart w:id="342" w:name="_Toc377550541"/>
      <w:r>
        <w:rPr>
          <w:rStyle w:val="CharSClsNo"/>
        </w:rPr>
        <w:t>5</w:t>
      </w:r>
      <w:r>
        <w:rPr>
          <w:snapToGrid w:val="0"/>
        </w:rPr>
        <w:t>.</w:t>
      </w:r>
      <w:r>
        <w:rPr>
          <w:snapToGrid w:val="0"/>
        </w:rPr>
        <w:tab/>
        <w:t>Final reports on operations of MVIT</w:t>
      </w:r>
      <w:bookmarkEnd w:id="340"/>
      <w:bookmarkEnd w:id="341"/>
      <w:bookmarkEnd w:id="342"/>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del w:id="343" w:author="svcMRProcess" w:date="2018-09-03T16:32:00Z">
        <w:r>
          <w:rPr>
            <w:snapToGrid w:val="0"/>
            <w:vertAlign w:val="superscript"/>
          </w:rPr>
          <w:delText>8</w:delText>
        </w:r>
      </w:del>
      <w:ins w:id="344" w:author="svcMRProcess" w:date="2018-09-03T16:32:00Z">
        <w:r>
          <w:rPr>
            <w:snapToGrid w:val="0"/>
            <w:vertAlign w:val="superscript"/>
          </w:rPr>
          <w:t>6</w:t>
        </w:r>
      </w:ins>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345" w:name="_Toc381881119"/>
      <w:bookmarkStart w:id="346" w:name="_Toc426465004"/>
      <w:bookmarkStart w:id="347" w:name="_Toc377550542"/>
      <w:r>
        <w:rPr>
          <w:rStyle w:val="CharSClsNo"/>
        </w:rPr>
        <w:t>6</w:t>
      </w:r>
      <w:r>
        <w:rPr>
          <w:snapToGrid w:val="0"/>
        </w:rPr>
        <w:t>.</w:t>
      </w:r>
      <w:r>
        <w:rPr>
          <w:snapToGrid w:val="0"/>
        </w:rPr>
        <w:tab/>
        <w:t>Assessment as to sufficiency of income</w:t>
      </w:r>
      <w:bookmarkEnd w:id="345"/>
      <w:bookmarkEnd w:id="346"/>
      <w:bookmarkEnd w:id="347"/>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348" w:name="_Toc381881120"/>
      <w:bookmarkStart w:id="349" w:name="_Toc426465005"/>
      <w:bookmarkStart w:id="350" w:name="_Toc377550543"/>
      <w:r>
        <w:rPr>
          <w:rStyle w:val="CharSClsNo"/>
        </w:rPr>
        <w:t>7</w:t>
      </w:r>
      <w:r>
        <w:rPr>
          <w:snapToGrid w:val="0"/>
        </w:rPr>
        <w:t>.</w:t>
      </w:r>
      <w:r>
        <w:rPr>
          <w:snapToGrid w:val="0"/>
        </w:rPr>
        <w:tab/>
        <w:t>Employment of current officers</w:t>
      </w:r>
      <w:bookmarkEnd w:id="348"/>
      <w:bookmarkEnd w:id="349"/>
      <w:bookmarkEnd w:id="350"/>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351" w:name="_Toc381881121"/>
      <w:bookmarkStart w:id="352" w:name="_Toc426465006"/>
      <w:bookmarkStart w:id="353" w:name="_Toc377550544"/>
      <w:r>
        <w:rPr>
          <w:rStyle w:val="CharSClsNo"/>
        </w:rPr>
        <w:t>8</w:t>
      </w:r>
      <w:r>
        <w:rPr>
          <w:snapToGrid w:val="0"/>
        </w:rPr>
        <w:t>.</w:t>
      </w:r>
      <w:r>
        <w:rPr>
          <w:snapToGrid w:val="0"/>
        </w:rPr>
        <w:tab/>
        <w:t>References to MVIT in laws</w:t>
      </w:r>
      <w:bookmarkEnd w:id="351"/>
      <w:bookmarkEnd w:id="352"/>
      <w:bookmarkEnd w:id="353"/>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354" w:name="_Toc381881122"/>
      <w:bookmarkStart w:id="355" w:name="_Toc426465007"/>
      <w:bookmarkStart w:id="356" w:name="_Toc377550545"/>
      <w:r>
        <w:rPr>
          <w:rStyle w:val="CharSClsNo"/>
        </w:rPr>
        <w:t>9</w:t>
      </w:r>
      <w:r>
        <w:rPr>
          <w:snapToGrid w:val="0"/>
        </w:rPr>
        <w:t>.</w:t>
      </w:r>
      <w:r>
        <w:rPr>
          <w:snapToGrid w:val="0"/>
        </w:rPr>
        <w:tab/>
        <w:t>Transfer of assets, liabilities and records of SGIO</w:t>
      </w:r>
      <w:bookmarkEnd w:id="354"/>
      <w:bookmarkEnd w:id="355"/>
      <w:bookmarkEnd w:id="356"/>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357" w:name="_Toc381881123"/>
      <w:bookmarkStart w:id="358" w:name="_Toc426465008"/>
      <w:bookmarkStart w:id="359" w:name="_Toc377550546"/>
      <w:r>
        <w:rPr>
          <w:rStyle w:val="CharSClsNo"/>
        </w:rPr>
        <w:t>10</w:t>
      </w:r>
      <w:r>
        <w:rPr>
          <w:snapToGrid w:val="0"/>
        </w:rPr>
        <w:t>.</w:t>
      </w:r>
      <w:r>
        <w:rPr>
          <w:snapToGrid w:val="0"/>
        </w:rPr>
        <w:tab/>
        <w:t>SGIO insurance policies and re</w:t>
      </w:r>
      <w:r>
        <w:rPr>
          <w:snapToGrid w:val="0"/>
        </w:rPr>
        <w:noBreakHyphen/>
        <w:t>insurance</w:t>
      </w:r>
      <w:bookmarkEnd w:id="357"/>
      <w:bookmarkEnd w:id="358"/>
      <w:bookmarkEnd w:id="359"/>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w:t>
      </w:r>
      <w:del w:id="360" w:author="svcMRProcess" w:date="2018-09-03T16:32:00Z">
        <w:r>
          <w:rPr>
            <w:snapToGrid w:val="0"/>
            <w:vertAlign w:val="superscript"/>
          </w:rPr>
          <w:delText>9</w:delText>
        </w:r>
      </w:del>
      <w:ins w:id="361" w:author="svcMRProcess" w:date="2018-09-03T16:32:00Z">
        <w:r>
          <w:rPr>
            <w:snapToGrid w:val="0"/>
            <w:vertAlign w:val="superscript"/>
          </w:rPr>
          <w:t>7</w:t>
        </w:r>
      </w:ins>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362" w:name="_Toc381881124"/>
      <w:bookmarkStart w:id="363" w:name="_Toc426465009"/>
      <w:bookmarkStart w:id="364" w:name="_Toc377550547"/>
      <w:r>
        <w:rPr>
          <w:rStyle w:val="CharSClsNo"/>
        </w:rPr>
        <w:t>11</w:t>
      </w:r>
      <w:r>
        <w:rPr>
          <w:snapToGrid w:val="0"/>
        </w:rPr>
        <w:t>.</w:t>
      </w:r>
      <w:r>
        <w:rPr>
          <w:snapToGrid w:val="0"/>
        </w:rPr>
        <w:tab/>
        <w:t>Agents and brokers</w:t>
      </w:r>
      <w:bookmarkEnd w:id="362"/>
      <w:bookmarkEnd w:id="363"/>
      <w:bookmarkEnd w:id="364"/>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w:t>
      </w:r>
      <w:del w:id="365" w:author="svcMRProcess" w:date="2018-09-03T16:32:00Z">
        <w:r>
          <w:rPr>
            <w:snapToGrid w:val="0"/>
            <w:vertAlign w:val="superscript"/>
          </w:rPr>
          <w:delText>10</w:delText>
        </w:r>
      </w:del>
      <w:ins w:id="366" w:author="svcMRProcess" w:date="2018-09-03T16:32:00Z">
        <w:r>
          <w:rPr>
            <w:snapToGrid w:val="0"/>
            <w:vertAlign w:val="superscript"/>
          </w:rPr>
          <w:t>8</w:t>
        </w:r>
      </w:ins>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367" w:name="_Toc381881125"/>
      <w:bookmarkStart w:id="368" w:name="_Toc426465010"/>
      <w:bookmarkStart w:id="369" w:name="_Toc377550548"/>
      <w:r>
        <w:rPr>
          <w:rStyle w:val="CharSClsNo"/>
        </w:rPr>
        <w:t>12</w:t>
      </w:r>
      <w:r>
        <w:rPr>
          <w:snapToGrid w:val="0"/>
        </w:rPr>
        <w:t>.</w:t>
      </w:r>
      <w:r>
        <w:rPr>
          <w:snapToGrid w:val="0"/>
        </w:rPr>
        <w:tab/>
        <w:t>Agreements, instruments and proceedings generally</w:t>
      </w:r>
      <w:bookmarkEnd w:id="367"/>
      <w:bookmarkEnd w:id="368"/>
      <w:bookmarkEnd w:id="369"/>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370" w:name="_Toc381881126"/>
      <w:bookmarkStart w:id="371" w:name="_Toc426465011"/>
      <w:bookmarkStart w:id="372" w:name="_Toc377550549"/>
      <w:r>
        <w:rPr>
          <w:rStyle w:val="CharSClsNo"/>
        </w:rPr>
        <w:t>13</w:t>
      </w:r>
      <w:r>
        <w:rPr>
          <w:snapToGrid w:val="0"/>
        </w:rPr>
        <w:t>.</w:t>
      </w:r>
      <w:r>
        <w:rPr>
          <w:snapToGrid w:val="0"/>
        </w:rPr>
        <w:tab/>
        <w:t>Final reports on operations of SGIO</w:t>
      </w:r>
      <w:bookmarkEnd w:id="370"/>
      <w:bookmarkEnd w:id="371"/>
      <w:bookmarkEnd w:id="372"/>
    </w:p>
    <w:p>
      <w:pPr>
        <w:pStyle w:val="ySubsection"/>
        <w:rPr>
          <w:snapToGrid w:val="0"/>
        </w:rPr>
      </w:pPr>
      <w:r>
        <w:rPr>
          <w:snapToGrid w:val="0"/>
        </w:rPr>
        <w:tab/>
        <w:t>(1)</w:t>
      </w:r>
      <w:r>
        <w:rPr>
          <w:snapToGrid w:val="0"/>
        </w:rPr>
        <w:tab/>
        <w:t>If sections 21(1), (2) and (3) and 22</w:t>
      </w:r>
      <w:ins w:id="373" w:author="svcMRProcess" w:date="2018-09-03T16:32:00Z">
        <w:r>
          <w:rPr>
            <w:snapToGrid w:val="0"/>
            <w:vertAlign w:val="superscript"/>
          </w:rPr>
          <w:t> 9</w:t>
        </w:r>
      </w:ins>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del w:id="374" w:author="svcMRProcess" w:date="2018-09-03T16:32:00Z">
        <w:r>
          <w:rPr>
            <w:iCs/>
            <w:snapToGrid w:val="0"/>
            <w:vertAlign w:val="superscript"/>
          </w:rPr>
          <w:delText>8</w:delText>
        </w:r>
      </w:del>
      <w:ins w:id="375" w:author="svcMRProcess" w:date="2018-09-03T16:32:00Z">
        <w:r>
          <w:rPr>
            <w:iCs/>
            <w:snapToGrid w:val="0"/>
            <w:vertAlign w:val="superscript"/>
          </w:rPr>
          <w:t>6</w:t>
        </w:r>
      </w:ins>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376" w:name="_Toc381881127"/>
      <w:bookmarkStart w:id="377" w:name="_Toc426465012"/>
      <w:bookmarkStart w:id="378" w:name="_Toc377550550"/>
      <w:r>
        <w:rPr>
          <w:rStyle w:val="CharSClsNo"/>
        </w:rPr>
        <w:t>14</w:t>
      </w:r>
      <w:r>
        <w:rPr>
          <w:snapToGrid w:val="0"/>
        </w:rPr>
        <w:t>.</w:t>
      </w:r>
      <w:r>
        <w:rPr>
          <w:snapToGrid w:val="0"/>
        </w:rPr>
        <w:tab/>
        <w:t>Certain outstanding obligations to be met by Commission</w:t>
      </w:r>
      <w:bookmarkEnd w:id="376"/>
      <w:bookmarkEnd w:id="377"/>
      <w:bookmarkEnd w:id="378"/>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379" w:name="_Toc381881128"/>
      <w:bookmarkStart w:id="380" w:name="_Toc426465013"/>
      <w:bookmarkStart w:id="381" w:name="_Toc377550551"/>
      <w:r>
        <w:rPr>
          <w:rStyle w:val="CharSClsNo"/>
        </w:rPr>
        <w:t>15</w:t>
      </w:r>
      <w:r>
        <w:rPr>
          <w:snapToGrid w:val="0"/>
        </w:rPr>
        <w:t>.</w:t>
      </w:r>
      <w:r>
        <w:rPr>
          <w:snapToGrid w:val="0"/>
        </w:rPr>
        <w:tab/>
        <w:t>Saving of presumption and protection</w:t>
      </w:r>
      <w:bookmarkEnd w:id="379"/>
      <w:bookmarkEnd w:id="380"/>
      <w:bookmarkEnd w:id="381"/>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ins w:id="382" w:author="svcMRProcess" w:date="2018-09-03T16:32:00Z">
        <w:r>
          <w:rPr>
            <w:snapToGrid w:val="0"/>
            <w:vertAlign w:val="superscript"/>
          </w:rPr>
          <w:t> 10</w:t>
        </w:r>
      </w:ins>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383" w:name="_Toc381881129"/>
      <w:bookmarkStart w:id="384" w:name="_Toc426465014"/>
      <w:bookmarkStart w:id="385" w:name="_Toc377550552"/>
      <w:r>
        <w:rPr>
          <w:rStyle w:val="CharSClsNo"/>
        </w:rPr>
        <w:t>16</w:t>
      </w:r>
      <w:r>
        <w:rPr>
          <w:snapToGrid w:val="0"/>
        </w:rPr>
        <w:t>.</w:t>
      </w:r>
      <w:r>
        <w:rPr>
          <w:snapToGrid w:val="0"/>
        </w:rPr>
        <w:tab/>
        <w:t>Employment of staff of SGIO</w:t>
      </w:r>
      <w:bookmarkEnd w:id="383"/>
      <w:bookmarkEnd w:id="384"/>
      <w:bookmarkEnd w:id="385"/>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386" w:name="_Toc381881130"/>
      <w:bookmarkStart w:id="387" w:name="_Toc426465015"/>
      <w:bookmarkStart w:id="388" w:name="_Toc377550553"/>
      <w:r>
        <w:rPr>
          <w:rStyle w:val="CharSClsNo"/>
        </w:rPr>
        <w:t>17</w:t>
      </w:r>
      <w:r>
        <w:rPr>
          <w:snapToGrid w:val="0"/>
        </w:rPr>
        <w:t>.</w:t>
      </w:r>
      <w:r>
        <w:rPr>
          <w:snapToGrid w:val="0"/>
        </w:rPr>
        <w:tab/>
        <w:t>References to the SGIO in laws</w:t>
      </w:r>
      <w:bookmarkEnd w:id="386"/>
      <w:bookmarkEnd w:id="387"/>
      <w:bookmarkEnd w:id="388"/>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389" w:name="_Toc381881131"/>
      <w:bookmarkStart w:id="390" w:name="_Toc426465016"/>
      <w:bookmarkStart w:id="391" w:name="_Toc377550554"/>
      <w:r>
        <w:rPr>
          <w:rStyle w:val="CharSClsNo"/>
        </w:rPr>
        <w:t>18</w:t>
      </w:r>
      <w:r>
        <w:rPr>
          <w:snapToGrid w:val="0"/>
        </w:rPr>
        <w:t>.</w:t>
      </w:r>
      <w:r>
        <w:rPr>
          <w:snapToGrid w:val="0"/>
        </w:rPr>
        <w:tab/>
        <w:t>Apportionment of assets and liabilities</w:t>
      </w:r>
      <w:bookmarkEnd w:id="389"/>
      <w:bookmarkEnd w:id="390"/>
      <w:bookmarkEnd w:id="391"/>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392" w:name="_Toc381881132"/>
      <w:bookmarkStart w:id="393" w:name="_Toc426465017"/>
      <w:bookmarkStart w:id="394" w:name="_Toc377550555"/>
      <w:r>
        <w:rPr>
          <w:rStyle w:val="CharSClsNo"/>
        </w:rPr>
        <w:t>19</w:t>
      </w:r>
      <w:r>
        <w:rPr>
          <w:snapToGrid w:val="0"/>
        </w:rPr>
        <w:t>.</w:t>
      </w:r>
      <w:r>
        <w:rPr>
          <w:snapToGrid w:val="0"/>
        </w:rPr>
        <w:tab/>
        <w:t>Interpretation Act to apply</w:t>
      </w:r>
      <w:bookmarkEnd w:id="392"/>
      <w:bookmarkEnd w:id="393"/>
      <w:bookmarkEnd w:id="394"/>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95" w:name="_Toc381880312"/>
      <w:bookmarkStart w:id="396" w:name="_Toc381880413"/>
      <w:bookmarkStart w:id="397" w:name="_Toc381881133"/>
      <w:bookmarkStart w:id="398" w:name="_Toc419713772"/>
      <w:bookmarkStart w:id="399" w:name="_Toc419713872"/>
      <w:bookmarkStart w:id="400" w:name="_Toc426465018"/>
      <w:bookmarkStart w:id="401" w:name="_Toc377550556"/>
      <w:r>
        <w:t>Notes</w:t>
      </w:r>
      <w:bookmarkEnd w:id="395"/>
      <w:bookmarkEnd w:id="396"/>
      <w:bookmarkEnd w:id="397"/>
      <w:bookmarkEnd w:id="398"/>
      <w:bookmarkEnd w:id="399"/>
      <w:bookmarkEnd w:id="400"/>
      <w:bookmarkEnd w:id="401"/>
    </w:p>
    <w:p>
      <w:pPr>
        <w:pStyle w:val="nSubsection"/>
        <w:spacing w:before="60"/>
        <w:rPr>
          <w:snapToGrid w:val="0"/>
        </w:rPr>
      </w:pPr>
      <w:r>
        <w:rPr>
          <w:snapToGrid w:val="0"/>
          <w:vertAlign w:val="superscript"/>
        </w:rPr>
        <w:t>1</w:t>
      </w:r>
      <w:r>
        <w:rPr>
          <w:snapToGrid w:val="0"/>
        </w:rPr>
        <w:tab/>
        <w:t xml:space="preserve">This </w:t>
      </w:r>
      <w:ins w:id="402" w:author="svcMRProcess" w:date="2018-09-03T16:32:00Z">
        <w:r>
          <w:rPr>
            <w:snapToGrid w:val="0"/>
          </w:rPr>
          <w:t xml:space="preserve">reprint </w:t>
        </w:r>
      </w:ins>
      <w:r>
        <w:rPr>
          <w:snapToGrid w:val="0"/>
        </w:rPr>
        <w:t>is a compilation</w:t>
      </w:r>
      <w:ins w:id="403" w:author="svcMRProcess" w:date="2018-09-03T16:32:00Z">
        <w:r>
          <w:rPr>
            <w:snapToGrid w:val="0"/>
          </w:rPr>
          <w:t xml:space="preserve"> as at 10 January 2014</w:t>
        </w:r>
      </w:ins>
      <w:r>
        <w:rPr>
          <w:snapToGrid w:val="0"/>
        </w:rPr>
        <w:t xml:space="preserve">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404" w:name="_Toc381881134"/>
      <w:bookmarkStart w:id="405" w:name="_Toc426465019"/>
      <w:bookmarkStart w:id="406" w:name="_Toc377550557"/>
      <w:r>
        <w:t>Compilation table</w:t>
      </w:r>
      <w:bookmarkEnd w:id="404"/>
      <w:bookmarkEnd w:id="405"/>
      <w:bookmarkEnd w:id="40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before="30" w:after="40"/>
              <w:ind w:right="113"/>
              <w:rPr>
                <w:vertAlign w:val="superscript"/>
              </w:rPr>
            </w:pPr>
            <w:r>
              <w:rPr>
                <w:i/>
              </w:rPr>
              <w:t>State Government Insurance Commission Act 1986</w:t>
            </w:r>
            <w:r>
              <w:rPr>
                <w:i/>
                <w:vertAlign w:val="superscript"/>
              </w:rPr>
              <w:t> </w:t>
            </w:r>
            <w:r>
              <w:rPr>
                <w:iCs/>
                <w:vertAlign w:val="superscript"/>
              </w:rPr>
              <w:t>14</w:t>
            </w:r>
          </w:p>
        </w:tc>
        <w:tc>
          <w:tcPr>
            <w:tcW w:w="1134" w:type="dxa"/>
          </w:tcPr>
          <w:p>
            <w:pPr>
              <w:pStyle w:val="nTable"/>
              <w:spacing w:before="30" w:after="40"/>
            </w:pPr>
            <w:r>
              <w:t>51 of 1986</w:t>
            </w:r>
          </w:p>
        </w:tc>
        <w:tc>
          <w:tcPr>
            <w:tcW w:w="1134" w:type="dxa"/>
          </w:tcPr>
          <w:p>
            <w:pPr>
              <w:pStyle w:val="nTable"/>
              <w:spacing w:before="30" w:after="40"/>
            </w:pPr>
            <w:r>
              <w:t>5 Aug 1986</w:t>
            </w:r>
          </w:p>
        </w:tc>
        <w:tc>
          <w:tcPr>
            <w:tcW w:w="2552" w:type="dxa"/>
          </w:tcPr>
          <w:p>
            <w:pPr>
              <w:pStyle w:val="nTable"/>
              <w:spacing w:before="30" w:after="40"/>
            </w:pPr>
            <w:r>
              <w:rPr>
                <w:color w:val="000000"/>
              </w:rPr>
              <w:t>s. 1 and 2: 5 Aug 1986;</w:t>
            </w:r>
            <w:r>
              <w:rPr>
                <w:color w:val="000000"/>
              </w:rPr>
              <w:br/>
              <w:t xml:space="preserve">Act other than s. 1 and 2: </w:t>
            </w:r>
            <w:del w:id="407" w:author="svcMRProcess" w:date="2018-09-03T16:32:00Z">
              <w:r>
                <w:rPr>
                  <w:color w:val="000000"/>
                </w:rPr>
                <w:delText>2</w:delText>
              </w:r>
              <w:r>
                <w:delText>1</w:delText>
              </w:r>
            </w:del>
            <w:ins w:id="408" w:author="svcMRProcess" w:date="2018-09-03T16:32:00Z">
              <w:r>
                <w:t>1</w:t>
              </w:r>
            </w:ins>
            <w:r>
              <w:t xml:space="preserve"> Jan 1987 (see s. 2 and </w:t>
            </w:r>
            <w:r>
              <w:rPr>
                <w:i/>
              </w:rPr>
              <w:t>Gazette</w:t>
            </w:r>
            <w:r>
              <w:t xml:space="preserve"> 19 Dec 1986 p. 4859)</w:t>
            </w:r>
          </w:p>
        </w:tc>
      </w:tr>
      <w:tr>
        <w:trPr>
          <w:cantSplit/>
        </w:trPr>
        <w:tc>
          <w:tcPr>
            <w:tcW w:w="2268" w:type="dxa"/>
          </w:tcPr>
          <w:p>
            <w:pPr>
              <w:pStyle w:val="nTable"/>
              <w:spacing w:before="30" w:after="40"/>
              <w:ind w:right="113"/>
            </w:pPr>
            <w:r>
              <w:rPr>
                <w:i/>
              </w:rPr>
              <w:t xml:space="preserve">Acts Amendment (Public Service) Act 1987 </w:t>
            </w:r>
            <w:r>
              <w:t>s. 32</w:t>
            </w:r>
          </w:p>
        </w:tc>
        <w:tc>
          <w:tcPr>
            <w:tcW w:w="1134" w:type="dxa"/>
          </w:tcPr>
          <w:p>
            <w:pPr>
              <w:pStyle w:val="nTable"/>
              <w:spacing w:before="30" w:after="40"/>
            </w:pPr>
            <w:r>
              <w:t>113 of 1987</w:t>
            </w:r>
          </w:p>
        </w:tc>
        <w:tc>
          <w:tcPr>
            <w:tcW w:w="1134" w:type="dxa"/>
          </w:tcPr>
          <w:p>
            <w:pPr>
              <w:pStyle w:val="nTable"/>
              <w:spacing w:before="30" w:after="40"/>
            </w:pPr>
            <w:r>
              <w:t>31 Dec 1987</w:t>
            </w:r>
          </w:p>
        </w:tc>
        <w:tc>
          <w:tcPr>
            <w:tcW w:w="2552" w:type="dxa"/>
          </w:tcPr>
          <w:p>
            <w:pPr>
              <w:pStyle w:val="nTable"/>
              <w:spacing w:before="30" w:after="40"/>
            </w:pPr>
            <w:r>
              <w:t xml:space="preserve">16 Mar 1988 (see s. 2 and </w:t>
            </w:r>
            <w:r>
              <w:rPr>
                <w:i/>
              </w:rPr>
              <w:t>Gazette</w:t>
            </w:r>
            <w:r>
              <w:t xml:space="preserve"> 16 Mar 1988 p. 813)</w:t>
            </w:r>
          </w:p>
        </w:tc>
      </w:tr>
      <w:tr>
        <w:trPr>
          <w:cantSplit/>
        </w:trPr>
        <w:tc>
          <w:tcPr>
            <w:tcW w:w="2268" w:type="dxa"/>
          </w:tcPr>
          <w:p>
            <w:pPr>
              <w:pStyle w:val="nTable"/>
              <w:spacing w:before="30" w:after="40"/>
              <w:ind w:right="113"/>
            </w:pPr>
            <w:r>
              <w:rPr>
                <w:i/>
              </w:rPr>
              <w:t>Acts Amendment (Accountability) Act 1989</w:t>
            </w:r>
            <w:r>
              <w:t xml:space="preserve"> Pt. 6</w:t>
            </w:r>
          </w:p>
        </w:tc>
        <w:tc>
          <w:tcPr>
            <w:tcW w:w="1134" w:type="dxa"/>
          </w:tcPr>
          <w:p>
            <w:pPr>
              <w:pStyle w:val="nTable"/>
              <w:spacing w:before="30" w:after="40"/>
            </w:pPr>
            <w:r>
              <w:t>5 of 1989</w:t>
            </w:r>
          </w:p>
        </w:tc>
        <w:tc>
          <w:tcPr>
            <w:tcW w:w="1134" w:type="dxa"/>
          </w:tcPr>
          <w:p>
            <w:pPr>
              <w:pStyle w:val="nTable"/>
              <w:spacing w:before="30" w:after="40"/>
            </w:pPr>
            <w:r>
              <w:t>26 Apr 1989</w:t>
            </w:r>
          </w:p>
        </w:tc>
        <w:tc>
          <w:tcPr>
            <w:tcW w:w="2552" w:type="dxa"/>
          </w:tcPr>
          <w:p>
            <w:pPr>
              <w:pStyle w:val="nTable"/>
              <w:spacing w:before="30" w:after="40"/>
            </w:pPr>
            <w:r>
              <w:t xml:space="preserve">1 Jul 1989 (see s. 2 and </w:t>
            </w:r>
            <w:r>
              <w:rPr>
                <w:i/>
              </w:rPr>
              <w:t>Gazette</w:t>
            </w:r>
            <w:r>
              <w:t xml:space="preserve"> 30 Jun 1989 p. 1893)</w:t>
            </w:r>
          </w:p>
        </w:tc>
      </w:tr>
      <w:tr>
        <w:trPr>
          <w:cantSplit/>
        </w:trPr>
        <w:tc>
          <w:tcPr>
            <w:tcW w:w="2268" w:type="dxa"/>
          </w:tcPr>
          <w:p>
            <w:pPr>
              <w:pStyle w:val="nTable"/>
              <w:spacing w:before="30" w:after="40"/>
              <w:ind w:right="113"/>
            </w:pPr>
            <w:r>
              <w:rPr>
                <w:i/>
              </w:rPr>
              <w:t>SGIO Privatisation Act 1992</w:t>
            </w:r>
            <w:r>
              <w:t xml:space="preserve"> s. 28</w:t>
            </w:r>
          </w:p>
        </w:tc>
        <w:tc>
          <w:tcPr>
            <w:tcW w:w="1134" w:type="dxa"/>
          </w:tcPr>
          <w:p>
            <w:pPr>
              <w:pStyle w:val="nTable"/>
              <w:spacing w:before="30" w:after="40"/>
            </w:pPr>
            <w:r>
              <w:t>49 of 1992</w:t>
            </w:r>
          </w:p>
        </w:tc>
        <w:tc>
          <w:tcPr>
            <w:tcW w:w="1134" w:type="dxa"/>
          </w:tcPr>
          <w:p>
            <w:pPr>
              <w:pStyle w:val="nTable"/>
              <w:spacing w:before="30" w:after="40"/>
            </w:pPr>
            <w:r>
              <w:t>9 Dec 1992</w:t>
            </w:r>
          </w:p>
        </w:tc>
        <w:tc>
          <w:tcPr>
            <w:tcW w:w="2552" w:type="dxa"/>
          </w:tcPr>
          <w:p>
            <w:pPr>
              <w:pStyle w:val="nTable"/>
              <w:spacing w:before="30" w:after="40"/>
            </w:pPr>
            <w:r>
              <w:t xml:space="preserve">7 Jan 1993 (see s. 2(3) and </w:t>
            </w:r>
            <w:r>
              <w:rPr>
                <w:i/>
              </w:rPr>
              <w:t>Gazette</w:t>
            </w:r>
            <w:r>
              <w:t xml:space="preserve"> 7 Jan 1993 p. 15)</w:t>
            </w:r>
          </w:p>
        </w:tc>
      </w:tr>
      <w:tr>
        <w:trPr>
          <w:cantSplit/>
        </w:trPr>
        <w:tc>
          <w:tcPr>
            <w:tcW w:w="2268" w:type="dxa"/>
          </w:tcPr>
          <w:p>
            <w:pPr>
              <w:pStyle w:val="nTable"/>
              <w:spacing w:before="30" w:after="40"/>
              <w:ind w:right="113"/>
            </w:pPr>
            <w:r>
              <w:rPr>
                <w:i/>
              </w:rPr>
              <w:t>Financial Administration Legislation Amendment Act 1993</w:t>
            </w:r>
            <w:r>
              <w:t xml:space="preserve"> s. 11</w:t>
            </w:r>
          </w:p>
        </w:tc>
        <w:tc>
          <w:tcPr>
            <w:tcW w:w="1134" w:type="dxa"/>
          </w:tcPr>
          <w:p>
            <w:pPr>
              <w:pStyle w:val="nTable"/>
              <w:spacing w:before="30" w:after="40"/>
            </w:pPr>
            <w:r>
              <w:t>6 of 1993</w:t>
            </w:r>
          </w:p>
        </w:tc>
        <w:tc>
          <w:tcPr>
            <w:tcW w:w="1134" w:type="dxa"/>
          </w:tcPr>
          <w:p>
            <w:pPr>
              <w:pStyle w:val="nTable"/>
              <w:spacing w:before="30" w:after="40"/>
            </w:pPr>
            <w:r>
              <w:t>27 Aug 1993</w:t>
            </w:r>
          </w:p>
        </w:tc>
        <w:tc>
          <w:tcPr>
            <w:tcW w:w="2552" w:type="dxa"/>
          </w:tcPr>
          <w:p>
            <w:pPr>
              <w:pStyle w:val="nTable"/>
              <w:spacing w:before="30" w:after="40"/>
            </w:pPr>
            <w:r>
              <w:t xml:space="preserve"> 1 Jul 1993 (see s. 2(1))</w:t>
            </w:r>
          </w:p>
        </w:tc>
      </w:tr>
      <w:tr>
        <w:trPr>
          <w:cantSplit/>
        </w:trPr>
        <w:tc>
          <w:tcPr>
            <w:tcW w:w="2268" w:type="dxa"/>
          </w:tcPr>
          <w:p>
            <w:pPr>
              <w:pStyle w:val="nTable"/>
              <w:spacing w:before="30" w:after="40"/>
              <w:ind w:right="113"/>
            </w:pPr>
            <w:r>
              <w:rPr>
                <w:i/>
              </w:rPr>
              <w:t>Acts Amendment (Public Sector Management) Act 1994</w:t>
            </w:r>
            <w:r>
              <w:t xml:space="preserve"> s. 19</w:t>
            </w:r>
          </w:p>
        </w:tc>
        <w:tc>
          <w:tcPr>
            <w:tcW w:w="1134" w:type="dxa"/>
          </w:tcPr>
          <w:p>
            <w:pPr>
              <w:pStyle w:val="nTable"/>
              <w:spacing w:before="30" w:after="40"/>
            </w:pPr>
            <w:r>
              <w:t>32 of 1994</w:t>
            </w:r>
          </w:p>
        </w:tc>
        <w:tc>
          <w:tcPr>
            <w:tcW w:w="1134" w:type="dxa"/>
          </w:tcPr>
          <w:p>
            <w:pPr>
              <w:pStyle w:val="nTable"/>
              <w:spacing w:before="30" w:after="40"/>
            </w:pPr>
            <w:r>
              <w:t>29 Jun 1994</w:t>
            </w:r>
          </w:p>
        </w:tc>
        <w:tc>
          <w:tcPr>
            <w:tcW w:w="2552" w:type="dxa"/>
          </w:tcPr>
          <w:p>
            <w:pPr>
              <w:pStyle w:val="nTable"/>
              <w:spacing w:before="30" w:after="40"/>
            </w:pPr>
            <w:r>
              <w:t xml:space="preserve">1 Oct 1994 (see s. 2 and </w:t>
            </w:r>
            <w:r>
              <w:rPr>
                <w:i/>
              </w:rPr>
              <w:t>Gazette</w:t>
            </w:r>
            <w:r>
              <w:t xml:space="preserve"> 30 Sep 1994 p. 4948)</w:t>
            </w:r>
          </w:p>
        </w:tc>
      </w:tr>
      <w:tr>
        <w:trPr>
          <w:cantSplit/>
        </w:trPr>
        <w:tc>
          <w:tcPr>
            <w:tcW w:w="2268" w:type="dxa"/>
          </w:tcPr>
          <w:p>
            <w:pPr>
              <w:pStyle w:val="nTable"/>
              <w:spacing w:before="30" w:after="40"/>
              <w:ind w:right="113"/>
            </w:pPr>
            <w:r>
              <w:rPr>
                <w:i/>
              </w:rPr>
              <w:t>Statutory Corporations (Liability of Directors) Act 1996</w:t>
            </w:r>
            <w:r>
              <w:t xml:space="preserve"> s. 3</w:t>
            </w:r>
          </w:p>
        </w:tc>
        <w:tc>
          <w:tcPr>
            <w:tcW w:w="1134" w:type="dxa"/>
          </w:tcPr>
          <w:p>
            <w:pPr>
              <w:pStyle w:val="nTable"/>
              <w:spacing w:before="30" w:after="40"/>
            </w:pPr>
            <w:r>
              <w:t>41 of 1996</w:t>
            </w:r>
          </w:p>
        </w:tc>
        <w:tc>
          <w:tcPr>
            <w:tcW w:w="1134" w:type="dxa"/>
          </w:tcPr>
          <w:p>
            <w:pPr>
              <w:pStyle w:val="nTable"/>
              <w:spacing w:before="30" w:after="40"/>
            </w:pPr>
            <w:r>
              <w:t>10 Oct 1996</w:t>
            </w:r>
          </w:p>
        </w:tc>
        <w:tc>
          <w:tcPr>
            <w:tcW w:w="2552" w:type="dxa"/>
          </w:tcPr>
          <w:p>
            <w:pPr>
              <w:pStyle w:val="nTable"/>
              <w:spacing w:before="30" w:after="40"/>
            </w:pPr>
            <w:r>
              <w:t xml:space="preserve">1 Dec 1996 (see s. 2 and </w:t>
            </w:r>
            <w:r>
              <w:rPr>
                <w:i/>
              </w:rPr>
              <w:t>Gazette</w:t>
            </w:r>
            <w:r>
              <w:t xml:space="preserve"> 12 Nov 1996 p. 6301)</w:t>
            </w:r>
          </w:p>
        </w:tc>
      </w:tr>
      <w:tr>
        <w:trPr>
          <w:cantSplit/>
        </w:trPr>
        <w:tc>
          <w:tcPr>
            <w:tcW w:w="2268" w:type="dxa"/>
          </w:tcPr>
          <w:p>
            <w:pPr>
              <w:pStyle w:val="nTable"/>
              <w:spacing w:before="30" w:after="40"/>
              <w:ind w:right="113"/>
              <w:rPr>
                <w:rFonts w:ascii="Arial" w:hAnsi="Arial"/>
                <w:b/>
                <w:iCs/>
              </w:rPr>
            </w:pPr>
            <w:r>
              <w:rPr>
                <w:i/>
              </w:rPr>
              <w:t xml:space="preserve">Acts Amendment (ICWA) Act 1996 </w:t>
            </w:r>
            <w:r>
              <w:rPr>
                <w:iCs/>
              </w:rPr>
              <w:t>Pt. 2 (other than s. 25 and 28)</w:t>
            </w:r>
            <w:r>
              <w:rPr>
                <w:iCs/>
                <w:vertAlign w:val="superscript"/>
              </w:rPr>
              <w:t> 15, 16</w:t>
            </w:r>
          </w:p>
        </w:tc>
        <w:tc>
          <w:tcPr>
            <w:tcW w:w="1134" w:type="dxa"/>
          </w:tcPr>
          <w:p>
            <w:pPr>
              <w:pStyle w:val="nTable"/>
              <w:keepNext/>
              <w:spacing w:before="30" w:after="40"/>
            </w:pPr>
            <w:r>
              <w:t>45 of 1996</w:t>
            </w:r>
          </w:p>
        </w:tc>
        <w:tc>
          <w:tcPr>
            <w:tcW w:w="1134" w:type="dxa"/>
          </w:tcPr>
          <w:p>
            <w:pPr>
              <w:pStyle w:val="nTable"/>
              <w:keepNext/>
              <w:spacing w:before="30" w:after="40"/>
            </w:pPr>
            <w:r>
              <w:t>25 Oct 1996</w:t>
            </w:r>
          </w:p>
        </w:tc>
        <w:tc>
          <w:tcPr>
            <w:tcW w:w="2552" w:type="dxa"/>
          </w:tcPr>
          <w:p>
            <w:pPr>
              <w:pStyle w:val="nTable"/>
              <w:spacing w:before="30" w:after="40"/>
            </w:pPr>
            <w:r>
              <w:t xml:space="preserve">s. 3, 6(b) (to the extent it inserts definition of </w:t>
            </w:r>
            <w:r>
              <w:rPr>
                <w:b/>
                <w:bCs/>
                <w:i/>
                <w:iCs/>
              </w:rPr>
              <w:t>Commission Account</w:t>
            </w:r>
            <w:r>
              <w:t>), 6(c), 9</w:t>
            </w:r>
            <w:r>
              <w:noBreakHyphen/>
              <w:t>12, 15</w:t>
            </w:r>
            <w:r>
              <w:noBreakHyphen/>
              <w:t xml:space="preserve">19, 23 and 26: 14 Dec 1996 (see s. 2 and </w:t>
            </w:r>
            <w:r>
              <w:rPr>
                <w:i/>
              </w:rPr>
              <w:t>Gazette</w:t>
            </w:r>
            <w:r>
              <w:t xml:space="preserve"> 13 Dec 1996 p. 6901);</w:t>
            </w:r>
            <w:r>
              <w:br/>
              <w:t xml:space="preserve">s. 4, 5, 6(b) (to the extent it inserts the definition of </w:t>
            </w:r>
            <w:r>
              <w:rPr>
                <w:b/>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rPr>
          <w:cantSplit/>
        </w:trPr>
        <w:tc>
          <w:tcPr>
            <w:tcW w:w="7088" w:type="dxa"/>
            <w:gridSpan w:val="4"/>
          </w:tcPr>
          <w:p>
            <w:pPr>
              <w:pStyle w:val="nTable"/>
              <w:spacing w:after="40"/>
            </w:pPr>
            <w:r>
              <w:rPr>
                <w:b/>
                <w:bCs/>
              </w:rPr>
              <w:t xml:space="preserve">Reprint of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rPr>
          <w:cantSplit/>
        </w:trPr>
        <w:tc>
          <w:tcPr>
            <w:tcW w:w="2268" w:type="dxa"/>
          </w:tcPr>
          <w:p>
            <w:pPr>
              <w:pStyle w:val="nTable"/>
              <w:spacing w:after="40"/>
              <w:ind w:right="113"/>
              <w:rPr>
                <w:rFonts w:ascii="Arial" w:hAnsi="Arial"/>
                <w:b/>
              </w:rPr>
            </w:pP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Amendment Act 2002</w:t>
            </w:r>
            <w:r>
              <w:rPr>
                <w:vertAlign w:val="superscript"/>
              </w:rPr>
              <w:t> 17</w:t>
            </w:r>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8" w:type="dxa"/>
            <w:gridSpan w:val="4"/>
          </w:tcPr>
          <w:p>
            <w:pPr>
              <w:pStyle w:val="nTable"/>
              <w:spacing w:after="40"/>
              <w:rPr>
                <w:snapToGrid w:val="0"/>
                <w:spacing w:val="-2"/>
              </w:rPr>
            </w:pPr>
            <w:r>
              <w:rPr>
                <w:b/>
                <w:bCs/>
              </w:rPr>
              <w:t xml:space="preserve">Reprint 2: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w:t>
            </w:r>
            <w:del w:id="409" w:author="svcMRProcess" w:date="2018-09-03T16:32:00Z">
              <w:r>
                <w:rPr>
                  <w:iCs/>
                </w:rPr>
                <w:delText xml:space="preserve"> </w:delText>
              </w:r>
            </w:del>
            <w:ins w:id="410" w:author="svcMRProcess" w:date="2018-09-03T16:32:00Z">
              <w:r>
                <w:rPr>
                  <w:iCs/>
                </w:rPr>
                <w:t> </w:t>
              </w:r>
            </w:ins>
            <w:r>
              <w:rPr>
                <w:iCs/>
              </w:rPr>
              <w:t>1</w:t>
            </w:r>
            <w:del w:id="411" w:author="svcMRProcess" w:date="2018-09-03T16:32:00Z">
              <w:r>
                <w:rPr>
                  <w:iCs/>
                </w:rPr>
                <w:delText xml:space="preserve"> </w:delText>
              </w:r>
            </w:del>
            <w:ins w:id="412" w:author="svcMRProcess" w:date="2018-09-03T16:32:00Z">
              <w:r>
                <w:rPr>
                  <w:iCs/>
                </w:rPr>
                <w:t> </w:t>
              </w:r>
            </w:ins>
            <w:r>
              <w:rPr>
                <w:iCs/>
              </w:rPr>
              <w:t>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pPr>
            <w:r>
              <w:rPr>
                <w:b/>
                <w:bCs/>
              </w:rPr>
              <w:t xml:space="preserve">Reprint 3: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rPr>
          <w:cantSplit/>
          <w:ins w:id="413" w:author="svcMRProcess" w:date="2018-09-03T16:32:00Z"/>
        </w:trPr>
        <w:tc>
          <w:tcPr>
            <w:tcW w:w="7088" w:type="dxa"/>
            <w:gridSpan w:val="4"/>
            <w:tcBorders>
              <w:bottom w:val="single" w:sz="8" w:space="0" w:color="auto"/>
            </w:tcBorders>
            <w:shd w:val="clear" w:color="auto" w:fill="auto"/>
          </w:tcPr>
          <w:p>
            <w:pPr>
              <w:pStyle w:val="nTable"/>
              <w:spacing w:after="40"/>
              <w:rPr>
                <w:ins w:id="414" w:author="svcMRProcess" w:date="2018-09-03T16:32:00Z"/>
                <w:snapToGrid w:val="0"/>
              </w:rPr>
            </w:pPr>
            <w:ins w:id="415" w:author="svcMRProcess" w:date="2018-09-03T16:32:00Z">
              <w:r>
                <w:rPr>
                  <w:b/>
                  <w:bCs/>
                </w:rPr>
                <w:t xml:space="preserve">Reprint 4:  The </w:t>
              </w:r>
              <w:r>
                <w:rPr>
                  <w:b/>
                  <w:bCs/>
                  <w:i/>
                  <w:iCs/>
                </w:rPr>
                <w:t>Insurance Commission of Western Australia Act 1986</w:t>
              </w:r>
              <w:r>
                <w:rPr>
                  <w:b/>
                  <w:bCs/>
                </w:rPr>
                <w:t xml:space="preserve"> as at 10 Jan 2014 </w:t>
              </w:r>
              <w:r>
                <w:t xml:space="preserve">(includes amendments listed above) (correction in </w:t>
              </w:r>
              <w:r>
                <w:rPr>
                  <w:i/>
                </w:rPr>
                <w:t xml:space="preserve">Gazette </w:t>
              </w:r>
              <w:r>
                <w:t>4 Aug 2015 p. 3135)</w:t>
              </w:r>
            </w:ins>
          </w:p>
        </w:tc>
      </w:tr>
    </w:tbl>
    <w:p>
      <w:pPr>
        <w:pStyle w:val="nSubsection"/>
        <w:spacing w:before="360"/>
        <w:ind w:left="482" w:hanging="482"/>
      </w:pPr>
      <w:r>
        <w:rPr>
          <w:vertAlign w:val="superscript"/>
        </w:rPr>
        <w:t>1a</w:t>
      </w:r>
      <w:r>
        <w:tab/>
        <w:t xml:space="preserve">On the date as at which this </w:t>
      </w:r>
      <w:del w:id="416" w:author="svcMRProcess" w:date="2018-09-03T16:32:00Z">
        <w:r>
          <w:delText>compilation</w:delText>
        </w:r>
      </w:del>
      <w:ins w:id="417" w:author="svcMRProcess" w:date="2018-09-03T16:32:00Z">
        <w:r>
          <w:t>reprint</w:t>
        </w:r>
      </w:ins>
      <w:r>
        <w:t xml:space="preserve"> was prepared, provisions referred to in the following table had not come into operation and were therefore not included in </w:t>
      </w:r>
      <w:del w:id="418" w:author="svcMRProcess" w:date="2018-09-03T16:32:00Z">
        <w:r>
          <w:delText>this compilation.</w:delText>
        </w:r>
      </w:del>
      <w:ins w:id="419" w:author="svcMRProcess" w:date="2018-09-03T16:32:00Z">
        <w:r>
          <w:t>compiling the reprint.</w:t>
        </w:r>
      </w:ins>
      <w:r>
        <w:t xml:space="preserve">  For the text of the provisions see the endnotes referred to in the table.</w:t>
      </w:r>
    </w:p>
    <w:p>
      <w:pPr>
        <w:pStyle w:val="nHeading3"/>
      </w:pPr>
      <w:bookmarkStart w:id="420" w:name="_Toc381881135"/>
      <w:bookmarkStart w:id="421" w:name="_Toc426465020"/>
      <w:bookmarkStart w:id="422" w:name="_Toc377550558"/>
      <w:r>
        <w:t>Provisions that have not come into operation</w:t>
      </w:r>
      <w:bookmarkEnd w:id="420"/>
      <w:bookmarkEnd w:id="421"/>
      <w:bookmarkEnd w:id="4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w:t>
            </w:r>
            <w:del w:id="423" w:author="svcMRProcess" w:date="2018-09-03T16:32:00Z">
              <w:r>
                <w:rPr>
                  <w:b/>
                </w:rPr>
                <w:delText> </w:delText>
              </w:r>
            </w:del>
            <w:ins w:id="424" w:author="svcMRProcess" w:date="2018-09-03T16:32: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 </w:t>
            </w:r>
            <w:r>
              <w:rPr>
                <w:snapToGrid w:val="0"/>
                <w:vertAlign w:val="superscript"/>
              </w:rPr>
              <w:t>18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1" w:type="dxa"/>
            <w:tcBorders>
              <w:top w:val="single" w:sz="8" w:space="0" w:color="auto"/>
            </w:tcBorders>
          </w:tcPr>
          <w:p>
            <w:pPr>
              <w:pStyle w:val="nTable"/>
              <w:keepNext/>
              <w:spacing w:after="40"/>
            </w:pPr>
            <w:r>
              <w:t>To be proclaimed (see s. 2)</w:t>
            </w:r>
          </w:p>
        </w:tc>
      </w:tr>
      <w:tr>
        <w:trPr>
          <w:cantSplit/>
        </w:trPr>
        <w:tc>
          <w:tcPr>
            <w:tcW w:w="2268" w:type="dxa"/>
            <w:tcBorders>
              <w:bottom w:val="single" w:sz="8" w:space="0" w:color="auto"/>
            </w:tcBorders>
            <w:shd w:val="clear" w:color="auto" w:fill="auto"/>
          </w:tcPr>
          <w:p>
            <w:pPr>
              <w:pStyle w:val="nTable"/>
              <w:spacing w:after="40"/>
              <w:ind w:right="113"/>
              <w:rPr>
                <w:rFonts w:ascii="Arial" w:hAnsi="Arial"/>
                <w:b/>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tcBorders>
              <w:bottom w:val="single" w:sz="8" w:space="0" w:color="auto"/>
            </w:tcBorders>
            <w:shd w:val="clear" w:color="auto" w:fill="auto"/>
          </w:tcPr>
          <w:p>
            <w:pPr>
              <w:pStyle w:val="nTable"/>
              <w:keepNext/>
              <w:spacing w:after="40"/>
            </w:pPr>
            <w:r>
              <w:t>43 of 2000</w:t>
            </w:r>
          </w:p>
        </w:tc>
        <w:tc>
          <w:tcPr>
            <w:tcW w:w="1134" w:type="dxa"/>
            <w:tcBorders>
              <w:bottom w:val="single" w:sz="8" w:space="0" w:color="auto"/>
            </w:tcBorders>
            <w:shd w:val="clear" w:color="auto" w:fill="auto"/>
          </w:tcPr>
          <w:p>
            <w:pPr>
              <w:pStyle w:val="nTable"/>
              <w:keepNext/>
              <w:spacing w:after="40"/>
            </w:pPr>
            <w:r>
              <w:t>2 Nov 2000</w:t>
            </w:r>
          </w:p>
        </w:tc>
        <w:tc>
          <w:tcPr>
            <w:tcW w:w="2551" w:type="dxa"/>
            <w:tcBorders>
              <w:bottom w:val="single" w:sz="8" w:space="0" w:color="auto"/>
            </w:tcBorders>
            <w:shd w:val="clear" w:color="auto" w:fill="auto"/>
          </w:tcPr>
          <w:p>
            <w:pPr>
              <w:pStyle w:val="nTable"/>
              <w:keepNext/>
              <w:spacing w:after="40"/>
            </w:pPr>
            <w:r>
              <w:t>To be proclaimed (see s. 2(2))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w:t>
      </w:r>
      <w:del w:id="425" w:author="svcMRProcess" w:date="2018-09-03T16:32:00Z">
        <w:r>
          <w:rPr>
            <w:i/>
            <w:iCs/>
            <w:snapToGrid w:val="0"/>
          </w:rPr>
          <w:delText xml:space="preserve"> </w:delText>
        </w:r>
      </w:del>
      <w:ins w:id="426" w:author="svcMRProcess" w:date="2018-09-03T16:32:00Z">
        <w:r>
          <w:rPr>
            <w:i/>
            <w:iCs/>
            <w:snapToGrid w:val="0"/>
          </w:rPr>
          <w:t> </w:t>
        </w:r>
      </w:ins>
      <w:r>
        <w:rPr>
          <w:i/>
          <w:iCs/>
          <w:snapToGrid w:val="0"/>
        </w:rPr>
        <w:t>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del w:id="427" w:author="svcMRProcess" w:date="2018-09-03T16:32:00Z"/>
          <w:snapToGrid w:val="0"/>
        </w:rPr>
      </w:pPr>
      <w:del w:id="428" w:author="svcMRProcess" w:date="2018-09-03T16:32:00Z">
        <w:r>
          <w:rPr>
            <w:snapToGrid w:val="0"/>
            <w:vertAlign w:val="superscript"/>
          </w:rPr>
          <w:delText>4</w:delText>
        </w:r>
        <w:r>
          <w:rPr>
            <w:snapToGrid w:val="0"/>
          </w:rPr>
          <w:tab/>
        </w:r>
        <w:r>
          <w:delText>Footnote no longer applicable.</w:delText>
        </w:r>
      </w:del>
    </w:p>
    <w:p>
      <w:pPr>
        <w:pStyle w:val="nSubsection"/>
        <w:rPr>
          <w:iCs/>
        </w:rPr>
      </w:pPr>
      <w:del w:id="429" w:author="svcMRProcess" w:date="2018-09-03T16:32:00Z">
        <w:r>
          <w:rPr>
            <w:vertAlign w:val="superscript"/>
          </w:rPr>
          <w:delText>5</w:delText>
        </w:r>
      </w:del>
      <w:ins w:id="430" w:author="svcMRProcess" w:date="2018-09-03T16:32:00Z">
        <w:r>
          <w:rPr>
            <w:vertAlign w:val="superscript"/>
          </w:rPr>
          <w:t>4</w:t>
        </w:r>
      </w:ins>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del w:id="431" w:author="svcMRProcess" w:date="2018-09-03T16:32:00Z"/>
          <w:snapToGrid w:val="0"/>
        </w:rPr>
      </w:pPr>
      <w:del w:id="432" w:author="svcMRProcess" w:date="2018-09-03T16:32:00Z">
        <w:r>
          <w:rPr>
            <w:snapToGrid w:val="0"/>
            <w:vertAlign w:val="superscript"/>
          </w:rPr>
          <w:delText>6</w:delText>
        </w:r>
        <w:r>
          <w:rPr>
            <w:snapToGrid w:val="0"/>
          </w:rPr>
          <w:tab/>
          <w:delText xml:space="preserve">The </w:delText>
        </w:r>
        <w:r>
          <w:rPr>
            <w:i/>
            <w:snapToGrid w:val="0"/>
          </w:rPr>
          <w:delText>SGIO Privatisation Act 1992</w:delText>
        </w:r>
        <w:r>
          <w:rPr>
            <w:snapToGrid w:val="0"/>
          </w:rPr>
          <w:delText xml:space="preserve"> Pt. 3 came into operation on 24 December 1992.</w:delText>
        </w:r>
      </w:del>
    </w:p>
    <w:p>
      <w:pPr>
        <w:pStyle w:val="nSubsection"/>
        <w:rPr>
          <w:del w:id="433" w:author="svcMRProcess" w:date="2018-09-03T16:32:00Z"/>
          <w:snapToGrid w:val="0"/>
        </w:rPr>
      </w:pPr>
      <w:del w:id="434" w:author="svcMRProcess" w:date="2018-09-03T16:32:00Z">
        <w:r>
          <w:rPr>
            <w:snapToGrid w:val="0"/>
            <w:vertAlign w:val="superscript"/>
          </w:rPr>
          <w:delText>7</w:delText>
        </w:r>
        <w:r>
          <w:rPr>
            <w:snapToGrid w:val="0"/>
          </w:rPr>
          <w:tab/>
          <w:delText xml:space="preserve">The appointed day under the </w:delText>
        </w:r>
        <w:r>
          <w:rPr>
            <w:i/>
            <w:snapToGrid w:val="0"/>
          </w:rPr>
          <w:delText>SGIO Privatisation Act 1992</w:delText>
        </w:r>
        <w:r>
          <w:rPr>
            <w:snapToGrid w:val="0"/>
          </w:rPr>
          <w:delText xml:space="preserve"> was 7 January 1993.</w:delText>
        </w:r>
      </w:del>
    </w:p>
    <w:p>
      <w:pPr>
        <w:pStyle w:val="nSubsection"/>
        <w:rPr>
          <w:ins w:id="435" w:author="svcMRProcess" w:date="2018-09-03T16:32:00Z"/>
          <w:iCs/>
        </w:rPr>
      </w:pPr>
      <w:del w:id="436" w:author="svcMRProcess" w:date="2018-09-03T16:32:00Z">
        <w:r>
          <w:rPr>
            <w:snapToGrid w:val="0"/>
            <w:vertAlign w:val="superscript"/>
          </w:rPr>
          <w:delText>8</w:delText>
        </w:r>
      </w:del>
      <w:ins w:id="437" w:author="svcMRProcess" w:date="2018-09-03T16:32:00Z">
        <w:r>
          <w:rPr>
            <w:vertAlign w:val="superscript"/>
          </w:rPr>
          <w:t>5</w:t>
        </w:r>
        <w:r>
          <w:tab/>
          <w:t xml:space="preserve">Section 3P(4a) was deleted by the </w:t>
        </w:r>
        <w:r>
          <w:rPr>
            <w:i/>
          </w:rPr>
          <w:t xml:space="preserve">Motor Vehicle (Third Party Insurance Surcharge) Repeal Act 1988 </w:t>
        </w:r>
        <w:r>
          <w:t>s. 5.</w:t>
        </w:r>
      </w:ins>
    </w:p>
    <w:p>
      <w:pPr>
        <w:pStyle w:val="nSubsection"/>
        <w:rPr>
          <w:snapToGrid w:val="0"/>
        </w:rPr>
      </w:pPr>
      <w:ins w:id="438" w:author="svcMRProcess" w:date="2018-09-03T16:32:00Z">
        <w:r>
          <w:rPr>
            <w:snapToGrid w:val="0"/>
            <w:vertAlign w:val="superscript"/>
          </w:rPr>
          <w:t>6</w:t>
        </w:r>
      </w:ins>
      <w:r>
        <w:rPr>
          <w:snapToGrid w:val="0"/>
        </w:rPr>
        <w:tab/>
        <w:t xml:space="preserve">Repealed by the </w:t>
      </w:r>
      <w:r>
        <w:rPr>
          <w:i/>
          <w:snapToGrid w:val="0"/>
        </w:rPr>
        <w:t>Financial Legislation Amendment and Repeal Act 2006</w:t>
      </w:r>
      <w:r>
        <w:rPr>
          <w:snapToGrid w:val="0"/>
        </w:rPr>
        <w:t>.</w:t>
      </w:r>
    </w:p>
    <w:p>
      <w:pPr>
        <w:pStyle w:val="nSubsection"/>
        <w:rPr>
          <w:snapToGrid w:val="0"/>
        </w:rPr>
      </w:pPr>
      <w:del w:id="439" w:author="svcMRProcess" w:date="2018-09-03T16:32:00Z">
        <w:r>
          <w:rPr>
            <w:snapToGrid w:val="0"/>
            <w:vertAlign w:val="superscript"/>
          </w:rPr>
          <w:delText>9</w:delText>
        </w:r>
      </w:del>
      <w:ins w:id="440" w:author="svcMRProcess" w:date="2018-09-03T16:32:00Z">
        <w:r>
          <w:rPr>
            <w:snapToGrid w:val="0"/>
            <w:vertAlign w:val="superscript"/>
          </w:rPr>
          <w:t>7</w:t>
        </w:r>
      </w:ins>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del w:id="441" w:author="svcMRProcess" w:date="2018-09-03T16:32:00Z">
        <w:r>
          <w:rPr>
            <w:snapToGrid w:val="0"/>
            <w:vertAlign w:val="superscript"/>
          </w:rPr>
          <w:delText>10</w:delText>
        </w:r>
      </w:del>
      <w:ins w:id="442" w:author="svcMRProcess" w:date="2018-09-03T16:32:00Z">
        <w:r>
          <w:rPr>
            <w:snapToGrid w:val="0"/>
            <w:vertAlign w:val="superscript"/>
          </w:rPr>
          <w:t>8</w:t>
        </w:r>
      </w:ins>
      <w:r>
        <w:rPr>
          <w:snapToGrid w:val="0"/>
        </w:rPr>
        <w:tab/>
        <w:t xml:space="preserve">Section 31(2)(k) was </w:t>
      </w:r>
      <w:del w:id="443" w:author="svcMRProcess" w:date="2018-09-03T16:32:00Z">
        <w:r>
          <w:rPr>
            <w:snapToGrid w:val="0"/>
          </w:rPr>
          <w:delText>repealed</w:delText>
        </w:r>
      </w:del>
      <w:ins w:id="444" w:author="svcMRProcess" w:date="2018-09-03T16:32:00Z">
        <w:r>
          <w:rPr>
            <w:snapToGrid w:val="0"/>
          </w:rPr>
          <w:t>deleted</w:t>
        </w:r>
      </w:ins>
      <w:r>
        <w:rPr>
          <w:snapToGrid w:val="0"/>
        </w:rPr>
        <w:t xml:space="preserve"> by the </w:t>
      </w:r>
      <w:r>
        <w:rPr>
          <w:i/>
          <w:snapToGrid w:val="0"/>
        </w:rPr>
        <w:t xml:space="preserve">SGIO Privatisation Act 1992 </w:t>
      </w:r>
      <w:r>
        <w:rPr>
          <w:snapToGrid w:val="0"/>
        </w:rPr>
        <w:t>s. 28</w:t>
      </w:r>
      <w:r>
        <w:rPr>
          <w:i/>
          <w:snapToGrid w:val="0"/>
        </w:rPr>
        <w:t>.</w:t>
      </w:r>
    </w:p>
    <w:p>
      <w:pPr>
        <w:pStyle w:val="nSubsection"/>
        <w:rPr>
          <w:ins w:id="445" w:author="svcMRProcess" w:date="2018-09-03T16:32:00Z"/>
          <w:iCs/>
        </w:rPr>
      </w:pPr>
      <w:ins w:id="446" w:author="svcMRProcess" w:date="2018-09-03T16:32:00Z">
        <w:r>
          <w:rPr>
            <w:vertAlign w:val="superscript"/>
          </w:rPr>
          <w:t>9</w:t>
        </w:r>
        <w:r>
          <w:tab/>
          <w:t xml:space="preserve">Sections 21 and 22 were deleted by the </w:t>
        </w:r>
        <w:r>
          <w:rPr>
            <w:i/>
          </w:rPr>
          <w:t>Acts Amendment (Financial Administration and Audit) Act 1985</w:t>
        </w:r>
        <w:r>
          <w:t xml:space="preserve"> s. 3.</w:t>
        </w:r>
      </w:ins>
    </w:p>
    <w:p>
      <w:pPr>
        <w:pStyle w:val="nSubsection"/>
        <w:rPr>
          <w:ins w:id="447" w:author="svcMRProcess" w:date="2018-09-03T16:32:00Z"/>
          <w:iCs/>
        </w:rPr>
      </w:pPr>
      <w:ins w:id="448" w:author="svcMRProcess" w:date="2018-09-03T16:32:00Z">
        <w:r>
          <w:rPr>
            <w:vertAlign w:val="superscript"/>
          </w:rPr>
          <w:t>10</w:t>
        </w:r>
        <w:r>
          <w:tab/>
          <w:t xml:space="preserve">Section 26 was deleted by the </w:t>
        </w:r>
        <w:r>
          <w:rPr>
            <w:i/>
          </w:rPr>
          <w:t>State Government Insurance Commission Act 1986</w:t>
        </w:r>
        <w:r>
          <w:t xml:space="preserve"> s. 46(2).</w:t>
        </w:r>
      </w:ins>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del w:id="449" w:author="svcMRProcess" w:date="2018-09-03T16:32:00Z">
        <w:r>
          <w:rPr>
            <w:snapToGrid w:val="0"/>
          </w:rPr>
          <w:delText xml:space="preserve"> See also note 19.</w:delText>
        </w:r>
      </w:del>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t>
      </w:r>
      <w:del w:id="450" w:author="svcMRProcess" w:date="2018-09-03T16:32:00Z">
        <w:r>
          <w:delText>(as</w:delText>
        </w:r>
      </w:del>
      <w:ins w:id="451" w:author="svcMRProcess" w:date="2018-09-03T16:32:00Z">
        <w:r>
          <w:t>which is a term</w:t>
        </w:r>
      </w:ins>
      <w:r>
        <w:t xml:space="preserve"> defined in the </w:t>
      </w:r>
      <w:r>
        <w:rPr>
          <w:i/>
        </w:rPr>
        <w:t>Interpretation Act 1984</w:t>
      </w:r>
      <w:del w:id="452" w:author="svcMRProcess" w:date="2018-09-03T16:32:00Z">
        <w:r>
          <w:delText>).</w:delText>
        </w:r>
      </w:del>
      <w:ins w:id="453" w:author="svcMRProcess" w:date="2018-09-03T16:32:00Z">
        <w:r>
          <w:t>.</w:t>
        </w:r>
      </w:ins>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w:t>
      </w:r>
      <w:del w:id="454" w:author="svcMRProcess" w:date="2018-09-03T16:32:00Z">
        <w:r>
          <w:rPr>
            <w:snapToGrid w:val="0"/>
          </w:rPr>
          <w:delText>compilation</w:delText>
        </w:r>
      </w:del>
      <w:ins w:id="455" w:author="svcMRProcess" w:date="2018-09-03T16:32:00Z">
        <w:r>
          <w:rPr>
            <w:snapToGrid w:val="0"/>
          </w:rPr>
          <w:t>reprint</w:t>
        </w:r>
      </w:ins>
      <w:r>
        <w:rPr>
          <w:snapToGrid w:val="0"/>
        </w:rPr>
        <w:t xml:space="preserve"> was prepared, the </w:t>
      </w:r>
      <w:r>
        <w:rPr>
          <w:i/>
          <w:snapToGrid w:val="0"/>
        </w:rPr>
        <w:t>Acts Amendment (ICWA) Act 1996</w:t>
      </w:r>
      <w:r>
        <w:rPr>
          <w:snapToGrid w:val="0"/>
        </w:rPr>
        <w:t xml:space="preserve"> s. </w:t>
      </w:r>
      <w:del w:id="456" w:author="svcMRProcess" w:date="2018-09-03T16:32:00Z">
        <w:r>
          <w:rPr>
            <w:snapToGrid w:val="0"/>
          </w:rPr>
          <w:delText xml:space="preserve"> </w:delText>
        </w:r>
      </w:del>
      <w:r>
        <w:rPr>
          <w:snapToGrid w:val="0"/>
        </w:rPr>
        <w:t>25 and 28 had not come into operation.  They read as follows:</w:t>
      </w:r>
    </w:p>
    <w:p>
      <w:pPr>
        <w:pStyle w:val="BlankOpen"/>
        <w:rPr>
          <w:snapToGrid w:val="0"/>
        </w:rPr>
      </w:pPr>
    </w:p>
    <w:p>
      <w:pPr>
        <w:pStyle w:val="nzHeading5"/>
        <w:spacing w:before="0"/>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w:t>
      </w:r>
      <w:del w:id="457" w:author="svcMRProcess" w:date="2018-09-03T16:32:00Z">
        <w:r>
          <w:rPr>
            <w:snapToGrid w:val="0"/>
          </w:rPr>
          <w:delText>compilation</w:delText>
        </w:r>
      </w:del>
      <w:ins w:id="458" w:author="svcMRProcess" w:date="2018-09-03T16:32: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spacing w:before="0"/>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rPr>
          <w:del w:id="459" w:author="svcMRProcess" w:date="2018-09-03T16:32:00Z"/>
        </w:rPr>
      </w:pPr>
      <w:bookmarkStart w:id="460" w:name="AutoSch"/>
      <w:bookmarkEnd w:id="460"/>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61" w:name="Compilation"/>
    <w:bookmarkStart w:id="462" w:name="Schedule"/>
    <w:bookmarkEnd w:id="461"/>
    <w:bookmarkEnd w:id="4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3" w:name="Coversheet"/>
    <w:bookmarkEnd w:id="4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lvlText w:val="%1."/>
      <w:lvlJc w:val="left"/>
      <w:pPr>
        <w:tabs>
          <w:tab w:val="num" w:pos="1492"/>
        </w:tabs>
        <w:ind w:left="1492" w:hanging="360"/>
      </w:pPr>
    </w:lvl>
  </w:abstractNum>
  <w:abstractNum w:abstractNumId="1">
    <w:nsid w:val="FFFFFF7D"/>
    <w:multiLevelType w:val="singleLevel"/>
    <w:tmpl w:val="CE74BA0A"/>
    <w:lvl w:ilvl="0">
      <w:start w:val="1"/>
      <w:numFmt w:val="decimal"/>
      <w:lvlText w:val="%1."/>
      <w:lvlJc w:val="left"/>
      <w:pPr>
        <w:tabs>
          <w:tab w:val="num" w:pos="1209"/>
        </w:tabs>
        <w:ind w:left="1209" w:hanging="360"/>
      </w:pPr>
    </w:lvl>
  </w:abstractNum>
  <w:abstractNum w:abstractNumId="2">
    <w:nsid w:val="FFFFFF7E"/>
    <w:multiLevelType w:val="singleLevel"/>
    <w:tmpl w:val="3FD2D2C0"/>
    <w:lvl w:ilvl="0">
      <w:start w:val="1"/>
      <w:numFmt w:val="decimal"/>
      <w:lvlText w:val="%1."/>
      <w:lvlJc w:val="left"/>
      <w:pPr>
        <w:tabs>
          <w:tab w:val="num" w:pos="926"/>
        </w:tabs>
        <w:ind w:left="926" w:hanging="360"/>
      </w:pPr>
    </w:lvl>
  </w:abstractNum>
  <w:abstractNum w:abstractNumId="3">
    <w:nsid w:val="FFFFFF7F"/>
    <w:multiLevelType w:val="singleLevel"/>
    <w:tmpl w:val="EF3A3F0C"/>
    <w:lvl w:ilvl="0">
      <w:start w:val="1"/>
      <w:numFmt w:val="decimal"/>
      <w:lvlText w:val="%1."/>
      <w:lvlJc w:val="left"/>
      <w:pPr>
        <w:tabs>
          <w:tab w:val="num" w:pos="643"/>
        </w:tabs>
        <w:ind w:left="643" w:hanging="360"/>
      </w:pPr>
    </w:lvl>
  </w:abstractNum>
  <w:abstractNum w:abstractNumId="4">
    <w:nsid w:val="FFFFFF80"/>
    <w:multiLevelType w:val="singleLevel"/>
    <w:tmpl w:val="932220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lvlText w:val="%1."/>
      <w:lvlJc w:val="left"/>
      <w:pPr>
        <w:tabs>
          <w:tab w:val="num" w:pos="360"/>
        </w:tabs>
        <w:ind w:left="360" w:hanging="360"/>
      </w:pPr>
    </w:lvl>
  </w:abstractNum>
  <w:abstractNum w:abstractNumId="9">
    <w:nsid w:val="FFFFFF89"/>
    <w:multiLevelType w:val="singleLevel"/>
    <w:tmpl w:val="3C2E06B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436"/>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05134436" w:val="UpdateStyles,UsedStyles"/>
    <w:docVar w:name="WAFER_20151105134436_GUID" w:val="d35a71a4-a51f-4207-9cb0-fa56f0e62d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D51C-8BC3-4924-B811-6B5A9D3D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14909</Words>
  <Characters>72312</Characters>
  <Application>Microsoft Office Word</Application>
  <DocSecurity>0</DocSecurity>
  <Lines>1854</Lines>
  <Paragraphs>927</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86294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03-g0-04 - 04-a0-05</dc:title>
  <dc:subject/>
  <dc:creator/>
  <cp:keywords/>
  <dc:description/>
  <cp:lastModifiedBy>svcMRProcess</cp:lastModifiedBy>
  <cp:revision>2</cp:revision>
  <cp:lastPrinted>2014-01-14T23:33:00Z</cp:lastPrinted>
  <dcterms:created xsi:type="dcterms:W3CDTF">2018-09-03T08:32:00Z</dcterms:created>
  <dcterms:modified xsi:type="dcterms:W3CDTF">2018-09-03T08:32:00Z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20140110</vt:lpwstr>
  </property>
  <property fmtid="{D5CDD505-2E9C-101B-9397-08002B2CF9AE}" pid="4" name="DocumentType">
    <vt:lpwstr>Act</vt:lpwstr>
  </property>
  <property fmtid="{D5CDD505-2E9C-101B-9397-08002B2CF9AE}" pid="5" name="OwlsUID">
    <vt:i4>775</vt:i4>
  </property>
  <property fmtid="{D5CDD505-2E9C-101B-9397-08002B2CF9AE}" pid="6" name="ReprintedAsAt">
    <vt:filetime>2014-01-09T16:00:00Z</vt:filetime>
  </property>
  <property fmtid="{D5CDD505-2E9C-101B-9397-08002B2CF9AE}" pid="7" name="ReprintNo">
    <vt:lpwstr>4</vt:lpwstr>
  </property>
  <property fmtid="{D5CDD505-2E9C-101B-9397-08002B2CF9AE}" pid="8" name="FromSuffix">
    <vt:lpwstr>03-g0-04</vt:lpwstr>
  </property>
  <property fmtid="{D5CDD505-2E9C-101B-9397-08002B2CF9AE}" pid="9" name="FromAsAtDate">
    <vt:lpwstr>20 Aug 2013</vt:lpwstr>
  </property>
  <property fmtid="{D5CDD505-2E9C-101B-9397-08002B2CF9AE}" pid="10" name="ToSuffix">
    <vt:lpwstr>04-a0-05</vt:lpwstr>
  </property>
  <property fmtid="{D5CDD505-2E9C-101B-9397-08002B2CF9AE}" pid="11" name="ToAsAtDate">
    <vt:lpwstr>10 Jan 2014</vt:lpwstr>
  </property>
</Properties>
</file>