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Jul 2013</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29 Jan 2014</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NoteHeading"/>
        <w:rPr>
          <w:del w:id="0" w:author="Master Repository Process" w:date="2021-09-18T01:25:00Z"/>
        </w:rPr>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del w:id="1" w:author="Master Repository Process" w:date="2021-09-18T01:25:00Z">
        <w:r>
          <w:rPr>
            <w:rStyle w:val="CharSchText"/>
          </w:rPr>
          <w:lastRenderedPageBreak/>
          <w:delText xml:space="preserve"> </w:delText>
        </w:r>
      </w:del>
    </w:p>
    <w:tbl>
      <w:tblPr>
        <w:tblW w:w="0" w:type="auto"/>
        <w:tblLayout w:type="fixed"/>
        <w:tblLook w:val="0000" w:firstRow="0" w:lastRow="0" w:firstColumn="0" w:lastColumn="0" w:noHBand="0" w:noVBand="0"/>
      </w:tblPr>
      <w:tblGrid>
        <w:gridCol w:w="2434"/>
        <w:gridCol w:w="2434"/>
        <w:gridCol w:w="2434"/>
      </w:tblGrid>
      <w:tr>
        <w:trPr>
          <w:cantSplit/>
          <w:del w:id="2" w:author="Master Repository Process" w:date="2021-09-18T01:25:00Z"/>
        </w:trPr>
        <w:tc>
          <w:tcPr>
            <w:tcW w:w="2434" w:type="dxa"/>
            <w:vMerge w:val="restart"/>
          </w:tcPr>
          <w:p>
            <w:pPr>
              <w:rPr>
                <w:del w:id="3" w:author="Master Repository Process" w:date="2021-09-18T01:25:00Z"/>
              </w:rPr>
            </w:pPr>
          </w:p>
        </w:tc>
        <w:tc>
          <w:tcPr>
            <w:tcW w:w="2434" w:type="dxa"/>
            <w:vMerge w:val="restart"/>
          </w:tcPr>
          <w:p>
            <w:pPr>
              <w:jc w:val="center"/>
              <w:rPr>
                <w:del w:id="4" w:author="Master Repository Process" w:date="2021-09-18T01:25:00Z"/>
              </w:rPr>
            </w:pPr>
            <w:del w:id="5" w:author="Master Repository Process" w:date="2021-09-18T01:25: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6" w:author="Master Repository Process" w:date="2021-09-18T01:25:00Z"/>
              </w:rPr>
            </w:pPr>
            <w:del w:id="7" w:author="Master Repository Process" w:date="2021-09-18T01:25:00Z">
              <w:r>
                <w:rPr>
                  <w:b/>
                  <w:sz w:val="22"/>
                </w:rPr>
                <w:delText xml:space="preserve">Reprinted under the </w:delText>
              </w:r>
              <w:r>
                <w:rPr>
                  <w:b/>
                  <w:i/>
                  <w:sz w:val="22"/>
                </w:rPr>
                <w:delText>Reprints Act 1984</w:delText>
              </w:r>
              <w:r>
                <w:rPr>
                  <w:b/>
                  <w:sz w:val="22"/>
                </w:rPr>
                <w:delText xml:space="preserve"> as</w:delText>
              </w:r>
            </w:del>
          </w:p>
        </w:tc>
      </w:tr>
      <w:tr>
        <w:trPr>
          <w:cantSplit/>
          <w:del w:id="8" w:author="Master Repository Process" w:date="2021-09-18T01:25:00Z"/>
        </w:trPr>
        <w:tc>
          <w:tcPr>
            <w:tcW w:w="2434" w:type="dxa"/>
            <w:vMerge/>
          </w:tcPr>
          <w:p>
            <w:pPr>
              <w:rPr>
                <w:del w:id="9" w:author="Master Repository Process" w:date="2021-09-18T01:25:00Z"/>
              </w:rPr>
            </w:pPr>
          </w:p>
        </w:tc>
        <w:tc>
          <w:tcPr>
            <w:tcW w:w="2434" w:type="dxa"/>
            <w:vMerge/>
          </w:tcPr>
          <w:p>
            <w:pPr>
              <w:jc w:val="center"/>
              <w:rPr>
                <w:del w:id="10" w:author="Master Repository Process" w:date="2021-09-18T01:25:00Z"/>
              </w:rPr>
            </w:pPr>
          </w:p>
        </w:tc>
        <w:tc>
          <w:tcPr>
            <w:tcW w:w="2434" w:type="dxa"/>
          </w:tcPr>
          <w:p>
            <w:pPr>
              <w:keepNext/>
              <w:rPr>
                <w:del w:id="11" w:author="Master Repository Process" w:date="2021-09-18T01:25:00Z"/>
                <w:b/>
                <w:sz w:val="22"/>
              </w:rPr>
            </w:pPr>
            <w:del w:id="12" w:author="Master Repository Process" w:date="2021-09-18T01:25:00Z">
              <w:r>
                <w:rPr>
                  <w:b/>
                  <w:sz w:val="22"/>
                </w:rPr>
                <w:delText>at 19</w:delText>
              </w:r>
              <w:r>
                <w:rPr>
                  <w:b/>
                  <w:snapToGrid w:val="0"/>
                  <w:sz w:val="22"/>
                </w:rPr>
                <w:delText xml:space="preserve"> July 2013</w:delText>
              </w:r>
            </w:del>
          </w:p>
        </w:tc>
      </w:tr>
    </w:tbl>
    <w:p>
      <w:pPr>
        <w:pStyle w:val="WA"/>
        <w:spacing w:before="120"/>
      </w:pPr>
      <w:r>
        <w:t>Western Australia</w:t>
      </w:r>
    </w:p>
    <w:p>
      <w:pPr>
        <w:pStyle w:val="PrincipalActReg"/>
        <w:spacing w:after="960"/>
      </w:pPr>
      <w:r>
        <w:t>State Administrative Tribunal Act 2004</w:t>
      </w:r>
    </w:p>
    <w:p>
      <w:pPr>
        <w:pStyle w:val="NameofActReg"/>
      </w:pPr>
      <w:r>
        <w:t>State Administrative Tribunal Rules 2004</w:t>
      </w:r>
    </w:p>
    <w:p>
      <w:pPr>
        <w:pStyle w:val="Heading2"/>
        <w:pageBreakBefore w:val="0"/>
        <w:spacing w:before="360"/>
      </w:pPr>
      <w:bookmarkStart w:id="13" w:name="_Toc524845951"/>
      <w:bookmarkStart w:id="14" w:name="_Toc377457205"/>
      <w:r>
        <w:rPr>
          <w:rStyle w:val="CharPartNo"/>
        </w:rPr>
        <w:t>P</w:t>
      </w:r>
      <w:bookmarkStart w:id="15" w:name="_GoBack"/>
      <w:bookmarkEnd w:id="15"/>
      <w:r>
        <w:rPr>
          <w:rStyle w:val="CharPartNo"/>
        </w:rPr>
        <w:t>art 1</w:t>
      </w:r>
      <w:r>
        <w:rPr>
          <w:rStyle w:val="CharDivNo"/>
        </w:rPr>
        <w:t xml:space="preserve"> </w:t>
      </w:r>
      <w:r>
        <w:t>—</w:t>
      </w:r>
      <w:r>
        <w:rPr>
          <w:rStyle w:val="CharDivText"/>
        </w:rPr>
        <w:t xml:space="preserve"> </w:t>
      </w:r>
      <w:r>
        <w:rPr>
          <w:rStyle w:val="CharPartText"/>
        </w:rPr>
        <w:t>Preliminary</w:t>
      </w:r>
      <w:bookmarkEnd w:id="13"/>
      <w:bookmarkEnd w:id="14"/>
    </w:p>
    <w:p>
      <w:pPr>
        <w:pStyle w:val="Heading5"/>
      </w:pPr>
      <w:bookmarkStart w:id="16" w:name="_Toc524845952"/>
      <w:bookmarkStart w:id="17" w:name="_Toc377457206"/>
      <w:r>
        <w:rPr>
          <w:rStyle w:val="CharSectno"/>
        </w:rPr>
        <w:t>1</w:t>
      </w:r>
      <w:r>
        <w:t>.</w:t>
      </w:r>
      <w:r>
        <w:tab/>
        <w:t>Citation</w:t>
      </w:r>
      <w:bookmarkEnd w:id="16"/>
      <w:bookmarkEnd w:id="17"/>
    </w:p>
    <w:p>
      <w:pPr>
        <w:pStyle w:val="Subsection"/>
      </w:pPr>
      <w:r>
        <w:tab/>
      </w:r>
      <w:r>
        <w:tab/>
      </w:r>
      <w:r>
        <w:rPr>
          <w:spacing w:val="-2"/>
        </w:rPr>
        <w:t>These</w:t>
      </w:r>
      <w:r>
        <w:t xml:space="preserve"> are the </w:t>
      </w:r>
      <w:r>
        <w:rPr>
          <w:i/>
        </w:rPr>
        <w:t>State Administrative Tribunal Rules 2004</w:t>
      </w:r>
      <w:r>
        <w:rPr>
          <w:vertAlign w:val="superscript"/>
        </w:rPr>
        <w:t> 1</w:t>
      </w:r>
      <w:r>
        <w:t>.</w:t>
      </w:r>
    </w:p>
    <w:p>
      <w:pPr>
        <w:pStyle w:val="Heading5"/>
      </w:pPr>
      <w:bookmarkStart w:id="18" w:name="_Toc524845953"/>
      <w:bookmarkStart w:id="19" w:name="_Toc377457207"/>
      <w:r>
        <w:rPr>
          <w:rStyle w:val="CharSectno"/>
        </w:rPr>
        <w:t>2</w:t>
      </w:r>
      <w:r>
        <w:t>.</w:t>
      </w:r>
      <w:r>
        <w:tab/>
        <w:t>Commencement</w:t>
      </w:r>
      <w:bookmarkEnd w:id="18"/>
      <w:bookmarkEnd w:id="19"/>
    </w:p>
    <w:p>
      <w:pPr>
        <w:pStyle w:val="Subsection"/>
      </w:pPr>
      <w:r>
        <w:tab/>
      </w:r>
      <w:r>
        <w:tab/>
        <w:t>These rules come into operation on 1 January 2005.</w:t>
      </w:r>
    </w:p>
    <w:p>
      <w:pPr>
        <w:pStyle w:val="Heading5"/>
      </w:pPr>
      <w:bookmarkStart w:id="20" w:name="_Toc524845954"/>
      <w:bookmarkStart w:id="21" w:name="_Toc377457208"/>
      <w:r>
        <w:rPr>
          <w:rStyle w:val="CharSectno"/>
        </w:rPr>
        <w:t>3</w:t>
      </w:r>
      <w:r>
        <w:t>.</w:t>
      </w:r>
      <w:r>
        <w:tab/>
        <w:t>Terms used</w:t>
      </w:r>
      <w:bookmarkEnd w:id="20"/>
      <w:bookmarkEnd w:id="21"/>
    </w:p>
    <w:p>
      <w:pPr>
        <w:pStyle w:val="Subsection"/>
      </w:pPr>
      <w:r>
        <w:tab/>
      </w:r>
      <w:r>
        <w:tab/>
        <w:t xml:space="preserve">In these rules, unless the contrary intention appears — </w:t>
      </w:r>
    </w:p>
    <w:p>
      <w:pPr>
        <w:pStyle w:val="Defstart"/>
      </w:pPr>
      <w:r>
        <w:rPr>
          <w:b/>
        </w:rPr>
        <w:tab/>
      </w:r>
      <w:r>
        <w:rPr>
          <w:rStyle w:val="CharDefText"/>
        </w:rPr>
        <w:t>Act</w:t>
      </w:r>
      <w:r>
        <w:t xml:space="preserve"> means the </w:t>
      </w:r>
      <w:r>
        <w:rPr>
          <w:i/>
          <w:iCs/>
        </w:rPr>
        <w:t>State Administrative Tribunal Act 2004</w:t>
      </w:r>
      <w:r>
        <w:t>;</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 or</w:t>
      </w:r>
    </w:p>
    <w:p>
      <w:pPr>
        <w:pStyle w:val="Defpara"/>
      </w:pPr>
      <w:r>
        <w:tab/>
        <w:t>(b)</w:t>
      </w:r>
      <w:r>
        <w:tab/>
        <w:t>a local government; or</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w:t>
      </w:r>
      <w:r>
        <w:rPr>
          <w:b/>
          <w:i/>
        </w:rPr>
        <w:t>applicant</w:t>
      </w:r>
      <w:r>
        <w:t xml:space="preserve"> in the Act section 3(1).</w:t>
      </w:r>
    </w:p>
    <w:p>
      <w:pPr>
        <w:pStyle w:val="Footnotesection"/>
      </w:pPr>
      <w:r>
        <w:tab/>
        <w:t>[Rule 3 amended in Gazette 13 Apr 2007 p. 1682; 9 Jul 2010 p. 3241.]</w:t>
      </w:r>
    </w:p>
    <w:p>
      <w:pPr>
        <w:pStyle w:val="Heading2"/>
      </w:pPr>
      <w:bookmarkStart w:id="22" w:name="_Toc524845955"/>
      <w:bookmarkStart w:id="23" w:name="_Toc377457209"/>
      <w:r>
        <w:rPr>
          <w:rStyle w:val="CharPartNo"/>
        </w:rPr>
        <w:t>Part 2</w:t>
      </w:r>
      <w:r>
        <w:t> — </w:t>
      </w:r>
      <w:r>
        <w:rPr>
          <w:rStyle w:val="CharPartText"/>
        </w:rPr>
        <w:t>General</w:t>
      </w:r>
      <w:bookmarkEnd w:id="22"/>
      <w:bookmarkEnd w:id="23"/>
    </w:p>
    <w:p>
      <w:pPr>
        <w:pStyle w:val="Heading3"/>
      </w:pPr>
      <w:bookmarkStart w:id="24" w:name="_Toc524845956"/>
      <w:bookmarkStart w:id="25" w:name="_Toc377457210"/>
      <w:r>
        <w:rPr>
          <w:rStyle w:val="CharDivNo"/>
        </w:rPr>
        <w:t>Division 1</w:t>
      </w:r>
      <w:r>
        <w:t> — </w:t>
      </w:r>
      <w:r>
        <w:rPr>
          <w:rStyle w:val="CharDivText"/>
        </w:rPr>
        <w:t>Applications</w:t>
      </w:r>
      <w:bookmarkEnd w:id="24"/>
      <w:bookmarkEnd w:id="25"/>
    </w:p>
    <w:p>
      <w:pPr>
        <w:pStyle w:val="Heading5"/>
      </w:pPr>
      <w:bookmarkStart w:id="26" w:name="_Toc524845957"/>
      <w:bookmarkStart w:id="27" w:name="_Toc377457211"/>
      <w:r>
        <w:rPr>
          <w:rStyle w:val="CharSectno"/>
        </w:rPr>
        <w:t>4</w:t>
      </w:r>
      <w:r>
        <w:t>.</w:t>
      </w:r>
      <w:r>
        <w:tab/>
        <w:t>Filing applications</w:t>
      </w:r>
      <w:bookmarkEnd w:id="26"/>
      <w:bookmarkEnd w:id="27"/>
    </w:p>
    <w:p>
      <w:pPr>
        <w:pStyle w:val="Subsection"/>
      </w:pPr>
      <w:r>
        <w:tab/>
        <w:t>(1)</w:t>
      </w:r>
      <w:r>
        <w:tab/>
        <w:t xml:space="preserve">An application may be filed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if the application is of a type approved under rule 7A(1), filing it electronically under rule 7A.</w:t>
      </w:r>
    </w:p>
    <w:p>
      <w:pPr>
        <w:pStyle w:val="Subsection"/>
      </w:pPr>
      <w:r>
        <w:tab/>
        <w:t>(2)</w:t>
      </w:r>
      <w:r>
        <w:tab/>
        <w:t>With the prior approval of the executive officer, an application may be filed with the executive officer by sending it to him or her by facsimile transmission in accordance with rule 5.</w:t>
      </w:r>
    </w:p>
    <w:p>
      <w:pPr>
        <w:pStyle w:val="Subsection"/>
      </w:pPr>
      <w:r>
        <w:tab/>
        <w:t>(3)</w:t>
      </w:r>
      <w:r>
        <w:tab/>
        <w:t>With the prior approval of the executive officer, an application may be filed with the executive officer by sending it to him or her by email in accordance with rule 6.</w:t>
      </w:r>
    </w:p>
    <w:p>
      <w:pPr>
        <w:pStyle w:val="Subsection"/>
      </w:pPr>
      <w:r>
        <w:tab/>
        <w:t>(4)</w:t>
      </w:r>
      <w:r>
        <w:tab/>
        <w:t>An application filed with the executive officer under subrule (1)(a) or (b) must be filed in triplicate.</w:t>
      </w:r>
    </w:p>
    <w:p>
      <w:pPr>
        <w:pStyle w:val="Subsection"/>
      </w:pPr>
      <w:r>
        <w:tab/>
        <w:t>(5)</w:t>
      </w:r>
      <w:r>
        <w:tab/>
        <w:t>An applicant or referring person may change the particulars given to the Tribunal in an application or subsequent notice by filing a notice with the executive officer showing the new particulars.</w:t>
      </w:r>
    </w:p>
    <w:p>
      <w:pPr>
        <w:pStyle w:val="Subsection"/>
      </w:pPr>
      <w:r>
        <w:tab/>
        <w:t>(6)</w:t>
      </w:r>
      <w:r>
        <w:tab/>
        <w:t>An applicant or referring person who files a notice under subrule (5) must, on the date of filing, give a copy of the notice to a notifiable person.</w:t>
      </w:r>
    </w:p>
    <w:p>
      <w:pPr>
        <w:pStyle w:val="Subsection"/>
      </w:pPr>
      <w:r>
        <w:tab/>
        <w:t>(7)</w:t>
      </w:r>
      <w:r>
        <w:tab/>
        <w:t>A change of particulars under this rule is not effective as between the person who is required to give notice of the change and another person until the notice is filed with the executive officer and given to that other person.</w:t>
      </w:r>
    </w:p>
    <w:p>
      <w:pPr>
        <w:pStyle w:val="Subsection"/>
      </w:pPr>
      <w:r>
        <w:tab/>
        <w:t>(8)</w:t>
      </w:r>
      <w:r>
        <w:tab/>
        <w:t>An application must be accompanied by a copy of any documents required to accompany the application under the Act, the enabling Act, these rules, a practice note or the approved application form.</w:t>
      </w:r>
    </w:p>
    <w:p>
      <w:pPr>
        <w:pStyle w:val="Subsection"/>
      </w:pPr>
      <w:r>
        <w:tab/>
        <w:t>(9)</w:t>
      </w:r>
      <w:r>
        <w:tab/>
        <w:t xml:space="preserve">Despite subrule (8), a document or a copy of a document referred to in that subrule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ab/>
        <w:t>[Rule 4 amended in Gazette 9 Jul 2010 p. 3241.]</w:t>
      </w:r>
    </w:p>
    <w:p>
      <w:pPr>
        <w:pStyle w:val="Heading5"/>
      </w:pPr>
      <w:bookmarkStart w:id="28" w:name="_Toc524845958"/>
      <w:bookmarkStart w:id="29" w:name="_Toc377457212"/>
      <w:r>
        <w:rPr>
          <w:rStyle w:val="CharSectno"/>
        </w:rPr>
        <w:t>5</w:t>
      </w:r>
      <w:r>
        <w:t>.</w:t>
      </w:r>
      <w:r>
        <w:tab/>
        <w:t>Filing by facsimile transmission</w:t>
      </w:r>
      <w:bookmarkEnd w:id="28"/>
      <w:bookmarkEnd w:id="29"/>
    </w:p>
    <w:p>
      <w:pPr>
        <w:pStyle w:val="Subsection"/>
      </w:pPr>
      <w:r>
        <w:tab/>
        <w:t>(1)</w:t>
      </w:r>
      <w:r>
        <w:tab/>
        <w:t>The executive officer is to approve one facsimile number for each office of the Tribunal for the purpose of receiving applications.</w:t>
      </w:r>
    </w:p>
    <w:p>
      <w:pPr>
        <w:pStyle w:val="Subsection"/>
      </w:pPr>
      <w:r>
        <w:tab/>
        <w:t>(2)</w:t>
      </w:r>
      <w:r>
        <w:tab/>
        <w:t xml:space="preserve">An application sent to the executive officer by facsimile transmission must — </w:t>
      </w:r>
    </w:p>
    <w:p>
      <w:pPr>
        <w:pStyle w:val="Indenta"/>
      </w:pPr>
      <w:r>
        <w:tab/>
        <w:t>(a)</w:t>
      </w:r>
      <w:r>
        <w:tab/>
        <w:t>be sent to an approved facsimile number; and</w:t>
      </w:r>
    </w:p>
    <w:p>
      <w:pPr>
        <w:pStyle w:val="Indenta"/>
      </w:pPr>
      <w:r>
        <w:tab/>
        <w:t>(b)</w:t>
      </w:r>
      <w:r>
        <w:tab/>
        <w:t xml:space="preserve">be accompanied by a cover sheet stating — </w:t>
      </w:r>
    </w:p>
    <w:p>
      <w:pPr>
        <w:pStyle w:val="Indenti"/>
      </w:pPr>
      <w:r>
        <w:tab/>
        <w:t>(i)</w:t>
      </w:r>
      <w:r>
        <w:tab/>
        <w:t>the filer’s name, postal address, telephone number, facsimile number and email address; and</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(3)</w:t>
      </w:r>
      <w:r>
        <w:tab/>
        <w:t xml:space="preserve">A person who sends an application to the executive officer by facsimile transmission must — </w:t>
      </w:r>
    </w:p>
    <w:p>
      <w:pPr>
        <w:pStyle w:val="Indenta"/>
      </w:pPr>
      <w:r>
        <w:tab/>
        <w:t>(a)</w:t>
      </w:r>
      <w:r>
        <w:tab/>
        <w:t>keep the original of the application and the transmission report evidencing successful transmission; and</w:t>
      </w:r>
    </w:p>
    <w:p>
      <w:pPr>
        <w:pStyle w:val="Indenta"/>
      </w:pPr>
      <w:r>
        <w:tab/>
        <w:t>(b)</w:t>
      </w:r>
      <w:r>
        <w:tab/>
        <w:t>produce the original of the application and the transmission report as ordered by the Tribunal.</w:t>
      </w:r>
    </w:p>
    <w:p>
      <w:pPr>
        <w:pStyle w:val="Subsection"/>
      </w:pPr>
      <w:r>
        <w:tab/>
        <w:t>(4)</w:t>
      </w:r>
      <w:r>
        <w:tab/>
        <w:t xml:space="preserve">If the Tribunal orders that the original of the application be produced, the first page of the original must be endorsed by the applicant or referring person with — </w:t>
      </w:r>
    </w:p>
    <w:p>
      <w:pPr>
        <w:pStyle w:val="Indenta"/>
      </w:pPr>
      <w:r>
        <w:tab/>
        <w:t>(a)</w:t>
      </w:r>
      <w:r>
        <w:tab/>
        <w:t>a statement that it is the original of the application sent by facsimile transmission; and</w:t>
      </w:r>
    </w:p>
    <w:p>
      <w:pPr>
        <w:pStyle w:val="Indenta"/>
      </w:pPr>
      <w:r>
        <w:tab/>
        <w:t>(b)</w:t>
      </w:r>
      <w:r>
        <w:tab/>
        <w:t>the date that the original was sent by facsimile transmission.</w:t>
      </w:r>
    </w:p>
    <w:p>
      <w:pPr>
        <w:pStyle w:val="Heading5"/>
      </w:pPr>
      <w:bookmarkStart w:id="30" w:name="_Toc524845959"/>
      <w:bookmarkStart w:id="31" w:name="_Toc377457213"/>
      <w:r>
        <w:rPr>
          <w:rStyle w:val="CharSectno"/>
        </w:rPr>
        <w:t>6</w:t>
      </w:r>
      <w:r>
        <w:t>.</w:t>
      </w:r>
      <w:r>
        <w:tab/>
        <w:t>Filing by email</w:t>
      </w:r>
      <w:bookmarkEnd w:id="30"/>
      <w:bookmarkEnd w:id="31"/>
    </w:p>
    <w:p>
      <w:pPr>
        <w:pStyle w:val="Subsection"/>
      </w:pPr>
      <w:r>
        <w:tab/>
        <w:t>(1)</w:t>
      </w:r>
      <w:r>
        <w:tab/>
        <w:t>The executive officer is to approve a format in which applications may be sent to him or her by email.</w:t>
      </w:r>
    </w:p>
    <w:p>
      <w:pPr>
        <w:pStyle w:val="Subsection"/>
      </w:pPr>
      <w:r>
        <w:tab/>
        <w:t>(2)</w:t>
      </w:r>
      <w:r>
        <w:tab/>
        <w:t>The executive officer is to approve at least one email address for the purpose of receiving applications by email.</w:t>
      </w:r>
    </w:p>
    <w:p>
      <w:pPr>
        <w:pStyle w:val="Subsection"/>
      </w:pPr>
      <w:r>
        <w:tab/>
        <w:t>(3)</w:t>
      </w:r>
      <w:r>
        <w:tab/>
        <w:t xml:space="preserve">An application sent to the executive officer by email must — </w:t>
      </w:r>
    </w:p>
    <w:p>
      <w:pPr>
        <w:pStyle w:val="Indenta"/>
      </w:pPr>
      <w:r>
        <w:tab/>
        <w:t>(a)</w:t>
      </w:r>
      <w:r>
        <w:tab/>
        <w:t>be sent to an email address approved by the executive officer;</w:t>
      </w:r>
    </w:p>
    <w:p>
      <w:pPr>
        <w:pStyle w:val="Indenta"/>
      </w:pPr>
      <w:r>
        <w:tab/>
        <w:t>(b)</w:t>
      </w:r>
      <w:r>
        <w:tab/>
        <w:t>to the extent practicable, be in a form that complies with an approved form;</w:t>
      </w:r>
    </w:p>
    <w:p>
      <w:pPr>
        <w:pStyle w:val="Indenta"/>
      </w:pPr>
      <w:r>
        <w:tab/>
        <w:t>(c)</w:t>
      </w:r>
      <w:r>
        <w:tab/>
        <w:t>be capable of being printed with the content and in the format in which it was created;</w:t>
      </w:r>
    </w:p>
    <w:p>
      <w:pPr>
        <w:pStyle w:val="Indenta"/>
      </w:pPr>
      <w:r>
        <w:tab/>
        <w:t>(d)</w:t>
      </w:r>
      <w:r>
        <w:tab/>
        <w:t xml:space="preserve">be accompanied by a cover sheet stating — </w:t>
      </w:r>
    </w:p>
    <w:p>
      <w:pPr>
        <w:pStyle w:val="Indenti"/>
      </w:pPr>
      <w:r>
        <w:tab/>
        <w:t>(i)</w:t>
      </w:r>
      <w:r>
        <w:tab/>
        <w:t>the filer’s name, postal address, telephone number, facsimile number and email address; and</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(4)</w:t>
      </w:r>
      <w:r>
        <w:tab/>
        <w:t xml:space="preserve">A person who sends an application to the executive officer by email must — </w:t>
      </w:r>
    </w:p>
    <w:p>
      <w:pPr>
        <w:pStyle w:val="Indenta"/>
      </w:pPr>
      <w:r>
        <w:tab/>
        <w:t>(a)</w:t>
      </w:r>
      <w:r>
        <w:tab/>
        <w:t>keep a paper copy of the application; and</w:t>
      </w:r>
    </w:p>
    <w:p>
      <w:pPr>
        <w:pStyle w:val="Indenta"/>
      </w:pPr>
      <w:r>
        <w:tab/>
        <w:t>(b)</w:t>
      </w:r>
      <w:r>
        <w:tab/>
        <w:t>produce the paper copy of the application as ordered by the Tribunal.</w:t>
      </w:r>
    </w:p>
    <w:p>
      <w:pPr>
        <w:pStyle w:val="Subsection"/>
      </w:pPr>
      <w:r>
        <w:tab/>
        <w:t>(5)</w:t>
      </w:r>
      <w:r>
        <w:tab/>
        <w:t xml:space="preserve">If the Tribunal orders that the paper copy of the application be produced, the first page of the application must be endorsed by the applicant or the referring person with — </w:t>
      </w:r>
    </w:p>
    <w:p>
      <w:pPr>
        <w:pStyle w:val="Indenta"/>
        <w:spacing w:before="70"/>
      </w:pPr>
      <w:r>
        <w:tab/>
        <w:t>(a)</w:t>
      </w:r>
      <w:r>
        <w:tab/>
        <w:t>a statement that the paper copy is a true copy of the application sent by email; and</w:t>
      </w:r>
    </w:p>
    <w:p>
      <w:pPr>
        <w:pStyle w:val="Indenta"/>
        <w:spacing w:before="70"/>
      </w:pPr>
      <w:r>
        <w:tab/>
        <w:t>(b)</w:t>
      </w:r>
      <w:r>
        <w:tab/>
        <w:t>the date that the application was sent by email.</w:t>
      </w:r>
    </w:p>
    <w:p>
      <w:pPr>
        <w:pStyle w:val="Heading5"/>
      </w:pPr>
      <w:bookmarkStart w:id="32" w:name="_Toc524845960"/>
      <w:bookmarkStart w:id="33" w:name="_Toc377457214"/>
      <w:r>
        <w:rPr>
          <w:rStyle w:val="CharSectno"/>
        </w:rPr>
        <w:t>7A</w:t>
      </w:r>
      <w:r>
        <w:t>.</w:t>
      </w:r>
      <w:r>
        <w:tab/>
        <w:t>Filing some applications using Tribunal’s website</w:t>
      </w:r>
      <w:bookmarkEnd w:id="32"/>
      <w:bookmarkEnd w:id="33"/>
    </w:p>
    <w:p>
      <w:pPr>
        <w:pStyle w:val="Subsection"/>
      </w:pPr>
      <w:r>
        <w:tab/>
        <w:t>(1)</w:t>
      </w:r>
      <w:r>
        <w:tab/>
        <w:t xml:space="preserve">The executive officer may approve a particular type of application that can be made electronically by means of the Tribunal’s website (an </w:t>
      </w:r>
      <w:r>
        <w:rPr>
          <w:rStyle w:val="CharDefText"/>
        </w:rPr>
        <w:t>approved application</w:t>
      </w:r>
      <w:r>
        <w:t>).</w:t>
      </w:r>
    </w:p>
    <w:p>
      <w:pPr>
        <w:pStyle w:val="Subsection"/>
      </w:pPr>
      <w:r>
        <w:tab/>
        <w:t>(2)</w:t>
      </w:r>
      <w:r>
        <w:tab/>
        <w:t xml:space="preserve">An approved application may be filed electronically only by the following — </w:t>
      </w:r>
    </w:p>
    <w:p>
      <w:pPr>
        <w:pStyle w:val="Indenta"/>
        <w:spacing w:before="70"/>
      </w:pPr>
      <w:r>
        <w:tab/>
        <w:t>(a)</w:t>
      </w:r>
      <w:r>
        <w:tab/>
        <w:t>the applicant;</w:t>
      </w:r>
    </w:p>
    <w:p>
      <w:pPr>
        <w:pStyle w:val="Indenta"/>
        <w:spacing w:before="70"/>
      </w:pPr>
      <w:r>
        <w:tab/>
        <w:t>(b)</w:t>
      </w:r>
      <w:r>
        <w:tab/>
        <w:t>the referring person;</w:t>
      </w:r>
    </w:p>
    <w:p>
      <w:pPr>
        <w:pStyle w:val="Indenta"/>
        <w:spacing w:before="70"/>
      </w:pPr>
      <w:r>
        <w:tab/>
        <w:t>(c)</w:t>
      </w:r>
      <w:r>
        <w:tab/>
        <w:t>a person authorised under section 39 of the Act to represent the applicant or referring person.</w:t>
      </w:r>
    </w:p>
    <w:p>
      <w:pPr>
        <w:pStyle w:val="Subsection"/>
      </w:pPr>
      <w:r>
        <w:tab/>
        <w:t>(3)</w:t>
      </w:r>
      <w:r>
        <w:tab/>
        <w:t xml:space="preserve">A person who files an approved application electronically must — </w:t>
      </w:r>
    </w:p>
    <w:p>
      <w:pPr>
        <w:pStyle w:val="Indenta"/>
      </w:pPr>
      <w:r>
        <w:tab/>
        <w:t>(a)</w:t>
      </w:r>
      <w:r>
        <w:tab/>
        <w:t>keep a paper copy of the application; and</w:t>
      </w:r>
    </w:p>
    <w:p>
      <w:pPr>
        <w:pStyle w:val="Indenta"/>
      </w:pPr>
      <w:r>
        <w:tab/>
        <w:t>(b)</w:t>
      </w:r>
      <w:r>
        <w:tab/>
        <w:t>produce the paper copy of the application as ordered by the Tribunal.</w:t>
      </w:r>
    </w:p>
    <w:p>
      <w:pPr>
        <w:pStyle w:val="Subsection"/>
      </w:pPr>
      <w:r>
        <w:tab/>
        <w:t>(4)</w:t>
      </w:r>
      <w:r>
        <w:tab/>
        <w:t>For the purposes of section 42(3) of the Act, an application filed electronically is accepted by the executive officer when he or she affixes the Tribunal’s seal to a print out of the application.</w:t>
      </w:r>
    </w:p>
    <w:p>
      <w:pPr>
        <w:pStyle w:val="Subsection"/>
      </w:pPr>
      <w:r>
        <w:tab/>
        <w:t>(5)</w:t>
      </w:r>
      <w:r>
        <w:tab/>
        <w:t xml:space="preserve">If the Tribunal orders that a paper copy of an application filed electronically be produced, the first page of the application must be endorsed by the applicant or referring person with — </w:t>
      </w:r>
    </w:p>
    <w:p>
      <w:pPr>
        <w:pStyle w:val="Indenta"/>
      </w:pPr>
      <w:r>
        <w:tab/>
        <w:t>(a)</w:t>
      </w:r>
      <w:r>
        <w:tab/>
        <w:t>a statement that the paper copy is a true copy of the application filed electronically; and</w:t>
      </w:r>
    </w:p>
    <w:p>
      <w:pPr>
        <w:pStyle w:val="Indenta"/>
      </w:pPr>
      <w:r>
        <w:tab/>
        <w:t>(b)</w:t>
      </w:r>
      <w:r>
        <w:tab/>
        <w:t>the date that the application was filed electronically.</w:t>
      </w:r>
    </w:p>
    <w:p>
      <w:pPr>
        <w:pStyle w:val="Footnotesection"/>
      </w:pPr>
      <w:r>
        <w:tab/>
        <w:t>[Rule 7A inserted in Gazette 9 Jul 2010 p. 3241-2.]</w:t>
      </w:r>
    </w:p>
    <w:p>
      <w:pPr>
        <w:pStyle w:val="Heading5"/>
      </w:pPr>
      <w:bookmarkStart w:id="34" w:name="_Toc524845961"/>
      <w:bookmarkStart w:id="35" w:name="_Toc377457215"/>
      <w:r>
        <w:rPr>
          <w:rStyle w:val="CharSectno"/>
        </w:rPr>
        <w:t>7</w:t>
      </w:r>
      <w:r>
        <w:t>.</w:t>
      </w:r>
      <w:r>
        <w:tab/>
        <w:t>Acceptance of written applications</w:t>
      </w:r>
      <w:bookmarkEnd w:id="34"/>
      <w:bookmarkEnd w:id="35"/>
    </w:p>
    <w:p>
      <w:pPr>
        <w:pStyle w:val="Subsection"/>
      </w:pPr>
      <w:r>
        <w:tab/>
        <w:t>(1)</w:t>
      </w:r>
      <w:r>
        <w:tab/>
        <w:t>For the purposes of the Act section 42(3), an application in writing is accepted by the executive officer when he or she affixes the Tribunal’s seal to it.</w:t>
      </w:r>
    </w:p>
    <w:p>
      <w:pPr>
        <w:pStyle w:val="Subsection"/>
      </w:pPr>
      <w:r>
        <w:tab/>
        <w:t>(2)</w:t>
      </w:r>
      <w:r>
        <w:tab/>
        <w:t xml:space="preserve">A written application must not be accepted, without the leave of the Tribunal, a judicial member or the executive officer, if it appears to the executive officer that the application — </w:t>
      </w:r>
    </w:p>
    <w:p>
      <w:pPr>
        <w:pStyle w:val="Indenta"/>
      </w:pPr>
      <w:r>
        <w:tab/>
        <w:t>(a)</w:t>
      </w:r>
      <w:r>
        <w:tab/>
        <w:t>is not substantially complete; or</w:t>
      </w:r>
    </w:p>
    <w:p>
      <w:pPr>
        <w:pStyle w:val="Indenta"/>
      </w:pPr>
      <w:r>
        <w:tab/>
        <w:t>(b)</w:t>
      </w:r>
      <w:r>
        <w:tab/>
        <w:t>does not substantially comply with these rules; or</w:t>
      </w:r>
    </w:p>
    <w:p>
      <w:pPr>
        <w:pStyle w:val="Indenta"/>
      </w:pPr>
      <w:r>
        <w:tab/>
        <w:t>(c)</w:t>
      </w:r>
      <w:r>
        <w:tab/>
        <w:t>is not properly signed or executed.</w:t>
      </w:r>
    </w:p>
    <w:p>
      <w:pPr>
        <w:pStyle w:val="Subsection"/>
      </w:pPr>
      <w:r>
        <w:tab/>
        <w:t>(3)</w:t>
      </w:r>
      <w:r>
        <w:tab/>
        <w:t xml:space="preserve">If an application sent or made in accordance with rule 4(1)(b), (2) or (3) is not accepted, the executive officer is to notify the sender of the application — </w:t>
      </w:r>
    </w:p>
    <w:p>
      <w:pPr>
        <w:pStyle w:val="Indenta"/>
      </w:pPr>
      <w:r>
        <w:tab/>
        <w:t>(a)</w:t>
      </w:r>
      <w:r>
        <w:tab/>
        <w:t>by telephone on the telephone number stated on the application or cover sheet; or</w:t>
      </w:r>
    </w:p>
    <w:p>
      <w:pPr>
        <w:pStyle w:val="Indenta"/>
      </w:pPr>
      <w:r>
        <w:tab/>
        <w:t>(b)</w:t>
      </w:r>
      <w:r>
        <w:tab/>
        <w:t>in writing to the postal address or facsimile number stated on the application or cover sheet; or</w:t>
      </w:r>
    </w:p>
    <w:p>
      <w:pPr>
        <w:pStyle w:val="Indenta"/>
      </w:pPr>
      <w:r>
        <w:tab/>
        <w:t>(c)</w:t>
      </w:r>
      <w:r>
        <w:tab/>
        <w:t>by email sent to the email address stated on the application or cover sheet.</w:t>
      </w:r>
    </w:p>
    <w:p>
      <w:pPr>
        <w:pStyle w:val="Heading5"/>
      </w:pPr>
      <w:bookmarkStart w:id="36" w:name="_Toc524845962"/>
      <w:bookmarkStart w:id="37" w:name="_Toc377457216"/>
      <w:r>
        <w:rPr>
          <w:rStyle w:val="CharSectno"/>
        </w:rPr>
        <w:t>8</w:t>
      </w:r>
      <w:r>
        <w:t>.</w:t>
      </w:r>
      <w:r>
        <w:tab/>
        <w:t>Oral applications</w:t>
      </w:r>
      <w:bookmarkEnd w:id="36"/>
      <w:bookmarkEnd w:id="37"/>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to the executive officer that the application — </w:t>
      </w:r>
    </w:p>
    <w:p>
      <w:pPr>
        <w:pStyle w:val="Indenta"/>
        <w:spacing w:before="70"/>
      </w:pPr>
      <w:r>
        <w:tab/>
        <w:t>(a)</w:t>
      </w:r>
      <w:r>
        <w:tab/>
        <w:t>is not substantially complete; or</w:t>
      </w:r>
    </w:p>
    <w:p>
      <w:pPr>
        <w:pStyle w:val="Indenta"/>
        <w:spacing w:before="70"/>
      </w:pPr>
      <w:r>
        <w:tab/>
        <w:t>(b)</w:t>
      </w:r>
      <w:r>
        <w:tab/>
        <w:t>does not substantially comply with these rules.</w:t>
      </w:r>
    </w:p>
    <w:p>
      <w:pPr>
        <w:pStyle w:val="Heading5"/>
      </w:pPr>
      <w:bookmarkStart w:id="38" w:name="_Toc524845963"/>
      <w:bookmarkStart w:id="39" w:name="_Toc377457217"/>
      <w:r>
        <w:rPr>
          <w:rStyle w:val="CharSectno"/>
        </w:rPr>
        <w:t>9</w:t>
      </w:r>
      <w:r>
        <w:t>.</w:t>
      </w:r>
      <w:r>
        <w:tab/>
        <w:t>Time limit for applications: review jurisdiction</w:t>
      </w:r>
      <w:bookmarkEnd w:id="38"/>
      <w:bookmarkEnd w:id="39"/>
    </w:p>
    <w:p>
      <w:pPr>
        <w:pStyle w:val="Subsection"/>
      </w:pPr>
      <w:r>
        <w:tab/>
      </w:r>
      <w:r>
        <w:tab/>
        <w:t xml:space="preserve">Subject to these rules, an application to the Tribunal under its review jurisdiction must be made within 28 days of — </w:t>
      </w:r>
    </w:p>
    <w:p>
      <w:pPr>
        <w:pStyle w:val="Indenta"/>
        <w:spacing w:before="70"/>
      </w:pPr>
      <w:r>
        <w:tab/>
        <w:t>(a)</w:t>
      </w:r>
      <w:r>
        <w:tab/>
        <w:t>the day on which the decision</w:t>
      </w:r>
      <w:r>
        <w:noBreakHyphen/>
        <w:t>maker gives a notice under the Act section 20(1); or</w:t>
      </w:r>
    </w:p>
    <w:p>
      <w:pPr>
        <w:pStyle w:val="Indenta"/>
        <w:spacing w:before="70"/>
      </w:pPr>
      <w:r>
        <w:tab/>
        <w:t>(b)</w:t>
      </w:r>
      <w:r>
        <w:tab/>
        <w:t>the day on which the decision</w:t>
      </w:r>
      <w:r>
        <w:noBreakHyphen/>
        <w:t>maker makes the decision under the Act section 20(5); or</w:t>
      </w:r>
    </w:p>
    <w:p>
      <w:pPr>
        <w:pStyle w:val="Indenta"/>
        <w:spacing w:before="70"/>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40" w:name="_Toc524845964"/>
      <w:bookmarkStart w:id="41" w:name="_Toc377457218"/>
      <w:r>
        <w:rPr>
          <w:rStyle w:val="CharSectno"/>
        </w:rPr>
        <w:t>10</w:t>
      </w:r>
      <w:r>
        <w:t>.</w:t>
      </w:r>
      <w:r>
        <w:tab/>
        <w:t>Extension of time limit</w:t>
      </w:r>
      <w:bookmarkEnd w:id="40"/>
      <w:bookmarkEnd w:id="41"/>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42" w:name="_Toc524845965"/>
      <w:bookmarkStart w:id="43" w:name="_Toc377457219"/>
      <w:r>
        <w:rPr>
          <w:rStyle w:val="CharSectno"/>
        </w:rPr>
        <w:t>11</w:t>
      </w:r>
      <w:r>
        <w:t>.</w:t>
      </w:r>
      <w:r>
        <w:tab/>
        <w:t>Time specified for the purposes of section 22(2) of Act</w:t>
      </w:r>
      <w:bookmarkEnd w:id="42"/>
      <w:bookmarkEnd w:id="43"/>
    </w:p>
    <w:p>
      <w:pPr>
        <w:pStyle w:val="Subsection"/>
      </w:pPr>
      <w:r>
        <w:tab/>
      </w:r>
      <w:r>
        <w:tab/>
        <w:t>For the purposes of the Act section 22(2) the time specified is 7 days after the day on which the application is accepted by the executive officer.</w:t>
      </w:r>
    </w:p>
    <w:p>
      <w:pPr>
        <w:pStyle w:val="Heading5"/>
      </w:pPr>
      <w:bookmarkStart w:id="44" w:name="_Toc524845966"/>
      <w:bookmarkStart w:id="45" w:name="_Toc377457220"/>
      <w:r>
        <w:rPr>
          <w:rStyle w:val="CharSectno"/>
        </w:rPr>
        <w:t>12</w:t>
      </w:r>
      <w:r>
        <w:t>.</w:t>
      </w:r>
      <w:r>
        <w:tab/>
        <w:t>Provision of documents and materials by decision maker: section 24 of Act</w:t>
      </w:r>
      <w:bookmarkEnd w:id="44"/>
      <w:bookmarkEnd w:id="45"/>
    </w:p>
    <w:p>
      <w:pPr>
        <w:pStyle w:val="Subsection"/>
        <w:spacing w:before="120"/>
      </w:pPr>
      <w:r>
        <w:tab/>
        <w:t>(1)</w:t>
      </w:r>
      <w:r>
        <w:tab/>
        <w:t xml:space="preserve">In this rule — </w:t>
      </w:r>
    </w:p>
    <w:p>
      <w:pPr>
        <w:pStyle w:val="Defstart"/>
        <w:spacing w:before="60"/>
      </w:pPr>
      <w:r>
        <w:rPr>
          <w:b/>
        </w:rPr>
        <w:tab/>
      </w:r>
      <w:r>
        <w:rPr>
          <w:rStyle w:val="CharDefText"/>
        </w:rPr>
        <w:t>material</w:t>
      </w:r>
      <w:r>
        <w:t xml:space="preserve"> means a statement, document and other material referred to in the Act section 24.</w:t>
      </w:r>
    </w:p>
    <w:p>
      <w:pPr>
        <w:pStyle w:val="Subsection"/>
        <w:spacing w:before="120"/>
      </w:pPr>
      <w:r>
        <w:tab/>
        <w:t>(2)</w:t>
      </w:r>
      <w:r>
        <w:tab/>
        <w:t>The decision</w:t>
      </w:r>
      <w:r>
        <w:noBreakHyphen/>
        <w:t>maker must provide the material to the Tribunal in accordance with, and within the period specified in, any order made by the Tribunal.</w:t>
      </w:r>
    </w:p>
    <w:p>
      <w:pPr>
        <w:pStyle w:val="Subsection"/>
        <w:spacing w:before="120"/>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spacing w:before="120"/>
      </w:pPr>
      <w:r>
        <w:tab/>
        <w:t>(4)</w:t>
      </w:r>
      <w:r>
        <w:tab/>
        <w:t>The Tribunal may order a decision</w:t>
      </w:r>
      <w:r>
        <w:noBreakHyphen/>
        <w:t>maker to provide it with additional copies of the material.</w:t>
      </w:r>
    </w:p>
    <w:p>
      <w:pPr>
        <w:pStyle w:val="Footnotesection"/>
        <w:spacing w:before="80"/>
      </w:pPr>
      <w:r>
        <w:tab/>
        <w:t>[Rule 12 amended in Gazette 14 Oct 2005 p. 4569.]</w:t>
      </w:r>
    </w:p>
    <w:p>
      <w:pPr>
        <w:pStyle w:val="Heading5"/>
        <w:spacing w:before="200"/>
      </w:pPr>
      <w:bookmarkStart w:id="46" w:name="_Toc524845967"/>
      <w:bookmarkStart w:id="47" w:name="_Toc377457221"/>
      <w:r>
        <w:rPr>
          <w:rStyle w:val="CharSectno"/>
        </w:rPr>
        <w:t>13</w:t>
      </w:r>
      <w:r>
        <w:t>.</w:t>
      </w:r>
      <w:r>
        <w:tab/>
        <w:t>Protected matter</w:t>
      </w:r>
      <w:bookmarkEnd w:id="46"/>
      <w:bookmarkEnd w:id="47"/>
    </w:p>
    <w:p>
      <w:pPr>
        <w:pStyle w:val="Subsection"/>
        <w:spacing w:before="120"/>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spacing w:before="60"/>
      </w:pPr>
      <w:r>
        <w:tab/>
        <w:t>(a)</w:t>
      </w:r>
      <w:r>
        <w:tab/>
        <w:t>indicates which document or documents comprise or contain protected matter; and</w:t>
      </w:r>
    </w:p>
    <w:p>
      <w:pPr>
        <w:pStyle w:val="Indenta"/>
        <w:spacing w:before="60"/>
      </w:pPr>
      <w:r>
        <w:tab/>
        <w:t>(b)</w:t>
      </w:r>
      <w:r>
        <w:tab/>
        <w:t>sufficiently identifies any document that comprises or contains protected matter without disclosing the protected matter; and</w:t>
      </w:r>
    </w:p>
    <w:p>
      <w:pPr>
        <w:pStyle w:val="Indenta"/>
        <w:spacing w:before="60"/>
      </w:pPr>
      <w:r>
        <w:tab/>
        <w:t>(c)</w:t>
      </w:r>
      <w:r>
        <w:tab/>
        <w:t>indicates that any protected matter has been included within Part B of the party’s bundle of documents.</w:t>
      </w:r>
    </w:p>
    <w:p>
      <w:pPr>
        <w:pStyle w:val="Subsection"/>
        <w:spacing w:before="120"/>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spacing w:before="140"/>
      </w:pPr>
      <w:r>
        <w:tab/>
        <w:t>(2b)</w:t>
      </w:r>
      <w:r>
        <w:tab/>
        <w:t xml:space="preserve">Subject to subrule (2a), Part A must — </w:t>
      </w:r>
    </w:p>
    <w:p>
      <w:pPr>
        <w:pStyle w:val="Indenta"/>
        <w:spacing w:before="60"/>
      </w:pPr>
      <w:r>
        <w:tab/>
        <w:t>(a)</w:t>
      </w:r>
      <w:r>
        <w:tab/>
        <w:t>include all documents in the party’s bundle excluding protected matter; and</w:t>
      </w:r>
    </w:p>
    <w:p>
      <w:pPr>
        <w:pStyle w:val="Indenta"/>
        <w:spacing w:before="60"/>
      </w:pPr>
      <w:r>
        <w:tab/>
        <w:t>(b)</w:t>
      </w:r>
      <w:r>
        <w:tab/>
        <w:t>be filed with the Tribunal and given to the other party within the period specified in the order for the filing of and giving the party’s bundle of documents.</w:t>
      </w:r>
    </w:p>
    <w:p>
      <w:pPr>
        <w:pStyle w:val="Subsection"/>
        <w:spacing w:before="140"/>
      </w:pPr>
      <w:r>
        <w:tab/>
        <w:t>(2c)</w:t>
      </w:r>
      <w:r>
        <w:tab/>
        <w:t xml:space="preserve">Part B must — </w:t>
      </w:r>
    </w:p>
    <w:p>
      <w:pPr>
        <w:pStyle w:val="Indenta"/>
        <w:spacing w:before="60"/>
      </w:pPr>
      <w:r>
        <w:tab/>
        <w:t>(a)</w:t>
      </w:r>
      <w:r>
        <w:tab/>
        <w:t>include all documents in the party’s bundle which the party considers comprise or contain protected matter; and</w:t>
      </w:r>
    </w:p>
    <w:p>
      <w:pPr>
        <w:pStyle w:val="Indenta"/>
        <w:spacing w:before="60"/>
      </w:pPr>
      <w:r>
        <w:tab/>
        <w:t>(b)</w:t>
      </w:r>
      <w:r>
        <w:tab/>
        <w:t>be clearly marked as containing protected matter and must be placed into a sealed envelope clearly marked as containing protected matter; and</w:t>
      </w:r>
    </w:p>
    <w:p>
      <w:pPr>
        <w:pStyle w:val="Indenta"/>
        <w:spacing w:before="60"/>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spacing w:before="100"/>
      </w:pPr>
      <w:r>
        <w:tab/>
        <w:t>[Rule 13 inserted in Gazette 14 Oct 2005 p. 4569</w:t>
      </w:r>
      <w:r>
        <w:noBreakHyphen/>
        <w:t>70; amended in Gazette 13 Apr 2006 p. 1557; 13 Apr 2007 p. 1683.]</w:t>
      </w:r>
    </w:p>
    <w:p>
      <w:pPr>
        <w:pStyle w:val="Heading3"/>
      </w:pPr>
      <w:bookmarkStart w:id="48" w:name="_Toc524845968"/>
      <w:bookmarkStart w:id="49" w:name="_Toc377457222"/>
      <w:r>
        <w:rPr>
          <w:rStyle w:val="CharDivNo"/>
        </w:rPr>
        <w:t>Division 2</w:t>
      </w:r>
      <w:r>
        <w:t> — </w:t>
      </w:r>
      <w:r>
        <w:rPr>
          <w:rStyle w:val="CharDivText"/>
        </w:rPr>
        <w:t>Proceedings and hearings</w:t>
      </w:r>
      <w:bookmarkEnd w:id="48"/>
      <w:bookmarkEnd w:id="49"/>
    </w:p>
    <w:p>
      <w:pPr>
        <w:pStyle w:val="Heading5"/>
      </w:pPr>
      <w:bookmarkStart w:id="50" w:name="_Toc524845969"/>
      <w:bookmarkStart w:id="51" w:name="_Toc377457223"/>
      <w:r>
        <w:rPr>
          <w:rStyle w:val="CharSectno"/>
        </w:rPr>
        <w:t>14</w:t>
      </w:r>
      <w:r>
        <w:t>.</w:t>
      </w:r>
      <w:r>
        <w:tab/>
        <w:t>Filing of other applications</w:t>
      </w:r>
      <w:bookmarkEnd w:id="50"/>
      <w:bookmarkEnd w:id="51"/>
    </w:p>
    <w:p>
      <w:pPr>
        <w:pStyle w:val="Subsection"/>
      </w:pPr>
      <w:r>
        <w:tab/>
      </w:r>
      <w:r>
        <w:tab/>
        <w:t xml:space="preserve">Rules 4 (other than subrules (4), (5), (6) and (7)), 5 and 6 apply to the filing of — </w:t>
      </w:r>
    </w:p>
    <w:p>
      <w:pPr>
        <w:pStyle w:val="Indenta"/>
        <w:spacing w:before="60"/>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in Gazette 14 Oct 2005 p. 4570.]</w:t>
      </w:r>
    </w:p>
    <w:p>
      <w:pPr>
        <w:pStyle w:val="Heading5"/>
        <w:spacing w:before="260"/>
      </w:pPr>
      <w:bookmarkStart w:id="52" w:name="_Toc524845970"/>
      <w:bookmarkStart w:id="53" w:name="_Toc377457224"/>
      <w:r>
        <w:rPr>
          <w:rStyle w:val="CharSectno"/>
        </w:rPr>
        <w:t>15</w:t>
      </w:r>
      <w:r>
        <w:t>.</w:t>
      </w:r>
      <w:r>
        <w:tab/>
        <w:t>Amendment of grounds or reasons for application</w:t>
      </w:r>
      <w:bookmarkEnd w:id="52"/>
      <w:bookmarkEnd w:id="53"/>
    </w:p>
    <w:p>
      <w:pPr>
        <w:pStyle w:val="Subsection"/>
      </w:pPr>
      <w:r>
        <w:tab/>
        <w:t>(1)</w:t>
      </w:r>
      <w:r>
        <w:tab/>
        <w:t>A person who has made an application to the Tribunal may apply in an approved form to the Tribunal to amend the grounds or reasons specified in the application.</w:t>
      </w:r>
    </w:p>
    <w:p>
      <w:pPr>
        <w:pStyle w:val="Subsection"/>
      </w:pPr>
      <w:r>
        <w:tab/>
        <w:t>(2)</w:t>
      </w:r>
      <w:r>
        <w:tab/>
        <w:t>The Tribunal may, at any time before making a final decision, grant the application referred to in subrule (1).</w:t>
      </w:r>
    </w:p>
    <w:p>
      <w:pPr>
        <w:pStyle w:val="Footnotesection"/>
      </w:pPr>
      <w:r>
        <w:tab/>
        <w:t>[Rule 15 amended in Gazette 14 Oct 2005 p. 4570.]</w:t>
      </w:r>
    </w:p>
    <w:p>
      <w:pPr>
        <w:pStyle w:val="Heading5"/>
        <w:spacing w:before="260"/>
      </w:pPr>
      <w:bookmarkStart w:id="54" w:name="_Toc524845971"/>
      <w:bookmarkStart w:id="55" w:name="_Toc377457225"/>
      <w:r>
        <w:rPr>
          <w:rStyle w:val="CharSectno"/>
        </w:rPr>
        <w:t>16</w:t>
      </w:r>
      <w:r>
        <w:t>.</w:t>
      </w:r>
      <w:r>
        <w:tab/>
        <w:t>Notice of compulsory conference</w:t>
      </w:r>
      <w:bookmarkEnd w:id="54"/>
      <w:bookmarkEnd w:id="55"/>
    </w:p>
    <w:p>
      <w:pPr>
        <w:pStyle w:val="Subsection"/>
      </w:pPr>
      <w:r>
        <w:tab/>
      </w:r>
      <w:r>
        <w:tab/>
        <w:t>The executive officer is to give notice of a compulsory conference in writing and in accordance with any other requirements of these rules.</w:t>
      </w:r>
    </w:p>
    <w:p>
      <w:pPr>
        <w:pStyle w:val="Heading5"/>
        <w:spacing w:before="260"/>
      </w:pPr>
      <w:bookmarkStart w:id="56" w:name="_Toc524845972"/>
      <w:bookmarkStart w:id="57" w:name="_Toc377457226"/>
      <w:r>
        <w:rPr>
          <w:rStyle w:val="CharSectno"/>
        </w:rPr>
        <w:t>17</w:t>
      </w:r>
      <w:r>
        <w:t>.</w:t>
      </w:r>
      <w:r>
        <w:tab/>
        <w:t>Notice of mediation</w:t>
      </w:r>
      <w:bookmarkEnd w:id="56"/>
      <w:bookmarkEnd w:id="57"/>
    </w:p>
    <w:p>
      <w:pPr>
        <w:pStyle w:val="Subsection"/>
      </w:pPr>
      <w:r>
        <w:tab/>
      </w:r>
      <w:r>
        <w:tab/>
        <w:t>The executive officer is to give notice of a mediation in writing and in accordance with any other requirements of these rules.</w:t>
      </w:r>
    </w:p>
    <w:p>
      <w:pPr>
        <w:pStyle w:val="Heading5"/>
        <w:spacing w:before="260"/>
      </w:pPr>
      <w:bookmarkStart w:id="58" w:name="_Toc524845973"/>
      <w:bookmarkStart w:id="59" w:name="_Toc377457227"/>
      <w:r>
        <w:rPr>
          <w:rStyle w:val="CharSectno"/>
        </w:rPr>
        <w:t>18</w:t>
      </w:r>
      <w:r>
        <w:t>.</w:t>
      </w:r>
      <w:r>
        <w:tab/>
        <w:t>Notice of hearing</w:t>
      </w:r>
      <w:bookmarkEnd w:id="58"/>
      <w:bookmarkEnd w:id="59"/>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60" w:name="_Toc524845974"/>
      <w:bookmarkStart w:id="61" w:name="_Toc377457228"/>
      <w:r>
        <w:rPr>
          <w:rStyle w:val="CharSectno"/>
        </w:rPr>
        <w:t>19</w:t>
      </w:r>
      <w:r>
        <w:t>.</w:t>
      </w:r>
      <w:r>
        <w:tab/>
        <w:t>Authentication of decision: section 74 of Act</w:t>
      </w:r>
      <w:bookmarkEnd w:id="60"/>
      <w:bookmarkEnd w:id="61"/>
    </w:p>
    <w:p>
      <w:pPr>
        <w:pStyle w:val="Subsection"/>
        <w:keepNext/>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62" w:name="_Toc524845975"/>
      <w:bookmarkStart w:id="63" w:name="_Toc377457229"/>
      <w:r>
        <w:rPr>
          <w:rStyle w:val="CharSectno"/>
        </w:rPr>
        <w:t>20</w:t>
      </w:r>
      <w:r>
        <w:t>.</w:t>
      </w:r>
      <w:r>
        <w:tab/>
        <w:t>Time limit for purposes of section 84(3) of Act</w:t>
      </w:r>
      <w:bookmarkEnd w:id="62"/>
      <w:bookmarkEnd w:id="63"/>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64" w:name="_Toc524845976"/>
      <w:bookmarkStart w:id="65" w:name="_Toc377457230"/>
      <w:r>
        <w:rPr>
          <w:rStyle w:val="CharSectno"/>
        </w:rPr>
        <w:t>21</w:t>
      </w:r>
      <w:r>
        <w:t>.</w:t>
      </w:r>
      <w:r>
        <w:tab/>
        <w:t>Limit on applications: section 84(4) of Act</w:t>
      </w:r>
      <w:bookmarkEnd w:id="64"/>
      <w:bookmarkEnd w:id="65"/>
    </w:p>
    <w:p>
      <w:pPr>
        <w:pStyle w:val="Subsection"/>
      </w:pPr>
      <w:r>
        <w:tab/>
      </w:r>
      <w:r>
        <w:tab/>
        <w:t>For the purposes of the Act section 84(4), the number of applications is 2.</w:t>
      </w:r>
    </w:p>
    <w:p>
      <w:pPr>
        <w:pStyle w:val="Heading5"/>
      </w:pPr>
      <w:bookmarkStart w:id="66" w:name="_Toc524845977"/>
      <w:bookmarkStart w:id="67" w:name="_Toc377457231"/>
      <w:r>
        <w:rPr>
          <w:rStyle w:val="CharSectno"/>
        </w:rPr>
        <w:t>22</w:t>
      </w:r>
      <w:r>
        <w:t>.</w:t>
      </w:r>
      <w:r>
        <w:tab/>
        <w:t>Relief from procedural requirements: section 92(1) of Act</w:t>
      </w:r>
      <w:bookmarkEnd w:id="66"/>
      <w:bookmarkEnd w:id="67"/>
    </w:p>
    <w:p>
      <w:pPr>
        <w:pStyle w:val="Subsection"/>
      </w:pPr>
      <w:r>
        <w:tab/>
      </w:r>
      <w:r>
        <w:tab/>
        <w:t>The Tribunal may exercise any of the powers referred to in the Act section 92(1) in connection with any proceeding.</w:t>
      </w:r>
    </w:p>
    <w:p>
      <w:pPr>
        <w:pStyle w:val="Heading5"/>
      </w:pPr>
      <w:bookmarkStart w:id="68" w:name="_Toc524845978"/>
      <w:bookmarkStart w:id="69" w:name="_Toc377457232"/>
      <w:r>
        <w:rPr>
          <w:rStyle w:val="CharSectno"/>
        </w:rPr>
        <w:t>23</w:t>
      </w:r>
      <w:r>
        <w:t>.</w:t>
      </w:r>
      <w:r>
        <w:tab/>
        <w:t>Minor matters procedure: section 93 of Act</w:t>
      </w:r>
      <w:bookmarkEnd w:id="68"/>
      <w:bookmarkEnd w:id="69"/>
    </w:p>
    <w:p>
      <w:pPr>
        <w:pStyle w:val="Subsection"/>
      </w:pPr>
      <w:r>
        <w:tab/>
        <w:t>(1)</w:t>
      </w:r>
      <w:r>
        <w:tab/>
        <w:t>An election made under the Act section 93(2) before an initial directions hearing in a minor proceeding must be made in an approved election form.</w:t>
      </w:r>
    </w:p>
    <w:p>
      <w:pPr>
        <w:pStyle w:val="Subsection"/>
      </w:pPr>
      <w:r>
        <w:tab/>
        <w:t>(2)</w:t>
      </w:r>
      <w:r>
        <w:tab/>
        <w:t>The election form must be filed by the applicant with the executive officer.</w:t>
      </w:r>
    </w:p>
    <w:p>
      <w:pPr>
        <w:pStyle w:val="Subsection"/>
        <w:spacing w:before="150"/>
      </w:pPr>
      <w:r>
        <w:tab/>
        <w:t>(3)</w:t>
      </w:r>
      <w:r>
        <w:tab/>
        <w:t>The applicant must give a copy of the election form to a notifiable person as soon as possible after it is filed with executive officer and, in any event, before the initial directions hearing is held.</w:t>
      </w:r>
    </w:p>
    <w:p>
      <w:pPr>
        <w:pStyle w:val="Subsection"/>
        <w:spacing w:before="150"/>
      </w:pPr>
      <w:r>
        <w:tab/>
        <w:t>(4)</w:t>
      </w:r>
      <w:r>
        <w:tab/>
        <w:t>If an election is made under the Act section 93(2) at an initial directions hearing, the Tribunal is to record the election made.</w:t>
      </w:r>
    </w:p>
    <w:p>
      <w:pPr>
        <w:pStyle w:val="Heading5"/>
        <w:rPr>
          <w:bCs/>
        </w:rPr>
      </w:pPr>
      <w:bookmarkStart w:id="70" w:name="_Toc524845979"/>
      <w:bookmarkStart w:id="71" w:name="_Toc377457233"/>
      <w:r>
        <w:rPr>
          <w:rStyle w:val="CharSectno"/>
        </w:rPr>
        <w:t>24</w:t>
      </w:r>
      <w:r>
        <w:rPr>
          <w:bCs/>
        </w:rPr>
        <w:t>.</w:t>
      </w:r>
      <w:r>
        <w:rPr>
          <w:bCs/>
        </w:rPr>
        <w:tab/>
        <w:t>Request for and return of summons to witness and production of documents and other material by third parties</w:t>
      </w:r>
      <w:bookmarkEnd w:id="70"/>
      <w:bookmarkEnd w:id="71"/>
    </w:p>
    <w:p>
      <w:pPr>
        <w:pStyle w:val="Subsection"/>
        <w:spacing w:before="150"/>
      </w:pPr>
      <w:r>
        <w:tab/>
        <w:t>(1)</w:t>
      </w:r>
      <w:r>
        <w:tab/>
        <w:t>A request for the issue of a summons under the Act section 66(1) must be made in an approved form.</w:t>
      </w:r>
    </w:p>
    <w:p>
      <w:pPr>
        <w:pStyle w:val="Ednotesubsection"/>
        <w:spacing w:before="150"/>
      </w:pPr>
      <w:r>
        <w:tab/>
        <w:t>[(2)</w:t>
      </w:r>
      <w:r>
        <w:tab/>
        <w:t>deleted]</w:t>
      </w:r>
    </w:p>
    <w:p>
      <w:pPr>
        <w:pStyle w:val="Subsection"/>
        <w:spacing w:before="150"/>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spacing w:before="150"/>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spacing w:before="150"/>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at least 48 hours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spacing w:before="140"/>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spacing w:before="100"/>
      </w:pPr>
      <w:r>
        <w:tab/>
        <w:t>[Rule 24 inserted in Gazette 13 Apr 2006 p. 1557</w:t>
      </w:r>
      <w:r>
        <w:noBreakHyphen/>
        <w:t>8; amended in Gazette 14 May 2013 p. 1970.]</w:t>
      </w:r>
    </w:p>
    <w:p>
      <w:pPr>
        <w:pStyle w:val="Heading5"/>
      </w:pPr>
      <w:bookmarkStart w:id="72" w:name="_Toc524845980"/>
      <w:bookmarkStart w:id="73" w:name="_Toc377457234"/>
      <w:r>
        <w:rPr>
          <w:rStyle w:val="CharSectno"/>
        </w:rPr>
        <w:t>25</w:t>
      </w:r>
      <w:r>
        <w:t>.</w:t>
      </w:r>
      <w:r>
        <w:tab/>
        <w:t>Service of summons</w:t>
      </w:r>
      <w:bookmarkEnd w:id="72"/>
      <w:bookmarkEnd w:id="73"/>
    </w:p>
    <w:p>
      <w:pPr>
        <w:pStyle w:val="Subsection"/>
        <w:spacing w:before="150"/>
      </w:pPr>
      <w:r>
        <w:tab/>
        <w:t>(1)</w:t>
      </w:r>
      <w:r>
        <w:tab/>
        <w:t xml:space="preserve">A summons in an approved form must be served — </w:t>
      </w:r>
    </w:p>
    <w:p>
      <w:pPr>
        <w:pStyle w:val="Indenta"/>
        <w:spacing w:before="60"/>
      </w:pPr>
      <w:r>
        <w:tab/>
        <w:t>(a)</w:t>
      </w:r>
      <w:r>
        <w:tab/>
        <w:t>by the party who requested its issue, unless the Tribunal orders otherwise; or</w:t>
      </w:r>
    </w:p>
    <w:p>
      <w:pPr>
        <w:pStyle w:val="Indenta"/>
        <w:spacing w:before="60"/>
      </w:pPr>
      <w:r>
        <w:tab/>
        <w:t>(b)</w:t>
      </w:r>
      <w:r>
        <w:tab/>
        <w:t>if it is issued at the initiative of the Tribunal, as ordered by the Tribunal.</w:t>
      </w:r>
    </w:p>
    <w:p>
      <w:pPr>
        <w:pStyle w:val="Subsection"/>
        <w:spacing w:before="150"/>
      </w:pPr>
      <w:r>
        <w:tab/>
        <w:t>(2)</w:t>
      </w:r>
      <w:r>
        <w:tab/>
        <w:t>A summons must be served on the person to whom it is addressed by personal service.</w:t>
      </w:r>
    </w:p>
    <w:p>
      <w:pPr>
        <w:pStyle w:val="Subsection"/>
        <w:spacing w:before="150"/>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spacing w:before="150"/>
      </w:pPr>
      <w:r>
        <w:tab/>
        <w:t>(4)</w:t>
      </w:r>
      <w:r>
        <w:tab/>
        <w:t>When a summons to a witness is served, a sufficient sum must be provided as conduct money.</w:t>
      </w:r>
    </w:p>
    <w:p>
      <w:pPr>
        <w:pStyle w:val="Heading3"/>
      </w:pPr>
      <w:bookmarkStart w:id="74" w:name="_Toc524845981"/>
      <w:bookmarkStart w:id="75" w:name="_Toc377457235"/>
      <w:r>
        <w:rPr>
          <w:rStyle w:val="CharDivNo"/>
        </w:rPr>
        <w:t>Division 3</w:t>
      </w:r>
      <w:r>
        <w:t> — </w:t>
      </w:r>
      <w:r>
        <w:rPr>
          <w:rStyle w:val="CharDivText"/>
        </w:rPr>
        <w:t>Service</w:t>
      </w:r>
      <w:bookmarkEnd w:id="74"/>
      <w:bookmarkEnd w:id="75"/>
    </w:p>
    <w:p>
      <w:pPr>
        <w:pStyle w:val="Heading5"/>
      </w:pPr>
      <w:bookmarkStart w:id="76" w:name="_Toc524845982"/>
      <w:bookmarkStart w:id="77" w:name="_Toc377457236"/>
      <w:r>
        <w:rPr>
          <w:rStyle w:val="CharSectno"/>
        </w:rPr>
        <w:t>26</w:t>
      </w:r>
      <w:r>
        <w:t>.</w:t>
      </w:r>
      <w:r>
        <w:tab/>
        <w:t>Giving copy of application</w:t>
      </w:r>
      <w:bookmarkEnd w:id="76"/>
      <w:bookmarkEnd w:id="77"/>
    </w:p>
    <w:p>
      <w:pPr>
        <w:pStyle w:val="Subsection"/>
        <w:spacing w:before="150"/>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If an application is made under the Tribunal’s original jurisdiction, subject to these rules or a decision of the Tribunal, a copy of the application must be given to a person other than a public sector body by personal service.</w:t>
      </w:r>
    </w:p>
    <w:p>
      <w:pPr>
        <w:pStyle w:val="Subsection"/>
      </w:pPr>
      <w:r>
        <w:tab/>
        <w:t>(4)</w:t>
      </w:r>
      <w:r>
        <w:tab/>
        <w:t xml:space="preserve">If an application is made under the Tribunal’s original jurisdiction, subject to these rules or a decision of the Tribunal, a copy of the application must be given to a public sector body — </w:t>
      </w:r>
    </w:p>
    <w:p>
      <w:pPr>
        <w:pStyle w:val="Indenta"/>
      </w:pPr>
      <w:r>
        <w:tab/>
        <w:t>(a)</w:t>
      </w:r>
      <w:r>
        <w:tab/>
        <w:t>by ordinary service; or</w:t>
      </w:r>
    </w:p>
    <w:p>
      <w:pPr>
        <w:pStyle w:val="Indenta"/>
      </w:pPr>
      <w:r>
        <w:tab/>
        <w:t>(b)</w:t>
      </w:r>
      <w:r>
        <w:tab/>
        <w:t>by pre</w:t>
      </w:r>
      <w:r>
        <w:noBreakHyphen/>
        <w:t>paid post.</w:t>
      </w:r>
    </w:p>
    <w:p>
      <w:pPr>
        <w:pStyle w:val="Subsection"/>
      </w:pPr>
      <w:r>
        <w:tab/>
        <w:t>(5)</w:t>
      </w:r>
      <w:r>
        <w:tab/>
        <w:t xml:space="preserve">If an application is made under the Tribunal’s review jurisdiction, subject to these rules or a decision of the Tribunal, a copy of the application must be given — </w:t>
      </w:r>
    </w:p>
    <w:p>
      <w:pPr>
        <w:pStyle w:val="Indenta"/>
      </w:pPr>
      <w:r>
        <w:tab/>
        <w:t>(a)</w:t>
      </w:r>
      <w:r>
        <w:tab/>
        <w:t>by ordinary service; or</w:t>
      </w:r>
    </w:p>
    <w:p>
      <w:pPr>
        <w:pStyle w:val="Indenta"/>
      </w:pPr>
      <w:r>
        <w:tab/>
        <w:t>(b)</w:t>
      </w:r>
      <w:r>
        <w:tab/>
        <w:t>by pre</w:t>
      </w:r>
      <w:r>
        <w:noBreakHyphen/>
        <w:t>paid post.</w:t>
      </w:r>
    </w:p>
    <w:p>
      <w:pPr>
        <w:pStyle w:val="Heading5"/>
      </w:pPr>
      <w:bookmarkStart w:id="78" w:name="_Toc524845983"/>
      <w:bookmarkStart w:id="79" w:name="_Toc377457237"/>
      <w:r>
        <w:rPr>
          <w:rStyle w:val="CharSectno"/>
        </w:rPr>
        <w:t>27</w:t>
      </w:r>
      <w:r>
        <w:t>.</w:t>
      </w:r>
      <w:r>
        <w:tab/>
        <w:t>Exemption: section 45(2)(c) of Act</w:t>
      </w:r>
      <w:bookmarkEnd w:id="78"/>
      <w:bookmarkEnd w:id="79"/>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80" w:name="_Toc524845984"/>
      <w:bookmarkStart w:id="81" w:name="_Toc377457238"/>
      <w:r>
        <w:rPr>
          <w:rStyle w:val="CharSectno"/>
        </w:rPr>
        <w:t>28</w:t>
      </w:r>
      <w:r>
        <w:t>.</w:t>
      </w:r>
      <w:r>
        <w:tab/>
        <w:t>Giving other documents</w:t>
      </w:r>
      <w:bookmarkEnd w:id="80"/>
      <w:bookmarkEnd w:id="81"/>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 or</w:t>
      </w:r>
    </w:p>
    <w:p>
      <w:pPr>
        <w:pStyle w:val="Indenta"/>
      </w:pPr>
      <w:r>
        <w:tab/>
        <w:t>(b)</w:t>
      </w:r>
      <w:r>
        <w:tab/>
        <w:t>by pre</w:t>
      </w:r>
      <w:r>
        <w:noBreakHyphen/>
        <w:t>paid post; or</w:t>
      </w:r>
    </w:p>
    <w:p>
      <w:pPr>
        <w:pStyle w:val="Indenta"/>
      </w:pPr>
      <w:r>
        <w:tab/>
        <w:t>(c)</w:t>
      </w:r>
      <w:r>
        <w:tab/>
        <w:t>in the case of a company, as defined in the Corporations Act section 9, in a way permitted in the Corporations Act section 109X; or</w:t>
      </w:r>
    </w:p>
    <w:p>
      <w:pPr>
        <w:pStyle w:val="Indenta"/>
      </w:pPr>
      <w:r>
        <w:tab/>
        <w:t>(d)</w:t>
      </w:r>
      <w:r>
        <w:tab/>
        <w:t xml:space="preserve">in the case of an incorporated association, as defined in the </w:t>
      </w:r>
      <w:r>
        <w:rPr>
          <w:i/>
        </w:rPr>
        <w:t>Associations Incorporation Act 1987</w:t>
      </w:r>
      <w:r>
        <w:t xml:space="preserve"> section 3(1), in accordance with section 41 of that Act; or</w:t>
      </w:r>
    </w:p>
    <w:p>
      <w:pPr>
        <w:pStyle w:val="Indenta"/>
      </w:pPr>
      <w:r>
        <w:tab/>
        <w:t>(e)</w:t>
      </w:r>
      <w:r>
        <w:tab/>
        <w:t>in the case of an unincorporated association, by delivering it personally to the president, secretary or other similar officer of the association.</w:t>
      </w:r>
    </w:p>
    <w:p>
      <w:pPr>
        <w:pStyle w:val="Heading5"/>
      </w:pPr>
      <w:bookmarkStart w:id="82" w:name="_Toc524845985"/>
      <w:bookmarkStart w:id="83" w:name="_Toc377457239"/>
      <w:r>
        <w:rPr>
          <w:rStyle w:val="CharSectno"/>
        </w:rPr>
        <w:t>29</w:t>
      </w:r>
      <w:r>
        <w:t>.</w:t>
      </w:r>
      <w:r>
        <w:tab/>
        <w:t>Giving documents by Tribunal or executive officer</w:t>
      </w:r>
      <w:bookmarkEnd w:id="82"/>
      <w:bookmarkEnd w:id="83"/>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84" w:name="_Toc524845986"/>
      <w:bookmarkStart w:id="85" w:name="_Toc377457240"/>
      <w:r>
        <w:rPr>
          <w:rStyle w:val="CharSectno"/>
        </w:rPr>
        <w:t>30</w:t>
      </w:r>
      <w:r>
        <w:t>.</w:t>
      </w:r>
      <w:r>
        <w:tab/>
        <w:t>Giving application to decision</w:t>
      </w:r>
      <w:r>
        <w:noBreakHyphen/>
        <w:t>maker</w:t>
      </w:r>
      <w:bookmarkEnd w:id="84"/>
      <w:bookmarkEnd w:id="85"/>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the holder of that office.</w:t>
      </w:r>
    </w:p>
    <w:p>
      <w:pPr>
        <w:pStyle w:val="Heading5"/>
      </w:pPr>
      <w:bookmarkStart w:id="86" w:name="_Toc524845987"/>
      <w:bookmarkStart w:id="87" w:name="_Toc377457241"/>
      <w:r>
        <w:rPr>
          <w:rStyle w:val="CharSectno"/>
        </w:rPr>
        <w:t>31</w:t>
      </w:r>
      <w:r>
        <w:t>.</w:t>
      </w:r>
      <w:r>
        <w:tab/>
        <w:t>Personal service: how effected</w:t>
      </w:r>
      <w:bookmarkEnd w:id="86"/>
      <w:bookmarkEnd w:id="87"/>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if there is no registered office, at the principal place of business or the principal office of the corporation,</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spacing w:before="120"/>
      </w:pPr>
      <w:r>
        <w:tab/>
        <w:t>(5)</w:t>
      </w:r>
      <w:r>
        <w:tab/>
        <w:t>A document given by personal service is to be taken to have been given to a person at the time the document is left with a person or at a place in accordance with this rule.</w:t>
      </w:r>
    </w:p>
    <w:p>
      <w:pPr>
        <w:pStyle w:val="Heading5"/>
        <w:spacing w:before="200"/>
      </w:pPr>
      <w:bookmarkStart w:id="88" w:name="_Toc524845988"/>
      <w:bookmarkStart w:id="89" w:name="_Toc377457242"/>
      <w:r>
        <w:rPr>
          <w:rStyle w:val="CharSectno"/>
        </w:rPr>
        <w:t>32</w:t>
      </w:r>
      <w:r>
        <w:t>.</w:t>
      </w:r>
      <w:r>
        <w:tab/>
        <w:t>Pre</w:t>
      </w:r>
      <w:r>
        <w:noBreakHyphen/>
        <w:t>paid post: how effected</w:t>
      </w:r>
      <w:bookmarkEnd w:id="88"/>
      <w:bookmarkEnd w:id="89"/>
    </w:p>
    <w:p>
      <w:pPr>
        <w:pStyle w:val="Subsection"/>
        <w:spacing w:before="130"/>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posted, the person has no address for service in the proceedings, the person’s usual or last known place of business or residence.</w:t>
      </w:r>
    </w:p>
    <w:p>
      <w:pPr>
        <w:pStyle w:val="Subsection"/>
        <w:spacing w:before="130"/>
      </w:pPr>
      <w:r>
        <w:tab/>
        <w:t>(2)</w:t>
      </w:r>
      <w:r>
        <w:tab/>
        <w:t>A document given by pre</w:t>
      </w:r>
      <w:r>
        <w:noBreakHyphen/>
        <w:t>paid post is to be taken to have been given to a person 2 business days after the day on which the document was posted.</w:t>
      </w:r>
    </w:p>
    <w:p>
      <w:pPr>
        <w:pStyle w:val="Heading5"/>
        <w:spacing w:before="200"/>
      </w:pPr>
      <w:bookmarkStart w:id="90" w:name="_Toc524845989"/>
      <w:bookmarkStart w:id="91" w:name="_Toc377457243"/>
      <w:r>
        <w:rPr>
          <w:rStyle w:val="CharSectno"/>
        </w:rPr>
        <w:t>33</w:t>
      </w:r>
      <w:r>
        <w:t>.</w:t>
      </w:r>
      <w:r>
        <w:tab/>
        <w:t>Ordinary service: how effected</w:t>
      </w:r>
      <w:bookmarkEnd w:id="90"/>
      <w:bookmarkEnd w:id="91"/>
    </w:p>
    <w:p>
      <w:pPr>
        <w:pStyle w:val="Subsection"/>
        <w:spacing w:before="130"/>
      </w:pPr>
      <w:r>
        <w:tab/>
        <w:t>(1)</w:t>
      </w:r>
      <w:r>
        <w:tab/>
        <w:t xml:space="preserve">For the purposes of subrule (2), the proper address of a person is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 or</w:t>
      </w:r>
    </w:p>
    <w:p>
      <w:pPr>
        <w:pStyle w:val="Indenta"/>
      </w:pPr>
      <w:r>
        <w:tab/>
        <w:t>(b)</w:t>
      </w:r>
      <w:r>
        <w:tab/>
        <w:t xml:space="preserve">by giving a copy of the document in accordance with the </w:t>
      </w:r>
      <w:r>
        <w:rPr>
          <w:i/>
        </w:rPr>
        <w:t>Interpretation Act 1984</w:t>
      </w:r>
      <w:r>
        <w:t xml:space="preserve"> section 76(d); or</w:t>
      </w:r>
    </w:p>
    <w:p>
      <w:pPr>
        <w:pStyle w:val="Indenta"/>
      </w:pPr>
      <w:r>
        <w:tab/>
        <w:t>(c)</w:t>
      </w:r>
      <w:r>
        <w:tab/>
        <w:t>if the person to be given the document has specified or authorised a number for service by facsimile transmission under rule 4, by sending the document to the specified or authorised facsimile number; or</w:t>
      </w:r>
    </w:p>
    <w:p>
      <w:pPr>
        <w:pStyle w:val="Indenta"/>
      </w:pPr>
      <w:r>
        <w:tab/>
        <w:t>(d)</w:t>
      </w:r>
      <w:r>
        <w:tab/>
        <w:t>if the person to be given the document has specified or authorised an address for service by email under rule 4, by sending the document to the specified or authorised address; or</w:t>
      </w:r>
    </w:p>
    <w:p>
      <w:pPr>
        <w:pStyle w:val="Indenta"/>
      </w:pPr>
      <w:r>
        <w:tab/>
        <w:t>(e)</w:t>
      </w:r>
      <w:r>
        <w:tab/>
        <w:t>if the person to be given the document is a public sector body, by sending the document to the body’s address for service in the proceedings.</w:t>
      </w:r>
    </w:p>
    <w:p>
      <w:pPr>
        <w:pStyle w:val="Subsection"/>
      </w:pPr>
      <w:r>
        <w:tab/>
        <w:t>(3)</w:t>
      </w:r>
      <w:r>
        <w:tab/>
        <w:t>A document must not be given under subrule (2)(c), (d) or (e) if the document (including any attached document) is more than 20 pages.</w:t>
      </w:r>
    </w:p>
    <w:p>
      <w:pPr>
        <w:pStyle w:val="Subsection"/>
      </w:pPr>
      <w:r>
        <w:tab/>
        <w:t>(4)</w:t>
      </w:r>
      <w:r>
        <w:tab/>
        <w:t>Despite subrule (3), a document (including any attached document) of more than 20 pages may be given under subrule (2)(c), (d) or (e) if the person to be given the document has agreed to receive a document containing an agreed number of pages more than 20 pages.</w:t>
      </w:r>
    </w:p>
    <w:p>
      <w:pPr>
        <w:pStyle w:val="Subsection"/>
      </w:pPr>
      <w:r>
        <w:tab/>
        <w:t>(5)</w:t>
      </w:r>
      <w:r>
        <w:tab/>
        <w:t xml:space="preserve">If a document is given under subrule (2)(c), (d) or (e), the first page of the document (the </w:t>
      </w:r>
      <w:r>
        <w:rPr>
          <w:rStyle w:val="CharDefText"/>
        </w:rPr>
        <w:t>cover sheet</w:t>
      </w:r>
      <w:r>
        <w:t xml:space="preserve">) must contain the following information — </w:t>
      </w:r>
    </w:p>
    <w:p>
      <w:pPr>
        <w:pStyle w:val="Indenta"/>
      </w:pPr>
      <w:r>
        <w:tab/>
        <w:t>(a)</w:t>
      </w:r>
      <w:r>
        <w:tab/>
        <w:t>the giver’s name, postal address, telephone number, facsimile number and email address;</w:t>
      </w:r>
    </w:p>
    <w:p>
      <w:pPr>
        <w:pStyle w:val="Indenta"/>
      </w:pPr>
      <w:r>
        <w:tab/>
        <w:t>(b)</w:t>
      </w:r>
      <w:r>
        <w:tab/>
        <w:t>the total number of pages (including the cover sheet) being transmitted;</w:t>
      </w:r>
    </w:p>
    <w:p>
      <w:pPr>
        <w:pStyle w:val="Indenta"/>
      </w:pPr>
      <w:r>
        <w:tab/>
        <w:t>(c)</w:t>
      </w:r>
      <w:r>
        <w:tab/>
        <w:t>the date and time the document was sent;</w:t>
      </w:r>
    </w:p>
    <w:p>
      <w:pPr>
        <w:pStyle w:val="Indenta"/>
      </w:pPr>
      <w:r>
        <w:tab/>
        <w:t>(d)</w:t>
      </w:r>
      <w:r>
        <w:tab/>
        <w:t>that the document is being sent in relation to an application to the Tribunal.</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facsimile transmission or email under subrule (2)(c), (d) or (e), at the time the facsimile or email is received.</w:t>
      </w:r>
    </w:p>
    <w:p>
      <w:pPr>
        <w:pStyle w:val="Subsection"/>
      </w:pPr>
      <w:r>
        <w:tab/>
        <w:t>(7)</w:t>
      </w:r>
      <w:r>
        <w:tab/>
        <w:t>If a facsimile or an email is received after 4.00 p.m. on any day, it is to be taken to have been received on the next business day.</w:t>
      </w:r>
    </w:p>
    <w:p>
      <w:pPr>
        <w:pStyle w:val="Footnotesection"/>
      </w:pPr>
      <w:r>
        <w:tab/>
        <w:t>[Rule 33 amended in Gazette 14 May 2013 p. 1970.]</w:t>
      </w:r>
    </w:p>
    <w:p>
      <w:pPr>
        <w:pStyle w:val="Heading5"/>
      </w:pPr>
      <w:bookmarkStart w:id="92" w:name="_Toc524845990"/>
      <w:bookmarkStart w:id="93" w:name="_Toc377457244"/>
      <w:r>
        <w:rPr>
          <w:rStyle w:val="CharSectno"/>
        </w:rPr>
        <w:t>34</w:t>
      </w:r>
      <w:r>
        <w:t>.</w:t>
      </w:r>
      <w:r>
        <w:tab/>
        <w:t>Address for service</w:t>
      </w:r>
      <w:bookmarkEnd w:id="92"/>
      <w:bookmarkEnd w:id="93"/>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facsimile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facsimile number or an email address of a public sector body.</w:t>
      </w:r>
    </w:p>
    <w:p>
      <w:pPr>
        <w:pStyle w:val="Subsection"/>
      </w:pPr>
      <w:r>
        <w:tab/>
        <w:t>(6)</w:t>
      </w:r>
      <w:r>
        <w:tab/>
        <w:t xml:space="preserve">If a party to a proceeding is represented by a legal practitioner or an agent and the name and address of the legal practitioner or agent is not provided in the application, the legal practitioner or agent must within 7 days of receiving instructions to represent the party —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in Gazette 13 Apr 2007 p. 1684.]</w:t>
      </w:r>
    </w:p>
    <w:p>
      <w:pPr>
        <w:pStyle w:val="Heading5"/>
      </w:pPr>
      <w:bookmarkStart w:id="94" w:name="_Toc524845991"/>
      <w:bookmarkStart w:id="95" w:name="_Toc377457245"/>
      <w:r>
        <w:rPr>
          <w:rStyle w:val="CharSectno"/>
        </w:rPr>
        <w:t>35</w:t>
      </w:r>
      <w:r>
        <w:t>.</w:t>
      </w:r>
      <w:r>
        <w:tab/>
        <w:t>Acceptance by legal practitioner or agent</w:t>
      </w:r>
      <w:bookmarkEnd w:id="94"/>
      <w:bookmarkEnd w:id="95"/>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96" w:name="_Toc524845992"/>
      <w:bookmarkStart w:id="97" w:name="_Toc377457246"/>
      <w:r>
        <w:rPr>
          <w:rStyle w:val="CharSectno"/>
        </w:rPr>
        <w:t>36</w:t>
      </w:r>
      <w:r>
        <w:t>.</w:t>
      </w:r>
      <w:r>
        <w:tab/>
        <w:t>Substituted service</w:t>
      </w:r>
      <w:bookmarkEnd w:id="96"/>
      <w:bookmarkEnd w:id="97"/>
    </w:p>
    <w:p>
      <w:pPr>
        <w:pStyle w:val="Subsection"/>
      </w:pPr>
      <w:r>
        <w:tab/>
        <w:t>(1)</w:t>
      </w:r>
      <w:r>
        <w:tab/>
        <w:t>If for any reason it is impractical to give a document in the manner set out in the rules, the Tribunal may, on an application in an approved form by the person required to give that document,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Heading5"/>
        <w:spacing w:before="240"/>
      </w:pPr>
      <w:bookmarkStart w:id="98" w:name="_Toc524845993"/>
      <w:bookmarkStart w:id="99" w:name="_Toc377457247"/>
      <w:r>
        <w:rPr>
          <w:rStyle w:val="CharSectno"/>
        </w:rPr>
        <w:t>37</w:t>
      </w:r>
      <w:r>
        <w:t>.</w:t>
      </w:r>
      <w:r>
        <w:tab/>
        <w:t>Informal service: confirmation</w:t>
      </w:r>
      <w:bookmarkEnd w:id="98"/>
      <w:bookmarkEnd w:id="99"/>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100" w:name="_Toc524845994"/>
      <w:bookmarkStart w:id="101" w:name="_Toc377457248"/>
      <w:r>
        <w:rPr>
          <w:rStyle w:val="CharSectno"/>
        </w:rPr>
        <w:t>38</w:t>
      </w:r>
      <w:r>
        <w:t>.</w:t>
      </w:r>
      <w:r>
        <w:tab/>
        <w:t>Proof of service</w:t>
      </w:r>
      <w:bookmarkEnd w:id="100"/>
      <w:bookmarkEnd w:id="101"/>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102" w:name="_Toc524845995"/>
      <w:bookmarkStart w:id="103" w:name="_Toc377457249"/>
      <w:r>
        <w:rPr>
          <w:rStyle w:val="CharDivNo"/>
        </w:rPr>
        <w:t>Division 4</w:t>
      </w:r>
      <w:r>
        <w:t> — </w:t>
      </w:r>
      <w:r>
        <w:rPr>
          <w:rStyle w:val="CharDivText"/>
        </w:rPr>
        <w:t>Litigation guardian</w:t>
      </w:r>
      <w:bookmarkEnd w:id="102"/>
      <w:bookmarkEnd w:id="103"/>
    </w:p>
    <w:p>
      <w:pPr>
        <w:pStyle w:val="Heading5"/>
      </w:pPr>
      <w:bookmarkStart w:id="104" w:name="_Toc524845996"/>
      <w:bookmarkStart w:id="105" w:name="_Toc377457250"/>
      <w:r>
        <w:rPr>
          <w:rStyle w:val="CharSectno"/>
        </w:rPr>
        <w:t>39</w:t>
      </w:r>
      <w:r>
        <w:t>.</w:t>
      </w:r>
      <w:r>
        <w:tab/>
        <w:t>Litigation guardian: section 40(2) of Act</w:t>
      </w:r>
      <w:bookmarkEnd w:id="104"/>
      <w:bookmarkEnd w:id="105"/>
    </w:p>
    <w:p>
      <w:pPr>
        <w:pStyle w:val="Subsection"/>
      </w:pPr>
      <w:r>
        <w:tab/>
        <w:t>(1)</w:t>
      </w:r>
      <w:r>
        <w:tab/>
        <w:t xml:space="preserve">A person may be appointed a litigation guardian for an adult person under the Act section 40(2) if the person — </w:t>
      </w:r>
    </w:p>
    <w:p>
      <w:pPr>
        <w:pStyle w:val="Indenta"/>
        <w:spacing w:before="70"/>
      </w:pPr>
      <w:r>
        <w:tab/>
        <w:t>(a)</w:t>
      </w:r>
      <w:r>
        <w:tab/>
        <w:t>is an adult; and</w:t>
      </w:r>
    </w:p>
    <w:p>
      <w:pPr>
        <w:pStyle w:val="Indenta"/>
        <w:spacing w:before="70"/>
      </w:pPr>
      <w:r>
        <w:tab/>
        <w:t>(b)</w:t>
      </w:r>
      <w:r>
        <w:tab/>
        <w:t>has no interest in the proceedings that is adverse to the interest of the person needing the litigation guardian; and</w:t>
      </w:r>
    </w:p>
    <w:p>
      <w:pPr>
        <w:pStyle w:val="Indenta"/>
        <w:spacing w:before="70"/>
      </w:pPr>
      <w:r>
        <w:tab/>
        <w:t>(c)</w:t>
      </w:r>
      <w:r>
        <w:tab/>
        <w:t>can fairly and competently conduct the proceedings for the person needing the litigation guardian; and</w:t>
      </w:r>
    </w:p>
    <w:p>
      <w:pPr>
        <w:pStyle w:val="Indenta"/>
        <w:spacing w:before="70"/>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spacing w:before="60"/>
      </w:pPr>
      <w:r>
        <w:tab/>
        <w:t>(a)</w:t>
      </w:r>
      <w:r>
        <w:tab/>
        <w:t>is bound by these rules; and</w:t>
      </w:r>
    </w:p>
    <w:p>
      <w:pPr>
        <w:pStyle w:val="Indenta"/>
        <w:spacing w:before="60"/>
      </w:pPr>
      <w:r>
        <w:tab/>
        <w:t>(b)</w:t>
      </w:r>
      <w:r>
        <w:tab/>
        <w:t>must do anything required by these rules to be done by the party or potential party; and</w:t>
      </w:r>
    </w:p>
    <w:p>
      <w:pPr>
        <w:pStyle w:val="Indenta"/>
        <w:spacing w:before="60"/>
      </w:pPr>
      <w:r>
        <w:tab/>
        <w:t>(c)</w:t>
      </w:r>
      <w:r>
        <w:tab/>
        <w:t>may, for the benefit of the party or potential party, do anything permitted by these rules to be done by the party or potential party.</w:t>
      </w:r>
    </w:p>
    <w:p>
      <w:pPr>
        <w:pStyle w:val="Subsection"/>
        <w:spacing w:before="140"/>
      </w:pPr>
      <w:r>
        <w:tab/>
        <w:t>(5)</w:t>
      </w:r>
      <w:r>
        <w:tab/>
        <w:t xml:space="preserve">Subject to the Act Part 4 Division 5, the Tribunal may order the costs of a litigation guardian to be paid — </w:t>
      </w:r>
    </w:p>
    <w:p>
      <w:pPr>
        <w:pStyle w:val="Indenta"/>
        <w:spacing w:before="60"/>
      </w:pPr>
      <w:r>
        <w:tab/>
        <w:t>(a)</w:t>
      </w:r>
      <w:r>
        <w:tab/>
        <w:t>by a party; or</w:t>
      </w:r>
    </w:p>
    <w:p>
      <w:pPr>
        <w:pStyle w:val="Indenta"/>
        <w:spacing w:before="60"/>
      </w:pPr>
      <w:r>
        <w:tab/>
        <w:t>(b)</w:t>
      </w:r>
      <w:r>
        <w:tab/>
        <w:t>from the income or property of the person for whom the litigation guardian is appointed.</w:t>
      </w:r>
    </w:p>
    <w:p>
      <w:pPr>
        <w:pStyle w:val="Heading3"/>
      </w:pPr>
      <w:bookmarkStart w:id="106" w:name="_Toc524845997"/>
      <w:bookmarkStart w:id="107" w:name="_Toc377457251"/>
      <w:r>
        <w:rPr>
          <w:rStyle w:val="CharDivNo"/>
        </w:rPr>
        <w:t>Division 5</w:t>
      </w:r>
      <w:r>
        <w:t> — </w:t>
      </w:r>
      <w:r>
        <w:rPr>
          <w:rStyle w:val="CharDivText"/>
        </w:rPr>
        <w:t>Settlements</w:t>
      </w:r>
      <w:bookmarkEnd w:id="106"/>
      <w:bookmarkEnd w:id="107"/>
    </w:p>
    <w:p>
      <w:pPr>
        <w:pStyle w:val="Heading5"/>
        <w:spacing w:before="180"/>
      </w:pPr>
      <w:bookmarkStart w:id="108" w:name="_Toc524845998"/>
      <w:bookmarkStart w:id="109" w:name="_Toc377457252"/>
      <w:r>
        <w:rPr>
          <w:rStyle w:val="CharSectno"/>
        </w:rPr>
        <w:t>40</w:t>
      </w:r>
      <w:r>
        <w:t>.</w:t>
      </w:r>
      <w:r>
        <w:tab/>
        <w:t>Settlement offers</w:t>
      </w:r>
      <w:bookmarkEnd w:id="108"/>
      <w:bookmarkEnd w:id="109"/>
    </w:p>
    <w:p>
      <w:pPr>
        <w:pStyle w:val="Subsection"/>
        <w:spacing w:before="140"/>
      </w:pPr>
      <w:r>
        <w:tab/>
        <w:t>(1)</w:t>
      </w:r>
      <w:r>
        <w:tab/>
        <w:t xml:space="preserve">An offer to settle a proceeding that is before the Tribunal may be made — </w:t>
      </w:r>
    </w:p>
    <w:p>
      <w:pPr>
        <w:pStyle w:val="Indenta"/>
        <w:spacing w:before="60"/>
      </w:pPr>
      <w:r>
        <w:tab/>
        <w:t>(a)</w:t>
      </w:r>
      <w:r>
        <w:tab/>
        <w:t>with prejudice, meaning that any party may refer to the offer, or to any terms of the offer, at any time during the proceeding; or</w:t>
      </w:r>
    </w:p>
    <w:p>
      <w:pPr>
        <w:pStyle w:val="Indenta"/>
        <w:spacing w:before="60"/>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spacing w:before="130"/>
      </w:pPr>
      <w:r>
        <w:tab/>
        <w:t>(2)</w:t>
      </w:r>
      <w:r>
        <w:tab/>
        <w:t>If an offer does not specify whether it is made with or without prejudice, it is to be treated as if it had been made without prejudice.</w:t>
      </w:r>
    </w:p>
    <w:p>
      <w:pPr>
        <w:pStyle w:val="Subsection"/>
        <w:spacing w:before="130"/>
      </w:pPr>
      <w:r>
        <w:tab/>
        <w:t>(3)</w:t>
      </w:r>
      <w:r>
        <w:tab/>
        <w:t>A party may make more than one offer.</w:t>
      </w:r>
    </w:p>
    <w:p>
      <w:pPr>
        <w:pStyle w:val="Subsection"/>
        <w:spacing w:before="130"/>
      </w:pPr>
      <w:r>
        <w:tab/>
        <w:t>(4)</w:t>
      </w:r>
      <w:r>
        <w:tab/>
        <w:t>If an offer provides for the payment of money, the offer must specify the amount of money to be paid and when and how that money is to be paid.</w:t>
      </w:r>
    </w:p>
    <w:p>
      <w:pPr>
        <w:pStyle w:val="Heading5"/>
      </w:pPr>
      <w:bookmarkStart w:id="110" w:name="_Toc524845999"/>
      <w:bookmarkStart w:id="111" w:name="_Toc377457253"/>
      <w:r>
        <w:rPr>
          <w:rStyle w:val="CharSectno"/>
        </w:rPr>
        <w:t>41</w:t>
      </w:r>
      <w:r>
        <w:t>.</w:t>
      </w:r>
      <w:r>
        <w:tab/>
        <w:t>Acceptance of settlement offers</w:t>
      </w:r>
      <w:bookmarkEnd w:id="110"/>
      <w:bookmarkEnd w:id="111"/>
    </w:p>
    <w:p>
      <w:pPr>
        <w:pStyle w:val="Subsection"/>
        <w:spacing w:before="150"/>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spacing w:before="150"/>
      </w:pPr>
      <w:r>
        <w:tab/>
        <w:t>(2)</w:t>
      </w:r>
      <w:r>
        <w:tab/>
        <w:t>The minimum period that can be specified is 14 days.</w:t>
      </w:r>
    </w:p>
    <w:p>
      <w:pPr>
        <w:pStyle w:val="Subsection"/>
        <w:keepNext/>
        <w:spacing w:before="150"/>
      </w:pPr>
      <w:r>
        <w:tab/>
        <w:t>(3)</w:t>
      </w:r>
      <w:r>
        <w:tab/>
        <w:t>An offer cannot be withdrawn while it is open for acceptance without the permission of the Tribunal.</w:t>
      </w:r>
    </w:p>
    <w:p>
      <w:pPr>
        <w:pStyle w:val="Subsection"/>
        <w:spacing w:before="150"/>
      </w:pPr>
      <w:r>
        <w:tab/>
        <w:t>(4)</w:t>
      </w:r>
      <w:r>
        <w:tab/>
        <w:t>In deciding whether to give permission, the Tribunal may examine the offer, even if it was made without prejudice.</w:t>
      </w:r>
    </w:p>
    <w:p>
      <w:pPr>
        <w:pStyle w:val="Subsection"/>
        <w:spacing w:before="150"/>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spacing w:before="150"/>
      </w:pPr>
      <w:r>
        <w:tab/>
        <w:t>(6)</w:t>
      </w:r>
      <w:r>
        <w:tab/>
        <w:t>A party can only accept an offer by giving the party who made it a signed notice of acceptance.</w:t>
      </w:r>
    </w:p>
    <w:p>
      <w:pPr>
        <w:pStyle w:val="Subsection"/>
        <w:spacing w:before="150"/>
      </w:pPr>
      <w:r>
        <w:tab/>
        <w:t>(7)</w:t>
      </w:r>
      <w:r>
        <w:tab/>
        <w:t>A party may accept an offer even though the party has made a counter</w:t>
      </w:r>
      <w:r>
        <w:noBreakHyphen/>
        <w:t>offer.</w:t>
      </w:r>
    </w:p>
    <w:p>
      <w:pPr>
        <w:pStyle w:val="Footnotesection"/>
        <w:spacing w:before="100"/>
      </w:pPr>
      <w:r>
        <w:tab/>
        <w:t>[Rule 41 amended in Gazette 13 Apr 2006 p. 1558.]</w:t>
      </w:r>
    </w:p>
    <w:p>
      <w:pPr>
        <w:pStyle w:val="Heading3"/>
      </w:pPr>
      <w:bookmarkStart w:id="112" w:name="_Toc524846000"/>
      <w:bookmarkStart w:id="113" w:name="_Toc377457254"/>
      <w:r>
        <w:rPr>
          <w:rStyle w:val="CharDivNo"/>
        </w:rPr>
        <w:t>Division 6</w:t>
      </w:r>
      <w:r>
        <w:t> — </w:t>
      </w:r>
      <w:r>
        <w:rPr>
          <w:rStyle w:val="CharDivText"/>
        </w:rPr>
        <w:t>Costs</w:t>
      </w:r>
      <w:bookmarkEnd w:id="112"/>
      <w:bookmarkEnd w:id="113"/>
    </w:p>
    <w:p>
      <w:pPr>
        <w:pStyle w:val="Heading5"/>
      </w:pPr>
      <w:bookmarkStart w:id="114" w:name="_Toc524846001"/>
      <w:bookmarkStart w:id="115" w:name="_Toc377457255"/>
      <w:r>
        <w:rPr>
          <w:rStyle w:val="CharSectno"/>
        </w:rPr>
        <w:t>42A</w:t>
      </w:r>
      <w:r>
        <w:t>.</w:t>
      </w:r>
      <w:r>
        <w:tab/>
        <w:t>Time within which costs application may be made</w:t>
      </w:r>
      <w:bookmarkEnd w:id="114"/>
      <w:bookmarkEnd w:id="115"/>
    </w:p>
    <w:p>
      <w:pPr>
        <w:pStyle w:val="Subsection"/>
      </w:pPr>
      <w:r>
        <w:tab/>
      </w:r>
      <w:r>
        <w:tab/>
        <w:t>Subject to these rules, an application to the Tribunal for costs under this Division can be made within 21 days of the orders to which the application relates being made by the Tribunal.</w:t>
      </w:r>
    </w:p>
    <w:p>
      <w:pPr>
        <w:pStyle w:val="Footnotesection"/>
        <w:spacing w:before="100"/>
      </w:pPr>
      <w:r>
        <w:tab/>
        <w:t>[Rule 42A inserted in Gazette 14 May 2013 p. 1970.]</w:t>
      </w:r>
    </w:p>
    <w:p>
      <w:pPr>
        <w:pStyle w:val="Heading5"/>
      </w:pPr>
      <w:bookmarkStart w:id="116" w:name="_Toc524846002"/>
      <w:bookmarkStart w:id="117" w:name="_Toc377457256"/>
      <w:r>
        <w:rPr>
          <w:rStyle w:val="CharSectno"/>
        </w:rPr>
        <w:t>42</w:t>
      </w:r>
      <w:r>
        <w:t>.</w:t>
      </w:r>
      <w:r>
        <w:tab/>
        <w:t>Order for costs if settlement offer is rejected</w:t>
      </w:r>
      <w:bookmarkEnd w:id="116"/>
      <w:bookmarkEnd w:id="117"/>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 and</w:t>
      </w:r>
    </w:p>
    <w:p>
      <w:pPr>
        <w:pStyle w:val="Indenta"/>
      </w:pPr>
      <w:r>
        <w:tab/>
        <w:t>(b)</w:t>
      </w:r>
      <w:r>
        <w:tab/>
        <w:t>the other party does not accept the offer within the time the offer is open; and</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118" w:name="_Toc524846003"/>
      <w:bookmarkStart w:id="119" w:name="_Toc377457257"/>
      <w:r>
        <w:rPr>
          <w:rStyle w:val="CharSectno"/>
        </w:rPr>
        <w:t>43</w:t>
      </w:r>
      <w:r>
        <w:t>.</w:t>
      </w:r>
      <w:r>
        <w:tab/>
        <w:t>Amount of costs</w:t>
      </w:r>
      <w:bookmarkEnd w:id="118"/>
      <w:bookmarkEnd w:id="119"/>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 and</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120" w:name="_Toc524846004"/>
      <w:bookmarkStart w:id="121" w:name="_Toc377457258"/>
      <w:r>
        <w:rPr>
          <w:rStyle w:val="CharDivNo"/>
        </w:rPr>
        <w:t>Division 7</w:t>
      </w:r>
      <w:r>
        <w:t> — </w:t>
      </w:r>
      <w:r>
        <w:rPr>
          <w:rStyle w:val="CharDivText"/>
        </w:rPr>
        <w:t>Miscellaneous</w:t>
      </w:r>
      <w:bookmarkEnd w:id="120"/>
      <w:bookmarkEnd w:id="121"/>
    </w:p>
    <w:p>
      <w:pPr>
        <w:pStyle w:val="Heading5"/>
      </w:pPr>
      <w:bookmarkStart w:id="122" w:name="_Toc524846005"/>
      <w:bookmarkStart w:id="123" w:name="_Toc377457259"/>
      <w:r>
        <w:rPr>
          <w:rStyle w:val="CharSectno"/>
        </w:rPr>
        <w:t>44</w:t>
      </w:r>
      <w:r>
        <w:t>.</w:t>
      </w:r>
      <w:r>
        <w:tab/>
        <w:t>Sending or giving documents by email</w:t>
      </w:r>
      <w:bookmarkEnd w:id="122"/>
      <w:bookmarkEnd w:id="123"/>
    </w:p>
    <w:p>
      <w:pPr>
        <w:pStyle w:val="Subsection"/>
      </w:pPr>
      <w:r>
        <w:tab/>
        <w:t>(1)</w:t>
      </w:r>
      <w:r>
        <w:tab/>
        <w:t xml:space="preserve">If a document may be sent or given to a person (the </w:t>
      </w:r>
      <w:r>
        <w:rPr>
          <w:rStyle w:val="CharDefText"/>
        </w:rPr>
        <w:t>recipient</w:t>
      </w:r>
      <w:r>
        <w:t>) under these rules by email, the document must be sent or given by email only if the sender or giver is satisfied that the recipient has a computer with software capable of receiving the document and producing it in legible form.</w:t>
      </w:r>
    </w:p>
    <w:p>
      <w:pPr>
        <w:pStyle w:val="Subsection"/>
      </w:pPr>
      <w:r>
        <w:tab/>
        <w:t>(2)</w:t>
      </w:r>
      <w:r>
        <w:tab/>
        <w:t xml:space="preserve">If — </w:t>
      </w:r>
    </w:p>
    <w:p>
      <w:pPr>
        <w:pStyle w:val="Indenta"/>
      </w:pPr>
      <w:r>
        <w:tab/>
        <w:t>(a)</w:t>
      </w:r>
      <w:r>
        <w:tab/>
        <w:t>the recipient may be sent or given a document by email under these rules; and</w:t>
      </w:r>
    </w:p>
    <w:p>
      <w:pPr>
        <w:pStyle w:val="Indenta"/>
      </w:pPr>
      <w:r>
        <w:tab/>
        <w:t>(b)</w:t>
      </w:r>
      <w:r>
        <w:tab/>
        <w:t>a document is sent or given to the recipient by email in accordance with these rules; and</w:t>
      </w:r>
    </w:p>
    <w:p>
      <w:pPr>
        <w:pStyle w:val="Indenta"/>
      </w:pPr>
      <w:r>
        <w:tab/>
        <w:t>(c)</w:t>
      </w:r>
      <w:r>
        <w:tab/>
        <w:t>the recipient’s computer does not receive the document or is not able to produce it in legible form,</w:t>
      </w:r>
    </w:p>
    <w:p>
      <w:pPr>
        <w:pStyle w:val="Subsection"/>
      </w:pPr>
      <w:r>
        <w:tab/>
      </w:r>
      <w:r>
        <w:tab/>
        <w:t>the document is to be taken to have not been sent or given to the recipient.</w:t>
      </w:r>
    </w:p>
    <w:p>
      <w:pPr>
        <w:pStyle w:val="Heading5"/>
      </w:pPr>
      <w:bookmarkStart w:id="124" w:name="_Toc524846006"/>
      <w:bookmarkStart w:id="125" w:name="_Toc377457260"/>
      <w:r>
        <w:rPr>
          <w:rStyle w:val="CharSectno"/>
        </w:rPr>
        <w:t>45</w:t>
      </w:r>
      <w:r>
        <w:t>.</w:t>
      </w:r>
      <w:r>
        <w:tab/>
        <w:t>Determination of practice and procedure by Tribunal</w:t>
      </w:r>
      <w:bookmarkEnd w:id="124"/>
      <w:bookmarkEnd w:id="125"/>
    </w:p>
    <w:p>
      <w:pPr>
        <w:pStyle w:val="Subsection"/>
      </w:pPr>
      <w:r>
        <w:tab/>
      </w:r>
      <w:r>
        <w:tab/>
        <w:t>A determination of the practice or procedure of the Tribunal under the Act section 32(5) may be made by the Tribunal on its own initiative or on the application of any person in an approved form.</w:t>
      </w:r>
    </w:p>
    <w:p>
      <w:pPr>
        <w:pStyle w:val="Heading5"/>
      </w:pPr>
      <w:bookmarkStart w:id="126" w:name="_Toc524846007"/>
      <w:bookmarkStart w:id="127" w:name="_Toc377457261"/>
      <w:r>
        <w:rPr>
          <w:rStyle w:val="CharSectno"/>
        </w:rPr>
        <w:t>46</w:t>
      </w:r>
      <w:r>
        <w:t>.</w:t>
      </w:r>
      <w:r>
        <w:tab/>
        <w:t>Dispensing with compliance with requirement of a rule</w:t>
      </w:r>
      <w:bookmarkEnd w:id="126"/>
      <w:bookmarkEnd w:id="127"/>
    </w:p>
    <w:p>
      <w:pPr>
        <w:pStyle w:val="Subsection"/>
      </w:pPr>
      <w:r>
        <w:tab/>
      </w:r>
      <w:r>
        <w:tab/>
        <w:t>The Tribunal, on an application in an approved form by any party or a referring person, or on its own initiative, may dispense with compliance with a requirement of a rule, either before or after the time for compliance with the requirement arises.</w:t>
      </w:r>
    </w:p>
    <w:p>
      <w:pPr>
        <w:pStyle w:val="Heading5"/>
      </w:pPr>
      <w:bookmarkStart w:id="128" w:name="_Toc524846008"/>
      <w:bookmarkStart w:id="129" w:name="_Toc377457262"/>
      <w:r>
        <w:rPr>
          <w:rStyle w:val="CharSectno"/>
        </w:rPr>
        <w:t>47</w:t>
      </w:r>
      <w:r>
        <w:t>.</w:t>
      </w:r>
      <w:r>
        <w:tab/>
        <w:t>Forms</w:t>
      </w:r>
      <w:bookmarkEnd w:id="128"/>
      <w:bookmarkEnd w:id="129"/>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130" w:name="_Toc524846009"/>
      <w:bookmarkStart w:id="131" w:name="_Toc377457263"/>
      <w:r>
        <w:rPr>
          <w:rStyle w:val="CharPartNo"/>
        </w:rPr>
        <w:t>Part 3</w:t>
      </w:r>
      <w:r>
        <w:rPr>
          <w:rStyle w:val="CharDivNo"/>
        </w:rPr>
        <w:t> </w:t>
      </w:r>
      <w:r>
        <w:t>—</w:t>
      </w:r>
      <w:r>
        <w:rPr>
          <w:rStyle w:val="CharDivText"/>
        </w:rPr>
        <w:t> </w:t>
      </w:r>
      <w:r>
        <w:rPr>
          <w:rStyle w:val="CharPartText"/>
        </w:rPr>
        <w:t>Special rules</w:t>
      </w:r>
      <w:bookmarkEnd w:id="130"/>
      <w:bookmarkEnd w:id="131"/>
    </w:p>
    <w:p>
      <w:pPr>
        <w:pStyle w:val="Heading5"/>
      </w:pPr>
      <w:bookmarkStart w:id="132" w:name="_Toc524846010"/>
      <w:bookmarkStart w:id="133" w:name="_Toc377457264"/>
      <w:r>
        <w:rPr>
          <w:rStyle w:val="CharSectno"/>
        </w:rPr>
        <w:t>48</w:t>
      </w:r>
      <w:r>
        <w:t>.</w:t>
      </w:r>
      <w:r>
        <w:tab/>
      </w:r>
      <w:r>
        <w:rPr>
          <w:i/>
        </w:rPr>
        <w:t>Animal Welfare Act 2002</w:t>
      </w:r>
      <w:bookmarkEnd w:id="132"/>
      <w:bookmarkEnd w:id="133"/>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 and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134" w:name="_Toc524846011"/>
      <w:bookmarkStart w:id="135" w:name="_Toc377457265"/>
      <w:r>
        <w:rPr>
          <w:rStyle w:val="CharSectno"/>
        </w:rPr>
        <w:t>49</w:t>
      </w:r>
      <w:r>
        <w:t>.</w:t>
      </w:r>
      <w:r>
        <w:tab/>
      </w:r>
      <w:r>
        <w:rPr>
          <w:i/>
        </w:rPr>
        <w:t>Credit (Administration) Act 1984</w:t>
      </w:r>
      <w:bookmarkEnd w:id="134"/>
      <w:bookmarkEnd w:id="135"/>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36" w:name="_Toc524846012"/>
      <w:bookmarkStart w:id="137" w:name="_Toc377457266"/>
      <w:r>
        <w:rPr>
          <w:rStyle w:val="CharSectno"/>
        </w:rPr>
        <w:t>50</w:t>
      </w:r>
      <w:r>
        <w:t>.</w:t>
      </w:r>
      <w:r>
        <w:tab/>
      </w:r>
      <w:r>
        <w:rPr>
          <w:i/>
        </w:rPr>
        <w:t>Employment Agents Act 1976</w:t>
      </w:r>
      <w:bookmarkEnd w:id="136"/>
      <w:bookmarkEnd w:id="137"/>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38" w:name="_Toc524846013"/>
      <w:bookmarkStart w:id="139" w:name="_Toc377457267"/>
      <w:r>
        <w:rPr>
          <w:rStyle w:val="CharSectno"/>
        </w:rPr>
        <w:t>51</w:t>
      </w:r>
      <w:r>
        <w:t>.</w:t>
      </w:r>
      <w:r>
        <w:tab/>
      </w:r>
      <w:r>
        <w:rPr>
          <w:i/>
        </w:rPr>
        <w:t>Equal Opportunity Act 1984</w:t>
      </w:r>
      <w:bookmarkEnd w:id="138"/>
      <w:bookmarkEnd w:id="139"/>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in Gazette 28 Mar 2008 p. 918; 29 Aug 2008 p. 4043.]</w:t>
      </w:r>
    </w:p>
    <w:p>
      <w:pPr>
        <w:pStyle w:val="Heading5"/>
      </w:pPr>
      <w:bookmarkStart w:id="140" w:name="_Toc524846014"/>
      <w:bookmarkStart w:id="141" w:name="_Toc377457268"/>
      <w:r>
        <w:rPr>
          <w:rStyle w:val="CharSectno"/>
        </w:rPr>
        <w:t>52</w:t>
      </w:r>
      <w:r>
        <w:t>.</w:t>
      </w:r>
      <w:r>
        <w:tab/>
      </w:r>
      <w:r>
        <w:rPr>
          <w:i/>
        </w:rPr>
        <w:t>Firearms Act 1973</w:t>
      </w:r>
      <w:bookmarkEnd w:id="140"/>
      <w:bookmarkEnd w:id="141"/>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in Gazette 14 Oct 2005 p. 4570.]</w:t>
      </w:r>
    </w:p>
    <w:p>
      <w:pPr>
        <w:pStyle w:val="Heading5"/>
      </w:pPr>
      <w:bookmarkStart w:id="142" w:name="_Toc524846015"/>
      <w:bookmarkStart w:id="143" w:name="_Toc377457269"/>
      <w:r>
        <w:rPr>
          <w:rStyle w:val="CharSectno"/>
        </w:rPr>
        <w:t>53</w:t>
      </w:r>
      <w:r>
        <w:t>.</w:t>
      </w:r>
      <w:r>
        <w:tab/>
      </w:r>
      <w:r>
        <w:rPr>
          <w:i/>
        </w:rPr>
        <w:t>Fish Resources Management Act 1994</w:t>
      </w:r>
      <w:bookmarkEnd w:id="142"/>
      <w:bookmarkEnd w:id="143"/>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w:t>
      </w:r>
      <w:r>
        <w:rPr>
          <w:vertAlign w:val="superscript"/>
        </w:rPr>
        <w:t> 2</w:t>
      </w:r>
      <w:r>
        <w:t xml:space="preserve"> is to be refunded to the applicant.</w:t>
      </w:r>
    </w:p>
    <w:p>
      <w:pPr>
        <w:pStyle w:val="Heading5"/>
      </w:pPr>
      <w:bookmarkStart w:id="144" w:name="_Toc524846016"/>
      <w:bookmarkStart w:id="145" w:name="_Toc377457270"/>
      <w:r>
        <w:rPr>
          <w:rStyle w:val="CharSectno"/>
        </w:rPr>
        <w:t>54</w:t>
      </w:r>
      <w:r>
        <w:t>.</w:t>
      </w:r>
      <w:r>
        <w:tab/>
      </w:r>
      <w:r>
        <w:rPr>
          <w:i/>
        </w:rPr>
        <w:t>Guardianship and Administration Act 1990</w:t>
      </w:r>
      <w:bookmarkEnd w:id="144"/>
      <w:bookmarkEnd w:id="145"/>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146" w:name="_Toc524846017"/>
      <w:bookmarkStart w:id="147" w:name="_Toc377457271"/>
      <w:r>
        <w:rPr>
          <w:rStyle w:val="CharSectno"/>
        </w:rPr>
        <w:t>55</w:t>
      </w:r>
      <w:r>
        <w:t>.</w:t>
      </w:r>
      <w:r>
        <w:tab/>
      </w:r>
      <w:r>
        <w:rPr>
          <w:i/>
        </w:rPr>
        <w:t>Medical Act 1894</w:t>
      </w:r>
      <w:bookmarkEnd w:id="146"/>
      <w:bookmarkEnd w:id="147"/>
    </w:p>
    <w:p>
      <w:pPr>
        <w:pStyle w:val="Subsection"/>
      </w:pPr>
      <w:r>
        <w:tab/>
      </w:r>
      <w:r>
        <w:tab/>
        <w:t xml:space="preserve">Under the Act section 39(1)(f), a person who makes an application for review under the </w:t>
      </w:r>
      <w:r>
        <w:rPr>
          <w:i/>
        </w:rPr>
        <w:t>Medical Act 1894</w:t>
      </w:r>
      <w:r>
        <w:rPr>
          <w:vertAlign w:val="superscript"/>
        </w:rPr>
        <w:t> 3</w:t>
      </w:r>
      <w:r>
        <w:t xml:space="preserve"> section 13(8) is authorised to be represented by a person other than a legal practitioner.</w:t>
      </w:r>
    </w:p>
    <w:p>
      <w:pPr>
        <w:pStyle w:val="Heading5"/>
        <w:rPr>
          <w:i/>
        </w:rPr>
      </w:pPr>
      <w:bookmarkStart w:id="148" w:name="_Toc524846018"/>
      <w:bookmarkStart w:id="149" w:name="_Toc377457272"/>
      <w:r>
        <w:rPr>
          <w:rStyle w:val="CharSectno"/>
        </w:rPr>
        <w:t>56</w:t>
      </w:r>
      <w:r>
        <w:t>.</w:t>
      </w:r>
      <w:r>
        <w:tab/>
      </w:r>
      <w:r>
        <w:rPr>
          <w:i/>
        </w:rPr>
        <w:t>Mental Health Act 1996</w:t>
      </w:r>
      <w:bookmarkEnd w:id="148"/>
      <w:bookmarkEnd w:id="149"/>
    </w:p>
    <w:p>
      <w:pPr>
        <w:pStyle w:val="Subsection"/>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Council of Official Visitors</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1996</w:t>
      </w:r>
      <w:r>
        <w:t xml:space="preserve"> section 3.</w:t>
      </w:r>
    </w:p>
    <w:p>
      <w:pPr>
        <w:pStyle w:val="Subsection"/>
        <w:spacing w:before="120"/>
      </w:pPr>
      <w:r>
        <w:tab/>
        <w:t>(2)</w:t>
      </w:r>
      <w:r>
        <w:tab/>
        <w:t xml:space="preserve">If a document is required to be given to the Council of Official Visitors under the Act, the </w:t>
      </w:r>
      <w:r>
        <w:rPr>
          <w:i/>
        </w:rPr>
        <w:t>Mental Health Act 1996</w:t>
      </w:r>
      <w:r>
        <w:t xml:space="preserve"> or these rules, it may be given to the Council by giving the document to the executive officer of the Council.</w:t>
      </w:r>
    </w:p>
    <w:p>
      <w:pPr>
        <w:pStyle w:val="Subsection"/>
        <w:spacing w:before="120"/>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spacing w:before="120"/>
      </w:pPr>
      <w:r>
        <w:tab/>
        <w:t>(4)</w:t>
      </w:r>
      <w:r>
        <w:tab/>
        <w:t xml:space="preserve">Despite rule 31, if a document is required to or may be given to an involuntary patient who is the subject of a community treatment order personal service is effected — </w:t>
      </w:r>
    </w:p>
    <w:p>
      <w:pPr>
        <w:pStyle w:val="Indenta"/>
        <w:spacing w:before="60"/>
      </w:pPr>
      <w:r>
        <w:tab/>
        <w:t>(a)</w:t>
      </w:r>
      <w:r>
        <w:tab/>
        <w:t>by leaving a copy of the document with him or her; or</w:t>
      </w:r>
    </w:p>
    <w:p>
      <w:pPr>
        <w:pStyle w:val="Indenta"/>
        <w:spacing w:before="60"/>
      </w:pPr>
      <w:r>
        <w:tab/>
        <w:t>(b)</w:t>
      </w:r>
      <w:r>
        <w:tab/>
        <w:t>if the involuntary patient cannot be found, by leaving a copy of the document with his or her supervising psychiatrist.</w:t>
      </w:r>
    </w:p>
    <w:p>
      <w:pPr>
        <w:pStyle w:val="Subsection"/>
        <w:spacing w:before="120"/>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spacing w:before="120"/>
      </w:pPr>
      <w:r>
        <w:tab/>
        <w:t>(6)</w:t>
      </w:r>
      <w:r>
        <w:tab/>
        <w:t xml:space="preserve">A copy of a document that must be given to an involuntary patient under the Act, an enabling Act or these rules must also be given to — </w:t>
      </w:r>
    </w:p>
    <w:p>
      <w:pPr>
        <w:pStyle w:val="Indenta"/>
        <w:spacing w:before="60"/>
      </w:pPr>
      <w:r>
        <w:tab/>
        <w:t>(a)</w:t>
      </w:r>
      <w:r>
        <w:tab/>
        <w:t>the patient’s litigation guardian appointed under the Act section 40(2) (if any); and</w:t>
      </w:r>
    </w:p>
    <w:p>
      <w:pPr>
        <w:pStyle w:val="Indenta"/>
        <w:spacing w:before="60"/>
      </w:pPr>
      <w:r>
        <w:tab/>
        <w:t>(b)</w:t>
      </w:r>
      <w:r>
        <w:tab/>
        <w:t>the patient’s guardian ad litem (if any); and</w:t>
      </w:r>
    </w:p>
    <w:p>
      <w:pPr>
        <w:pStyle w:val="Indenta"/>
        <w:spacing w:before="60"/>
      </w:pPr>
      <w:r>
        <w:tab/>
        <w:t>(c)</w:t>
      </w:r>
      <w:r>
        <w:tab/>
        <w:t xml:space="preserve">if an administrator of his or her estate has been appointed under the </w:t>
      </w:r>
      <w:r>
        <w:rPr>
          <w:i/>
        </w:rPr>
        <w:t>Guardianship and Administration Act 1990</w:t>
      </w:r>
      <w:r>
        <w:t>, the administrator; and</w:t>
      </w:r>
    </w:p>
    <w:p>
      <w:pPr>
        <w:pStyle w:val="Indenta"/>
        <w:spacing w:before="60"/>
      </w:pPr>
      <w:r>
        <w:tab/>
        <w:t>(d)</w:t>
      </w:r>
      <w:r>
        <w:tab/>
        <w:t>if the patient has a guardian appointed under a law of a State or Territory, that guardian.</w:t>
      </w:r>
    </w:p>
    <w:p>
      <w:pPr>
        <w:pStyle w:val="Heading5"/>
      </w:pPr>
      <w:bookmarkStart w:id="150" w:name="_Toc524846019"/>
      <w:bookmarkStart w:id="151" w:name="_Toc377457273"/>
      <w:r>
        <w:rPr>
          <w:rStyle w:val="CharSectno"/>
        </w:rPr>
        <w:t>57</w:t>
      </w:r>
      <w:r>
        <w:t>.</w:t>
      </w:r>
      <w:r>
        <w:tab/>
      </w:r>
      <w:r>
        <w:rPr>
          <w:i/>
          <w:iCs/>
        </w:rPr>
        <w:t>Pawnbrokers and Second</w:t>
      </w:r>
      <w:r>
        <w:rPr>
          <w:i/>
          <w:iCs/>
        </w:rPr>
        <w:noBreakHyphen/>
        <w:t>hand Dealers Act 1994</w:t>
      </w:r>
      <w:bookmarkEnd w:id="150"/>
      <w:bookmarkEnd w:id="151"/>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in Gazette 14 Oct 2005 p. 4570; amended in Gazette 13 Apr 2007 p. 1684.]</w:t>
      </w:r>
    </w:p>
    <w:p>
      <w:pPr>
        <w:pStyle w:val="Heading5"/>
        <w:rPr>
          <w:bCs/>
        </w:rPr>
      </w:pPr>
      <w:bookmarkStart w:id="152" w:name="_Toc524846020"/>
      <w:bookmarkStart w:id="153" w:name="_Toc377457274"/>
      <w:r>
        <w:rPr>
          <w:rStyle w:val="CharSectno"/>
        </w:rPr>
        <w:t>58</w:t>
      </w:r>
      <w:r>
        <w:t>.</w:t>
      </w:r>
      <w:r>
        <w:tab/>
      </w:r>
      <w:r>
        <w:rPr>
          <w:bCs/>
          <w:i/>
          <w:iCs/>
        </w:rPr>
        <w:t>Public Order in Streets Act 1984</w:t>
      </w:r>
      <w:bookmarkEnd w:id="152"/>
      <w:bookmarkEnd w:id="153"/>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in Gazette 14 Oct 2005 p. 4570; 13 Apr 2007 p. 1685.]</w:t>
      </w:r>
    </w:p>
    <w:p>
      <w:pPr>
        <w:pStyle w:val="Heading5"/>
        <w:rPr>
          <w:i/>
        </w:rPr>
      </w:pPr>
      <w:bookmarkStart w:id="154" w:name="_Toc524846021"/>
      <w:bookmarkStart w:id="155" w:name="_Toc377457275"/>
      <w:r>
        <w:rPr>
          <w:rStyle w:val="CharSectno"/>
        </w:rPr>
        <w:t>59</w:t>
      </w:r>
      <w:r>
        <w:t>.</w:t>
      </w:r>
      <w:r>
        <w:tab/>
      </w:r>
      <w:r>
        <w:rPr>
          <w:i/>
        </w:rPr>
        <w:t>Retirement Villages Act 1992</w:t>
      </w:r>
      <w:bookmarkEnd w:id="154"/>
      <w:bookmarkEnd w:id="155"/>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 or</w:t>
      </w:r>
    </w:p>
    <w:p>
      <w:pPr>
        <w:pStyle w:val="Defpara"/>
      </w:pPr>
      <w:r>
        <w:tab/>
        <w:t>(b)</w:t>
      </w:r>
      <w:r>
        <w:tab/>
        <w:t xml:space="preserve">an articled clerk as defined in the </w:t>
      </w:r>
      <w:r>
        <w:rPr>
          <w:i/>
        </w:rPr>
        <w:t>Legal Profession (Admission) Rules 2009</w:t>
      </w:r>
      <w:r>
        <w:t xml:space="preserve"> rule 14;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RV Act</w:t>
      </w:r>
      <w:r>
        <w:t xml:space="preserve"> means the</w:t>
      </w:r>
      <w:r>
        <w:rPr>
          <w:i/>
        </w:rPr>
        <w:t xml:space="preserve"> Retirement Villages Act 1992</w:t>
      </w:r>
      <w:r>
        <w:rPr>
          <w:iCs/>
        </w:rPr>
        <w:t>.</w:t>
      </w:r>
    </w:p>
    <w:p>
      <w:pPr>
        <w:pStyle w:val="Subsection"/>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 or</w:t>
      </w:r>
    </w:p>
    <w:p>
      <w:pPr>
        <w:pStyle w:val="Indenta"/>
      </w:pPr>
      <w:r>
        <w:tab/>
        <w:t>(b)</w:t>
      </w:r>
      <w:r>
        <w:tab/>
        <w:t>one of the parties is a legally qualified person; or</w:t>
      </w:r>
    </w:p>
    <w:p>
      <w:pPr>
        <w:pStyle w:val="Indenta"/>
      </w:pPr>
      <w:r>
        <w:tab/>
        <w:t>(c)</w:t>
      </w:r>
      <w:r>
        <w:tab/>
        <w:t>one of the parties is a body corporate and any other party elects to be so represented; or</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Footnotesection"/>
      </w:pPr>
      <w:r>
        <w:tab/>
        <w:t>[Rule 59 amended in Gazette 9 Jul 2010 p. 3242.]</w:t>
      </w:r>
    </w:p>
    <w:p>
      <w:pPr>
        <w:pStyle w:val="Heading5"/>
        <w:rPr>
          <w:i/>
        </w:rPr>
      </w:pPr>
      <w:bookmarkStart w:id="156" w:name="_Toc524846022"/>
      <w:bookmarkStart w:id="157" w:name="_Toc377457276"/>
      <w:r>
        <w:rPr>
          <w:rStyle w:val="CharSectno"/>
        </w:rPr>
        <w:t>60</w:t>
      </w:r>
      <w:r>
        <w:t>.</w:t>
      </w:r>
      <w:r>
        <w:tab/>
      </w:r>
      <w:r>
        <w:rPr>
          <w:i/>
        </w:rPr>
        <w:t>Rights in Water and Irrigation Act 1914</w:t>
      </w:r>
      <w:bookmarkEnd w:id="156"/>
      <w:bookmarkEnd w:id="157"/>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w:t>
      </w:r>
      <w:r>
        <w:rPr>
          <w:vertAlign w:val="superscript"/>
        </w:rPr>
        <w:t> 2</w:t>
      </w:r>
      <w:r>
        <w:t xml:space="preserve"> paid by the applicant.</w:t>
      </w:r>
    </w:p>
    <w:p>
      <w:pPr>
        <w:pStyle w:val="Heading5"/>
      </w:pPr>
      <w:bookmarkStart w:id="158" w:name="_Toc524846023"/>
      <w:bookmarkStart w:id="159" w:name="_Toc377457277"/>
      <w:r>
        <w:rPr>
          <w:rStyle w:val="CharSectno"/>
        </w:rPr>
        <w:t>61</w:t>
      </w:r>
      <w:r>
        <w:t>.</w:t>
      </w:r>
      <w:r>
        <w:tab/>
      </w:r>
      <w:r>
        <w:rPr>
          <w:i/>
        </w:rPr>
        <w:t>Security and Related Activities (Control) Act 1996</w:t>
      </w:r>
      <w:bookmarkEnd w:id="158"/>
      <w:bookmarkEnd w:id="159"/>
    </w:p>
    <w:p>
      <w:pPr>
        <w:pStyle w:val="Subsection"/>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 and</w:t>
      </w:r>
    </w:p>
    <w:p>
      <w:pPr>
        <w:pStyle w:val="Indenta"/>
        <w:keepNext/>
      </w:pPr>
      <w:r>
        <w:tab/>
        <w:t>(b)</w:t>
      </w:r>
      <w:r>
        <w:tab/>
        <w:t>a reference by the Commissioner to the Tribunal under section 67(3b)</w:t>
      </w:r>
      <w:r>
        <w:rPr>
          <w:vertAlign w:val="superscript"/>
        </w:rPr>
        <w:t> 4</w:t>
      </w:r>
      <w:r>
        <w:t xml:space="preserve">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Subsection"/>
      </w:pPr>
      <w:r>
        <w:tab/>
        <w:t>(5)</w:t>
      </w:r>
      <w:r>
        <w:tab/>
        <w:t xml:space="preserve">Despite rule 26(3), a copy of the application under the </w:t>
      </w:r>
      <w:r>
        <w:rPr>
          <w:i/>
          <w:iCs/>
        </w:rPr>
        <w:t>Security and Related Activities (Control) Act 1996</w:t>
      </w:r>
      <w:r>
        <w:t xml:space="preserve"> section 67(1) or (3b)(a)</w:t>
      </w:r>
      <w:r>
        <w:rPr>
          <w:vertAlign w:val="superscript"/>
        </w:rPr>
        <w:t> 4</w:t>
      </w:r>
      <w:r>
        <w:t xml:space="preserve"> may be given to the licensee by pre</w:t>
      </w:r>
      <w:r>
        <w:noBreakHyphen/>
        <w:t>paid post or ordinary service.</w:t>
      </w:r>
    </w:p>
    <w:p>
      <w:pPr>
        <w:pStyle w:val="Footnotesection"/>
      </w:pPr>
      <w:r>
        <w:tab/>
        <w:t>[Rule 61 amended in Gazette 14 Oct 2005 p. 4570; 29 Aug 2008 p. 4043-4.]</w:t>
      </w:r>
    </w:p>
    <w:p>
      <w:pPr>
        <w:pStyle w:val="Heading5"/>
      </w:pPr>
      <w:bookmarkStart w:id="160" w:name="_Toc524846024"/>
      <w:bookmarkStart w:id="161" w:name="_Toc377457278"/>
      <w:r>
        <w:rPr>
          <w:rStyle w:val="CharSectno"/>
        </w:rPr>
        <w:t>62</w:t>
      </w:r>
      <w:r>
        <w:t>.</w:t>
      </w:r>
      <w:r>
        <w:tab/>
      </w:r>
      <w:r>
        <w:rPr>
          <w:i/>
        </w:rPr>
        <w:t>Strata Titles Act 1985</w:t>
      </w:r>
      <w:bookmarkEnd w:id="160"/>
      <w:bookmarkEnd w:id="161"/>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162" w:name="_Toc524846025"/>
      <w:bookmarkStart w:id="163" w:name="_Toc377457279"/>
      <w:r>
        <w:rPr>
          <w:rStyle w:val="CharSectno"/>
        </w:rPr>
        <w:t>63</w:t>
      </w:r>
      <w:r>
        <w:rPr>
          <w:bCs/>
        </w:rPr>
        <w:t>.</w:t>
      </w:r>
      <w:r>
        <w:rPr>
          <w:bCs/>
        </w:rPr>
        <w:tab/>
      </w:r>
      <w:r>
        <w:rPr>
          <w:bCs/>
          <w:i/>
        </w:rPr>
        <w:t>Planning and Development Act 2005</w:t>
      </w:r>
      <w:bookmarkEnd w:id="162"/>
      <w:bookmarkEnd w:id="163"/>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Under the Act section 39(1)(f) a party is authorised to be represented by an agent.</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pPr>
      <w:r>
        <w:tab/>
        <w:t>(4)</w:t>
      </w:r>
      <w:r>
        <w:tab/>
        <w:t xml:space="preserve">Rule 34(6) and (7) do not apply if the State Solicitor is the legal practitioner representing </w:t>
      </w:r>
      <w:ins w:id="164" w:author="Master Repository Process" w:date="2021-09-18T01:25:00Z">
        <w:r>
          <w:t xml:space="preserve">a Development Assessment Panel or </w:t>
        </w:r>
      </w:ins>
      <w:r>
        <w:t xml:space="preserve">the Western Australian Planning Commission in proceedings under the </w:t>
      </w:r>
      <w:r>
        <w:rPr>
          <w:i/>
        </w:rPr>
        <w:t>Planning and Development Act 2005</w:t>
      </w:r>
      <w:r>
        <w:t xml:space="preserve"> Part 14.</w:t>
      </w:r>
    </w:p>
    <w:p>
      <w:pPr>
        <w:pStyle w:val="Footnotesection"/>
      </w:pPr>
      <w:r>
        <w:tab/>
        <w:t>[Rule 63 inserted in Gazette 13 Apr 2006 p. 1558; amended in Gazette 29 Aug 2008 p. 4044</w:t>
      </w:r>
      <w:ins w:id="165" w:author="Master Repository Process" w:date="2021-09-18T01:25:00Z">
        <w:r>
          <w:t>; 28 Jan 2014 p. 182</w:t>
        </w:r>
      </w:ins>
      <w:r>
        <w:t>.]</w:t>
      </w:r>
    </w:p>
    <w:p>
      <w:pPr>
        <w:pStyle w:val="Heading5"/>
      </w:pPr>
      <w:bookmarkStart w:id="166" w:name="_Toc524846026"/>
      <w:bookmarkStart w:id="167" w:name="_Toc377457280"/>
      <w:r>
        <w:rPr>
          <w:rStyle w:val="CharSectno"/>
        </w:rPr>
        <w:t>64</w:t>
      </w:r>
      <w:r>
        <w:t>.</w:t>
      </w:r>
      <w:r>
        <w:tab/>
      </w:r>
      <w:r>
        <w:rPr>
          <w:i/>
        </w:rPr>
        <w:t>Taxation Administration Act 2003</w:t>
      </w:r>
      <w:bookmarkEnd w:id="166"/>
      <w:bookmarkEnd w:id="167"/>
    </w:p>
    <w:p>
      <w:pPr>
        <w:pStyle w:val="Subsection"/>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in Gazette 29 Aug 2008 p. 4044.]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21"/>
          <w:headerReference w:type="default" r:id="rId22"/>
          <w:headerReference w:type="first" r:id="rId23"/>
          <w:endnotePr>
            <w:numFmt w:val="decimal"/>
          </w:endnotePr>
          <w:pgSz w:w="11906" w:h="16838" w:code="9"/>
          <w:pgMar w:top="2376" w:right="2404" w:bottom="3544" w:left="2404" w:header="720" w:footer="3380" w:gutter="0"/>
          <w:pgNumType w:start="1"/>
          <w:cols w:space="720"/>
          <w:noEndnote/>
          <w:titlePg/>
          <w:docGrid w:linePitch="326"/>
        </w:sectPr>
      </w:pPr>
    </w:p>
    <w:p>
      <w:pPr>
        <w:pStyle w:val="nHeading2"/>
      </w:pPr>
      <w:bookmarkStart w:id="168" w:name="_Toc524846027"/>
      <w:bookmarkStart w:id="169" w:name="_Toc377457281"/>
      <w:r>
        <w:t>Notes</w:t>
      </w:r>
      <w:bookmarkEnd w:id="168"/>
      <w:bookmarkEnd w:id="169"/>
    </w:p>
    <w:p>
      <w:pPr>
        <w:pStyle w:val="nSubsection"/>
        <w:rPr>
          <w:snapToGrid w:val="0"/>
        </w:rPr>
      </w:pPr>
      <w:r>
        <w:rPr>
          <w:snapToGrid w:val="0"/>
          <w:vertAlign w:val="superscript"/>
        </w:rPr>
        <w:t>1</w:t>
      </w:r>
      <w:r>
        <w:rPr>
          <w:snapToGrid w:val="0"/>
        </w:rPr>
        <w:tab/>
        <w:t xml:space="preserve">This </w:t>
      </w:r>
      <w:del w:id="170" w:author="Master Repository Process" w:date="2021-09-18T01:25:00Z">
        <w:r>
          <w:rPr>
            <w:snapToGrid w:val="0"/>
          </w:rPr>
          <w:delText xml:space="preserve">reprint </w:delText>
        </w:r>
      </w:del>
      <w:r>
        <w:rPr>
          <w:snapToGrid w:val="0"/>
        </w:rPr>
        <w:t>is a compilation</w:t>
      </w:r>
      <w:del w:id="171" w:author="Master Repository Process" w:date="2021-09-18T01:25:00Z">
        <w:r>
          <w:rPr>
            <w:snapToGrid w:val="0"/>
          </w:rPr>
          <w:delText xml:space="preserve"> as at 19 July 2013</w:delText>
        </w:r>
      </w:del>
      <w:r>
        <w:rPr>
          <w:snapToGrid w:val="0"/>
        </w:rPr>
        <w:t xml:space="preserve"> of the </w:t>
      </w:r>
      <w:r>
        <w:rPr>
          <w:i/>
          <w:noProof/>
          <w:snapToGrid w:val="0"/>
        </w:rPr>
        <w:t>State Administrative Tribunal Rules 2004</w:t>
      </w:r>
      <w:r>
        <w:rPr>
          <w:snapToGrid w:val="0"/>
        </w:rPr>
        <w:t xml:space="preserve"> and includes the amendments made by the other written laws referred to in the following table.  The table also contains information about any reprint.</w:t>
      </w:r>
    </w:p>
    <w:p>
      <w:pPr>
        <w:pStyle w:val="nHeading3"/>
      </w:pPr>
      <w:bookmarkStart w:id="172" w:name="_Toc524846028"/>
      <w:bookmarkStart w:id="173" w:name="_Toc377457282"/>
      <w:r>
        <w:t>Compilation table</w:t>
      </w:r>
      <w:bookmarkEnd w:id="172"/>
      <w:bookmarkEnd w:id="1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50" w:after="5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before="50" w:after="5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c>
          <w:tcPr>
            <w:tcW w:w="3118" w:type="dxa"/>
            <w:tcBorders>
              <w:top w:val="single" w:sz="8" w:space="0" w:color="auto"/>
            </w:tcBorders>
          </w:tcPr>
          <w:p>
            <w:pPr>
              <w:pStyle w:val="nTable"/>
              <w:spacing w:before="50" w:after="50"/>
              <w:rPr>
                <w:sz w:val="19"/>
              </w:rPr>
            </w:pPr>
            <w:r>
              <w:rPr>
                <w:i/>
                <w:sz w:val="19"/>
              </w:rPr>
              <w:t>State Administrative Tribunal Rules 2004</w:t>
            </w:r>
          </w:p>
        </w:tc>
        <w:tc>
          <w:tcPr>
            <w:tcW w:w="1276" w:type="dxa"/>
            <w:tcBorders>
              <w:top w:val="single" w:sz="8" w:space="0" w:color="auto"/>
            </w:tcBorders>
          </w:tcPr>
          <w:p>
            <w:pPr>
              <w:pStyle w:val="nTable"/>
              <w:spacing w:before="50" w:after="50"/>
              <w:rPr>
                <w:sz w:val="19"/>
              </w:rPr>
            </w:pPr>
            <w:r>
              <w:rPr>
                <w:sz w:val="19"/>
              </w:rPr>
              <w:t>30 Dec 2004 p. 6849</w:t>
            </w:r>
            <w:r>
              <w:rPr>
                <w:sz w:val="19"/>
              </w:rPr>
              <w:noBreakHyphen/>
              <w:t>89</w:t>
            </w:r>
          </w:p>
        </w:tc>
        <w:tc>
          <w:tcPr>
            <w:tcW w:w="2693" w:type="dxa"/>
            <w:tcBorders>
              <w:top w:val="single" w:sz="8" w:space="0" w:color="auto"/>
            </w:tcBorders>
          </w:tcPr>
          <w:p>
            <w:pPr>
              <w:pStyle w:val="nTable"/>
              <w:spacing w:before="50" w:after="50"/>
              <w:rPr>
                <w:i/>
                <w:iCs/>
                <w:sz w:val="19"/>
              </w:rPr>
            </w:pPr>
            <w:r>
              <w:rPr>
                <w:sz w:val="19"/>
              </w:rPr>
              <w:t>1 Jan 2005 (see r. 2)</w:t>
            </w:r>
          </w:p>
        </w:tc>
      </w:tr>
      <w:tr>
        <w:tc>
          <w:tcPr>
            <w:tcW w:w="3118" w:type="dxa"/>
          </w:tcPr>
          <w:p>
            <w:pPr>
              <w:pStyle w:val="nTable"/>
              <w:spacing w:before="50" w:after="50"/>
              <w:rPr>
                <w:i/>
                <w:sz w:val="19"/>
              </w:rPr>
            </w:pPr>
            <w:r>
              <w:rPr>
                <w:i/>
                <w:sz w:val="19"/>
              </w:rPr>
              <w:t>State Administrative Tribunal Rules (Amendment No. 1) 2005</w:t>
            </w:r>
          </w:p>
        </w:tc>
        <w:tc>
          <w:tcPr>
            <w:tcW w:w="1276" w:type="dxa"/>
          </w:tcPr>
          <w:p>
            <w:pPr>
              <w:pStyle w:val="nTable"/>
              <w:spacing w:before="50" w:after="50"/>
              <w:rPr>
                <w:sz w:val="19"/>
              </w:rPr>
            </w:pPr>
            <w:r>
              <w:rPr>
                <w:sz w:val="19"/>
              </w:rPr>
              <w:t>14 Oct 2005 p. 4568</w:t>
            </w:r>
            <w:r>
              <w:rPr>
                <w:sz w:val="19"/>
              </w:rPr>
              <w:noBreakHyphen/>
              <w:t>70</w:t>
            </w:r>
          </w:p>
        </w:tc>
        <w:tc>
          <w:tcPr>
            <w:tcW w:w="2693" w:type="dxa"/>
          </w:tcPr>
          <w:p>
            <w:pPr>
              <w:pStyle w:val="nTable"/>
              <w:spacing w:before="50" w:after="50"/>
              <w:rPr>
                <w:sz w:val="19"/>
              </w:rPr>
            </w:pPr>
            <w:r>
              <w:rPr>
                <w:sz w:val="19"/>
              </w:rPr>
              <w:t>17 Oct 2005 (see r. 2)</w:t>
            </w:r>
          </w:p>
        </w:tc>
      </w:tr>
      <w:tr>
        <w:tc>
          <w:tcPr>
            <w:tcW w:w="3118" w:type="dxa"/>
          </w:tcPr>
          <w:p>
            <w:pPr>
              <w:pStyle w:val="nTable"/>
              <w:spacing w:before="50" w:after="50"/>
              <w:rPr>
                <w:iCs/>
                <w:sz w:val="19"/>
              </w:rPr>
            </w:pPr>
            <w:r>
              <w:rPr>
                <w:i/>
                <w:sz w:val="19"/>
              </w:rPr>
              <w:t>State Administrative Tribunal Rules (Amendment No. 1) 2006</w:t>
            </w:r>
          </w:p>
        </w:tc>
        <w:tc>
          <w:tcPr>
            <w:tcW w:w="1276" w:type="dxa"/>
          </w:tcPr>
          <w:p>
            <w:pPr>
              <w:pStyle w:val="nTable"/>
              <w:spacing w:before="50" w:after="50"/>
              <w:rPr>
                <w:sz w:val="19"/>
              </w:rPr>
            </w:pPr>
            <w:r>
              <w:rPr>
                <w:sz w:val="19"/>
              </w:rPr>
              <w:t>13 Apr 2006 p. 1556</w:t>
            </w:r>
            <w:r>
              <w:rPr>
                <w:sz w:val="19"/>
              </w:rPr>
              <w:noBreakHyphen/>
              <w:t>8</w:t>
            </w:r>
          </w:p>
        </w:tc>
        <w:tc>
          <w:tcPr>
            <w:tcW w:w="2693" w:type="dxa"/>
          </w:tcPr>
          <w:p>
            <w:pPr>
              <w:pStyle w:val="nTable"/>
              <w:spacing w:before="50" w:after="50"/>
              <w:rPr>
                <w:sz w:val="19"/>
                <w:vertAlign w:val="superscript"/>
              </w:rPr>
            </w:pPr>
            <w:r>
              <w:rPr>
                <w:sz w:val="19"/>
              </w:rPr>
              <w:t>13 Apr 2006 </w:t>
            </w:r>
            <w:r>
              <w:rPr>
                <w:sz w:val="19"/>
                <w:vertAlign w:val="superscript"/>
              </w:rPr>
              <w:t>5</w:t>
            </w:r>
          </w:p>
        </w:tc>
      </w:tr>
      <w:tr>
        <w:tc>
          <w:tcPr>
            <w:tcW w:w="3118" w:type="dxa"/>
          </w:tcPr>
          <w:p>
            <w:pPr>
              <w:pStyle w:val="nTable"/>
              <w:spacing w:before="50" w:after="50"/>
              <w:rPr>
                <w:i/>
                <w:sz w:val="19"/>
              </w:rPr>
            </w:pPr>
            <w:r>
              <w:rPr>
                <w:i/>
                <w:sz w:val="19"/>
              </w:rPr>
              <w:t>State Administrative Tribunal Amendment Rules 2007</w:t>
            </w:r>
          </w:p>
        </w:tc>
        <w:tc>
          <w:tcPr>
            <w:tcW w:w="1276" w:type="dxa"/>
          </w:tcPr>
          <w:p>
            <w:pPr>
              <w:pStyle w:val="nTable"/>
              <w:spacing w:before="50" w:after="50"/>
              <w:rPr>
                <w:sz w:val="19"/>
              </w:rPr>
            </w:pPr>
            <w:r>
              <w:rPr>
                <w:sz w:val="19"/>
              </w:rPr>
              <w:t>13 Apr 2007 p. 1682</w:t>
            </w:r>
            <w:r>
              <w:rPr>
                <w:sz w:val="19"/>
              </w:rPr>
              <w:noBreakHyphen/>
              <w:t>5</w:t>
            </w:r>
          </w:p>
        </w:tc>
        <w:tc>
          <w:tcPr>
            <w:tcW w:w="2693" w:type="dxa"/>
          </w:tcPr>
          <w:p>
            <w:pPr>
              <w:pStyle w:val="nTable"/>
              <w:spacing w:before="50" w:after="50"/>
              <w:rPr>
                <w:sz w:val="19"/>
              </w:rPr>
            </w:pPr>
            <w:r>
              <w:rPr>
                <w:sz w:val="19"/>
              </w:rPr>
              <w:t>13 Apr 2007</w:t>
            </w:r>
          </w:p>
        </w:tc>
      </w:tr>
      <w:tr>
        <w:trPr>
          <w:cantSplit/>
        </w:trPr>
        <w:tc>
          <w:tcPr>
            <w:tcW w:w="7087" w:type="dxa"/>
            <w:gridSpan w:val="3"/>
          </w:tcPr>
          <w:p>
            <w:pPr>
              <w:pStyle w:val="nTable"/>
              <w:spacing w:before="50" w:after="50"/>
              <w:rPr>
                <w:sz w:val="19"/>
              </w:rPr>
            </w:pPr>
            <w:r>
              <w:rPr>
                <w:b/>
                <w:bCs/>
                <w:sz w:val="19"/>
              </w:rPr>
              <w:t xml:space="preserve">Reprint 1:  The </w:t>
            </w:r>
            <w:r>
              <w:rPr>
                <w:b/>
                <w:bCs/>
                <w:i/>
                <w:sz w:val="19"/>
              </w:rPr>
              <w:t>State Administrative Tribunal Rules 2004</w:t>
            </w:r>
            <w:r>
              <w:rPr>
                <w:b/>
                <w:bCs/>
                <w:sz w:val="19"/>
              </w:rPr>
              <w:t xml:space="preserve"> as at 13 Jul 2007</w:t>
            </w:r>
            <w:r>
              <w:rPr>
                <w:sz w:val="19"/>
              </w:rPr>
              <w:t xml:space="preserve"> (includes amendments listed above)</w:t>
            </w:r>
          </w:p>
        </w:tc>
      </w:tr>
      <w:tr>
        <w:tc>
          <w:tcPr>
            <w:tcW w:w="3118" w:type="dxa"/>
          </w:tcPr>
          <w:p>
            <w:pPr>
              <w:pStyle w:val="nTable"/>
              <w:spacing w:before="50" w:after="50"/>
              <w:rPr>
                <w:i/>
                <w:sz w:val="19"/>
              </w:rPr>
            </w:pPr>
            <w:r>
              <w:rPr>
                <w:i/>
                <w:sz w:val="19"/>
              </w:rPr>
              <w:t>State Administrative Tribunal Amendment Rules 2008</w:t>
            </w:r>
          </w:p>
        </w:tc>
        <w:tc>
          <w:tcPr>
            <w:tcW w:w="1276" w:type="dxa"/>
          </w:tcPr>
          <w:p>
            <w:pPr>
              <w:pStyle w:val="nTable"/>
              <w:spacing w:before="50" w:after="50"/>
              <w:rPr>
                <w:sz w:val="19"/>
              </w:rPr>
            </w:pPr>
            <w:r>
              <w:rPr>
                <w:sz w:val="19"/>
              </w:rPr>
              <w:t>28 Mar 2008 p. 918-19</w:t>
            </w:r>
          </w:p>
        </w:tc>
        <w:tc>
          <w:tcPr>
            <w:tcW w:w="2693" w:type="dxa"/>
          </w:tcPr>
          <w:p>
            <w:pPr>
              <w:pStyle w:val="nTable"/>
              <w:spacing w:before="50" w:after="50"/>
              <w:rPr>
                <w:sz w:val="19"/>
              </w:rPr>
            </w:pPr>
            <w:r>
              <w:rPr>
                <w:sz w:val="19"/>
              </w:rPr>
              <w:t>r. 1 and 2: 28 Mar 2008 (see r. 2(a));</w:t>
            </w:r>
          </w:p>
          <w:p>
            <w:pPr>
              <w:pStyle w:val="nTable"/>
              <w:spacing w:before="50" w:after="50"/>
              <w:rPr>
                <w:sz w:val="19"/>
              </w:rPr>
            </w:pPr>
            <w:r>
              <w:rPr>
                <w:sz w:val="19"/>
              </w:rPr>
              <w:t>Rules other than r. 1 and 2: 29 Mar 2008 (see r. 2(b))</w:t>
            </w:r>
          </w:p>
        </w:tc>
      </w:tr>
      <w:tr>
        <w:tc>
          <w:tcPr>
            <w:tcW w:w="3118" w:type="dxa"/>
          </w:tcPr>
          <w:p>
            <w:pPr>
              <w:pStyle w:val="nTable"/>
              <w:spacing w:before="50" w:after="50"/>
              <w:rPr>
                <w:i/>
                <w:sz w:val="19"/>
              </w:rPr>
            </w:pPr>
            <w:r>
              <w:rPr>
                <w:i/>
                <w:sz w:val="19"/>
              </w:rPr>
              <w:t>State Administrative Tribunal Amendment Rules (No. 2) 2008</w:t>
            </w:r>
          </w:p>
        </w:tc>
        <w:tc>
          <w:tcPr>
            <w:tcW w:w="1276" w:type="dxa"/>
          </w:tcPr>
          <w:p>
            <w:pPr>
              <w:pStyle w:val="nTable"/>
              <w:spacing w:before="50" w:after="50"/>
              <w:rPr>
                <w:sz w:val="19"/>
              </w:rPr>
            </w:pPr>
            <w:r>
              <w:rPr>
                <w:sz w:val="19"/>
              </w:rPr>
              <w:t>29 Aug 2008 p. 4043-4</w:t>
            </w:r>
          </w:p>
        </w:tc>
        <w:tc>
          <w:tcPr>
            <w:tcW w:w="2693" w:type="dxa"/>
          </w:tcPr>
          <w:p>
            <w:pPr>
              <w:pStyle w:val="nTable"/>
              <w:spacing w:before="50" w:after="50"/>
              <w:rPr>
                <w:sz w:val="19"/>
              </w:rPr>
            </w:pPr>
            <w:r>
              <w:rPr>
                <w:sz w:val="19"/>
              </w:rPr>
              <w:t>r. 1 and 2: 29 Aug 2008 (see r. 2(a));</w:t>
            </w:r>
            <w:r>
              <w:rPr>
                <w:sz w:val="19"/>
              </w:rPr>
              <w:br/>
              <w:t>Rules other than r. 1 and 2: 30 Aug 2008 (see r. 2(b))</w:t>
            </w:r>
          </w:p>
        </w:tc>
      </w:tr>
      <w:tr>
        <w:tc>
          <w:tcPr>
            <w:tcW w:w="3118" w:type="dxa"/>
          </w:tcPr>
          <w:p>
            <w:pPr>
              <w:pStyle w:val="nTable"/>
              <w:spacing w:before="50" w:after="50"/>
              <w:rPr>
                <w:i/>
                <w:sz w:val="19"/>
              </w:rPr>
            </w:pPr>
            <w:r>
              <w:rPr>
                <w:i/>
                <w:sz w:val="19"/>
              </w:rPr>
              <w:t>State Administrative Tribunal Amendment Rules 2010</w:t>
            </w:r>
          </w:p>
        </w:tc>
        <w:tc>
          <w:tcPr>
            <w:tcW w:w="1276" w:type="dxa"/>
          </w:tcPr>
          <w:p>
            <w:pPr>
              <w:pStyle w:val="nTable"/>
              <w:spacing w:before="50" w:after="50"/>
              <w:rPr>
                <w:sz w:val="19"/>
              </w:rPr>
            </w:pPr>
            <w:r>
              <w:rPr>
                <w:sz w:val="19"/>
              </w:rPr>
              <w:t>9 Jul 2010 p. 3240-2</w:t>
            </w:r>
          </w:p>
        </w:tc>
        <w:tc>
          <w:tcPr>
            <w:tcW w:w="2693" w:type="dxa"/>
          </w:tcPr>
          <w:p>
            <w:pPr>
              <w:pStyle w:val="nTable"/>
              <w:spacing w:before="50" w:after="50"/>
              <w:rPr>
                <w:sz w:val="19"/>
              </w:rPr>
            </w:pPr>
            <w:r>
              <w:rPr>
                <w:sz w:val="19"/>
              </w:rPr>
              <w:t>r. 1 and 2: 9 Jul 2010 (see r. 2(a));</w:t>
            </w:r>
            <w:r>
              <w:rPr>
                <w:sz w:val="19"/>
              </w:rPr>
              <w:br/>
              <w:t>Rules other than r. 1 and 2: 10 Jul 2010 (see r. 2(b))</w:t>
            </w:r>
          </w:p>
        </w:tc>
      </w:tr>
      <w:tr>
        <w:tc>
          <w:tcPr>
            <w:tcW w:w="3118" w:type="dxa"/>
            <w:shd w:val="clear" w:color="auto" w:fill="auto"/>
          </w:tcPr>
          <w:p>
            <w:pPr>
              <w:pStyle w:val="nTable"/>
              <w:spacing w:before="50" w:after="50"/>
              <w:rPr>
                <w:i/>
                <w:sz w:val="19"/>
              </w:rPr>
            </w:pPr>
            <w:r>
              <w:rPr>
                <w:i/>
                <w:sz w:val="19"/>
              </w:rPr>
              <w:t>State Administrative Tribunal Amendment Rules 2013</w:t>
            </w:r>
          </w:p>
        </w:tc>
        <w:tc>
          <w:tcPr>
            <w:tcW w:w="1276" w:type="dxa"/>
            <w:shd w:val="clear" w:color="auto" w:fill="auto"/>
          </w:tcPr>
          <w:p>
            <w:pPr>
              <w:pStyle w:val="nTable"/>
              <w:spacing w:before="50" w:after="50"/>
              <w:rPr>
                <w:sz w:val="19"/>
              </w:rPr>
            </w:pPr>
            <w:r>
              <w:rPr>
                <w:sz w:val="19"/>
              </w:rPr>
              <w:t>14 May 2013 p. 1969-70</w:t>
            </w:r>
          </w:p>
        </w:tc>
        <w:tc>
          <w:tcPr>
            <w:tcW w:w="2693" w:type="dxa"/>
            <w:shd w:val="clear" w:color="auto" w:fill="auto"/>
          </w:tcPr>
          <w:p>
            <w:pPr>
              <w:pStyle w:val="nTable"/>
              <w:spacing w:before="50" w:after="50"/>
              <w:rPr>
                <w:sz w:val="19"/>
              </w:rPr>
            </w:pPr>
            <w:r>
              <w:rPr>
                <w:sz w:val="19"/>
              </w:rPr>
              <w:t>r. 1 and 2: 14 May 2013 (see r. 2(a));</w:t>
            </w:r>
            <w:r>
              <w:rPr>
                <w:sz w:val="19"/>
              </w:rPr>
              <w:br/>
              <w:t>Rules other than r. 1 and 2: 15 May 2013 (see r. 2(b))</w:t>
            </w:r>
          </w:p>
        </w:tc>
      </w:tr>
      <w:tr>
        <w:tc>
          <w:tcPr>
            <w:tcW w:w="7087" w:type="dxa"/>
            <w:gridSpan w:val="3"/>
            <w:shd w:val="clear" w:color="auto" w:fill="auto"/>
          </w:tcPr>
          <w:p>
            <w:pPr>
              <w:pStyle w:val="nTable"/>
              <w:spacing w:before="50" w:after="50"/>
              <w:rPr>
                <w:sz w:val="19"/>
              </w:rPr>
            </w:pPr>
            <w:r>
              <w:rPr>
                <w:b/>
                <w:bCs/>
                <w:sz w:val="19"/>
              </w:rPr>
              <w:t xml:space="preserve">Reprint 2:  The </w:t>
            </w:r>
            <w:r>
              <w:rPr>
                <w:b/>
                <w:bCs/>
                <w:i/>
                <w:sz w:val="19"/>
              </w:rPr>
              <w:t>State Administrative Tribunal Rules 2004</w:t>
            </w:r>
            <w:r>
              <w:rPr>
                <w:b/>
                <w:bCs/>
                <w:sz w:val="19"/>
              </w:rPr>
              <w:t xml:space="preserve"> as at 19 Jul 2013</w:t>
            </w:r>
            <w:r>
              <w:rPr>
                <w:sz w:val="19"/>
              </w:rPr>
              <w:t xml:space="preserve"> (includes amendments listed above)</w:t>
            </w:r>
          </w:p>
        </w:tc>
      </w:tr>
      <w:tr>
        <w:trPr>
          <w:ins w:id="174" w:author="Master Repository Process" w:date="2021-09-18T01:25:00Z"/>
        </w:trPr>
        <w:tc>
          <w:tcPr>
            <w:tcW w:w="3118" w:type="dxa"/>
            <w:tcBorders>
              <w:bottom w:val="single" w:sz="4" w:space="0" w:color="auto"/>
            </w:tcBorders>
            <w:shd w:val="clear" w:color="auto" w:fill="auto"/>
          </w:tcPr>
          <w:p>
            <w:pPr>
              <w:pStyle w:val="nTable"/>
              <w:spacing w:before="50" w:after="50"/>
              <w:rPr>
                <w:ins w:id="175" w:author="Master Repository Process" w:date="2021-09-18T01:25:00Z"/>
                <w:i/>
                <w:sz w:val="19"/>
              </w:rPr>
            </w:pPr>
            <w:ins w:id="176" w:author="Master Repository Process" w:date="2021-09-18T01:25:00Z">
              <w:r>
                <w:rPr>
                  <w:i/>
                  <w:sz w:val="19"/>
                </w:rPr>
                <w:t>State Administrative Tribunal Amendment Rules (No. 2) 2013</w:t>
              </w:r>
            </w:ins>
          </w:p>
        </w:tc>
        <w:tc>
          <w:tcPr>
            <w:tcW w:w="1276" w:type="dxa"/>
            <w:tcBorders>
              <w:bottom w:val="single" w:sz="4" w:space="0" w:color="auto"/>
            </w:tcBorders>
            <w:shd w:val="clear" w:color="auto" w:fill="auto"/>
          </w:tcPr>
          <w:p>
            <w:pPr>
              <w:pStyle w:val="nTable"/>
              <w:spacing w:before="50" w:after="50"/>
              <w:rPr>
                <w:ins w:id="177" w:author="Master Repository Process" w:date="2021-09-18T01:25:00Z"/>
                <w:sz w:val="19"/>
              </w:rPr>
            </w:pPr>
            <w:ins w:id="178" w:author="Master Repository Process" w:date="2021-09-18T01:25:00Z">
              <w:r>
                <w:rPr>
                  <w:sz w:val="19"/>
                </w:rPr>
                <w:t>28 Jan 2014 p. 181-2</w:t>
              </w:r>
            </w:ins>
          </w:p>
        </w:tc>
        <w:tc>
          <w:tcPr>
            <w:tcW w:w="2693" w:type="dxa"/>
            <w:tcBorders>
              <w:bottom w:val="single" w:sz="4" w:space="0" w:color="auto"/>
            </w:tcBorders>
            <w:shd w:val="clear" w:color="auto" w:fill="auto"/>
          </w:tcPr>
          <w:p>
            <w:pPr>
              <w:pStyle w:val="nTable"/>
              <w:spacing w:before="50" w:after="50"/>
              <w:rPr>
                <w:ins w:id="179" w:author="Master Repository Process" w:date="2021-09-18T01:25:00Z"/>
                <w:sz w:val="19"/>
              </w:rPr>
            </w:pPr>
            <w:ins w:id="180" w:author="Master Repository Process" w:date="2021-09-18T01:25:00Z">
              <w:r>
                <w:rPr>
                  <w:sz w:val="19"/>
                </w:rPr>
                <w:t>r. 1 and 2: 28 Jan 2014 (see r. 2(a));</w:t>
              </w:r>
              <w:r>
                <w:rPr>
                  <w:sz w:val="19"/>
                </w:rPr>
                <w:br/>
                <w:t>Rules other than r. 1 and 2: 29 Jan 2014 (see r. 2(b))</w:t>
              </w:r>
            </w:ins>
          </w:p>
        </w:tc>
      </w:tr>
    </w:tbl>
    <w:p>
      <w:pPr>
        <w:pStyle w:val="nSubsection"/>
        <w:spacing w:before="120"/>
      </w:pPr>
      <w:r>
        <w:rPr>
          <w:vertAlign w:val="superscript"/>
        </w:rPr>
        <w:t>2</w:t>
      </w:r>
      <w:r>
        <w:tab/>
        <w:t xml:space="preserve">Schedule deleted by the </w:t>
      </w:r>
      <w:r>
        <w:rPr>
          <w:i/>
        </w:rPr>
        <w:t>State Administrative Tribunal Amendment Regulations (No. 2) 2007</w:t>
      </w:r>
      <w:r>
        <w:t xml:space="preserve"> r. 8 (see </w:t>
      </w:r>
      <w:r>
        <w:rPr>
          <w:i/>
        </w:rPr>
        <w:t>Gazette</w:t>
      </w:r>
      <w:r>
        <w:t xml:space="preserve"> 26 June 2007 p. 2979-96).</w:t>
      </w:r>
    </w:p>
    <w:p>
      <w:pPr>
        <w:pStyle w:val="nSubsection"/>
        <w:spacing w:before="120"/>
      </w:pPr>
      <w:r>
        <w:rPr>
          <w:vertAlign w:val="superscript"/>
        </w:rPr>
        <w:t>3</w:t>
      </w:r>
      <w:r>
        <w:tab/>
        <w:t xml:space="preserve">Repealed by the </w:t>
      </w:r>
      <w:r>
        <w:rPr>
          <w:i/>
          <w:snapToGrid w:val="0"/>
        </w:rPr>
        <w:t>Medical Practitioners Act 2008</w:t>
      </w:r>
      <w:r>
        <w:rPr>
          <w:snapToGrid w:val="0"/>
        </w:rPr>
        <w:t xml:space="preserve">, which was repealed by the </w:t>
      </w:r>
      <w:r>
        <w:rPr>
          <w:i/>
          <w:color w:val="000000"/>
        </w:rPr>
        <w:t>Health Practitioner Regulation National Law (WA) Act 2010</w:t>
      </w:r>
      <w:r>
        <w:t>.</w:t>
      </w:r>
    </w:p>
    <w:p>
      <w:pPr>
        <w:pStyle w:val="nSubsection"/>
        <w:spacing w:before="120"/>
      </w:pPr>
      <w:r>
        <w:rPr>
          <w:vertAlign w:val="superscript"/>
        </w:rPr>
        <w:t>4</w:t>
      </w:r>
      <w:r>
        <w:tab/>
        <w:t xml:space="preserve">Section 67(3b) deleted by the </w:t>
      </w:r>
      <w:r>
        <w:rPr>
          <w:i/>
        </w:rPr>
        <w:t>Security and Related Activities (Control) Amendment Act 2008</w:t>
      </w:r>
      <w:r>
        <w:t xml:space="preserve"> s. 46(4).</w:t>
      </w:r>
    </w:p>
    <w:p>
      <w:pPr>
        <w:pStyle w:val="nSubsection"/>
        <w:spacing w:before="120"/>
      </w:pPr>
      <w:r>
        <w:rPr>
          <w:vertAlign w:val="superscript"/>
        </w:rPr>
        <w:t>5</w:t>
      </w:r>
      <w:r>
        <w:tab/>
        <w:t>The commencement date of 9 Apr 2006 that was specified in r. 2 was before the date of gazettal.</w:t>
      </w:r>
    </w:p>
    <w:p>
      <w:pPr>
        <w:sectPr>
          <w:headerReference w:type="even" r:id="rId24"/>
          <w:headerReference w:type="defaul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9AE24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63BA3CA6"/>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5"/>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24754"/>
    <w:docVar w:name="WAFER_20140114100219" w:val="RemoveTocBookmarks,RemoveUnusedBookmarks,RemoveLanguageTags,UsedStyles,ResetPageSize,UpdateArrangement"/>
    <w:docVar w:name="WAFER_20140114100219_GUID" w:val="619d943c-19dd-434e-bad5-2d45f7d0a995"/>
    <w:docVar w:name="WAFER_20140114100225" w:val="RemoveTocBookmarks,RunningHeaders"/>
    <w:docVar w:name="WAFER_20140114100225_GUID" w:val="0cd495de-4ab0-410a-a49c-9c004bf20664"/>
    <w:docVar w:name="WAFER_20140130143919" w:val="RemoveTocBookmarks,RemoveUnusedBookmarks,RemoveLanguageTags,UsedStyles,ResetPageSize,UpdateArrangement"/>
    <w:docVar w:name="WAFER_20140130143919_GUID" w:val="98dd8d0d-3be2-48ad-825a-31177c59ca23"/>
    <w:docVar w:name="WAFER_20140130154848" w:val="RemoveTocBookmarks,RunningHeaders"/>
    <w:docVar w:name="WAFER_20140130154848_GUID" w:val="3ede21e2-afc0-4bab-bec0-5f6554f8fdff"/>
    <w:docVar w:name="WAFER_20151210124754" w:val="RemoveTrackChanges"/>
    <w:docVar w:name="WAFER_20151210124754_GUID" w:val="54804ee8-c206-4105-a1d6-19278b7179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F55ED2-2637-4E78-A75A-FF47C499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10053</Words>
  <Characters>46447</Characters>
  <Application>Microsoft Office Word</Application>
  <DocSecurity>0</DocSecurity>
  <Lines>1222</Lines>
  <Paragraphs>656</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55844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02-a0-02 - 02-b0-01</dc:title>
  <dc:subject/>
  <dc:creator/>
  <cp:keywords/>
  <dc:description/>
  <cp:lastModifiedBy>Master Repository Process</cp:lastModifiedBy>
  <cp:revision>2</cp:revision>
  <cp:lastPrinted>2013-08-01T06:51:00Z</cp:lastPrinted>
  <dcterms:created xsi:type="dcterms:W3CDTF">2021-09-17T17:25:00Z</dcterms:created>
  <dcterms:modified xsi:type="dcterms:W3CDTF">2021-09-17T17:25:00Z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CommencementDate">
    <vt:lpwstr>20140129</vt:lpwstr>
  </property>
  <property fmtid="{D5CDD505-2E9C-101B-9397-08002B2CF9AE}" pid="4" name="OwlsUID">
    <vt:i4>34305</vt:i4>
  </property>
  <property fmtid="{D5CDD505-2E9C-101B-9397-08002B2CF9AE}" pid="5" name="ReprintNo">
    <vt:lpwstr>2</vt:lpwstr>
  </property>
  <property fmtid="{D5CDD505-2E9C-101B-9397-08002B2CF9AE}" pid="6" name="ReprintedAsAt">
    <vt:filetime>2013-07-18T16:00:00Z</vt:filetime>
  </property>
  <property fmtid="{D5CDD505-2E9C-101B-9397-08002B2CF9AE}" pid="7" name="DocumentType">
    <vt:lpwstr>Reg</vt:lpwstr>
  </property>
  <property fmtid="{D5CDD505-2E9C-101B-9397-08002B2CF9AE}" pid="8" name="FromSuffix">
    <vt:lpwstr>02-a0-02</vt:lpwstr>
  </property>
  <property fmtid="{D5CDD505-2E9C-101B-9397-08002B2CF9AE}" pid="9" name="FromAsAtDate">
    <vt:lpwstr>19 Jul 2013</vt:lpwstr>
  </property>
  <property fmtid="{D5CDD505-2E9C-101B-9397-08002B2CF9AE}" pid="10" name="ToSuffix">
    <vt:lpwstr>02-b0-01</vt:lpwstr>
  </property>
  <property fmtid="{D5CDD505-2E9C-101B-9397-08002B2CF9AE}" pid="11" name="ToAsAtDate">
    <vt:lpwstr>29 Jan 2014</vt:lpwstr>
  </property>
</Properties>
</file>