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2014</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31 May 2014</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A</w:t>
      </w:r>
      <w:bookmarkStart w:id="0" w:name="_GoBack"/>
      <w:bookmarkEnd w:id="0"/>
      <w:r>
        <w:rPr>
          <w:snapToGrid w:val="0"/>
        </w:rPr>
        <w:t xml:space="preserve">n Act about port authorities, their functions, the areas that they are to control and manage, the way in which they are to operate, and related matters. </w:t>
      </w:r>
    </w:p>
    <w:p>
      <w:pPr>
        <w:pStyle w:val="Heading2"/>
      </w:pPr>
      <w:bookmarkStart w:id="1" w:name="_Toc389811505"/>
      <w:bookmarkStart w:id="2" w:name="_Toc388519180"/>
      <w:bookmarkStart w:id="3" w:name="_Toc38886279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pPr>
      <w:bookmarkStart w:id="4" w:name="_Toc389811506"/>
      <w:bookmarkStart w:id="5" w:name="_Toc388862796"/>
      <w:r>
        <w:rPr>
          <w:rStyle w:val="CharSectno"/>
        </w:rPr>
        <w:t>1</w:t>
      </w:r>
      <w:r>
        <w:rPr>
          <w:snapToGrid w:val="0"/>
        </w:rPr>
        <w:t>.</w:t>
      </w:r>
      <w:r>
        <w:rPr>
          <w:snapToGrid w:val="0"/>
        </w:rPr>
        <w:tab/>
        <w:t>Short title</w:t>
      </w:r>
      <w:bookmarkEnd w:id="4"/>
      <w:bookmarkEnd w:id="5"/>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6" w:name="_Toc389811507"/>
      <w:bookmarkStart w:id="7" w:name="_Toc388862797"/>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8" w:name="_Toc389811508"/>
      <w:bookmarkStart w:id="9" w:name="_Toc388862798"/>
      <w:r>
        <w:rPr>
          <w:rStyle w:val="CharSectno"/>
        </w:rPr>
        <w:t>3</w:t>
      </w:r>
      <w:r>
        <w:rPr>
          <w:snapToGrid w:val="0"/>
        </w:rPr>
        <w:t>.</w:t>
      </w:r>
      <w:r>
        <w:rPr>
          <w:snapToGrid w:val="0"/>
        </w:rPr>
        <w:tab/>
        <w:t>Terms used</w:t>
      </w:r>
      <w:bookmarkEnd w:id="8"/>
      <w:bookmarkEnd w:id="9"/>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 or</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lastRenderedPageBreak/>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 and</w:t>
      </w:r>
    </w:p>
    <w:p>
      <w:pPr>
        <w:pStyle w:val="Defpara"/>
      </w:pPr>
      <w:r>
        <w:tab/>
        <w:t>(b)</w:t>
      </w:r>
      <w:r>
        <w:tab/>
        <w:t>minerals and mineral products; and</w:t>
      </w:r>
    </w:p>
    <w:p>
      <w:pPr>
        <w:pStyle w:val="Defpara"/>
      </w:pPr>
      <w:r>
        <w:tab/>
        <w:t>(c)</w:t>
      </w:r>
      <w:r>
        <w:tab/>
        <w:t>petroleum and hydrocarbon products; and</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 or</w:t>
      </w:r>
    </w:p>
    <w:p>
      <w:pPr>
        <w:pStyle w:val="Defpara"/>
      </w:pPr>
      <w:r>
        <w:tab/>
        <w:t>(b)</w:t>
      </w:r>
      <w:r>
        <w:tab/>
        <w:t>a breakwater, groyne or seawall; or</w:t>
      </w:r>
    </w:p>
    <w:p>
      <w:pPr>
        <w:pStyle w:val="Defpara"/>
      </w:pPr>
      <w:r>
        <w:tab/>
        <w:t>(c)</w:t>
      </w:r>
      <w:r>
        <w:tab/>
        <w:t>a dredged channel; or</w:t>
      </w:r>
    </w:p>
    <w:p>
      <w:pPr>
        <w:pStyle w:val="Defpara"/>
      </w:pPr>
      <w:r>
        <w:tab/>
        <w:t>(d)</w:t>
      </w:r>
      <w:r>
        <w:tab/>
        <w:t>a boat pen or vessel mooring; or</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ins w:id="10" w:author="svcMRProcess" w:date="2018-09-07T05:21:00Z">
        <w:r>
          <w:t xml:space="preserve"> or who becomes a member of staff by operation of this Act</w:t>
        </w:r>
      </w:ins>
      <w:r>
        <w:t>;</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means a port named in Schedule 1 and the</w:t>
      </w:r>
      <w:r>
        <w:rPr>
          <w:i/>
        </w:rPr>
        <w:t xml:space="preserve"> </w:t>
      </w:r>
      <w:r>
        <w:rPr>
          <w:rStyle w:val="CharDefText"/>
        </w:rPr>
        <w:t>port</w:t>
      </w:r>
      <w:r>
        <w:rPr>
          <w:b/>
        </w:rPr>
        <w:t xml:space="preserve"> </w:t>
      </w:r>
      <w:r>
        <w:t xml:space="preserve">or </w:t>
      </w:r>
      <w:r>
        <w:rPr>
          <w:b/>
          <w:i/>
        </w:rPr>
        <w:t>its</w:t>
      </w:r>
      <w:r>
        <w:t xml:space="preserve"> </w:t>
      </w:r>
      <w:r>
        <w:rPr>
          <w:rStyle w:val="CharDefText"/>
        </w:rPr>
        <w:t>port</w:t>
      </w:r>
      <w:r>
        <w:t>, in relation to a port authority, means —</w:t>
      </w:r>
    </w:p>
    <w:p>
      <w:pPr>
        <w:pStyle w:val="Defpara"/>
      </w:pPr>
      <w:r>
        <w:tab/>
        <w:t>(a)</w:t>
      </w:r>
      <w:r>
        <w:tab/>
        <w:t>the port that the port authority controls and manages; or</w:t>
      </w:r>
    </w:p>
    <w:p>
      <w:pPr>
        <w:pStyle w:val="Defpara"/>
      </w:pPr>
      <w:r>
        <w:tab/>
        <w:t>(b)</w:t>
      </w:r>
      <w:r>
        <w:tab/>
        <w:t>if the port authority controls and manages more than one port — each of those ports;</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 and</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rPr>
          <w:ins w:id="11" w:author="svcMRProcess" w:date="2018-09-07T05:21:00Z"/>
        </w:rPr>
      </w:pPr>
      <w:ins w:id="12" w:author="svcMRProcess" w:date="2018-09-07T05:21:00Z">
        <w:r>
          <w:tab/>
        </w:r>
        <w:r>
          <w:rPr>
            <w:rStyle w:val="CharDefText"/>
          </w:rPr>
          <w:t>port operations</w:t>
        </w:r>
        <w:r>
          <w:t xml:space="preserve"> means — </w:t>
        </w:r>
      </w:ins>
    </w:p>
    <w:p>
      <w:pPr>
        <w:pStyle w:val="Defpara"/>
        <w:rPr>
          <w:ins w:id="13" w:author="svcMRProcess" w:date="2018-09-07T05:21:00Z"/>
        </w:rPr>
      </w:pPr>
      <w:ins w:id="14" w:author="svcMRProcess" w:date="2018-09-07T05:21:00Z">
        <w:r>
          <w:tab/>
          <w:t>(a)</w:t>
        </w:r>
        <w:r>
          <w:tab/>
          <w:t>the carrying out of port activities or port works; or</w:t>
        </w:r>
      </w:ins>
    </w:p>
    <w:p>
      <w:pPr>
        <w:pStyle w:val="Defpara"/>
        <w:rPr>
          <w:ins w:id="15" w:author="svcMRProcess" w:date="2018-09-07T05:21:00Z"/>
        </w:rPr>
      </w:pPr>
      <w:ins w:id="16" w:author="svcMRProcess" w:date="2018-09-07T05:21:00Z">
        <w:r>
          <w:tab/>
          <w:t>(b)</w:t>
        </w:r>
        <w:r>
          <w:tab/>
          <w:t>the provision of port services; or</w:t>
        </w:r>
      </w:ins>
    </w:p>
    <w:p>
      <w:pPr>
        <w:pStyle w:val="Defpara"/>
        <w:rPr>
          <w:ins w:id="17" w:author="svcMRProcess" w:date="2018-09-07T05:21:00Z"/>
        </w:rPr>
      </w:pPr>
      <w:ins w:id="18" w:author="svcMRProcess" w:date="2018-09-07T05:21:00Z">
        <w:r>
          <w:tab/>
          <w:t>(c)</w:t>
        </w:r>
        <w:r>
          <w:tab/>
          <w:t>the provision, management or operation of port facilities;</w:t>
        </w:r>
      </w:ins>
    </w:p>
    <w:p>
      <w:pPr>
        <w:pStyle w:val="Defstart"/>
        <w:rPr>
          <w:ins w:id="19" w:author="svcMRProcess" w:date="2018-09-07T05:21:00Z"/>
        </w:rPr>
      </w:pPr>
      <w:ins w:id="20" w:author="svcMRProcess" w:date="2018-09-07T05:21:00Z">
        <w:r>
          <w:tab/>
        </w:r>
        <w:r>
          <w:rPr>
            <w:rStyle w:val="CharDefText"/>
          </w:rPr>
          <w:t>port property</w:t>
        </w:r>
        <w:r>
          <w:t xml:space="preserve">, in relation to a port authority, means — </w:t>
        </w:r>
      </w:ins>
    </w:p>
    <w:p>
      <w:pPr>
        <w:pStyle w:val="Defpara"/>
        <w:rPr>
          <w:ins w:id="21" w:author="svcMRProcess" w:date="2018-09-07T05:21:00Z"/>
        </w:rPr>
      </w:pPr>
      <w:ins w:id="22" w:author="svcMRProcess" w:date="2018-09-07T05:21:00Z">
        <w:r>
          <w:tab/>
          <w:t>(a)</w:t>
        </w:r>
        <w:r>
          <w:tab/>
          <w:t>port facilities; or</w:t>
        </w:r>
      </w:ins>
    </w:p>
    <w:p>
      <w:pPr>
        <w:pStyle w:val="Defpara"/>
        <w:rPr>
          <w:ins w:id="23" w:author="svcMRProcess" w:date="2018-09-07T05:21:00Z"/>
        </w:rPr>
      </w:pPr>
      <w:ins w:id="24" w:author="svcMRProcess" w:date="2018-09-07T05:21:00Z">
        <w:r>
          <w:tab/>
          <w:t>(b)</w:t>
        </w:r>
        <w:r>
          <w:tab/>
          <w:t>vested property; or</w:t>
        </w:r>
      </w:ins>
    </w:p>
    <w:p>
      <w:pPr>
        <w:pStyle w:val="Defpara"/>
        <w:rPr>
          <w:ins w:id="25" w:author="svcMRProcess" w:date="2018-09-07T05:21:00Z"/>
        </w:rPr>
      </w:pPr>
      <w:ins w:id="26" w:author="svcMRProcess" w:date="2018-09-07T05:21:00Z">
        <w:r>
          <w:tab/>
          <w:t>(c)</w:t>
        </w:r>
        <w:r>
          <w:tab/>
          <w:t>other property held by the port authority;</w:t>
        </w:r>
      </w:ins>
    </w:p>
    <w:p>
      <w:pPr>
        <w:pStyle w:val="Defstart"/>
        <w:rPr>
          <w:ins w:id="27" w:author="svcMRProcess" w:date="2018-09-07T05:21:00Z"/>
        </w:rPr>
      </w:pPr>
      <w:ins w:id="28" w:author="svcMRProcess" w:date="2018-09-07T05:21:00Z">
        <w:r>
          <w:tab/>
        </w:r>
        <w:r>
          <w:rPr>
            <w:rStyle w:val="CharDefText"/>
          </w:rPr>
          <w:t>port security</w:t>
        </w:r>
        <w:r>
          <w:t xml:space="preserve"> means all matters relating to — </w:t>
        </w:r>
      </w:ins>
    </w:p>
    <w:p>
      <w:pPr>
        <w:pStyle w:val="Defpara"/>
        <w:rPr>
          <w:ins w:id="29" w:author="svcMRProcess" w:date="2018-09-07T05:21:00Z"/>
        </w:rPr>
      </w:pPr>
      <w:ins w:id="30" w:author="svcMRProcess" w:date="2018-09-07T05:21:00Z">
        <w:r>
          <w:tab/>
          <w:t>(a)</w:t>
        </w:r>
        <w:r>
          <w:tab/>
          <w:t xml:space="preserve">the preservation and protection of — </w:t>
        </w:r>
      </w:ins>
    </w:p>
    <w:p>
      <w:pPr>
        <w:pStyle w:val="Defsubpara"/>
        <w:rPr>
          <w:ins w:id="31" w:author="svcMRProcess" w:date="2018-09-07T05:21:00Z"/>
        </w:rPr>
      </w:pPr>
      <w:ins w:id="32" w:author="svcMRProcess" w:date="2018-09-07T05:21:00Z">
        <w:r>
          <w:tab/>
          <w:t>(i)</w:t>
        </w:r>
        <w:r>
          <w:tab/>
          <w:t>port property; or</w:t>
        </w:r>
      </w:ins>
    </w:p>
    <w:p>
      <w:pPr>
        <w:pStyle w:val="Defsubpara"/>
        <w:rPr>
          <w:ins w:id="33" w:author="svcMRProcess" w:date="2018-09-07T05:21:00Z"/>
        </w:rPr>
      </w:pPr>
      <w:ins w:id="34" w:author="svcMRProcess" w:date="2018-09-07T05:21:00Z">
        <w:r>
          <w:tab/>
          <w:t>(ii)</w:t>
        </w:r>
        <w:r>
          <w:tab/>
          <w:t>any other vessel, vehicle or other property within the port,</w:t>
        </w:r>
      </w:ins>
    </w:p>
    <w:p>
      <w:pPr>
        <w:pStyle w:val="Defpara"/>
        <w:rPr>
          <w:ins w:id="35" w:author="svcMRProcess" w:date="2018-09-07T05:21:00Z"/>
        </w:rPr>
      </w:pPr>
      <w:ins w:id="36" w:author="svcMRProcess" w:date="2018-09-07T05:21:00Z">
        <w:r>
          <w:tab/>
        </w:r>
        <w:r>
          <w:tab/>
          <w:t>from damage, destruction or unlawful activity; and</w:t>
        </w:r>
      </w:ins>
    </w:p>
    <w:p>
      <w:pPr>
        <w:pStyle w:val="Defpara"/>
        <w:rPr>
          <w:ins w:id="37" w:author="svcMRProcess" w:date="2018-09-07T05:21:00Z"/>
        </w:rPr>
      </w:pPr>
      <w:ins w:id="38" w:author="svcMRProcess" w:date="2018-09-07T05:21:00Z">
        <w:r>
          <w:tab/>
          <w:t>(b)</w:t>
        </w:r>
        <w:r>
          <w:tab/>
          <w:t>the protection of people within the port from injury or unlawful activity;</w:t>
        </w:r>
      </w:ins>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keepNext/>
        <w:rPr>
          <w:ins w:id="39" w:author="svcMRProcess" w:date="2018-09-07T05:21:00Z"/>
        </w:rPr>
      </w:pPr>
      <w:ins w:id="40" w:author="svcMRProcess" w:date="2018-09-07T05:21:00Z">
        <w:r>
          <w:tab/>
        </w:r>
        <w:r>
          <w:rPr>
            <w:rStyle w:val="CharDefText"/>
          </w:rPr>
          <w:t>potential supplier</w:t>
        </w:r>
        <w:r>
          <w:t xml:space="preserve"> means — </w:t>
        </w:r>
      </w:ins>
    </w:p>
    <w:p>
      <w:pPr>
        <w:pStyle w:val="Defpara"/>
        <w:rPr>
          <w:ins w:id="41" w:author="svcMRProcess" w:date="2018-09-07T05:21:00Z"/>
        </w:rPr>
      </w:pPr>
      <w:ins w:id="42" w:author="svcMRProcess" w:date="2018-09-07T05:21:00Z">
        <w:r>
          <w:tab/>
          <w:t>(a)</w:t>
        </w:r>
        <w:r>
          <w:tab/>
          <w:t>a person who might become a supplier of port services; or</w:t>
        </w:r>
      </w:ins>
    </w:p>
    <w:p>
      <w:pPr>
        <w:pStyle w:val="Defpara"/>
        <w:rPr>
          <w:ins w:id="43" w:author="svcMRProcess" w:date="2018-09-07T05:21:00Z"/>
        </w:rPr>
      </w:pPr>
      <w:ins w:id="44" w:author="svcMRProcess" w:date="2018-09-07T05:21:00Z">
        <w:r>
          <w:tab/>
          <w:t>(b)</w:t>
        </w:r>
        <w:r>
          <w:tab/>
          <w:t>a person who might become a supplier of port services and, for that purpose, provide related port facilities;</w:t>
        </w:r>
      </w:ins>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 or</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 No. 39 of 2010 s. 81(2); No. 9 of 2014 s. 4(</w:t>
      </w:r>
      <w:ins w:id="45" w:author="svcMRProcess" w:date="2018-09-07T05:21:00Z">
        <w:r>
          <w:t>1)</w:t>
        </w:r>
        <w:r>
          <w:noBreakHyphen/>
          <w:t>(</w:t>
        </w:r>
      </w:ins>
      <w:r>
        <w:t>3).]</w:t>
      </w:r>
    </w:p>
    <w:p>
      <w:pPr>
        <w:pStyle w:val="Heading2"/>
      </w:pPr>
      <w:bookmarkStart w:id="46" w:name="_Toc389811509"/>
      <w:bookmarkStart w:id="47" w:name="_Toc388519184"/>
      <w:bookmarkStart w:id="48" w:name="_Toc388862799"/>
      <w:r>
        <w:rPr>
          <w:rStyle w:val="CharPartNo"/>
        </w:rPr>
        <w:t>Part 2</w:t>
      </w:r>
      <w:r>
        <w:t xml:space="preserve"> — </w:t>
      </w:r>
      <w:r>
        <w:rPr>
          <w:rStyle w:val="CharPartText"/>
        </w:rPr>
        <w:t>Port authorities: establishment and administration</w:t>
      </w:r>
      <w:bookmarkEnd w:id="46"/>
      <w:bookmarkEnd w:id="47"/>
      <w:bookmarkEnd w:id="48"/>
      <w:r>
        <w:rPr>
          <w:rStyle w:val="CharPartText"/>
        </w:rPr>
        <w:t xml:space="preserve"> </w:t>
      </w:r>
    </w:p>
    <w:p>
      <w:pPr>
        <w:pStyle w:val="Heading3"/>
      </w:pPr>
      <w:bookmarkStart w:id="49" w:name="_Toc389811510"/>
      <w:bookmarkStart w:id="50" w:name="_Toc388519185"/>
      <w:bookmarkStart w:id="51" w:name="_Toc388862800"/>
      <w:r>
        <w:rPr>
          <w:rStyle w:val="CharDivNo"/>
        </w:rPr>
        <w:t>Division 1</w:t>
      </w:r>
      <w:r>
        <w:t xml:space="preserve"> — </w:t>
      </w:r>
      <w:r>
        <w:rPr>
          <w:rStyle w:val="CharDivText"/>
        </w:rPr>
        <w:t>Establishment of port authorities</w:t>
      </w:r>
      <w:bookmarkEnd w:id="49"/>
      <w:bookmarkEnd w:id="50"/>
      <w:bookmarkEnd w:id="51"/>
      <w:r>
        <w:rPr>
          <w:rStyle w:val="CharDivText"/>
        </w:rPr>
        <w:t xml:space="preserve"> </w:t>
      </w:r>
    </w:p>
    <w:p>
      <w:pPr>
        <w:pStyle w:val="Heading5"/>
        <w:rPr>
          <w:snapToGrid w:val="0"/>
        </w:rPr>
      </w:pPr>
      <w:bookmarkStart w:id="52" w:name="_Toc389811511"/>
      <w:bookmarkStart w:id="53" w:name="_Toc388862801"/>
      <w:r>
        <w:rPr>
          <w:rStyle w:val="CharSectno"/>
        </w:rPr>
        <w:t>4</w:t>
      </w:r>
      <w:r>
        <w:rPr>
          <w:snapToGrid w:val="0"/>
        </w:rPr>
        <w:t>.</w:t>
      </w:r>
      <w:r>
        <w:rPr>
          <w:snapToGrid w:val="0"/>
        </w:rPr>
        <w:tab/>
        <w:t>Port authorities, establishment, nature and trading names of</w:t>
      </w:r>
      <w:bookmarkEnd w:id="52"/>
      <w:bookmarkEnd w:id="53"/>
    </w:p>
    <w:p>
      <w:pPr>
        <w:pStyle w:val="Subsection"/>
      </w:pPr>
      <w:r>
        <w:tab/>
        <w:t>(1)</w:t>
      </w:r>
      <w:r>
        <w:tab/>
        <w:t>There are to be the port authorities named in column 2 of Schedule 1.</w:t>
      </w:r>
    </w:p>
    <w:p>
      <w:pPr>
        <w:pStyle w:val="Subsection"/>
      </w:pPr>
      <w:r>
        <w:tab/>
        <w:t>(2A)</w:t>
      </w:r>
      <w:r>
        <w:tab/>
        <w:t>A port authority named in column 2 of an item in Schedule 1 is to control and manage any port named in column 3 of that item.</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Footnotesection"/>
      </w:pPr>
      <w:r>
        <w:tab/>
        <w:t>[Section 4 amended by No. 9 of 2014 s. 5(1).]</w:t>
      </w:r>
    </w:p>
    <w:p>
      <w:pPr>
        <w:pStyle w:val="Heading5"/>
        <w:rPr>
          <w:snapToGrid w:val="0"/>
        </w:rPr>
      </w:pPr>
      <w:bookmarkStart w:id="54" w:name="_Toc388862802"/>
      <w:bookmarkStart w:id="55" w:name="_Toc389811512"/>
      <w:r>
        <w:rPr>
          <w:rStyle w:val="CharSectno"/>
        </w:rPr>
        <w:t>5</w:t>
      </w:r>
      <w:r>
        <w:rPr>
          <w:snapToGrid w:val="0"/>
        </w:rPr>
        <w:t>.</w:t>
      </w:r>
      <w:r>
        <w:rPr>
          <w:snapToGrid w:val="0"/>
        </w:rPr>
        <w:tab/>
        <w:t xml:space="preserve">Port authorities not </w:t>
      </w:r>
      <w:ins w:id="56" w:author="svcMRProcess" w:date="2018-09-07T05:21:00Z">
        <w:r>
          <w:rPr>
            <w:snapToGrid w:val="0"/>
          </w:rPr>
          <w:t xml:space="preserve">to be regarded as </w:t>
        </w:r>
      </w:ins>
      <w:r>
        <w:rPr>
          <w:snapToGrid w:val="0"/>
        </w:rPr>
        <w:t>agents of Crown</w:t>
      </w:r>
      <w:bookmarkEnd w:id="54"/>
      <w:r>
        <w:rPr>
          <w:snapToGrid w:val="0"/>
        </w:rPr>
        <w:t xml:space="preserve"> </w:t>
      </w:r>
      <w:ins w:id="57" w:author="svcMRProcess" w:date="2018-09-07T05:21:00Z">
        <w:r>
          <w:rPr>
            <w:snapToGrid w:val="0"/>
          </w:rPr>
          <w:t>for purposes of State laws</w:t>
        </w:r>
      </w:ins>
      <w:bookmarkEnd w:id="55"/>
    </w:p>
    <w:p>
      <w:pPr>
        <w:pStyle w:val="Subsection"/>
        <w:rPr>
          <w:snapToGrid w:val="0"/>
        </w:rPr>
      </w:pPr>
      <w:r>
        <w:rPr>
          <w:snapToGrid w:val="0"/>
        </w:rPr>
        <w:tab/>
      </w:r>
      <w:r>
        <w:rPr>
          <w:snapToGrid w:val="0"/>
        </w:rPr>
        <w:tab/>
      </w:r>
      <w:del w:id="58" w:author="svcMRProcess" w:date="2018-09-07T05:21:00Z">
        <w:r>
          <w:rPr>
            <w:snapToGrid w:val="0"/>
          </w:rPr>
          <w:delText>A</w:delText>
        </w:r>
      </w:del>
      <w:ins w:id="59" w:author="svcMRProcess" w:date="2018-09-07T05:21:00Z">
        <w:r>
          <w:t>For the purposes of any law of the State, a</w:t>
        </w:r>
      </w:ins>
      <w:r>
        <w:t xml:space="preserve"> port authority is </w:t>
      </w:r>
      <w:del w:id="60" w:author="svcMRProcess" w:date="2018-09-07T05:21:00Z">
        <w:r>
          <w:rPr>
            <w:snapToGrid w:val="0"/>
          </w:rPr>
          <w:delText>not</w:delText>
        </w:r>
      </w:del>
      <w:ins w:id="61" w:author="svcMRProcess" w:date="2018-09-07T05:21:00Z">
        <w:r>
          <w:t>to be regarded as not being</w:t>
        </w:r>
      </w:ins>
      <w:r>
        <w:rPr>
          <w:snapToGrid w:val="0"/>
        </w:rPr>
        <w:t xml:space="preserve"> an agent of the Crown and does not have the status, immunities and privileges of the Crown.</w:t>
      </w:r>
    </w:p>
    <w:p>
      <w:pPr>
        <w:pStyle w:val="Footnotesection"/>
        <w:rPr>
          <w:ins w:id="62" w:author="svcMRProcess" w:date="2018-09-07T05:21:00Z"/>
        </w:rPr>
      </w:pPr>
      <w:ins w:id="63" w:author="svcMRProcess" w:date="2018-09-07T05:21:00Z">
        <w:r>
          <w:tab/>
          <w:t>[Section 5 amended by No. 9 of 2014 s. 6.]</w:t>
        </w:r>
      </w:ins>
    </w:p>
    <w:p>
      <w:pPr>
        <w:pStyle w:val="Heading5"/>
        <w:rPr>
          <w:snapToGrid w:val="0"/>
        </w:rPr>
      </w:pPr>
      <w:bookmarkStart w:id="64" w:name="_Toc389811513"/>
      <w:bookmarkStart w:id="65" w:name="_Toc388862803"/>
      <w:r>
        <w:rPr>
          <w:rStyle w:val="CharSectno"/>
        </w:rPr>
        <w:t>6</w:t>
      </w:r>
      <w:r>
        <w:rPr>
          <w:snapToGrid w:val="0"/>
        </w:rPr>
        <w:t>.</w:t>
      </w:r>
      <w:r>
        <w:rPr>
          <w:snapToGrid w:val="0"/>
        </w:rPr>
        <w:tab/>
        <w:t>Port authorities and officers not part of public sector</w:t>
      </w:r>
      <w:bookmarkEnd w:id="64"/>
      <w:bookmarkEnd w:id="65"/>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66" w:name="_Toc389811514"/>
      <w:bookmarkStart w:id="67" w:name="_Toc388519189"/>
      <w:bookmarkStart w:id="68" w:name="_Toc388862804"/>
      <w:r>
        <w:rPr>
          <w:rStyle w:val="CharDivNo"/>
        </w:rPr>
        <w:t>Division 2</w:t>
      </w:r>
      <w:r>
        <w:t xml:space="preserve"> — </w:t>
      </w:r>
      <w:r>
        <w:rPr>
          <w:rStyle w:val="CharDivText"/>
        </w:rPr>
        <w:t>Boards of directors</w:t>
      </w:r>
      <w:bookmarkEnd w:id="66"/>
      <w:bookmarkEnd w:id="67"/>
      <w:bookmarkEnd w:id="68"/>
      <w:r>
        <w:rPr>
          <w:rStyle w:val="CharDivText"/>
        </w:rPr>
        <w:t xml:space="preserve"> </w:t>
      </w:r>
    </w:p>
    <w:p>
      <w:pPr>
        <w:pStyle w:val="Heading5"/>
        <w:rPr>
          <w:snapToGrid w:val="0"/>
        </w:rPr>
      </w:pPr>
      <w:bookmarkStart w:id="69" w:name="_Toc389811515"/>
      <w:bookmarkStart w:id="70" w:name="_Toc388862805"/>
      <w:r>
        <w:rPr>
          <w:rStyle w:val="CharSectno"/>
        </w:rPr>
        <w:t>7</w:t>
      </w:r>
      <w:r>
        <w:rPr>
          <w:snapToGrid w:val="0"/>
        </w:rPr>
        <w:t>.</w:t>
      </w:r>
      <w:r>
        <w:rPr>
          <w:snapToGrid w:val="0"/>
        </w:rPr>
        <w:tab/>
        <w:t>Port authorities to have board of directors</w:t>
      </w:r>
      <w:bookmarkEnd w:id="69"/>
      <w:bookmarkEnd w:id="70"/>
      <w:r>
        <w:rPr>
          <w:snapToGrid w:val="0"/>
        </w:rPr>
        <w:t xml:space="preserve"> </w:t>
      </w:r>
    </w:p>
    <w:p>
      <w:pPr>
        <w:pStyle w:val="Subsection"/>
        <w:rPr>
          <w:snapToGrid w:val="0"/>
        </w:rPr>
      </w:pPr>
      <w:r>
        <w:rPr>
          <w:snapToGrid w:val="0"/>
        </w:rPr>
        <w:tab/>
        <w:t>(1)</w:t>
      </w:r>
      <w:r>
        <w:rPr>
          <w:snapToGrid w:val="0"/>
        </w:rPr>
        <w:tab/>
        <w:t xml:space="preserve">A port authority is to have a board of directors comprising </w:t>
      </w:r>
      <w:r>
        <w:t>not less than 5 or more than 7</w:t>
      </w:r>
      <w:r>
        <w:rPr>
          <w:snapToGrid w:val="0"/>
        </w:rPr>
        <w:t>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Subsection"/>
        <w:rPr>
          <w:del w:id="71" w:author="svcMRProcess" w:date="2018-09-07T05:21:00Z"/>
          <w:snapToGrid w:val="0"/>
        </w:rPr>
      </w:pPr>
      <w:del w:id="72" w:author="svcMRProcess" w:date="2018-09-07T05:21:00Z">
        <w:r>
          <w:rPr>
            <w:snapToGrid w:val="0"/>
          </w:rPr>
          <w:tab/>
          <w:delText>(4)</w:delText>
        </w:r>
        <w:r>
          <w:rPr>
            <w:snapToGrid w:val="0"/>
          </w:rPr>
          <w:tab/>
          <w:delText>Without limiting section 132, if a Division of Schedule 6 applies to a port authority any provisions of that Division in relation to the appointment of directors of the port authority have effect despite anything in this section.</w:delText>
        </w:r>
      </w:del>
    </w:p>
    <w:p>
      <w:pPr>
        <w:pStyle w:val="Ednotesubsection"/>
        <w:rPr>
          <w:ins w:id="73" w:author="svcMRProcess" w:date="2018-09-07T05:21:00Z"/>
        </w:rPr>
      </w:pPr>
      <w:ins w:id="74" w:author="svcMRProcess" w:date="2018-09-07T05:21:00Z">
        <w:r>
          <w:tab/>
          <w:t>[(4)</w:t>
        </w:r>
        <w:r>
          <w:tab/>
          <w:t>deleted]</w:t>
        </w:r>
      </w:ins>
    </w:p>
    <w:p>
      <w:pPr>
        <w:pStyle w:val="Footnotesection"/>
      </w:pPr>
      <w:r>
        <w:tab/>
        <w:t>[Section 7 amended by No. 39 of 2010 s. 89; No. 9 of 2014 s. 7</w:t>
      </w:r>
      <w:del w:id="75" w:author="svcMRProcess" w:date="2018-09-07T05:21:00Z">
        <w:r>
          <w:delText>(1).]</w:delText>
        </w:r>
      </w:del>
      <w:ins w:id="76" w:author="svcMRProcess" w:date="2018-09-07T05:21:00Z">
        <w:r>
          <w:t>.]</w:t>
        </w:r>
      </w:ins>
    </w:p>
    <w:p>
      <w:pPr>
        <w:pStyle w:val="Heading5"/>
        <w:rPr>
          <w:snapToGrid w:val="0"/>
        </w:rPr>
      </w:pPr>
      <w:bookmarkStart w:id="77" w:name="_Toc389811516"/>
      <w:bookmarkStart w:id="78" w:name="_Toc388862806"/>
      <w:r>
        <w:rPr>
          <w:rStyle w:val="CharSectno"/>
        </w:rPr>
        <w:t>8</w:t>
      </w:r>
      <w:r>
        <w:rPr>
          <w:snapToGrid w:val="0"/>
        </w:rPr>
        <w:t>.</w:t>
      </w:r>
      <w:r>
        <w:rPr>
          <w:snapToGrid w:val="0"/>
        </w:rPr>
        <w:tab/>
        <w:t>Boards, role of</w:t>
      </w:r>
      <w:bookmarkEnd w:id="77"/>
      <w:bookmarkEnd w:id="78"/>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spacing w:before="180"/>
        <w:rPr>
          <w:snapToGrid w:val="0"/>
        </w:rPr>
      </w:pPr>
      <w:bookmarkStart w:id="79" w:name="_Toc389811517"/>
      <w:bookmarkStart w:id="80" w:name="_Toc388862807"/>
      <w:r>
        <w:rPr>
          <w:rStyle w:val="CharSectno"/>
        </w:rPr>
        <w:t>9</w:t>
      </w:r>
      <w:r>
        <w:rPr>
          <w:snapToGrid w:val="0"/>
        </w:rPr>
        <w:t>.</w:t>
      </w:r>
      <w:r>
        <w:rPr>
          <w:snapToGrid w:val="0"/>
        </w:rPr>
        <w:tab/>
        <w:t>Boards, constitution and proceedings of (Sch. 2)</w:t>
      </w:r>
      <w:bookmarkEnd w:id="79"/>
      <w:bookmarkEnd w:id="80"/>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spacing w:before="180"/>
        <w:rPr>
          <w:snapToGrid w:val="0"/>
        </w:rPr>
      </w:pPr>
      <w:bookmarkStart w:id="81" w:name="_Toc389811518"/>
      <w:bookmarkStart w:id="82" w:name="_Toc388862808"/>
      <w:r>
        <w:rPr>
          <w:rStyle w:val="CharSectno"/>
        </w:rPr>
        <w:t>10</w:t>
      </w:r>
      <w:r>
        <w:rPr>
          <w:snapToGrid w:val="0"/>
        </w:rPr>
        <w:t>.</w:t>
      </w:r>
      <w:r>
        <w:rPr>
          <w:snapToGrid w:val="0"/>
        </w:rPr>
        <w:tab/>
        <w:t>Directors, remuneration of</w:t>
      </w:r>
      <w:bookmarkEnd w:id="81"/>
      <w:bookmarkEnd w:id="82"/>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spacing w:before="120"/>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83" w:name="_Toc389811519"/>
      <w:bookmarkStart w:id="84" w:name="_Toc388862809"/>
      <w:r>
        <w:rPr>
          <w:rStyle w:val="CharSectno"/>
        </w:rPr>
        <w:t>11</w:t>
      </w:r>
      <w:r>
        <w:rPr>
          <w:snapToGrid w:val="0"/>
        </w:rPr>
        <w:t>.</w:t>
      </w:r>
      <w:r>
        <w:rPr>
          <w:snapToGrid w:val="0"/>
        </w:rPr>
        <w:tab/>
        <w:t>Conflict of duties</w:t>
      </w:r>
      <w:bookmarkEnd w:id="83"/>
      <w:bookmarkEnd w:id="84"/>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85" w:name="_Toc389811520"/>
      <w:bookmarkStart w:id="86" w:name="_Toc388862810"/>
      <w:r>
        <w:rPr>
          <w:rStyle w:val="CharSectno"/>
        </w:rPr>
        <w:t>12</w:t>
      </w:r>
      <w:r>
        <w:rPr>
          <w:snapToGrid w:val="0"/>
        </w:rPr>
        <w:t>.</w:t>
      </w:r>
      <w:r>
        <w:rPr>
          <w:snapToGrid w:val="0"/>
        </w:rPr>
        <w:tab/>
        <w:t>Notifiable interests, disclosing</w:t>
      </w:r>
      <w:bookmarkEnd w:id="85"/>
      <w:bookmarkEnd w:id="86"/>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87" w:name="_Toc389811521"/>
      <w:bookmarkStart w:id="88" w:name="_Toc388862811"/>
      <w:r>
        <w:rPr>
          <w:rStyle w:val="CharSectno"/>
        </w:rPr>
        <w:t>13</w:t>
      </w:r>
      <w:r>
        <w:rPr>
          <w:snapToGrid w:val="0"/>
        </w:rPr>
        <w:t>.</w:t>
      </w:r>
      <w:r>
        <w:rPr>
          <w:snapToGrid w:val="0"/>
        </w:rPr>
        <w:tab/>
        <w:t>Committees</w:t>
      </w:r>
      <w:bookmarkEnd w:id="87"/>
      <w:bookmarkEnd w:id="88"/>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Subsection"/>
        <w:rPr>
          <w:ins w:id="89" w:author="svcMRProcess" w:date="2018-09-07T05:21:00Z"/>
        </w:rPr>
      </w:pPr>
      <w:ins w:id="90" w:author="svcMRProcess" w:date="2018-09-07T05:21:00Z">
        <w:r>
          <w:tab/>
          <w:t>(5)</w:t>
        </w:r>
        <w:r>
          <w:tab/>
          <w:t xml:space="preserve">The port authority is to provide a committee with such — </w:t>
        </w:r>
      </w:ins>
    </w:p>
    <w:p>
      <w:pPr>
        <w:pStyle w:val="Indenta"/>
        <w:rPr>
          <w:ins w:id="91" w:author="svcMRProcess" w:date="2018-09-07T05:21:00Z"/>
        </w:rPr>
      </w:pPr>
      <w:ins w:id="92" w:author="svcMRProcess" w:date="2018-09-07T05:21:00Z">
        <w:r>
          <w:tab/>
          <w:t>(a)</w:t>
        </w:r>
        <w:r>
          <w:tab/>
          <w:t>administrative support; and</w:t>
        </w:r>
      </w:ins>
    </w:p>
    <w:p>
      <w:pPr>
        <w:pStyle w:val="Indenta"/>
        <w:rPr>
          <w:ins w:id="93" w:author="svcMRProcess" w:date="2018-09-07T05:21:00Z"/>
        </w:rPr>
      </w:pPr>
      <w:ins w:id="94" w:author="svcMRProcess" w:date="2018-09-07T05:21:00Z">
        <w:r>
          <w:tab/>
          <w:t>(b)</w:t>
        </w:r>
        <w:r>
          <w:tab/>
          <w:t>facilities,</w:t>
        </w:r>
      </w:ins>
    </w:p>
    <w:p>
      <w:pPr>
        <w:pStyle w:val="Subsection"/>
        <w:rPr>
          <w:ins w:id="95" w:author="svcMRProcess" w:date="2018-09-07T05:21:00Z"/>
        </w:rPr>
      </w:pPr>
      <w:ins w:id="96" w:author="svcMRProcess" w:date="2018-09-07T05:21:00Z">
        <w:r>
          <w:tab/>
        </w:r>
        <w:r>
          <w:tab/>
          <w:t>as the committee may reasonably require for the performance of its functions.</w:t>
        </w:r>
      </w:ins>
    </w:p>
    <w:p>
      <w:pPr>
        <w:pStyle w:val="Footnotesection"/>
        <w:rPr>
          <w:ins w:id="97" w:author="svcMRProcess" w:date="2018-09-07T05:21:00Z"/>
        </w:rPr>
      </w:pPr>
      <w:ins w:id="98" w:author="svcMRProcess" w:date="2018-09-07T05:21:00Z">
        <w:r>
          <w:tab/>
          <w:t>[Section 13 amended by No. 9 of 2014 s. 8.]</w:t>
        </w:r>
      </w:ins>
    </w:p>
    <w:p>
      <w:pPr>
        <w:pStyle w:val="Heading5"/>
        <w:rPr>
          <w:ins w:id="99" w:author="svcMRProcess" w:date="2018-09-07T05:21:00Z"/>
        </w:rPr>
      </w:pPr>
      <w:bookmarkStart w:id="100" w:name="_Toc389811522"/>
      <w:ins w:id="101" w:author="svcMRProcess" w:date="2018-09-07T05:21:00Z">
        <w:r>
          <w:rPr>
            <w:rStyle w:val="CharSectno"/>
          </w:rPr>
          <w:t>14A</w:t>
        </w:r>
        <w:r>
          <w:t>.</w:t>
        </w:r>
        <w:r>
          <w:tab/>
          <w:t>Community consultation committees</w:t>
        </w:r>
        <w:bookmarkEnd w:id="100"/>
      </w:ins>
    </w:p>
    <w:p>
      <w:pPr>
        <w:pStyle w:val="Subsection"/>
        <w:rPr>
          <w:ins w:id="102" w:author="svcMRProcess" w:date="2018-09-07T05:21:00Z"/>
        </w:rPr>
      </w:pPr>
      <w:ins w:id="103" w:author="svcMRProcess" w:date="2018-09-07T05:21:00Z">
        <w:r>
          <w:tab/>
          <w:t>(1)</w:t>
        </w:r>
        <w:r>
          <w:tab/>
          <w:t xml:space="preserve">In this section — </w:t>
        </w:r>
      </w:ins>
    </w:p>
    <w:p>
      <w:pPr>
        <w:pStyle w:val="Defstart"/>
        <w:rPr>
          <w:ins w:id="104" w:author="svcMRProcess" w:date="2018-09-07T05:21:00Z"/>
        </w:rPr>
      </w:pPr>
      <w:ins w:id="105" w:author="svcMRProcess" w:date="2018-09-07T05:21:00Z">
        <w:r>
          <w:tab/>
        </w:r>
        <w:r>
          <w:rPr>
            <w:rStyle w:val="CharDefText"/>
          </w:rPr>
          <w:t>consultation committee</w:t>
        </w:r>
        <w:r>
          <w:t xml:space="preserve"> means the committee established as required by subsection (2).</w:t>
        </w:r>
      </w:ins>
    </w:p>
    <w:p>
      <w:pPr>
        <w:pStyle w:val="Subsection"/>
        <w:rPr>
          <w:ins w:id="106" w:author="svcMRProcess" w:date="2018-09-07T05:21:00Z"/>
        </w:rPr>
      </w:pPr>
      <w:ins w:id="107" w:author="svcMRProcess" w:date="2018-09-07T05:21:00Z">
        <w:r>
          <w:tab/>
          <w:t>(2)</w:t>
        </w:r>
        <w:r>
          <w:tab/>
          <w:t>Without limiting section 13, a port authority must, under that section, establish a committee for the port for the purpose of promoting and facilitating communication, information sharing and consultation between the port authority and members of the public who are or may be affected by port operations.</w:t>
        </w:r>
      </w:ins>
    </w:p>
    <w:p>
      <w:pPr>
        <w:pStyle w:val="Subsection"/>
        <w:rPr>
          <w:ins w:id="108" w:author="svcMRProcess" w:date="2018-09-07T05:21:00Z"/>
        </w:rPr>
      </w:pPr>
      <w:ins w:id="109" w:author="svcMRProcess" w:date="2018-09-07T05:21:00Z">
        <w:r>
          <w:tab/>
          <w:t>(3)</w:t>
        </w:r>
        <w:r>
          <w:tab/>
          <w:t>A local government that has electors who are or may be affected by port operations at the port is to be represented on the consultation committee.</w:t>
        </w:r>
      </w:ins>
    </w:p>
    <w:p>
      <w:pPr>
        <w:pStyle w:val="Subsection"/>
        <w:rPr>
          <w:ins w:id="110" w:author="svcMRProcess" w:date="2018-09-07T05:21:00Z"/>
        </w:rPr>
      </w:pPr>
      <w:ins w:id="111" w:author="svcMRProcess" w:date="2018-09-07T05:21:00Z">
        <w:r>
          <w:tab/>
          <w:t>(4)</w:t>
        </w:r>
        <w:r>
          <w:tab/>
          <w:t>Minutes of the proceedings of the consultation committee are to be made available on the port authority’s website or in a prescribed manner.</w:t>
        </w:r>
      </w:ins>
    </w:p>
    <w:p>
      <w:pPr>
        <w:pStyle w:val="Subsection"/>
        <w:rPr>
          <w:ins w:id="112" w:author="svcMRProcess" w:date="2018-09-07T05:21:00Z"/>
        </w:rPr>
      </w:pPr>
      <w:ins w:id="113" w:author="svcMRProcess" w:date="2018-09-07T05:21:00Z">
        <w:r>
          <w:tab/>
          <w:t>(5)</w:t>
        </w:r>
        <w:r>
          <w:tab/>
          <w:t>Subsection (2) does not apply if the regulations exempt the port from the operation of this section.</w:t>
        </w:r>
      </w:ins>
    </w:p>
    <w:p>
      <w:pPr>
        <w:pStyle w:val="Footnotesection"/>
        <w:rPr>
          <w:ins w:id="114" w:author="svcMRProcess" w:date="2018-09-07T05:21:00Z"/>
        </w:rPr>
      </w:pPr>
      <w:ins w:id="115" w:author="svcMRProcess" w:date="2018-09-07T05:21:00Z">
        <w:r>
          <w:tab/>
          <w:t>[Section 14A inserted by No. 9 of 2014 s. 9.]</w:t>
        </w:r>
      </w:ins>
    </w:p>
    <w:p>
      <w:pPr>
        <w:pStyle w:val="Heading3"/>
      </w:pPr>
      <w:bookmarkStart w:id="116" w:name="_Toc389811523"/>
      <w:bookmarkStart w:id="117" w:name="_Toc388519197"/>
      <w:bookmarkStart w:id="118" w:name="_Toc388862812"/>
      <w:r>
        <w:rPr>
          <w:rStyle w:val="CharDivNo"/>
        </w:rPr>
        <w:t>Division 3</w:t>
      </w:r>
      <w:r>
        <w:rPr>
          <w:snapToGrid w:val="0"/>
        </w:rPr>
        <w:t xml:space="preserve"> — </w:t>
      </w:r>
      <w:r>
        <w:rPr>
          <w:rStyle w:val="CharDivText"/>
        </w:rPr>
        <w:t>Staff</w:t>
      </w:r>
      <w:bookmarkEnd w:id="116"/>
      <w:bookmarkEnd w:id="117"/>
      <w:bookmarkEnd w:id="118"/>
      <w:r>
        <w:rPr>
          <w:rStyle w:val="CharDivText"/>
        </w:rPr>
        <w:t xml:space="preserve"> </w:t>
      </w:r>
    </w:p>
    <w:p>
      <w:pPr>
        <w:pStyle w:val="Heading5"/>
        <w:rPr>
          <w:snapToGrid w:val="0"/>
        </w:rPr>
      </w:pPr>
      <w:bookmarkStart w:id="119" w:name="_Toc389811524"/>
      <w:bookmarkStart w:id="120" w:name="_Toc388862813"/>
      <w:r>
        <w:rPr>
          <w:rStyle w:val="CharSectno"/>
        </w:rPr>
        <w:t>14</w:t>
      </w:r>
      <w:r>
        <w:rPr>
          <w:snapToGrid w:val="0"/>
        </w:rPr>
        <w:t>.</w:t>
      </w:r>
      <w:r>
        <w:rPr>
          <w:snapToGrid w:val="0"/>
        </w:rPr>
        <w:tab/>
        <w:t>Chief executive officer</w:t>
      </w:r>
      <w:bookmarkEnd w:id="119"/>
      <w:bookmarkEnd w:id="120"/>
      <w:r>
        <w:rPr>
          <w:snapToGrid w:val="0"/>
        </w:rPr>
        <w:t xml:space="preserve"> </w:t>
      </w:r>
    </w:p>
    <w:p>
      <w:pPr>
        <w:pStyle w:val="Subsection"/>
        <w:rPr>
          <w:snapToGrid w:val="0"/>
        </w:rPr>
      </w:pPr>
      <w:r>
        <w:rPr>
          <w:snapToGrid w:val="0"/>
        </w:rPr>
        <w:tab/>
        <w:t>(1)</w:t>
      </w:r>
      <w:r>
        <w:rPr>
          <w:snapToGrid w:val="0"/>
        </w:rPr>
        <w:tab/>
        <w:t>A port authority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keepLines/>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121" w:name="_Toc389811525"/>
      <w:bookmarkStart w:id="122" w:name="_Toc388862814"/>
      <w:r>
        <w:rPr>
          <w:rStyle w:val="CharSectno"/>
        </w:rPr>
        <w:t>15</w:t>
      </w:r>
      <w:r>
        <w:rPr>
          <w:snapToGrid w:val="0"/>
        </w:rPr>
        <w:t>.</w:t>
      </w:r>
      <w:r>
        <w:rPr>
          <w:snapToGrid w:val="0"/>
        </w:rPr>
        <w:tab/>
        <w:t>CEO’s functions</w:t>
      </w:r>
      <w:bookmarkEnd w:id="121"/>
      <w:bookmarkEnd w:id="122"/>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123" w:name="_Toc389811526"/>
      <w:bookmarkStart w:id="124" w:name="_Toc388862815"/>
      <w:r>
        <w:rPr>
          <w:rStyle w:val="CharSectno"/>
        </w:rPr>
        <w:t>16</w:t>
      </w:r>
      <w:r>
        <w:rPr>
          <w:snapToGrid w:val="0"/>
        </w:rPr>
        <w:t>.</w:t>
      </w:r>
      <w:r>
        <w:rPr>
          <w:snapToGrid w:val="0"/>
        </w:rPr>
        <w:tab/>
        <w:t>Staff</w:t>
      </w:r>
      <w:bookmarkEnd w:id="123"/>
      <w:bookmarkEnd w:id="124"/>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keepNext/>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 and</w:t>
      </w:r>
    </w:p>
    <w:p>
      <w:pPr>
        <w:pStyle w:val="Indenti"/>
        <w:rPr>
          <w:snapToGrid w:val="0"/>
        </w:rPr>
      </w:pPr>
      <w:r>
        <w:rPr>
          <w:snapToGrid w:val="0"/>
        </w:rPr>
        <w:tab/>
        <w:t>(ii)</w:t>
      </w:r>
      <w:r>
        <w:rPr>
          <w:snapToGrid w:val="0"/>
        </w:rPr>
        <w:tab/>
        <w:t>leave; and</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80"/>
      </w:pPr>
      <w:r>
        <w:tab/>
        <w:t>[(5)</w:t>
      </w:r>
      <w:r>
        <w:tab/>
        <w:t>deleted]</w:t>
      </w:r>
    </w:p>
    <w:p>
      <w:pPr>
        <w:pStyle w:val="Subsection"/>
        <w:spacing w:before="18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spacing w:before="240"/>
        <w:rPr>
          <w:snapToGrid w:val="0"/>
        </w:rPr>
      </w:pPr>
      <w:bookmarkStart w:id="125" w:name="_Toc389811527"/>
      <w:bookmarkStart w:id="126" w:name="_Toc388862816"/>
      <w:r>
        <w:rPr>
          <w:rStyle w:val="CharSectno"/>
        </w:rPr>
        <w:t>17</w:t>
      </w:r>
      <w:r>
        <w:rPr>
          <w:snapToGrid w:val="0"/>
        </w:rPr>
        <w:t>.</w:t>
      </w:r>
      <w:r>
        <w:rPr>
          <w:snapToGrid w:val="0"/>
        </w:rPr>
        <w:tab/>
        <w:t>Minimum standards for staff management</w:t>
      </w:r>
      <w:bookmarkEnd w:id="125"/>
      <w:bookmarkEnd w:id="126"/>
      <w:r>
        <w:rPr>
          <w:snapToGrid w:val="0"/>
        </w:rPr>
        <w:t xml:space="preserve"> </w:t>
      </w:r>
    </w:p>
    <w:p>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(3)</w:t>
      </w:r>
      <w:r>
        <w:rPr>
          <w:snapToGrid w:val="0"/>
        </w:rPr>
        <w:tab/>
        <w:t>Section 14(3) is not affected by the requirements of subsection (2).</w:t>
      </w:r>
    </w:p>
    <w:p>
      <w:pPr>
        <w:pStyle w:val="Subsection"/>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by No. 39 of 2010 s. 81(3).]</w:t>
      </w:r>
    </w:p>
    <w:p>
      <w:pPr>
        <w:pStyle w:val="Heading5"/>
        <w:rPr>
          <w:snapToGrid w:val="0"/>
        </w:rPr>
      </w:pPr>
      <w:bookmarkStart w:id="127" w:name="_Toc389811528"/>
      <w:bookmarkStart w:id="128" w:name="_Toc388862817"/>
      <w:r>
        <w:rPr>
          <w:rStyle w:val="CharSectno"/>
        </w:rPr>
        <w:t>18</w:t>
      </w:r>
      <w:r>
        <w:rPr>
          <w:snapToGrid w:val="0"/>
        </w:rPr>
        <w:t>.</w:t>
      </w:r>
      <w:r>
        <w:rPr>
          <w:snapToGrid w:val="0"/>
        </w:rPr>
        <w:tab/>
        <w:t>Reports to Public Sector Commissioner as to s. 17 standards</w:t>
      </w:r>
      <w:bookmarkEnd w:id="127"/>
      <w:bookmarkEnd w:id="12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by No. 39 of 2010 s. 81(3).]</w:t>
      </w:r>
    </w:p>
    <w:p>
      <w:pPr>
        <w:pStyle w:val="Heading5"/>
        <w:rPr>
          <w:snapToGrid w:val="0"/>
        </w:rPr>
      </w:pPr>
      <w:bookmarkStart w:id="129" w:name="_Toc389811529"/>
      <w:bookmarkStart w:id="130" w:name="_Toc388862818"/>
      <w:r>
        <w:rPr>
          <w:rStyle w:val="CharSectno"/>
        </w:rPr>
        <w:t>19</w:t>
      </w:r>
      <w:r>
        <w:rPr>
          <w:snapToGrid w:val="0"/>
        </w:rPr>
        <w:t>.</w:t>
      </w:r>
      <w:r>
        <w:rPr>
          <w:snapToGrid w:val="0"/>
        </w:rPr>
        <w:tab/>
        <w:t>Superannuation</w:t>
      </w:r>
      <w:bookmarkEnd w:id="129"/>
      <w:bookmarkEnd w:id="130"/>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131" w:name="_Toc389811530"/>
      <w:bookmarkStart w:id="132" w:name="_Toc388519204"/>
      <w:bookmarkStart w:id="133" w:name="_Toc388862819"/>
      <w:r>
        <w:rPr>
          <w:rStyle w:val="CharDivNo"/>
        </w:rPr>
        <w:t>Division 4</w:t>
      </w:r>
      <w:r>
        <w:rPr>
          <w:snapToGrid w:val="0"/>
        </w:rPr>
        <w:t xml:space="preserve"> — </w:t>
      </w:r>
      <w:r>
        <w:rPr>
          <w:rStyle w:val="CharDivText"/>
        </w:rPr>
        <w:t>Conduct and integrity of staff</w:t>
      </w:r>
      <w:bookmarkEnd w:id="131"/>
      <w:bookmarkEnd w:id="132"/>
      <w:bookmarkEnd w:id="133"/>
    </w:p>
    <w:p>
      <w:pPr>
        <w:pStyle w:val="Heading5"/>
        <w:rPr>
          <w:snapToGrid w:val="0"/>
        </w:rPr>
      </w:pPr>
      <w:bookmarkStart w:id="134" w:name="_Toc389811531"/>
      <w:bookmarkStart w:id="135" w:name="_Toc388862820"/>
      <w:r>
        <w:rPr>
          <w:rStyle w:val="CharSectno"/>
        </w:rPr>
        <w:t>20</w:t>
      </w:r>
      <w:r>
        <w:rPr>
          <w:snapToGrid w:val="0"/>
        </w:rPr>
        <w:t>.</w:t>
      </w:r>
      <w:r>
        <w:rPr>
          <w:snapToGrid w:val="0"/>
        </w:rPr>
        <w:tab/>
        <w:t>CEO and staff, duties of (Sch. 3) etc.</w:t>
      </w:r>
      <w:bookmarkEnd w:id="134"/>
      <w:bookmarkEnd w:id="135"/>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136" w:name="_Toc389811532"/>
      <w:bookmarkStart w:id="137" w:name="_Toc388862821"/>
      <w:r>
        <w:rPr>
          <w:rStyle w:val="CharSectno"/>
        </w:rPr>
        <w:t>21</w:t>
      </w:r>
      <w:r>
        <w:rPr>
          <w:snapToGrid w:val="0"/>
        </w:rPr>
        <w:t>.</w:t>
      </w:r>
      <w:r>
        <w:rPr>
          <w:snapToGrid w:val="0"/>
        </w:rPr>
        <w:tab/>
        <w:t>Codes of conduct</w:t>
      </w:r>
      <w:bookmarkEnd w:id="136"/>
      <w:bookmarkEnd w:id="137"/>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by No. 39 of 2010 s. 81(3).]</w:t>
      </w:r>
    </w:p>
    <w:p>
      <w:pPr>
        <w:pStyle w:val="Heading5"/>
        <w:spacing w:before="180"/>
        <w:rPr>
          <w:snapToGrid w:val="0"/>
        </w:rPr>
      </w:pPr>
      <w:bookmarkStart w:id="138" w:name="_Toc389811533"/>
      <w:bookmarkStart w:id="139" w:name="_Toc388862822"/>
      <w:r>
        <w:rPr>
          <w:rStyle w:val="CharSectno"/>
        </w:rPr>
        <w:t>22</w:t>
      </w:r>
      <w:r>
        <w:rPr>
          <w:snapToGrid w:val="0"/>
        </w:rPr>
        <w:t>.</w:t>
      </w:r>
      <w:r>
        <w:rPr>
          <w:snapToGrid w:val="0"/>
        </w:rPr>
        <w:tab/>
        <w:t>Reports to Public Sector Commissioner as to s. 21 codes</w:t>
      </w:r>
      <w:bookmarkEnd w:id="138"/>
      <w:bookmarkEnd w:id="139"/>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40"/>
        <w:rPr>
          <w:snapToGrid w:val="0"/>
        </w:rPr>
      </w:pPr>
      <w:r>
        <w:rPr>
          <w:snapToGrid w:val="0"/>
        </w:rPr>
        <w:tab/>
      </w:r>
      <w:r>
        <w:rPr>
          <w:snapToGrid w:val="0"/>
        </w:rPr>
        <w:tab/>
        <w:t>as the Commissioner may specify.</w:t>
      </w:r>
    </w:p>
    <w:p>
      <w:pPr>
        <w:pStyle w:val="Subsection"/>
        <w:spacing w:before="140"/>
        <w:rPr>
          <w:snapToGrid w:val="0"/>
        </w:rPr>
      </w:pPr>
      <w:r>
        <w:rPr>
          <w:snapToGrid w:val="0"/>
        </w:rPr>
        <w:tab/>
        <w:t>(2)</w:t>
      </w:r>
      <w:r>
        <w:rPr>
          <w:snapToGrid w:val="0"/>
        </w:rPr>
        <w:tab/>
        <w:t>A board must comply with a direction given to it under subsection (1).</w:t>
      </w:r>
    </w:p>
    <w:p>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spacing w:before="80"/>
        <w:ind w:left="890" w:hanging="890"/>
      </w:pPr>
      <w:r>
        <w:tab/>
        <w:t>[Section 22 amended by No. 39 of 2010 s. 81(3).]</w:t>
      </w:r>
    </w:p>
    <w:p>
      <w:pPr>
        <w:pStyle w:val="Heading5"/>
        <w:rPr>
          <w:snapToGrid w:val="0"/>
        </w:rPr>
      </w:pPr>
      <w:bookmarkStart w:id="140" w:name="_Toc389811534"/>
      <w:bookmarkStart w:id="141" w:name="_Toc388862823"/>
      <w:r>
        <w:rPr>
          <w:rStyle w:val="CharSectno"/>
        </w:rPr>
        <w:t>23</w:t>
      </w:r>
      <w:r>
        <w:rPr>
          <w:snapToGrid w:val="0"/>
        </w:rPr>
        <w:t>.</w:t>
      </w:r>
      <w:r>
        <w:rPr>
          <w:snapToGrid w:val="0"/>
        </w:rPr>
        <w:tab/>
        <w:t>Reports to Minister as to s. 21 codes</w:t>
      </w:r>
      <w:bookmarkEnd w:id="140"/>
      <w:bookmarkEnd w:id="141"/>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by No. 39 of 2010 s. 81(3).]</w:t>
      </w:r>
    </w:p>
    <w:p>
      <w:pPr>
        <w:pStyle w:val="Heading2"/>
      </w:pPr>
      <w:bookmarkStart w:id="142" w:name="_Toc389811535"/>
      <w:bookmarkStart w:id="143" w:name="_Toc388519209"/>
      <w:bookmarkStart w:id="144" w:name="_Toc388862824"/>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142"/>
      <w:bookmarkEnd w:id="143"/>
      <w:bookmarkEnd w:id="144"/>
      <w:r>
        <w:rPr>
          <w:rStyle w:val="CharPartText"/>
        </w:rPr>
        <w:t xml:space="preserve"> </w:t>
      </w:r>
    </w:p>
    <w:p>
      <w:pPr>
        <w:pStyle w:val="Heading5"/>
        <w:rPr>
          <w:snapToGrid w:val="0"/>
        </w:rPr>
      </w:pPr>
      <w:bookmarkStart w:id="145" w:name="_Toc389811536"/>
      <w:bookmarkStart w:id="146" w:name="_Toc388862825"/>
      <w:r>
        <w:rPr>
          <w:rStyle w:val="CharSectno"/>
        </w:rPr>
        <w:t>24</w:t>
      </w:r>
      <w:r>
        <w:rPr>
          <w:snapToGrid w:val="0"/>
        </w:rPr>
        <w:t>.</w:t>
      </w:r>
      <w:r>
        <w:rPr>
          <w:snapToGrid w:val="0"/>
        </w:rPr>
        <w:tab/>
        <w:t>Port areas defined</w:t>
      </w:r>
      <w:bookmarkEnd w:id="145"/>
      <w:bookmarkEnd w:id="146"/>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147" w:name="_Toc389811537"/>
      <w:bookmarkStart w:id="148" w:name="_Toc388862826"/>
      <w:r>
        <w:rPr>
          <w:rStyle w:val="CharSectno"/>
        </w:rPr>
        <w:t>25</w:t>
      </w:r>
      <w:r>
        <w:rPr>
          <w:snapToGrid w:val="0"/>
        </w:rPr>
        <w:t>.</w:t>
      </w:r>
      <w:r>
        <w:rPr>
          <w:snapToGrid w:val="0"/>
        </w:rPr>
        <w:tab/>
        <w:t>Port authority, property vested in</w:t>
      </w:r>
      <w:bookmarkEnd w:id="147"/>
      <w:bookmarkEnd w:id="148"/>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rPr>
          <w:vertAlign w:val="superscript"/>
        </w:rPr>
        <w:t> 1</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149" w:name="_Toc389811538"/>
      <w:bookmarkStart w:id="150" w:name="_Toc388862827"/>
      <w:r>
        <w:rPr>
          <w:rStyle w:val="CharSectno"/>
        </w:rPr>
        <w:t>26</w:t>
      </w:r>
      <w:r>
        <w:rPr>
          <w:snapToGrid w:val="0"/>
        </w:rPr>
        <w:t>.</w:t>
      </w:r>
      <w:r>
        <w:rPr>
          <w:snapToGrid w:val="0"/>
        </w:rPr>
        <w:tab/>
        <w:t>Port property may be taken back by Crown</w:t>
      </w:r>
      <w:bookmarkEnd w:id="149"/>
      <w:bookmarkEnd w:id="150"/>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51" w:name="_Toc389811539"/>
      <w:bookmarkStart w:id="152" w:name="_Toc388862828"/>
      <w:r>
        <w:rPr>
          <w:rStyle w:val="CharSectno"/>
        </w:rPr>
        <w:t>27</w:t>
      </w:r>
      <w:r>
        <w:rPr>
          <w:snapToGrid w:val="0"/>
        </w:rPr>
        <w:t>.</w:t>
      </w:r>
      <w:r>
        <w:rPr>
          <w:snapToGrid w:val="0"/>
        </w:rPr>
        <w:tab/>
        <w:t>Power to sell land, restrictions on</w:t>
      </w:r>
      <w:bookmarkEnd w:id="151"/>
      <w:bookmarkEnd w:id="152"/>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 xml:space="preserve">In this </w:t>
      </w:r>
      <w:r>
        <w:t>section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Footnotesection"/>
      </w:pPr>
      <w:r>
        <w:tab/>
        <w:t>[Section 27 amended by No. 9 of 2014 s. 10.]</w:t>
      </w:r>
    </w:p>
    <w:p>
      <w:pPr>
        <w:pStyle w:val="Heading5"/>
      </w:pPr>
      <w:bookmarkStart w:id="153" w:name="_Toc389811540"/>
      <w:bookmarkStart w:id="154" w:name="_Toc388862829"/>
      <w:r>
        <w:rPr>
          <w:rStyle w:val="CharSectno"/>
        </w:rPr>
        <w:t>27A</w:t>
      </w:r>
      <w:r>
        <w:t>.</w:t>
      </w:r>
      <w:r>
        <w:tab/>
        <w:t>Land, creating interests in</w:t>
      </w:r>
      <w:bookmarkEnd w:id="153"/>
      <w:bookmarkEnd w:id="154"/>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55" w:name="_Toc389811541"/>
      <w:bookmarkStart w:id="156" w:name="_Toc388862830"/>
      <w:r>
        <w:rPr>
          <w:rStyle w:val="CharSectno"/>
        </w:rPr>
        <w:t>28</w:t>
      </w:r>
      <w:r>
        <w:rPr>
          <w:snapToGrid w:val="0"/>
        </w:rPr>
        <w:t>.</w:t>
      </w:r>
      <w:r>
        <w:rPr>
          <w:snapToGrid w:val="0"/>
        </w:rPr>
        <w:tab/>
        <w:t>Vested land, creating and dealing with interests in</w:t>
      </w:r>
      <w:bookmarkEnd w:id="155"/>
      <w:bookmarkEnd w:id="156"/>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ins w:id="157" w:author="svcMRProcess" w:date="2018-09-07T05:21:00Z"/>
        </w:rPr>
      </w:pPr>
      <w:bookmarkStart w:id="158" w:name="_Toc389811542"/>
      <w:ins w:id="159" w:author="svcMRProcess" w:date="2018-09-07T05:21:00Z">
        <w:r>
          <w:rPr>
            <w:rStyle w:val="CharSectno"/>
          </w:rPr>
          <w:t>29A</w:t>
        </w:r>
        <w:r>
          <w:t>.</w:t>
        </w:r>
        <w:r>
          <w:tab/>
          <w:t xml:space="preserve">Operation of </w:t>
        </w:r>
        <w:r>
          <w:rPr>
            <w:i/>
          </w:rPr>
          <w:t>Planning and Development Act 2005</w:t>
        </w:r>
        <w:r>
          <w:t xml:space="preserve"> section 136 modified</w:t>
        </w:r>
        <w:bookmarkEnd w:id="158"/>
      </w:ins>
    </w:p>
    <w:p>
      <w:pPr>
        <w:pStyle w:val="Subsection"/>
        <w:rPr>
          <w:ins w:id="160" w:author="svcMRProcess" w:date="2018-09-07T05:21:00Z"/>
        </w:rPr>
      </w:pPr>
      <w:ins w:id="161" w:author="svcMRProcess" w:date="2018-09-07T05:21:00Z">
        <w:r>
          <w:tab/>
        </w:r>
        <w:r>
          <w:tab/>
          <w:t xml:space="preserve">A port authority does not have to obtain approval under the </w:t>
        </w:r>
        <w:r>
          <w:rPr>
            <w:i/>
          </w:rPr>
          <w:t>Planning and Development Act 2005</w:t>
        </w:r>
        <w:r>
          <w:t xml:space="preserve"> section 136 in order to grant a lease or licence in respect of port land.</w:t>
        </w:r>
      </w:ins>
    </w:p>
    <w:p>
      <w:pPr>
        <w:pStyle w:val="Footnotesection"/>
        <w:rPr>
          <w:ins w:id="162" w:author="svcMRProcess" w:date="2018-09-07T05:21:00Z"/>
        </w:rPr>
      </w:pPr>
      <w:ins w:id="163" w:author="svcMRProcess" w:date="2018-09-07T05:21:00Z">
        <w:r>
          <w:tab/>
          <w:t>[Section 29A inserted by No. 9 of 2014 s. 11.]</w:t>
        </w:r>
      </w:ins>
    </w:p>
    <w:p>
      <w:pPr>
        <w:pStyle w:val="Heading5"/>
        <w:rPr>
          <w:snapToGrid w:val="0"/>
        </w:rPr>
      </w:pPr>
      <w:bookmarkStart w:id="164" w:name="_Toc389811543"/>
      <w:bookmarkStart w:id="165" w:name="_Toc388862831"/>
      <w:r>
        <w:rPr>
          <w:rStyle w:val="CharSectno"/>
        </w:rPr>
        <w:t>29</w:t>
      </w:r>
      <w:r>
        <w:rPr>
          <w:snapToGrid w:val="0"/>
        </w:rPr>
        <w:t>.</w:t>
      </w:r>
      <w:r>
        <w:rPr>
          <w:snapToGrid w:val="0"/>
        </w:rPr>
        <w:tab/>
        <w:t>Disputes between port authority and Crown</w:t>
      </w:r>
      <w:bookmarkEnd w:id="164"/>
      <w:bookmarkEnd w:id="165"/>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66" w:name="_Toc389811544"/>
      <w:bookmarkStart w:id="167" w:name="_Toc388519217"/>
      <w:bookmarkStart w:id="168" w:name="_Toc388862832"/>
      <w:r>
        <w:rPr>
          <w:rStyle w:val="CharPartNo"/>
        </w:rPr>
        <w:t>Part 4</w:t>
      </w:r>
      <w:r>
        <w:t xml:space="preserve"> — </w:t>
      </w:r>
      <w:r>
        <w:rPr>
          <w:rStyle w:val="CharPartText"/>
        </w:rPr>
        <w:t>Functions and powers</w:t>
      </w:r>
      <w:bookmarkEnd w:id="166"/>
      <w:bookmarkEnd w:id="167"/>
      <w:bookmarkEnd w:id="168"/>
      <w:r>
        <w:t xml:space="preserve"> </w:t>
      </w:r>
    </w:p>
    <w:p>
      <w:pPr>
        <w:pStyle w:val="Heading3"/>
      </w:pPr>
      <w:bookmarkStart w:id="169" w:name="_Toc389811545"/>
      <w:bookmarkStart w:id="170" w:name="_Toc388519218"/>
      <w:bookmarkStart w:id="171" w:name="_Toc388862833"/>
      <w:r>
        <w:rPr>
          <w:rStyle w:val="CharDivNo"/>
        </w:rPr>
        <w:t>Division 1</w:t>
      </w:r>
      <w:r>
        <w:t xml:space="preserve"> — </w:t>
      </w:r>
      <w:r>
        <w:rPr>
          <w:rStyle w:val="CharDivText"/>
        </w:rPr>
        <w:t>Functions, powers and related provisions</w:t>
      </w:r>
      <w:bookmarkEnd w:id="169"/>
      <w:bookmarkEnd w:id="170"/>
      <w:bookmarkEnd w:id="171"/>
      <w:r>
        <w:rPr>
          <w:rStyle w:val="CharDivText"/>
        </w:rPr>
        <w:t xml:space="preserve"> </w:t>
      </w:r>
    </w:p>
    <w:p>
      <w:pPr>
        <w:pStyle w:val="Heading5"/>
        <w:rPr>
          <w:snapToGrid w:val="0"/>
        </w:rPr>
      </w:pPr>
      <w:bookmarkStart w:id="172" w:name="_Toc389811546"/>
      <w:bookmarkStart w:id="173" w:name="_Toc388862834"/>
      <w:r>
        <w:rPr>
          <w:rStyle w:val="CharSectno"/>
        </w:rPr>
        <w:t>30</w:t>
      </w:r>
      <w:r>
        <w:rPr>
          <w:snapToGrid w:val="0"/>
        </w:rPr>
        <w:t>.</w:t>
      </w:r>
      <w:r>
        <w:rPr>
          <w:snapToGrid w:val="0"/>
        </w:rPr>
        <w:tab/>
        <w:t>Functions</w:t>
      </w:r>
      <w:bookmarkEnd w:id="172"/>
      <w:bookmarkEnd w:id="173"/>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 and</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 and</w:t>
      </w:r>
    </w:p>
    <w:p>
      <w:pPr>
        <w:pStyle w:val="Indenta"/>
        <w:rPr>
          <w:snapToGrid w:val="0"/>
        </w:rPr>
      </w:pPr>
      <w:r>
        <w:rPr>
          <w:snapToGrid w:val="0"/>
        </w:rPr>
        <w:tab/>
        <w:t>(c)</w:t>
      </w:r>
      <w:r>
        <w:rPr>
          <w:snapToGrid w:val="0"/>
        </w:rPr>
        <w:tab/>
        <w:t>to control business and other activities in the port or in connection with the operation of the port; and</w:t>
      </w:r>
    </w:p>
    <w:p>
      <w:pPr>
        <w:pStyle w:val="Indenta"/>
        <w:rPr>
          <w:snapToGrid w:val="0"/>
        </w:rPr>
      </w:pPr>
      <w:r>
        <w:rPr>
          <w:snapToGrid w:val="0"/>
        </w:rPr>
        <w:tab/>
        <w:t>(d)</w:t>
      </w:r>
      <w:r>
        <w:rPr>
          <w:snapToGrid w:val="0"/>
        </w:rPr>
        <w:tab/>
        <w:t>to be responsible for the safe and efficient operation of the port; and</w:t>
      </w:r>
    </w:p>
    <w:p>
      <w:pPr>
        <w:pStyle w:val="Indenta"/>
        <w:rPr>
          <w:ins w:id="174" w:author="svcMRProcess" w:date="2018-09-07T05:21:00Z"/>
        </w:rPr>
      </w:pPr>
      <w:r>
        <w:tab/>
        <w:t>(e)</w:t>
      </w:r>
      <w:r>
        <w:tab/>
        <w:t xml:space="preserve">to be responsible for </w:t>
      </w:r>
      <w:del w:id="175" w:author="svcMRProcess" w:date="2018-09-07T05:21:00Z">
        <w:r>
          <w:rPr>
            <w:snapToGrid w:val="0"/>
          </w:rPr>
          <w:delText xml:space="preserve">the maintenance and preservation of vested </w:delText>
        </w:r>
      </w:del>
      <w:ins w:id="176" w:author="svcMRProcess" w:date="2018-09-07T05:21:00Z">
        <w:r>
          <w:t xml:space="preserve">maintaining port </w:t>
        </w:r>
      </w:ins>
      <w:r>
        <w:t>property</w:t>
      </w:r>
      <w:ins w:id="177" w:author="svcMRProcess" w:date="2018-09-07T05:21:00Z">
        <w:r>
          <w:t>; and</w:t>
        </w:r>
      </w:ins>
    </w:p>
    <w:p>
      <w:pPr>
        <w:pStyle w:val="Indenta"/>
      </w:pPr>
      <w:ins w:id="178" w:author="svcMRProcess" w:date="2018-09-07T05:21:00Z">
        <w:r>
          <w:tab/>
          <w:t>(fa)</w:t>
        </w:r>
        <w:r>
          <w:tab/>
          <w:t>to be responsible for port security;</w:t>
        </w:r>
      </w:ins>
      <w:r>
        <w:t xml:space="preserve"> and</w:t>
      </w:r>
      <w:del w:id="179" w:author="svcMRProcess" w:date="2018-09-07T05:21:00Z">
        <w:r>
          <w:rPr>
            <w:snapToGrid w:val="0"/>
          </w:rPr>
          <w:delText xml:space="preserve"> other property held by it; and</w:delText>
        </w:r>
      </w:del>
    </w:p>
    <w:p>
      <w:pPr>
        <w:pStyle w:val="Indenta"/>
        <w:rPr>
          <w:snapToGrid w:val="0"/>
        </w:rPr>
      </w:pPr>
      <w:r>
        <w:rPr>
          <w:snapToGrid w:val="0"/>
        </w:rPr>
        <w:tab/>
        <w:t>(f)</w:t>
      </w:r>
      <w:r>
        <w:rPr>
          <w:snapToGrid w:val="0"/>
        </w:rPr>
        <w:tab/>
        <w:t xml:space="preserve">to protect the environment of the port and minimise the impact of port </w:t>
      </w:r>
      <w:del w:id="180" w:author="svcMRProcess" w:date="2018-09-07T05:21:00Z">
        <w:r>
          <w:rPr>
            <w:snapToGrid w:val="0"/>
          </w:rPr>
          <w:delText>activities</w:delText>
        </w:r>
      </w:del>
      <w:ins w:id="181" w:author="svcMRProcess" w:date="2018-09-07T05:21:00Z">
        <w:r>
          <w:t>operations</w:t>
        </w:r>
      </w:ins>
      <w:r>
        <w:rPr>
          <w:snapToGrid w:val="0"/>
        </w:rPr>
        <w:t xml:space="preserve">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to do things that its board determines to be conducive or incidental to the performance of a function referred to in subsection (1); or</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w:t>
      </w:r>
      <w:del w:id="182" w:author="svcMRProcess" w:date="2018-09-07T05:21:00Z">
        <w:r>
          <w:delText>6</w:delText>
        </w:r>
      </w:del>
      <w:ins w:id="183" w:author="svcMRProcess" w:date="2018-09-07T05:21:00Z">
        <w:r>
          <w:t>6; No. 9 of 2014 s. 12</w:t>
        </w:r>
      </w:ins>
      <w:r>
        <w:t>.]</w:t>
      </w:r>
    </w:p>
    <w:p>
      <w:pPr>
        <w:pStyle w:val="Heading5"/>
        <w:rPr>
          <w:snapToGrid w:val="0"/>
        </w:rPr>
      </w:pPr>
      <w:bookmarkStart w:id="184" w:name="_Toc389811547"/>
      <w:bookmarkStart w:id="185" w:name="_Toc388862835"/>
      <w:r>
        <w:rPr>
          <w:rStyle w:val="CharSectno"/>
        </w:rPr>
        <w:t>31</w:t>
      </w:r>
      <w:r>
        <w:rPr>
          <w:snapToGrid w:val="0"/>
        </w:rPr>
        <w:t>.</w:t>
      </w:r>
      <w:r>
        <w:rPr>
          <w:snapToGrid w:val="0"/>
        </w:rPr>
        <w:tab/>
        <w:t>Port authorities can act at their discretion</w:t>
      </w:r>
      <w:bookmarkEnd w:id="184"/>
      <w:bookmarkEnd w:id="185"/>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w:t>
      </w:r>
      <w:r>
        <w:t xml:space="preserve"> </w:t>
      </w:r>
      <w:del w:id="186" w:author="svcMRProcess" w:date="2018-09-07T05:21:00Z">
        <w:r>
          <w:rPr>
            <w:snapToGrid w:val="0"/>
          </w:rPr>
          <w:delText>activities</w:delText>
        </w:r>
      </w:del>
      <w:ins w:id="187" w:author="svcMRProcess" w:date="2018-09-07T05:21:00Z">
        <w:r>
          <w:t>operations</w:t>
        </w:r>
      </w:ins>
      <w:r>
        <w:t>.</w:t>
      </w:r>
    </w:p>
    <w:p>
      <w:pPr>
        <w:pStyle w:val="Footnotesection"/>
        <w:rPr>
          <w:ins w:id="188" w:author="svcMRProcess" w:date="2018-09-07T05:21:00Z"/>
        </w:rPr>
      </w:pPr>
      <w:ins w:id="189" w:author="svcMRProcess" w:date="2018-09-07T05:21:00Z">
        <w:r>
          <w:tab/>
          <w:t>[Section 31 amended by No. 9 of 2014 s. 13.]</w:t>
        </w:r>
      </w:ins>
    </w:p>
    <w:p>
      <w:pPr>
        <w:pStyle w:val="Heading5"/>
        <w:rPr>
          <w:snapToGrid w:val="0"/>
        </w:rPr>
      </w:pPr>
      <w:bookmarkStart w:id="190" w:name="_Toc389811548"/>
      <w:bookmarkStart w:id="191" w:name="_Toc388862836"/>
      <w:r>
        <w:rPr>
          <w:rStyle w:val="CharSectno"/>
        </w:rPr>
        <w:t>32</w:t>
      </w:r>
      <w:r>
        <w:rPr>
          <w:snapToGrid w:val="0"/>
        </w:rPr>
        <w:t>.</w:t>
      </w:r>
      <w:r>
        <w:rPr>
          <w:snapToGrid w:val="0"/>
        </w:rPr>
        <w:tab/>
        <w:t>Control of port, port authority has</w:t>
      </w:r>
      <w:bookmarkEnd w:id="190"/>
      <w:bookmarkEnd w:id="191"/>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92" w:name="_Toc389811549"/>
      <w:bookmarkStart w:id="193" w:name="_Toc388862837"/>
      <w:r>
        <w:rPr>
          <w:rStyle w:val="CharSectno"/>
        </w:rPr>
        <w:t>33</w:t>
      </w:r>
      <w:r>
        <w:rPr>
          <w:snapToGrid w:val="0"/>
        </w:rPr>
        <w:t>.</w:t>
      </w:r>
      <w:r>
        <w:rPr>
          <w:snapToGrid w:val="0"/>
        </w:rPr>
        <w:tab/>
        <w:t>Duty to act in accordance with policy instruments</w:t>
      </w:r>
      <w:bookmarkEnd w:id="192"/>
      <w:bookmarkEnd w:id="193"/>
      <w:r>
        <w:rPr>
          <w:snapToGrid w:val="0"/>
        </w:rPr>
        <w:t xml:space="preserve"> </w:t>
      </w:r>
    </w:p>
    <w:p>
      <w:pPr>
        <w:pStyle w:val="Subsection"/>
        <w:rPr>
          <w:snapToGrid w:val="0"/>
        </w:rPr>
      </w:pPr>
      <w:del w:id="194" w:author="svcMRProcess" w:date="2018-09-07T05:21:00Z">
        <w:r>
          <w:rPr>
            <w:snapToGrid w:val="0"/>
          </w:rPr>
          <w:tab/>
        </w:r>
        <w:r>
          <w:rPr>
            <w:snapToGrid w:val="0"/>
          </w:rPr>
          <w:tab/>
          <w:delText>A</w:delText>
        </w:r>
      </w:del>
      <w:ins w:id="195" w:author="svcMRProcess" w:date="2018-09-07T05:21:00Z">
        <w:r>
          <w:rPr>
            <w:snapToGrid w:val="0"/>
          </w:rPr>
          <w:tab/>
        </w:r>
        <w:r>
          <w:rPr>
            <w:snapToGrid w:val="0"/>
          </w:rPr>
          <w:tab/>
        </w:r>
        <w:r>
          <w:t>Subject to section 34A, a</w:t>
        </w:r>
      </w:ins>
      <w:r>
        <w:rPr>
          <w:snapToGrid w:val="0"/>
        </w:rPr>
        <w:t xml:space="preserve"> port authority is to perform its functions in accordance with its strategic development plan and its statement of corporate intent as existing from time to time.</w:t>
      </w:r>
    </w:p>
    <w:p>
      <w:pPr>
        <w:pStyle w:val="Footnotesection"/>
        <w:rPr>
          <w:ins w:id="196" w:author="svcMRProcess" w:date="2018-09-07T05:21:00Z"/>
        </w:rPr>
      </w:pPr>
      <w:ins w:id="197" w:author="svcMRProcess" w:date="2018-09-07T05:21:00Z">
        <w:r>
          <w:tab/>
          <w:t>[Section 33 amended by No. 9 of 2014 s. 14.]</w:t>
        </w:r>
      </w:ins>
    </w:p>
    <w:p>
      <w:pPr>
        <w:pStyle w:val="Heading5"/>
        <w:rPr>
          <w:ins w:id="198" w:author="svcMRProcess" w:date="2018-09-07T05:21:00Z"/>
        </w:rPr>
      </w:pPr>
      <w:bookmarkStart w:id="199" w:name="_Toc389811550"/>
      <w:ins w:id="200" w:author="svcMRProcess" w:date="2018-09-07T05:21:00Z">
        <w:r>
          <w:rPr>
            <w:rStyle w:val="CharSectno"/>
          </w:rPr>
          <w:t>34A</w:t>
        </w:r>
        <w:r>
          <w:t>.</w:t>
        </w:r>
        <w:r>
          <w:tab/>
          <w:t>Duty to comply with State budgetary requirements</w:t>
        </w:r>
        <w:bookmarkEnd w:id="199"/>
      </w:ins>
    </w:p>
    <w:p>
      <w:pPr>
        <w:pStyle w:val="Subsection"/>
        <w:rPr>
          <w:ins w:id="201" w:author="svcMRProcess" w:date="2018-09-07T05:21:00Z"/>
        </w:rPr>
      </w:pPr>
      <w:ins w:id="202" w:author="svcMRProcess" w:date="2018-09-07T05:21:00Z">
        <w:r>
          <w:tab/>
          <w:t>(1)</w:t>
        </w:r>
        <w:r>
          <w:tab/>
          <w:t xml:space="preserve">In this section — </w:t>
        </w:r>
      </w:ins>
    </w:p>
    <w:p>
      <w:pPr>
        <w:pStyle w:val="Defstart"/>
        <w:rPr>
          <w:ins w:id="203" w:author="svcMRProcess" w:date="2018-09-07T05:21:00Z"/>
        </w:rPr>
      </w:pPr>
      <w:ins w:id="204" w:author="svcMRProcess" w:date="2018-09-07T05:21:00Z">
        <w:r>
          <w:tab/>
        </w:r>
        <w:r>
          <w:rPr>
            <w:rStyle w:val="CharDefText"/>
          </w:rPr>
          <w:t>approved</w:t>
        </w:r>
        <w:r>
          <w:t xml:space="preserve"> means approved from time to time by the Government for the port authority and communicated in writing by the Treasurer to the port authority;</w:t>
        </w:r>
      </w:ins>
    </w:p>
    <w:p>
      <w:pPr>
        <w:pStyle w:val="Defstart"/>
        <w:rPr>
          <w:ins w:id="205" w:author="svcMRProcess" w:date="2018-09-07T05:21:00Z"/>
        </w:rPr>
      </w:pPr>
      <w:ins w:id="206" w:author="svcMRProcess" w:date="2018-09-07T05:21:00Z">
        <w:r>
          <w:tab/>
        </w:r>
        <w:r>
          <w:rPr>
            <w:rStyle w:val="CharDefText"/>
          </w:rPr>
          <w:t>Government</w:t>
        </w:r>
        <w:r>
          <w:t xml:space="preserve"> includes — </w:t>
        </w:r>
      </w:ins>
    </w:p>
    <w:p>
      <w:pPr>
        <w:pStyle w:val="Defpara"/>
        <w:rPr>
          <w:ins w:id="207" w:author="svcMRProcess" w:date="2018-09-07T05:21:00Z"/>
        </w:rPr>
      </w:pPr>
      <w:ins w:id="208" w:author="svcMRProcess" w:date="2018-09-07T05:21:00Z">
        <w:r>
          <w:tab/>
          <w:t>(a)</w:t>
        </w:r>
        <w:r>
          <w:tab/>
          <w:t>Cabinet; and</w:t>
        </w:r>
      </w:ins>
    </w:p>
    <w:p>
      <w:pPr>
        <w:pStyle w:val="Defpara"/>
        <w:rPr>
          <w:ins w:id="209" w:author="svcMRProcess" w:date="2018-09-07T05:21:00Z"/>
        </w:rPr>
      </w:pPr>
      <w:ins w:id="210" w:author="svcMRProcess" w:date="2018-09-07T05:21:00Z">
        <w:r>
          <w:tab/>
          <w:t>(b)</w:t>
        </w:r>
        <w:r>
          <w:tab/>
          <w:t>a committee of Cabinet; and</w:t>
        </w:r>
      </w:ins>
    </w:p>
    <w:p>
      <w:pPr>
        <w:pStyle w:val="Defpara"/>
        <w:rPr>
          <w:ins w:id="211" w:author="svcMRProcess" w:date="2018-09-07T05:21:00Z"/>
        </w:rPr>
      </w:pPr>
      <w:ins w:id="212" w:author="svcMRProcess" w:date="2018-09-07T05:21:00Z">
        <w:r>
          <w:tab/>
          <w:t>(c)</w:t>
        </w:r>
        <w:r>
          <w:tab/>
          <w:t>a subcommittee of a committee of Cabinet; and</w:t>
        </w:r>
      </w:ins>
    </w:p>
    <w:p>
      <w:pPr>
        <w:pStyle w:val="Defpara"/>
        <w:rPr>
          <w:ins w:id="213" w:author="svcMRProcess" w:date="2018-09-07T05:21:00Z"/>
        </w:rPr>
      </w:pPr>
      <w:ins w:id="214" w:author="svcMRProcess" w:date="2018-09-07T05:21:00Z">
        <w:r>
          <w:tab/>
          <w:t>(d)</w:t>
        </w:r>
        <w:r>
          <w:tab/>
          <w:t>the Treasurer.</w:t>
        </w:r>
      </w:ins>
    </w:p>
    <w:p>
      <w:pPr>
        <w:pStyle w:val="Subsection"/>
        <w:rPr>
          <w:ins w:id="215" w:author="svcMRProcess" w:date="2018-09-07T05:21:00Z"/>
        </w:rPr>
      </w:pPr>
      <w:ins w:id="216" w:author="svcMRProcess" w:date="2018-09-07T05:21:00Z">
        <w:r>
          <w:tab/>
          <w:t>(2)</w:t>
        </w:r>
        <w:r>
          <w:tab/>
        </w:r>
        <w:r>
          <w:rPr>
            <w:snapToGrid w:val="0"/>
          </w:rPr>
          <w:t xml:space="preserve">A port authority in performing its functions </w:t>
        </w:r>
        <w:r>
          <w:t xml:space="preserve">must — </w:t>
        </w:r>
      </w:ins>
    </w:p>
    <w:p>
      <w:pPr>
        <w:pStyle w:val="Indenta"/>
        <w:rPr>
          <w:ins w:id="217" w:author="svcMRProcess" w:date="2018-09-07T05:21:00Z"/>
        </w:rPr>
      </w:pPr>
      <w:ins w:id="218" w:author="svcMRProcess" w:date="2018-09-07T05:21:00Z">
        <w:r>
          <w:tab/>
          <w:t>(a)</w:t>
        </w:r>
        <w:r>
          <w:tab/>
          <w:t>comply with approved requirements as to capital works expenditure limits and associated funding; and</w:t>
        </w:r>
      </w:ins>
    </w:p>
    <w:p>
      <w:pPr>
        <w:pStyle w:val="Indenta"/>
        <w:rPr>
          <w:ins w:id="219" w:author="svcMRProcess" w:date="2018-09-07T05:21:00Z"/>
        </w:rPr>
      </w:pPr>
      <w:ins w:id="220" w:author="svcMRProcess" w:date="2018-09-07T05:21:00Z">
        <w:r>
          <w:tab/>
          <w:t>(b)</w:t>
        </w:r>
        <w:r>
          <w:tab/>
          <w:t>endeavour to achieve financial outcomes that are consistent with forecasts contained in approved income and cash flow statements and approved statements of financial position.</w:t>
        </w:r>
      </w:ins>
    </w:p>
    <w:p>
      <w:pPr>
        <w:pStyle w:val="Subsection"/>
        <w:rPr>
          <w:ins w:id="221" w:author="svcMRProcess" w:date="2018-09-07T05:21:00Z"/>
          <w:snapToGrid w:val="0"/>
        </w:rPr>
      </w:pPr>
      <w:ins w:id="222" w:author="svcMRProcess" w:date="2018-09-07T05:21:00Z">
        <w:r>
          <w:rPr>
            <w:snapToGrid w:val="0"/>
          </w:rPr>
          <w:tab/>
          <w:t>(3)</w:t>
        </w:r>
        <w:r>
          <w:rPr>
            <w:snapToGrid w:val="0"/>
          </w:rPr>
          <w:tab/>
          <w:t>If there is any conflict or inconsistency between the duty imposed by subsection (2) and the duty imposed by section 33, the duty imposed by subsection (2) prevails. </w:t>
        </w:r>
      </w:ins>
    </w:p>
    <w:p>
      <w:pPr>
        <w:pStyle w:val="Footnotesection"/>
        <w:rPr>
          <w:ins w:id="223" w:author="svcMRProcess" w:date="2018-09-07T05:21:00Z"/>
        </w:rPr>
      </w:pPr>
      <w:ins w:id="224" w:author="svcMRProcess" w:date="2018-09-07T05:21:00Z">
        <w:r>
          <w:tab/>
          <w:t>[Section 34A inserted by No. 9 of 2014 s. 15.]</w:t>
        </w:r>
      </w:ins>
    </w:p>
    <w:p>
      <w:pPr>
        <w:pStyle w:val="Heading5"/>
        <w:rPr>
          <w:snapToGrid w:val="0"/>
        </w:rPr>
      </w:pPr>
      <w:bookmarkStart w:id="225" w:name="_Toc389811551"/>
      <w:bookmarkStart w:id="226" w:name="_Toc388862838"/>
      <w:r>
        <w:rPr>
          <w:rStyle w:val="CharSectno"/>
        </w:rPr>
        <w:t>34</w:t>
      </w:r>
      <w:r>
        <w:rPr>
          <w:snapToGrid w:val="0"/>
        </w:rPr>
        <w:t>.</w:t>
      </w:r>
      <w:r>
        <w:rPr>
          <w:snapToGrid w:val="0"/>
        </w:rPr>
        <w:tab/>
        <w:t>Duty to act on commercial principles</w:t>
      </w:r>
      <w:bookmarkEnd w:id="225"/>
      <w:bookmarkEnd w:id="226"/>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227" w:name="_Toc389811552"/>
      <w:bookmarkStart w:id="228" w:name="_Toc388862839"/>
      <w:r>
        <w:rPr>
          <w:rStyle w:val="CharSectno"/>
        </w:rPr>
        <w:t>35</w:t>
      </w:r>
      <w:r>
        <w:rPr>
          <w:snapToGrid w:val="0"/>
        </w:rPr>
        <w:t>.</w:t>
      </w:r>
      <w:r>
        <w:rPr>
          <w:snapToGrid w:val="0"/>
        </w:rPr>
        <w:tab/>
        <w:t>Powers generally</w:t>
      </w:r>
      <w:bookmarkEnd w:id="227"/>
      <w:bookmarkEnd w:id="228"/>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 and</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 and</w:t>
      </w:r>
    </w:p>
    <w:p>
      <w:pPr>
        <w:pStyle w:val="Indenta"/>
        <w:rPr>
          <w:snapToGrid w:val="0"/>
        </w:rPr>
      </w:pPr>
      <w:r>
        <w:rPr>
          <w:snapToGrid w:val="0"/>
        </w:rPr>
        <w:tab/>
        <w:t>(c)</w:t>
      </w:r>
      <w:r>
        <w:rPr>
          <w:snapToGrid w:val="0"/>
        </w:rPr>
        <w:tab/>
        <w:t>carry out port works or arrange for port works to be carried out; and</w:t>
      </w:r>
    </w:p>
    <w:p>
      <w:pPr>
        <w:pStyle w:val="Indenta"/>
        <w:rPr>
          <w:snapToGrid w:val="0"/>
        </w:rPr>
      </w:pPr>
      <w:r>
        <w:rPr>
          <w:snapToGrid w:val="0"/>
        </w:rPr>
        <w:tab/>
        <w:t>(d)</w:t>
      </w:r>
      <w:r>
        <w:rPr>
          <w:snapToGrid w:val="0"/>
        </w:rPr>
        <w:tab/>
        <w:t>provide, manage and operate port facilities or arrange for port facilities to be provided, managed and operated; and</w:t>
      </w:r>
    </w:p>
    <w:p>
      <w:pPr>
        <w:pStyle w:val="Indenta"/>
        <w:rPr>
          <w:snapToGrid w:val="0"/>
        </w:rPr>
      </w:pPr>
      <w:r>
        <w:rPr>
          <w:snapToGrid w:val="0"/>
        </w:rPr>
        <w:tab/>
        <w:t>(e)</w:t>
      </w:r>
      <w:r>
        <w:rPr>
          <w:snapToGrid w:val="0"/>
        </w:rPr>
        <w:tab/>
        <w:t>provide port services or arrange for port services to be provided; and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 and</w:t>
      </w:r>
    </w:p>
    <w:p>
      <w:pPr>
        <w:pStyle w:val="Indenta"/>
        <w:rPr>
          <w:snapToGrid w:val="0"/>
        </w:rPr>
      </w:pPr>
      <w:r>
        <w:rPr>
          <w:snapToGrid w:val="0"/>
        </w:rPr>
        <w:tab/>
        <w:t>(g)</w:t>
      </w:r>
      <w:r>
        <w:rPr>
          <w:snapToGrid w:val="0"/>
        </w:rPr>
        <w:tab/>
        <w:t>apply for the grant of any licence or other authority required by the port authority; and</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produce and deal in any equipment, facilities or system associated with, the performance of the function; and</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 and</w:t>
      </w:r>
    </w:p>
    <w:p>
      <w:pPr>
        <w:pStyle w:val="Indenta"/>
        <w:keepLines/>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 and</w:t>
      </w:r>
    </w:p>
    <w:p>
      <w:pPr>
        <w:pStyle w:val="Indenta"/>
        <w:rPr>
          <w:snapToGrid w:val="0"/>
        </w:rPr>
      </w:pPr>
      <w:r>
        <w:rPr>
          <w:snapToGrid w:val="0"/>
        </w:rPr>
        <w:tab/>
        <w:t>(l)</w:t>
      </w:r>
      <w:r>
        <w:rPr>
          <w:snapToGrid w:val="0"/>
        </w:rPr>
        <w:tab/>
        <w:t>carry out any investigation, survey, exploration or feasibility study; and</w:t>
      </w:r>
    </w:p>
    <w:p>
      <w:pPr>
        <w:pStyle w:val="Indenta"/>
        <w:rPr>
          <w:snapToGrid w:val="0"/>
        </w:rPr>
      </w:pPr>
      <w:r>
        <w:rPr>
          <w:snapToGrid w:val="0"/>
        </w:rPr>
        <w:tab/>
        <w:t>(m)</w:t>
      </w:r>
      <w:r>
        <w:rPr>
          <w:snapToGrid w:val="0"/>
        </w:rPr>
        <w:tab/>
        <w:t>collaborate in, carry out, or procure the carrying out of, research and publish information that results from the research; and</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keepNext/>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ins w:id="229" w:author="svcMRProcess" w:date="2018-09-07T05:21:00Z"/>
        </w:rPr>
      </w:pPr>
      <w:ins w:id="230" w:author="svcMRProcess" w:date="2018-09-07T05:21:00Z">
        <w:r>
          <w:tab/>
          <w:t>(9A)</w:t>
        </w:r>
        <w:r>
          <w:tab/>
          <w:t xml:space="preserve">Subject to the </w:t>
        </w:r>
        <w:r>
          <w:rPr>
            <w:i/>
          </w:rPr>
          <w:t>Environmental Protection Act 1986</w:t>
        </w:r>
        <w:r>
          <w:t>, port operations may take place on any day and at any time.</w:t>
        </w:r>
      </w:ins>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 and</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 and</w:t>
      </w:r>
    </w:p>
    <w:p>
      <w:pPr>
        <w:pStyle w:val="Defpara"/>
      </w:pPr>
      <w:r>
        <w:tab/>
        <w:t>(b)</w:t>
      </w:r>
      <w:r>
        <w:tab/>
        <w:t>dredging, engineering, marine civil construction, pollution management, security, pilotage, towage, vessel movement control, emergency response, shore stabilization and waste management services; and</w:t>
      </w:r>
    </w:p>
    <w:p>
      <w:pPr>
        <w:pStyle w:val="Defpara"/>
      </w:pPr>
      <w:r>
        <w:tab/>
        <w:t>(c)</w:t>
      </w:r>
      <w:r>
        <w:tab/>
        <w:t>supplying provisions or equipment to vessels; and</w:t>
      </w:r>
    </w:p>
    <w:p>
      <w:pPr>
        <w:pStyle w:val="Defpara"/>
      </w:pPr>
      <w:r>
        <w:tab/>
        <w:t>(d)</w:t>
      </w:r>
      <w:r>
        <w:tab/>
        <w:t>supplying water, fuel or electricity; and</w:t>
      </w:r>
    </w:p>
    <w:p>
      <w:pPr>
        <w:pStyle w:val="Defpara"/>
      </w:pPr>
      <w:r>
        <w:tab/>
        <w:t>(e)</w:t>
      </w:r>
      <w:r>
        <w:tab/>
        <w:t>providing for the use or hire of port facilities; and</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Footnotesection"/>
        <w:rPr>
          <w:ins w:id="231" w:author="svcMRProcess" w:date="2018-09-07T05:21:00Z"/>
        </w:rPr>
      </w:pPr>
      <w:ins w:id="232" w:author="svcMRProcess" w:date="2018-09-07T05:21:00Z">
        <w:r>
          <w:tab/>
          <w:t>[Section 35 amended by No. 9 of 2014 s. 16.]</w:t>
        </w:r>
      </w:ins>
    </w:p>
    <w:p>
      <w:pPr>
        <w:pStyle w:val="Heading5"/>
        <w:rPr>
          <w:snapToGrid w:val="0"/>
        </w:rPr>
      </w:pPr>
      <w:bookmarkStart w:id="233" w:name="_Toc389811553"/>
      <w:bookmarkStart w:id="234" w:name="_Toc388862840"/>
      <w:r>
        <w:rPr>
          <w:rStyle w:val="CharSectno"/>
        </w:rPr>
        <w:t>36</w:t>
      </w:r>
      <w:r>
        <w:rPr>
          <w:snapToGrid w:val="0"/>
        </w:rPr>
        <w:t>.</w:t>
      </w:r>
      <w:r>
        <w:rPr>
          <w:snapToGrid w:val="0"/>
        </w:rPr>
        <w:tab/>
        <w:t>Port facilities and services, extended powers as to</w:t>
      </w:r>
      <w:bookmarkEnd w:id="233"/>
      <w:bookmarkEnd w:id="234"/>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 and</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235" w:name="_Toc389811554"/>
      <w:bookmarkStart w:id="236" w:name="_Toc388862841"/>
      <w:r>
        <w:rPr>
          <w:rStyle w:val="CharSectno"/>
        </w:rPr>
        <w:t>37</w:t>
      </w:r>
      <w:r>
        <w:rPr>
          <w:snapToGrid w:val="0"/>
        </w:rPr>
        <w:t>.</w:t>
      </w:r>
      <w:r>
        <w:rPr>
          <w:snapToGrid w:val="0"/>
        </w:rPr>
        <w:tab/>
        <w:t>Fees and charges, power to levy</w:t>
      </w:r>
      <w:bookmarkEnd w:id="235"/>
      <w:bookmarkEnd w:id="236"/>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237" w:name="_Toc389811555"/>
      <w:bookmarkStart w:id="238" w:name="_Toc388862842"/>
      <w:r>
        <w:rPr>
          <w:rStyle w:val="CharSectno"/>
        </w:rPr>
        <w:t>38</w:t>
      </w:r>
      <w:r>
        <w:rPr>
          <w:snapToGrid w:val="0"/>
        </w:rPr>
        <w:t>.</w:t>
      </w:r>
      <w:r>
        <w:rPr>
          <w:snapToGrid w:val="0"/>
        </w:rPr>
        <w:tab/>
        <w:t>Planning laws, application of to port authorities</w:t>
      </w:r>
      <w:bookmarkEnd w:id="237"/>
      <w:bookmarkEnd w:id="2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pPr>
        <w:pStyle w:val="Ednotesubsection"/>
      </w:pPr>
      <w:r>
        <w:tab/>
        <w:t>[(4), (5)</w:t>
      </w:r>
      <w:r>
        <w:tab/>
        <w:t>deleted]</w:t>
      </w:r>
    </w:p>
    <w:p>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pPr>
        <w:pStyle w:val="Footnotesection"/>
      </w:pPr>
      <w:r>
        <w:tab/>
        <w:t>[Section 38 amended by No. 74 of 2003 s. 93(3); No. 38 of 2005 s. 15; No. 24 of 2011 s. 169.]</w:t>
      </w:r>
    </w:p>
    <w:p>
      <w:pPr>
        <w:pStyle w:val="Heading5"/>
        <w:rPr>
          <w:snapToGrid w:val="0"/>
        </w:rPr>
      </w:pPr>
      <w:bookmarkStart w:id="239" w:name="_Toc389811556"/>
      <w:bookmarkStart w:id="240" w:name="_Toc388862843"/>
      <w:r>
        <w:rPr>
          <w:rStyle w:val="CharSectno"/>
        </w:rPr>
        <w:t>39</w:t>
      </w:r>
      <w:r>
        <w:rPr>
          <w:snapToGrid w:val="0"/>
        </w:rPr>
        <w:t>.</w:t>
      </w:r>
      <w:r>
        <w:rPr>
          <w:snapToGrid w:val="0"/>
        </w:rPr>
        <w:tab/>
        <w:t>Subsidiaries of port authorities, acquisition of etc.</w:t>
      </w:r>
      <w:bookmarkEnd w:id="239"/>
      <w:bookmarkEnd w:id="240"/>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 and</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241" w:name="_Toc389811557"/>
      <w:bookmarkStart w:id="242" w:name="_Toc388862844"/>
      <w:r>
        <w:rPr>
          <w:rStyle w:val="CharSectno"/>
        </w:rPr>
        <w:t>40</w:t>
      </w:r>
      <w:r>
        <w:rPr>
          <w:snapToGrid w:val="0"/>
        </w:rPr>
        <w:t>.</w:t>
      </w:r>
      <w:r>
        <w:rPr>
          <w:snapToGrid w:val="0"/>
        </w:rPr>
        <w:tab/>
        <w:t>Ministerial approval, transactions requiring</w:t>
      </w:r>
      <w:bookmarkEnd w:id="241"/>
      <w:bookmarkEnd w:id="242"/>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 and</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243" w:name="_Toc389811558"/>
      <w:bookmarkStart w:id="244" w:name="_Toc388862845"/>
      <w:r>
        <w:rPr>
          <w:rStyle w:val="CharSectno"/>
        </w:rPr>
        <w:t>41</w:t>
      </w:r>
      <w:r>
        <w:rPr>
          <w:snapToGrid w:val="0"/>
        </w:rPr>
        <w:t>.</w:t>
      </w:r>
      <w:r>
        <w:rPr>
          <w:snapToGrid w:val="0"/>
        </w:rPr>
        <w:tab/>
        <w:t>Exemptions from s. 40</w:t>
      </w:r>
      <w:bookmarkEnd w:id="243"/>
      <w:bookmarkEnd w:id="244"/>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245" w:name="_Toc389811559"/>
      <w:bookmarkStart w:id="246" w:name="_Toc388862846"/>
      <w:r>
        <w:rPr>
          <w:rStyle w:val="CharSectno"/>
        </w:rPr>
        <w:t>42</w:t>
      </w:r>
      <w:r>
        <w:rPr>
          <w:snapToGrid w:val="0"/>
        </w:rPr>
        <w:t>.</w:t>
      </w:r>
      <w:r>
        <w:rPr>
          <w:snapToGrid w:val="0"/>
        </w:rPr>
        <w:tab/>
        <w:t>Term used: transaction</w:t>
      </w:r>
      <w:bookmarkEnd w:id="245"/>
      <w:bookmarkEnd w:id="246"/>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247" w:name="_Toc389811560"/>
      <w:bookmarkStart w:id="248" w:name="_Toc388862847"/>
      <w:r>
        <w:rPr>
          <w:rStyle w:val="CharSectno"/>
        </w:rPr>
        <w:t>43</w:t>
      </w:r>
      <w:r>
        <w:rPr>
          <w:snapToGrid w:val="0"/>
        </w:rPr>
        <w:t>.</w:t>
      </w:r>
      <w:r>
        <w:rPr>
          <w:snapToGrid w:val="0"/>
        </w:rPr>
        <w:tab/>
        <w:t>Major initiatives etc., Minister to be consulted on</w:t>
      </w:r>
      <w:bookmarkEnd w:id="247"/>
      <w:bookmarkEnd w:id="248"/>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249" w:name="_Toc389811561"/>
      <w:bookmarkStart w:id="250" w:name="_Toc388862848"/>
      <w:r>
        <w:rPr>
          <w:rStyle w:val="CharSectno"/>
        </w:rPr>
        <w:t>44</w:t>
      </w:r>
      <w:r>
        <w:rPr>
          <w:snapToGrid w:val="0"/>
        </w:rPr>
        <w:t>.</w:t>
      </w:r>
      <w:r>
        <w:rPr>
          <w:snapToGrid w:val="0"/>
        </w:rPr>
        <w:tab/>
        <w:t>Delegation by port authority</w:t>
      </w:r>
      <w:bookmarkEnd w:id="249"/>
      <w:bookmarkEnd w:id="250"/>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rPr>
          <w:snapToGrid w:val="0"/>
        </w:rPr>
      </w:pPr>
      <w:r>
        <w:rPr>
          <w:snapToGrid w:val="0"/>
        </w:rPr>
        <w:tab/>
        <w:t>(b)</w:t>
      </w:r>
      <w:r>
        <w:rPr>
          <w:snapToGrid w:val="0"/>
        </w:rPr>
        <w:tab/>
        <w:t>the CEO; or</w:t>
      </w:r>
    </w:p>
    <w:p>
      <w:pPr>
        <w:pStyle w:val="Indenta"/>
        <w:rPr>
          <w:snapToGrid w:val="0"/>
        </w:rPr>
      </w:pPr>
      <w:r>
        <w:rPr>
          <w:snapToGrid w:val="0"/>
        </w:rPr>
        <w:tab/>
        <w:t>(c)</w:t>
      </w:r>
      <w:r>
        <w:rPr>
          <w:snapToGrid w:val="0"/>
        </w:rPr>
        <w:tab/>
        <w:t>a member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251" w:name="_Toc389811562"/>
      <w:bookmarkStart w:id="252" w:name="_Toc388519234"/>
      <w:bookmarkStart w:id="253" w:name="_Toc388862849"/>
      <w:r>
        <w:rPr>
          <w:rStyle w:val="CharDivNo"/>
        </w:rPr>
        <w:t>Division 2</w:t>
      </w:r>
      <w:r>
        <w:rPr>
          <w:snapToGrid w:val="0"/>
        </w:rPr>
        <w:t xml:space="preserve"> — </w:t>
      </w:r>
      <w:r>
        <w:rPr>
          <w:rStyle w:val="CharDivText"/>
        </w:rPr>
        <w:t>Protection of people dealing with port authorities</w:t>
      </w:r>
      <w:bookmarkEnd w:id="251"/>
      <w:bookmarkEnd w:id="252"/>
      <w:bookmarkEnd w:id="253"/>
    </w:p>
    <w:p>
      <w:pPr>
        <w:pStyle w:val="Heading5"/>
        <w:rPr>
          <w:snapToGrid w:val="0"/>
        </w:rPr>
      </w:pPr>
      <w:bookmarkStart w:id="254" w:name="_Toc389811563"/>
      <w:bookmarkStart w:id="255" w:name="_Toc388862850"/>
      <w:r>
        <w:rPr>
          <w:rStyle w:val="CharSectno"/>
        </w:rPr>
        <w:t>45</w:t>
      </w:r>
      <w:r>
        <w:rPr>
          <w:snapToGrid w:val="0"/>
        </w:rPr>
        <w:t>.</w:t>
      </w:r>
      <w:r>
        <w:rPr>
          <w:snapToGrid w:val="0"/>
        </w:rPr>
        <w:tab/>
        <w:t>People dealing with port authorities may make assumptions</w:t>
      </w:r>
      <w:bookmarkEnd w:id="254"/>
      <w:bookmarkEnd w:id="255"/>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256" w:name="_Toc389811564"/>
      <w:bookmarkStart w:id="257" w:name="_Toc388862851"/>
      <w:r>
        <w:rPr>
          <w:rStyle w:val="CharSectno"/>
        </w:rPr>
        <w:t>46</w:t>
      </w:r>
      <w:r>
        <w:rPr>
          <w:snapToGrid w:val="0"/>
        </w:rPr>
        <w:t>.</w:t>
      </w:r>
      <w:r>
        <w:rPr>
          <w:snapToGrid w:val="0"/>
        </w:rPr>
        <w:tab/>
        <w:t>Third parties may make assumptions</w:t>
      </w:r>
      <w:bookmarkEnd w:id="256"/>
      <w:bookmarkEnd w:id="257"/>
      <w:r>
        <w:rPr>
          <w:snapToGrid w:val="0"/>
        </w:rPr>
        <w:t xml:space="preserve"> </w:t>
      </w:r>
    </w:p>
    <w:p>
      <w:pPr>
        <w:pStyle w:val="Subsection"/>
        <w:rPr>
          <w:snapToGrid w:val="0"/>
        </w:rPr>
      </w:pPr>
      <w:r>
        <w:rPr>
          <w:snapToGrid w:val="0"/>
        </w:rPr>
        <w:tab/>
        <w:t>(1)</w:t>
      </w:r>
      <w:r>
        <w:rPr>
          <w:snapToGrid w:val="0"/>
        </w:rPr>
        <w:tab/>
        <w:t xml:space="preserve">A </w:t>
      </w:r>
      <w:r>
        <w:t>person (the</w:t>
      </w:r>
      <w:r>
        <w:rPr>
          <w:rStyle w:val="CharDefText"/>
        </w:rPr>
        <w:t xml:space="preserve"> third party</w:t>
      </w:r>
      <w:r>
        <w:rPr>
          <w:snapToGrid w:val="0"/>
        </w:rPr>
        <w:t xml:space="preserve">) having dealings with a </w:t>
      </w:r>
      <w:r>
        <w:t xml:space="preserve">person (the </w:t>
      </w:r>
      <w:r>
        <w:rPr>
          <w:rStyle w:val="CharDefText"/>
        </w:rPr>
        <w:t>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258" w:name="_Toc389811565"/>
      <w:bookmarkStart w:id="259" w:name="_Toc388862852"/>
      <w:r>
        <w:rPr>
          <w:rStyle w:val="CharSectno"/>
        </w:rPr>
        <w:t>47</w:t>
      </w:r>
      <w:r>
        <w:rPr>
          <w:snapToGrid w:val="0"/>
        </w:rPr>
        <w:t>.</w:t>
      </w:r>
      <w:r>
        <w:rPr>
          <w:snapToGrid w:val="0"/>
        </w:rPr>
        <w:tab/>
        <w:t>Assumptions that may be made under s. 45 and 46</w:t>
      </w:r>
      <w:bookmarkEnd w:id="258"/>
      <w:bookmarkEnd w:id="259"/>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 and</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 and</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260" w:name="_Toc389811566"/>
      <w:bookmarkStart w:id="261" w:name="_Toc388862853"/>
      <w:r>
        <w:rPr>
          <w:rStyle w:val="CharSectno"/>
        </w:rPr>
        <w:t>48</w:t>
      </w:r>
      <w:r>
        <w:rPr>
          <w:snapToGrid w:val="0"/>
        </w:rPr>
        <w:t>.</w:t>
      </w:r>
      <w:r>
        <w:rPr>
          <w:snapToGrid w:val="0"/>
        </w:rPr>
        <w:tab/>
        <w:t>Exception to s. 45 and 46</w:t>
      </w:r>
      <w:bookmarkEnd w:id="260"/>
      <w:bookmarkEnd w:id="261"/>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262" w:name="_Toc389811567"/>
      <w:bookmarkStart w:id="263" w:name="_Toc388519239"/>
      <w:bookmarkStart w:id="264" w:name="_Toc388862854"/>
      <w:r>
        <w:rPr>
          <w:rStyle w:val="CharPartNo"/>
        </w:rPr>
        <w:t>Part 5</w:t>
      </w:r>
      <w:r>
        <w:t xml:space="preserve"> — </w:t>
      </w:r>
      <w:r>
        <w:rPr>
          <w:rStyle w:val="CharPartText"/>
        </w:rPr>
        <w:t>Provisions about accountability</w:t>
      </w:r>
      <w:bookmarkEnd w:id="262"/>
      <w:bookmarkEnd w:id="263"/>
      <w:bookmarkEnd w:id="264"/>
      <w:r>
        <w:rPr>
          <w:rStyle w:val="CharPartText"/>
        </w:rPr>
        <w:t xml:space="preserve"> </w:t>
      </w:r>
    </w:p>
    <w:p>
      <w:pPr>
        <w:pStyle w:val="Heading3"/>
      </w:pPr>
      <w:bookmarkStart w:id="265" w:name="_Toc389811568"/>
      <w:bookmarkStart w:id="266" w:name="_Toc388519240"/>
      <w:bookmarkStart w:id="267" w:name="_Toc388862855"/>
      <w:r>
        <w:rPr>
          <w:rStyle w:val="CharDivNo"/>
        </w:rPr>
        <w:t>Division 1</w:t>
      </w:r>
      <w:r>
        <w:t xml:space="preserve"> — </w:t>
      </w:r>
      <w:r>
        <w:rPr>
          <w:rStyle w:val="CharDivText"/>
        </w:rPr>
        <w:t>Strategic development plans</w:t>
      </w:r>
      <w:bookmarkEnd w:id="265"/>
      <w:bookmarkEnd w:id="266"/>
      <w:bookmarkEnd w:id="267"/>
      <w:r>
        <w:rPr>
          <w:rStyle w:val="CharDivText"/>
        </w:rPr>
        <w:t xml:space="preserve"> </w:t>
      </w:r>
    </w:p>
    <w:p>
      <w:pPr>
        <w:pStyle w:val="Heading5"/>
        <w:rPr>
          <w:snapToGrid w:val="0"/>
        </w:rPr>
      </w:pPr>
      <w:bookmarkStart w:id="268" w:name="_Toc389811569"/>
      <w:bookmarkStart w:id="269" w:name="_Toc388862856"/>
      <w:r>
        <w:rPr>
          <w:rStyle w:val="CharSectno"/>
        </w:rPr>
        <w:t>49</w:t>
      </w:r>
      <w:r>
        <w:rPr>
          <w:snapToGrid w:val="0"/>
        </w:rPr>
        <w:t>.</w:t>
      </w:r>
      <w:r>
        <w:rPr>
          <w:snapToGrid w:val="0"/>
        </w:rPr>
        <w:tab/>
        <w:t>Draft strategic development plan to be submitted to Minister</w:t>
      </w:r>
      <w:bookmarkEnd w:id="268"/>
      <w:bookmarkEnd w:id="269"/>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spacing w:before="240"/>
        <w:rPr>
          <w:snapToGrid w:val="0"/>
        </w:rPr>
      </w:pPr>
      <w:bookmarkStart w:id="270" w:name="_Toc389811570"/>
      <w:bookmarkStart w:id="271" w:name="_Toc388862857"/>
      <w:r>
        <w:rPr>
          <w:rStyle w:val="CharSectno"/>
        </w:rPr>
        <w:t>50</w:t>
      </w:r>
      <w:r>
        <w:rPr>
          <w:snapToGrid w:val="0"/>
        </w:rPr>
        <w:t>.</w:t>
      </w:r>
      <w:r>
        <w:rPr>
          <w:snapToGrid w:val="0"/>
        </w:rPr>
        <w:tab/>
        <w:t>Period to which strategic development plan relates</w:t>
      </w:r>
      <w:bookmarkEnd w:id="270"/>
      <w:bookmarkEnd w:id="271"/>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272" w:name="_Toc389811571"/>
      <w:bookmarkStart w:id="273" w:name="_Toc388862858"/>
      <w:r>
        <w:rPr>
          <w:rStyle w:val="CharSectno"/>
        </w:rPr>
        <w:t>51</w:t>
      </w:r>
      <w:r>
        <w:rPr>
          <w:snapToGrid w:val="0"/>
        </w:rPr>
        <w:t>.</w:t>
      </w:r>
      <w:r>
        <w:rPr>
          <w:snapToGrid w:val="0"/>
        </w:rPr>
        <w:tab/>
        <w:t>Matters to be included in strategic development plan</w:t>
      </w:r>
      <w:bookmarkEnd w:id="272"/>
      <w:bookmarkEnd w:id="273"/>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w:t>
      </w:r>
      <w:ins w:id="274" w:author="svcMRProcess" w:date="2018-09-07T05:21:00Z">
        <w:r>
          <w:rPr>
            <w:snapToGrid w:val="0"/>
          </w:rPr>
          <w:t xml:space="preserve">, </w:t>
        </w:r>
        <w:r>
          <w:t>participation of potential suppliers</w:t>
        </w:r>
      </w:ins>
      <w:r>
        <w:t xml:space="preserve">, </w:t>
      </w:r>
      <w:r>
        <w:rPr>
          <w:snapToGrid w:val="0"/>
        </w:rPr>
        <w:t>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Footnotesection"/>
        <w:rPr>
          <w:ins w:id="275" w:author="svcMRProcess" w:date="2018-09-07T05:21:00Z"/>
        </w:rPr>
      </w:pPr>
      <w:ins w:id="276" w:author="svcMRProcess" w:date="2018-09-07T05:21:00Z">
        <w:r>
          <w:tab/>
          <w:t>[Section 51 amended by No. 9 of 2014 s. 17.]</w:t>
        </w:r>
      </w:ins>
    </w:p>
    <w:p>
      <w:pPr>
        <w:pStyle w:val="Heading5"/>
        <w:spacing w:before="180"/>
        <w:rPr>
          <w:snapToGrid w:val="0"/>
        </w:rPr>
      </w:pPr>
      <w:bookmarkStart w:id="277" w:name="_Toc389811572"/>
      <w:bookmarkStart w:id="278" w:name="_Toc388862859"/>
      <w:r>
        <w:rPr>
          <w:rStyle w:val="CharSectno"/>
        </w:rPr>
        <w:t>52</w:t>
      </w:r>
      <w:r>
        <w:rPr>
          <w:snapToGrid w:val="0"/>
        </w:rPr>
        <w:t>.</w:t>
      </w:r>
      <w:r>
        <w:rPr>
          <w:snapToGrid w:val="0"/>
        </w:rPr>
        <w:tab/>
        <w:t>Strategic development plan to be agreed if possible</w:t>
      </w:r>
      <w:bookmarkEnd w:id="277"/>
      <w:bookmarkEnd w:id="278"/>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279" w:name="_Toc389811573"/>
      <w:bookmarkStart w:id="280" w:name="_Toc388862860"/>
      <w:r>
        <w:rPr>
          <w:rStyle w:val="CharSectno"/>
        </w:rPr>
        <w:t>53</w:t>
      </w:r>
      <w:r>
        <w:rPr>
          <w:snapToGrid w:val="0"/>
        </w:rPr>
        <w:t>.</w:t>
      </w:r>
      <w:r>
        <w:rPr>
          <w:snapToGrid w:val="0"/>
        </w:rPr>
        <w:tab/>
        <w:t>Minister’s powers in relation to draft strategic development plan</w:t>
      </w:r>
      <w:bookmarkEnd w:id="279"/>
      <w:bookmarkEnd w:id="280"/>
      <w:r>
        <w:rPr>
          <w:snapToGrid w:val="0"/>
        </w:rPr>
        <w:t xml:space="preserve"> </w:t>
      </w:r>
    </w:p>
    <w:p>
      <w:pPr>
        <w:pStyle w:val="Subsection"/>
        <w:spacing w:before="120"/>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81" w:name="_Toc389811574"/>
      <w:bookmarkStart w:id="282" w:name="_Toc388862861"/>
      <w:r>
        <w:rPr>
          <w:rStyle w:val="CharSectno"/>
        </w:rPr>
        <w:t>54</w:t>
      </w:r>
      <w:r>
        <w:rPr>
          <w:snapToGrid w:val="0"/>
        </w:rPr>
        <w:t>.</w:t>
      </w:r>
      <w:r>
        <w:rPr>
          <w:snapToGrid w:val="0"/>
        </w:rPr>
        <w:tab/>
        <w:t>Strategic development plan pending agreement</w:t>
      </w:r>
      <w:bookmarkEnd w:id="281"/>
      <w:bookmarkEnd w:id="282"/>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83" w:name="_Toc389811575"/>
      <w:bookmarkStart w:id="284" w:name="_Toc388862862"/>
      <w:r>
        <w:rPr>
          <w:rStyle w:val="CharSectno"/>
        </w:rPr>
        <w:t>55</w:t>
      </w:r>
      <w:r>
        <w:rPr>
          <w:snapToGrid w:val="0"/>
        </w:rPr>
        <w:t>.</w:t>
      </w:r>
      <w:r>
        <w:rPr>
          <w:snapToGrid w:val="0"/>
        </w:rPr>
        <w:tab/>
        <w:t>Agreed draft becomes strategic development plan</w:t>
      </w:r>
      <w:bookmarkEnd w:id="283"/>
      <w:bookmarkEnd w:id="284"/>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285" w:name="_Toc389811576"/>
      <w:bookmarkStart w:id="286" w:name="_Toc388862863"/>
      <w:r>
        <w:rPr>
          <w:rStyle w:val="CharSectno"/>
        </w:rPr>
        <w:t>56</w:t>
      </w:r>
      <w:r>
        <w:rPr>
          <w:snapToGrid w:val="0"/>
        </w:rPr>
        <w:t>.</w:t>
      </w:r>
      <w:r>
        <w:rPr>
          <w:snapToGrid w:val="0"/>
        </w:rPr>
        <w:tab/>
        <w:t>Modifying strategic development plan</w:t>
      </w:r>
      <w:bookmarkEnd w:id="285"/>
      <w:bookmarkEnd w:id="286"/>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87" w:name="_Toc389811577"/>
      <w:bookmarkStart w:id="288" w:name="_Toc388862864"/>
      <w:r>
        <w:rPr>
          <w:rStyle w:val="CharSectno"/>
        </w:rPr>
        <w:t>57</w:t>
      </w:r>
      <w:r>
        <w:rPr>
          <w:snapToGrid w:val="0"/>
        </w:rPr>
        <w:t>.</w:t>
      </w:r>
      <w:r>
        <w:rPr>
          <w:snapToGrid w:val="0"/>
        </w:rPr>
        <w:tab/>
        <w:t>Treasurer’s concurrence needed by Minister for s. 55 or 56</w:t>
      </w:r>
      <w:bookmarkEnd w:id="287"/>
      <w:bookmarkEnd w:id="288"/>
    </w:p>
    <w:p>
      <w:pPr>
        <w:pStyle w:val="Subsection"/>
        <w:rPr>
          <w:snapToGrid w:val="0"/>
        </w:rPr>
      </w:pPr>
      <w:r>
        <w:tab/>
      </w:r>
      <w:ins w:id="289" w:author="svcMRProcess" w:date="2018-09-07T05:21:00Z">
        <w:r>
          <w:t>(1)</w:t>
        </w:r>
      </w:ins>
      <w:r>
        <w:tab/>
        <w:t>The</w:t>
      </w:r>
      <w:r>
        <w:rPr>
          <w:snapToGrid w:val="0"/>
        </w:rPr>
        <w:t xml:space="preserv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Subsection"/>
        <w:rPr>
          <w:ins w:id="290" w:author="svcMRProcess" w:date="2018-09-07T05:21:00Z"/>
        </w:rPr>
      </w:pPr>
      <w:ins w:id="291" w:author="svcMRProcess" w:date="2018-09-07T05:21:00Z">
        <w:r>
          <w:tab/>
          <w:t>(2)</w:t>
        </w:r>
        <w:r>
          <w:tab/>
          <w:t xml:space="preserve">Without limiting section 34A, any agreement or concurrence mentioned in subsection (1) has effect subject to the reservation that the port authority must — </w:t>
        </w:r>
      </w:ins>
    </w:p>
    <w:p>
      <w:pPr>
        <w:pStyle w:val="Indenta"/>
        <w:rPr>
          <w:ins w:id="292" w:author="svcMRProcess" w:date="2018-09-07T05:21:00Z"/>
        </w:rPr>
      </w:pPr>
      <w:ins w:id="293" w:author="svcMRProcess" w:date="2018-09-07T05:21:00Z">
        <w:r>
          <w:tab/>
          <w:t>(a)</w:t>
        </w:r>
        <w:r>
          <w:tab/>
          <w:t>comply with the requirements mentioned in section 34A(2)(a); and</w:t>
        </w:r>
      </w:ins>
    </w:p>
    <w:p>
      <w:pPr>
        <w:pStyle w:val="Indenta"/>
        <w:rPr>
          <w:ins w:id="294" w:author="svcMRProcess" w:date="2018-09-07T05:21:00Z"/>
        </w:rPr>
      </w:pPr>
      <w:ins w:id="295" w:author="svcMRProcess" w:date="2018-09-07T05:21:00Z">
        <w:r>
          <w:tab/>
          <w:t>(b)</w:t>
        </w:r>
        <w:r>
          <w:tab/>
          <w:t>endeavour to achieve the financial outcomes mentioned in section 34A(2)(b),</w:t>
        </w:r>
      </w:ins>
    </w:p>
    <w:p>
      <w:pPr>
        <w:pStyle w:val="Subsection"/>
        <w:rPr>
          <w:ins w:id="296" w:author="svcMRProcess" w:date="2018-09-07T05:21:00Z"/>
        </w:rPr>
      </w:pPr>
      <w:ins w:id="297" w:author="svcMRProcess" w:date="2018-09-07T05:21:00Z">
        <w:r>
          <w:tab/>
        </w:r>
        <w:r>
          <w:tab/>
          <w:t>whether or not they are consistent with the strategic development plan or modified strategic development plan, as the case may be.</w:t>
        </w:r>
      </w:ins>
    </w:p>
    <w:p>
      <w:pPr>
        <w:pStyle w:val="Footnotesection"/>
        <w:rPr>
          <w:ins w:id="298" w:author="svcMRProcess" w:date="2018-09-07T05:21:00Z"/>
        </w:rPr>
      </w:pPr>
      <w:ins w:id="299" w:author="svcMRProcess" w:date="2018-09-07T05:21:00Z">
        <w:r>
          <w:tab/>
          <w:t>[Section 57 amended by No. 9 of 2014 s. 18.]</w:t>
        </w:r>
      </w:ins>
    </w:p>
    <w:p>
      <w:pPr>
        <w:pStyle w:val="Heading3"/>
      </w:pPr>
      <w:bookmarkStart w:id="300" w:name="_Toc389811578"/>
      <w:bookmarkStart w:id="301" w:name="_Toc388519250"/>
      <w:bookmarkStart w:id="302" w:name="_Toc388862865"/>
      <w:r>
        <w:rPr>
          <w:rStyle w:val="CharDivNo"/>
        </w:rPr>
        <w:t>Division 2</w:t>
      </w:r>
      <w:r>
        <w:t xml:space="preserve"> — </w:t>
      </w:r>
      <w:r>
        <w:rPr>
          <w:rStyle w:val="CharDivText"/>
        </w:rPr>
        <w:t>Statement of corporate intent</w:t>
      </w:r>
      <w:bookmarkEnd w:id="300"/>
      <w:bookmarkEnd w:id="301"/>
      <w:bookmarkEnd w:id="302"/>
      <w:r>
        <w:rPr>
          <w:rStyle w:val="CharDivText"/>
        </w:rPr>
        <w:t xml:space="preserve"> </w:t>
      </w:r>
    </w:p>
    <w:p>
      <w:pPr>
        <w:pStyle w:val="Heading5"/>
        <w:rPr>
          <w:snapToGrid w:val="0"/>
        </w:rPr>
      </w:pPr>
      <w:bookmarkStart w:id="303" w:name="_Toc389811579"/>
      <w:bookmarkStart w:id="304" w:name="_Toc388862866"/>
      <w:r>
        <w:rPr>
          <w:rStyle w:val="CharSectno"/>
        </w:rPr>
        <w:t>58</w:t>
      </w:r>
      <w:r>
        <w:rPr>
          <w:snapToGrid w:val="0"/>
        </w:rPr>
        <w:t>.</w:t>
      </w:r>
      <w:r>
        <w:rPr>
          <w:snapToGrid w:val="0"/>
        </w:rPr>
        <w:tab/>
        <w:t>Draft statement of corporate intent to be submitted to Minister</w:t>
      </w:r>
      <w:bookmarkEnd w:id="303"/>
      <w:bookmarkEnd w:id="304"/>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spacing w:before="240"/>
        <w:rPr>
          <w:snapToGrid w:val="0"/>
        </w:rPr>
      </w:pPr>
      <w:bookmarkStart w:id="305" w:name="_Toc389811580"/>
      <w:bookmarkStart w:id="306" w:name="_Toc388862867"/>
      <w:r>
        <w:rPr>
          <w:rStyle w:val="CharSectno"/>
        </w:rPr>
        <w:t>59</w:t>
      </w:r>
      <w:r>
        <w:rPr>
          <w:snapToGrid w:val="0"/>
        </w:rPr>
        <w:t>.</w:t>
      </w:r>
      <w:r>
        <w:rPr>
          <w:snapToGrid w:val="0"/>
        </w:rPr>
        <w:tab/>
        <w:t>Period to which statement of corporate intent relates</w:t>
      </w:r>
      <w:bookmarkEnd w:id="305"/>
      <w:bookmarkEnd w:id="306"/>
      <w:r>
        <w:rPr>
          <w:snapToGrid w:val="0"/>
        </w:rPr>
        <w:t xml:space="preserve"> </w:t>
      </w:r>
    </w:p>
    <w:p>
      <w:pPr>
        <w:pStyle w:val="Subsection"/>
        <w:spacing w:before="180"/>
        <w:rPr>
          <w:snapToGrid w:val="0"/>
        </w:rPr>
      </w:pPr>
      <w:r>
        <w:rPr>
          <w:snapToGrid w:val="0"/>
        </w:rPr>
        <w:tab/>
      </w:r>
      <w:r>
        <w:rPr>
          <w:snapToGrid w:val="0"/>
        </w:rPr>
        <w:tab/>
        <w:t>A statement of corporate intent is to cover a financial year.</w:t>
      </w:r>
    </w:p>
    <w:p>
      <w:pPr>
        <w:pStyle w:val="Heading5"/>
        <w:spacing w:before="240"/>
        <w:rPr>
          <w:snapToGrid w:val="0"/>
        </w:rPr>
      </w:pPr>
      <w:bookmarkStart w:id="307" w:name="_Toc389811581"/>
      <w:bookmarkStart w:id="308" w:name="_Toc388862868"/>
      <w:r>
        <w:rPr>
          <w:rStyle w:val="CharSectno"/>
        </w:rPr>
        <w:t>60</w:t>
      </w:r>
      <w:r>
        <w:rPr>
          <w:snapToGrid w:val="0"/>
        </w:rPr>
        <w:t>.</w:t>
      </w:r>
      <w:r>
        <w:rPr>
          <w:snapToGrid w:val="0"/>
        </w:rPr>
        <w:tab/>
        <w:t>Matters to be included in statement of corporate intent</w:t>
      </w:r>
      <w:bookmarkEnd w:id="307"/>
      <w:bookmarkEnd w:id="308"/>
      <w:r>
        <w:rPr>
          <w:snapToGrid w:val="0"/>
        </w:rPr>
        <w:t xml:space="preserve"> </w:t>
      </w:r>
    </w:p>
    <w:p>
      <w:pPr>
        <w:pStyle w:val="Subsection"/>
        <w:spacing w:before="180"/>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spacing w:before="180"/>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 and</w:t>
      </w:r>
    </w:p>
    <w:p>
      <w:pPr>
        <w:pStyle w:val="Indenta"/>
        <w:rPr>
          <w:snapToGrid w:val="0"/>
        </w:rPr>
      </w:pPr>
      <w:r>
        <w:rPr>
          <w:snapToGrid w:val="0"/>
        </w:rPr>
        <w:tab/>
        <w:t>(b)</w:t>
      </w:r>
      <w:r>
        <w:rPr>
          <w:snapToGrid w:val="0"/>
        </w:rPr>
        <w:tab/>
        <w:t>an outline of major planned achievements; and</w:t>
      </w:r>
    </w:p>
    <w:p>
      <w:pPr>
        <w:pStyle w:val="Indenta"/>
        <w:rPr>
          <w:snapToGrid w:val="0"/>
        </w:rPr>
      </w:pPr>
      <w:r>
        <w:rPr>
          <w:snapToGrid w:val="0"/>
        </w:rPr>
        <w:tab/>
        <w:t>(c)</w:t>
      </w:r>
      <w:r>
        <w:rPr>
          <w:snapToGrid w:val="0"/>
        </w:rPr>
        <w:tab/>
        <w:t>proposed arrangements to facilitate trade; and</w:t>
      </w:r>
    </w:p>
    <w:p>
      <w:pPr>
        <w:pStyle w:val="Indenta"/>
        <w:rPr>
          <w:snapToGrid w:val="0"/>
        </w:rPr>
      </w:pPr>
      <w:r>
        <w:rPr>
          <w:snapToGrid w:val="0"/>
        </w:rPr>
        <w:tab/>
        <w:t>(d)</w:t>
      </w:r>
      <w:r>
        <w:rPr>
          <w:snapToGrid w:val="0"/>
        </w:rPr>
        <w:tab/>
        <w:t>estimates of operating revenue and expenditure; and</w:t>
      </w:r>
    </w:p>
    <w:p>
      <w:pPr>
        <w:pStyle w:val="Indenta"/>
        <w:rPr>
          <w:snapToGrid w:val="0"/>
        </w:rPr>
      </w:pPr>
      <w:r>
        <w:rPr>
          <w:snapToGrid w:val="0"/>
        </w:rPr>
        <w:tab/>
        <w:t>(e)</w:t>
      </w:r>
      <w:r>
        <w:rPr>
          <w:snapToGrid w:val="0"/>
        </w:rPr>
        <w:tab/>
        <w:t>an outline of capital expenditure and borrowing requirements; and</w:t>
      </w:r>
    </w:p>
    <w:p>
      <w:pPr>
        <w:pStyle w:val="Indenta"/>
        <w:rPr>
          <w:snapToGrid w:val="0"/>
        </w:rPr>
      </w:pPr>
      <w:r>
        <w:rPr>
          <w:snapToGrid w:val="0"/>
        </w:rPr>
        <w:tab/>
        <w:t>(f)</w:t>
      </w:r>
      <w:r>
        <w:rPr>
          <w:snapToGrid w:val="0"/>
        </w:rPr>
        <w:tab/>
        <w:t>proposed pricing arrangements; and</w:t>
      </w:r>
    </w:p>
    <w:p>
      <w:pPr>
        <w:pStyle w:val="Indenta"/>
        <w:rPr>
          <w:snapToGrid w:val="0"/>
        </w:rPr>
      </w:pPr>
      <w:r>
        <w:rPr>
          <w:snapToGrid w:val="0"/>
        </w:rPr>
        <w:tab/>
        <w:t>(g)</w:t>
      </w:r>
      <w:r>
        <w:rPr>
          <w:snapToGrid w:val="0"/>
        </w:rPr>
        <w:tab/>
        <w:t>proposed provisions for dividends; and</w:t>
      </w:r>
    </w:p>
    <w:p>
      <w:pPr>
        <w:pStyle w:val="Indenta"/>
        <w:rPr>
          <w:snapToGrid w:val="0"/>
        </w:rPr>
      </w:pPr>
      <w:r>
        <w:rPr>
          <w:snapToGrid w:val="0"/>
        </w:rPr>
        <w:tab/>
        <w:t>(h)</w:t>
      </w:r>
      <w:r>
        <w:rPr>
          <w:snapToGrid w:val="0"/>
        </w:rPr>
        <w:tab/>
        <w:t>the performance targets and other measures by which performances may be judged and related to objectives; and</w:t>
      </w:r>
    </w:p>
    <w:p>
      <w:pPr>
        <w:pStyle w:val="Indenta"/>
        <w:rPr>
          <w:snapToGrid w:val="0"/>
        </w:rPr>
      </w:pPr>
      <w:r>
        <w:rPr>
          <w:snapToGrid w:val="0"/>
        </w:rPr>
        <w:tab/>
        <w:t>(i)</w:t>
      </w:r>
      <w:r>
        <w:rPr>
          <w:snapToGrid w:val="0"/>
        </w:rPr>
        <w:tab/>
        <w:t>accounting policies that apply to the preparation of accounts; and</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 and</w:t>
      </w:r>
    </w:p>
    <w:p>
      <w:pPr>
        <w:pStyle w:val="Indenta"/>
        <w:rPr>
          <w:ins w:id="309" w:author="svcMRProcess" w:date="2018-09-07T05:21:00Z"/>
        </w:rPr>
      </w:pPr>
      <w:ins w:id="310" w:author="svcMRProcess" w:date="2018-09-07T05:21:00Z">
        <w:r>
          <w:tab/>
          <w:t>(ka)</w:t>
        </w:r>
        <w:r>
          <w:tab/>
          <w:t>proposed arrangements to facilitate the participation of potential suppliers in the provision of port services or, if no arrangements are proposed, the reason and justification for their absence; and</w:t>
        </w:r>
      </w:ins>
    </w:p>
    <w:p>
      <w:pPr>
        <w:pStyle w:val="Indenta"/>
        <w:rPr>
          <w:snapToGrid w:val="0"/>
        </w:rPr>
      </w:pPr>
      <w:r>
        <w:rPr>
          <w:snapToGrid w:val="0"/>
        </w:rPr>
        <w:tab/>
        <w:t>(k)</w:t>
      </w:r>
      <w:r>
        <w:rPr>
          <w:snapToGrid w:val="0"/>
        </w:rPr>
        <w:tab/>
        <w:t>the nature and extent of community service obligations that are to be performed; and</w:t>
      </w:r>
    </w:p>
    <w:p>
      <w:pPr>
        <w:pStyle w:val="Indenta"/>
        <w:rPr>
          <w:snapToGrid w:val="0"/>
        </w:rPr>
      </w:pPr>
      <w:r>
        <w:rPr>
          <w:snapToGrid w:val="0"/>
        </w:rPr>
        <w:tab/>
        <w:t>(l)</w:t>
      </w:r>
      <w:r>
        <w:rPr>
          <w:snapToGrid w:val="0"/>
        </w:rPr>
        <w:tab/>
        <w:t>the costings of, funding for, or other arrangements to make adjustments relating to, community service obligations; and</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 and</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Footnotesection"/>
        <w:rPr>
          <w:ins w:id="311" w:author="svcMRProcess" w:date="2018-09-07T05:21:00Z"/>
        </w:rPr>
      </w:pPr>
      <w:ins w:id="312" w:author="svcMRProcess" w:date="2018-09-07T05:21:00Z">
        <w:r>
          <w:tab/>
          <w:t>[Section 60 amended by No. 9 of 2014 s. 19.]</w:t>
        </w:r>
      </w:ins>
    </w:p>
    <w:p>
      <w:pPr>
        <w:pStyle w:val="Heading5"/>
        <w:spacing w:before="180"/>
        <w:rPr>
          <w:snapToGrid w:val="0"/>
        </w:rPr>
      </w:pPr>
      <w:bookmarkStart w:id="313" w:name="_Toc389811582"/>
      <w:bookmarkStart w:id="314" w:name="_Toc388862869"/>
      <w:r>
        <w:rPr>
          <w:rStyle w:val="CharSectno"/>
        </w:rPr>
        <w:t>61</w:t>
      </w:r>
      <w:r>
        <w:rPr>
          <w:snapToGrid w:val="0"/>
        </w:rPr>
        <w:t>.</w:t>
      </w:r>
      <w:r>
        <w:rPr>
          <w:snapToGrid w:val="0"/>
        </w:rPr>
        <w:tab/>
        <w:t>Statement of corporate intent to be agreed if possible</w:t>
      </w:r>
      <w:bookmarkEnd w:id="313"/>
      <w:bookmarkEnd w:id="314"/>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315" w:name="_Toc389811583"/>
      <w:bookmarkStart w:id="316" w:name="_Toc388862870"/>
      <w:r>
        <w:rPr>
          <w:rStyle w:val="CharSectno"/>
        </w:rPr>
        <w:t>62</w:t>
      </w:r>
      <w:r>
        <w:rPr>
          <w:snapToGrid w:val="0"/>
        </w:rPr>
        <w:t>.</w:t>
      </w:r>
      <w:r>
        <w:rPr>
          <w:snapToGrid w:val="0"/>
        </w:rPr>
        <w:tab/>
        <w:t>Minister’s powers in relation to draft statement of corporate intent</w:t>
      </w:r>
      <w:bookmarkEnd w:id="315"/>
      <w:bookmarkEnd w:id="316"/>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17" w:name="_Toc389811584"/>
      <w:bookmarkStart w:id="318" w:name="_Toc388862871"/>
      <w:r>
        <w:rPr>
          <w:rStyle w:val="CharSectno"/>
        </w:rPr>
        <w:t>63</w:t>
      </w:r>
      <w:r>
        <w:rPr>
          <w:snapToGrid w:val="0"/>
        </w:rPr>
        <w:t>.</w:t>
      </w:r>
      <w:r>
        <w:rPr>
          <w:snapToGrid w:val="0"/>
        </w:rPr>
        <w:tab/>
        <w:t>Statement of corporate intent pending agreement</w:t>
      </w:r>
      <w:bookmarkEnd w:id="317"/>
      <w:bookmarkEnd w:id="318"/>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319" w:name="_Toc389811585"/>
      <w:bookmarkStart w:id="320" w:name="_Toc388862872"/>
      <w:r>
        <w:rPr>
          <w:rStyle w:val="CharSectno"/>
        </w:rPr>
        <w:t>64</w:t>
      </w:r>
      <w:r>
        <w:rPr>
          <w:snapToGrid w:val="0"/>
        </w:rPr>
        <w:t>.</w:t>
      </w:r>
      <w:r>
        <w:rPr>
          <w:snapToGrid w:val="0"/>
        </w:rPr>
        <w:tab/>
        <w:t>Agreed draft becomes statement of corporate intent</w:t>
      </w:r>
      <w:bookmarkEnd w:id="319"/>
      <w:bookmarkEnd w:id="320"/>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321" w:name="_Toc389811586"/>
      <w:bookmarkStart w:id="322" w:name="_Toc388862873"/>
      <w:r>
        <w:rPr>
          <w:rStyle w:val="CharSectno"/>
        </w:rPr>
        <w:t>65</w:t>
      </w:r>
      <w:r>
        <w:rPr>
          <w:snapToGrid w:val="0"/>
        </w:rPr>
        <w:t>.</w:t>
      </w:r>
      <w:r>
        <w:rPr>
          <w:snapToGrid w:val="0"/>
        </w:rPr>
        <w:tab/>
        <w:t>Modifying statement of corporate intent</w:t>
      </w:r>
      <w:bookmarkEnd w:id="321"/>
      <w:bookmarkEnd w:id="322"/>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23" w:name="_Toc389811587"/>
      <w:bookmarkStart w:id="324" w:name="_Toc388862874"/>
      <w:r>
        <w:rPr>
          <w:rStyle w:val="CharSectno"/>
        </w:rPr>
        <w:t>66</w:t>
      </w:r>
      <w:r>
        <w:rPr>
          <w:snapToGrid w:val="0"/>
        </w:rPr>
        <w:t>.</w:t>
      </w:r>
      <w:r>
        <w:rPr>
          <w:snapToGrid w:val="0"/>
        </w:rPr>
        <w:tab/>
        <w:t>Treasurer’s concurrence needed by Minister for s. 64 and 65</w:t>
      </w:r>
      <w:bookmarkEnd w:id="323"/>
      <w:bookmarkEnd w:id="324"/>
    </w:p>
    <w:p>
      <w:pPr>
        <w:pStyle w:val="Subsection"/>
        <w:keepNext/>
        <w:keepLines/>
        <w:rPr>
          <w:snapToGrid w:val="0"/>
        </w:rPr>
      </w:pPr>
      <w:r>
        <w:tab/>
      </w:r>
      <w:ins w:id="325" w:author="svcMRProcess" w:date="2018-09-07T05:21:00Z">
        <w:r>
          <w:t>(1)</w:t>
        </w:r>
      </w:ins>
      <w:r>
        <w:tab/>
        <w:t>The</w:t>
      </w:r>
      <w:r>
        <w:rPr>
          <w:snapToGrid w:val="0"/>
        </w:rPr>
        <w:t xml:space="preserv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Subsection"/>
        <w:rPr>
          <w:ins w:id="326" w:author="svcMRProcess" w:date="2018-09-07T05:21:00Z"/>
        </w:rPr>
      </w:pPr>
      <w:ins w:id="327" w:author="svcMRProcess" w:date="2018-09-07T05:21:00Z">
        <w:r>
          <w:tab/>
          <w:t>(2)</w:t>
        </w:r>
        <w:r>
          <w:tab/>
          <w:t xml:space="preserve">Without limiting section 34A, any agreement or concurrence mentioned in subsection (1) has effect subject to the reservation that the port authority must — </w:t>
        </w:r>
      </w:ins>
    </w:p>
    <w:p>
      <w:pPr>
        <w:pStyle w:val="Indenta"/>
        <w:rPr>
          <w:ins w:id="328" w:author="svcMRProcess" w:date="2018-09-07T05:21:00Z"/>
        </w:rPr>
      </w:pPr>
      <w:ins w:id="329" w:author="svcMRProcess" w:date="2018-09-07T05:21:00Z">
        <w:r>
          <w:tab/>
          <w:t>(a)</w:t>
        </w:r>
        <w:r>
          <w:tab/>
          <w:t>comply with the requirements mentioned in section 34A(2)(a); and</w:t>
        </w:r>
      </w:ins>
    </w:p>
    <w:p>
      <w:pPr>
        <w:pStyle w:val="Indenta"/>
        <w:rPr>
          <w:ins w:id="330" w:author="svcMRProcess" w:date="2018-09-07T05:21:00Z"/>
        </w:rPr>
      </w:pPr>
      <w:ins w:id="331" w:author="svcMRProcess" w:date="2018-09-07T05:21:00Z">
        <w:r>
          <w:tab/>
          <w:t>(b)</w:t>
        </w:r>
        <w:r>
          <w:tab/>
          <w:t>endeavour to achieve the financial outcomes mentioned in section 34A(2)(b),</w:t>
        </w:r>
      </w:ins>
    </w:p>
    <w:p>
      <w:pPr>
        <w:pStyle w:val="Subsection"/>
        <w:rPr>
          <w:ins w:id="332" w:author="svcMRProcess" w:date="2018-09-07T05:21:00Z"/>
        </w:rPr>
      </w:pPr>
      <w:ins w:id="333" w:author="svcMRProcess" w:date="2018-09-07T05:21:00Z">
        <w:r>
          <w:tab/>
        </w:r>
        <w:r>
          <w:tab/>
          <w:t>whether or not they are consistent with the statement of corporate intent or modified statement of corporate intent, as the case may be.</w:t>
        </w:r>
      </w:ins>
    </w:p>
    <w:p>
      <w:pPr>
        <w:pStyle w:val="Footnotesection"/>
        <w:rPr>
          <w:ins w:id="334" w:author="svcMRProcess" w:date="2018-09-07T05:21:00Z"/>
        </w:rPr>
      </w:pPr>
      <w:ins w:id="335" w:author="svcMRProcess" w:date="2018-09-07T05:21:00Z">
        <w:r>
          <w:tab/>
          <w:t>[Section 66 amended by No. 9 of 2014 s. 20.]</w:t>
        </w:r>
      </w:ins>
    </w:p>
    <w:p>
      <w:pPr>
        <w:pStyle w:val="Heading3"/>
      </w:pPr>
      <w:bookmarkStart w:id="336" w:name="_Toc389811588"/>
      <w:bookmarkStart w:id="337" w:name="_Toc388519260"/>
      <w:bookmarkStart w:id="338" w:name="_Toc388862875"/>
      <w:r>
        <w:rPr>
          <w:rStyle w:val="CharDivNo"/>
        </w:rPr>
        <w:t>Division 3</w:t>
      </w:r>
      <w:r>
        <w:t xml:space="preserve"> — </w:t>
      </w:r>
      <w:r>
        <w:rPr>
          <w:rStyle w:val="CharDivText"/>
        </w:rPr>
        <w:t>Reporting requirements</w:t>
      </w:r>
      <w:bookmarkEnd w:id="336"/>
      <w:bookmarkEnd w:id="337"/>
      <w:bookmarkEnd w:id="338"/>
      <w:r>
        <w:rPr>
          <w:rStyle w:val="CharDivText"/>
        </w:rPr>
        <w:t xml:space="preserve"> </w:t>
      </w:r>
    </w:p>
    <w:p>
      <w:pPr>
        <w:pStyle w:val="Heading5"/>
        <w:rPr>
          <w:snapToGrid w:val="0"/>
        </w:rPr>
      </w:pPr>
      <w:bookmarkStart w:id="339" w:name="_Toc389811589"/>
      <w:bookmarkStart w:id="340" w:name="_Toc388862876"/>
      <w:r>
        <w:rPr>
          <w:rStyle w:val="CharSectno"/>
        </w:rPr>
        <w:t>67</w:t>
      </w:r>
      <w:r>
        <w:rPr>
          <w:snapToGrid w:val="0"/>
        </w:rPr>
        <w:t>.</w:t>
      </w:r>
      <w:r>
        <w:rPr>
          <w:snapToGrid w:val="0"/>
        </w:rPr>
        <w:tab/>
        <w:t>Half</w:t>
      </w:r>
      <w:r>
        <w:rPr>
          <w:snapToGrid w:val="0"/>
        </w:rPr>
        <w:noBreakHyphen/>
        <w:t>yearly reports</w:t>
      </w:r>
      <w:bookmarkEnd w:id="339"/>
      <w:bookmarkEnd w:id="340"/>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341" w:name="_Toc389811590"/>
      <w:bookmarkStart w:id="342" w:name="_Toc388862877"/>
      <w:r>
        <w:rPr>
          <w:rStyle w:val="CharSectno"/>
        </w:rPr>
        <w:t>68</w:t>
      </w:r>
      <w:r>
        <w:rPr>
          <w:snapToGrid w:val="0"/>
        </w:rPr>
        <w:t>.</w:t>
      </w:r>
      <w:r>
        <w:rPr>
          <w:snapToGrid w:val="0"/>
        </w:rPr>
        <w:tab/>
        <w:t>Annual reports</w:t>
      </w:r>
      <w:bookmarkEnd w:id="341"/>
      <w:bookmarkEnd w:id="342"/>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343" w:name="_Toc389811591"/>
      <w:bookmarkStart w:id="344" w:name="_Toc388862878"/>
      <w:r>
        <w:rPr>
          <w:rStyle w:val="CharSectno"/>
        </w:rPr>
        <w:t>69</w:t>
      </w:r>
      <w:r>
        <w:rPr>
          <w:snapToGrid w:val="0"/>
        </w:rPr>
        <w:t>.</w:t>
      </w:r>
      <w:r>
        <w:rPr>
          <w:snapToGrid w:val="0"/>
        </w:rPr>
        <w:tab/>
        <w:t>Annual reports, contents of</w:t>
      </w:r>
      <w:bookmarkEnd w:id="343"/>
      <w:bookmarkEnd w:id="344"/>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 and</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 and</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 and</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345" w:name="_Toc389811592"/>
      <w:bookmarkStart w:id="346" w:name="_Toc388862879"/>
      <w:r>
        <w:rPr>
          <w:rStyle w:val="CharSectno"/>
        </w:rPr>
        <w:t>70</w:t>
      </w:r>
      <w:r>
        <w:rPr>
          <w:snapToGrid w:val="0"/>
        </w:rPr>
        <w:t>.</w:t>
      </w:r>
      <w:r>
        <w:rPr>
          <w:snapToGrid w:val="0"/>
        </w:rPr>
        <w:tab/>
        <w:t>Commercially sensitive matters, deletion of from reports</w:t>
      </w:r>
      <w:bookmarkEnd w:id="345"/>
      <w:bookmarkEnd w:id="346"/>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347" w:name="_Toc389811593"/>
      <w:bookmarkStart w:id="348" w:name="_Toc388519265"/>
      <w:bookmarkStart w:id="349" w:name="_Toc388862880"/>
      <w:r>
        <w:rPr>
          <w:rStyle w:val="CharDivNo"/>
        </w:rPr>
        <w:t>Division 4</w:t>
      </w:r>
      <w:r>
        <w:rPr>
          <w:snapToGrid w:val="0"/>
        </w:rPr>
        <w:t xml:space="preserve"> — </w:t>
      </w:r>
      <w:r>
        <w:rPr>
          <w:rStyle w:val="CharDivText"/>
        </w:rPr>
        <w:t>Ministerial directions, general provisions</w:t>
      </w:r>
      <w:bookmarkEnd w:id="347"/>
      <w:bookmarkEnd w:id="348"/>
      <w:bookmarkEnd w:id="349"/>
      <w:r>
        <w:rPr>
          <w:rStyle w:val="CharDivText"/>
        </w:rPr>
        <w:t xml:space="preserve"> </w:t>
      </w:r>
    </w:p>
    <w:p>
      <w:pPr>
        <w:pStyle w:val="Heading5"/>
        <w:rPr>
          <w:snapToGrid w:val="0"/>
        </w:rPr>
      </w:pPr>
      <w:bookmarkStart w:id="350" w:name="_Toc389811594"/>
      <w:bookmarkStart w:id="351" w:name="_Toc388862881"/>
      <w:r>
        <w:rPr>
          <w:rStyle w:val="CharSectno"/>
        </w:rPr>
        <w:t>71</w:t>
      </w:r>
      <w:r>
        <w:rPr>
          <w:snapToGrid w:val="0"/>
        </w:rPr>
        <w:t>.</w:t>
      </w:r>
      <w:r>
        <w:rPr>
          <w:snapToGrid w:val="0"/>
        </w:rPr>
        <w:tab/>
        <w:t>Which directions port authority obliged to obey</w:t>
      </w:r>
      <w:bookmarkEnd w:id="350"/>
      <w:bookmarkEnd w:id="351"/>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352" w:name="_Toc389811595"/>
      <w:bookmarkStart w:id="353" w:name="_Toc388862882"/>
      <w:r>
        <w:rPr>
          <w:rStyle w:val="CharSectno"/>
        </w:rPr>
        <w:t>72</w:t>
      </w:r>
      <w:r>
        <w:rPr>
          <w:snapToGrid w:val="0"/>
        </w:rPr>
        <w:t>.</w:t>
      </w:r>
      <w:r>
        <w:rPr>
          <w:snapToGrid w:val="0"/>
        </w:rPr>
        <w:tab/>
        <w:t>Minister may give directions</w:t>
      </w:r>
      <w:bookmarkEnd w:id="352"/>
      <w:bookmarkEnd w:id="353"/>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354" w:name="_Toc389811596"/>
      <w:bookmarkStart w:id="355" w:name="_Toc388862883"/>
      <w:r>
        <w:rPr>
          <w:rStyle w:val="CharSectno"/>
        </w:rPr>
        <w:t>73</w:t>
      </w:r>
      <w:r>
        <w:rPr>
          <w:snapToGrid w:val="0"/>
        </w:rPr>
        <w:t>.</w:t>
      </w:r>
      <w:r>
        <w:rPr>
          <w:snapToGrid w:val="0"/>
        </w:rPr>
        <w:tab/>
        <w:t>When s. 72(1) direction takes effect</w:t>
      </w:r>
      <w:bookmarkEnd w:id="354"/>
      <w:bookmarkEnd w:id="355"/>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keepNext w:val="0"/>
      </w:pPr>
      <w:bookmarkStart w:id="356" w:name="_Toc389811597"/>
      <w:bookmarkStart w:id="357" w:name="_Toc388519269"/>
      <w:bookmarkStart w:id="358" w:name="_Toc388862884"/>
      <w:r>
        <w:rPr>
          <w:rStyle w:val="CharDivNo"/>
        </w:rPr>
        <w:t>Division 5</w:t>
      </w:r>
      <w:r>
        <w:rPr>
          <w:snapToGrid w:val="0"/>
        </w:rPr>
        <w:t xml:space="preserve"> — </w:t>
      </w:r>
      <w:r>
        <w:rPr>
          <w:rStyle w:val="CharDivText"/>
        </w:rPr>
        <w:t>Consultation and provision of information</w:t>
      </w:r>
      <w:bookmarkEnd w:id="356"/>
      <w:bookmarkEnd w:id="357"/>
      <w:bookmarkEnd w:id="358"/>
      <w:r>
        <w:rPr>
          <w:rStyle w:val="CharDivText"/>
        </w:rPr>
        <w:t xml:space="preserve"> </w:t>
      </w:r>
    </w:p>
    <w:p>
      <w:pPr>
        <w:pStyle w:val="Heading5"/>
        <w:keepNext w:val="0"/>
        <w:rPr>
          <w:snapToGrid w:val="0"/>
        </w:rPr>
      </w:pPr>
      <w:bookmarkStart w:id="359" w:name="_Toc389811598"/>
      <w:bookmarkStart w:id="360" w:name="_Toc388862885"/>
      <w:r>
        <w:rPr>
          <w:rStyle w:val="CharSectno"/>
        </w:rPr>
        <w:t>74</w:t>
      </w:r>
      <w:r>
        <w:rPr>
          <w:snapToGrid w:val="0"/>
        </w:rPr>
        <w:t>.</w:t>
      </w:r>
      <w:r>
        <w:rPr>
          <w:snapToGrid w:val="0"/>
        </w:rPr>
        <w:tab/>
        <w:t>Consultation between board and Minister</w:t>
      </w:r>
      <w:bookmarkEnd w:id="359"/>
      <w:bookmarkEnd w:id="360"/>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361" w:name="_Toc389811599"/>
      <w:bookmarkStart w:id="362" w:name="_Toc388862886"/>
      <w:r>
        <w:rPr>
          <w:rStyle w:val="CharSectno"/>
        </w:rPr>
        <w:t>75</w:t>
      </w:r>
      <w:r>
        <w:rPr>
          <w:snapToGrid w:val="0"/>
        </w:rPr>
        <w:t>.</w:t>
      </w:r>
      <w:r>
        <w:rPr>
          <w:snapToGrid w:val="0"/>
        </w:rPr>
        <w:tab/>
        <w:t>Minister to have access to information</w:t>
      </w:r>
      <w:bookmarkEnd w:id="361"/>
      <w:bookmarkEnd w:id="36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363" w:name="_Toc389811600"/>
      <w:bookmarkStart w:id="364" w:name="_Toc388862887"/>
      <w:r>
        <w:rPr>
          <w:rStyle w:val="CharSectno"/>
        </w:rPr>
        <w:t>76</w:t>
      </w:r>
      <w:r>
        <w:rPr>
          <w:snapToGrid w:val="0"/>
        </w:rPr>
        <w:t>.</w:t>
      </w:r>
      <w:r>
        <w:rPr>
          <w:snapToGrid w:val="0"/>
        </w:rPr>
        <w:tab/>
        <w:t>Minister to be kept informed</w:t>
      </w:r>
      <w:bookmarkEnd w:id="363"/>
      <w:bookmarkEnd w:id="364"/>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 and</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65" w:name="_Toc389811601"/>
      <w:bookmarkStart w:id="366" w:name="_Toc388862888"/>
      <w:r>
        <w:rPr>
          <w:rStyle w:val="CharSectno"/>
        </w:rPr>
        <w:t>77</w:t>
      </w:r>
      <w:r>
        <w:rPr>
          <w:snapToGrid w:val="0"/>
        </w:rPr>
        <w:t>.</w:t>
      </w:r>
      <w:r>
        <w:rPr>
          <w:snapToGrid w:val="0"/>
        </w:rPr>
        <w:tab/>
        <w:t>Financial difficulty, board to notify Minister of etc.</w:t>
      </w:r>
      <w:bookmarkEnd w:id="365"/>
      <w:bookmarkEnd w:id="366"/>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367" w:name="_Toc389811602"/>
      <w:bookmarkStart w:id="368" w:name="_Toc388519274"/>
      <w:bookmarkStart w:id="369" w:name="_Toc388862889"/>
      <w:r>
        <w:rPr>
          <w:rStyle w:val="CharDivNo"/>
        </w:rPr>
        <w:t>Division 6</w:t>
      </w:r>
      <w:r>
        <w:rPr>
          <w:snapToGrid w:val="0"/>
        </w:rPr>
        <w:t xml:space="preserve"> — </w:t>
      </w:r>
      <w:r>
        <w:rPr>
          <w:rStyle w:val="CharDivText"/>
        </w:rPr>
        <w:t>Protection from liability</w:t>
      </w:r>
      <w:bookmarkEnd w:id="367"/>
      <w:bookmarkEnd w:id="368"/>
      <w:bookmarkEnd w:id="369"/>
      <w:r>
        <w:rPr>
          <w:rStyle w:val="CharDivText"/>
        </w:rPr>
        <w:t xml:space="preserve"> </w:t>
      </w:r>
    </w:p>
    <w:p>
      <w:pPr>
        <w:pStyle w:val="Heading5"/>
        <w:rPr>
          <w:snapToGrid w:val="0"/>
        </w:rPr>
      </w:pPr>
      <w:bookmarkStart w:id="370" w:name="_Toc389811603"/>
      <w:bookmarkStart w:id="371" w:name="_Toc388862890"/>
      <w:r>
        <w:rPr>
          <w:rStyle w:val="CharSectno"/>
        </w:rPr>
        <w:t>78</w:t>
      </w:r>
      <w:r>
        <w:rPr>
          <w:snapToGrid w:val="0"/>
        </w:rPr>
        <w:t>.</w:t>
      </w:r>
      <w:r>
        <w:rPr>
          <w:snapToGrid w:val="0"/>
        </w:rPr>
        <w:tab/>
        <w:t>No liability for things done under this Part</w:t>
      </w:r>
      <w:bookmarkEnd w:id="370"/>
      <w:bookmarkEnd w:id="371"/>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372" w:name="_Toc389811604"/>
      <w:bookmarkStart w:id="373" w:name="_Toc388519276"/>
      <w:bookmarkStart w:id="374" w:name="_Toc388862891"/>
      <w:r>
        <w:rPr>
          <w:rStyle w:val="CharPartNo"/>
        </w:rPr>
        <w:t>Part 6</w:t>
      </w:r>
      <w:r>
        <w:t xml:space="preserve"> — </w:t>
      </w:r>
      <w:r>
        <w:rPr>
          <w:rStyle w:val="CharPartText"/>
        </w:rPr>
        <w:t>Financial provisions</w:t>
      </w:r>
      <w:bookmarkEnd w:id="372"/>
      <w:bookmarkEnd w:id="373"/>
      <w:bookmarkEnd w:id="374"/>
      <w:r>
        <w:rPr>
          <w:rStyle w:val="CharPartText"/>
        </w:rPr>
        <w:t xml:space="preserve"> </w:t>
      </w:r>
    </w:p>
    <w:p>
      <w:pPr>
        <w:pStyle w:val="Heading3"/>
      </w:pPr>
      <w:bookmarkStart w:id="375" w:name="_Toc389811605"/>
      <w:bookmarkStart w:id="376" w:name="_Toc388519277"/>
      <w:bookmarkStart w:id="377" w:name="_Toc388862892"/>
      <w:r>
        <w:rPr>
          <w:rStyle w:val="CharDivNo"/>
        </w:rPr>
        <w:t>Division 1</w:t>
      </w:r>
      <w:r>
        <w:t xml:space="preserve"> — </w:t>
      </w:r>
      <w:r>
        <w:rPr>
          <w:rStyle w:val="CharDivText"/>
        </w:rPr>
        <w:t>General</w:t>
      </w:r>
      <w:bookmarkEnd w:id="375"/>
      <w:bookmarkEnd w:id="376"/>
      <w:bookmarkEnd w:id="377"/>
      <w:r>
        <w:rPr>
          <w:rStyle w:val="CharDivText"/>
        </w:rPr>
        <w:t xml:space="preserve"> </w:t>
      </w:r>
    </w:p>
    <w:p>
      <w:pPr>
        <w:pStyle w:val="Heading5"/>
        <w:rPr>
          <w:snapToGrid w:val="0"/>
        </w:rPr>
      </w:pPr>
      <w:bookmarkStart w:id="378" w:name="_Toc389811606"/>
      <w:bookmarkStart w:id="379" w:name="_Toc388862893"/>
      <w:r>
        <w:rPr>
          <w:rStyle w:val="CharSectno"/>
        </w:rPr>
        <w:t>79</w:t>
      </w:r>
      <w:r>
        <w:rPr>
          <w:snapToGrid w:val="0"/>
        </w:rPr>
        <w:t>.</w:t>
      </w:r>
      <w:r>
        <w:rPr>
          <w:snapToGrid w:val="0"/>
        </w:rPr>
        <w:tab/>
        <w:t>Bank account</w:t>
      </w:r>
      <w:bookmarkEnd w:id="378"/>
      <w:bookmarkEnd w:id="379"/>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Sch. 1 cl. 131(1) and (2).]</w:t>
      </w:r>
    </w:p>
    <w:p>
      <w:pPr>
        <w:pStyle w:val="Heading5"/>
        <w:rPr>
          <w:snapToGrid w:val="0"/>
        </w:rPr>
      </w:pPr>
      <w:bookmarkStart w:id="380" w:name="_Toc389811607"/>
      <w:bookmarkStart w:id="381" w:name="_Toc388862894"/>
      <w:r>
        <w:rPr>
          <w:rStyle w:val="CharSectno"/>
        </w:rPr>
        <w:t>80</w:t>
      </w:r>
      <w:r>
        <w:rPr>
          <w:snapToGrid w:val="0"/>
        </w:rPr>
        <w:t>.</w:t>
      </w:r>
      <w:r>
        <w:rPr>
          <w:snapToGrid w:val="0"/>
        </w:rPr>
        <w:tab/>
        <w:t>Investing funds</w:t>
      </w:r>
      <w:bookmarkEnd w:id="380"/>
      <w:bookmarkEnd w:id="381"/>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382" w:name="_Toc389811608"/>
      <w:bookmarkStart w:id="383" w:name="_Toc388862895"/>
      <w:r>
        <w:rPr>
          <w:rStyle w:val="CharSectno"/>
        </w:rPr>
        <w:t>81</w:t>
      </w:r>
      <w:r>
        <w:rPr>
          <w:snapToGrid w:val="0"/>
        </w:rPr>
        <w:t>.</w:t>
      </w:r>
      <w:r>
        <w:rPr>
          <w:snapToGrid w:val="0"/>
        </w:rPr>
        <w:tab/>
        <w:t>Exemption from rates</w:t>
      </w:r>
      <w:bookmarkEnd w:id="382"/>
      <w:bookmarkEnd w:id="383"/>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384" w:name="_Toc389811609"/>
      <w:bookmarkStart w:id="385" w:name="_Toc388519281"/>
      <w:bookmarkStart w:id="386" w:name="_Toc388862896"/>
      <w:r>
        <w:rPr>
          <w:rStyle w:val="CharDivNo"/>
        </w:rPr>
        <w:t>Division 2</w:t>
      </w:r>
      <w:r>
        <w:rPr>
          <w:snapToGrid w:val="0"/>
        </w:rPr>
        <w:t xml:space="preserve"> — </w:t>
      </w:r>
      <w:r>
        <w:rPr>
          <w:rStyle w:val="CharDivText"/>
        </w:rPr>
        <w:t>Payments to State</w:t>
      </w:r>
      <w:bookmarkEnd w:id="384"/>
      <w:bookmarkEnd w:id="385"/>
      <w:bookmarkEnd w:id="386"/>
      <w:r>
        <w:rPr>
          <w:rStyle w:val="CharDivText"/>
        </w:rPr>
        <w:t xml:space="preserve"> </w:t>
      </w:r>
    </w:p>
    <w:p>
      <w:pPr>
        <w:pStyle w:val="Heading5"/>
        <w:rPr>
          <w:snapToGrid w:val="0"/>
        </w:rPr>
      </w:pPr>
      <w:bookmarkStart w:id="387" w:name="_Toc389811610"/>
      <w:bookmarkStart w:id="388" w:name="_Toc388862897"/>
      <w:r>
        <w:rPr>
          <w:rStyle w:val="CharSectno"/>
        </w:rPr>
        <w:t>82</w:t>
      </w:r>
      <w:r>
        <w:rPr>
          <w:snapToGrid w:val="0"/>
        </w:rPr>
        <w:t>.</w:t>
      </w:r>
      <w:r>
        <w:rPr>
          <w:snapToGrid w:val="0"/>
        </w:rPr>
        <w:tab/>
        <w:t>Payment of amount in lieu of rates</w:t>
      </w:r>
      <w:bookmarkEnd w:id="387"/>
      <w:bookmarkEnd w:id="388"/>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 or</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389" w:name="_Toc389811611"/>
      <w:bookmarkStart w:id="390" w:name="_Toc388862898"/>
      <w:r>
        <w:rPr>
          <w:rStyle w:val="CharSectno"/>
        </w:rPr>
        <w:t>83</w:t>
      </w:r>
      <w:r>
        <w:rPr>
          <w:snapToGrid w:val="0"/>
        </w:rPr>
        <w:t>.</w:t>
      </w:r>
      <w:r>
        <w:rPr>
          <w:snapToGrid w:val="0"/>
        </w:rPr>
        <w:tab/>
        <w:t>Determining amounts under s. 82</w:t>
      </w:r>
      <w:bookmarkEnd w:id="389"/>
      <w:bookmarkEnd w:id="390"/>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391" w:name="_Toc389811612"/>
      <w:bookmarkStart w:id="392" w:name="_Toc388862899"/>
      <w:r>
        <w:rPr>
          <w:rStyle w:val="CharSectno"/>
        </w:rPr>
        <w:t>84</w:t>
      </w:r>
      <w:r>
        <w:rPr>
          <w:snapToGrid w:val="0"/>
        </w:rPr>
        <w:t>.</w:t>
      </w:r>
      <w:r>
        <w:rPr>
          <w:snapToGrid w:val="0"/>
        </w:rPr>
        <w:tab/>
        <w:t>Dividends</w:t>
      </w:r>
      <w:bookmarkEnd w:id="391"/>
      <w:bookmarkEnd w:id="392"/>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ins w:id="393" w:author="svcMRProcess" w:date="2018-09-07T05:21:00Z"/>
        </w:rPr>
      </w:pPr>
      <w:ins w:id="394" w:author="svcMRProcess" w:date="2018-09-07T05:21:00Z">
        <w:r>
          <w:tab/>
          <w:t>(iia)</w:t>
        </w:r>
        <w:r>
          <w:tab/>
          <w:t>any interim dividend paid to the Treasurer in relation to that financial year in accordance with subsections (5) to (8); and</w:t>
        </w:r>
      </w:ins>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ins w:id="395" w:author="svcMRProcess" w:date="2018-09-07T05:21:00Z"/>
        </w:rPr>
      </w:pPr>
      <w:ins w:id="396" w:author="svcMRProcess" w:date="2018-09-07T05:21:00Z">
        <w:r>
          <w:tab/>
          <w:t>(2A)</w:t>
        </w:r>
        <w:r>
          <w:tab/>
          <w:t>In calculating a dividend under this section no account is to be taken of a payment made to the port authority by another person for application towards the capital cost of providing port facilities if the Minister, with the concurrence of the Treasurer, has declared the payment to be an exempt payment for the purposes of this section.</w:t>
        </w:r>
      </w:ins>
    </w:p>
    <w:p>
      <w:pPr>
        <w:pStyle w:val="Subsection"/>
        <w:rPr>
          <w:ins w:id="397" w:author="svcMRProcess" w:date="2018-09-07T05:21:00Z"/>
        </w:rPr>
      </w:pPr>
      <w:ins w:id="398" w:author="svcMRProcess" w:date="2018-09-07T05:21:00Z">
        <w:r>
          <w:tab/>
          <w:t>(2B)</w:t>
        </w:r>
        <w:r>
          <w:tab/>
          <w:t>A declaration under subsection (2A) can be made before or after the payment is received by the port authority.</w:t>
        </w:r>
      </w:ins>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 xml:space="preserve">after consultation with the board, </w:t>
      </w:r>
      <w:del w:id="399" w:author="svcMRProcess" w:date="2018-09-07T05:21:00Z">
        <w:r>
          <w:rPr>
            <w:snapToGrid w:val="0"/>
          </w:rPr>
          <w:delText>is to</w:delText>
        </w:r>
      </w:del>
      <w:ins w:id="400" w:author="svcMRProcess" w:date="2018-09-07T05:21:00Z">
        <w:r>
          <w:t>may</w:t>
        </w:r>
      </w:ins>
      <w:r>
        <w:rPr>
          <w:snapToGrid w:val="0"/>
        </w:rPr>
        <w:t xml:space="preserve">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ins w:id="401" w:author="svcMRProcess" w:date="2018-09-07T05:21:00Z"/>
        </w:rPr>
      </w:pPr>
      <w:del w:id="402" w:author="svcMRProcess" w:date="2018-09-07T05:21:00Z">
        <w:r>
          <w:rPr>
            <w:snapToGrid w:val="0"/>
          </w:rPr>
          <w:tab/>
          <w:delText>(5</w:delText>
        </w:r>
      </w:del>
      <w:ins w:id="403" w:author="svcMRProcess" w:date="2018-09-07T05:21:00Z">
        <w:r>
          <w:tab/>
          <w:t>(5)</w:t>
        </w:r>
        <w:r>
          <w:tab/>
          <w:t>If the Minister considers that payment by a port authority of an interim dividend in relation to a financial year is justified, the Minister may give written notice to the board of the port authority informing it that an interim dividend is to be paid to the Treasurer.</w:t>
        </w:r>
      </w:ins>
    </w:p>
    <w:p>
      <w:pPr>
        <w:pStyle w:val="Subsection"/>
        <w:rPr>
          <w:ins w:id="404" w:author="svcMRProcess" w:date="2018-09-07T05:21:00Z"/>
        </w:rPr>
      </w:pPr>
      <w:ins w:id="405" w:author="svcMRProcess" w:date="2018-09-07T05:21:00Z">
        <w:r>
          <w:tab/>
          <w:t>(6)</w:t>
        </w:r>
        <w:r>
          <w:tab/>
          <w:t>As soon as practicable after it receives a notice under subsection (5) the board of a port authority is to make a recommendation to the Minister as to the amount of the interim dividend that the board recommends as appropriate.</w:t>
        </w:r>
      </w:ins>
    </w:p>
    <w:p>
      <w:pPr>
        <w:pStyle w:val="Subsection"/>
        <w:rPr>
          <w:ins w:id="406" w:author="svcMRProcess" w:date="2018-09-07T05:21:00Z"/>
        </w:rPr>
      </w:pPr>
      <w:ins w:id="407" w:author="svcMRProcess" w:date="2018-09-07T05:21:00Z">
        <w:r>
          <w:tab/>
          <w:t>(7)</w:t>
        </w:r>
        <w:r>
          <w:tab/>
          <w:t xml:space="preserve">The Minister, with the Treasurer’s concurrence — </w:t>
        </w:r>
      </w:ins>
    </w:p>
    <w:p>
      <w:pPr>
        <w:pStyle w:val="Indenta"/>
        <w:rPr>
          <w:ins w:id="408" w:author="svcMRProcess" w:date="2018-09-07T05:21:00Z"/>
        </w:rPr>
      </w:pPr>
      <w:ins w:id="409" w:author="svcMRProcess" w:date="2018-09-07T05:21:00Z">
        <w:r>
          <w:tab/>
          <w:t>(a)</w:t>
        </w:r>
        <w:r>
          <w:tab/>
          <w:t>may accept a recommendation under subsection (6); or</w:t>
        </w:r>
      </w:ins>
    </w:p>
    <w:p>
      <w:pPr>
        <w:pStyle w:val="Indenta"/>
        <w:rPr>
          <w:ins w:id="410" w:author="svcMRProcess" w:date="2018-09-07T05:21:00Z"/>
        </w:rPr>
      </w:pPr>
      <w:ins w:id="411" w:author="svcMRProcess" w:date="2018-09-07T05:21:00Z">
        <w:r>
          <w:tab/>
          <w:t>(b)</w:t>
        </w:r>
        <w:r>
          <w:tab/>
          <w:t>after consultation with the board, may direct that the amount of the interim dividend is to be some other amount.</w:t>
        </w:r>
      </w:ins>
    </w:p>
    <w:p>
      <w:pPr>
        <w:pStyle w:val="Subsection"/>
        <w:rPr>
          <w:ins w:id="412" w:author="svcMRProcess" w:date="2018-09-07T05:21:00Z"/>
        </w:rPr>
      </w:pPr>
      <w:ins w:id="413" w:author="svcMRProcess" w:date="2018-09-07T05:21:00Z">
        <w:r>
          <w:tab/>
          <w:t>(8)</w:t>
        </w:r>
        <w:r>
          <w:tab/>
          <w:t xml:space="preserve">A port authority is to pay the interim dividend — </w:t>
        </w:r>
      </w:ins>
    </w:p>
    <w:p>
      <w:pPr>
        <w:pStyle w:val="Indenta"/>
        <w:rPr>
          <w:ins w:id="414" w:author="svcMRProcess" w:date="2018-09-07T05:21:00Z"/>
        </w:rPr>
      </w:pPr>
      <w:ins w:id="415" w:author="svcMRProcess" w:date="2018-09-07T05:21:00Z">
        <w:r>
          <w:tab/>
          <w:t>(a)</w:t>
        </w:r>
        <w:r>
          <w:tab/>
          <w:t>as soon as practicable after the amount is fixed under subsection (7); and</w:t>
        </w:r>
      </w:ins>
    </w:p>
    <w:p>
      <w:pPr>
        <w:pStyle w:val="Indenta"/>
        <w:rPr>
          <w:ins w:id="416" w:author="svcMRProcess" w:date="2018-09-07T05:21:00Z"/>
        </w:rPr>
      </w:pPr>
      <w:ins w:id="417" w:author="svcMRProcess" w:date="2018-09-07T05:21:00Z">
        <w:r>
          <w:tab/>
          <w:t>(b)</w:t>
        </w:r>
        <w:r>
          <w:tab/>
          <w:t>in any case not later than the end of the financial year to which the interim dividend relates.</w:t>
        </w:r>
      </w:ins>
    </w:p>
    <w:p>
      <w:pPr>
        <w:pStyle w:val="Subsection"/>
      </w:pPr>
      <w:ins w:id="418" w:author="svcMRProcess" w:date="2018-09-07T05:21:00Z">
        <w:r>
          <w:tab/>
          <w:t>(9</w:t>
        </w:r>
      </w:ins>
      <w:r>
        <w:t>)</w:t>
      </w:r>
      <w:r>
        <w:tab/>
        <w:t xml:space="preserve">The Minister must within 14 days after a direction is given under subsection (3) </w:t>
      </w:r>
      <w:ins w:id="419" w:author="svcMRProcess" w:date="2018-09-07T05:21:00Z">
        <w:r>
          <w:t xml:space="preserve">or (7) </w:t>
        </w:r>
      </w:ins>
      <w:r>
        <w:t>cause a copy of it to be laid before each House of Parliament or dealt with in accordance with section 133.</w:t>
      </w:r>
    </w:p>
    <w:p>
      <w:pPr>
        <w:pStyle w:val="Footnotesection"/>
        <w:rPr>
          <w:ins w:id="420" w:author="svcMRProcess" w:date="2018-09-07T05:21:00Z"/>
        </w:rPr>
      </w:pPr>
      <w:ins w:id="421" w:author="svcMRProcess" w:date="2018-09-07T05:21:00Z">
        <w:r>
          <w:tab/>
          <w:t>[Section 84 amended by No. 9 of 2014 s. 21.]</w:t>
        </w:r>
      </w:ins>
    </w:p>
    <w:p>
      <w:pPr>
        <w:pStyle w:val="Heading3"/>
      </w:pPr>
      <w:bookmarkStart w:id="422" w:name="_Toc389811613"/>
      <w:bookmarkStart w:id="423" w:name="_Toc388519285"/>
      <w:bookmarkStart w:id="424" w:name="_Toc388862900"/>
      <w:r>
        <w:rPr>
          <w:rStyle w:val="CharDivNo"/>
        </w:rPr>
        <w:t>Division 3</w:t>
      </w:r>
      <w:r>
        <w:rPr>
          <w:snapToGrid w:val="0"/>
        </w:rPr>
        <w:t xml:space="preserve"> — </w:t>
      </w:r>
      <w:r>
        <w:rPr>
          <w:rStyle w:val="CharDivText"/>
        </w:rPr>
        <w:t>Borrowing</w:t>
      </w:r>
      <w:bookmarkEnd w:id="422"/>
      <w:bookmarkEnd w:id="423"/>
      <w:bookmarkEnd w:id="424"/>
      <w:r>
        <w:rPr>
          <w:rStyle w:val="CharDivText"/>
        </w:rPr>
        <w:t xml:space="preserve"> </w:t>
      </w:r>
    </w:p>
    <w:p>
      <w:pPr>
        <w:pStyle w:val="Heading5"/>
        <w:rPr>
          <w:snapToGrid w:val="0"/>
        </w:rPr>
      </w:pPr>
      <w:bookmarkStart w:id="425" w:name="_Toc389811614"/>
      <w:bookmarkStart w:id="426" w:name="_Toc388862901"/>
      <w:r>
        <w:rPr>
          <w:rStyle w:val="CharSectno"/>
        </w:rPr>
        <w:t>85</w:t>
      </w:r>
      <w:r>
        <w:rPr>
          <w:snapToGrid w:val="0"/>
        </w:rPr>
        <w:t>.</w:t>
      </w:r>
      <w:r>
        <w:rPr>
          <w:snapToGrid w:val="0"/>
        </w:rPr>
        <w:tab/>
        <w:t>Borrowing powers</w:t>
      </w:r>
      <w:bookmarkEnd w:id="425"/>
      <w:bookmarkEnd w:id="426"/>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427" w:name="_Toc389811615"/>
      <w:bookmarkStart w:id="428" w:name="_Toc388862902"/>
      <w:r>
        <w:rPr>
          <w:rStyle w:val="CharSectno"/>
        </w:rPr>
        <w:t>86</w:t>
      </w:r>
      <w:r>
        <w:rPr>
          <w:snapToGrid w:val="0"/>
        </w:rPr>
        <w:t>.</w:t>
      </w:r>
      <w:r>
        <w:rPr>
          <w:snapToGrid w:val="0"/>
        </w:rPr>
        <w:tab/>
        <w:t>Borrowing limits</w:t>
      </w:r>
      <w:bookmarkEnd w:id="427"/>
      <w:bookmarkEnd w:id="428"/>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429" w:name="_Toc389811616"/>
      <w:bookmarkStart w:id="430" w:name="_Toc388862903"/>
      <w:r>
        <w:rPr>
          <w:rStyle w:val="CharSectno"/>
        </w:rPr>
        <w:t>87</w:t>
      </w:r>
      <w:r>
        <w:rPr>
          <w:snapToGrid w:val="0"/>
        </w:rPr>
        <w:t>.</w:t>
      </w:r>
      <w:r>
        <w:rPr>
          <w:snapToGrid w:val="0"/>
        </w:rPr>
        <w:tab/>
        <w:t>Hedging transactions</w:t>
      </w:r>
      <w:bookmarkEnd w:id="429"/>
      <w:bookmarkEnd w:id="430"/>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del w:id="431" w:author="svcMRProcess" w:date="2018-09-07T05:21:00Z"/>
          <w:snapToGrid w:val="0"/>
        </w:rPr>
      </w:pPr>
      <w:del w:id="432" w:author="svcMRProcess" w:date="2018-09-07T05:21:00Z">
        <w:r>
          <w:rPr>
            <w:snapToGrid w:val="0"/>
          </w:rPr>
          <w:tab/>
          <w:delText>(2)</w:delText>
        </w:r>
        <w:r>
          <w:rPr>
            <w:snapToGrid w:val="0"/>
          </w:rPr>
          <w:tab/>
          <w:delText>In subsection (1)(a) — </w:delText>
        </w:r>
      </w:del>
    </w:p>
    <w:p>
      <w:pPr>
        <w:pStyle w:val="Subsection"/>
        <w:rPr>
          <w:ins w:id="433" w:author="svcMRProcess" w:date="2018-09-07T05:21:00Z"/>
        </w:rPr>
      </w:pPr>
      <w:ins w:id="434" w:author="svcMRProcess" w:date="2018-09-07T05:21:00Z">
        <w:r>
          <w:tab/>
          <w:t>(2)</w:t>
        </w:r>
        <w:r>
          <w:tab/>
          <w:t xml:space="preserve">A port authority may also enter into a hedging arrangement for the purpose of managing, limiting or reducing perceived risks or anticipated costs in connection with a transaction that involves capital expenditure and is undertaken in, or based on, a foreign currency as long as the port authority, with advice from the Treasury Corporation — </w:t>
        </w:r>
      </w:ins>
    </w:p>
    <w:p>
      <w:pPr>
        <w:pStyle w:val="Indenta"/>
        <w:rPr>
          <w:ins w:id="435" w:author="svcMRProcess" w:date="2018-09-07T05:21:00Z"/>
        </w:rPr>
      </w:pPr>
      <w:ins w:id="436" w:author="svcMRProcess" w:date="2018-09-07T05:21:00Z">
        <w:r>
          <w:tab/>
          <w:t>(a)</w:t>
        </w:r>
        <w:r>
          <w:tab/>
          <w:t>identifies, considers and takes steps to minimise any foreign exchange risks before entering into the hedging arrangement; and</w:t>
        </w:r>
      </w:ins>
    </w:p>
    <w:p>
      <w:pPr>
        <w:pStyle w:val="Indenta"/>
        <w:rPr>
          <w:ins w:id="437" w:author="svcMRProcess" w:date="2018-09-07T05:21:00Z"/>
        </w:rPr>
      </w:pPr>
      <w:ins w:id="438" w:author="svcMRProcess" w:date="2018-09-07T05:21:00Z">
        <w:r>
          <w:tab/>
          <w:t>(b)</w:t>
        </w:r>
        <w:r>
          <w:tab/>
          <w:t>monitors any foreign exchange risks that may result from entering into the hedging arrangement.</w:t>
        </w:r>
      </w:ins>
    </w:p>
    <w:p>
      <w:pPr>
        <w:pStyle w:val="Subsection"/>
        <w:rPr>
          <w:ins w:id="439" w:author="svcMRProcess" w:date="2018-09-07T05:21:00Z"/>
        </w:rPr>
      </w:pPr>
      <w:ins w:id="440" w:author="svcMRProcess" w:date="2018-09-07T05:21:00Z">
        <w:r>
          <w:tab/>
          <w:t>(3)</w:t>
        </w:r>
        <w:r>
          <w:tab/>
          <w:t xml:space="preserve">In this section — </w:t>
        </w:r>
      </w:ins>
    </w:p>
    <w:p>
      <w:pPr>
        <w:pStyle w:val="Defstart"/>
        <w:rPr>
          <w:ins w:id="441" w:author="svcMRProcess" w:date="2018-09-07T05:21:00Z"/>
        </w:rPr>
      </w:pPr>
      <w:ins w:id="442" w:author="svcMRProcess" w:date="2018-09-07T05:21:00Z">
        <w:r>
          <w:tab/>
        </w:r>
        <w:r>
          <w:rPr>
            <w:rStyle w:val="CharDefText"/>
          </w:rPr>
          <w:t xml:space="preserve">hedging arrangement </w:t>
        </w:r>
        <w:r>
          <w:t>means an agreement or arrangement described in subsection (1)(a) or (b);</w:t>
        </w:r>
      </w:ins>
    </w:p>
    <w:p>
      <w:pPr>
        <w:pStyle w:val="Defstart"/>
      </w:pPr>
      <w:r>
        <w:rPr>
          <w:b/>
        </w:rPr>
        <w:tab/>
      </w:r>
      <w:r>
        <w:rPr>
          <w:rStyle w:val="CharDefText"/>
        </w:rPr>
        <w:t>interest rate</w:t>
      </w:r>
      <w:r>
        <w:t xml:space="preserve"> includes coupon rate, discount rate and yield</w:t>
      </w:r>
      <w:del w:id="443" w:author="svcMRProcess" w:date="2018-09-07T05:21:00Z">
        <w:r>
          <w:delText>.</w:delText>
        </w:r>
      </w:del>
      <w:ins w:id="444" w:author="svcMRProcess" w:date="2018-09-07T05:21:00Z">
        <w:r>
          <w:t>;</w:t>
        </w:r>
      </w:ins>
    </w:p>
    <w:p>
      <w:pPr>
        <w:pStyle w:val="Defstart"/>
        <w:rPr>
          <w:ins w:id="445" w:author="svcMRProcess" w:date="2018-09-07T05:21:00Z"/>
        </w:rPr>
      </w:pPr>
      <w:ins w:id="446" w:author="svcMRProcess" w:date="2018-09-07T05:21:00Z">
        <w:r>
          <w:tab/>
        </w:r>
        <w:r>
          <w:rPr>
            <w:rStyle w:val="CharDefText"/>
          </w:rPr>
          <w:t>Treasury Corporation</w:t>
        </w:r>
        <w:r>
          <w:t xml:space="preserve"> means the Western Australian Treasury Corporation established under the </w:t>
        </w:r>
        <w:r>
          <w:rPr>
            <w:i/>
          </w:rPr>
          <w:t>Western Australian Treasury Corporation Act 1986</w:t>
        </w:r>
        <w:r>
          <w:t>.</w:t>
        </w:r>
      </w:ins>
    </w:p>
    <w:p>
      <w:pPr>
        <w:pStyle w:val="Footnotesection"/>
      </w:pPr>
      <w:r>
        <w:tab/>
        <w:t>[Section 87 amended by No. 10 of 2001 s. 158; No. 21 of 2003 s. </w:t>
      </w:r>
      <w:del w:id="447" w:author="svcMRProcess" w:date="2018-09-07T05:21:00Z">
        <w:r>
          <w:delText>19</w:delText>
        </w:r>
      </w:del>
      <w:ins w:id="448" w:author="svcMRProcess" w:date="2018-09-07T05:21:00Z">
        <w:r>
          <w:t>19; No. 9 of 2014 s. 22</w:t>
        </w:r>
      </w:ins>
      <w:r>
        <w:t>.]</w:t>
      </w:r>
    </w:p>
    <w:p>
      <w:pPr>
        <w:pStyle w:val="Heading3"/>
      </w:pPr>
      <w:bookmarkStart w:id="449" w:name="_Toc389811617"/>
      <w:bookmarkStart w:id="450" w:name="_Toc388519289"/>
      <w:bookmarkStart w:id="451" w:name="_Toc388862904"/>
      <w:r>
        <w:rPr>
          <w:rStyle w:val="CharDivNo"/>
        </w:rPr>
        <w:t>Division 4</w:t>
      </w:r>
      <w:r>
        <w:t xml:space="preserve"> — </w:t>
      </w:r>
      <w:r>
        <w:rPr>
          <w:rStyle w:val="CharDivText"/>
        </w:rPr>
        <w:t>Guarantees</w:t>
      </w:r>
      <w:bookmarkEnd w:id="449"/>
      <w:bookmarkEnd w:id="450"/>
      <w:bookmarkEnd w:id="451"/>
      <w:r>
        <w:rPr>
          <w:rStyle w:val="CharDivText"/>
        </w:rPr>
        <w:t xml:space="preserve"> </w:t>
      </w:r>
    </w:p>
    <w:p>
      <w:pPr>
        <w:pStyle w:val="Heading5"/>
        <w:rPr>
          <w:snapToGrid w:val="0"/>
        </w:rPr>
      </w:pPr>
      <w:bookmarkStart w:id="452" w:name="_Toc389811618"/>
      <w:bookmarkStart w:id="453" w:name="_Toc388862905"/>
      <w:r>
        <w:rPr>
          <w:rStyle w:val="CharSectno"/>
        </w:rPr>
        <w:t>88</w:t>
      </w:r>
      <w:r>
        <w:rPr>
          <w:snapToGrid w:val="0"/>
        </w:rPr>
        <w:t>.</w:t>
      </w:r>
      <w:r>
        <w:rPr>
          <w:snapToGrid w:val="0"/>
        </w:rPr>
        <w:tab/>
        <w:t>Guarantees by Treasurer</w:t>
      </w:r>
      <w:bookmarkEnd w:id="452"/>
      <w:bookmarkEnd w:id="453"/>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454" w:name="_Toc389811619"/>
      <w:bookmarkStart w:id="455" w:name="_Toc388862906"/>
      <w:r>
        <w:rPr>
          <w:rStyle w:val="CharSectno"/>
        </w:rPr>
        <w:t>89</w:t>
      </w:r>
      <w:r>
        <w:rPr>
          <w:snapToGrid w:val="0"/>
        </w:rPr>
        <w:t>.</w:t>
      </w:r>
      <w:r>
        <w:rPr>
          <w:snapToGrid w:val="0"/>
        </w:rPr>
        <w:tab/>
        <w:t>Charges for Treasurer’s guarantee</w:t>
      </w:r>
      <w:bookmarkEnd w:id="454"/>
      <w:bookmarkEnd w:id="455"/>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456" w:name="_Toc389811620"/>
      <w:bookmarkStart w:id="457" w:name="_Toc388519292"/>
      <w:bookmarkStart w:id="458" w:name="_Toc388862907"/>
      <w:r>
        <w:rPr>
          <w:rStyle w:val="CharDivNo"/>
        </w:rPr>
        <w:t>Division 5</w:t>
      </w:r>
      <w:r>
        <w:rPr>
          <w:snapToGrid w:val="0"/>
        </w:rPr>
        <w:t xml:space="preserve"> — </w:t>
      </w:r>
      <w:r>
        <w:rPr>
          <w:rStyle w:val="CharDivText"/>
        </w:rPr>
        <w:t>Financial administration and audit</w:t>
      </w:r>
      <w:bookmarkEnd w:id="456"/>
      <w:bookmarkEnd w:id="457"/>
      <w:bookmarkEnd w:id="458"/>
      <w:r>
        <w:rPr>
          <w:rStyle w:val="CharDivText"/>
        </w:rPr>
        <w:t xml:space="preserve"> </w:t>
      </w:r>
    </w:p>
    <w:p>
      <w:pPr>
        <w:pStyle w:val="Heading5"/>
        <w:rPr>
          <w:snapToGrid w:val="0"/>
        </w:rPr>
      </w:pPr>
      <w:bookmarkStart w:id="459" w:name="_Toc389811621"/>
      <w:bookmarkStart w:id="460" w:name="_Toc388862908"/>
      <w:r>
        <w:rPr>
          <w:rStyle w:val="CharSectno"/>
        </w:rPr>
        <w:t>90</w:t>
      </w:r>
      <w:r>
        <w:rPr>
          <w:snapToGrid w:val="0"/>
        </w:rPr>
        <w:t>.</w:t>
      </w:r>
      <w:r>
        <w:rPr>
          <w:snapToGrid w:val="0"/>
        </w:rPr>
        <w:tab/>
      </w:r>
      <w:r>
        <w:rPr>
          <w:i/>
        </w:rPr>
        <w:t>Financial Management Act 2006</w:t>
      </w:r>
      <w:r>
        <w:t xml:space="preserve"> and </w:t>
      </w:r>
      <w:r>
        <w:rPr>
          <w:i/>
        </w:rPr>
        <w:t>Auditor General Act 2006</w:t>
      </w:r>
      <w:r>
        <w:t>, limited application of</w:t>
      </w:r>
      <w:bookmarkEnd w:id="459"/>
      <w:bookmarkEnd w:id="460"/>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Sch. 1 cl. 131(3) and (4).]</w:t>
      </w:r>
    </w:p>
    <w:p>
      <w:pPr>
        <w:pStyle w:val="Heading5"/>
        <w:rPr>
          <w:snapToGrid w:val="0"/>
        </w:rPr>
      </w:pPr>
      <w:bookmarkStart w:id="461" w:name="_Toc389811622"/>
      <w:bookmarkStart w:id="462" w:name="_Toc388862909"/>
      <w:r>
        <w:rPr>
          <w:rStyle w:val="CharSectno"/>
        </w:rPr>
        <w:t>91</w:t>
      </w:r>
      <w:r>
        <w:rPr>
          <w:snapToGrid w:val="0"/>
        </w:rPr>
        <w:t>.</w:t>
      </w:r>
      <w:r>
        <w:rPr>
          <w:snapToGrid w:val="0"/>
        </w:rPr>
        <w:tab/>
        <w:t>Financial administration and audit (Sch. 5)</w:t>
      </w:r>
      <w:bookmarkEnd w:id="461"/>
      <w:bookmarkEnd w:id="462"/>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 or</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keepNext/>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spacing w:before="180"/>
      </w:pPr>
      <w:r>
        <w:tab/>
      </w:r>
      <w:r>
        <w:tab/>
        <w:t>the Minister may recommend to the Governor, as soon as practicable after the circumstance in paragraph (a), (b) or (c) arises, that regulations be made under subsection (2).</w:t>
      </w:r>
    </w:p>
    <w:p>
      <w:pPr>
        <w:pStyle w:val="Subsection"/>
        <w:spacing w:before="180"/>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ind w:left="890" w:hanging="890"/>
      </w:pPr>
      <w:r>
        <w:tab/>
        <w:t>[Section 91 amended by No. 10 of 2001 s. 159.]</w:t>
      </w:r>
    </w:p>
    <w:p>
      <w:pPr>
        <w:pStyle w:val="Heading3"/>
        <w:spacing w:before="260"/>
      </w:pPr>
      <w:bookmarkStart w:id="463" w:name="_Toc389811623"/>
      <w:bookmarkStart w:id="464" w:name="_Toc388519295"/>
      <w:bookmarkStart w:id="465" w:name="_Toc388862910"/>
      <w:r>
        <w:rPr>
          <w:rStyle w:val="CharDivNo"/>
        </w:rPr>
        <w:t>Division 6</w:t>
      </w:r>
      <w:r>
        <w:rPr>
          <w:snapToGrid w:val="0"/>
        </w:rPr>
        <w:t xml:space="preserve"> — </w:t>
      </w:r>
      <w:r>
        <w:rPr>
          <w:rStyle w:val="CharDivText"/>
        </w:rPr>
        <w:t>Financial targets</w:t>
      </w:r>
      <w:bookmarkEnd w:id="463"/>
      <w:bookmarkEnd w:id="464"/>
      <w:bookmarkEnd w:id="465"/>
    </w:p>
    <w:p>
      <w:pPr>
        <w:pStyle w:val="Heading5"/>
        <w:spacing w:before="240"/>
        <w:rPr>
          <w:snapToGrid w:val="0"/>
        </w:rPr>
      </w:pPr>
      <w:bookmarkStart w:id="466" w:name="_Toc389811624"/>
      <w:bookmarkStart w:id="467" w:name="_Toc388862911"/>
      <w:r>
        <w:rPr>
          <w:rStyle w:val="CharSectno"/>
        </w:rPr>
        <w:t>92</w:t>
      </w:r>
      <w:r>
        <w:rPr>
          <w:snapToGrid w:val="0"/>
        </w:rPr>
        <w:t>.</w:t>
      </w:r>
      <w:r>
        <w:rPr>
          <w:snapToGrid w:val="0"/>
        </w:rPr>
        <w:tab/>
        <w:t>Annual financial targets, Minister may set</w:t>
      </w:r>
      <w:bookmarkEnd w:id="466"/>
      <w:bookmarkEnd w:id="467"/>
    </w:p>
    <w:p>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spacing w:before="180"/>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468" w:name="_Toc389811625"/>
      <w:bookmarkStart w:id="469" w:name="_Toc388519297"/>
      <w:bookmarkStart w:id="470" w:name="_Toc388862912"/>
      <w:r>
        <w:rPr>
          <w:rStyle w:val="CharPartNo"/>
        </w:rPr>
        <w:t>Part 7</w:t>
      </w:r>
      <w:r>
        <w:t xml:space="preserve"> — </w:t>
      </w:r>
      <w:r>
        <w:rPr>
          <w:rStyle w:val="CharPartText"/>
        </w:rPr>
        <w:t>Navigation and port matters</w:t>
      </w:r>
      <w:bookmarkEnd w:id="468"/>
      <w:bookmarkEnd w:id="469"/>
      <w:bookmarkEnd w:id="470"/>
      <w:r>
        <w:rPr>
          <w:rStyle w:val="CharPartText"/>
        </w:rPr>
        <w:t xml:space="preserve"> </w:t>
      </w:r>
    </w:p>
    <w:p>
      <w:pPr>
        <w:pStyle w:val="Heading3"/>
        <w:spacing w:before="180"/>
      </w:pPr>
      <w:bookmarkStart w:id="471" w:name="_Toc389811626"/>
      <w:bookmarkStart w:id="472" w:name="_Toc388519298"/>
      <w:bookmarkStart w:id="473" w:name="_Toc388862913"/>
      <w:r>
        <w:rPr>
          <w:rStyle w:val="CharDivNo"/>
        </w:rPr>
        <w:t>Division 1</w:t>
      </w:r>
      <w:r>
        <w:t xml:space="preserve"> — </w:t>
      </w:r>
      <w:r>
        <w:rPr>
          <w:rStyle w:val="CharDivText"/>
        </w:rPr>
        <w:t>Navigational aids</w:t>
      </w:r>
      <w:bookmarkEnd w:id="471"/>
      <w:bookmarkEnd w:id="472"/>
      <w:bookmarkEnd w:id="473"/>
    </w:p>
    <w:p>
      <w:pPr>
        <w:pStyle w:val="Heading5"/>
        <w:rPr>
          <w:snapToGrid w:val="0"/>
        </w:rPr>
      </w:pPr>
      <w:bookmarkStart w:id="474" w:name="_Toc389811627"/>
      <w:bookmarkStart w:id="475" w:name="_Toc388862914"/>
      <w:r>
        <w:rPr>
          <w:rStyle w:val="CharSectno"/>
        </w:rPr>
        <w:t>93</w:t>
      </w:r>
      <w:r>
        <w:rPr>
          <w:snapToGrid w:val="0"/>
        </w:rPr>
        <w:t>.</w:t>
      </w:r>
      <w:r>
        <w:rPr>
          <w:snapToGrid w:val="0"/>
        </w:rPr>
        <w:tab/>
        <w:t>Port authority may provide etc. navigational aids etc.</w:t>
      </w:r>
      <w:bookmarkEnd w:id="474"/>
      <w:bookmarkEnd w:id="475"/>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 or</w:t>
      </w:r>
    </w:p>
    <w:p>
      <w:pPr>
        <w:pStyle w:val="Indenta"/>
      </w:pPr>
      <w:r>
        <w:rPr>
          <w:snapToGrid w:val="0"/>
        </w:rPr>
        <w:tab/>
        <w:t>(b)</w:t>
      </w:r>
      <w:r>
        <w:rPr>
          <w:snapToGrid w:val="0"/>
        </w:rPr>
        <w:tab/>
      </w:r>
      <w:r>
        <w:t>agree to take over the control of a navigational aid for the port; or</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 and</w:t>
      </w:r>
    </w:p>
    <w:p>
      <w:pPr>
        <w:pStyle w:val="Indenta"/>
      </w:pPr>
      <w:r>
        <w:tab/>
        <w:t>(b)</w:t>
      </w:r>
      <w:r>
        <w:tab/>
        <w:t>the port authority; and</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476" w:name="_Toc389811628"/>
      <w:bookmarkStart w:id="477" w:name="_Toc388862915"/>
      <w:r>
        <w:rPr>
          <w:rStyle w:val="CharSectno"/>
        </w:rPr>
        <w:t>94</w:t>
      </w:r>
      <w:r>
        <w:rPr>
          <w:snapToGrid w:val="0"/>
        </w:rPr>
        <w:t>.</w:t>
      </w:r>
      <w:r>
        <w:rPr>
          <w:snapToGrid w:val="0"/>
        </w:rPr>
        <w:tab/>
        <w:t>Interference with navigational aids, offence</w:t>
      </w:r>
      <w:bookmarkEnd w:id="476"/>
      <w:bookmarkEnd w:id="477"/>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w:t>
      </w:r>
      <w:del w:id="478" w:author="svcMRProcess" w:date="2018-09-07T05:21:00Z">
        <w:r>
          <w:rPr>
            <w:snapToGrid w:val="0"/>
          </w:rPr>
          <w:delText xml:space="preserve">  </w:delText>
        </w:r>
      </w:del>
      <w:r>
        <w:rPr>
          <w:snapToGrid w:val="0"/>
        </w:rPr>
        <w:t xml:space="preserve">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479" w:name="_Toc389811629"/>
      <w:bookmarkStart w:id="480" w:name="_Toc388519301"/>
      <w:bookmarkStart w:id="481" w:name="_Toc388862916"/>
      <w:r>
        <w:rPr>
          <w:rStyle w:val="CharDivNo"/>
        </w:rPr>
        <w:t>Division 2</w:t>
      </w:r>
      <w:r>
        <w:rPr>
          <w:snapToGrid w:val="0"/>
        </w:rPr>
        <w:t xml:space="preserve"> — </w:t>
      </w:r>
      <w:r>
        <w:rPr>
          <w:rStyle w:val="CharDivText"/>
        </w:rPr>
        <w:t>Pilotage</w:t>
      </w:r>
      <w:bookmarkEnd w:id="479"/>
      <w:bookmarkEnd w:id="480"/>
      <w:bookmarkEnd w:id="481"/>
      <w:r>
        <w:rPr>
          <w:rStyle w:val="CharDivText"/>
        </w:rPr>
        <w:t xml:space="preserve"> </w:t>
      </w:r>
    </w:p>
    <w:p>
      <w:pPr>
        <w:pStyle w:val="Heading5"/>
        <w:rPr>
          <w:snapToGrid w:val="0"/>
        </w:rPr>
      </w:pPr>
      <w:bookmarkStart w:id="482" w:name="_Toc389811630"/>
      <w:bookmarkStart w:id="483" w:name="_Toc388862917"/>
      <w:r>
        <w:rPr>
          <w:rStyle w:val="CharSectno"/>
        </w:rPr>
        <w:t>95</w:t>
      </w:r>
      <w:r>
        <w:rPr>
          <w:snapToGrid w:val="0"/>
        </w:rPr>
        <w:t>.</w:t>
      </w:r>
      <w:r>
        <w:rPr>
          <w:snapToGrid w:val="0"/>
        </w:rPr>
        <w:tab/>
        <w:t>Terms used in, and application of, this Division</w:t>
      </w:r>
      <w:bookmarkEnd w:id="482"/>
      <w:bookmarkEnd w:id="483"/>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484" w:name="_Toc389811631"/>
      <w:bookmarkStart w:id="485" w:name="_Toc388862918"/>
      <w:r>
        <w:rPr>
          <w:rStyle w:val="CharSectno"/>
        </w:rPr>
        <w:t>96</w:t>
      </w:r>
      <w:r>
        <w:rPr>
          <w:snapToGrid w:val="0"/>
        </w:rPr>
        <w:t>.</w:t>
      </w:r>
      <w:r>
        <w:rPr>
          <w:snapToGrid w:val="0"/>
        </w:rPr>
        <w:tab/>
        <w:t>Port authority to approve pilots and ensure pilotage services are provided</w:t>
      </w:r>
      <w:bookmarkEnd w:id="484"/>
      <w:bookmarkEnd w:id="485"/>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 or</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r>
      <w:del w:id="486" w:author="svcMRProcess" w:date="2018-09-07T05:21:00Z">
        <w:r>
          <w:rPr>
            <w:snapToGrid w:val="0"/>
          </w:rPr>
          <w:delText>Despite section 37,</w:delText>
        </w:r>
      </w:del>
      <w:ins w:id="487" w:author="svcMRProcess" w:date="2018-09-07T05:21:00Z">
        <w:r>
          <w:t>Subject to subsection (8),</w:t>
        </w:r>
      </w:ins>
      <w:r>
        <w:t xml:space="preserve"> </w:t>
      </w:r>
      <w:r>
        <w:rPr>
          <w:snapToGrid w:val="0"/>
        </w:rPr>
        <w:t>any charges for pilotage services provided in a port — </w:t>
      </w:r>
    </w:p>
    <w:p>
      <w:pPr>
        <w:pStyle w:val="Indenta"/>
        <w:rPr>
          <w:snapToGrid w:val="0"/>
        </w:rPr>
      </w:pPr>
      <w:r>
        <w:rPr>
          <w:snapToGrid w:val="0"/>
        </w:rPr>
        <w:tab/>
        <w:t>(a)</w:t>
      </w:r>
      <w:r>
        <w:rPr>
          <w:snapToGrid w:val="0"/>
        </w:rPr>
        <w:tab/>
        <w:t>are to be determined</w:t>
      </w:r>
      <w:r>
        <w:t xml:space="preserve"> </w:t>
      </w:r>
      <w:del w:id="488" w:author="svcMRProcess" w:date="2018-09-07T05:21:00Z">
        <w:r>
          <w:rPr>
            <w:snapToGrid w:val="0"/>
          </w:rPr>
          <w:delText>in accordance with the regulations</w:delText>
        </w:r>
      </w:del>
      <w:ins w:id="489" w:author="svcMRProcess" w:date="2018-09-07T05:21:00Z">
        <w:r>
          <w:t>under section 37</w:t>
        </w:r>
      </w:ins>
      <w:r>
        <w:t>;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Footnotesection"/>
        <w:ind w:left="890" w:hanging="890"/>
        <w:rPr>
          <w:ins w:id="490" w:author="svcMRProcess" w:date="2018-09-07T05:21:00Z"/>
        </w:rPr>
      </w:pPr>
      <w:ins w:id="491" w:author="svcMRProcess" w:date="2018-09-07T05:21:00Z">
        <w:r>
          <w:tab/>
          <w:t>[Section 96 amended by No. 9 of 2014 s. 23.]</w:t>
        </w:r>
      </w:ins>
    </w:p>
    <w:p>
      <w:pPr>
        <w:pStyle w:val="Heading5"/>
        <w:rPr>
          <w:snapToGrid w:val="0"/>
        </w:rPr>
      </w:pPr>
      <w:bookmarkStart w:id="492" w:name="_Toc389811632"/>
      <w:bookmarkStart w:id="493" w:name="_Toc388862919"/>
      <w:r>
        <w:rPr>
          <w:rStyle w:val="CharSectno"/>
        </w:rPr>
        <w:t>97</w:t>
      </w:r>
      <w:r>
        <w:rPr>
          <w:snapToGrid w:val="0"/>
        </w:rPr>
        <w:t>.</w:t>
      </w:r>
      <w:r>
        <w:rPr>
          <w:snapToGrid w:val="0"/>
        </w:rPr>
        <w:tab/>
        <w:t>Pilotage compulsory in ports</w:t>
      </w:r>
      <w:bookmarkEnd w:id="492"/>
      <w:bookmarkEnd w:id="493"/>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494" w:name="_Toc389811633"/>
      <w:bookmarkStart w:id="495" w:name="_Toc388862920"/>
      <w:r>
        <w:rPr>
          <w:rStyle w:val="CharSectno"/>
        </w:rPr>
        <w:t>98</w:t>
      </w:r>
      <w:r>
        <w:rPr>
          <w:snapToGrid w:val="0"/>
        </w:rPr>
        <w:t>.</w:t>
      </w:r>
      <w:r>
        <w:rPr>
          <w:snapToGrid w:val="0"/>
        </w:rPr>
        <w:tab/>
        <w:t>Pilot under authority of master</w:t>
      </w:r>
      <w:bookmarkEnd w:id="494"/>
      <w:bookmarkEnd w:id="495"/>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496" w:name="_Toc389811634"/>
      <w:bookmarkStart w:id="497" w:name="_Toc388862921"/>
      <w:r>
        <w:rPr>
          <w:rStyle w:val="CharSectno"/>
        </w:rPr>
        <w:t>99</w:t>
      </w:r>
      <w:r>
        <w:rPr>
          <w:snapToGrid w:val="0"/>
        </w:rPr>
        <w:t>.</w:t>
      </w:r>
      <w:r>
        <w:rPr>
          <w:snapToGrid w:val="0"/>
        </w:rPr>
        <w:tab/>
        <w:t>Liability of owner or master of piloted vessel</w:t>
      </w:r>
      <w:bookmarkEnd w:id="496"/>
      <w:bookmarkEnd w:id="497"/>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498" w:name="_Toc388862922"/>
      <w:bookmarkStart w:id="499" w:name="_Toc389811635"/>
      <w:r>
        <w:rPr>
          <w:rStyle w:val="CharSectno"/>
        </w:rPr>
        <w:t>100</w:t>
      </w:r>
      <w:r>
        <w:rPr>
          <w:snapToGrid w:val="0"/>
        </w:rPr>
        <w:t>.</w:t>
      </w:r>
      <w:r>
        <w:rPr>
          <w:snapToGrid w:val="0"/>
        </w:rPr>
        <w:tab/>
        <w:t xml:space="preserve">Immunity from liability for </w:t>
      </w:r>
      <w:del w:id="500" w:author="svcMRProcess" w:date="2018-09-07T05:21:00Z">
        <w:r>
          <w:rPr>
            <w:snapToGrid w:val="0"/>
          </w:rPr>
          <w:delText>pilot’s negligence</w:delText>
        </w:r>
        <w:bookmarkEnd w:id="498"/>
        <w:r>
          <w:rPr>
            <w:snapToGrid w:val="0"/>
          </w:rPr>
          <w:delText xml:space="preserve"> </w:delText>
        </w:r>
      </w:del>
      <w:ins w:id="501" w:author="svcMRProcess" w:date="2018-09-07T05:21:00Z">
        <w:r>
          <w:rPr>
            <w:snapToGrid w:val="0"/>
          </w:rPr>
          <w:t>negligent provision of pilotage services</w:t>
        </w:r>
      </w:ins>
      <w:bookmarkEnd w:id="499"/>
    </w:p>
    <w:p>
      <w:pPr>
        <w:pStyle w:val="Subsection"/>
        <w:rPr>
          <w:ins w:id="502" w:author="svcMRProcess" w:date="2018-09-07T05:21:00Z"/>
          <w:snapToGrid w:val="0"/>
        </w:rPr>
      </w:pPr>
      <w:r>
        <w:tab/>
        <w:t>(1)</w:t>
      </w:r>
      <w:r>
        <w:tab/>
      </w:r>
      <w:r>
        <w:rPr>
          <w:snapToGrid w:val="0"/>
        </w:rPr>
        <w:t>Neither the State nor the port authority is liable for any loss or damage resulting from</w:t>
      </w:r>
      <w:del w:id="503" w:author="svcMRProcess" w:date="2018-09-07T05:21:00Z">
        <w:r>
          <w:rPr>
            <w:snapToGrid w:val="0"/>
          </w:rPr>
          <w:delText xml:space="preserve"> </w:delText>
        </w:r>
      </w:del>
      <w:ins w:id="504" w:author="svcMRProcess" w:date="2018-09-07T05:21:00Z">
        <w:r>
          <w:rPr>
            <w:snapToGrid w:val="0"/>
          </w:rPr>
          <w:t xml:space="preserve"> — </w:t>
        </w:r>
      </w:ins>
    </w:p>
    <w:p>
      <w:pPr>
        <w:pStyle w:val="Indenta"/>
        <w:rPr>
          <w:ins w:id="505" w:author="svcMRProcess" w:date="2018-09-07T05:21:00Z"/>
        </w:rPr>
      </w:pPr>
      <w:ins w:id="506" w:author="svcMRProcess" w:date="2018-09-07T05:21:00Z">
        <w:r>
          <w:tab/>
          <w:t>(a)</w:t>
        </w:r>
        <w:r>
          <w:tab/>
        </w:r>
        <w:r>
          <w:rPr>
            <w:snapToGrid w:val="0"/>
          </w:rPr>
          <w:t>an act or omission by</w:t>
        </w:r>
        <w:r>
          <w:t xml:space="preserve"> a port authority, a harbour master or a member of staff of a port authority in connection with the provision of pilotage services; or</w:t>
        </w:r>
      </w:ins>
    </w:p>
    <w:p>
      <w:pPr>
        <w:pStyle w:val="Indenta"/>
        <w:rPr>
          <w:snapToGrid w:val="0"/>
        </w:rPr>
      </w:pPr>
      <w:ins w:id="507" w:author="svcMRProcess" w:date="2018-09-07T05:21:00Z">
        <w:r>
          <w:rPr>
            <w:snapToGrid w:val="0"/>
          </w:rPr>
          <w:tab/>
          <w:t>(b)</w:t>
        </w:r>
        <w:r>
          <w:rPr>
            <w:snapToGrid w:val="0"/>
          </w:rPr>
          <w:tab/>
        </w:r>
      </w:ins>
      <w:r>
        <w:rPr>
          <w:snapToGrid w:val="0"/>
        </w:rPr>
        <w:t>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Footnotesection"/>
        <w:ind w:left="890" w:hanging="890"/>
        <w:rPr>
          <w:ins w:id="508" w:author="svcMRProcess" w:date="2018-09-07T05:21:00Z"/>
        </w:rPr>
      </w:pPr>
      <w:ins w:id="509" w:author="svcMRProcess" w:date="2018-09-07T05:21:00Z">
        <w:r>
          <w:tab/>
          <w:t>[Section 100 amended by No. 9 of 2014 s. 24.]</w:t>
        </w:r>
      </w:ins>
    </w:p>
    <w:p>
      <w:pPr>
        <w:pStyle w:val="Heading3"/>
        <w:rPr>
          <w:snapToGrid w:val="0"/>
        </w:rPr>
      </w:pPr>
      <w:bookmarkStart w:id="510" w:name="_Toc389811636"/>
      <w:bookmarkStart w:id="511" w:name="_Toc388519308"/>
      <w:bookmarkStart w:id="512" w:name="_Toc388862923"/>
      <w:r>
        <w:rPr>
          <w:rStyle w:val="CharDivNo"/>
        </w:rPr>
        <w:t>Division 3</w:t>
      </w:r>
      <w:r>
        <w:rPr>
          <w:snapToGrid w:val="0"/>
        </w:rPr>
        <w:t> — </w:t>
      </w:r>
      <w:r>
        <w:rPr>
          <w:rStyle w:val="CharDivText"/>
        </w:rPr>
        <w:t>Harbour masters</w:t>
      </w:r>
      <w:bookmarkEnd w:id="510"/>
      <w:bookmarkEnd w:id="511"/>
      <w:bookmarkEnd w:id="512"/>
      <w:r>
        <w:rPr>
          <w:rStyle w:val="CharDivText"/>
        </w:rPr>
        <w:t xml:space="preserve"> </w:t>
      </w:r>
    </w:p>
    <w:p>
      <w:pPr>
        <w:pStyle w:val="Heading5"/>
        <w:rPr>
          <w:snapToGrid w:val="0"/>
        </w:rPr>
      </w:pPr>
      <w:bookmarkStart w:id="513" w:name="_Toc389811637"/>
      <w:bookmarkStart w:id="514" w:name="_Toc388862924"/>
      <w:r>
        <w:rPr>
          <w:rStyle w:val="CharSectno"/>
        </w:rPr>
        <w:t>101</w:t>
      </w:r>
      <w:r>
        <w:rPr>
          <w:snapToGrid w:val="0"/>
        </w:rPr>
        <w:t>.</w:t>
      </w:r>
      <w:r>
        <w:rPr>
          <w:snapToGrid w:val="0"/>
        </w:rPr>
        <w:tab/>
        <w:t>Port includes other declared areas</w:t>
      </w:r>
      <w:bookmarkEnd w:id="513"/>
      <w:bookmarkEnd w:id="514"/>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515" w:name="_Toc389811638"/>
      <w:bookmarkStart w:id="516" w:name="_Toc388862925"/>
      <w:r>
        <w:rPr>
          <w:rStyle w:val="CharSectno"/>
        </w:rPr>
        <w:t>102</w:t>
      </w:r>
      <w:r>
        <w:rPr>
          <w:snapToGrid w:val="0"/>
        </w:rPr>
        <w:t>.</w:t>
      </w:r>
      <w:r>
        <w:rPr>
          <w:snapToGrid w:val="0"/>
        </w:rPr>
        <w:tab/>
        <w:t>Appointment of harbour master and deputy harbour master etc.</w:t>
      </w:r>
      <w:bookmarkEnd w:id="515"/>
      <w:bookmarkEnd w:id="516"/>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 or</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517" w:name="_Toc389811639"/>
      <w:bookmarkStart w:id="518" w:name="_Toc388862926"/>
      <w:r>
        <w:rPr>
          <w:rStyle w:val="CharSectno"/>
        </w:rPr>
        <w:t>103</w:t>
      </w:r>
      <w:r>
        <w:rPr>
          <w:snapToGrid w:val="0"/>
        </w:rPr>
        <w:t>.</w:t>
      </w:r>
      <w:r>
        <w:rPr>
          <w:snapToGrid w:val="0"/>
        </w:rPr>
        <w:tab/>
        <w:t>Functions of harbour master</w:t>
      </w:r>
      <w:bookmarkEnd w:id="517"/>
      <w:bookmarkEnd w:id="518"/>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 and</w:t>
      </w:r>
    </w:p>
    <w:p>
      <w:pPr>
        <w:pStyle w:val="Indenta"/>
        <w:rPr>
          <w:snapToGrid w:val="0"/>
        </w:rPr>
      </w:pPr>
      <w:r>
        <w:rPr>
          <w:snapToGrid w:val="0"/>
        </w:rPr>
        <w:tab/>
        <w:t>(b)</w:t>
      </w:r>
      <w:r>
        <w:rPr>
          <w:snapToGrid w:val="0"/>
        </w:rPr>
        <w:tab/>
        <w:t>to ensure the port is kept free of obstructions or possible obstructions to vessels using the port; and</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519" w:name="_Toc389811640"/>
      <w:bookmarkStart w:id="520" w:name="_Toc388862927"/>
      <w:r>
        <w:rPr>
          <w:rStyle w:val="CharSectno"/>
        </w:rPr>
        <w:t>104</w:t>
      </w:r>
      <w:r>
        <w:rPr>
          <w:snapToGrid w:val="0"/>
        </w:rPr>
        <w:t>.</w:t>
      </w:r>
      <w:r>
        <w:rPr>
          <w:snapToGrid w:val="0"/>
        </w:rPr>
        <w:tab/>
        <w:t>Directions to masters etc.</w:t>
      </w:r>
      <w:bookmarkEnd w:id="519"/>
      <w:bookmarkEnd w:id="520"/>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521" w:name="_Toc389811641"/>
      <w:bookmarkStart w:id="522" w:name="_Toc388862928"/>
      <w:r>
        <w:rPr>
          <w:rStyle w:val="CharSectno"/>
        </w:rPr>
        <w:t>105</w:t>
      </w:r>
      <w:r>
        <w:rPr>
          <w:snapToGrid w:val="0"/>
        </w:rPr>
        <w:t>.</w:t>
      </w:r>
      <w:r>
        <w:rPr>
          <w:snapToGrid w:val="0"/>
        </w:rPr>
        <w:tab/>
        <w:t>Directions as to dangerous things</w:t>
      </w:r>
      <w:bookmarkEnd w:id="521"/>
      <w:bookmarkEnd w:id="5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523" w:name="_Toc389811642"/>
      <w:bookmarkStart w:id="524" w:name="_Toc388862929"/>
      <w:r>
        <w:rPr>
          <w:rStyle w:val="CharSectno"/>
        </w:rPr>
        <w:t>106</w:t>
      </w:r>
      <w:r>
        <w:rPr>
          <w:snapToGrid w:val="0"/>
        </w:rPr>
        <w:t>.</w:t>
      </w:r>
      <w:r>
        <w:rPr>
          <w:snapToGrid w:val="0"/>
        </w:rPr>
        <w:tab/>
        <w:t>Limit on power to order removal of vessels or dangerous things</w:t>
      </w:r>
      <w:bookmarkEnd w:id="523"/>
      <w:bookmarkEnd w:id="524"/>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 or</w:t>
      </w:r>
    </w:p>
    <w:p>
      <w:pPr>
        <w:pStyle w:val="Indenta"/>
        <w:rPr>
          <w:snapToGrid w:val="0"/>
        </w:rPr>
      </w:pPr>
      <w:r>
        <w:rPr>
          <w:snapToGrid w:val="0"/>
        </w:rPr>
        <w:tab/>
        <w:t>(b)</w:t>
      </w:r>
      <w:r>
        <w:rPr>
          <w:snapToGrid w:val="0"/>
        </w:rPr>
        <w:tab/>
        <w:t>hindering the efficiency of the operations of the port; or</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525" w:name="_Toc389811643"/>
      <w:bookmarkStart w:id="526" w:name="_Toc388862930"/>
      <w:r>
        <w:rPr>
          <w:rStyle w:val="CharSectno"/>
        </w:rPr>
        <w:t>107</w:t>
      </w:r>
      <w:r>
        <w:rPr>
          <w:snapToGrid w:val="0"/>
        </w:rPr>
        <w:t>.</w:t>
      </w:r>
      <w:r>
        <w:rPr>
          <w:snapToGrid w:val="0"/>
        </w:rPr>
        <w:tab/>
        <w:t>Ownerless vessels and dangerous things, removal of</w:t>
      </w:r>
      <w:bookmarkEnd w:id="525"/>
      <w:bookmarkEnd w:id="526"/>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527" w:name="_Toc389811644"/>
      <w:bookmarkStart w:id="528" w:name="_Toc388862931"/>
      <w:r>
        <w:rPr>
          <w:rStyle w:val="CharSectno"/>
        </w:rPr>
        <w:t>108</w:t>
      </w:r>
      <w:r>
        <w:rPr>
          <w:snapToGrid w:val="0"/>
        </w:rPr>
        <w:t>.</w:t>
      </w:r>
      <w:r>
        <w:rPr>
          <w:snapToGrid w:val="0"/>
        </w:rPr>
        <w:tab/>
        <w:t>Not obeying s. 104 or 106 direction, offence</w:t>
      </w:r>
      <w:bookmarkEnd w:id="527"/>
      <w:bookmarkEnd w:id="528"/>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 xml:space="preserve">Penalty: </w:t>
      </w:r>
      <w:del w:id="529" w:author="svcMRProcess" w:date="2018-09-07T05:21:00Z">
        <w:r>
          <w:rPr>
            <w:snapToGrid w:val="0"/>
          </w:rPr>
          <w:delText xml:space="preserve">  </w:delText>
        </w:r>
      </w:del>
      <w:r>
        <w:rPr>
          <w:snapToGrid w:val="0"/>
        </w:rPr>
        <w:t>$20 000.</w:t>
      </w:r>
    </w:p>
    <w:p>
      <w:pPr>
        <w:pStyle w:val="Heading5"/>
        <w:rPr>
          <w:snapToGrid w:val="0"/>
        </w:rPr>
      </w:pPr>
      <w:bookmarkStart w:id="530" w:name="_Toc389811645"/>
      <w:bookmarkStart w:id="531" w:name="_Toc388862932"/>
      <w:r>
        <w:rPr>
          <w:rStyle w:val="CharSectno"/>
        </w:rPr>
        <w:t>109</w:t>
      </w:r>
      <w:r>
        <w:rPr>
          <w:snapToGrid w:val="0"/>
        </w:rPr>
        <w:t>.</w:t>
      </w:r>
      <w:r>
        <w:rPr>
          <w:snapToGrid w:val="0"/>
        </w:rPr>
        <w:tab/>
        <w:t>Powers if direction not obeyed</w:t>
      </w:r>
      <w:bookmarkEnd w:id="530"/>
      <w:bookmarkEnd w:id="531"/>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532" w:name="_Toc389811646"/>
      <w:bookmarkStart w:id="533" w:name="_Toc388862933"/>
      <w:r>
        <w:rPr>
          <w:rStyle w:val="CharSectno"/>
        </w:rPr>
        <w:t>110</w:t>
      </w:r>
      <w:r>
        <w:rPr>
          <w:snapToGrid w:val="0"/>
        </w:rPr>
        <w:t>.</w:t>
      </w:r>
      <w:r>
        <w:rPr>
          <w:snapToGrid w:val="0"/>
        </w:rPr>
        <w:tab/>
        <w:t>Recovering port authority’s s. 107 costs</w:t>
      </w:r>
      <w:bookmarkEnd w:id="532"/>
      <w:bookmarkEnd w:id="533"/>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534" w:name="_Toc389811647"/>
      <w:bookmarkStart w:id="535" w:name="_Toc388862934"/>
      <w:r>
        <w:rPr>
          <w:rStyle w:val="CharSectno"/>
        </w:rPr>
        <w:t>111</w:t>
      </w:r>
      <w:r>
        <w:rPr>
          <w:snapToGrid w:val="0"/>
        </w:rPr>
        <w:t>.</w:t>
      </w:r>
      <w:r>
        <w:rPr>
          <w:snapToGrid w:val="0"/>
        </w:rPr>
        <w:tab/>
        <w:t>Immunity from liability for acts under this Division</w:t>
      </w:r>
      <w:bookmarkEnd w:id="534"/>
      <w:bookmarkEnd w:id="535"/>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536" w:name="_Toc389811648"/>
      <w:bookmarkStart w:id="537" w:name="_Toc388862935"/>
      <w:r>
        <w:rPr>
          <w:rStyle w:val="CharSectno"/>
        </w:rPr>
        <w:t>112</w:t>
      </w:r>
      <w:r>
        <w:rPr>
          <w:snapToGrid w:val="0"/>
        </w:rPr>
        <w:t>.</w:t>
      </w:r>
      <w:r>
        <w:rPr>
          <w:snapToGrid w:val="0"/>
        </w:rPr>
        <w:tab/>
        <w:t>Hindering harbour master etc., offence</w:t>
      </w:r>
      <w:bookmarkEnd w:id="536"/>
      <w:bookmarkEnd w:id="537"/>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 xml:space="preserve">Penalty: </w:t>
      </w:r>
      <w:del w:id="538" w:author="svcMRProcess" w:date="2018-09-07T05:21:00Z">
        <w:r>
          <w:rPr>
            <w:snapToGrid w:val="0"/>
          </w:rPr>
          <w:delText xml:space="preserve">  </w:delText>
        </w:r>
      </w:del>
      <w:r>
        <w:rPr>
          <w:snapToGrid w:val="0"/>
        </w:rPr>
        <w:t>$10 000.</w:t>
      </w:r>
    </w:p>
    <w:p>
      <w:pPr>
        <w:pStyle w:val="Heading3"/>
        <w:rPr>
          <w:snapToGrid w:val="0"/>
        </w:rPr>
      </w:pPr>
      <w:bookmarkStart w:id="539" w:name="_Toc389811649"/>
      <w:bookmarkStart w:id="540" w:name="_Toc388519321"/>
      <w:bookmarkStart w:id="541" w:name="_Toc388862936"/>
      <w:r>
        <w:rPr>
          <w:rStyle w:val="CharDivNo"/>
        </w:rPr>
        <w:t>Division 4</w:t>
      </w:r>
      <w:r>
        <w:rPr>
          <w:snapToGrid w:val="0"/>
        </w:rPr>
        <w:t> — </w:t>
      </w:r>
      <w:r>
        <w:rPr>
          <w:rStyle w:val="CharDivText"/>
        </w:rPr>
        <w:t>Damage in a port caused by vessels etc.</w:t>
      </w:r>
      <w:bookmarkEnd w:id="539"/>
      <w:bookmarkEnd w:id="540"/>
      <w:bookmarkEnd w:id="541"/>
      <w:r>
        <w:rPr>
          <w:rStyle w:val="CharDivText"/>
        </w:rPr>
        <w:t xml:space="preserve"> </w:t>
      </w:r>
    </w:p>
    <w:p>
      <w:pPr>
        <w:pStyle w:val="Heading5"/>
        <w:rPr>
          <w:snapToGrid w:val="0"/>
        </w:rPr>
      </w:pPr>
      <w:bookmarkStart w:id="542" w:name="_Toc389811650"/>
      <w:bookmarkStart w:id="543" w:name="_Toc388862937"/>
      <w:r>
        <w:rPr>
          <w:rStyle w:val="CharSectno"/>
        </w:rPr>
        <w:t>113</w:t>
      </w:r>
      <w:r>
        <w:rPr>
          <w:snapToGrid w:val="0"/>
        </w:rPr>
        <w:t>.</w:t>
      </w:r>
      <w:r>
        <w:rPr>
          <w:snapToGrid w:val="0"/>
        </w:rPr>
        <w:tab/>
        <w:t>Responsibility for damage to port facilities or property</w:t>
      </w:r>
      <w:bookmarkEnd w:id="542"/>
      <w:bookmarkEnd w:id="543"/>
      <w:r>
        <w:rPr>
          <w:snapToGrid w:val="0"/>
        </w:rPr>
        <w:t xml:space="preserve"> </w:t>
      </w:r>
    </w:p>
    <w:p>
      <w:pPr>
        <w:pStyle w:val="Subsection"/>
        <w:rPr>
          <w:ins w:id="544" w:author="svcMRProcess" w:date="2018-09-07T05:21:00Z"/>
        </w:rPr>
      </w:pPr>
      <w:ins w:id="545" w:author="svcMRProcess" w:date="2018-09-07T05:21:00Z">
        <w:r>
          <w:tab/>
          <w:t>(1A)</w:t>
        </w:r>
        <w:r>
          <w:tab/>
          <w:t xml:space="preserve">In this section — </w:t>
        </w:r>
      </w:ins>
    </w:p>
    <w:p>
      <w:pPr>
        <w:pStyle w:val="Defstart"/>
        <w:rPr>
          <w:ins w:id="546" w:author="svcMRProcess" w:date="2018-09-07T05:21:00Z"/>
        </w:rPr>
      </w:pPr>
      <w:ins w:id="547" w:author="svcMRProcess" w:date="2018-09-07T05:21:00Z">
        <w:r>
          <w:tab/>
        </w:r>
        <w:r>
          <w:rPr>
            <w:rStyle w:val="CharDefText"/>
          </w:rPr>
          <w:t>prescribed thing</w:t>
        </w:r>
        <w:r>
          <w:t xml:space="preserve"> means — </w:t>
        </w:r>
      </w:ins>
    </w:p>
    <w:p>
      <w:pPr>
        <w:pStyle w:val="Defpara"/>
        <w:rPr>
          <w:ins w:id="548" w:author="svcMRProcess" w:date="2018-09-07T05:21:00Z"/>
        </w:rPr>
      </w:pPr>
      <w:ins w:id="549" w:author="svcMRProcess" w:date="2018-09-07T05:21:00Z">
        <w:r>
          <w:tab/>
          <w:t>(a)</w:t>
        </w:r>
        <w:r>
          <w:tab/>
          <w:t>any floating object; or</w:t>
        </w:r>
      </w:ins>
    </w:p>
    <w:p>
      <w:pPr>
        <w:pStyle w:val="Defpara"/>
        <w:rPr>
          <w:ins w:id="550" w:author="svcMRProcess" w:date="2018-09-07T05:21:00Z"/>
        </w:rPr>
      </w:pPr>
      <w:ins w:id="551" w:author="svcMRProcess" w:date="2018-09-07T05:21:00Z">
        <w:r>
          <w:tab/>
          <w:t>(b)</w:t>
        </w:r>
        <w:r>
          <w:tab/>
          <w:t>any material, product or substance (whether solid, liquid or gas); or</w:t>
        </w:r>
      </w:ins>
    </w:p>
    <w:p>
      <w:pPr>
        <w:pStyle w:val="Defpara"/>
        <w:rPr>
          <w:ins w:id="552" w:author="svcMRProcess" w:date="2018-09-07T05:21:00Z"/>
        </w:rPr>
      </w:pPr>
      <w:ins w:id="553" w:author="svcMRProcess" w:date="2018-09-07T05:21:00Z">
        <w:r>
          <w:tab/>
          <w:t>(c)</w:t>
        </w:r>
        <w:r>
          <w:tab/>
          <w:t>any vehicle, plant, machinery, equipment or infrastructure.</w:t>
        </w:r>
      </w:ins>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 or</w:t>
      </w:r>
    </w:p>
    <w:p>
      <w:pPr>
        <w:pStyle w:val="Indenta"/>
      </w:pPr>
      <w:r>
        <w:tab/>
        <w:t>(b)</w:t>
      </w:r>
      <w:r>
        <w:tab/>
      </w:r>
      <w:del w:id="554" w:author="svcMRProcess" w:date="2018-09-07T05:21:00Z">
        <w:r>
          <w:rPr>
            <w:snapToGrid w:val="0"/>
          </w:rPr>
          <w:delText>any floating object</w:delText>
        </w:r>
      </w:del>
      <w:ins w:id="555" w:author="svcMRProcess" w:date="2018-09-07T05:21:00Z">
        <w:r>
          <w:t>a prescribed thing</w:t>
        </w:r>
      </w:ins>
      <w:r>
        <w:t>; or</w:t>
      </w:r>
    </w:p>
    <w:p>
      <w:pPr>
        <w:pStyle w:val="Indenta"/>
        <w:rPr>
          <w:del w:id="556" w:author="svcMRProcess" w:date="2018-09-07T05:21:00Z"/>
          <w:snapToGrid w:val="0"/>
        </w:rPr>
      </w:pPr>
      <w:r>
        <w:tab/>
        <w:t>(c)</w:t>
      </w:r>
      <w:r>
        <w:tab/>
        <w:t xml:space="preserve">any </w:t>
      </w:r>
      <w:del w:id="557" w:author="svcMRProcess" w:date="2018-09-07T05:21:00Z">
        <w:r>
          <w:rPr>
            <w:snapToGrid w:val="0"/>
          </w:rPr>
          <w:delText>material; or</w:delText>
        </w:r>
      </w:del>
    </w:p>
    <w:p>
      <w:pPr>
        <w:pStyle w:val="Indenta"/>
        <w:rPr>
          <w:snapToGrid w:val="0"/>
        </w:rPr>
      </w:pPr>
      <w:del w:id="558" w:author="svcMRProcess" w:date="2018-09-07T05:21:00Z">
        <w:r>
          <w:rPr>
            <w:snapToGrid w:val="0"/>
          </w:rPr>
          <w:tab/>
          <w:delText>(d)</w:delText>
        </w:r>
        <w:r>
          <w:rPr>
            <w:snapToGrid w:val="0"/>
          </w:rPr>
          <w:tab/>
          <w:delText xml:space="preserve">any </w:delText>
        </w:r>
      </w:del>
      <w:r>
        <w:t xml:space="preserve">person employed in, on or in relation to, a </w:t>
      </w:r>
      <w:del w:id="559" w:author="svcMRProcess" w:date="2018-09-07T05:21:00Z">
        <w:r>
          <w:rPr>
            <w:snapToGrid w:val="0"/>
          </w:rPr>
          <w:delText>thing referred to in paragraph (a), (b)</w:delText>
        </w:r>
      </w:del>
      <w:ins w:id="560" w:author="svcMRProcess" w:date="2018-09-07T05:21:00Z">
        <w:r>
          <w:rPr>
            <w:snapToGrid w:val="0"/>
          </w:rPr>
          <w:t>vessel, or its equipment</w:t>
        </w:r>
      </w:ins>
      <w:r>
        <w:rPr>
          <w:snapToGrid w:val="0"/>
        </w:rPr>
        <w:t xml:space="preserve"> or </w:t>
      </w:r>
      <w:del w:id="561" w:author="svcMRProcess" w:date="2018-09-07T05:21:00Z">
        <w:r>
          <w:rPr>
            <w:snapToGrid w:val="0"/>
          </w:rPr>
          <w:delText>(c).</w:delText>
        </w:r>
      </w:del>
      <w:ins w:id="562" w:author="svcMRProcess" w:date="2018-09-07T05:21:00Z">
        <w:r>
          <w:rPr>
            <w:snapToGrid w:val="0"/>
          </w:rPr>
          <w:t>cargo, or a prescribed thing.</w:t>
        </w:r>
      </w:ins>
    </w:p>
    <w:p>
      <w:pPr>
        <w:pStyle w:val="Ednotepara"/>
        <w:rPr>
          <w:ins w:id="563" w:author="svcMRProcess" w:date="2018-09-07T05:21:00Z"/>
          <w:snapToGrid w:val="0"/>
        </w:rPr>
      </w:pPr>
      <w:ins w:id="564" w:author="svcMRProcess" w:date="2018-09-07T05:21:00Z">
        <w:r>
          <w:tab/>
          <w:t>[(d)</w:t>
        </w:r>
        <w:r>
          <w:tab/>
          <w:t>deleted]</w:t>
        </w:r>
      </w:ins>
    </w:p>
    <w:p>
      <w:pPr>
        <w:pStyle w:val="Subsection"/>
        <w:rPr>
          <w:snapToGrid w:val="0"/>
        </w:rPr>
      </w:pPr>
      <w:r>
        <w:rPr>
          <w:snapToGrid w:val="0"/>
        </w:rPr>
        <w:tab/>
        <w:t>(2)</w:t>
      </w:r>
      <w:r>
        <w:rPr>
          <w:snapToGrid w:val="0"/>
        </w:rPr>
        <w:tab/>
        <w:t>If this section applies, the owner of the vessel</w:t>
      </w:r>
      <w:del w:id="565" w:author="svcMRProcess" w:date="2018-09-07T05:21:00Z">
        <w:r>
          <w:rPr>
            <w:snapToGrid w:val="0"/>
          </w:rPr>
          <w:delText>, floating object</w:delText>
        </w:r>
      </w:del>
      <w:r>
        <w:rPr>
          <w:snapToGrid w:val="0"/>
        </w:rPr>
        <w:t xml:space="preserve"> or </w:t>
      </w:r>
      <w:del w:id="566" w:author="svcMRProcess" w:date="2018-09-07T05:21:00Z">
        <w:r>
          <w:rPr>
            <w:snapToGrid w:val="0"/>
          </w:rPr>
          <w:delText>material</w:delText>
        </w:r>
      </w:del>
      <w:ins w:id="567" w:author="svcMRProcess" w:date="2018-09-07T05:21:00Z">
        <w:r>
          <w:rPr>
            <w:snapToGrid w:val="0"/>
          </w:rPr>
          <w:t>prescribed thing</w:t>
        </w:r>
      </w:ins>
      <w:r>
        <w:rPr>
          <w:snapToGrid w:val="0"/>
        </w:rPr>
        <w:t xml:space="preserve">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 xml:space="preserve">If the damage is caused through the wilful or negligent act or omission of the master of the vessel or of the person having charge </w:t>
      </w:r>
      <w:ins w:id="568" w:author="svcMRProcess" w:date="2018-09-07T05:21:00Z">
        <w:r>
          <w:rPr>
            <w:snapToGrid w:val="0"/>
          </w:rPr>
          <w:t xml:space="preserve">or control </w:t>
        </w:r>
      </w:ins>
      <w:r>
        <w:rPr>
          <w:snapToGrid w:val="0"/>
        </w:rPr>
        <w:t xml:space="preserve">of the </w:t>
      </w:r>
      <w:del w:id="569" w:author="svcMRProcess" w:date="2018-09-07T05:21:00Z">
        <w:r>
          <w:rPr>
            <w:snapToGrid w:val="0"/>
          </w:rPr>
          <w:delText>floating object or the material</w:delText>
        </w:r>
      </w:del>
      <w:ins w:id="570" w:author="svcMRProcess" w:date="2018-09-07T05:21:00Z">
        <w:r>
          <w:rPr>
            <w:snapToGrid w:val="0"/>
          </w:rPr>
          <w:t>prescribed thing</w:t>
        </w:r>
      </w:ins>
      <w:r>
        <w:rPr>
          <w:snapToGrid w:val="0"/>
        </w:rPr>
        <w:t>,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w:t>
      </w:r>
      <w:del w:id="571" w:author="svcMRProcess" w:date="2018-09-07T05:21:00Z">
        <w:r>
          <w:rPr>
            <w:snapToGrid w:val="0"/>
          </w:rPr>
          <w:delText>, floating object</w:delText>
        </w:r>
      </w:del>
      <w:r>
        <w:rPr>
          <w:snapToGrid w:val="0"/>
        </w:rPr>
        <w:t xml:space="preserve"> or </w:t>
      </w:r>
      <w:del w:id="572" w:author="svcMRProcess" w:date="2018-09-07T05:21:00Z">
        <w:r>
          <w:rPr>
            <w:snapToGrid w:val="0"/>
          </w:rPr>
          <w:delText>material — </w:delText>
        </w:r>
      </w:del>
      <w:ins w:id="573" w:author="svcMRProcess" w:date="2018-09-07T05:21:00Z">
        <w:r>
          <w:rPr>
            <w:snapToGrid w:val="0"/>
          </w:rPr>
          <w:t>prescribed thing —</w:t>
        </w:r>
      </w:ins>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Footnotesection"/>
        <w:ind w:left="890" w:hanging="890"/>
        <w:rPr>
          <w:ins w:id="574" w:author="svcMRProcess" w:date="2018-09-07T05:21:00Z"/>
        </w:rPr>
      </w:pPr>
      <w:ins w:id="575" w:author="svcMRProcess" w:date="2018-09-07T05:21:00Z">
        <w:r>
          <w:tab/>
          <w:t>[Section 113 amended by No. 9 of 2014 s. 25.]</w:t>
        </w:r>
      </w:ins>
    </w:p>
    <w:p>
      <w:pPr>
        <w:pStyle w:val="Heading3"/>
        <w:rPr>
          <w:snapToGrid w:val="0"/>
        </w:rPr>
      </w:pPr>
      <w:bookmarkStart w:id="576" w:name="_Toc389811651"/>
      <w:bookmarkStart w:id="577" w:name="_Toc388519323"/>
      <w:bookmarkStart w:id="578" w:name="_Toc388862938"/>
      <w:r>
        <w:rPr>
          <w:rStyle w:val="CharDivNo"/>
        </w:rPr>
        <w:t>Division 5</w:t>
      </w:r>
      <w:r>
        <w:rPr>
          <w:snapToGrid w:val="0"/>
        </w:rPr>
        <w:t xml:space="preserve"> — </w:t>
      </w:r>
      <w:r>
        <w:rPr>
          <w:rStyle w:val="CharDivText"/>
        </w:rPr>
        <w:t>Port safety</w:t>
      </w:r>
      <w:bookmarkEnd w:id="576"/>
      <w:bookmarkEnd w:id="577"/>
      <w:bookmarkEnd w:id="578"/>
    </w:p>
    <w:p>
      <w:pPr>
        <w:pStyle w:val="Heading5"/>
      </w:pPr>
      <w:bookmarkStart w:id="579" w:name="_Toc389811652"/>
      <w:bookmarkStart w:id="580" w:name="_Toc388862939"/>
      <w:r>
        <w:rPr>
          <w:rStyle w:val="CharSectno"/>
        </w:rPr>
        <w:t>114</w:t>
      </w:r>
      <w:r>
        <w:t>.</w:t>
      </w:r>
      <w:r>
        <w:tab/>
        <w:t>Marine safety plan, port authority to have</w:t>
      </w:r>
      <w:bookmarkEnd w:id="579"/>
      <w:bookmarkEnd w:id="580"/>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581" w:name="_Toc389811653"/>
      <w:bookmarkStart w:id="582" w:name="_Toc388519325"/>
      <w:bookmarkStart w:id="583" w:name="_Toc388862940"/>
      <w:r>
        <w:rPr>
          <w:rStyle w:val="CharDivNo"/>
        </w:rPr>
        <w:t>Division 6</w:t>
      </w:r>
      <w:r>
        <w:t xml:space="preserve"> — </w:t>
      </w:r>
      <w:r>
        <w:rPr>
          <w:rStyle w:val="CharDivText"/>
        </w:rPr>
        <w:t>Powers of police officers and others</w:t>
      </w:r>
      <w:bookmarkEnd w:id="581"/>
      <w:bookmarkEnd w:id="582"/>
      <w:bookmarkEnd w:id="583"/>
      <w:r>
        <w:t xml:space="preserve"> </w:t>
      </w:r>
    </w:p>
    <w:p>
      <w:pPr>
        <w:pStyle w:val="Footnoteheading"/>
        <w:keepNext/>
        <w:keepLines/>
        <w:tabs>
          <w:tab w:val="left" w:pos="851"/>
        </w:tabs>
      </w:pPr>
      <w:r>
        <w:tab/>
        <w:t>[Heading inserted by No. 71 of 2003 s. 7.]</w:t>
      </w:r>
    </w:p>
    <w:p>
      <w:pPr>
        <w:pStyle w:val="Heading5"/>
      </w:pPr>
      <w:bookmarkStart w:id="584" w:name="_Toc389811654"/>
      <w:bookmarkStart w:id="585" w:name="_Toc388862941"/>
      <w:r>
        <w:rPr>
          <w:rStyle w:val="CharSectno"/>
        </w:rPr>
        <w:t>114A</w:t>
      </w:r>
      <w:r>
        <w:t>.</w:t>
      </w:r>
      <w:r>
        <w:tab/>
        <w:t>Police officers and others may enter vessels and conduct examinations and enquiries</w:t>
      </w:r>
      <w:bookmarkEnd w:id="584"/>
      <w:bookmarkEnd w:id="585"/>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586" w:name="_Toc389811655"/>
      <w:bookmarkStart w:id="587" w:name="_Toc388519327"/>
      <w:bookmarkStart w:id="588" w:name="_Toc388862942"/>
      <w:r>
        <w:rPr>
          <w:rStyle w:val="CharDivNo"/>
        </w:rPr>
        <w:t>Division 7</w:t>
      </w:r>
      <w:r>
        <w:t xml:space="preserve"> — </w:t>
      </w:r>
      <w:r>
        <w:rPr>
          <w:rStyle w:val="CharDivText"/>
        </w:rPr>
        <w:t>Protection from liability</w:t>
      </w:r>
      <w:bookmarkEnd w:id="586"/>
      <w:bookmarkEnd w:id="587"/>
      <w:bookmarkEnd w:id="588"/>
    </w:p>
    <w:p>
      <w:pPr>
        <w:pStyle w:val="Footnoteheading"/>
        <w:tabs>
          <w:tab w:val="left" w:pos="851"/>
        </w:tabs>
      </w:pPr>
      <w:r>
        <w:tab/>
        <w:t>[Heading inserted by No. 71 of 2003 s. 7.]</w:t>
      </w:r>
    </w:p>
    <w:p>
      <w:pPr>
        <w:pStyle w:val="Heading5"/>
      </w:pPr>
      <w:bookmarkStart w:id="589" w:name="_Toc389811656"/>
      <w:bookmarkStart w:id="590" w:name="_Toc388862943"/>
      <w:r>
        <w:rPr>
          <w:rStyle w:val="CharSectno"/>
        </w:rPr>
        <w:t>114B</w:t>
      </w:r>
      <w:r>
        <w:t>.</w:t>
      </w:r>
      <w:r>
        <w:tab/>
        <w:t>Immunity from liability for damage to vessels</w:t>
      </w:r>
      <w:bookmarkEnd w:id="589"/>
      <w:bookmarkEnd w:id="590"/>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591" w:name="_Toc389811657"/>
      <w:bookmarkStart w:id="592" w:name="_Toc388862944"/>
      <w:r>
        <w:rPr>
          <w:rStyle w:val="CharSectno"/>
        </w:rPr>
        <w:t>114C</w:t>
      </w:r>
      <w:r>
        <w:t>.</w:t>
      </w:r>
      <w:r>
        <w:tab/>
        <w:t>Immunity from liability for damaged goods</w:t>
      </w:r>
      <w:bookmarkEnd w:id="591"/>
      <w:bookmarkEnd w:id="592"/>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593" w:name="_Toc389811658"/>
      <w:bookmarkStart w:id="594" w:name="_Toc388862945"/>
      <w:r>
        <w:rPr>
          <w:rStyle w:val="CharSectno"/>
        </w:rPr>
        <w:t>114D</w:t>
      </w:r>
      <w:r>
        <w:t>.</w:t>
      </w:r>
      <w:r>
        <w:tab/>
        <w:t>Immunity from liability for delay in delivery of goods</w:t>
      </w:r>
      <w:bookmarkEnd w:id="593"/>
      <w:bookmarkEnd w:id="594"/>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rPr>
          <w:ins w:id="595" w:author="svcMRProcess" w:date="2018-09-07T05:21:00Z"/>
        </w:rPr>
      </w:pPr>
      <w:bookmarkStart w:id="596" w:name="_Toc389811659"/>
      <w:ins w:id="597" w:author="svcMRProcess" w:date="2018-09-07T05:21:00Z">
        <w:r>
          <w:rPr>
            <w:rStyle w:val="CharSectno"/>
          </w:rPr>
          <w:t>114EA</w:t>
        </w:r>
        <w:r>
          <w:t>.</w:t>
        </w:r>
        <w:r>
          <w:tab/>
          <w:t>Immunity from liability for acts or omissions of port users</w:t>
        </w:r>
        <w:bookmarkEnd w:id="596"/>
      </w:ins>
    </w:p>
    <w:p>
      <w:pPr>
        <w:pStyle w:val="Subsection"/>
        <w:rPr>
          <w:ins w:id="598" w:author="svcMRProcess" w:date="2018-09-07T05:21:00Z"/>
        </w:rPr>
      </w:pPr>
      <w:ins w:id="599" w:author="svcMRProcess" w:date="2018-09-07T05:21:00Z">
        <w:r>
          <w:tab/>
          <w:t>(1)</w:t>
        </w:r>
        <w:r>
          <w:tab/>
          <w:t>A port authority is not liable for any loss or damage resulting from an act or omission of a person who is, or is acting on behalf of, a user of its port.</w:t>
        </w:r>
      </w:ins>
    </w:p>
    <w:p>
      <w:pPr>
        <w:pStyle w:val="Subsection"/>
        <w:rPr>
          <w:ins w:id="600" w:author="svcMRProcess" w:date="2018-09-07T05:21:00Z"/>
        </w:rPr>
      </w:pPr>
      <w:ins w:id="601" w:author="svcMRProcess" w:date="2018-09-07T05:21:00Z">
        <w:r>
          <w:tab/>
          <w:t>(2)</w:t>
        </w:r>
        <w:r>
          <w:tab/>
          <w:t>Subsection (1) does not affect any liability a port authority might have for breach of contract.</w:t>
        </w:r>
      </w:ins>
    </w:p>
    <w:p>
      <w:pPr>
        <w:pStyle w:val="Footnotesection"/>
        <w:rPr>
          <w:ins w:id="602" w:author="svcMRProcess" w:date="2018-09-07T05:21:00Z"/>
        </w:rPr>
      </w:pPr>
      <w:ins w:id="603" w:author="svcMRProcess" w:date="2018-09-07T05:21:00Z">
        <w:r>
          <w:tab/>
          <w:t>[Section 114EA inserted by No. 9 of 2014 s. 26.]</w:t>
        </w:r>
      </w:ins>
    </w:p>
    <w:p>
      <w:pPr>
        <w:pStyle w:val="Heading5"/>
      </w:pPr>
      <w:bookmarkStart w:id="604" w:name="_Toc389811660"/>
      <w:bookmarkStart w:id="605" w:name="_Toc388862946"/>
      <w:r>
        <w:rPr>
          <w:rStyle w:val="CharSectno"/>
        </w:rPr>
        <w:t>114E</w:t>
      </w:r>
      <w:r>
        <w:t>.</w:t>
      </w:r>
      <w:r>
        <w:tab/>
        <w:t>Immunity from liability for certain events and actions</w:t>
      </w:r>
      <w:bookmarkEnd w:id="604"/>
      <w:bookmarkEnd w:id="605"/>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 or</w:t>
      </w:r>
    </w:p>
    <w:p>
      <w:pPr>
        <w:pStyle w:val="Indenta"/>
      </w:pPr>
      <w:r>
        <w:tab/>
        <w:t>(b)</w:t>
      </w:r>
      <w:r>
        <w:tab/>
        <w:t>an act of war; or</w:t>
      </w:r>
    </w:p>
    <w:p>
      <w:pPr>
        <w:pStyle w:val="Indenta"/>
      </w:pPr>
      <w:r>
        <w:tab/>
        <w:t>(c)</w:t>
      </w:r>
      <w:r>
        <w:tab/>
        <w:t>an act of public enemies; or</w:t>
      </w:r>
    </w:p>
    <w:p>
      <w:pPr>
        <w:pStyle w:val="Indenta"/>
      </w:pPr>
      <w:r>
        <w:tab/>
        <w:t>(d)</w:t>
      </w:r>
      <w:r>
        <w:tab/>
        <w:t>any insurrection, revolution or civil disorder; or</w:t>
      </w:r>
    </w:p>
    <w:p>
      <w:pPr>
        <w:pStyle w:val="Indenta"/>
      </w:pPr>
      <w:r>
        <w:tab/>
        <w:t>(e)</w:t>
      </w:r>
      <w:r>
        <w:tab/>
        <w:t>the unlawful seizure or control of any people or any vessels, vehicles or other property; or</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606" w:name="_Toc389811661"/>
      <w:bookmarkStart w:id="607" w:name="_Toc388519332"/>
      <w:bookmarkStart w:id="608" w:name="_Toc388862947"/>
      <w:r>
        <w:rPr>
          <w:rStyle w:val="CharPartNo"/>
        </w:rPr>
        <w:t>Part 8</w:t>
      </w:r>
      <w:r>
        <w:rPr>
          <w:rStyle w:val="CharDivNo"/>
        </w:rPr>
        <w:t xml:space="preserve"> </w:t>
      </w:r>
      <w:r>
        <w:t>—</w:t>
      </w:r>
      <w:r>
        <w:rPr>
          <w:rStyle w:val="CharDivText"/>
        </w:rPr>
        <w:t xml:space="preserve"> </w:t>
      </w:r>
      <w:r>
        <w:rPr>
          <w:rStyle w:val="CharPartText"/>
        </w:rPr>
        <w:t>Port charges</w:t>
      </w:r>
      <w:bookmarkEnd w:id="606"/>
      <w:bookmarkEnd w:id="607"/>
      <w:bookmarkEnd w:id="608"/>
      <w:r>
        <w:rPr>
          <w:rStyle w:val="CharPartText"/>
        </w:rPr>
        <w:t xml:space="preserve"> </w:t>
      </w:r>
    </w:p>
    <w:p>
      <w:pPr>
        <w:pStyle w:val="Heading5"/>
        <w:rPr>
          <w:snapToGrid w:val="0"/>
        </w:rPr>
      </w:pPr>
      <w:bookmarkStart w:id="609" w:name="_Toc389811662"/>
      <w:bookmarkStart w:id="610" w:name="_Toc388862948"/>
      <w:r>
        <w:rPr>
          <w:rStyle w:val="CharSectno"/>
        </w:rPr>
        <w:t>115</w:t>
      </w:r>
      <w:r>
        <w:rPr>
          <w:snapToGrid w:val="0"/>
        </w:rPr>
        <w:t>.</w:t>
      </w:r>
      <w:r>
        <w:rPr>
          <w:snapToGrid w:val="0"/>
        </w:rPr>
        <w:tab/>
        <w:t>Term used: port charges; application of this Part</w:t>
      </w:r>
      <w:bookmarkEnd w:id="609"/>
      <w:bookmarkEnd w:id="610"/>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 or</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611" w:name="_Toc389811663"/>
      <w:bookmarkStart w:id="612" w:name="_Toc388862949"/>
      <w:r>
        <w:rPr>
          <w:rStyle w:val="CharSectno"/>
        </w:rPr>
        <w:t>116</w:t>
      </w:r>
      <w:r>
        <w:rPr>
          <w:snapToGrid w:val="0"/>
        </w:rPr>
        <w:t>.</w:t>
      </w:r>
      <w:r>
        <w:rPr>
          <w:snapToGrid w:val="0"/>
        </w:rPr>
        <w:tab/>
        <w:t>Liability to pay port charges in respect of vessels</w:t>
      </w:r>
      <w:bookmarkEnd w:id="611"/>
      <w:bookmarkEnd w:id="612"/>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613" w:name="_Toc389811664"/>
      <w:bookmarkStart w:id="614" w:name="_Toc388862950"/>
      <w:r>
        <w:rPr>
          <w:rStyle w:val="CharSectno"/>
        </w:rPr>
        <w:t>117</w:t>
      </w:r>
      <w:r>
        <w:rPr>
          <w:snapToGrid w:val="0"/>
        </w:rPr>
        <w:t>.</w:t>
      </w:r>
      <w:r>
        <w:rPr>
          <w:snapToGrid w:val="0"/>
        </w:rPr>
        <w:tab/>
        <w:t>Liability to pay port charges in respect of goods</w:t>
      </w:r>
      <w:bookmarkEnd w:id="613"/>
      <w:bookmarkEnd w:id="614"/>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615" w:name="_Toc389811665"/>
      <w:bookmarkStart w:id="616" w:name="_Toc388862951"/>
      <w:r>
        <w:rPr>
          <w:rStyle w:val="CharSectno"/>
        </w:rPr>
        <w:t>118</w:t>
      </w:r>
      <w:r>
        <w:rPr>
          <w:snapToGrid w:val="0"/>
        </w:rPr>
        <w:t>.</w:t>
      </w:r>
      <w:r>
        <w:rPr>
          <w:snapToGrid w:val="0"/>
        </w:rPr>
        <w:tab/>
        <w:t>Recovery of port charges by port authority</w:t>
      </w:r>
      <w:bookmarkEnd w:id="615"/>
      <w:bookmarkEnd w:id="616"/>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617" w:name="_Toc389811666"/>
      <w:bookmarkStart w:id="618" w:name="_Toc388862952"/>
      <w:r>
        <w:rPr>
          <w:rStyle w:val="CharSectno"/>
        </w:rPr>
        <w:t>119</w:t>
      </w:r>
      <w:r>
        <w:rPr>
          <w:snapToGrid w:val="0"/>
        </w:rPr>
        <w:t>.</w:t>
      </w:r>
      <w:r>
        <w:rPr>
          <w:snapToGrid w:val="0"/>
        </w:rPr>
        <w:tab/>
        <w:t>Collectors of port charges</w:t>
      </w:r>
      <w:bookmarkEnd w:id="617"/>
      <w:bookmarkEnd w:id="618"/>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619" w:name="_Toc389811667"/>
      <w:bookmarkStart w:id="620" w:name="_Toc388519338"/>
      <w:bookmarkStart w:id="621" w:name="_Toc388862953"/>
      <w:r>
        <w:rPr>
          <w:rStyle w:val="CharPartNo"/>
        </w:rPr>
        <w:t>Part 9</w:t>
      </w:r>
      <w:r>
        <w:t xml:space="preserve"> — </w:t>
      </w:r>
      <w:r>
        <w:rPr>
          <w:rStyle w:val="CharPartText"/>
        </w:rPr>
        <w:t>Proceedings for offences</w:t>
      </w:r>
      <w:bookmarkEnd w:id="619"/>
      <w:bookmarkEnd w:id="620"/>
      <w:bookmarkEnd w:id="621"/>
      <w:r>
        <w:rPr>
          <w:rStyle w:val="CharPartText"/>
        </w:rPr>
        <w:t xml:space="preserve"> </w:t>
      </w:r>
    </w:p>
    <w:p>
      <w:pPr>
        <w:pStyle w:val="Heading3"/>
        <w:rPr>
          <w:snapToGrid w:val="0"/>
        </w:rPr>
      </w:pPr>
      <w:bookmarkStart w:id="622" w:name="_Toc389811668"/>
      <w:bookmarkStart w:id="623" w:name="_Toc388519339"/>
      <w:bookmarkStart w:id="624" w:name="_Toc388862954"/>
      <w:r>
        <w:rPr>
          <w:rStyle w:val="CharDivNo"/>
        </w:rPr>
        <w:t xml:space="preserve">Division 1 </w:t>
      </w:r>
      <w:r>
        <w:rPr>
          <w:snapToGrid w:val="0"/>
        </w:rPr>
        <w:t>— </w:t>
      </w:r>
      <w:r>
        <w:rPr>
          <w:rStyle w:val="CharDivText"/>
        </w:rPr>
        <w:t>General</w:t>
      </w:r>
      <w:bookmarkEnd w:id="622"/>
      <w:bookmarkEnd w:id="623"/>
      <w:bookmarkEnd w:id="624"/>
      <w:r>
        <w:rPr>
          <w:rStyle w:val="CharDivText"/>
        </w:rPr>
        <w:t xml:space="preserve"> </w:t>
      </w:r>
    </w:p>
    <w:p>
      <w:pPr>
        <w:pStyle w:val="Heading5"/>
        <w:rPr>
          <w:snapToGrid w:val="0"/>
        </w:rPr>
      </w:pPr>
      <w:bookmarkStart w:id="625" w:name="_Toc389811669"/>
      <w:bookmarkStart w:id="626" w:name="_Toc388862955"/>
      <w:r>
        <w:rPr>
          <w:rStyle w:val="CharSectno"/>
        </w:rPr>
        <w:t>120</w:t>
      </w:r>
      <w:r>
        <w:rPr>
          <w:snapToGrid w:val="0"/>
        </w:rPr>
        <w:t>.</w:t>
      </w:r>
      <w:r>
        <w:rPr>
          <w:snapToGrid w:val="0"/>
        </w:rPr>
        <w:tab/>
        <w:t>Who can commence prosecutions</w:t>
      </w:r>
      <w:bookmarkEnd w:id="625"/>
      <w:bookmarkEnd w:id="626"/>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627" w:name="_Toc389811670"/>
      <w:bookmarkStart w:id="628" w:name="_Toc388862956"/>
      <w:r>
        <w:rPr>
          <w:rStyle w:val="CharSectno"/>
        </w:rPr>
        <w:t>121</w:t>
      </w:r>
      <w:r>
        <w:rPr>
          <w:snapToGrid w:val="0"/>
        </w:rPr>
        <w:t>.</w:t>
      </w:r>
      <w:r>
        <w:rPr>
          <w:snapToGrid w:val="0"/>
        </w:rPr>
        <w:tab/>
        <w:t>Time limit for prosecutions</w:t>
      </w:r>
      <w:bookmarkEnd w:id="627"/>
      <w:bookmarkEnd w:id="628"/>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629" w:name="_Toc389811671"/>
      <w:bookmarkStart w:id="630" w:name="_Toc388862957"/>
      <w:r>
        <w:rPr>
          <w:rStyle w:val="CharSectno"/>
        </w:rPr>
        <w:t>122</w:t>
      </w:r>
      <w:r>
        <w:rPr>
          <w:snapToGrid w:val="0"/>
        </w:rPr>
        <w:t>.</w:t>
      </w:r>
      <w:r>
        <w:rPr>
          <w:snapToGrid w:val="0"/>
        </w:rPr>
        <w:tab/>
        <w:t>Averment as to place of offence</w:t>
      </w:r>
      <w:bookmarkEnd w:id="629"/>
      <w:bookmarkEnd w:id="630"/>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631" w:name="_Toc389811672"/>
      <w:bookmarkStart w:id="632" w:name="_Toc388519343"/>
      <w:bookmarkStart w:id="633" w:name="_Toc388862958"/>
      <w:r>
        <w:rPr>
          <w:rStyle w:val="CharDivNo"/>
        </w:rPr>
        <w:t>Division 2</w:t>
      </w:r>
      <w:r>
        <w:rPr>
          <w:snapToGrid w:val="0"/>
        </w:rPr>
        <w:t> — </w:t>
      </w:r>
      <w:r>
        <w:rPr>
          <w:rStyle w:val="CharDivText"/>
        </w:rPr>
        <w:t>Infringement notices</w:t>
      </w:r>
      <w:bookmarkEnd w:id="631"/>
      <w:bookmarkEnd w:id="632"/>
      <w:bookmarkEnd w:id="633"/>
      <w:r>
        <w:rPr>
          <w:rStyle w:val="CharDivText"/>
        </w:rPr>
        <w:t xml:space="preserve"> </w:t>
      </w:r>
    </w:p>
    <w:p>
      <w:pPr>
        <w:pStyle w:val="Heading5"/>
        <w:rPr>
          <w:snapToGrid w:val="0"/>
        </w:rPr>
      </w:pPr>
      <w:bookmarkStart w:id="634" w:name="_Toc389811673"/>
      <w:bookmarkStart w:id="635" w:name="_Toc388862959"/>
      <w:r>
        <w:rPr>
          <w:rStyle w:val="CharSectno"/>
        </w:rPr>
        <w:t>123</w:t>
      </w:r>
      <w:r>
        <w:rPr>
          <w:snapToGrid w:val="0"/>
        </w:rPr>
        <w:t>.</w:t>
      </w:r>
      <w:r>
        <w:rPr>
          <w:snapToGrid w:val="0"/>
        </w:rPr>
        <w:tab/>
        <w:t>Terms used</w:t>
      </w:r>
      <w:bookmarkEnd w:id="634"/>
      <w:bookmarkEnd w:id="63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636" w:name="_Toc389811674"/>
      <w:bookmarkStart w:id="637" w:name="_Toc388862960"/>
      <w:r>
        <w:rPr>
          <w:rStyle w:val="CharSectno"/>
        </w:rPr>
        <w:t>124</w:t>
      </w:r>
      <w:r>
        <w:rPr>
          <w:snapToGrid w:val="0"/>
        </w:rPr>
        <w:t>.</w:t>
      </w:r>
      <w:r>
        <w:rPr>
          <w:snapToGrid w:val="0"/>
        </w:rPr>
        <w:tab/>
        <w:t>Giving of notice</w:t>
      </w:r>
      <w:bookmarkEnd w:id="636"/>
      <w:bookmarkEnd w:id="637"/>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638" w:name="_Toc389811675"/>
      <w:bookmarkStart w:id="639" w:name="_Toc388862961"/>
      <w:r>
        <w:rPr>
          <w:rStyle w:val="CharSectno"/>
        </w:rPr>
        <w:t>125</w:t>
      </w:r>
      <w:r>
        <w:rPr>
          <w:snapToGrid w:val="0"/>
        </w:rPr>
        <w:t>.</w:t>
      </w:r>
      <w:r>
        <w:rPr>
          <w:snapToGrid w:val="0"/>
        </w:rPr>
        <w:tab/>
        <w:t>Content of notice</w:t>
      </w:r>
      <w:bookmarkEnd w:id="638"/>
      <w:bookmarkEnd w:id="639"/>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640" w:name="_Toc389811676"/>
      <w:bookmarkStart w:id="641" w:name="_Toc388862962"/>
      <w:r>
        <w:rPr>
          <w:rStyle w:val="CharSectno"/>
        </w:rPr>
        <w:t>126</w:t>
      </w:r>
      <w:r>
        <w:rPr>
          <w:snapToGrid w:val="0"/>
        </w:rPr>
        <w:t>.</w:t>
      </w:r>
      <w:r>
        <w:rPr>
          <w:snapToGrid w:val="0"/>
        </w:rPr>
        <w:tab/>
        <w:t>Extending time for paying modified penalty</w:t>
      </w:r>
      <w:bookmarkEnd w:id="640"/>
      <w:bookmarkEnd w:id="641"/>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642" w:name="_Toc389811677"/>
      <w:bookmarkStart w:id="643" w:name="_Toc388862963"/>
      <w:r>
        <w:rPr>
          <w:rStyle w:val="CharSectno"/>
        </w:rPr>
        <w:t>127</w:t>
      </w:r>
      <w:r>
        <w:rPr>
          <w:snapToGrid w:val="0"/>
        </w:rPr>
        <w:t>.</w:t>
      </w:r>
      <w:r>
        <w:rPr>
          <w:snapToGrid w:val="0"/>
        </w:rPr>
        <w:tab/>
        <w:t>Withdrawing notice</w:t>
      </w:r>
      <w:bookmarkEnd w:id="642"/>
      <w:bookmarkEnd w:id="643"/>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644" w:name="_Toc389811678"/>
      <w:bookmarkStart w:id="645" w:name="_Toc388862964"/>
      <w:r>
        <w:rPr>
          <w:rStyle w:val="CharSectno"/>
        </w:rPr>
        <w:t>128</w:t>
      </w:r>
      <w:r>
        <w:rPr>
          <w:snapToGrid w:val="0"/>
        </w:rPr>
        <w:t>.</w:t>
      </w:r>
      <w:r>
        <w:rPr>
          <w:snapToGrid w:val="0"/>
        </w:rPr>
        <w:tab/>
        <w:t>Benefit of paying modified penalty</w:t>
      </w:r>
      <w:bookmarkEnd w:id="644"/>
      <w:bookmarkEnd w:id="645"/>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646" w:name="_Toc389811679"/>
      <w:bookmarkStart w:id="647" w:name="_Toc388862965"/>
      <w:r>
        <w:rPr>
          <w:rStyle w:val="CharSectno"/>
        </w:rPr>
        <w:t>129</w:t>
      </w:r>
      <w:r>
        <w:rPr>
          <w:snapToGrid w:val="0"/>
        </w:rPr>
        <w:t>.</w:t>
      </w:r>
      <w:r>
        <w:rPr>
          <w:snapToGrid w:val="0"/>
        </w:rPr>
        <w:tab/>
        <w:t>Application of penalties collected</w:t>
      </w:r>
      <w:bookmarkEnd w:id="646"/>
      <w:bookmarkEnd w:id="647"/>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648" w:name="_Toc389811680"/>
      <w:bookmarkStart w:id="649" w:name="_Toc388862966"/>
      <w:r>
        <w:rPr>
          <w:rStyle w:val="CharSectno"/>
        </w:rPr>
        <w:t>130</w:t>
      </w:r>
      <w:r>
        <w:rPr>
          <w:snapToGrid w:val="0"/>
        </w:rPr>
        <w:t>.</w:t>
      </w:r>
      <w:r>
        <w:rPr>
          <w:snapToGrid w:val="0"/>
        </w:rPr>
        <w:tab/>
        <w:t>Authorised persons, appointment of</w:t>
      </w:r>
      <w:bookmarkEnd w:id="648"/>
      <w:bookmarkEnd w:id="649"/>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650" w:name="_Toc389811681"/>
      <w:bookmarkStart w:id="651" w:name="_Toc388519352"/>
      <w:bookmarkStart w:id="652" w:name="_Toc388862967"/>
      <w:r>
        <w:rPr>
          <w:rStyle w:val="CharPartNo"/>
        </w:rPr>
        <w:t>Part 10</w:t>
      </w:r>
      <w:r>
        <w:rPr>
          <w:rStyle w:val="CharDivNo"/>
        </w:rPr>
        <w:t xml:space="preserve"> </w:t>
      </w:r>
      <w:r>
        <w:t>—</w:t>
      </w:r>
      <w:r>
        <w:rPr>
          <w:rStyle w:val="CharDivText"/>
        </w:rPr>
        <w:t xml:space="preserve"> </w:t>
      </w:r>
      <w:r>
        <w:rPr>
          <w:rStyle w:val="CharPartText"/>
        </w:rPr>
        <w:t>Miscellaneous</w:t>
      </w:r>
      <w:bookmarkEnd w:id="650"/>
      <w:bookmarkEnd w:id="651"/>
      <w:bookmarkEnd w:id="652"/>
    </w:p>
    <w:p>
      <w:pPr>
        <w:pStyle w:val="Heading5"/>
        <w:rPr>
          <w:snapToGrid w:val="0"/>
        </w:rPr>
      </w:pPr>
      <w:bookmarkStart w:id="653" w:name="_Toc389811682"/>
      <w:bookmarkStart w:id="654" w:name="_Toc388862968"/>
      <w:r>
        <w:rPr>
          <w:rStyle w:val="CharSectno"/>
        </w:rPr>
        <w:t>131</w:t>
      </w:r>
      <w:r>
        <w:rPr>
          <w:snapToGrid w:val="0"/>
        </w:rPr>
        <w:t>.</w:t>
      </w:r>
      <w:r>
        <w:rPr>
          <w:snapToGrid w:val="0"/>
        </w:rPr>
        <w:tab/>
        <w:t>Hindering, offence</w:t>
      </w:r>
      <w:bookmarkEnd w:id="653"/>
      <w:bookmarkEnd w:id="654"/>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obstructs, impedes or interferes with the doing of, a thing required or authorised to be done by or under this Act; or</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r>
      <w:r>
        <w:tab/>
        <w:t>or</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655" w:name="_Toc389811683"/>
      <w:bookmarkStart w:id="656" w:name="_Toc388862969"/>
      <w:r>
        <w:rPr>
          <w:rStyle w:val="CharSectno"/>
        </w:rPr>
        <w:t>132</w:t>
      </w:r>
      <w:r>
        <w:rPr>
          <w:snapToGrid w:val="0"/>
        </w:rPr>
        <w:t>.</w:t>
      </w:r>
      <w:r>
        <w:rPr>
          <w:snapToGrid w:val="0"/>
        </w:rPr>
        <w:tab/>
        <w:t>Individual port authorities, provisions for (Sch. 6)</w:t>
      </w:r>
      <w:bookmarkEnd w:id="655"/>
      <w:bookmarkEnd w:id="656"/>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657" w:name="_Toc389811684"/>
      <w:bookmarkStart w:id="658" w:name="_Toc388862970"/>
      <w:r>
        <w:rPr>
          <w:rStyle w:val="CharSectno"/>
        </w:rPr>
        <w:t>133</w:t>
      </w:r>
      <w:r>
        <w:rPr>
          <w:snapToGrid w:val="0"/>
        </w:rPr>
        <w:t>.</w:t>
      </w:r>
      <w:r>
        <w:rPr>
          <w:snapToGrid w:val="0"/>
        </w:rPr>
        <w:tab/>
        <w:t>Supplementary provision about laying documents before Parliament</w:t>
      </w:r>
      <w:bookmarkEnd w:id="657"/>
      <w:bookmarkEnd w:id="65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35(5), 41(4), 53(5), 56(4), 62(5), 64(2), 65(4), 68(3), 72(2), </w:t>
      </w:r>
      <w:r>
        <w:t>84(</w:t>
      </w:r>
      <w:del w:id="659" w:author="svcMRProcess" w:date="2018-09-07T05:21:00Z">
        <w:r>
          <w:rPr>
            <w:snapToGrid w:val="0"/>
          </w:rPr>
          <w:delText>5</w:delText>
        </w:r>
      </w:del>
      <w:ins w:id="660" w:author="svcMRProcess" w:date="2018-09-07T05:21:00Z">
        <w:r>
          <w:t>9</w:t>
        </w:r>
      </w:ins>
      <w:r>
        <w:t xml:space="preserve">) </w:t>
      </w:r>
      <w:r>
        <w:rPr>
          <w:snapToGrid w:val="0"/>
        </w:rPr>
        <w:t>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del w:id="661" w:author="svcMRProcess" w:date="2018-09-07T05:21:00Z">
        <w:r>
          <w:delText>).]</w:delText>
        </w:r>
      </w:del>
      <w:ins w:id="662" w:author="svcMRProcess" w:date="2018-09-07T05:21:00Z">
        <w:r>
          <w:t>); No. 9 of 2014 s. 27.]</w:t>
        </w:r>
      </w:ins>
    </w:p>
    <w:p>
      <w:pPr>
        <w:pStyle w:val="Heading5"/>
        <w:rPr>
          <w:snapToGrid w:val="0"/>
        </w:rPr>
      </w:pPr>
      <w:bookmarkStart w:id="663" w:name="_Toc389811685"/>
      <w:bookmarkStart w:id="664" w:name="_Toc388862971"/>
      <w:r>
        <w:rPr>
          <w:rStyle w:val="CharSectno"/>
        </w:rPr>
        <w:t>134</w:t>
      </w:r>
      <w:r>
        <w:rPr>
          <w:snapToGrid w:val="0"/>
        </w:rPr>
        <w:t>.</w:t>
      </w:r>
      <w:r>
        <w:rPr>
          <w:snapToGrid w:val="0"/>
        </w:rPr>
        <w:tab/>
        <w:t>Execution of documents by port authority</w:t>
      </w:r>
      <w:bookmarkEnd w:id="663"/>
      <w:bookmarkEnd w:id="664"/>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665" w:name="_Toc389811686"/>
      <w:bookmarkStart w:id="666" w:name="_Toc388862972"/>
      <w:r>
        <w:rPr>
          <w:rStyle w:val="CharSectno"/>
        </w:rPr>
        <w:t>135</w:t>
      </w:r>
      <w:r>
        <w:rPr>
          <w:snapToGrid w:val="0"/>
        </w:rPr>
        <w:t>.</w:t>
      </w:r>
      <w:r>
        <w:rPr>
          <w:snapToGrid w:val="0"/>
        </w:rPr>
        <w:tab/>
        <w:t>Contracts with port authority, formalities of</w:t>
      </w:r>
      <w:bookmarkEnd w:id="665"/>
      <w:bookmarkEnd w:id="666"/>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667" w:name="_Toc389811687"/>
      <w:bookmarkStart w:id="668" w:name="_Toc388862973"/>
      <w:r>
        <w:rPr>
          <w:rStyle w:val="CharSectno"/>
        </w:rPr>
        <w:t>136</w:t>
      </w:r>
      <w:r>
        <w:rPr>
          <w:snapToGrid w:val="0"/>
        </w:rPr>
        <w:t>.</w:t>
      </w:r>
      <w:r>
        <w:rPr>
          <w:snapToGrid w:val="0"/>
        </w:rPr>
        <w:tab/>
        <w:t>Overdue amounts, interest on</w:t>
      </w:r>
      <w:bookmarkEnd w:id="667"/>
      <w:bookmarkEnd w:id="668"/>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669" w:name="_Toc389811688"/>
      <w:bookmarkStart w:id="670" w:name="_Toc388862974"/>
      <w:r>
        <w:rPr>
          <w:rStyle w:val="CharSectno"/>
        </w:rPr>
        <w:t>137</w:t>
      </w:r>
      <w:r>
        <w:rPr>
          <w:snapToGrid w:val="0"/>
        </w:rPr>
        <w:t>.</w:t>
      </w:r>
      <w:r>
        <w:rPr>
          <w:snapToGrid w:val="0"/>
        </w:rPr>
        <w:tab/>
        <w:t>Recovery of expenses due to offence</w:t>
      </w:r>
      <w:bookmarkEnd w:id="669"/>
      <w:bookmarkEnd w:id="670"/>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pPr>
      <w:bookmarkStart w:id="671" w:name="_Toc389811689"/>
      <w:bookmarkStart w:id="672" w:name="_Toc388862975"/>
      <w:r>
        <w:rPr>
          <w:rStyle w:val="CharSectno"/>
        </w:rPr>
        <w:t>138</w:t>
      </w:r>
      <w:r>
        <w:t>.</w:t>
      </w:r>
      <w:r>
        <w:tab/>
      </w:r>
      <w:r>
        <w:rPr>
          <w:i/>
        </w:rPr>
        <w:t>Government Agreements Act 1979</w:t>
      </w:r>
      <w:r>
        <w:t xml:space="preserve"> not affected</w:t>
      </w:r>
      <w:bookmarkEnd w:id="671"/>
      <w:bookmarkEnd w:id="672"/>
    </w:p>
    <w:p>
      <w:pPr>
        <w:pStyle w:val="Subsection"/>
      </w:pPr>
      <w:r>
        <w:tab/>
      </w:r>
      <w:r>
        <w:tab/>
        <w:t xml:space="preserve">The operation of the </w:t>
      </w:r>
      <w:r>
        <w:rPr>
          <w:i/>
        </w:rPr>
        <w:t>Government Agreements Act 1979</w:t>
      </w:r>
      <w:r>
        <w:t xml:space="preserve"> in relation to this Act is not limited or otherwise affected by — </w:t>
      </w:r>
    </w:p>
    <w:p>
      <w:pPr>
        <w:pStyle w:val="Indenta"/>
      </w:pPr>
      <w:r>
        <w:tab/>
        <w:t>(a)</w:t>
      </w:r>
      <w:r>
        <w:tab/>
        <w:t>Schedule 6 clause 1.3 or 2.3 or the mention of particular agreements in those clauses; or</w:t>
      </w:r>
    </w:p>
    <w:p>
      <w:pPr>
        <w:pStyle w:val="Indenta"/>
      </w:pPr>
      <w:r>
        <w:tab/>
        <w:t>(b)</w:t>
      </w:r>
      <w:r>
        <w:tab/>
        <w:t>the affecting provisions as defined in Schedule 8 clause 45.</w:t>
      </w:r>
    </w:p>
    <w:p>
      <w:pPr>
        <w:pStyle w:val="Footnotesection"/>
      </w:pPr>
      <w:r>
        <w:tab/>
        <w:t>[Section 138 inserted by No. 9 of 2014 s. 28(1).]</w:t>
      </w:r>
    </w:p>
    <w:p>
      <w:pPr>
        <w:pStyle w:val="Heading5"/>
      </w:pPr>
      <w:bookmarkStart w:id="673" w:name="_Toc389811690"/>
      <w:bookmarkStart w:id="674" w:name="_Toc388862976"/>
      <w:r>
        <w:rPr>
          <w:rStyle w:val="CharSectno"/>
        </w:rPr>
        <w:t>139A</w:t>
      </w:r>
      <w:r>
        <w:t>.</w:t>
      </w:r>
      <w:r>
        <w:tab/>
        <w:t>Transitional provisions</w:t>
      </w:r>
      <w:bookmarkEnd w:id="673"/>
      <w:bookmarkEnd w:id="674"/>
    </w:p>
    <w:p>
      <w:pPr>
        <w:pStyle w:val="Subsection"/>
      </w:pPr>
      <w:r>
        <w:tab/>
      </w:r>
      <w:r>
        <w:tab/>
        <w:t>Schedule 8 sets out transitional provisions.</w:t>
      </w:r>
    </w:p>
    <w:p>
      <w:pPr>
        <w:pStyle w:val="Footnotesection"/>
      </w:pPr>
      <w:r>
        <w:tab/>
        <w:t>[Section 139A inserted by No. 9 of 2014 s. 29.]</w:t>
      </w:r>
    </w:p>
    <w:p>
      <w:pPr>
        <w:pStyle w:val="Heading2"/>
      </w:pPr>
      <w:bookmarkStart w:id="675" w:name="_Toc389811691"/>
      <w:bookmarkStart w:id="676" w:name="_Toc388519362"/>
      <w:bookmarkStart w:id="677" w:name="_Toc388862977"/>
      <w:r>
        <w:rPr>
          <w:rStyle w:val="CharPartNo"/>
        </w:rPr>
        <w:t>Part 11</w:t>
      </w:r>
      <w:r>
        <w:rPr>
          <w:rStyle w:val="CharDivNo"/>
        </w:rPr>
        <w:t xml:space="preserve"> </w:t>
      </w:r>
      <w:r>
        <w:t>—</w:t>
      </w:r>
      <w:r>
        <w:rPr>
          <w:rStyle w:val="CharDivText"/>
        </w:rPr>
        <w:t xml:space="preserve"> </w:t>
      </w:r>
      <w:r>
        <w:rPr>
          <w:rStyle w:val="CharPartText"/>
        </w:rPr>
        <w:t>Regulations</w:t>
      </w:r>
      <w:bookmarkEnd w:id="675"/>
      <w:bookmarkEnd w:id="676"/>
      <w:bookmarkEnd w:id="677"/>
    </w:p>
    <w:p>
      <w:pPr>
        <w:pStyle w:val="Heading5"/>
        <w:rPr>
          <w:snapToGrid w:val="0"/>
        </w:rPr>
      </w:pPr>
      <w:bookmarkStart w:id="678" w:name="_Toc389811692"/>
      <w:bookmarkStart w:id="679" w:name="_Toc388862978"/>
      <w:r>
        <w:rPr>
          <w:rStyle w:val="CharSectno"/>
        </w:rPr>
        <w:t>139</w:t>
      </w:r>
      <w:r>
        <w:rPr>
          <w:snapToGrid w:val="0"/>
        </w:rPr>
        <w:t>.</w:t>
      </w:r>
      <w:r>
        <w:rPr>
          <w:snapToGrid w:val="0"/>
        </w:rPr>
        <w:tab/>
        <w:t>General power to make regulations</w:t>
      </w:r>
      <w:bookmarkEnd w:id="678"/>
      <w:bookmarkEnd w:id="67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680" w:name="_Toc389811693"/>
      <w:bookmarkStart w:id="681" w:name="_Toc388862979"/>
      <w:r>
        <w:rPr>
          <w:rStyle w:val="CharSectno"/>
        </w:rPr>
        <w:t>140</w:t>
      </w:r>
      <w:r>
        <w:rPr>
          <w:snapToGrid w:val="0"/>
        </w:rPr>
        <w:t>.</w:t>
      </w:r>
      <w:r>
        <w:rPr>
          <w:snapToGrid w:val="0"/>
        </w:rPr>
        <w:tab/>
        <w:t>Offences against regulations</w:t>
      </w:r>
      <w:bookmarkEnd w:id="680"/>
      <w:bookmarkEnd w:id="681"/>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682" w:name="_Toc389811694"/>
      <w:bookmarkStart w:id="683" w:name="_Toc388862980"/>
      <w:r>
        <w:rPr>
          <w:rStyle w:val="CharSectno"/>
        </w:rPr>
        <w:t>141</w:t>
      </w:r>
      <w:r>
        <w:rPr>
          <w:snapToGrid w:val="0"/>
        </w:rPr>
        <w:t>.</w:t>
      </w:r>
      <w:r>
        <w:rPr>
          <w:snapToGrid w:val="0"/>
        </w:rPr>
        <w:tab/>
        <w:t>Adoption of other laws, codes etc.</w:t>
      </w:r>
      <w:bookmarkEnd w:id="682"/>
      <w:bookmarkEnd w:id="683"/>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684" w:name="_Toc389811695"/>
      <w:bookmarkStart w:id="685" w:name="_Toc388862981"/>
      <w:r>
        <w:rPr>
          <w:rStyle w:val="CharSectno"/>
        </w:rPr>
        <w:t>142</w:t>
      </w:r>
      <w:r>
        <w:rPr>
          <w:snapToGrid w:val="0"/>
        </w:rPr>
        <w:t>.</w:t>
      </w:r>
      <w:r>
        <w:rPr>
          <w:snapToGrid w:val="0"/>
        </w:rPr>
        <w:tab/>
        <w:t>References to other approvals or decisions</w:t>
      </w:r>
      <w:bookmarkEnd w:id="684"/>
      <w:bookmarkEnd w:id="685"/>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686" w:name="_Toc389811696"/>
      <w:bookmarkStart w:id="687" w:name="_Toc388862982"/>
      <w:r>
        <w:rPr>
          <w:rStyle w:val="CharSectno"/>
        </w:rPr>
        <w:t>143</w:t>
      </w:r>
      <w:r>
        <w:rPr>
          <w:snapToGrid w:val="0"/>
        </w:rPr>
        <w:t>.</w:t>
      </w:r>
      <w:r>
        <w:rPr>
          <w:snapToGrid w:val="0"/>
        </w:rPr>
        <w:tab/>
        <w:t>Licensing, provisions as to</w:t>
      </w:r>
      <w:bookmarkEnd w:id="686"/>
      <w:bookmarkEnd w:id="687"/>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688" w:name="_Toc389811697"/>
      <w:bookmarkStart w:id="689" w:name="_Toc388519368"/>
      <w:bookmarkStart w:id="690" w:name="_Toc388862983"/>
      <w:r>
        <w:rPr>
          <w:rStyle w:val="CharPartNo"/>
        </w:rPr>
        <w:t>Part 12</w:t>
      </w:r>
      <w:r>
        <w:rPr>
          <w:rStyle w:val="CharDivNo"/>
        </w:rPr>
        <w:t xml:space="preserve"> </w:t>
      </w:r>
      <w:r>
        <w:t>—</w:t>
      </w:r>
      <w:r>
        <w:rPr>
          <w:rStyle w:val="CharDivText"/>
        </w:rPr>
        <w:t xml:space="preserve"> </w:t>
      </w:r>
      <w:r>
        <w:rPr>
          <w:rStyle w:val="CharPartText"/>
        </w:rPr>
        <w:t>Review of Act</w:t>
      </w:r>
      <w:bookmarkEnd w:id="688"/>
      <w:bookmarkEnd w:id="689"/>
      <w:bookmarkEnd w:id="690"/>
    </w:p>
    <w:p>
      <w:pPr>
        <w:pStyle w:val="Heading5"/>
      </w:pPr>
      <w:bookmarkStart w:id="691" w:name="_Toc389811698"/>
      <w:bookmarkStart w:id="692" w:name="_Toc388862984"/>
      <w:r>
        <w:rPr>
          <w:rStyle w:val="CharSectno"/>
        </w:rPr>
        <w:t>144</w:t>
      </w:r>
      <w:r>
        <w:t>.</w:t>
      </w:r>
      <w:r>
        <w:tab/>
        <w:t>Minister to review and report on Act</w:t>
      </w:r>
      <w:bookmarkEnd w:id="691"/>
      <w:bookmarkEnd w:id="692"/>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93" w:name="_Toc389811699"/>
      <w:bookmarkStart w:id="694" w:name="_Toc388519370"/>
      <w:bookmarkStart w:id="695" w:name="_Toc388862985"/>
      <w:r>
        <w:rPr>
          <w:rStyle w:val="CharSchNo"/>
        </w:rPr>
        <w:t>Schedule 1</w:t>
      </w:r>
      <w:r>
        <w:t> — </w:t>
      </w:r>
      <w:r>
        <w:rPr>
          <w:rStyle w:val="CharSchText"/>
        </w:rPr>
        <w:t>Port authorities and ports</w:t>
      </w:r>
      <w:bookmarkEnd w:id="693"/>
      <w:bookmarkEnd w:id="694"/>
      <w:bookmarkEnd w:id="695"/>
    </w:p>
    <w:p>
      <w:pPr>
        <w:pStyle w:val="yShoulderClause"/>
      </w:pPr>
      <w:r>
        <w:t>[s. 4]</w:t>
      </w:r>
    </w:p>
    <w:p>
      <w:pPr>
        <w:pStyle w:val="yFootnoteheading"/>
        <w:spacing w:after="120"/>
      </w:pPr>
      <w:r>
        <w:tab/>
        <w:t>[Heading inserted by No. 9 of 2014 s. 30.]</w:t>
      </w:r>
    </w:p>
    <w:tbl>
      <w:tblPr>
        <w:tblpPr w:leftFromText="180" w:rightFromText="180" w:vertAnchor="text" w:tblpX="567" w:tblpY="1"/>
        <w:tblOverlap w:val="never"/>
        <w:tblW w:w="0" w:type="auto"/>
        <w:tblLayout w:type="fixed"/>
        <w:tblCellMar>
          <w:left w:w="141" w:type="dxa"/>
          <w:right w:w="141" w:type="dxa"/>
        </w:tblCellMar>
        <w:tblLook w:val="0000" w:firstRow="0" w:lastRow="0" w:firstColumn="0" w:lastColumn="0" w:noHBand="0" w:noVBand="0"/>
      </w:tblPr>
      <w:tblGrid>
        <w:gridCol w:w="1275"/>
        <w:gridCol w:w="2694"/>
        <w:gridCol w:w="2693"/>
      </w:tblGrid>
      <w:tr>
        <w:tc>
          <w:tcPr>
            <w:tcW w:w="1275" w:type="dxa"/>
            <w:tcBorders>
              <w:top w:val="single" w:sz="4" w:space="0" w:color="auto"/>
              <w:bottom w:val="single" w:sz="4" w:space="0" w:color="auto"/>
            </w:tcBorders>
          </w:tcPr>
          <w:p>
            <w:pPr>
              <w:pStyle w:val="yTableNAm"/>
              <w:rPr>
                <w:b/>
              </w:rPr>
            </w:pPr>
            <w:r>
              <w:rPr>
                <w:b/>
              </w:rPr>
              <w:t>Column 1</w:t>
            </w:r>
          </w:p>
          <w:p>
            <w:pPr>
              <w:pStyle w:val="yTableNAm"/>
              <w:rPr>
                <w:b/>
              </w:rPr>
            </w:pPr>
            <w:r>
              <w:rPr>
                <w:b/>
              </w:rPr>
              <w:t>Item</w:t>
            </w:r>
          </w:p>
        </w:tc>
        <w:tc>
          <w:tcPr>
            <w:tcW w:w="2694" w:type="dxa"/>
            <w:tcBorders>
              <w:top w:val="single" w:sz="4" w:space="0" w:color="auto"/>
              <w:bottom w:val="single" w:sz="4" w:space="0" w:color="auto"/>
            </w:tcBorders>
          </w:tcPr>
          <w:p>
            <w:pPr>
              <w:pStyle w:val="yTableNAm"/>
              <w:rPr>
                <w:b/>
              </w:rPr>
            </w:pPr>
            <w:r>
              <w:rPr>
                <w:b/>
              </w:rPr>
              <w:t>Column 2</w:t>
            </w:r>
          </w:p>
          <w:p>
            <w:pPr>
              <w:pStyle w:val="yTableNAm"/>
              <w:rPr>
                <w:b/>
              </w:rPr>
            </w:pPr>
            <w:r>
              <w:rPr>
                <w:b/>
              </w:rPr>
              <w:t>Name of port authority</w:t>
            </w:r>
          </w:p>
        </w:tc>
        <w:tc>
          <w:tcPr>
            <w:tcW w:w="2693" w:type="dxa"/>
            <w:tcBorders>
              <w:top w:val="single" w:sz="4" w:space="0" w:color="auto"/>
              <w:bottom w:val="single" w:sz="4" w:space="0" w:color="auto"/>
            </w:tcBorders>
          </w:tcPr>
          <w:p>
            <w:pPr>
              <w:pStyle w:val="yTableNAm"/>
              <w:rPr>
                <w:b/>
              </w:rPr>
            </w:pPr>
            <w:r>
              <w:rPr>
                <w:b/>
              </w:rPr>
              <w:t>Column 3</w:t>
            </w:r>
          </w:p>
          <w:p>
            <w:pPr>
              <w:pStyle w:val="yTableNAm"/>
              <w:rPr>
                <w:b/>
              </w:rPr>
            </w:pPr>
            <w:r>
              <w:rPr>
                <w:b/>
              </w:rPr>
              <w:t>Port or ports</w:t>
            </w:r>
          </w:p>
        </w:tc>
      </w:tr>
      <w:tr>
        <w:tc>
          <w:tcPr>
            <w:tcW w:w="1275" w:type="dxa"/>
          </w:tcPr>
          <w:p>
            <w:pPr>
              <w:pStyle w:val="yTableNAm"/>
            </w:pPr>
            <w:r>
              <w:t>1</w:t>
            </w:r>
          </w:p>
        </w:tc>
        <w:tc>
          <w:tcPr>
            <w:tcW w:w="2694" w:type="dxa"/>
          </w:tcPr>
          <w:p>
            <w:pPr>
              <w:pStyle w:val="yTableNAm"/>
            </w:pPr>
            <w:r>
              <w:t>Fremantle Port Authority</w:t>
            </w:r>
          </w:p>
        </w:tc>
        <w:tc>
          <w:tcPr>
            <w:tcW w:w="2693" w:type="dxa"/>
          </w:tcPr>
          <w:p>
            <w:pPr>
              <w:pStyle w:val="yTableNAm"/>
            </w:pPr>
            <w:r>
              <w:t xml:space="preserve">Port of Fremantle </w:t>
            </w:r>
          </w:p>
        </w:tc>
      </w:tr>
      <w:tr>
        <w:tc>
          <w:tcPr>
            <w:tcW w:w="1275" w:type="dxa"/>
          </w:tcPr>
          <w:p>
            <w:pPr>
              <w:pStyle w:val="yTableNAm"/>
            </w:pPr>
            <w:r>
              <w:t>2</w:t>
            </w:r>
          </w:p>
        </w:tc>
        <w:tc>
          <w:tcPr>
            <w:tcW w:w="2694" w:type="dxa"/>
          </w:tcPr>
          <w:p>
            <w:pPr>
              <w:pStyle w:val="yTableNAm"/>
            </w:pPr>
            <w:r>
              <w:t>Albany Port Authority</w:t>
            </w:r>
          </w:p>
        </w:tc>
        <w:tc>
          <w:tcPr>
            <w:tcW w:w="2693" w:type="dxa"/>
          </w:tcPr>
          <w:p>
            <w:pPr>
              <w:pStyle w:val="yTableNAm"/>
            </w:pPr>
            <w:r>
              <w:t xml:space="preserve">Port of Albany </w:t>
            </w:r>
          </w:p>
        </w:tc>
      </w:tr>
      <w:tr>
        <w:tc>
          <w:tcPr>
            <w:tcW w:w="1275" w:type="dxa"/>
          </w:tcPr>
          <w:p>
            <w:pPr>
              <w:pStyle w:val="yTableNAm"/>
            </w:pPr>
            <w:r>
              <w:t>3</w:t>
            </w:r>
          </w:p>
        </w:tc>
        <w:tc>
          <w:tcPr>
            <w:tcW w:w="2694" w:type="dxa"/>
          </w:tcPr>
          <w:p>
            <w:pPr>
              <w:pStyle w:val="yTableNAm"/>
            </w:pPr>
            <w:r>
              <w:t>Bunbury Port Authority</w:t>
            </w:r>
          </w:p>
        </w:tc>
        <w:tc>
          <w:tcPr>
            <w:tcW w:w="2693" w:type="dxa"/>
          </w:tcPr>
          <w:p>
            <w:pPr>
              <w:pStyle w:val="yTableNAm"/>
            </w:pPr>
            <w:r>
              <w:t>Port of Bunbury</w:t>
            </w:r>
          </w:p>
        </w:tc>
      </w:tr>
      <w:tr>
        <w:tc>
          <w:tcPr>
            <w:tcW w:w="1275" w:type="dxa"/>
          </w:tcPr>
          <w:p>
            <w:pPr>
              <w:pStyle w:val="yTableNAm"/>
            </w:pPr>
            <w:r>
              <w:t>4</w:t>
            </w:r>
          </w:p>
        </w:tc>
        <w:tc>
          <w:tcPr>
            <w:tcW w:w="2694" w:type="dxa"/>
          </w:tcPr>
          <w:p>
            <w:pPr>
              <w:pStyle w:val="yTableNAm"/>
            </w:pPr>
            <w:r>
              <w:t>Esperance Port Authority</w:t>
            </w:r>
          </w:p>
        </w:tc>
        <w:tc>
          <w:tcPr>
            <w:tcW w:w="2693" w:type="dxa"/>
          </w:tcPr>
          <w:p>
            <w:pPr>
              <w:pStyle w:val="yTableNAm"/>
            </w:pPr>
            <w:r>
              <w:t>Port of Esperance</w:t>
            </w:r>
          </w:p>
        </w:tc>
      </w:tr>
      <w:tr>
        <w:tc>
          <w:tcPr>
            <w:tcW w:w="1275" w:type="dxa"/>
          </w:tcPr>
          <w:p>
            <w:pPr>
              <w:pStyle w:val="yTableNAm"/>
            </w:pPr>
            <w:r>
              <w:t>5</w:t>
            </w:r>
          </w:p>
        </w:tc>
        <w:tc>
          <w:tcPr>
            <w:tcW w:w="2694" w:type="dxa"/>
          </w:tcPr>
          <w:p>
            <w:pPr>
              <w:pStyle w:val="yTableNAm"/>
            </w:pPr>
            <w:r>
              <w:t>Geraldton Port Authority</w:t>
            </w:r>
          </w:p>
        </w:tc>
        <w:tc>
          <w:tcPr>
            <w:tcW w:w="2693" w:type="dxa"/>
          </w:tcPr>
          <w:p>
            <w:pPr>
              <w:pStyle w:val="yTableNAm"/>
            </w:pPr>
            <w:r>
              <w:t>Port of Geraldton</w:t>
            </w:r>
          </w:p>
        </w:tc>
      </w:tr>
      <w:tr>
        <w:tc>
          <w:tcPr>
            <w:tcW w:w="1275" w:type="dxa"/>
          </w:tcPr>
          <w:p>
            <w:pPr>
              <w:pStyle w:val="yTableNAm"/>
            </w:pPr>
            <w:r>
              <w:t>6</w:t>
            </w:r>
          </w:p>
        </w:tc>
        <w:tc>
          <w:tcPr>
            <w:tcW w:w="2694" w:type="dxa"/>
          </w:tcPr>
          <w:p>
            <w:pPr>
              <w:pStyle w:val="yTableNAm"/>
            </w:pPr>
            <w:r>
              <w:t>Dampier Port Authority</w:t>
            </w:r>
          </w:p>
        </w:tc>
        <w:tc>
          <w:tcPr>
            <w:tcW w:w="2693" w:type="dxa"/>
          </w:tcPr>
          <w:p>
            <w:pPr>
              <w:pStyle w:val="yTableNAm"/>
            </w:pPr>
            <w:r>
              <w:t>Port of Dampier</w:t>
            </w:r>
          </w:p>
        </w:tc>
      </w:tr>
      <w:tr>
        <w:tc>
          <w:tcPr>
            <w:tcW w:w="1275" w:type="dxa"/>
          </w:tcPr>
          <w:p>
            <w:pPr>
              <w:pStyle w:val="yTableNAm"/>
            </w:pPr>
            <w:r>
              <w:t>7</w:t>
            </w:r>
          </w:p>
        </w:tc>
        <w:tc>
          <w:tcPr>
            <w:tcW w:w="2694" w:type="dxa"/>
          </w:tcPr>
          <w:p>
            <w:pPr>
              <w:pStyle w:val="yTableNAm"/>
            </w:pPr>
            <w:r>
              <w:t>Port Hedland Port Authority</w:t>
            </w:r>
          </w:p>
        </w:tc>
        <w:tc>
          <w:tcPr>
            <w:tcW w:w="2693" w:type="dxa"/>
          </w:tcPr>
          <w:p>
            <w:pPr>
              <w:pStyle w:val="yTableNAm"/>
            </w:pPr>
            <w:r>
              <w:t>Port of Port Hedland</w:t>
            </w:r>
          </w:p>
        </w:tc>
      </w:tr>
      <w:tr>
        <w:tc>
          <w:tcPr>
            <w:tcW w:w="1275" w:type="dxa"/>
            <w:tcBorders>
              <w:bottom w:val="single" w:sz="4" w:space="0" w:color="auto"/>
            </w:tcBorders>
          </w:tcPr>
          <w:p>
            <w:pPr>
              <w:pStyle w:val="yTableNAm"/>
            </w:pPr>
            <w:r>
              <w:t>8</w:t>
            </w:r>
          </w:p>
        </w:tc>
        <w:tc>
          <w:tcPr>
            <w:tcW w:w="2694" w:type="dxa"/>
            <w:tcBorders>
              <w:bottom w:val="single" w:sz="4" w:space="0" w:color="auto"/>
            </w:tcBorders>
          </w:tcPr>
          <w:p>
            <w:pPr>
              <w:pStyle w:val="yTableNAm"/>
            </w:pPr>
            <w:r>
              <w:t xml:space="preserve">Broome Port Authority </w:t>
            </w:r>
          </w:p>
        </w:tc>
        <w:tc>
          <w:tcPr>
            <w:tcW w:w="2693" w:type="dxa"/>
            <w:tcBorders>
              <w:bottom w:val="single" w:sz="4" w:space="0" w:color="auto"/>
            </w:tcBorders>
          </w:tcPr>
          <w:p>
            <w:pPr>
              <w:pStyle w:val="yTableNAm"/>
            </w:pPr>
            <w:r>
              <w:t xml:space="preserve">Port of Broome </w:t>
            </w:r>
          </w:p>
        </w:tc>
      </w:tr>
    </w:tbl>
    <w:p>
      <w:pPr>
        <w:pStyle w:val="BlankClose"/>
      </w:pPr>
    </w:p>
    <w:p>
      <w:pPr>
        <w:pStyle w:val="yFootnotesection"/>
      </w:pPr>
      <w:r>
        <w:tab/>
        <w:t>[Schedule 1 inserted by No. 9 of 2014 s. 30.]</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696" w:name="_Toc389811700"/>
      <w:bookmarkStart w:id="697" w:name="_Toc388519371"/>
      <w:bookmarkStart w:id="698" w:name="_Toc388862986"/>
      <w:r>
        <w:rPr>
          <w:rStyle w:val="CharSchNo"/>
        </w:rPr>
        <w:t>Schedule 2</w:t>
      </w:r>
      <w:r>
        <w:t xml:space="preserve"> — </w:t>
      </w:r>
      <w:r>
        <w:rPr>
          <w:rStyle w:val="CharSchText"/>
        </w:rPr>
        <w:t>Provisions about the constitution and proceedings of boards</w:t>
      </w:r>
      <w:bookmarkEnd w:id="696"/>
      <w:bookmarkEnd w:id="697"/>
      <w:bookmarkEnd w:id="698"/>
      <w:r>
        <w:rPr>
          <w:rStyle w:val="CharSchText"/>
        </w:rPr>
        <w:t xml:space="preserve"> </w:t>
      </w:r>
    </w:p>
    <w:p>
      <w:pPr>
        <w:pStyle w:val="yShoulderClause"/>
      </w:pPr>
      <w:r>
        <w:t>[s. 9]</w:t>
      </w:r>
    </w:p>
    <w:p>
      <w:pPr>
        <w:pStyle w:val="yHeading5"/>
        <w:outlineLvl w:val="9"/>
        <w:rPr>
          <w:snapToGrid w:val="0"/>
        </w:rPr>
      </w:pPr>
      <w:bookmarkStart w:id="699" w:name="_Toc389811701"/>
      <w:bookmarkStart w:id="700" w:name="_Toc388862987"/>
      <w:r>
        <w:rPr>
          <w:rStyle w:val="CharSClsNo"/>
        </w:rPr>
        <w:t>1</w:t>
      </w:r>
      <w:r>
        <w:rPr>
          <w:snapToGrid w:val="0"/>
        </w:rPr>
        <w:t>.</w:t>
      </w:r>
      <w:r>
        <w:rPr>
          <w:snapToGrid w:val="0"/>
        </w:rPr>
        <w:tab/>
        <w:t>Term of office</w:t>
      </w:r>
      <w:bookmarkEnd w:id="699"/>
      <w:bookmarkEnd w:id="700"/>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701" w:name="_Toc389811702"/>
      <w:bookmarkStart w:id="702" w:name="_Toc388862988"/>
      <w:r>
        <w:rPr>
          <w:rStyle w:val="CharSClsNo"/>
        </w:rPr>
        <w:t>2</w:t>
      </w:r>
      <w:r>
        <w:rPr>
          <w:snapToGrid w:val="0"/>
        </w:rPr>
        <w:t>.</w:t>
      </w:r>
      <w:r>
        <w:rPr>
          <w:snapToGrid w:val="0"/>
        </w:rPr>
        <w:tab/>
        <w:t>Resignation and removal</w:t>
      </w:r>
      <w:bookmarkEnd w:id="701"/>
      <w:bookmarkEnd w:id="702"/>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703" w:name="_Toc389811703"/>
      <w:bookmarkStart w:id="704" w:name="_Toc388862989"/>
      <w:r>
        <w:rPr>
          <w:rStyle w:val="CharSClsNo"/>
        </w:rPr>
        <w:t>3</w:t>
      </w:r>
      <w:r>
        <w:rPr>
          <w:snapToGrid w:val="0"/>
        </w:rPr>
        <w:t>.</w:t>
      </w:r>
      <w:r>
        <w:rPr>
          <w:snapToGrid w:val="0"/>
        </w:rPr>
        <w:tab/>
        <w:t>Chairperson and deputy chairperson</w:t>
      </w:r>
      <w:bookmarkEnd w:id="703"/>
      <w:bookmarkEnd w:id="704"/>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705" w:name="_Toc389811704"/>
      <w:bookmarkStart w:id="706" w:name="_Toc388862990"/>
      <w:r>
        <w:rPr>
          <w:rStyle w:val="CharSClsNo"/>
        </w:rPr>
        <w:t>4</w:t>
      </w:r>
      <w:r>
        <w:rPr>
          <w:snapToGrid w:val="0"/>
        </w:rPr>
        <w:t>.</w:t>
      </w:r>
      <w:r>
        <w:rPr>
          <w:snapToGrid w:val="0"/>
        </w:rPr>
        <w:tab/>
        <w:t>Alternate directors</w:t>
      </w:r>
      <w:bookmarkEnd w:id="705"/>
      <w:bookmarkEnd w:id="706"/>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707" w:name="_Toc389811705"/>
      <w:bookmarkStart w:id="708" w:name="_Toc388862991"/>
      <w:r>
        <w:rPr>
          <w:rStyle w:val="CharSClsNo"/>
        </w:rPr>
        <w:t>5</w:t>
      </w:r>
      <w:r>
        <w:rPr>
          <w:snapToGrid w:val="0"/>
        </w:rPr>
        <w:t>.</w:t>
      </w:r>
      <w:r>
        <w:rPr>
          <w:snapToGrid w:val="0"/>
        </w:rPr>
        <w:tab/>
        <w:t>Meetings</w:t>
      </w:r>
      <w:bookmarkEnd w:id="707"/>
      <w:bookmarkEnd w:id="708"/>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pPr>
      <w:r>
        <w:tab/>
        <w:t>(a)</w:t>
      </w:r>
      <w:r>
        <w:tab/>
        <w:t>a number of directors equal to at least half the number of directors in office constitutes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5 amended by No. 9 of 2014 s. 32.]</w:t>
      </w:r>
    </w:p>
    <w:p>
      <w:pPr>
        <w:pStyle w:val="yHeading5"/>
        <w:outlineLvl w:val="9"/>
        <w:rPr>
          <w:snapToGrid w:val="0"/>
        </w:rPr>
      </w:pPr>
      <w:bookmarkStart w:id="709" w:name="_Toc389811706"/>
      <w:bookmarkStart w:id="710" w:name="_Toc388862992"/>
      <w:r>
        <w:rPr>
          <w:rStyle w:val="CharSClsNo"/>
        </w:rPr>
        <w:t>6</w:t>
      </w:r>
      <w:r>
        <w:rPr>
          <w:snapToGrid w:val="0"/>
        </w:rPr>
        <w:t>.</w:t>
      </w:r>
      <w:r>
        <w:rPr>
          <w:snapToGrid w:val="0"/>
        </w:rPr>
        <w:tab/>
        <w:t>Telephone and video meetings</w:t>
      </w:r>
      <w:bookmarkEnd w:id="709"/>
      <w:bookmarkEnd w:id="710"/>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711" w:name="_Toc389811707"/>
      <w:bookmarkStart w:id="712" w:name="_Toc388862993"/>
      <w:r>
        <w:rPr>
          <w:rStyle w:val="CharSClsNo"/>
        </w:rPr>
        <w:t>7</w:t>
      </w:r>
      <w:r>
        <w:rPr>
          <w:snapToGrid w:val="0"/>
        </w:rPr>
        <w:t>.</w:t>
      </w:r>
      <w:r>
        <w:rPr>
          <w:snapToGrid w:val="0"/>
        </w:rPr>
        <w:tab/>
        <w:t>Resolution may be passed without meeting</w:t>
      </w:r>
      <w:bookmarkEnd w:id="711"/>
      <w:bookmarkEnd w:id="712"/>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713" w:name="_Toc389811708"/>
      <w:bookmarkStart w:id="714" w:name="_Toc388862994"/>
      <w:r>
        <w:rPr>
          <w:rStyle w:val="CharSClsNo"/>
        </w:rPr>
        <w:t>8</w:t>
      </w:r>
      <w:r>
        <w:rPr>
          <w:snapToGrid w:val="0"/>
        </w:rPr>
        <w:t>.</w:t>
      </w:r>
      <w:r>
        <w:rPr>
          <w:snapToGrid w:val="0"/>
        </w:rPr>
        <w:tab/>
        <w:t>Directors with material personal interests, voting by etc.</w:t>
      </w:r>
      <w:bookmarkEnd w:id="713"/>
      <w:bookmarkEnd w:id="714"/>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715" w:name="_Toc389811709"/>
      <w:bookmarkStart w:id="716" w:name="_Toc388862995"/>
      <w:r>
        <w:rPr>
          <w:rStyle w:val="CharSClsNo"/>
        </w:rPr>
        <w:t>9</w:t>
      </w:r>
      <w:r>
        <w:rPr>
          <w:snapToGrid w:val="0"/>
        </w:rPr>
        <w:t>.</w:t>
      </w:r>
      <w:r>
        <w:rPr>
          <w:snapToGrid w:val="0"/>
        </w:rPr>
        <w:tab/>
        <w:t>Minutes of meetings etc.</w:t>
      </w:r>
      <w:bookmarkEnd w:id="715"/>
      <w:bookmarkEnd w:id="716"/>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717" w:name="_Toc389811710"/>
      <w:bookmarkStart w:id="718" w:name="_Toc388862996"/>
      <w:r>
        <w:rPr>
          <w:rStyle w:val="CharSClsNo"/>
        </w:rPr>
        <w:t>10</w:t>
      </w:r>
      <w:r>
        <w:rPr>
          <w:snapToGrid w:val="0"/>
        </w:rPr>
        <w:t>.</w:t>
      </w:r>
      <w:r>
        <w:rPr>
          <w:snapToGrid w:val="0"/>
        </w:rPr>
        <w:tab/>
        <w:t>Leave of absence</w:t>
      </w:r>
      <w:bookmarkEnd w:id="717"/>
      <w:bookmarkEnd w:id="718"/>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719" w:name="_Toc389811711"/>
      <w:bookmarkStart w:id="720" w:name="_Toc388862997"/>
      <w:r>
        <w:rPr>
          <w:rStyle w:val="CharSClsNo"/>
        </w:rPr>
        <w:t>11</w:t>
      </w:r>
      <w:r>
        <w:rPr>
          <w:snapToGrid w:val="0"/>
        </w:rPr>
        <w:t>.</w:t>
      </w:r>
      <w:r>
        <w:rPr>
          <w:snapToGrid w:val="0"/>
        </w:rPr>
        <w:tab/>
        <w:t>Board to determine own procedures</w:t>
      </w:r>
      <w:bookmarkEnd w:id="719"/>
      <w:bookmarkEnd w:id="720"/>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721" w:name="_Toc389811712"/>
      <w:bookmarkStart w:id="722" w:name="_Toc388519383"/>
      <w:bookmarkStart w:id="723" w:name="_Toc388862998"/>
      <w:r>
        <w:rPr>
          <w:rStyle w:val="CharSchNo"/>
        </w:rPr>
        <w:t>Schedule 3</w:t>
      </w:r>
      <w:r>
        <w:t xml:space="preserve"> — </w:t>
      </w:r>
      <w:r>
        <w:rPr>
          <w:rStyle w:val="CharSchText"/>
        </w:rPr>
        <w:t>Provisions about duties of CEO and staff</w:t>
      </w:r>
      <w:bookmarkEnd w:id="721"/>
      <w:bookmarkEnd w:id="722"/>
      <w:bookmarkEnd w:id="723"/>
      <w:r>
        <w:rPr>
          <w:rStyle w:val="CharSchText"/>
        </w:rPr>
        <w:t xml:space="preserve"> </w:t>
      </w:r>
    </w:p>
    <w:p>
      <w:pPr>
        <w:pStyle w:val="yShoulderClause"/>
      </w:pPr>
      <w:r>
        <w:t>[s. 20]</w:t>
      </w:r>
    </w:p>
    <w:p>
      <w:pPr>
        <w:pStyle w:val="yHeading3"/>
        <w:outlineLvl w:val="0"/>
      </w:pPr>
      <w:bookmarkStart w:id="724" w:name="_Toc389811713"/>
      <w:bookmarkStart w:id="725" w:name="_Toc388519384"/>
      <w:bookmarkStart w:id="726" w:name="_Toc388862999"/>
      <w:r>
        <w:rPr>
          <w:rStyle w:val="CharSDivNo"/>
        </w:rPr>
        <w:t>Division 1</w:t>
      </w:r>
      <w:r>
        <w:t xml:space="preserve"> — </w:t>
      </w:r>
      <w:r>
        <w:rPr>
          <w:rStyle w:val="CharSDivText"/>
        </w:rPr>
        <w:t>General duties of CEO</w:t>
      </w:r>
      <w:bookmarkEnd w:id="724"/>
      <w:bookmarkEnd w:id="725"/>
      <w:bookmarkEnd w:id="726"/>
    </w:p>
    <w:p>
      <w:pPr>
        <w:pStyle w:val="yHeading5"/>
        <w:outlineLvl w:val="0"/>
        <w:rPr>
          <w:snapToGrid w:val="0"/>
        </w:rPr>
      </w:pPr>
      <w:bookmarkStart w:id="727" w:name="_Toc389811714"/>
      <w:bookmarkStart w:id="728" w:name="_Toc388863000"/>
      <w:r>
        <w:rPr>
          <w:rStyle w:val="CharSClsNo"/>
        </w:rPr>
        <w:t>1</w:t>
      </w:r>
      <w:r>
        <w:rPr>
          <w:snapToGrid w:val="0"/>
        </w:rPr>
        <w:t>.</w:t>
      </w:r>
      <w:r>
        <w:rPr>
          <w:snapToGrid w:val="0"/>
        </w:rPr>
        <w:tab/>
        <w:t>Duties of CEO</w:t>
      </w:r>
      <w:bookmarkEnd w:id="727"/>
      <w:bookmarkEnd w:id="728"/>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729" w:name="_Toc389811715"/>
      <w:bookmarkStart w:id="730" w:name="_Toc388519386"/>
      <w:bookmarkStart w:id="731" w:name="_Toc388863001"/>
      <w:r>
        <w:rPr>
          <w:rStyle w:val="CharSDivNo"/>
        </w:rPr>
        <w:t>Division 2</w:t>
      </w:r>
      <w:r>
        <w:rPr>
          <w:rStyle w:val="CharDivNo"/>
        </w:rPr>
        <w:t xml:space="preserve"> — </w:t>
      </w:r>
      <w:r>
        <w:rPr>
          <w:rStyle w:val="CharSDivText"/>
        </w:rPr>
        <w:t>Particular duties stated</w:t>
      </w:r>
      <w:bookmarkEnd w:id="729"/>
      <w:bookmarkEnd w:id="730"/>
      <w:bookmarkEnd w:id="731"/>
    </w:p>
    <w:p>
      <w:pPr>
        <w:pStyle w:val="yHeading5"/>
        <w:outlineLvl w:val="0"/>
        <w:rPr>
          <w:snapToGrid w:val="0"/>
        </w:rPr>
      </w:pPr>
      <w:bookmarkStart w:id="732" w:name="_Toc389811716"/>
      <w:bookmarkStart w:id="733" w:name="_Toc388863002"/>
      <w:r>
        <w:rPr>
          <w:rStyle w:val="CharSClsNo"/>
        </w:rPr>
        <w:t>2</w:t>
      </w:r>
      <w:r>
        <w:rPr>
          <w:snapToGrid w:val="0"/>
        </w:rPr>
        <w:t>.</w:t>
      </w:r>
      <w:r>
        <w:rPr>
          <w:snapToGrid w:val="0"/>
        </w:rPr>
        <w:tab/>
        <w:t>Term used: officer and interpretation</w:t>
      </w:r>
      <w:bookmarkEnd w:id="732"/>
      <w:bookmarkEnd w:id="733"/>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734" w:name="_Toc389811717"/>
      <w:bookmarkStart w:id="735" w:name="_Toc388863003"/>
      <w:r>
        <w:rPr>
          <w:rStyle w:val="CharSClsNo"/>
        </w:rPr>
        <w:t>3</w:t>
      </w:r>
      <w:r>
        <w:rPr>
          <w:snapToGrid w:val="0"/>
        </w:rPr>
        <w:t>.</w:t>
      </w:r>
      <w:r>
        <w:rPr>
          <w:snapToGrid w:val="0"/>
        </w:rPr>
        <w:tab/>
        <w:t>Duty to act honestly</w:t>
      </w:r>
      <w:bookmarkEnd w:id="734"/>
      <w:bookmarkEnd w:id="735"/>
      <w:r>
        <w:rPr>
          <w:snapToGrid w:val="0"/>
        </w:rPr>
        <w:t xml:space="preserve"> </w:t>
      </w:r>
    </w:p>
    <w:p>
      <w:pPr>
        <w:pStyle w:val="ySubsection"/>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736" w:name="_Toc389811718"/>
      <w:bookmarkStart w:id="737" w:name="_Toc388863004"/>
      <w:r>
        <w:rPr>
          <w:rStyle w:val="CharSClsNo"/>
        </w:rPr>
        <w:t>4</w:t>
      </w:r>
      <w:r>
        <w:rPr>
          <w:snapToGrid w:val="0"/>
        </w:rPr>
        <w:t>.</w:t>
      </w:r>
      <w:r>
        <w:rPr>
          <w:snapToGrid w:val="0"/>
        </w:rPr>
        <w:tab/>
        <w:t>Duty to exercise reasonable care and diligence</w:t>
      </w:r>
      <w:bookmarkEnd w:id="736"/>
      <w:bookmarkEnd w:id="737"/>
      <w:r>
        <w:rPr>
          <w:snapToGrid w:val="0"/>
        </w:rPr>
        <w:t xml:space="preserve"> </w:t>
      </w:r>
    </w:p>
    <w:p>
      <w:pPr>
        <w:pStyle w:val="ySubsection"/>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738" w:name="_Toc389811719"/>
      <w:bookmarkStart w:id="739" w:name="_Toc388863005"/>
      <w:r>
        <w:rPr>
          <w:rStyle w:val="CharSClsNo"/>
        </w:rPr>
        <w:t>5</w:t>
      </w:r>
      <w:r>
        <w:rPr>
          <w:snapToGrid w:val="0"/>
        </w:rPr>
        <w:t>.</w:t>
      </w:r>
      <w:r>
        <w:rPr>
          <w:snapToGrid w:val="0"/>
        </w:rPr>
        <w:tab/>
        <w:t>Duty not to make improper use of information</w:t>
      </w:r>
      <w:bookmarkEnd w:id="738"/>
      <w:bookmarkEnd w:id="739"/>
      <w:r>
        <w:rPr>
          <w:snapToGrid w:val="0"/>
        </w:rPr>
        <w:t xml:space="preserve"> </w:t>
      </w:r>
    </w:p>
    <w:p>
      <w:pPr>
        <w:pStyle w:val="ySubsection"/>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keepNext/>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740" w:name="_Toc389811720"/>
      <w:bookmarkStart w:id="741" w:name="_Toc388863006"/>
      <w:r>
        <w:rPr>
          <w:rStyle w:val="CharSClsNo"/>
        </w:rPr>
        <w:t>6</w:t>
      </w:r>
      <w:r>
        <w:rPr>
          <w:snapToGrid w:val="0"/>
        </w:rPr>
        <w:t>.</w:t>
      </w:r>
      <w:r>
        <w:rPr>
          <w:snapToGrid w:val="0"/>
        </w:rPr>
        <w:tab/>
        <w:t>Duty not to make improper use of position</w:t>
      </w:r>
      <w:bookmarkEnd w:id="740"/>
      <w:bookmarkEnd w:id="741"/>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742" w:name="_Toc389811721"/>
      <w:bookmarkStart w:id="743" w:name="_Toc388519392"/>
      <w:bookmarkStart w:id="744" w:name="_Toc388863007"/>
      <w:r>
        <w:rPr>
          <w:rStyle w:val="CharSDivNo"/>
        </w:rPr>
        <w:t>Division 3</w:t>
      </w:r>
      <w:r>
        <w:rPr>
          <w:rStyle w:val="CharDivNo"/>
        </w:rPr>
        <w:t xml:space="preserve"> — </w:t>
      </w:r>
      <w:r>
        <w:rPr>
          <w:rStyle w:val="CharSDivText"/>
        </w:rPr>
        <w:t>Compensation</w:t>
      </w:r>
      <w:bookmarkEnd w:id="742"/>
      <w:bookmarkEnd w:id="743"/>
      <w:bookmarkEnd w:id="744"/>
    </w:p>
    <w:p>
      <w:pPr>
        <w:pStyle w:val="yHeading5"/>
        <w:spacing w:before="180"/>
        <w:outlineLvl w:val="0"/>
        <w:rPr>
          <w:snapToGrid w:val="0"/>
        </w:rPr>
      </w:pPr>
      <w:bookmarkStart w:id="745" w:name="_Toc389811722"/>
      <w:bookmarkStart w:id="746" w:name="_Toc388863008"/>
      <w:r>
        <w:rPr>
          <w:rStyle w:val="CharSClsNo"/>
        </w:rPr>
        <w:t>7</w:t>
      </w:r>
      <w:r>
        <w:rPr>
          <w:snapToGrid w:val="0"/>
        </w:rPr>
        <w:t>.</w:t>
      </w:r>
      <w:r>
        <w:rPr>
          <w:snapToGrid w:val="0"/>
        </w:rPr>
        <w:tab/>
        <w:t>Compensation may be ordered if cl. 3, 4, 5 or 6 offence</w:t>
      </w:r>
      <w:bookmarkEnd w:id="745"/>
      <w:bookmarkEnd w:id="746"/>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spacing w:before="180"/>
        <w:outlineLvl w:val="0"/>
        <w:rPr>
          <w:snapToGrid w:val="0"/>
        </w:rPr>
      </w:pPr>
      <w:bookmarkStart w:id="747" w:name="_Toc389811723"/>
      <w:bookmarkStart w:id="748" w:name="_Toc388863009"/>
      <w:r>
        <w:rPr>
          <w:rStyle w:val="CharSClsNo"/>
        </w:rPr>
        <w:t>8</w:t>
      </w:r>
      <w:r>
        <w:rPr>
          <w:snapToGrid w:val="0"/>
        </w:rPr>
        <w:t>.</w:t>
      </w:r>
      <w:r>
        <w:rPr>
          <w:snapToGrid w:val="0"/>
        </w:rPr>
        <w:tab/>
        <w:t>Civil recovery if cl. 3, 4, 5 or 6 offence</w:t>
      </w:r>
      <w:bookmarkEnd w:id="747"/>
      <w:bookmarkEnd w:id="748"/>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749" w:name="_Toc389811724"/>
      <w:bookmarkStart w:id="750" w:name="_Toc388519395"/>
      <w:bookmarkStart w:id="751" w:name="_Toc388863010"/>
      <w:r>
        <w:rPr>
          <w:rStyle w:val="CharSDivNo"/>
        </w:rPr>
        <w:t>Division 4</w:t>
      </w:r>
      <w:r>
        <w:rPr>
          <w:rStyle w:val="CharDivNo"/>
        </w:rPr>
        <w:t> — </w:t>
      </w:r>
      <w:r>
        <w:rPr>
          <w:rStyle w:val="CharSDivText"/>
        </w:rPr>
        <w:t>Relief from liability</w:t>
      </w:r>
      <w:bookmarkEnd w:id="749"/>
      <w:bookmarkEnd w:id="750"/>
      <w:bookmarkEnd w:id="751"/>
      <w:r>
        <w:rPr>
          <w:rStyle w:val="CharDivNo"/>
        </w:rPr>
        <w:t xml:space="preserve"> </w:t>
      </w:r>
    </w:p>
    <w:p>
      <w:pPr>
        <w:pStyle w:val="yHeading5"/>
        <w:outlineLvl w:val="0"/>
        <w:rPr>
          <w:snapToGrid w:val="0"/>
        </w:rPr>
      </w:pPr>
      <w:bookmarkStart w:id="752" w:name="_Toc389811725"/>
      <w:bookmarkStart w:id="753" w:name="_Toc388863011"/>
      <w:r>
        <w:rPr>
          <w:rStyle w:val="CharSClsNo"/>
        </w:rPr>
        <w:t>9</w:t>
      </w:r>
      <w:r>
        <w:rPr>
          <w:snapToGrid w:val="0"/>
        </w:rPr>
        <w:t>.</w:t>
      </w:r>
      <w:r>
        <w:rPr>
          <w:snapToGrid w:val="0"/>
        </w:rPr>
        <w:tab/>
        <w:t>Relief from liability under cl. 1, 7 and 8</w:t>
      </w:r>
      <w:bookmarkEnd w:id="752"/>
      <w:bookmarkEnd w:id="753"/>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754" w:name="_Toc389811726"/>
      <w:bookmarkStart w:id="755" w:name="_Toc388863012"/>
      <w:r>
        <w:rPr>
          <w:rStyle w:val="CharSClsNo"/>
        </w:rPr>
        <w:t>10</w:t>
      </w:r>
      <w:r>
        <w:rPr>
          <w:snapToGrid w:val="0"/>
        </w:rPr>
        <w:t>.</w:t>
      </w:r>
      <w:r>
        <w:rPr>
          <w:snapToGrid w:val="0"/>
        </w:rPr>
        <w:tab/>
        <w:t>Application for relief from liability under cl. 1, 7 or 8</w:t>
      </w:r>
      <w:bookmarkEnd w:id="754"/>
      <w:bookmarkEnd w:id="755"/>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756" w:name="_Toc389811727"/>
      <w:bookmarkStart w:id="757" w:name="_Toc388863013"/>
      <w:r>
        <w:rPr>
          <w:rStyle w:val="CharSClsNo"/>
        </w:rPr>
        <w:t>11</w:t>
      </w:r>
      <w:r>
        <w:rPr>
          <w:snapToGrid w:val="0"/>
        </w:rPr>
        <w:t>.</w:t>
      </w:r>
      <w:r>
        <w:rPr>
          <w:snapToGrid w:val="0"/>
        </w:rPr>
        <w:tab/>
        <w:t>Case as to cl. 9 may be withdrawn from jury</w:t>
      </w:r>
      <w:bookmarkEnd w:id="756"/>
      <w:bookmarkEnd w:id="757"/>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758" w:name="_Toc389811728"/>
      <w:bookmarkStart w:id="759" w:name="_Toc388863014"/>
      <w:r>
        <w:rPr>
          <w:rStyle w:val="CharSClsNo"/>
        </w:rPr>
        <w:t>12</w:t>
      </w:r>
      <w:r>
        <w:rPr>
          <w:snapToGrid w:val="0"/>
        </w:rPr>
        <w:t>.</w:t>
      </w:r>
      <w:r>
        <w:rPr>
          <w:snapToGrid w:val="0"/>
        </w:rPr>
        <w:tab/>
        <w:t>Compliance with directions is not contravention of cl. 1, 3 or 4</w:t>
      </w:r>
      <w:bookmarkEnd w:id="758"/>
      <w:bookmarkEnd w:id="759"/>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760" w:name="_Toc389811729"/>
      <w:bookmarkStart w:id="761" w:name="_Toc388519400"/>
      <w:bookmarkStart w:id="762" w:name="_Toc388863015"/>
      <w:r>
        <w:rPr>
          <w:rStyle w:val="CharSDivNo"/>
        </w:rPr>
        <w:t>Division 5</w:t>
      </w:r>
      <w:r>
        <w:rPr>
          <w:rStyle w:val="CharDivNo"/>
        </w:rPr>
        <w:t xml:space="preserve"> — </w:t>
      </w:r>
      <w:r>
        <w:rPr>
          <w:rStyle w:val="CharSDivText"/>
        </w:rPr>
        <w:t>Restrictions on indemnities and exemptions</w:t>
      </w:r>
      <w:bookmarkEnd w:id="760"/>
      <w:bookmarkEnd w:id="761"/>
      <w:bookmarkEnd w:id="762"/>
    </w:p>
    <w:p>
      <w:pPr>
        <w:pStyle w:val="yHeading5"/>
        <w:outlineLvl w:val="0"/>
      </w:pPr>
      <w:bookmarkStart w:id="763" w:name="_Toc389811730"/>
      <w:bookmarkStart w:id="764" w:name="_Toc388863016"/>
      <w:r>
        <w:rPr>
          <w:rStyle w:val="CharSClsNo"/>
        </w:rPr>
        <w:t>13</w:t>
      </w:r>
      <w:r>
        <w:t>.</w:t>
      </w:r>
      <w:r>
        <w:tab/>
        <w:t>CEO and executive officers not to be exempted or indemnified for some liability</w:t>
      </w:r>
      <w:bookmarkEnd w:id="763"/>
      <w:bookmarkEnd w:id="764"/>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765" w:name="_Toc389811731"/>
      <w:bookmarkStart w:id="766" w:name="_Toc388863017"/>
      <w:r>
        <w:rPr>
          <w:rStyle w:val="CharSClsNo"/>
        </w:rPr>
        <w:t>14</w:t>
      </w:r>
      <w:r>
        <w:t>.</w:t>
      </w:r>
      <w:r>
        <w:tab/>
        <w:t>Insurance premiums for certain liabilities of CEO and executive officers</w:t>
      </w:r>
      <w:bookmarkEnd w:id="765"/>
      <w:bookmarkEnd w:id="766"/>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767" w:name="_Toc389811732"/>
      <w:bookmarkStart w:id="768" w:name="_Toc388863018"/>
      <w:r>
        <w:rPr>
          <w:rStyle w:val="CharSClsNo"/>
        </w:rPr>
        <w:t>15</w:t>
      </w:r>
      <w:r>
        <w:t>.</w:t>
      </w:r>
      <w:r>
        <w:tab/>
        <w:t>Certain indemnities, exemptions, payments and agreements not authorised and certain documents void</w:t>
      </w:r>
      <w:bookmarkEnd w:id="767"/>
      <w:bookmarkEnd w:id="76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769" w:name="_Toc389811733"/>
      <w:bookmarkStart w:id="770" w:name="_Toc388519404"/>
      <w:bookmarkStart w:id="771" w:name="_Toc388863019"/>
      <w:r>
        <w:rPr>
          <w:rStyle w:val="CharSchNo"/>
        </w:rPr>
        <w:t>Schedule 4</w:t>
      </w:r>
      <w:r>
        <w:t xml:space="preserve"> — </w:t>
      </w:r>
      <w:r>
        <w:rPr>
          <w:rStyle w:val="CharSchText"/>
        </w:rPr>
        <w:t>Provisions to be included in articles of association of subsidiaries</w:t>
      </w:r>
      <w:bookmarkEnd w:id="769"/>
      <w:bookmarkEnd w:id="770"/>
      <w:bookmarkEnd w:id="771"/>
      <w:r>
        <w:rPr>
          <w:rStyle w:val="CharSchText"/>
        </w:rPr>
        <w:t xml:space="preserve"> </w:t>
      </w:r>
    </w:p>
    <w:p>
      <w:pPr>
        <w:pStyle w:val="yShoulderClause"/>
      </w:pPr>
      <w:r>
        <w:t>[s. 39]</w:t>
      </w:r>
    </w:p>
    <w:p>
      <w:pPr>
        <w:pStyle w:val="yHeading5"/>
        <w:outlineLvl w:val="0"/>
        <w:rPr>
          <w:snapToGrid w:val="0"/>
        </w:rPr>
      </w:pPr>
      <w:bookmarkStart w:id="772" w:name="_Toc389811734"/>
      <w:bookmarkStart w:id="773" w:name="_Toc388863020"/>
      <w:r>
        <w:rPr>
          <w:rStyle w:val="CharSClsNo"/>
        </w:rPr>
        <w:t>1</w:t>
      </w:r>
      <w:r>
        <w:rPr>
          <w:snapToGrid w:val="0"/>
        </w:rPr>
        <w:t>.</w:t>
      </w:r>
      <w:r>
        <w:rPr>
          <w:snapToGrid w:val="0"/>
        </w:rPr>
        <w:tab/>
        <w:t>Disposal of shares</w:t>
      </w:r>
      <w:bookmarkEnd w:id="772"/>
      <w:bookmarkEnd w:id="773"/>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774" w:name="_Toc389811735"/>
      <w:bookmarkStart w:id="775" w:name="_Toc388863021"/>
      <w:r>
        <w:rPr>
          <w:rStyle w:val="CharSClsNo"/>
        </w:rPr>
        <w:t>2</w:t>
      </w:r>
      <w:r>
        <w:rPr>
          <w:snapToGrid w:val="0"/>
        </w:rPr>
        <w:t>.</w:t>
      </w:r>
      <w:r>
        <w:rPr>
          <w:snapToGrid w:val="0"/>
        </w:rPr>
        <w:tab/>
        <w:t>Directors</w:t>
      </w:r>
      <w:bookmarkEnd w:id="774"/>
      <w:bookmarkEnd w:id="775"/>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776" w:name="_Toc389811736"/>
      <w:bookmarkStart w:id="777" w:name="_Toc388863022"/>
      <w:r>
        <w:rPr>
          <w:rStyle w:val="CharSClsNo"/>
        </w:rPr>
        <w:t>3</w:t>
      </w:r>
      <w:r>
        <w:rPr>
          <w:snapToGrid w:val="0"/>
        </w:rPr>
        <w:t>.</w:t>
      </w:r>
      <w:r>
        <w:rPr>
          <w:snapToGrid w:val="0"/>
        </w:rPr>
        <w:tab/>
        <w:t>Further shares</w:t>
      </w:r>
      <w:bookmarkEnd w:id="776"/>
      <w:bookmarkEnd w:id="777"/>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778" w:name="_Toc389811737"/>
      <w:bookmarkStart w:id="779" w:name="_Toc388863023"/>
      <w:r>
        <w:rPr>
          <w:rStyle w:val="CharSClsNo"/>
        </w:rPr>
        <w:t>4</w:t>
      </w:r>
      <w:r>
        <w:rPr>
          <w:snapToGrid w:val="0"/>
        </w:rPr>
        <w:t>.</w:t>
      </w:r>
      <w:r>
        <w:rPr>
          <w:snapToGrid w:val="0"/>
        </w:rPr>
        <w:tab/>
        <w:t>Subsidiaries of subsidiary</w:t>
      </w:r>
      <w:bookmarkEnd w:id="778"/>
      <w:bookmarkEnd w:id="779"/>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780" w:name="_Toc389811738"/>
      <w:bookmarkStart w:id="781" w:name="_Toc388519409"/>
      <w:bookmarkStart w:id="782" w:name="_Toc388863024"/>
      <w:r>
        <w:rPr>
          <w:rStyle w:val="CharSchNo"/>
        </w:rPr>
        <w:t>Schedule 5</w:t>
      </w:r>
      <w:r>
        <w:t xml:space="preserve"> — </w:t>
      </w:r>
      <w:r>
        <w:rPr>
          <w:rStyle w:val="CharSchText"/>
        </w:rPr>
        <w:t>Financial administration and audit</w:t>
      </w:r>
      <w:bookmarkEnd w:id="780"/>
      <w:bookmarkEnd w:id="781"/>
      <w:bookmarkEnd w:id="782"/>
    </w:p>
    <w:p>
      <w:pPr>
        <w:pStyle w:val="yShoulderClause"/>
      </w:pPr>
      <w:r>
        <w:t>[s. 91(1)]</w:t>
      </w:r>
    </w:p>
    <w:p>
      <w:pPr>
        <w:pStyle w:val="yFootnoteheading"/>
      </w:pPr>
      <w:r>
        <w:tab/>
        <w:t>[Heading inserted in Gazette 4 Mar 2003 p. 711.]</w:t>
      </w:r>
    </w:p>
    <w:p>
      <w:pPr>
        <w:pStyle w:val="yHeading3"/>
        <w:outlineLvl w:val="0"/>
      </w:pPr>
      <w:bookmarkStart w:id="783" w:name="_Toc389811739"/>
      <w:bookmarkStart w:id="784" w:name="_Toc388519410"/>
      <w:bookmarkStart w:id="785" w:name="_Toc388863025"/>
      <w:r>
        <w:rPr>
          <w:rStyle w:val="CharSDivNo"/>
        </w:rPr>
        <w:t>Division 1</w:t>
      </w:r>
      <w:r>
        <w:t xml:space="preserve"> — </w:t>
      </w:r>
      <w:r>
        <w:rPr>
          <w:rStyle w:val="CharSDivText"/>
        </w:rPr>
        <w:t>Preliminary</w:t>
      </w:r>
      <w:bookmarkEnd w:id="783"/>
      <w:bookmarkEnd w:id="784"/>
      <w:bookmarkEnd w:id="785"/>
    </w:p>
    <w:p>
      <w:pPr>
        <w:pStyle w:val="yFootnoteheading"/>
      </w:pPr>
      <w:r>
        <w:tab/>
        <w:t>[Heading inserted in Gazette 4 Mar 2003 p. 711.]</w:t>
      </w:r>
    </w:p>
    <w:p>
      <w:pPr>
        <w:pStyle w:val="yHeading5"/>
      </w:pPr>
      <w:bookmarkStart w:id="786" w:name="_Toc389811740"/>
      <w:bookmarkStart w:id="787" w:name="_Toc388863026"/>
      <w:r>
        <w:rPr>
          <w:rStyle w:val="CharSClsNo"/>
        </w:rPr>
        <w:t>1</w:t>
      </w:r>
      <w:r>
        <w:t>.</w:t>
      </w:r>
      <w:r>
        <w:tab/>
        <w:t>Terms used</w:t>
      </w:r>
      <w:bookmarkEnd w:id="786"/>
      <w:bookmarkEnd w:id="787"/>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788" w:name="_Toc389811741"/>
      <w:bookmarkStart w:id="789" w:name="_Toc388519412"/>
      <w:bookmarkStart w:id="790" w:name="_Toc388863027"/>
      <w:r>
        <w:rPr>
          <w:rStyle w:val="CharSDivNo"/>
        </w:rPr>
        <w:t>Division 2</w:t>
      </w:r>
      <w:r>
        <w:t xml:space="preserve"> — </w:t>
      </w:r>
      <w:r>
        <w:rPr>
          <w:rStyle w:val="CharSDivText"/>
        </w:rPr>
        <w:t>Financial records</w:t>
      </w:r>
      <w:bookmarkEnd w:id="788"/>
      <w:bookmarkEnd w:id="789"/>
      <w:bookmarkEnd w:id="790"/>
    </w:p>
    <w:p>
      <w:pPr>
        <w:pStyle w:val="yFootnoteheading"/>
      </w:pPr>
      <w:r>
        <w:tab/>
        <w:t>[Heading inserted in Gazette 4 Mar 2003 p. 712.]</w:t>
      </w:r>
    </w:p>
    <w:p>
      <w:pPr>
        <w:pStyle w:val="yHeading5"/>
      </w:pPr>
      <w:bookmarkStart w:id="791" w:name="_Toc389811742"/>
      <w:bookmarkStart w:id="792" w:name="_Toc388863028"/>
      <w:r>
        <w:rPr>
          <w:rStyle w:val="CharSClsNo"/>
        </w:rPr>
        <w:t>2</w:t>
      </w:r>
      <w:r>
        <w:t>.</w:t>
      </w:r>
      <w:r>
        <w:tab/>
        <w:t>Obligation to keep financial records</w:t>
      </w:r>
      <w:r>
        <w:br/>
      </w:r>
      <w:r>
        <w:rPr>
          <w:i/>
        </w:rPr>
        <w:t>(cf. Corporations Act s. 286)</w:t>
      </w:r>
      <w:bookmarkEnd w:id="791"/>
      <w:bookmarkEnd w:id="792"/>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793" w:name="_Toc389811743"/>
      <w:bookmarkStart w:id="794" w:name="_Toc388863029"/>
      <w:r>
        <w:rPr>
          <w:rStyle w:val="CharSClsNo"/>
        </w:rPr>
        <w:t>3</w:t>
      </w:r>
      <w:r>
        <w:t>.</w:t>
      </w:r>
      <w:r>
        <w:tab/>
        <w:t>Physical format</w:t>
      </w:r>
      <w:r>
        <w:br/>
      </w:r>
      <w:r>
        <w:rPr>
          <w:i/>
        </w:rPr>
        <w:t>(cf. Corporations Act s. 288)</w:t>
      </w:r>
      <w:bookmarkEnd w:id="793"/>
      <w:bookmarkEnd w:id="79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795" w:name="_Toc389811744"/>
      <w:bookmarkStart w:id="796" w:name="_Toc388863030"/>
      <w:r>
        <w:rPr>
          <w:rStyle w:val="CharSClsNo"/>
        </w:rPr>
        <w:t>4</w:t>
      </w:r>
      <w:r>
        <w:t>.</w:t>
      </w:r>
      <w:r>
        <w:tab/>
        <w:t>Place where records are kept</w:t>
      </w:r>
      <w:r>
        <w:br/>
      </w:r>
      <w:r>
        <w:rPr>
          <w:i/>
        </w:rPr>
        <w:t>(cf. Corporations Act s. 289)</w:t>
      </w:r>
      <w:bookmarkEnd w:id="795"/>
      <w:bookmarkEnd w:id="796"/>
    </w:p>
    <w:p>
      <w:pPr>
        <w:pStyle w:val="ySubsection"/>
      </w:pPr>
      <w:r>
        <w:tab/>
        <w:t>(1)</w:t>
      </w:r>
      <w:r>
        <w:tab/>
        <w:t>A port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 xml:space="preserve">The Minister may direct a port authority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797" w:name="_Toc389811745"/>
      <w:bookmarkStart w:id="798" w:name="_Toc388863031"/>
      <w:r>
        <w:rPr>
          <w:rStyle w:val="CharSClsNo"/>
        </w:rPr>
        <w:t>5</w:t>
      </w:r>
      <w:r>
        <w:t>.</w:t>
      </w:r>
      <w:r>
        <w:tab/>
        <w:t>Director access</w:t>
      </w:r>
      <w:r>
        <w:br/>
      </w:r>
      <w:r>
        <w:rPr>
          <w:i/>
        </w:rPr>
        <w:t>(cf. Corporations Act s. 290)</w:t>
      </w:r>
      <w:bookmarkEnd w:id="797"/>
      <w:bookmarkEnd w:id="798"/>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799" w:name="_Toc389811746"/>
      <w:bookmarkStart w:id="800" w:name="_Toc388519417"/>
      <w:bookmarkStart w:id="801" w:name="_Toc388863032"/>
      <w:r>
        <w:rPr>
          <w:rStyle w:val="CharSDivNo"/>
        </w:rPr>
        <w:t>Division 3</w:t>
      </w:r>
      <w:r>
        <w:t xml:space="preserve"> — </w:t>
      </w:r>
      <w:r>
        <w:rPr>
          <w:rStyle w:val="CharSDivText"/>
        </w:rPr>
        <w:t>Financial reporting</w:t>
      </w:r>
      <w:bookmarkEnd w:id="799"/>
      <w:bookmarkEnd w:id="800"/>
      <w:bookmarkEnd w:id="801"/>
    </w:p>
    <w:p>
      <w:pPr>
        <w:pStyle w:val="yFootnoteheading"/>
      </w:pPr>
      <w:r>
        <w:tab/>
        <w:t>[Heading inserted in Gazette 4 Mar 2003 p. 713.]</w:t>
      </w:r>
    </w:p>
    <w:p>
      <w:pPr>
        <w:pStyle w:val="yHeading4"/>
        <w:outlineLvl w:val="0"/>
      </w:pPr>
      <w:bookmarkStart w:id="802" w:name="_Toc389811747"/>
      <w:bookmarkStart w:id="803" w:name="_Toc388519418"/>
      <w:bookmarkStart w:id="804" w:name="_Toc388863033"/>
      <w:r>
        <w:t>Subdivision 1 — Annual financial reports and directors’ reports</w:t>
      </w:r>
      <w:bookmarkEnd w:id="802"/>
      <w:bookmarkEnd w:id="803"/>
      <w:bookmarkEnd w:id="804"/>
    </w:p>
    <w:p>
      <w:pPr>
        <w:pStyle w:val="yFootnoteheading"/>
      </w:pPr>
      <w:r>
        <w:tab/>
        <w:t>[Heading inserted in Gazette 4 Mar 2003 p. 713.]</w:t>
      </w:r>
    </w:p>
    <w:p>
      <w:pPr>
        <w:pStyle w:val="yHeading5"/>
      </w:pPr>
      <w:bookmarkStart w:id="805" w:name="_Toc389811748"/>
      <w:bookmarkStart w:id="806" w:name="_Toc388863034"/>
      <w:r>
        <w:rPr>
          <w:rStyle w:val="CharSClsNo"/>
        </w:rPr>
        <w:t>6</w:t>
      </w:r>
      <w:r>
        <w:t>.</w:t>
      </w:r>
      <w:r>
        <w:tab/>
        <w:t>Preparation of annual financial report and directors’ report</w:t>
      </w:r>
      <w:r>
        <w:br/>
      </w:r>
      <w:r>
        <w:rPr>
          <w:i/>
        </w:rPr>
        <w:t>(cf. Corporations Act s. 292)</w:t>
      </w:r>
      <w:bookmarkEnd w:id="805"/>
      <w:bookmarkEnd w:id="806"/>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807" w:name="_Toc389811749"/>
      <w:bookmarkStart w:id="808" w:name="_Toc388863035"/>
      <w:r>
        <w:rPr>
          <w:rStyle w:val="CharSClsNo"/>
        </w:rPr>
        <w:t>7</w:t>
      </w:r>
      <w:r>
        <w:t>.</w:t>
      </w:r>
      <w:r>
        <w:tab/>
        <w:t>Contents of annual financial report</w:t>
      </w:r>
      <w:r>
        <w:br/>
      </w:r>
      <w:r>
        <w:rPr>
          <w:i/>
        </w:rPr>
        <w:t>(cf. Corporations Act s. 295)</w:t>
      </w:r>
      <w:bookmarkEnd w:id="807"/>
      <w:bookmarkEnd w:id="808"/>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spacing w:before="120"/>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spacing w:before="180"/>
      </w:pPr>
      <w:bookmarkStart w:id="809" w:name="_Toc389811750"/>
      <w:bookmarkStart w:id="810" w:name="_Toc388863036"/>
      <w:r>
        <w:rPr>
          <w:rStyle w:val="CharSClsNo"/>
        </w:rPr>
        <w:t>8</w:t>
      </w:r>
      <w:r>
        <w:t>.</w:t>
      </w:r>
      <w:r>
        <w:tab/>
        <w:t>Compliance with accounting standards and regulations</w:t>
      </w:r>
      <w:r>
        <w:br/>
      </w:r>
      <w:r>
        <w:rPr>
          <w:i/>
        </w:rPr>
        <w:t>(cf. Corporations Act s. 296)</w:t>
      </w:r>
      <w:bookmarkEnd w:id="809"/>
      <w:bookmarkEnd w:id="810"/>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spacing w:before="80"/>
      </w:pPr>
      <w:r>
        <w:tab/>
      </w:r>
      <w:r>
        <w:tab/>
        <w:t>[Clause 8 inserted in Gazette 4 Mar 2003 p. 714.]</w:t>
      </w:r>
    </w:p>
    <w:p>
      <w:pPr>
        <w:pStyle w:val="yHeading5"/>
      </w:pPr>
      <w:bookmarkStart w:id="811" w:name="_Toc389811751"/>
      <w:bookmarkStart w:id="812" w:name="_Toc388863037"/>
      <w:r>
        <w:rPr>
          <w:rStyle w:val="CharSClsNo"/>
        </w:rPr>
        <w:t>9</w:t>
      </w:r>
      <w:r>
        <w:t>.</w:t>
      </w:r>
      <w:r>
        <w:tab/>
        <w:t>True and fair view</w:t>
      </w:r>
      <w:r>
        <w:br/>
      </w:r>
      <w:r>
        <w:rPr>
          <w:i/>
        </w:rPr>
        <w:t>(cf. Corporations Act s. 297)</w:t>
      </w:r>
      <w:bookmarkEnd w:id="811"/>
      <w:bookmarkEnd w:id="812"/>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813" w:name="_Toc389811752"/>
      <w:bookmarkStart w:id="814" w:name="_Toc388863038"/>
      <w:r>
        <w:rPr>
          <w:rStyle w:val="CharSClsNo"/>
        </w:rPr>
        <w:t>10</w:t>
      </w:r>
      <w:r>
        <w:t>.</w:t>
      </w:r>
      <w:r>
        <w:tab/>
        <w:t>Annual directors’ report</w:t>
      </w:r>
      <w:r>
        <w:br/>
      </w:r>
      <w:r>
        <w:rPr>
          <w:i/>
        </w:rPr>
        <w:t>(cf. Corporations Act s. 298)</w:t>
      </w:r>
      <w:bookmarkEnd w:id="813"/>
      <w:bookmarkEnd w:id="814"/>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815" w:name="_Toc389811753"/>
      <w:bookmarkStart w:id="816" w:name="_Toc388863039"/>
      <w:r>
        <w:rPr>
          <w:rStyle w:val="CharSClsNo"/>
        </w:rPr>
        <w:t>11</w:t>
      </w:r>
      <w:r>
        <w:t>.</w:t>
      </w:r>
      <w:r>
        <w:tab/>
        <w:t>Annual directors’ report, general information in</w:t>
      </w:r>
      <w:r>
        <w:br/>
      </w:r>
      <w:r>
        <w:rPr>
          <w:i/>
        </w:rPr>
        <w:t>(cf. Corporations Act s. 299)</w:t>
      </w:r>
      <w:bookmarkEnd w:id="815"/>
      <w:bookmarkEnd w:id="816"/>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 and</w:t>
      </w:r>
    </w:p>
    <w:p>
      <w:pPr>
        <w:pStyle w:val="yIndenta"/>
      </w:pPr>
      <w:r>
        <w:tab/>
        <w:t>(b)</w:t>
      </w:r>
      <w:r>
        <w:tab/>
        <w:t>give details of any significant changes in the port authority’s state of affairs during the year; and</w:t>
      </w:r>
    </w:p>
    <w:p>
      <w:pPr>
        <w:pStyle w:val="yIndenta"/>
      </w:pPr>
      <w:r>
        <w:tab/>
        <w:t>(c)</w:t>
      </w:r>
      <w:r>
        <w:tab/>
        <w:t>state the port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 or</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r>
      <w:r>
        <w:tab/>
        <w:t>and</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817" w:name="_Toc389811754"/>
      <w:bookmarkStart w:id="818" w:name="_Toc388863040"/>
      <w:r>
        <w:rPr>
          <w:rStyle w:val="CharSClsNo"/>
        </w:rPr>
        <w:t>12</w:t>
      </w:r>
      <w:r>
        <w:t>.</w:t>
      </w:r>
      <w:r>
        <w:tab/>
        <w:t>Annual directors’ report, specific information in</w:t>
      </w:r>
      <w:r>
        <w:br/>
      </w:r>
      <w:r>
        <w:rPr>
          <w:i/>
        </w:rPr>
        <w:t>(cf. Corporations Act s. 300)</w:t>
      </w:r>
      <w:bookmarkEnd w:id="817"/>
      <w:bookmarkEnd w:id="818"/>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spacing w:before="180"/>
      </w:pPr>
      <w:bookmarkStart w:id="819" w:name="_Toc389811755"/>
      <w:bookmarkStart w:id="820" w:name="_Toc388863041"/>
      <w:r>
        <w:rPr>
          <w:rStyle w:val="CharSClsNo"/>
        </w:rPr>
        <w:t>13</w:t>
      </w:r>
      <w:r>
        <w:t>.</w:t>
      </w:r>
      <w:r>
        <w:tab/>
        <w:t>Annual directors’ report, other specific information in</w:t>
      </w:r>
      <w:r>
        <w:br/>
      </w:r>
      <w:r>
        <w:rPr>
          <w:i/>
        </w:rPr>
        <w:t>(cf. Corporations Act s. 300A)</w:t>
      </w:r>
      <w:bookmarkEnd w:id="819"/>
      <w:bookmarkEnd w:id="820"/>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 and</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spacing w:before="80"/>
      </w:pPr>
      <w:r>
        <w:tab/>
      </w:r>
      <w:r>
        <w:tab/>
        <w:t>[</w:t>
      </w:r>
      <w:r>
        <w:rPr>
          <w:snapToGrid/>
        </w:rPr>
        <w:t>Clause </w:t>
      </w:r>
      <w:r>
        <w:t>13</w:t>
      </w:r>
      <w:r>
        <w:rPr>
          <w:snapToGrid/>
        </w:rPr>
        <w:t> inserted in Gazette 4 Mar 2003 p. 71</w:t>
      </w:r>
      <w:r>
        <w:t>6</w:t>
      </w:r>
      <w:r>
        <w:rPr>
          <w:snapToGrid/>
        </w:rPr>
        <w:t>.]</w:t>
      </w:r>
    </w:p>
    <w:p>
      <w:pPr>
        <w:pStyle w:val="yHeading5"/>
      </w:pPr>
      <w:bookmarkStart w:id="821" w:name="_Toc389811756"/>
      <w:bookmarkStart w:id="822" w:name="_Toc388863042"/>
      <w:r>
        <w:rPr>
          <w:rStyle w:val="CharSClsNo"/>
        </w:rPr>
        <w:t>14</w:t>
      </w:r>
      <w:r>
        <w:t>.</w:t>
      </w:r>
      <w:r>
        <w:tab/>
        <w:t>Audit of annual financial report</w:t>
      </w:r>
      <w:r>
        <w:br/>
      </w:r>
      <w:r>
        <w:rPr>
          <w:i/>
        </w:rPr>
        <w:t>(cf. Corporations Act s. 301)</w:t>
      </w:r>
      <w:bookmarkEnd w:id="821"/>
      <w:bookmarkEnd w:id="822"/>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823" w:name="_Toc389811757"/>
      <w:bookmarkStart w:id="824" w:name="_Toc388519428"/>
      <w:bookmarkStart w:id="825" w:name="_Toc388863043"/>
      <w:r>
        <w:t>Subdivision 2 — Audit and auditor’s report</w:t>
      </w:r>
      <w:bookmarkEnd w:id="823"/>
      <w:bookmarkEnd w:id="824"/>
      <w:bookmarkEnd w:id="825"/>
    </w:p>
    <w:p>
      <w:pPr>
        <w:pStyle w:val="yFootnoteheading"/>
      </w:pPr>
      <w:r>
        <w:tab/>
        <w:t>[</w:t>
      </w:r>
      <w:r>
        <w:rPr>
          <w:snapToGrid w:val="0"/>
        </w:rPr>
        <w:t>Heading</w:t>
      </w:r>
      <w:r>
        <w:t xml:space="preserve"> inserted in Gazette 4 Mar 2003 p. 716.]</w:t>
      </w:r>
    </w:p>
    <w:p>
      <w:pPr>
        <w:pStyle w:val="yHeading5"/>
      </w:pPr>
      <w:bookmarkStart w:id="826" w:name="_Toc389811758"/>
      <w:bookmarkStart w:id="827" w:name="_Toc388863044"/>
      <w:r>
        <w:rPr>
          <w:rStyle w:val="CharSClsNo"/>
        </w:rPr>
        <w:t>15</w:t>
      </w:r>
      <w:r>
        <w:t>.</w:t>
      </w:r>
      <w:r>
        <w:tab/>
        <w:t>Audit opinion</w:t>
      </w:r>
      <w:r>
        <w:br/>
      </w:r>
      <w:r>
        <w:rPr>
          <w:i/>
        </w:rPr>
        <w:t>(cf. Corporations Act s. 307)</w:t>
      </w:r>
      <w:bookmarkEnd w:id="826"/>
      <w:bookmarkEnd w:id="827"/>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828" w:name="_Toc389811759"/>
      <w:bookmarkStart w:id="829" w:name="_Toc388863045"/>
      <w:r>
        <w:rPr>
          <w:rStyle w:val="CharSClsNo"/>
        </w:rPr>
        <w:t>16</w:t>
      </w:r>
      <w:r>
        <w:t>.</w:t>
      </w:r>
      <w:r>
        <w:tab/>
        <w:t>Auditor General’s report on annual financial report</w:t>
      </w:r>
      <w:r>
        <w:br/>
      </w:r>
      <w:r>
        <w:rPr>
          <w:i/>
        </w:rPr>
        <w:t>(cf. Corporations Act s. 308)</w:t>
      </w:r>
      <w:bookmarkEnd w:id="828"/>
      <w:bookmarkEnd w:id="829"/>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830" w:name="_Toc389811760"/>
      <w:bookmarkStart w:id="831" w:name="_Toc388863046"/>
      <w:r>
        <w:rPr>
          <w:rStyle w:val="CharSClsNo"/>
        </w:rPr>
        <w:t>17</w:t>
      </w:r>
      <w:r>
        <w:t>.</w:t>
      </w:r>
      <w:r>
        <w:tab/>
        <w:t>Auditor General’s power to obtain information</w:t>
      </w:r>
      <w:r>
        <w:br/>
      </w:r>
      <w:r>
        <w:rPr>
          <w:i/>
        </w:rPr>
        <w:t>(cf. Corporations Act s. 310)</w:t>
      </w:r>
      <w:bookmarkEnd w:id="830"/>
      <w:bookmarkEnd w:id="831"/>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spacing w:before="240"/>
      </w:pPr>
      <w:bookmarkStart w:id="832" w:name="_Toc389811761"/>
      <w:bookmarkStart w:id="833" w:name="_Toc388863047"/>
      <w:r>
        <w:rPr>
          <w:rStyle w:val="CharSClsNo"/>
        </w:rPr>
        <w:t>18</w:t>
      </w:r>
      <w:r>
        <w:t>.</w:t>
      </w:r>
      <w:r>
        <w:tab/>
        <w:t>Assisting Auditor General</w:t>
      </w:r>
      <w:r>
        <w:br/>
      </w:r>
      <w:r>
        <w:rPr>
          <w:i/>
        </w:rPr>
        <w:t>(cf. Corporations Act s. 312)</w:t>
      </w:r>
      <w:bookmarkEnd w:id="832"/>
      <w:bookmarkEnd w:id="833"/>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834" w:name="_Toc389811762"/>
      <w:bookmarkStart w:id="835" w:name="_Toc388519433"/>
      <w:bookmarkStart w:id="836" w:name="_Toc388863048"/>
      <w:r>
        <w:t>Subdivision 3 — Special provisions about consolidated financial statements</w:t>
      </w:r>
      <w:bookmarkEnd w:id="834"/>
      <w:bookmarkEnd w:id="835"/>
      <w:bookmarkEnd w:id="836"/>
    </w:p>
    <w:p>
      <w:pPr>
        <w:pStyle w:val="yFootnoteheading"/>
      </w:pPr>
      <w:r>
        <w:tab/>
        <w:t>[Heading inserted in Gazette 4 Mar 2003 p. 717.]</w:t>
      </w:r>
    </w:p>
    <w:p>
      <w:pPr>
        <w:pStyle w:val="yHeading5"/>
      </w:pPr>
      <w:bookmarkStart w:id="837" w:name="_Toc389811763"/>
      <w:bookmarkStart w:id="838" w:name="_Toc388863049"/>
      <w:r>
        <w:rPr>
          <w:rStyle w:val="CharSClsNo"/>
        </w:rPr>
        <w:t>19</w:t>
      </w:r>
      <w:r>
        <w:t>.</w:t>
      </w:r>
      <w:r>
        <w:tab/>
        <w:t>Directors and officers of controlled entity to give information</w:t>
      </w:r>
      <w:r>
        <w:br/>
      </w:r>
      <w:r>
        <w:rPr>
          <w:i/>
        </w:rPr>
        <w:t>(cf. Corporations Act s. 323)</w:t>
      </w:r>
      <w:bookmarkEnd w:id="837"/>
      <w:bookmarkEnd w:id="838"/>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839" w:name="_Toc389811764"/>
      <w:bookmarkStart w:id="840" w:name="_Toc388863050"/>
      <w:r>
        <w:rPr>
          <w:rStyle w:val="CharSClsNo"/>
        </w:rPr>
        <w:t>20</w:t>
      </w:r>
      <w:r>
        <w:t>.</w:t>
      </w:r>
      <w:r>
        <w:tab/>
        <w:t>Auditor General’s power to obtain information from controlled entity</w:t>
      </w:r>
      <w:r>
        <w:br/>
      </w:r>
      <w:r>
        <w:rPr>
          <w:i/>
        </w:rPr>
        <w:t>(cf. Corporations Act s. 323A)</w:t>
      </w:r>
      <w:bookmarkEnd w:id="839"/>
      <w:bookmarkEnd w:id="84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841" w:name="_Toc389811765"/>
      <w:bookmarkStart w:id="842" w:name="_Toc388863051"/>
      <w:r>
        <w:rPr>
          <w:rStyle w:val="CharSClsNo"/>
        </w:rPr>
        <w:t>21</w:t>
      </w:r>
      <w:r>
        <w:t>.</w:t>
      </w:r>
      <w:r>
        <w:tab/>
        <w:t>Controlled entity to assist the Auditor General</w:t>
      </w:r>
      <w:r>
        <w:br/>
      </w:r>
      <w:r>
        <w:rPr>
          <w:i/>
        </w:rPr>
        <w:t>(cf. Corporations Act s. 323B)</w:t>
      </w:r>
      <w:bookmarkEnd w:id="841"/>
      <w:bookmarkEnd w:id="842"/>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spacing w:before="180"/>
      </w:pPr>
      <w:bookmarkStart w:id="843" w:name="_Toc389811766"/>
      <w:bookmarkStart w:id="844" w:name="_Toc388863052"/>
      <w:r>
        <w:rPr>
          <w:rStyle w:val="CharSClsNo"/>
        </w:rPr>
        <w:t>22</w:t>
      </w:r>
      <w:r>
        <w:t>.</w:t>
      </w:r>
      <w:r>
        <w:tab/>
        <w:t>Application of cl. 19 to 21 to entity that has ceased to be controlled</w:t>
      </w:r>
      <w:r>
        <w:br/>
      </w:r>
      <w:r>
        <w:rPr>
          <w:i/>
        </w:rPr>
        <w:t>(cf. Corporations Act s. 323C)</w:t>
      </w:r>
      <w:bookmarkEnd w:id="843"/>
      <w:bookmarkEnd w:id="844"/>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845" w:name="_Toc389811767"/>
      <w:bookmarkStart w:id="846" w:name="_Toc388519438"/>
      <w:bookmarkStart w:id="847" w:name="_Toc388863053"/>
      <w:r>
        <w:t>Subdivision 4 — Financial years of a port authority and the entities it controls</w:t>
      </w:r>
      <w:bookmarkEnd w:id="845"/>
      <w:bookmarkEnd w:id="846"/>
      <w:bookmarkEnd w:id="847"/>
    </w:p>
    <w:p>
      <w:pPr>
        <w:pStyle w:val="yFootnoteheading"/>
        <w:ind w:firstLine="879"/>
      </w:pPr>
      <w:r>
        <w:rPr>
          <w:snapToGrid w:val="0"/>
        </w:rPr>
        <w:t>[</w:t>
      </w:r>
      <w:r>
        <w:t>Heading inserted in Gazette 4 Mar 2003 p. 718.]</w:t>
      </w:r>
    </w:p>
    <w:p>
      <w:pPr>
        <w:pStyle w:val="yHeading5"/>
        <w:spacing w:before="180"/>
      </w:pPr>
      <w:bookmarkStart w:id="848" w:name="_Toc389811768"/>
      <w:bookmarkStart w:id="849" w:name="_Toc388863054"/>
      <w:r>
        <w:rPr>
          <w:rStyle w:val="CharSClsNo"/>
        </w:rPr>
        <w:t>23</w:t>
      </w:r>
      <w:r>
        <w:t>.</w:t>
      </w:r>
      <w:r>
        <w:tab/>
        <w:t>Financial years</w:t>
      </w:r>
      <w:r>
        <w:br/>
      </w:r>
      <w:r>
        <w:rPr>
          <w:i/>
        </w:rPr>
        <w:t>(cf. Corporations Act s. 323D)</w:t>
      </w:r>
      <w:bookmarkEnd w:id="848"/>
      <w:bookmarkEnd w:id="849"/>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850" w:name="_Toc389811769"/>
      <w:bookmarkStart w:id="851" w:name="_Toc388519440"/>
      <w:bookmarkStart w:id="852" w:name="_Toc388863055"/>
      <w:r>
        <w:rPr>
          <w:rStyle w:val="CharSDivNo"/>
        </w:rPr>
        <w:t>Division 4</w:t>
      </w:r>
      <w:r>
        <w:t xml:space="preserve"> — </w:t>
      </w:r>
      <w:r>
        <w:rPr>
          <w:rStyle w:val="CharSDivText"/>
        </w:rPr>
        <w:t>Accounting standards</w:t>
      </w:r>
      <w:bookmarkEnd w:id="850"/>
      <w:bookmarkEnd w:id="851"/>
      <w:bookmarkEnd w:id="852"/>
    </w:p>
    <w:p>
      <w:pPr>
        <w:pStyle w:val="yFootnoteheading"/>
      </w:pPr>
      <w:r>
        <w:tab/>
        <w:t>[Heading inserted in Gazette 4 Mar 2003 p. 719.]</w:t>
      </w:r>
    </w:p>
    <w:p>
      <w:pPr>
        <w:pStyle w:val="yHeading5"/>
        <w:spacing w:before="180"/>
      </w:pPr>
      <w:bookmarkStart w:id="853" w:name="_Toc389811770"/>
      <w:bookmarkStart w:id="854" w:name="_Toc388863056"/>
      <w:r>
        <w:rPr>
          <w:rStyle w:val="CharSClsNo"/>
        </w:rPr>
        <w:t>24</w:t>
      </w:r>
      <w:r>
        <w:t>.</w:t>
      </w:r>
      <w:r>
        <w:tab/>
        <w:t>Accounting standards</w:t>
      </w:r>
      <w:r>
        <w:br/>
      </w:r>
      <w:r>
        <w:rPr>
          <w:i/>
        </w:rPr>
        <w:t>(cf. Corporations Act s. 334)</w:t>
      </w:r>
      <w:bookmarkEnd w:id="853"/>
      <w:bookmarkEnd w:id="854"/>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855" w:name="_Toc389811771"/>
      <w:bookmarkStart w:id="856" w:name="_Toc388863057"/>
      <w:r>
        <w:rPr>
          <w:rStyle w:val="CharSClsNo"/>
        </w:rPr>
        <w:t>25</w:t>
      </w:r>
      <w:r>
        <w:t>.</w:t>
      </w:r>
      <w:r>
        <w:tab/>
        <w:t>Equity accounting</w:t>
      </w:r>
      <w:r>
        <w:br/>
      </w:r>
      <w:r>
        <w:rPr>
          <w:i/>
        </w:rPr>
        <w:t>(cf. Corporations Act s. 335)</w:t>
      </w:r>
      <w:bookmarkEnd w:id="855"/>
      <w:bookmarkEnd w:id="856"/>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857" w:name="_Toc389811772"/>
      <w:bookmarkStart w:id="858" w:name="_Toc388863058"/>
      <w:r>
        <w:rPr>
          <w:rStyle w:val="CharSClsNo"/>
        </w:rPr>
        <w:t>26</w:t>
      </w:r>
      <w:r>
        <w:t>.</w:t>
      </w:r>
      <w:r>
        <w:tab/>
        <w:t>Interpretation of accounting standards</w:t>
      </w:r>
      <w:r>
        <w:br/>
      </w:r>
      <w:r>
        <w:rPr>
          <w:i/>
        </w:rPr>
        <w:t>(cf. Corporations Act s. 337)</w:t>
      </w:r>
      <w:bookmarkEnd w:id="857"/>
      <w:bookmarkEnd w:id="858"/>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spacing w:before="180"/>
      </w:pPr>
      <w:bookmarkStart w:id="859" w:name="_Toc389811773"/>
      <w:bookmarkStart w:id="860" w:name="_Toc388863059"/>
      <w:r>
        <w:rPr>
          <w:rStyle w:val="CharSClsNo"/>
        </w:rPr>
        <w:t>27</w:t>
      </w:r>
      <w:r>
        <w:t>.</w:t>
      </w:r>
      <w:r>
        <w:tab/>
        <w:t>Evidence of text of accounting standard</w:t>
      </w:r>
      <w:bookmarkEnd w:id="859"/>
      <w:bookmarkEnd w:id="860"/>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861" w:name="_Toc389811774"/>
      <w:bookmarkStart w:id="862" w:name="_Toc388519445"/>
      <w:bookmarkStart w:id="863" w:name="_Toc388863060"/>
      <w:r>
        <w:rPr>
          <w:rStyle w:val="CharSDivNo"/>
        </w:rPr>
        <w:t>Division 5</w:t>
      </w:r>
      <w:r>
        <w:t xml:space="preserve"> — </w:t>
      </w:r>
      <w:r>
        <w:rPr>
          <w:rStyle w:val="CharSDivText"/>
        </w:rPr>
        <w:t>Extension of time</w:t>
      </w:r>
      <w:bookmarkEnd w:id="861"/>
      <w:bookmarkEnd w:id="862"/>
      <w:bookmarkEnd w:id="863"/>
    </w:p>
    <w:p>
      <w:pPr>
        <w:pStyle w:val="yFootnotesection"/>
      </w:pPr>
      <w:r>
        <w:tab/>
        <w:t>[Heading</w:t>
      </w:r>
      <w:r>
        <w:rPr>
          <w:snapToGrid/>
        </w:rPr>
        <w:t> inserted in Gazette 4 Mar 2003 p. 7</w:t>
      </w:r>
      <w:r>
        <w:t>20</w:t>
      </w:r>
      <w:r>
        <w:rPr>
          <w:snapToGrid/>
        </w:rPr>
        <w:t>.]</w:t>
      </w:r>
    </w:p>
    <w:p>
      <w:pPr>
        <w:pStyle w:val="yHeading5"/>
        <w:spacing w:before="180"/>
      </w:pPr>
      <w:bookmarkStart w:id="864" w:name="_Toc389811775"/>
      <w:bookmarkStart w:id="865" w:name="_Toc388863061"/>
      <w:r>
        <w:rPr>
          <w:rStyle w:val="CharSClsNo"/>
        </w:rPr>
        <w:t>28</w:t>
      </w:r>
      <w:r>
        <w:t>.</w:t>
      </w:r>
      <w:r>
        <w:tab/>
        <w:t>Extension of time</w:t>
      </w:r>
      <w:bookmarkEnd w:id="864"/>
      <w:bookmarkEnd w:id="865"/>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33(6), apply to the memorandum evidencing the extension as if it were an order under clause 33(1).</w:t>
      </w:r>
    </w:p>
    <w:p>
      <w:pPr>
        <w:pStyle w:val="yFootnotesection"/>
        <w:spacing w:before="80"/>
      </w:pPr>
      <w:r>
        <w:tab/>
        <w:t>[Clause 28 inserted in Gazette 4 Mar 2003 p. 720.]</w:t>
      </w:r>
    </w:p>
    <w:p>
      <w:pPr>
        <w:pStyle w:val="yHeading3"/>
        <w:keepLines/>
        <w:outlineLvl w:val="0"/>
      </w:pPr>
      <w:bookmarkStart w:id="866" w:name="_Toc389811776"/>
      <w:bookmarkStart w:id="867" w:name="_Toc388519447"/>
      <w:bookmarkStart w:id="868" w:name="_Toc388863062"/>
      <w:r>
        <w:rPr>
          <w:rStyle w:val="CharSDivNo"/>
        </w:rPr>
        <w:t>Division 6</w:t>
      </w:r>
      <w:r>
        <w:t xml:space="preserve"> — </w:t>
      </w:r>
      <w:r>
        <w:rPr>
          <w:rStyle w:val="CharSDivText"/>
        </w:rPr>
        <w:t>Sanctions for contraventions of this Schedule</w:t>
      </w:r>
      <w:bookmarkEnd w:id="866"/>
      <w:bookmarkEnd w:id="867"/>
      <w:bookmarkEnd w:id="868"/>
    </w:p>
    <w:p>
      <w:pPr>
        <w:pStyle w:val="yFootnoteheading"/>
        <w:keepNext/>
        <w:keepLines/>
      </w:pPr>
      <w:r>
        <w:tab/>
        <w:t>[Heading inserted in Gazette 4 Mar 2003 p. 720.]</w:t>
      </w:r>
    </w:p>
    <w:p>
      <w:pPr>
        <w:pStyle w:val="yHeading5"/>
      </w:pPr>
      <w:bookmarkStart w:id="869" w:name="_Toc389811777"/>
      <w:bookmarkStart w:id="870" w:name="_Toc388863063"/>
      <w:r>
        <w:rPr>
          <w:rStyle w:val="CharSClsNo"/>
        </w:rPr>
        <w:t>29</w:t>
      </w:r>
      <w:r>
        <w:t>.</w:t>
      </w:r>
      <w:r>
        <w:tab/>
        <w:t>Contravention of Div. 2 and 3</w:t>
      </w:r>
      <w:r>
        <w:br/>
      </w:r>
      <w:r>
        <w:rPr>
          <w:i/>
        </w:rPr>
        <w:t>(cf. Corporations Act s. 344)</w:t>
      </w:r>
      <w:bookmarkEnd w:id="869"/>
      <w:bookmarkEnd w:id="870"/>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871" w:name="_Toc389811778"/>
      <w:bookmarkStart w:id="872" w:name="_Toc388519449"/>
      <w:bookmarkStart w:id="873" w:name="_Toc388863064"/>
      <w:r>
        <w:rPr>
          <w:rStyle w:val="CharSDivNo"/>
        </w:rPr>
        <w:t>Division 7</w:t>
      </w:r>
      <w:r>
        <w:t xml:space="preserve"> — </w:t>
      </w:r>
      <w:r>
        <w:rPr>
          <w:rStyle w:val="CharSDivText"/>
        </w:rPr>
        <w:t>Miscellaneous</w:t>
      </w:r>
      <w:bookmarkEnd w:id="871"/>
      <w:bookmarkEnd w:id="872"/>
      <w:bookmarkEnd w:id="873"/>
    </w:p>
    <w:p>
      <w:pPr>
        <w:pStyle w:val="yFootnoteheading"/>
      </w:pPr>
      <w:r>
        <w:tab/>
        <w:t>[Heading inserted in Gazette 4 Mar 2003 p. 720.]</w:t>
      </w:r>
    </w:p>
    <w:p>
      <w:pPr>
        <w:pStyle w:val="yHeading5"/>
        <w:outlineLvl w:val="0"/>
      </w:pPr>
      <w:bookmarkStart w:id="874" w:name="_Toc389811779"/>
      <w:bookmarkStart w:id="875" w:name="_Toc388863065"/>
      <w:r>
        <w:rPr>
          <w:rStyle w:val="CharSClsNo"/>
        </w:rPr>
        <w:t>33</w:t>
      </w:r>
      <w:r>
        <w:t>.</w:t>
      </w:r>
      <w:r>
        <w:tab/>
        <w:t>Treasurer’s power to make specific exemption orders</w:t>
      </w:r>
      <w:r>
        <w:br/>
      </w:r>
      <w:r>
        <w:rPr>
          <w:i/>
        </w:rPr>
        <w:t>(cf. Corporations Act s. 340)</w:t>
      </w:r>
      <w:bookmarkEnd w:id="874"/>
      <w:bookmarkEnd w:id="875"/>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876" w:name="_Toc389811780"/>
      <w:bookmarkStart w:id="877" w:name="_Toc388863066"/>
      <w:r>
        <w:rPr>
          <w:rStyle w:val="CharSClsNo"/>
        </w:rPr>
        <w:t>33A</w:t>
      </w:r>
      <w:r>
        <w:t>.</w:t>
      </w:r>
      <w:r>
        <w:tab/>
        <w:t xml:space="preserve">Criteria for specific exemption orders and class orders  </w:t>
      </w:r>
      <w:r>
        <w:br/>
      </w:r>
      <w:r>
        <w:rPr>
          <w:i/>
        </w:rPr>
        <w:t>(cf. Corporations Act s. 342)</w:t>
      </w:r>
      <w:bookmarkEnd w:id="876"/>
      <w:bookmarkEnd w:id="877"/>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878" w:name="_Toc389811781"/>
      <w:bookmarkStart w:id="879" w:name="_Toc388863067"/>
      <w:r>
        <w:rPr>
          <w:rStyle w:val="CharSClsNo"/>
        </w:rPr>
        <w:t>34</w:t>
      </w:r>
      <w:r>
        <w:t>.</w:t>
      </w:r>
      <w:r>
        <w:tab/>
        <w:t>Deadline for reporting to Minister</w:t>
      </w:r>
      <w:r>
        <w:br/>
      </w:r>
      <w:r>
        <w:rPr>
          <w:i/>
        </w:rPr>
        <w:t>(cf. Corporations Act s. 315)</w:t>
      </w:r>
      <w:bookmarkEnd w:id="878"/>
      <w:bookmarkEnd w:id="879"/>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880" w:name="_Toc389811782"/>
      <w:bookmarkStart w:id="881" w:name="_Toc388863068"/>
      <w:r>
        <w:rPr>
          <w:rStyle w:val="CharSClsNo"/>
        </w:rPr>
        <w:t>35</w:t>
      </w:r>
      <w:r>
        <w:t>.</w:t>
      </w:r>
      <w:r>
        <w:tab/>
        <w:t>Annual report to Minister, content of</w:t>
      </w:r>
      <w:r>
        <w:br/>
      </w:r>
      <w:r>
        <w:rPr>
          <w:i/>
        </w:rPr>
        <w:t>(cf. Corporations Act s. 314)</w:t>
      </w:r>
      <w:bookmarkEnd w:id="880"/>
      <w:bookmarkEnd w:id="881"/>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882" w:name="_Toc389811783"/>
      <w:bookmarkStart w:id="883" w:name="_Toc388863069"/>
      <w:r>
        <w:rPr>
          <w:rStyle w:val="CharSClsNo"/>
        </w:rPr>
        <w:t>37</w:t>
      </w:r>
      <w:r>
        <w:t>.</w:t>
      </w:r>
      <w:r>
        <w:tab/>
        <w:t>Audit, deadline for; interim report</w:t>
      </w:r>
      <w:bookmarkEnd w:id="882"/>
      <w:bookmarkEnd w:id="883"/>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Sch. 1 cl. 131(5)</w:t>
      </w:r>
      <w:r>
        <w:rPr>
          <w:snapToGrid/>
        </w:rPr>
        <w:t>.]</w:t>
      </w:r>
    </w:p>
    <w:p>
      <w:pPr>
        <w:pStyle w:val="yHeading5"/>
        <w:outlineLvl w:val="0"/>
      </w:pPr>
      <w:bookmarkStart w:id="884" w:name="_Toc389811784"/>
      <w:bookmarkStart w:id="885" w:name="_Toc388863070"/>
      <w:r>
        <w:rPr>
          <w:rStyle w:val="CharSClsNo"/>
        </w:rPr>
        <w:t>44</w:t>
      </w:r>
      <w:r>
        <w:t>.</w:t>
      </w:r>
      <w:r>
        <w:tab/>
        <w:t>Auditor General, duties and powers of</w:t>
      </w:r>
      <w:bookmarkEnd w:id="884"/>
      <w:bookmarkEnd w:id="885"/>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Sch. 1 cl. 131(6).]</w:t>
      </w:r>
    </w:p>
    <w:p>
      <w:pPr>
        <w:pStyle w:val="yScheduleHeading"/>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outlineLvl w:val="0"/>
      </w:pPr>
      <w:bookmarkStart w:id="886" w:name="_Toc389811785"/>
      <w:bookmarkStart w:id="887" w:name="_Toc388519456"/>
      <w:bookmarkStart w:id="888" w:name="_Toc388863071"/>
      <w:r>
        <w:rPr>
          <w:rStyle w:val="CharSchNo"/>
        </w:rPr>
        <w:t>Schedule 6</w:t>
      </w:r>
      <w:r>
        <w:t xml:space="preserve"> — </w:t>
      </w:r>
      <w:r>
        <w:rPr>
          <w:rStyle w:val="CharSchText"/>
        </w:rPr>
        <w:t>Provisions for particular port authorities</w:t>
      </w:r>
      <w:bookmarkEnd w:id="886"/>
      <w:bookmarkEnd w:id="887"/>
      <w:bookmarkEnd w:id="888"/>
      <w:r>
        <w:t xml:space="preserve"> </w:t>
      </w:r>
    </w:p>
    <w:p>
      <w:pPr>
        <w:pStyle w:val="yShoulderClause"/>
      </w:pPr>
      <w:r>
        <w:t>[s. 132]</w:t>
      </w:r>
    </w:p>
    <w:p>
      <w:pPr>
        <w:pStyle w:val="yHeading3"/>
        <w:outlineLvl w:val="0"/>
      </w:pPr>
      <w:bookmarkStart w:id="889" w:name="_Toc389811786"/>
      <w:bookmarkStart w:id="890" w:name="_Toc388519457"/>
      <w:bookmarkStart w:id="891" w:name="_Toc388863072"/>
      <w:r>
        <w:rPr>
          <w:rStyle w:val="CharSDivNo"/>
        </w:rPr>
        <w:t>Division 1</w:t>
      </w:r>
      <w:r>
        <w:t xml:space="preserve">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889"/>
      <w:bookmarkEnd w:id="890"/>
      <w:bookmarkEnd w:id="891"/>
    </w:p>
    <w:p>
      <w:pPr>
        <w:pStyle w:val="yHeading5"/>
        <w:outlineLvl w:val="0"/>
        <w:rPr>
          <w:snapToGrid w:val="0"/>
        </w:rPr>
      </w:pPr>
      <w:bookmarkStart w:id="892" w:name="_Toc389811787"/>
      <w:bookmarkStart w:id="893" w:name="_Toc388863073"/>
      <w:r>
        <w:rPr>
          <w:rStyle w:val="CharSClsNo"/>
        </w:rPr>
        <w:t>1.1</w:t>
      </w:r>
      <w:r>
        <w:rPr>
          <w:snapToGrid w:val="0"/>
        </w:rPr>
        <w:t>.</w:t>
      </w:r>
      <w:r>
        <w:rPr>
          <w:snapToGrid w:val="0"/>
        </w:rPr>
        <w:tab/>
        <w:t>Application of Division</w:t>
      </w:r>
      <w:bookmarkEnd w:id="892"/>
      <w:bookmarkEnd w:id="893"/>
    </w:p>
    <w:p>
      <w:pPr>
        <w:pStyle w:val="ySubsection"/>
        <w:rPr>
          <w:snapToGrid w:val="0"/>
        </w:rPr>
      </w:pPr>
      <w:r>
        <w:rPr>
          <w:snapToGrid w:val="0"/>
        </w:rPr>
        <w:tab/>
      </w:r>
      <w:r>
        <w:rPr>
          <w:snapToGrid w:val="0"/>
        </w:rPr>
        <w:tab/>
        <w:t xml:space="preserve">This Division applies to the Dampier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yHeading5"/>
        <w:outlineLvl w:val="0"/>
        <w:rPr>
          <w:snapToGrid w:val="0"/>
        </w:rPr>
      </w:pPr>
      <w:bookmarkStart w:id="894" w:name="_Toc389811788"/>
      <w:bookmarkStart w:id="895" w:name="_Toc388863074"/>
      <w:r>
        <w:rPr>
          <w:rStyle w:val="CharSClsNo"/>
        </w:rPr>
        <w:t>1.2</w:t>
      </w:r>
      <w:r>
        <w:rPr>
          <w:snapToGrid w:val="0"/>
        </w:rPr>
        <w:t>.</w:t>
      </w:r>
      <w:r>
        <w:rPr>
          <w:snapToGrid w:val="0"/>
        </w:rPr>
        <w:tab/>
        <w:t>Terms used</w:t>
      </w:r>
      <w:bookmarkEnd w:id="894"/>
      <w:bookmarkEnd w:id="895"/>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w:t>
      </w:r>
      <w:r>
        <w:t xml:space="preserve"> has the meaning given by the Iron Ore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p>
    <w:p>
      <w:pPr>
        <w:pStyle w:val="yDefstart"/>
        <w:rPr>
          <w:del w:id="896" w:author="svcMRProcess" w:date="2018-09-07T05:21:00Z"/>
        </w:rPr>
      </w:pPr>
      <w:del w:id="897" w:author="svcMRProcess" w:date="2018-09-07T05:21:00Z">
        <w:r>
          <w:tab/>
        </w:r>
        <w:r>
          <w:rPr>
            <w:rStyle w:val="CharDefText"/>
          </w:rPr>
          <w:delText>Company appointee</w:delText>
        </w:r>
        <w:r>
          <w:delText xml:space="preserve"> means the director — </w:delText>
        </w:r>
      </w:del>
    </w:p>
    <w:p>
      <w:pPr>
        <w:pStyle w:val="yDefpara"/>
        <w:rPr>
          <w:del w:id="898" w:author="svcMRProcess" w:date="2018-09-07T05:21:00Z"/>
        </w:rPr>
      </w:pPr>
      <w:del w:id="899" w:author="svcMRProcess" w:date="2018-09-07T05:21:00Z">
        <w:r>
          <w:tab/>
          <w:delText>(a)</w:delText>
        </w:r>
        <w:r>
          <w:tab/>
          <w:delText>appointed under clause 1.4(1)(a); or</w:delText>
        </w:r>
      </w:del>
    </w:p>
    <w:p>
      <w:pPr>
        <w:pStyle w:val="yDefpara"/>
        <w:rPr>
          <w:del w:id="900" w:author="svcMRProcess" w:date="2018-09-07T05:21:00Z"/>
        </w:rPr>
      </w:pPr>
      <w:del w:id="901" w:author="svcMRProcess" w:date="2018-09-07T05:21:00Z">
        <w:r>
          <w:tab/>
          <w:delText>(b)</w:delText>
        </w:r>
        <w:r>
          <w:tab/>
          <w:delText>appointed under clause 1.4(3) in default of a nomination for appointment as the Company appointee by the Company;</w:delText>
        </w:r>
      </w:del>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r>
        <w:rPr>
          <w:rStyle w:val="CharDefText"/>
        </w:rPr>
        <w:t>) Agreement</w:t>
      </w:r>
      <w:r>
        <w:t xml:space="preserve"> means the agreement a copy of which is set forth in the First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as that agreement is amended from time to time;</w:t>
      </w:r>
    </w:p>
    <w:p>
      <w:pPr>
        <w:pStyle w:val="yDefstart"/>
      </w:pPr>
      <w:r>
        <w:tab/>
      </w:r>
      <w:r>
        <w:rPr>
          <w:rStyle w:val="CharDefText"/>
        </w:rPr>
        <w:t>Joint Venturers</w:t>
      </w:r>
      <w:r>
        <w:t xml:space="preserve"> has the meaning given by the North West Gas Development (Woodside) Agreement;</w:t>
      </w:r>
    </w:p>
    <w:p>
      <w:pPr>
        <w:pStyle w:val="yDefstart"/>
        <w:outlineLvl w:val="0"/>
        <w:rPr>
          <w:del w:id="902" w:author="svcMRProcess" w:date="2018-09-07T05:21:00Z"/>
        </w:rPr>
      </w:pPr>
      <w:del w:id="903" w:author="svcMRProcess" w:date="2018-09-07T05:21:00Z">
        <w:r>
          <w:tab/>
        </w:r>
        <w:r>
          <w:rPr>
            <w:rStyle w:val="CharDefText"/>
          </w:rPr>
          <w:delText>Joint Venturers appointee</w:delText>
        </w:r>
        <w:r>
          <w:delText xml:space="preserve"> means the director — </w:delText>
        </w:r>
      </w:del>
    </w:p>
    <w:p>
      <w:pPr>
        <w:pStyle w:val="yDefpara"/>
        <w:rPr>
          <w:del w:id="904" w:author="svcMRProcess" w:date="2018-09-07T05:21:00Z"/>
        </w:rPr>
      </w:pPr>
      <w:del w:id="905" w:author="svcMRProcess" w:date="2018-09-07T05:21:00Z">
        <w:r>
          <w:tab/>
          <w:delText>(a)</w:delText>
        </w:r>
        <w:r>
          <w:tab/>
          <w:delText>appointed under clause 1.4(1)(b); or</w:delText>
        </w:r>
      </w:del>
    </w:p>
    <w:p>
      <w:pPr>
        <w:pStyle w:val="yDefpara"/>
        <w:rPr>
          <w:del w:id="906" w:author="svcMRProcess" w:date="2018-09-07T05:21:00Z"/>
        </w:rPr>
      </w:pPr>
      <w:del w:id="907" w:author="svcMRProcess" w:date="2018-09-07T05:21:00Z">
        <w:r>
          <w:tab/>
          <w:delText>(b)</w:delText>
        </w:r>
        <w:r>
          <w:tab/>
          <w:delText>appointed under clause 1.4(4) in default of a nomination for appointment as the Joint Venturers appointee by the Joint Venturers;</w:delText>
        </w:r>
      </w:del>
    </w:p>
    <w:p>
      <w:pPr>
        <w:pStyle w:val="yDefstart"/>
        <w:rPr>
          <w:del w:id="908" w:author="svcMRProcess" w:date="2018-09-07T05:21:00Z"/>
        </w:rPr>
      </w:pPr>
      <w:del w:id="909" w:author="svcMRProcess" w:date="2018-09-07T05:21:00Z">
        <w:r>
          <w:rPr>
            <w:b/>
          </w:rPr>
          <w:tab/>
        </w:r>
        <w:r>
          <w:rPr>
            <w:rStyle w:val="CharDefText"/>
          </w:rPr>
          <w:delText>Ministerial appointee</w:delText>
        </w:r>
        <w:r>
          <w:delText xml:space="preserve"> means a director appointed under clause 1.4(1)(c);</w:delText>
        </w:r>
      </w:del>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Salt Company</w:t>
      </w:r>
      <w:r>
        <w:t xml:space="preserve"> means the Company within the meaning of the Dampier Solar Salt Industry Agreement.</w:t>
      </w:r>
    </w:p>
    <w:p>
      <w:pPr>
        <w:pStyle w:val="yFootnotesection"/>
        <w:rPr>
          <w:ins w:id="910" w:author="svcMRProcess" w:date="2018-09-07T05:21:00Z"/>
        </w:rPr>
      </w:pPr>
      <w:ins w:id="911" w:author="svcMRProcess" w:date="2018-09-07T05:21:00Z">
        <w:r>
          <w:tab/>
          <w:t>[Clause 1.2 amended by No. 9 of 2014 s. 33(1).]</w:t>
        </w:r>
      </w:ins>
    </w:p>
    <w:p>
      <w:pPr>
        <w:pStyle w:val="yHeading5"/>
        <w:outlineLvl w:val="0"/>
        <w:rPr>
          <w:snapToGrid w:val="0"/>
        </w:rPr>
      </w:pPr>
      <w:bookmarkStart w:id="912" w:name="_Toc389811789"/>
      <w:bookmarkStart w:id="913" w:name="_Toc388863075"/>
      <w:r>
        <w:rPr>
          <w:rStyle w:val="CharSClsNo"/>
        </w:rPr>
        <w:t>1.3</w:t>
      </w:r>
      <w:r>
        <w:rPr>
          <w:snapToGrid w:val="0"/>
        </w:rPr>
        <w:t>.</w:t>
      </w:r>
      <w:r>
        <w:rPr>
          <w:snapToGrid w:val="0"/>
        </w:rPr>
        <w:tab/>
        <w:t>Act does not affect State agreements</w:t>
      </w:r>
      <w:bookmarkEnd w:id="912"/>
      <w:bookmarkEnd w:id="913"/>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any right or obligation of a party to the Dampier Solar Salt Industry Agreement; or</w:t>
      </w:r>
    </w:p>
    <w:p>
      <w:pPr>
        <w:pStyle w:val="yIndenta"/>
        <w:rPr>
          <w:snapToGrid w:val="0"/>
        </w:rPr>
      </w:pPr>
      <w:r>
        <w:rPr>
          <w:snapToGrid w:val="0"/>
        </w:rPr>
        <w:tab/>
        <w:t>(b)</w:t>
      </w:r>
      <w:r>
        <w:rPr>
          <w:snapToGrid w:val="0"/>
        </w:rPr>
        <w:tab/>
        <w:t>any right or obligation of a party to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del w:id="914" w:author="svcMRProcess" w:date="2018-09-07T05:21:00Z"/>
          <w:snapToGrid w:val="0"/>
        </w:rPr>
      </w:pPr>
      <w:ins w:id="915" w:author="svcMRProcess" w:date="2018-09-07T05:21:00Z">
        <w:r>
          <w:t>[</w:t>
        </w:r>
      </w:ins>
      <w:bookmarkStart w:id="916" w:name="_Toc388863076"/>
      <w:r>
        <w:t>1.4</w:t>
      </w:r>
      <w:del w:id="917" w:author="svcMRProcess" w:date="2018-09-07T05:21:00Z">
        <w:r>
          <w:rPr>
            <w:snapToGrid w:val="0"/>
          </w:rPr>
          <w:delText>.</w:delText>
        </w:r>
        <w:r>
          <w:rPr>
            <w:snapToGrid w:val="0"/>
          </w:rPr>
          <w:tab/>
          <w:delText>Directors of board</w:delText>
        </w:r>
        <w:bookmarkEnd w:id="916"/>
      </w:del>
    </w:p>
    <w:p>
      <w:pPr>
        <w:pStyle w:val="ySubsection"/>
        <w:rPr>
          <w:del w:id="918" w:author="svcMRProcess" w:date="2018-09-07T05:21:00Z"/>
          <w:snapToGrid w:val="0"/>
        </w:rPr>
      </w:pPr>
      <w:del w:id="919" w:author="svcMRProcess" w:date="2018-09-07T05:21:00Z">
        <w:r>
          <w:rPr>
            <w:snapToGrid w:val="0"/>
          </w:rPr>
          <w:tab/>
          <w:delText>(</w:delText>
        </w:r>
      </w:del>
      <w:ins w:id="920" w:author="svcMRProcess" w:date="2018-09-07T05:21:00Z">
        <w:r>
          <w:rPr>
            <w:b/>
          </w:rPr>
          <w:t>-</w:t>
        </w:r>
      </w:ins>
      <w:r>
        <w:rPr>
          <w:b/>
        </w:rPr>
        <w:t>1</w:t>
      </w:r>
      <w:del w:id="921" w:author="svcMRProcess" w:date="2018-09-07T05:21:00Z">
        <w:r>
          <w:rPr>
            <w:snapToGrid w:val="0"/>
          </w:rPr>
          <w:delText>)</w:delText>
        </w:r>
        <w:r>
          <w:rPr>
            <w:snapToGrid w:val="0"/>
          </w:rPr>
          <w:tab/>
          <w:delText>The board of the port authority is to comprise — </w:delText>
        </w:r>
      </w:del>
    </w:p>
    <w:p>
      <w:pPr>
        <w:pStyle w:val="yIndenta"/>
        <w:rPr>
          <w:del w:id="922" w:author="svcMRProcess" w:date="2018-09-07T05:21:00Z"/>
          <w:snapToGrid w:val="0"/>
        </w:rPr>
      </w:pPr>
      <w:del w:id="923" w:author="svcMRProcess" w:date="2018-09-07T05:21:00Z">
        <w:r>
          <w:rPr>
            <w:snapToGrid w:val="0"/>
          </w:rPr>
          <w:tab/>
          <w:delText>(a)</w:delText>
        </w:r>
        <w:r>
          <w:rPr>
            <w:snapToGrid w:val="0"/>
          </w:rPr>
          <w:tab/>
          <w:delText>one director appointed by the Minister on the nomination in writing of the Company; and</w:delText>
        </w:r>
      </w:del>
    </w:p>
    <w:p>
      <w:pPr>
        <w:pStyle w:val="yIndenta"/>
        <w:rPr>
          <w:del w:id="924" w:author="svcMRProcess" w:date="2018-09-07T05:21:00Z"/>
          <w:snapToGrid w:val="0"/>
        </w:rPr>
      </w:pPr>
      <w:del w:id="925" w:author="svcMRProcess" w:date="2018-09-07T05:21:00Z">
        <w:r>
          <w:rPr>
            <w:snapToGrid w:val="0"/>
          </w:rPr>
          <w:tab/>
          <w:delText>(b)</w:delText>
        </w:r>
        <w:r>
          <w:rPr>
            <w:snapToGrid w:val="0"/>
          </w:rPr>
          <w:tab/>
          <w:delText>one director appointed by the Minister on the nomination in writing of the Joint Venturers; and</w:delText>
        </w:r>
      </w:del>
    </w:p>
    <w:p>
      <w:pPr>
        <w:pStyle w:val="yIndenta"/>
        <w:rPr>
          <w:del w:id="926" w:author="svcMRProcess" w:date="2018-09-07T05:21:00Z"/>
          <w:snapToGrid w:val="0"/>
        </w:rPr>
      </w:pPr>
      <w:del w:id="927" w:author="svcMRProcess" w:date="2018-09-07T05:21:00Z">
        <w:r>
          <w:rPr>
            <w:snapToGrid w:val="0"/>
          </w:rPr>
          <w:tab/>
          <w:delText>(c)</w:delText>
        </w:r>
        <w:r>
          <w:rPr>
            <w:snapToGrid w:val="0"/>
          </w:rPr>
          <w:tab/>
        </w:r>
        <w:r>
          <w:delText xml:space="preserve">not more than 5 </w:delText>
        </w:r>
        <w:r>
          <w:rPr>
            <w:snapToGrid w:val="0"/>
          </w:rPr>
          <w:delText>other directors appointed by the Minister.</w:delText>
        </w:r>
      </w:del>
    </w:p>
    <w:p>
      <w:pPr>
        <w:pStyle w:val="ySubsection"/>
        <w:rPr>
          <w:del w:id="928" w:author="svcMRProcess" w:date="2018-09-07T05:21:00Z"/>
          <w:snapToGrid w:val="0"/>
        </w:rPr>
      </w:pPr>
      <w:del w:id="929" w:author="svcMRProcess" w:date="2018-09-07T05:21:00Z">
        <w:r>
          <w:rPr>
            <w:snapToGrid w:val="0"/>
          </w:rPr>
          <w:tab/>
          <w:delText>(2)</w:delText>
        </w:r>
        <w:r>
          <w:rPr>
            <w:snapToGrid w:val="0"/>
          </w:rPr>
          <w:tab/>
          <w:delText>The Minister is to appoint one of the Ministerial appointees to be chairperson of the board.</w:delText>
        </w:r>
      </w:del>
    </w:p>
    <w:p>
      <w:pPr>
        <w:pStyle w:val="ySubsection"/>
        <w:rPr>
          <w:del w:id="930" w:author="svcMRProcess" w:date="2018-09-07T05:21:00Z"/>
          <w:snapToGrid w:val="0"/>
        </w:rPr>
      </w:pPr>
      <w:del w:id="931" w:author="svcMRProcess" w:date="2018-09-07T05:21:00Z">
        <w:r>
          <w:rPr>
            <w:snapToGrid w:val="0"/>
          </w:rPr>
          <w:tab/>
          <w:delText>(3)</w:delText>
        </w:r>
        <w:r>
          <w:rPr>
            <w:snapToGrid w:val="0"/>
          </w:rPr>
          <w:tab/>
          <w:delTex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delText>
        </w:r>
      </w:del>
    </w:p>
    <w:p>
      <w:pPr>
        <w:pStyle w:val="ySubsection"/>
        <w:rPr>
          <w:del w:id="932" w:author="svcMRProcess" w:date="2018-09-07T05:21:00Z"/>
          <w:snapToGrid w:val="0"/>
        </w:rPr>
      </w:pPr>
      <w:del w:id="933" w:author="svcMRProcess" w:date="2018-09-07T05:21:00Z">
        <w:r>
          <w:rPr>
            <w:snapToGrid w:val="0"/>
          </w:rPr>
          <w:tab/>
          <w:delText>(4)</w:delText>
        </w:r>
        <w:r>
          <w:rPr>
            <w:snapToGrid w:val="0"/>
          </w:rPr>
          <w:tab/>
          <w:delTex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delText>
        </w:r>
      </w:del>
    </w:p>
    <w:p>
      <w:pPr>
        <w:pStyle w:val="ySubsection"/>
        <w:rPr>
          <w:del w:id="934" w:author="svcMRProcess" w:date="2018-09-07T05:21:00Z"/>
          <w:snapToGrid w:val="0"/>
        </w:rPr>
      </w:pPr>
      <w:del w:id="935" w:author="svcMRProcess" w:date="2018-09-07T05:21:00Z">
        <w:r>
          <w:rPr>
            <w:snapToGrid w:val="0"/>
          </w:rPr>
          <w:tab/>
          <w:delText>(5)</w:delText>
        </w:r>
        <w:r>
          <w:rPr>
            <w:snapToGrid w:val="0"/>
          </w:rPr>
          <w:tab/>
          <w:delText>A person appointed by the Minister under subclause (3) or (4) is to be regarded as having been duly nominated and appointed as the Company appointee or the Joint Venturers appointee, as the case requires.</w:delText>
        </w:r>
      </w:del>
    </w:p>
    <w:p>
      <w:pPr>
        <w:pStyle w:val="ySubsection"/>
        <w:rPr>
          <w:del w:id="936" w:author="svcMRProcess" w:date="2018-09-07T05:21:00Z"/>
          <w:snapToGrid w:val="0"/>
        </w:rPr>
      </w:pPr>
      <w:del w:id="937" w:author="svcMRProcess" w:date="2018-09-07T05:21:00Z">
        <w:r>
          <w:rPr>
            <w:snapToGrid w:val="0"/>
          </w:rPr>
          <w:tab/>
          <w:delText>(6)</w:delText>
        </w:r>
        <w:r>
          <w:rPr>
            <w:snapToGrid w:val="0"/>
          </w:rPr>
          <w:tab/>
          <w:delText>The Company appointee ceases to hold office as a director if the Company by instrument in writing served on the Minister so requests.</w:delText>
        </w:r>
      </w:del>
    </w:p>
    <w:p>
      <w:pPr>
        <w:pStyle w:val="ySubsection"/>
        <w:rPr>
          <w:del w:id="938" w:author="svcMRProcess" w:date="2018-09-07T05:21:00Z"/>
          <w:snapToGrid w:val="0"/>
        </w:rPr>
      </w:pPr>
      <w:del w:id="939" w:author="svcMRProcess" w:date="2018-09-07T05:21:00Z">
        <w:r>
          <w:rPr>
            <w:snapToGrid w:val="0"/>
          </w:rPr>
          <w:tab/>
          <w:delText>(</w:delText>
        </w:r>
      </w:del>
      <w:ins w:id="940" w:author="svcMRProcess" w:date="2018-09-07T05:21:00Z">
        <w:r>
          <w:rPr>
            <w:b/>
          </w:rPr>
          <w:t>.</w:t>
        </w:r>
      </w:ins>
      <w:r>
        <w:rPr>
          <w:b/>
        </w:rPr>
        <w:t>7</w:t>
      </w:r>
      <w:del w:id="941" w:author="svcMRProcess" w:date="2018-09-07T05:21:00Z">
        <w:r>
          <w:rPr>
            <w:snapToGrid w:val="0"/>
          </w:rPr>
          <w:delText>)</w:delText>
        </w:r>
        <w:r>
          <w:rPr>
            <w:snapToGrid w:val="0"/>
          </w:rPr>
          <w:tab/>
          <w:delText>The Joint Venturers appointee ceases to hold office as a director if the Joint Venturers by instrument in writing served on the Minister so request.</w:delText>
        </w:r>
      </w:del>
    </w:p>
    <w:p>
      <w:pPr>
        <w:pStyle w:val="yEdnotesection"/>
      </w:pPr>
      <w:del w:id="942" w:author="svcMRProcess" w:date="2018-09-07T05:21:00Z">
        <w:r>
          <w:tab/>
          <w:delText>[Clause 1.4 amended</w:delText>
        </w:r>
      </w:del>
      <w:ins w:id="943" w:author="svcMRProcess" w:date="2018-09-07T05:21:00Z">
        <w:r>
          <w:rPr>
            <w:b/>
          </w:rPr>
          <w:t>.</w:t>
        </w:r>
        <w:r>
          <w:tab/>
          <w:t>Deleted</w:t>
        </w:r>
      </w:ins>
      <w:r>
        <w:t xml:space="preserve"> by No.</w:t>
      </w:r>
      <w:del w:id="944" w:author="svcMRProcess" w:date="2018-09-07T05:21:00Z">
        <w:r>
          <w:delText xml:space="preserve"> 74</w:delText>
        </w:r>
      </w:del>
      <w:ins w:id="945" w:author="svcMRProcess" w:date="2018-09-07T05:21:00Z">
        <w:r>
          <w:t> 9</w:t>
        </w:r>
      </w:ins>
      <w:r>
        <w:t xml:space="preserve"> of </w:t>
      </w:r>
      <w:del w:id="946" w:author="svcMRProcess" w:date="2018-09-07T05:21:00Z">
        <w:r>
          <w:delText>2003</w:delText>
        </w:r>
      </w:del>
      <w:ins w:id="947" w:author="svcMRProcess" w:date="2018-09-07T05:21:00Z">
        <w:r>
          <w:t>2014</w:t>
        </w:r>
      </w:ins>
      <w:r>
        <w:t xml:space="preserve"> s. </w:t>
      </w:r>
      <w:del w:id="948" w:author="svcMRProcess" w:date="2018-09-07T05:21:00Z">
        <w:r>
          <w:delText>93(5</w:delText>
        </w:r>
      </w:del>
      <w:ins w:id="949" w:author="svcMRProcess" w:date="2018-09-07T05:21:00Z">
        <w:r>
          <w:t>33(2</w:t>
        </w:r>
      </w:ins>
      <w:r>
        <w:t>).]</w:t>
      </w:r>
    </w:p>
    <w:p>
      <w:pPr>
        <w:pStyle w:val="yHeading5"/>
        <w:outlineLvl w:val="0"/>
        <w:rPr>
          <w:del w:id="950" w:author="svcMRProcess" w:date="2018-09-07T05:21:00Z"/>
          <w:snapToGrid w:val="0"/>
        </w:rPr>
      </w:pPr>
      <w:bookmarkStart w:id="951" w:name="_Toc388863077"/>
      <w:bookmarkStart w:id="952" w:name="_Toc389811790"/>
      <w:del w:id="953" w:author="svcMRProcess" w:date="2018-09-07T05:21:00Z">
        <w:r>
          <w:rPr>
            <w:rStyle w:val="CharSClsNo"/>
          </w:rPr>
          <w:delText>1.5</w:delText>
        </w:r>
        <w:r>
          <w:rPr>
            <w:snapToGrid w:val="0"/>
          </w:rPr>
          <w:delText>.</w:delText>
        </w:r>
        <w:r>
          <w:rPr>
            <w:snapToGrid w:val="0"/>
          </w:rPr>
          <w:tab/>
          <w:delText>Alternate directors</w:delText>
        </w:r>
        <w:bookmarkEnd w:id="951"/>
      </w:del>
    </w:p>
    <w:p>
      <w:pPr>
        <w:pStyle w:val="ySubsection"/>
        <w:rPr>
          <w:del w:id="954" w:author="svcMRProcess" w:date="2018-09-07T05:21:00Z"/>
          <w:snapToGrid w:val="0"/>
        </w:rPr>
      </w:pPr>
      <w:del w:id="955" w:author="svcMRProcess" w:date="2018-09-07T05:21:00Z">
        <w:r>
          <w:rPr>
            <w:snapToGrid w:val="0"/>
          </w:rPr>
          <w:tab/>
          <w:delText>(1)</w:delText>
        </w:r>
        <w:r>
          <w:rPr>
            <w:snapToGrid w:val="0"/>
          </w:rPr>
          <w:tab/>
          <w:delText>Schedule 2, clause 4 does not apply to the port authority.</w:delText>
        </w:r>
      </w:del>
    </w:p>
    <w:p>
      <w:pPr>
        <w:pStyle w:val="ySubsection"/>
        <w:rPr>
          <w:del w:id="956" w:author="svcMRProcess" w:date="2018-09-07T05:21:00Z"/>
          <w:snapToGrid w:val="0"/>
        </w:rPr>
      </w:pPr>
      <w:del w:id="957" w:author="svcMRProcess" w:date="2018-09-07T05:21:00Z">
        <w:r>
          <w:rPr>
            <w:snapToGrid w:val="0"/>
          </w:rPr>
          <w:tab/>
          <w:delText>(2)</w:delText>
        </w:r>
        <w:r>
          <w:rPr>
            <w:snapToGrid w:val="0"/>
          </w:rPr>
          <w:tab/>
          <w:delText>The Minister may appoint a person as an alternate director for a director.</w:delText>
        </w:r>
      </w:del>
    </w:p>
    <w:p>
      <w:pPr>
        <w:pStyle w:val="ySubsection"/>
        <w:rPr>
          <w:del w:id="958" w:author="svcMRProcess" w:date="2018-09-07T05:21:00Z"/>
          <w:snapToGrid w:val="0"/>
        </w:rPr>
      </w:pPr>
      <w:del w:id="959" w:author="svcMRProcess" w:date="2018-09-07T05:21:00Z">
        <w:r>
          <w:rPr>
            <w:snapToGrid w:val="0"/>
          </w:rPr>
          <w:tab/>
          <w:delText>(3)</w:delText>
        </w:r>
        <w:r>
          <w:rPr>
            <w:snapToGrid w:val="0"/>
          </w:rPr>
          <w:tab/>
          <w:delText>A person cannot be appointed as an alternate director for more than one director.</w:delText>
        </w:r>
      </w:del>
    </w:p>
    <w:p>
      <w:pPr>
        <w:pStyle w:val="ySubsection"/>
        <w:rPr>
          <w:del w:id="960" w:author="svcMRProcess" w:date="2018-09-07T05:21:00Z"/>
          <w:snapToGrid w:val="0"/>
        </w:rPr>
      </w:pPr>
      <w:del w:id="961" w:author="svcMRProcess" w:date="2018-09-07T05:21:00Z">
        <w:r>
          <w:rPr>
            <w:snapToGrid w:val="0"/>
          </w:rPr>
          <w:tab/>
          <w:delText>(4)</w:delText>
        </w:r>
        <w:r>
          <w:rPr>
            <w:snapToGrid w:val="0"/>
          </w:rPr>
          <w:tab/>
          <w:delText>Clauses 1.4(1)(a) and (b), and (3) to (7) and 1.6 apply (with any necessary changes) in relation to alternate directors for the Company appointee and the Joint Venturers appointee.</w:delText>
        </w:r>
      </w:del>
    </w:p>
    <w:p>
      <w:pPr>
        <w:pStyle w:val="ySubsection"/>
        <w:rPr>
          <w:del w:id="962" w:author="svcMRProcess" w:date="2018-09-07T05:21:00Z"/>
          <w:snapToGrid w:val="0"/>
        </w:rPr>
      </w:pPr>
      <w:del w:id="963" w:author="svcMRProcess" w:date="2018-09-07T05:21:00Z">
        <w:r>
          <w:rPr>
            <w:snapToGrid w:val="0"/>
          </w:rPr>
          <w:tab/>
          <w:delText>(5)</w:delText>
        </w:r>
        <w:r>
          <w:rPr>
            <w:snapToGrid w:val="0"/>
          </w:rPr>
          <w:tab/>
          <w:delTex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delText>
        </w:r>
      </w:del>
    </w:p>
    <w:p>
      <w:pPr>
        <w:pStyle w:val="ySubsection"/>
        <w:rPr>
          <w:del w:id="964" w:author="svcMRProcess" w:date="2018-09-07T05:21:00Z"/>
          <w:snapToGrid w:val="0"/>
        </w:rPr>
      </w:pPr>
      <w:del w:id="965" w:author="svcMRProcess" w:date="2018-09-07T05:21:00Z">
        <w:r>
          <w:rPr>
            <w:snapToGrid w:val="0"/>
          </w:rPr>
          <w:tab/>
          <w:delText>(6)</w:delText>
        </w:r>
        <w:r>
          <w:rPr>
            <w:snapToGrid w:val="0"/>
          </w:rPr>
          <w:tab/>
          <w:delText>When a director is unable to act because of sickness, absence or other cause, the alternate director for that director may act in the director’s place, and while so acting that alternate director is to be taken to be a director and is entitled to remuneration under section 10.</w:delText>
        </w:r>
      </w:del>
    </w:p>
    <w:p>
      <w:pPr>
        <w:pStyle w:val="ySubsection"/>
        <w:rPr>
          <w:del w:id="966" w:author="svcMRProcess" w:date="2018-09-07T05:21:00Z"/>
          <w:snapToGrid w:val="0"/>
        </w:rPr>
      </w:pPr>
      <w:del w:id="967" w:author="svcMRProcess" w:date="2018-09-07T05:21:00Z">
        <w:r>
          <w:rPr>
            <w:snapToGrid w:val="0"/>
          </w:rPr>
          <w:tab/>
          <w:delText>(7)</w:delText>
        </w:r>
        <w:r>
          <w:rPr>
            <w:snapToGrid w:val="0"/>
          </w:rPr>
          <w:tab/>
          <w:delText>No act or omission of an alternate director acting in place of a director under this clause may be questioned on the ground that the occasion for acting had not arisen or had ceased.</w:delText>
        </w:r>
      </w:del>
    </w:p>
    <w:p>
      <w:pPr>
        <w:pStyle w:val="yHeading5"/>
        <w:outlineLvl w:val="0"/>
        <w:rPr>
          <w:del w:id="968" w:author="svcMRProcess" w:date="2018-09-07T05:21:00Z"/>
          <w:snapToGrid w:val="0"/>
        </w:rPr>
      </w:pPr>
      <w:bookmarkStart w:id="969" w:name="_Toc388863078"/>
      <w:del w:id="970" w:author="svcMRProcess" w:date="2018-09-07T05:21:00Z">
        <w:r>
          <w:rPr>
            <w:rStyle w:val="CharSClsNo"/>
          </w:rPr>
          <w:delText>1.6</w:delText>
        </w:r>
        <w:r>
          <w:rPr>
            <w:snapToGrid w:val="0"/>
          </w:rPr>
          <w:delText>.</w:delText>
        </w:r>
        <w:r>
          <w:rPr>
            <w:snapToGrid w:val="0"/>
          </w:rPr>
          <w:tab/>
          <w:delText>Some material personal interests excluded from s. 2 and Sch. 2 cl. 8</w:delText>
        </w:r>
        <w:bookmarkEnd w:id="969"/>
      </w:del>
    </w:p>
    <w:p>
      <w:pPr>
        <w:pStyle w:val="ySubsection"/>
        <w:keepNext/>
        <w:keepLines/>
        <w:spacing w:before="100"/>
        <w:rPr>
          <w:del w:id="971" w:author="svcMRProcess" w:date="2018-09-07T05:21:00Z"/>
          <w:snapToGrid w:val="0"/>
        </w:rPr>
      </w:pPr>
      <w:del w:id="972" w:author="svcMRProcess" w:date="2018-09-07T05:21:00Z">
        <w:r>
          <w:rPr>
            <w:snapToGrid w:val="0"/>
          </w:rPr>
          <w:tab/>
        </w:r>
        <w:r>
          <w:rPr>
            <w:snapToGrid w:val="0"/>
          </w:rPr>
          <w:tab/>
          <w:delText>Section 12 and Schedule 2, clause 8 do not apply — </w:delText>
        </w:r>
      </w:del>
    </w:p>
    <w:p>
      <w:pPr>
        <w:pStyle w:val="yIndenta"/>
        <w:rPr>
          <w:del w:id="973" w:author="svcMRProcess" w:date="2018-09-07T05:21:00Z"/>
          <w:snapToGrid w:val="0"/>
        </w:rPr>
      </w:pPr>
      <w:del w:id="974" w:author="svcMRProcess" w:date="2018-09-07T05:21:00Z">
        <w:r>
          <w:rPr>
            <w:snapToGrid w:val="0"/>
          </w:rPr>
          <w:tab/>
          <w:delText>(a)</w:delText>
        </w:r>
        <w:r>
          <w:rPr>
            <w:snapToGrid w:val="0"/>
          </w:rPr>
          <w:tab/>
          <w:delText>to the Company appointee in respect of a material personal interest that consists only of being an employee of the Company; or</w:delText>
        </w:r>
      </w:del>
    </w:p>
    <w:p>
      <w:pPr>
        <w:pStyle w:val="yIndenta"/>
        <w:rPr>
          <w:del w:id="975" w:author="svcMRProcess" w:date="2018-09-07T05:21:00Z"/>
          <w:snapToGrid w:val="0"/>
        </w:rPr>
      </w:pPr>
      <w:del w:id="976" w:author="svcMRProcess" w:date="2018-09-07T05:21:00Z">
        <w:r>
          <w:rPr>
            <w:snapToGrid w:val="0"/>
          </w:rPr>
          <w:tab/>
          <w:delText>(b)</w:delText>
        </w:r>
        <w:r>
          <w:rPr>
            <w:snapToGrid w:val="0"/>
          </w:rPr>
          <w:tab/>
          <w:delText>to the Joint Venturers appointee in respect of a material personal interest that consists only of being an employee of one of the Joint Venturers.</w:delText>
        </w:r>
      </w:del>
    </w:p>
    <w:p>
      <w:pPr>
        <w:pStyle w:val="yHeading5"/>
        <w:outlineLvl w:val="0"/>
        <w:rPr>
          <w:del w:id="977" w:author="svcMRProcess" w:date="2018-09-07T05:21:00Z"/>
          <w:snapToGrid w:val="0"/>
        </w:rPr>
      </w:pPr>
      <w:bookmarkStart w:id="978" w:name="_Toc388863079"/>
      <w:del w:id="979" w:author="svcMRProcess" w:date="2018-09-07T05:21:00Z">
        <w:r>
          <w:rPr>
            <w:rStyle w:val="CharSClsNo"/>
          </w:rPr>
          <w:delText>1.7</w:delText>
        </w:r>
        <w:r>
          <w:rPr>
            <w:snapToGrid w:val="0"/>
          </w:rPr>
          <w:delText>.</w:delText>
        </w:r>
        <w:r>
          <w:rPr>
            <w:snapToGrid w:val="0"/>
          </w:rPr>
          <w:tab/>
          <w:delText>Quorum</w:delText>
        </w:r>
        <w:bookmarkEnd w:id="978"/>
        <w:r>
          <w:rPr>
            <w:snapToGrid w:val="0"/>
          </w:rPr>
          <w:delText xml:space="preserve"> </w:delText>
        </w:r>
      </w:del>
    </w:p>
    <w:p>
      <w:pPr>
        <w:pStyle w:val="ySubsection"/>
        <w:keepNext/>
        <w:keepLines/>
        <w:spacing w:before="100"/>
        <w:rPr>
          <w:del w:id="980" w:author="svcMRProcess" w:date="2018-09-07T05:21:00Z"/>
          <w:snapToGrid w:val="0"/>
        </w:rPr>
      </w:pPr>
      <w:del w:id="981" w:author="svcMRProcess" w:date="2018-09-07T05:21:00Z">
        <w:r>
          <w:rPr>
            <w:snapToGrid w:val="0"/>
          </w:rPr>
          <w:tab/>
        </w:r>
        <w:r>
          <w:rPr>
            <w:snapToGrid w:val="0"/>
          </w:rPr>
          <w:tab/>
          <w:delText>At a meeting of the port authority, 3 directors — </w:delText>
        </w:r>
      </w:del>
    </w:p>
    <w:p>
      <w:pPr>
        <w:pStyle w:val="yIndenta"/>
        <w:rPr>
          <w:del w:id="982" w:author="svcMRProcess" w:date="2018-09-07T05:21:00Z"/>
          <w:snapToGrid w:val="0"/>
        </w:rPr>
      </w:pPr>
      <w:del w:id="983" w:author="svcMRProcess" w:date="2018-09-07T05:21:00Z">
        <w:r>
          <w:rPr>
            <w:snapToGrid w:val="0"/>
          </w:rPr>
          <w:tab/>
          <w:delText>(a)</w:delText>
        </w:r>
        <w:r>
          <w:rPr>
            <w:snapToGrid w:val="0"/>
          </w:rPr>
          <w:tab/>
          <w:delText>one of whom is the company appointee or the Joint Venturers appointee; and</w:delText>
        </w:r>
      </w:del>
    </w:p>
    <w:p>
      <w:pPr>
        <w:pStyle w:val="yIndenta"/>
        <w:rPr>
          <w:del w:id="984" w:author="svcMRProcess" w:date="2018-09-07T05:21:00Z"/>
          <w:snapToGrid w:val="0"/>
        </w:rPr>
      </w:pPr>
      <w:del w:id="985" w:author="svcMRProcess" w:date="2018-09-07T05:21:00Z">
        <w:r>
          <w:rPr>
            <w:snapToGrid w:val="0"/>
          </w:rPr>
          <w:tab/>
          <w:delText>(b)</w:delText>
        </w:r>
        <w:r>
          <w:rPr>
            <w:snapToGrid w:val="0"/>
          </w:rPr>
          <w:tab/>
          <w:delText>one of whom is a Ministerial appointee,</w:delText>
        </w:r>
      </w:del>
    </w:p>
    <w:p>
      <w:pPr>
        <w:pStyle w:val="ySubsection"/>
        <w:rPr>
          <w:del w:id="986" w:author="svcMRProcess" w:date="2018-09-07T05:21:00Z"/>
          <w:snapToGrid w:val="0"/>
        </w:rPr>
      </w:pPr>
      <w:del w:id="987" w:author="svcMRProcess" w:date="2018-09-07T05:21:00Z">
        <w:r>
          <w:rPr>
            <w:snapToGrid w:val="0"/>
          </w:rPr>
          <w:tab/>
        </w:r>
        <w:r>
          <w:rPr>
            <w:snapToGrid w:val="0"/>
          </w:rPr>
          <w:tab/>
          <w:delText>constitute a quorum.</w:delText>
        </w:r>
      </w:del>
    </w:p>
    <w:p>
      <w:pPr>
        <w:pStyle w:val="yHeading5"/>
        <w:outlineLvl w:val="0"/>
        <w:rPr>
          <w:snapToGrid w:val="0"/>
        </w:rPr>
      </w:pPr>
      <w:bookmarkStart w:id="988" w:name="_Toc388863080"/>
      <w:r>
        <w:rPr>
          <w:rStyle w:val="CharSClsNo"/>
        </w:rPr>
        <w:t>1.8</w:t>
      </w:r>
      <w:r>
        <w:rPr>
          <w:snapToGrid w:val="0"/>
        </w:rPr>
        <w:t>.</w:t>
      </w:r>
      <w:r>
        <w:rPr>
          <w:snapToGrid w:val="0"/>
        </w:rPr>
        <w:tab/>
        <w:t>Some property excepted from s. 26(1)</w:t>
      </w:r>
      <w:bookmarkEnd w:id="952"/>
      <w:bookmarkEnd w:id="988"/>
    </w:p>
    <w:p>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 or</w:t>
      </w:r>
    </w:p>
    <w:p>
      <w:pPr>
        <w:pStyle w:val="yIndenta"/>
        <w:rPr>
          <w:snapToGrid w:val="0"/>
        </w:rPr>
      </w:pPr>
      <w:r>
        <w:rPr>
          <w:snapToGrid w:val="0"/>
        </w:rPr>
        <w:tab/>
        <w:t>(b)</w:t>
      </w:r>
      <w:r>
        <w:rPr>
          <w:snapToGrid w:val="0"/>
        </w:rPr>
        <w:tab/>
        <w:t>which has been vested free of cost in the port authority; or</w:t>
      </w:r>
    </w:p>
    <w:p>
      <w:pPr>
        <w:pStyle w:val="yIndenta"/>
        <w:keepNext/>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989" w:name="_Toc389811791"/>
      <w:bookmarkStart w:id="990" w:name="_Toc388863081"/>
      <w:r>
        <w:rPr>
          <w:rStyle w:val="CharSClsNo"/>
        </w:rPr>
        <w:t>1.9</w:t>
      </w:r>
      <w:r>
        <w:rPr>
          <w:snapToGrid w:val="0"/>
        </w:rPr>
        <w:t>.</w:t>
      </w:r>
      <w:r>
        <w:rPr>
          <w:snapToGrid w:val="0"/>
        </w:rPr>
        <w:tab/>
        <w:t>Recovery of costs from users, functions include</w:t>
      </w:r>
      <w:bookmarkEnd w:id="989"/>
      <w:bookmarkEnd w:id="990"/>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991" w:name="_Toc389811792"/>
      <w:bookmarkStart w:id="992" w:name="_Toc388863082"/>
      <w:r>
        <w:rPr>
          <w:rStyle w:val="CharSClsNo"/>
        </w:rPr>
        <w:t>1.10</w:t>
      </w:r>
      <w:r>
        <w:rPr>
          <w:snapToGrid w:val="0"/>
        </w:rPr>
        <w:t>.</w:t>
      </w:r>
      <w:r>
        <w:rPr>
          <w:snapToGrid w:val="0"/>
        </w:rPr>
        <w:tab/>
        <w:t>Companies, Joint Venturers and Salt Company, duties of</w:t>
      </w:r>
      <w:bookmarkEnd w:id="991"/>
      <w:bookmarkEnd w:id="992"/>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and</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993" w:name="_Toc389811793"/>
      <w:bookmarkStart w:id="994" w:name="_Toc388863083"/>
      <w:r>
        <w:rPr>
          <w:rStyle w:val="CharSClsNo"/>
        </w:rPr>
        <w:t>1.11</w:t>
      </w:r>
      <w:r>
        <w:rPr>
          <w:snapToGrid w:val="0"/>
        </w:rPr>
        <w:t>.</w:t>
      </w:r>
      <w:r>
        <w:rPr>
          <w:snapToGrid w:val="0"/>
        </w:rPr>
        <w:tab/>
        <w:t>Pilotage services, agreements with Companies etc. as to</w:t>
      </w:r>
      <w:bookmarkEnd w:id="993"/>
      <w:bookmarkEnd w:id="994"/>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995" w:name="_Toc389811794"/>
      <w:bookmarkStart w:id="996" w:name="_Toc388519469"/>
      <w:bookmarkStart w:id="997" w:name="_Toc388863084"/>
      <w:r>
        <w:rPr>
          <w:rStyle w:val="CharSDivNo"/>
        </w:rPr>
        <w:t>Division 2</w:t>
      </w:r>
      <w:r>
        <w:t xml:space="preserve">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995"/>
      <w:bookmarkEnd w:id="996"/>
      <w:bookmarkEnd w:id="997"/>
    </w:p>
    <w:p>
      <w:pPr>
        <w:pStyle w:val="yHeading5"/>
        <w:outlineLvl w:val="0"/>
        <w:rPr>
          <w:snapToGrid w:val="0"/>
        </w:rPr>
      </w:pPr>
      <w:bookmarkStart w:id="998" w:name="_Toc389811795"/>
      <w:bookmarkStart w:id="999" w:name="_Toc388863085"/>
      <w:r>
        <w:rPr>
          <w:rStyle w:val="CharSClsNo"/>
        </w:rPr>
        <w:t>2.1</w:t>
      </w:r>
      <w:r>
        <w:rPr>
          <w:snapToGrid w:val="0"/>
        </w:rPr>
        <w:t>.</w:t>
      </w:r>
      <w:r>
        <w:rPr>
          <w:snapToGrid w:val="0"/>
        </w:rPr>
        <w:tab/>
        <w:t>Application of Division</w:t>
      </w:r>
      <w:bookmarkEnd w:id="998"/>
      <w:bookmarkEnd w:id="999"/>
    </w:p>
    <w:p>
      <w:pPr>
        <w:pStyle w:val="ySubsection"/>
        <w:rPr>
          <w:snapToGrid w:val="0"/>
        </w:rPr>
      </w:pPr>
      <w:r>
        <w:rPr>
          <w:snapToGrid w:val="0"/>
        </w:rPr>
        <w:tab/>
      </w:r>
      <w:r>
        <w:rPr>
          <w:snapToGrid w:val="0"/>
        </w:rPr>
        <w:tab/>
        <w:t xml:space="preserve">This Division applies to the Port Hedland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Port Hedland</w:t>
          </w:r>
        </w:smartTag>
      </w:smartTag>
      <w:r>
        <w:rPr>
          <w:snapToGrid w:val="0"/>
        </w:rPr>
        <w:t>.</w:t>
      </w:r>
    </w:p>
    <w:p>
      <w:pPr>
        <w:pStyle w:val="yHeading5"/>
        <w:outlineLvl w:val="0"/>
        <w:rPr>
          <w:del w:id="1000" w:author="svcMRProcess" w:date="2018-09-07T05:21:00Z"/>
          <w:snapToGrid w:val="0"/>
        </w:rPr>
      </w:pPr>
      <w:ins w:id="1001" w:author="svcMRProcess" w:date="2018-09-07T05:21:00Z">
        <w:r>
          <w:t>[</w:t>
        </w:r>
      </w:ins>
      <w:bookmarkStart w:id="1002" w:name="_Toc388863086"/>
      <w:r>
        <w:t>2.2.</w:t>
      </w:r>
      <w:r>
        <w:tab/>
      </w:r>
      <w:del w:id="1003" w:author="svcMRProcess" w:date="2018-09-07T05:21:00Z">
        <w:r>
          <w:rPr>
            <w:snapToGrid w:val="0"/>
          </w:rPr>
          <w:delText>Terms used</w:delText>
        </w:r>
        <w:bookmarkEnd w:id="1002"/>
        <w:r>
          <w:rPr>
            <w:snapToGrid w:val="0"/>
          </w:rPr>
          <w:delText xml:space="preserve"> </w:delText>
        </w:r>
      </w:del>
    </w:p>
    <w:p>
      <w:pPr>
        <w:pStyle w:val="ySubsection"/>
        <w:rPr>
          <w:del w:id="1004" w:author="svcMRProcess" w:date="2018-09-07T05:21:00Z"/>
          <w:snapToGrid w:val="0"/>
        </w:rPr>
      </w:pPr>
      <w:del w:id="1005" w:author="svcMRProcess" w:date="2018-09-07T05:21:00Z">
        <w:r>
          <w:rPr>
            <w:snapToGrid w:val="0"/>
          </w:rPr>
          <w:tab/>
        </w:r>
        <w:r>
          <w:rPr>
            <w:snapToGrid w:val="0"/>
          </w:rPr>
          <w:tab/>
          <w:delText>In this Division — </w:delText>
        </w:r>
      </w:del>
    </w:p>
    <w:p>
      <w:pPr>
        <w:pStyle w:val="yEdnotesection"/>
      </w:pPr>
      <w:del w:id="1006" w:author="svcMRProcess" w:date="2018-09-07T05:21:00Z">
        <w:r>
          <w:rPr>
            <w:b/>
          </w:rPr>
          <w:tab/>
        </w:r>
        <w:r>
          <w:rPr>
            <w:rStyle w:val="CharDefText"/>
          </w:rPr>
          <w:delText>first lessee</w:delText>
        </w:r>
        <w:r>
          <w:delText xml:space="preserve"> means the registered lessee or registered lessees, for the time being,</w:delText>
        </w:r>
      </w:del>
      <w:ins w:id="1007" w:author="svcMRProcess" w:date="2018-09-07T05:21:00Z">
        <w:r>
          <w:t>Deleted by No. 9</w:t>
        </w:r>
      </w:ins>
      <w:r>
        <w:t xml:space="preserve"> of </w:t>
      </w:r>
      <w:del w:id="1008" w:author="svcMRProcess" w:date="2018-09-07T05:21:00Z">
        <w:r>
          <w:delText>the land the subject of lease number 3116/3445 or any lease in substitution for it issued under the Land Act 1933</w:delText>
        </w:r>
        <w:r>
          <w:rPr>
            <w:vertAlign w:val="superscript"/>
          </w:rPr>
          <w:delText> </w:delText>
        </w:r>
      </w:del>
      <w:ins w:id="1009" w:author="svcMRProcess" w:date="2018-09-07T05:21:00Z">
        <w:r>
          <w:t>2014 s. 33(</w:t>
        </w:r>
      </w:ins>
      <w:r>
        <w:t>3</w:t>
      </w:r>
      <w:del w:id="1010" w:author="svcMRProcess" w:date="2018-09-07T05:21:00Z">
        <w:r>
          <w:delText>, and the Iron Ore (Mount Goldsworthy) Agreement Act 1964;</w:delText>
        </w:r>
      </w:del>
      <w:ins w:id="1011" w:author="svcMRProcess" w:date="2018-09-07T05:21:00Z">
        <w:r>
          <w:t>).]</w:t>
        </w:r>
      </w:ins>
    </w:p>
    <w:p>
      <w:pPr>
        <w:pStyle w:val="yDefstart"/>
        <w:rPr>
          <w:del w:id="1012" w:author="svcMRProcess" w:date="2018-09-07T05:21:00Z"/>
        </w:rPr>
      </w:pPr>
      <w:bookmarkStart w:id="1013" w:name="_Toc389811796"/>
      <w:del w:id="1014" w:author="svcMRProcess" w:date="2018-09-07T05:21:00Z">
        <w:r>
          <w:tab/>
        </w:r>
        <w:r>
          <w:rPr>
            <w:rStyle w:val="CharDefText"/>
          </w:rPr>
          <w:delText>first lessee appointee</w:delText>
        </w:r>
        <w:r>
          <w:delText xml:space="preserve"> means the director — </w:delText>
        </w:r>
      </w:del>
    </w:p>
    <w:p>
      <w:pPr>
        <w:pStyle w:val="yDefpara"/>
        <w:rPr>
          <w:del w:id="1015" w:author="svcMRProcess" w:date="2018-09-07T05:21:00Z"/>
        </w:rPr>
      </w:pPr>
      <w:del w:id="1016" w:author="svcMRProcess" w:date="2018-09-07T05:21:00Z">
        <w:r>
          <w:tab/>
          <w:delText>(a)</w:delText>
        </w:r>
        <w:r>
          <w:tab/>
          <w:delText>appointed under clause 2.4(1)(a); or</w:delText>
        </w:r>
      </w:del>
    </w:p>
    <w:p>
      <w:pPr>
        <w:pStyle w:val="yDefpara"/>
        <w:rPr>
          <w:del w:id="1017" w:author="svcMRProcess" w:date="2018-09-07T05:21:00Z"/>
        </w:rPr>
      </w:pPr>
      <w:del w:id="1018" w:author="svcMRProcess" w:date="2018-09-07T05:21:00Z">
        <w:r>
          <w:tab/>
          <w:delText>(b)</w:delText>
        </w:r>
        <w:r>
          <w:tab/>
          <w:delText>appointed under clause 2.4(3) in default of a nomination for appointment as the first lessee appointee by the first lessee;</w:delText>
        </w:r>
      </w:del>
    </w:p>
    <w:p>
      <w:pPr>
        <w:pStyle w:val="yDefstart"/>
        <w:rPr>
          <w:del w:id="1019" w:author="svcMRProcess" w:date="2018-09-07T05:21:00Z"/>
        </w:rPr>
      </w:pPr>
      <w:del w:id="1020" w:author="svcMRProcess" w:date="2018-09-07T05:21:00Z">
        <w:r>
          <w:rPr>
            <w:b/>
          </w:rPr>
          <w:tab/>
        </w:r>
        <w:r>
          <w:rPr>
            <w:rStyle w:val="CharDefText"/>
          </w:rPr>
          <w:delText>Ministerial appointee</w:delText>
        </w:r>
        <w:r>
          <w:delText xml:space="preserve"> means a director appointed under clause 2.4(1)(c);</w:delText>
        </w:r>
      </w:del>
    </w:p>
    <w:p>
      <w:pPr>
        <w:pStyle w:val="yDefstart"/>
        <w:rPr>
          <w:del w:id="1021" w:author="svcMRProcess" w:date="2018-09-07T05:21:00Z"/>
        </w:rPr>
      </w:pPr>
      <w:del w:id="1022" w:author="svcMRProcess" w:date="2018-09-07T05:21:00Z">
        <w:r>
          <w:rPr>
            <w:b/>
          </w:rPr>
          <w:tab/>
        </w:r>
        <w:r>
          <w:rPr>
            <w:rStyle w:val="CharDefText"/>
          </w:rPr>
          <w:delText>second lessee</w:delText>
        </w:r>
        <w:r>
          <w:delText xml:space="preserve"> means the registered lessee or the registered lessees, for the time being, of the land the subject of lease number 3116/3692 or any lease in substitution for it issued under the </w:delText>
        </w:r>
        <w:r>
          <w:rPr>
            <w:i/>
          </w:rPr>
          <w:delText>Land Act 1933</w:delText>
        </w:r>
        <w:r>
          <w:rPr>
            <w:i/>
            <w:vertAlign w:val="superscript"/>
          </w:rPr>
          <w:delText> </w:delText>
        </w:r>
        <w:r>
          <w:rPr>
            <w:vertAlign w:val="superscript"/>
          </w:rPr>
          <w:delText>3</w:delText>
        </w:r>
        <w:r>
          <w:delText xml:space="preserve">, and the </w:delText>
        </w:r>
        <w:r>
          <w:rPr>
            <w:i/>
          </w:rPr>
          <w:delText>Iron Ore (Mount Newman) Agreement Act 1964</w:delText>
        </w:r>
        <w:r>
          <w:delText>;</w:delText>
        </w:r>
      </w:del>
    </w:p>
    <w:p>
      <w:pPr>
        <w:pStyle w:val="yDefstart"/>
        <w:rPr>
          <w:del w:id="1023" w:author="svcMRProcess" w:date="2018-09-07T05:21:00Z"/>
        </w:rPr>
      </w:pPr>
      <w:del w:id="1024" w:author="svcMRProcess" w:date="2018-09-07T05:21:00Z">
        <w:r>
          <w:tab/>
        </w:r>
        <w:r>
          <w:rPr>
            <w:rStyle w:val="CharDefText"/>
          </w:rPr>
          <w:delText>second lessee appointee</w:delText>
        </w:r>
        <w:r>
          <w:delText xml:space="preserve"> means the director — </w:delText>
        </w:r>
      </w:del>
    </w:p>
    <w:p>
      <w:pPr>
        <w:pStyle w:val="yDefpara"/>
        <w:rPr>
          <w:del w:id="1025" w:author="svcMRProcess" w:date="2018-09-07T05:21:00Z"/>
        </w:rPr>
      </w:pPr>
      <w:del w:id="1026" w:author="svcMRProcess" w:date="2018-09-07T05:21:00Z">
        <w:r>
          <w:tab/>
          <w:delText>(a)</w:delText>
        </w:r>
        <w:r>
          <w:tab/>
          <w:delText>appointed under clause 2.4(1)(b); or</w:delText>
        </w:r>
      </w:del>
    </w:p>
    <w:p>
      <w:pPr>
        <w:pStyle w:val="yDefpara"/>
        <w:rPr>
          <w:del w:id="1027" w:author="svcMRProcess" w:date="2018-09-07T05:21:00Z"/>
        </w:rPr>
      </w:pPr>
      <w:del w:id="1028" w:author="svcMRProcess" w:date="2018-09-07T05:21:00Z">
        <w:r>
          <w:tab/>
          <w:delText>(b)</w:delText>
        </w:r>
        <w:r>
          <w:tab/>
          <w:delText>appointed under clause 2.4(4) in default of a nomination for appointment as the second lessee appointee by the second lessee.</w:delText>
        </w:r>
      </w:del>
    </w:p>
    <w:p>
      <w:pPr>
        <w:pStyle w:val="yHeading5"/>
        <w:outlineLvl w:val="0"/>
        <w:rPr>
          <w:snapToGrid w:val="0"/>
        </w:rPr>
      </w:pPr>
      <w:bookmarkStart w:id="1029" w:name="_Toc388863087"/>
      <w:r>
        <w:rPr>
          <w:rStyle w:val="CharSClsNo"/>
        </w:rPr>
        <w:t>2.3</w:t>
      </w:r>
      <w:r>
        <w:rPr>
          <w:snapToGrid w:val="0"/>
        </w:rPr>
        <w:t>.</w:t>
      </w:r>
      <w:r>
        <w:rPr>
          <w:snapToGrid w:val="0"/>
        </w:rPr>
        <w:tab/>
        <w:t>Act does not affect State agreements</w:t>
      </w:r>
      <w:bookmarkEnd w:id="1013"/>
      <w:bookmarkEnd w:id="1029"/>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as that agreement is amended from time to time.</w:t>
      </w:r>
    </w:p>
    <w:p>
      <w:pPr>
        <w:pStyle w:val="yHeading5"/>
        <w:outlineLvl w:val="0"/>
        <w:rPr>
          <w:del w:id="1030" w:author="svcMRProcess" w:date="2018-09-07T05:21:00Z"/>
          <w:snapToGrid w:val="0"/>
        </w:rPr>
      </w:pPr>
      <w:ins w:id="1031" w:author="svcMRProcess" w:date="2018-09-07T05:21:00Z">
        <w:r>
          <w:t>[</w:t>
        </w:r>
      </w:ins>
      <w:bookmarkStart w:id="1032" w:name="_Toc388863088"/>
      <w:r>
        <w:t>2.4</w:t>
      </w:r>
      <w:del w:id="1033" w:author="svcMRProcess" w:date="2018-09-07T05:21:00Z">
        <w:r>
          <w:rPr>
            <w:snapToGrid w:val="0"/>
          </w:rPr>
          <w:delText>.</w:delText>
        </w:r>
        <w:r>
          <w:rPr>
            <w:snapToGrid w:val="0"/>
          </w:rPr>
          <w:tab/>
          <w:delText>Directors of board</w:delText>
        </w:r>
        <w:bookmarkEnd w:id="1032"/>
      </w:del>
    </w:p>
    <w:p>
      <w:pPr>
        <w:pStyle w:val="ySubsection"/>
        <w:keepNext/>
        <w:keepLines/>
        <w:rPr>
          <w:del w:id="1034" w:author="svcMRProcess" w:date="2018-09-07T05:21:00Z"/>
          <w:snapToGrid w:val="0"/>
        </w:rPr>
      </w:pPr>
      <w:del w:id="1035" w:author="svcMRProcess" w:date="2018-09-07T05:21:00Z">
        <w:r>
          <w:rPr>
            <w:snapToGrid w:val="0"/>
          </w:rPr>
          <w:tab/>
          <w:delText>(1)</w:delText>
        </w:r>
        <w:r>
          <w:rPr>
            <w:snapToGrid w:val="0"/>
          </w:rPr>
          <w:tab/>
          <w:delText>The board of the port authority is to comprise — </w:delText>
        </w:r>
      </w:del>
    </w:p>
    <w:p>
      <w:pPr>
        <w:pStyle w:val="yIndenta"/>
        <w:rPr>
          <w:del w:id="1036" w:author="svcMRProcess" w:date="2018-09-07T05:21:00Z"/>
          <w:snapToGrid w:val="0"/>
        </w:rPr>
      </w:pPr>
      <w:del w:id="1037" w:author="svcMRProcess" w:date="2018-09-07T05:21:00Z">
        <w:r>
          <w:rPr>
            <w:snapToGrid w:val="0"/>
          </w:rPr>
          <w:tab/>
          <w:delText>(a)</w:delText>
        </w:r>
        <w:r>
          <w:rPr>
            <w:snapToGrid w:val="0"/>
          </w:rPr>
          <w:tab/>
          <w:delText>one director appointed</w:delText>
        </w:r>
      </w:del>
      <w:ins w:id="1038" w:author="svcMRProcess" w:date="2018-09-07T05:21:00Z">
        <w:r>
          <w:rPr>
            <w:b/>
          </w:rPr>
          <w:noBreakHyphen/>
          <w:t>2.7.</w:t>
        </w:r>
        <w:r>
          <w:tab/>
          <w:t>Deleted</w:t>
        </w:r>
      </w:ins>
      <w:r>
        <w:t xml:space="preserve"> by </w:t>
      </w:r>
      <w:del w:id="1039" w:author="svcMRProcess" w:date="2018-09-07T05:21:00Z">
        <w:r>
          <w:rPr>
            <w:snapToGrid w:val="0"/>
          </w:rPr>
          <w:delText>the Minister on the nomination in writing of the first lessee; and</w:delText>
        </w:r>
      </w:del>
    </w:p>
    <w:p>
      <w:pPr>
        <w:pStyle w:val="yIndenta"/>
        <w:keepNext/>
        <w:rPr>
          <w:del w:id="1040" w:author="svcMRProcess" w:date="2018-09-07T05:21:00Z"/>
          <w:snapToGrid w:val="0"/>
        </w:rPr>
      </w:pPr>
      <w:del w:id="1041" w:author="svcMRProcess" w:date="2018-09-07T05:21:00Z">
        <w:r>
          <w:rPr>
            <w:snapToGrid w:val="0"/>
          </w:rPr>
          <w:tab/>
          <w:delText>(b)</w:delText>
        </w:r>
        <w:r>
          <w:rPr>
            <w:snapToGrid w:val="0"/>
          </w:rPr>
          <w:tab/>
          <w:delText>one director appointed by the Minister on the nomination in writing of the second lessee; and</w:delText>
        </w:r>
      </w:del>
    </w:p>
    <w:p>
      <w:pPr>
        <w:pStyle w:val="yIndenta"/>
        <w:rPr>
          <w:del w:id="1042" w:author="svcMRProcess" w:date="2018-09-07T05:21:00Z"/>
          <w:snapToGrid w:val="0"/>
        </w:rPr>
      </w:pPr>
      <w:del w:id="1043" w:author="svcMRProcess" w:date="2018-09-07T05:21:00Z">
        <w:r>
          <w:rPr>
            <w:snapToGrid w:val="0"/>
          </w:rPr>
          <w:tab/>
          <w:delText>(c)</w:delText>
        </w:r>
        <w:r>
          <w:rPr>
            <w:snapToGrid w:val="0"/>
          </w:rPr>
          <w:tab/>
          <w:delText>not more than 5 other directors appointed by the Minister.</w:delText>
        </w:r>
      </w:del>
    </w:p>
    <w:p>
      <w:pPr>
        <w:pStyle w:val="ySubsection"/>
        <w:rPr>
          <w:del w:id="1044" w:author="svcMRProcess" w:date="2018-09-07T05:21:00Z"/>
          <w:snapToGrid w:val="0"/>
        </w:rPr>
      </w:pPr>
      <w:del w:id="1045" w:author="svcMRProcess" w:date="2018-09-07T05:21:00Z">
        <w:r>
          <w:rPr>
            <w:snapToGrid w:val="0"/>
          </w:rPr>
          <w:tab/>
          <w:delText>(2)</w:delText>
        </w:r>
        <w:r>
          <w:rPr>
            <w:snapToGrid w:val="0"/>
          </w:rPr>
          <w:tab/>
          <w:delText>The Minister is to appoint one of the Ministerial appointees to be chairperson of the board.</w:delText>
        </w:r>
      </w:del>
    </w:p>
    <w:p>
      <w:pPr>
        <w:pStyle w:val="ySubsection"/>
        <w:rPr>
          <w:del w:id="1046" w:author="svcMRProcess" w:date="2018-09-07T05:21:00Z"/>
          <w:snapToGrid w:val="0"/>
        </w:rPr>
      </w:pPr>
      <w:del w:id="1047" w:author="svcMRProcess" w:date="2018-09-07T05:21:00Z">
        <w:r>
          <w:rPr>
            <w:snapToGrid w:val="0"/>
          </w:rPr>
          <w:tab/>
          <w:delText>(3)</w:delText>
        </w:r>
        <w:r>
          <w:rPr>
            <w:snapToGrid w:val="0"/>
          </w:rPr>
          <w:tab/>
          <w:delTex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delText>
        </w:r>
      </w:del>
    </w:p>
    <w:p>
      <w:pPr>
        <w:pStyle w:val="ySubsection"/>
        <w:rPr>
          <w:del w:id="1048" w:author="svcMRProcess" w:date="2018-09-07T05:21:00Z"/>
          <w:snapToGrid w:val="0"/>
        </w:rPr>
      </w:pPr>
      <w:del w:id="1049" w:author="svcMRProcess" w:date="2018-09-07T05:21:00Z">
        <w:r>
          <w:rPr>
            <w:snapToGrid w:val="0"/>
          </w:rPr>
          <w:tab/>
          <w:delText>(4)</w:delText>
        </w:r>
        <w:r>
          <w:rPr>
            <w:snapToGrid w:val="0"/>
          </w:rPr>
          <w:tab/>
          <w:delTex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delText>
        </w:r>
      </w:del>
    </w:p>
    <w:p>
      <w:pPr>
        <w:pStyle w:val="ySubsection"/>
        <w:rPr>
          <w:del w:id="1050" w:author="svcMRProcess" w:date="2018-09-07T05:21:00Z"/>
          <w:snapToGrid w:val="0"/>
        </w:rPr>
      </w:pPr>
      <w:del w:id="1051" w:author="svcMRProcess" w:date="2018-09-07T05:21:00Z">
        <w:r>
          <w:rPr>
            <w:snapToGrid w:val="0"/>
          </w:rPr>
          <w:tab/>
          <w:delText>(5)</w:delText>
        </w:r>
        <w:r>
          <w:rPr>
            <w:snapToGrid w:val="0"/>
          </w:rPr>
          <w:tab/>
          <w:delText>A person appointed by the Minister under subclause (3) or (4) is to be regarded as having been duly nominated and appointed as the first lessee appointee or the second lessee appointee, as the case requires.</w:delText>
        </w:r>
      </w:del>
    </w:p>
    <w:p>
      <w:pPr>
        <w:pStyle w:val="ySubsection"/>
        <w:rPr>
          <w:del w:id="1052" w:author="svcMRProcess" w:date="2018-09-07T05:21:00Z"/>
          <w:snapToGrid w:val="0"/>
        </w:rPr>
      </w:pPr>
      <w:del w:id="1053" w:author="svcMRProcess" w:date="2018-09-07T05:21:00Z">
        <w:r>
          <w:rPr>
            <w:snapToGrid w:val="0"/>
          </w:rPr>
          <w:tab/>
          <w:delText>(6)</w:delText>
        </w:r>
        <w:r>
          <w:rPr>
            <w:snapToGrid w:val="0"/>
          </w:rPr>
          <w:tab/>
          <w:delText>The first lessee appointee ceases to hold office as a director if — </w:delText>
        </w:r>
      </w:del>
    </w:p>
    <w:p>
      <w:pPr>
        <w:pStyle w:val="yIndenta"/>
        <w:rPr>
          <w:del w:id="1054" w:author="svcMRProcess" w:date="2018-09-07T05:21:00Z"/>
          <w:snapToGrid w:val="0"/>
        </w:rPr>
      </w:pPr>
      <w:del w:id="1055" w:author="svcMRProcess" w:date="2018-09-07T05:21:00Z">
        <w:r>
          <w:rPr>
            <w:snapToGrid w:val="0"/>
          </w:rPr>
          <w:tab/>
          <w:delText>(a)</w:delText>
        </w:r>
        <w:r>
          <w:rPr>
            <w:snapToGrid w:val="0"/>
          </w:rPr>
          <w:tab/>
          <w:delText xml:space="preserve">the person or persons who nominated him or her ceases or cease to be the registered lessee or registered lessees of the land referred to in the definition of </w:delText>
        </w:r>
        <w:r>
          <w:rPr>
            <w:b/>
            <w:i/>
            <w:snapToGrid w:val="0"/>
          </w:rPr>
          <w:delText>first lessee</w:delText>
        </w:r>
        <w:r>
          <w:rPr>
            <w:snapToGrid w:val="0"/>
          </w:rPr>
          <w:delText xml:space="preserve"> in clause 2.2; or</w:delText>
        </w:r>
      </w:del>
    </w:p>
    <w:p>
      <w:pPr>
        <w:pStyle w:val="yIndenta"/>
        <w:rPr>
          <w:del w:id="1056" w:author="svcMRProcess" w:date="2018-09-07T05:21:00Z"/>
          <w:snapToGrid w:val="0"/>
        </w:rPr>
      </w:pPr>
      <w:del w:id="1057" w:author="svcMRProcess" w:date="2018-09-07T05:21:00Z">
        <w:r>
          <w:rPr>
            <w:snapToGrid w:val="0"/>
          </w:rPr>
          <w:tab/>
          <w:delText>(b)</w:delText>
        </w:r>
        <w:r>
          <w:rPr>
            <w:snapToGrid w:val="0"/>
          </w:rPr>
          <w:tab/>
          <w:delText>the first lessee by instrument in writing served on the Minister so requests.</w:delText>
        </w:r>
      </w:del>
    </w:p>
    <w:p>
      <w:pPr>
        <w:pStyle w:val="ySubsection"/>
        <w:rPr>
          <w:del w:id="1058" w:author="svcMRProcess" w:date="2018-09-07T05:21:00Z"/>
          <w:snapToGrid w:val="0"/>
        </w:rPr>
      </w:pPr>
      <w:del w:id="1059" w:author="svcMRProcess" w:date="2018-09-07T05:21:00Z">
        <w:r>
          <w:rPr>
            <w:snapToGrid w:val="0"/>
          </w:rPr>
          <w:tab/>
          <w:delText>(7)</w:delText>
        </w:r>
        <w:r>
          <w:rPr>
            <w:snapToGrid w:val="0"/>
          </w:rPr>
          <w:tab/>
          <w:delText>The second lessee appointee ceases to hold office as a director if — </w:delText>
        </w:r>
      </w:del>
    </w:p>
    <w:p>
      <w:pPr>
        <w:pStyle w:val="yIndenta"/>
        <w:rPr>
          <w:del w:id="1060" w:author="svcMRProcess" w:date="2018-09-07T05:21:00Z"/>
          <w:snapToGrid w:val="0"/>
        </w:rPr>
      </w:pPr>
      <w:del w:id="1061" w:author="svcMRProcess" w:date="2018-09-07T05:21:00Z">
        <w:r>
          <w:rPr>
            <w:snapToGrid w:val="0"/>
          </w:rPr>
          <w:tab/>
          <w:delText>(a)</w:delText>
        </w:r>
        <w:r>
          <w:rPr>
            <w:snapToGrid w:val="0"/>
          </w:rPr>
          <w:tab/>
          <w:delText xml:space="preserve">the person or persons who nominated him or her ceases or cease to be the registered lessee or registered lessees of the land referred to in the definition of </w:delText>
        </w:r>
        <w:r>
          <w:rPr>
            <w:b/>
            <w:i/>
            <w:snapToGrid w:val="0"/>
          </w:rPr>
          <w:delText>second lessee</w:delText>
        </w:r>
        <w:r>
          <w:rPr>
            <w:snapToGrid w:val="0"/>
          </w:rPr>
          <w:delText xml:space="preserve"> in clause 2.2; or</w:delText>
        </w:r>
      </w:del>
    </w:p>
    <w:p>
      <w:pPr>
        <w:pStyle w:val="yIndenta"/>
        <w:rPr>
          <w:del w:id="1062" w:author="svcMRProcess" w:date="2018-09-07T05:21:00Z"/>
          <w:snapToGrid w:val="0"/>
        </w:rPr>
      </w:pPr>
      <w:del w:id="1063" w:author="svcMRProcess" w:date="2018-09-07T05:21:00Z">
        <w:r>
          <w:rPr>
            <w:snapToGrid w:val="0"/>
          </w:rPr>
          <w:tab/>
          <w:delText>(b)</w:delText>
        </w:r>
        <w:r>
          <w:rPr>
            <w:snapToGrid w:val="0"/>
          </w:rPr>
          <w:tab/>
          <w:delText>the second lessee by instrument in writing served on the Minister so requests.</w:delText>
        </w:r>
      </w:del>
    </w:p>
    <w:p>
      <w:pPr>
        <w:pStyle w:val="yHeading5"/>
        <w:outlineLvl w:val="0"/>
        <w:rPr>
          <w:del w:id="1064" w:author="svcMRProcess" w:date="2018-09-07T05:21:00Z"/>
          <w:snapToGrid w:val="0"/>
        </w:rPr>
      </w:pPr>
      <w:bookmarkStart w:id="1065" w:name="_Toc388863089"/>
      <w:del w:id="1066" w:author="svcMRProcess" w:date="2018-09-07T05:21:00Z">
        <w:r>
          <w:rPr>
            <w:rStyle w:val="CharSClsNo"/>
          </w:rPr>
          <w:delText>2.5</w:delText>
        </w:r>
        <w:r>
          <w:rPr>
            <w:snapToGrid w:val="0"/>
          </w:rPr>
          <w:delText>.</w:delText>
        </w:r>
        <w:r>
          <w:rPr>
            <w:snapToGrid w:val="0"/>
          </w:rPr>
          <w:tab/>
          <w:delText>Alternate directors</w:delText>
        </w:r>
        <w:bookmarkEnd w:id="1065"/>
      </w:del>
    </w:p>
    <w:p>
      <w:pPr>
        <w:pStyle w:val="ySubsection"/>
        <w:keepNext/>
        <w:keepLines/>
        <w:spacing w:before="100"/>
        <w:rPr>
          <w:del w:id="1067" w:author="svcMRProcess" w:date="2018-09-07T05:21:00Z"/>
          <w:snapToGrid w:val="0"/>
        </w:rPr>
      </w:pPr>
      <w:del w:id="1068" w:author="svcMRProcess" w:date="2018-09-07T05:21:00Z">
        <w:r>
          <w:rPr>
            <w:snapToGrid w:val="0"/>
          </w:rPr>
          <w:tab/>
          <w:delText>(1)</w:delText>
        </w:r>
        <w:r>
          <w:rPr>
            <w:snapToGrid w:val="0"/>
          </w:rPr>
          <w:tab/>
          <w:delText>Schedule 2, clause 4 does not apply to the port authority.</w:delText>
        </w:r>
      </w:del>
    </w:p>
    <w:p>
      <w:pPr>
        <w:pStyle w:val="ySubsection"/>
        <w:keepNext/>
        <w:keepLines/>
        <w:spacing w:before="100"/>
        <w:rPr>
          <w:del w:id="1069" w:author="svcMRProcess" w:date="2018-09-07T05:21:00Z"/>
          <w:snapToGrid w:val="0"/>
        </w:rPr>
      </w:pPr>
      <w:del w:id="1070" w:author="svcMRProcess" w:date="2018-09-07T05:21:00Z">
        <w:r>
          <w:rPr>
            <w:snapToGrid w:val="0"/>
          </w:rPr>
          <w:tab/>
          <w:delText>(2)</w:delText>
        </w:r>
        <w:r>
          <w:rPr>
            <w:snapToGrid w:val="0"/>
          </w:rPr>
          <w:tab/>
          <w:delText>The Minister may appoint a person as an alternate director for a director.</w:delText>
        </w:r>
      </w:del>
    </w:p>
    <w:p>
      <w:pPr>
        <w:pStyle w:val="ySubsection"/>
        <w:rPr>
          <w:del w:id="1071" w:author="svcMRProcess" w:date="2018-09-07T05:21:00Z"/>
          <w:snapToGrid w:val="0"/>
        </w:rPr>
      </w:pPr>
      <w:del w:id="1072" w:author="svcMRProcess" w:date="2018-09-07T05:21:00Z">
        <w:r>
          <w:rPr>
            <w:snapToGrid w:val="0"/>
          </w:rPr>
          <w:tab/>
          <w:delText>(3)</w:delText>
        </w:r>
        <w:r>
          <w:rPr>
            <w:snapToGrid w:val="0"/>
          </w:rPr>
          <w:tab/>
          <w:delText>A person cannot be appointed as an alternate director for more than one director.</w:delText>
        </w:r>
      </w:del>
    </w:p>
    <w:p>
      <w:pPr>
        <w:pStyle w:val="ySubsection"/>
        <w:rPr>
          <w:del w:id="1073" w:author="svcMRProcess" w:date="2018-09-07T05:21:00Z"/>
          <w:snapToGrid w:val="0"/>
        </w:rPr>
      </w:pPr>
      <w:del w:id="1074" w:author="svcMRProcess" w:date="2018-09-07T05:21:00Z">
        <w:r>
          <w:rPr>
            <w:snapToGrid w:val="0"/>
          </w:rPr>
          <w:tab/>
          <w:delText>(4)</w:delText>
        </w:r>
        <w:r>
          <w:rPr>
            <w:snapToGrid w:val="0"/>
          </w:rPr>
          <w:tab/>
          <w:delText>Clauses 2.4(1)(a) and (b), and (3) to (7) and 2.6 apply (with any necessary changes) in relation to alternate directors for the first lessee appointee and the second lessee appointee.</w:delText>
        </w:r>
      </w:del>
    </w:p>
    <w:p>
      <w:pPr>
        <w:pStyle w:val="ySubsection"/>
        <w:rPr>
          <w:del w:id="1075" w:author="svcMRProcess" w:date="2018-09-07T05:21:00Z"/>
        </w:rPr>
      </w:pPr>
      <w:del w:id="1076" w:author="svcMRProcess" w:date="2018-09-07T05:21:00Z">
        <w:r>
          <w:tab/>
          <w:delText>(5)</w:delText>
        </w:r>
        <w:r>
          <w:tab/>
          <w:delTex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delText>
        </w:r>
      </w:del>
    </w:p>
    <w:p>
      <w:pPr>
        <w:pStyle w:val="ySubsection"/>
        <w:rPr>
          <w:del w:id="1077" w:author="svcMRProcess" w:date="2018-09-07T05:21:00Z"/>
          <w:snapToGrid w:val="0"/>
        </w:rPr>
      </w:pPr>
      <w:del w:id="1078" w:author="svcMRProcess" w:date="2018-09-07T05:21:00Z">
        <w:r>
          <w:rPr>
            <w:snapToGrid w:val="0"/>
          </w:rPr>
          <w:tab/>
          <w:delText>(6)</w:delText>
        </w:r>
        <w:r>
          <w:rPr>
            <w:snapToGrid w:val="0"/>
          </w:rPr>
          <w:tab/>
          <w:delText>When a director is unable to act because of sickness, absence or other cause, the alternate director for that director may act in the director’s place, and while so acting that alternate director is to be taken to be a director and is entitled to remuneration under section 10.</w:delText>
        </w:r>
      </w:del>
    </w:p>
    <w:p>
      <w:pPr>
        <w:pStyle w:val="ySubsection"/>
        <w:rPr>
          <w:del w:id="1079" w:author="svcMRProcess" w:date="2018-09-07T05:21:00Z"/>
          <w:snapToGrid w:val="0"/>
        </w:rPr>
      </w:pPr>
      <w:del w:id="1080" w:author="svcMRProcess" w:date="2018-09-07T05:21:00Z">
        <w:r>
          <w:rPr>
            <w:snapToGrid w:val="0"/>
          </w:rPr>
          <w:tab/>
          <w:delText>(7)</w:delText>
        </w:r>
        <w:r>
          <w:rPr>
            <w:snapToGrid w:val="0"/>
          </w:rPr>
          <w:tab/>
        </w:r>
      </w:del>
      <w:r>
        <w:t>No</w:t>
      </w:r>
      <w:del w:id="1081" w:author="svcMRProcess" w:date="2018-09-07T05:21:00Z">
        <w:r>
          <w:rPr>
            <w:snapToGrid w:val="0"/>
          </w:rPr>
          <w:delText xml:space="preserve"> act or omission of an alternate director acting in place of a director under this clause may be questioned on the ground that the occasion for acting had not arisen or had ceased.</w:delText>
        </w:r>
      </w:del>
    </w:p>
    <w:p>
      <w:pPr>
        <w:pStyle w:val="yEdnotesection"/>
      </w:pPr>
      <w:bookmarkStart w:id="1082" w:name="_Toc388863090"/>
      <w:del w:id="1083" w:author="svcMRProcess" w:date="2018-09-07T05:21:00Z">
        <w:r>
          <w:rPr>
            <w:rStyle w:val="CharSClsNo"/>
          </w:rPr>
          <w:delText>2.6</w:delText>
        </w:r>
        <w:r>
          <w:delText>.</w:delText>
        </w:r>
        <w:r>
          <w:tab/>
          <w:delText>Some material personal interests excluded from</w:delText>
        </w:r>
      </w:del>
      <w:ins w:id="1084" w:author="svcMRProcess" w:date="2018-09-07T05:21:00Z">
        <w:r>
          <w:t>. 9 of 2014</w:t>
        </w:r>
      </w:ins>
      <w:r>
        <w:t xml:space="preserve"> s. </w:t>
      </w:r>
      <w:del w:id="1085" w:author="svcMRProcess" w:date="2018-09-07T05:21:00Z">
        <w:r>
          <w:delText>12 and Sch. 2 cl. 8</w:delText>
        </w:r>
      </w:del>
      <w:bookmarkEnd w:id="1082"/>
      <w:ins w:id="1086" w:author="svcMRProcess" w:date="2018-09-07T05:21:00Z">
        <w:r>
          <w:t>33(3).]</w:t>
        </w:r>
      </w:ins>
    </w:p>
    <w:p>
      <w:pPr>
        <w:pStyle w:val="ySubsection"/>
        <w:keepNext/>
        <w:keepLines/>
        <w:spacing w:before="100"/>
        <w:rPr>
          <w:del w:id="1087" w:author="svcMRProcess" w:date="2018-09-07T05:21:00Z"/>
          <w:snapToGrid w:val="0"/>
        </w:rPr>
      </w:pPr>
      <w:bookmarkStart w:id="1088" w:name="_Toc389811797"/>
      <w:del w:id="1089" w:author="svcMRProcess" w:date="2018-09-07T05:21:00Z">
        <w:r>
          <w:rPr>
            <w:snapToGrid w:val="0"/>
          </w:rPr>
          <w:tab/>
        </w:r>
        <w:r>
          <w:rPr>
            <w:snapToGrid w:val="0"/>
          </w:rPr>
          <w:tab/>
          <w:delText>Section 12 and Schedule 2, clause 8 do not apply — </w:delText>
        </w:r>
      </w:del>
    </w:p>
    <w:p>
      <w:pPr>
        <w:pStyle w:val="yIndenta"/>
        <w:rPr>
          <w:del w:id="1090" w:author="svcMRProcess" w:date="2018-09-07T05:21:00Z"/>
          <w:snapToGrid w:val="0"/>
        </w:rPr>
      </w:pPr>
      <w:del w:id="1091" w:author="svcMRProcess" w:date="2018-09-07T05:21:00Z">
        <w:r>
          <w:rPr>
            <w:snapToGrid w:val="0"/>
          </w:rPr>
          <w:tab/>
          <w:delText>(a)</w:delText>
        </w:r>
        <w:r>
          <w:rPr>
            <w:snapToGrid w:val="0"/>
          </w:rPr>
          <w:tab/>
          <w:delText>to the first lessee appointee in respect of a material personal interest that consists only of being an employee of the first lessee; or</w:delText>
        </w:r>
      </w:del>
    </w:p>
    <w:p>
      <w:pPr>
        <w:pStyle w:val="yIndenta"/>
        <w:rPr>
          <w:del w:id="1092" w:author="svcMRProcess" w:date="2018-09-07T05:21:00Z"/>
          <w:snapToGrid w:val="0"/>
        </w:rPr>
      </w:pPr>
      <w:del w:id="1093" w:author="svcMRProcess" w:date="2018-09-07T05:21:00Z">
        <w:r>
          <w:rPr>
            <w:snapToGrid w:val="0"/>
          </w:rPr>
          <w:tab/>
          <w:delText>(b)</w:delText>
        </w:r>
        <w:r>
          <w:rPr>
            <w:snapToGrid w:val="0"/>
          </w:rPr>
          <w:tab/>
          <w:delText>to the second lessee appointee in respect of a material personal interest that consists only of being an employee of one of the second lessees.</w:delText>
        </w:r>
      </w:del>
    </w:p>
    <w:p>
      <w:pPr>
        <w:pStyle w:val="yHeading5"/>
        <w:outlineLvl w:val="0"/>
        <w:rPr>
          <w:del w:id="1094" w:author="svcMRProcess" w:date="2018-09-07T05:21:00Z"/>
          <w:snapToGrid w:val="0"/>
        </w:rPr>
      </w:pPr>
      <w:bookmarkStart w:id="1095" w:name="_Toc388863091"/>
      <w:del w:id="1096" w:author="svcMRProcess" w:date="2018-09-07T05:21:00Z">
        <w:r>
          <w:rPr>
            <w:rStyle w:val="CharSClsNo"/>
          </w:rPr>
          <w:delText>2.7</w:delText>
        </w:r>
        <w:r>
          <w:rPr>
            <w:snapToGrid w:val="0"/>
          </w:rPr>
          <w:delText>.</w:delText>
        </w:r>
        <w:r>
          <w:rPr>
            <w:snapToGrid w:val="0"/>
          </w:rPr>
          <w:tab/>
          <w:delText>Quorum</w:delText>
        </w:r>
        <w:bookmarkEnd w:id="1095"/>
        <w:r>
          <w:rPr>
            <w:snapToGrid w:val="0"/>
          </w:rPr>
          <w:delText xml:space="preserve"> </w:delText>
        </w:r>
      </w:del>
    </w:p>
    <w:p>
      <w:pPr>
        <w:pStyle w:val="ySubsection"/>
        <w:rPr>
          <w:del w:id="1097" w:author="svcMRProcess" w:date="2018-09-07T05:21:00Z"/>
          <w:snapToGrid w:val="0"/>
        </w:rPr>
      </w:pPr>
      <w:del w:id="1098" w:author="svcMRProcess" w:date="2018-09-07T05:21:00Z">
        <w:r>
          <w:rPr>
            <w:snapToGrid w:val="0"/>
          </w:rPr>
          <w:tab/>
        </w:r>
        <w:r>
          <w:rPr>
            <w:snapToGrid w:val="0"/>
          </w:rPr>
          <w:tab/>
          <w:delText>At a meeting of the port authority, a number of directors equal to at least half the number of directors in office constitutes a quorum.</w:delText>
        </w:r>
      </w:del>
    </w:p>
    <w:p>
      <w:pPr>
        <w:pStyle w:val="yHeading5"/>
        <w:outlineLvl w:val="0"/>
        <w:rPr>
          <w:snapToGrid w:val="0"/>
        </w:rPr>
      </w:pPr>
      <w:bookmarkStart w:id="1099" w:name="_Toc388863092"/>
      <w:r>
        <w:rPr>
          <w:rStyle w:val="CharSClsNo"/>
        </w:rPr>
        <w:t>2.8</w:t>
      </w:r>
      <w:r>
        <w:rPr>
          <w:snapToGrid w:val="0"/>
        </w:rPr>
        <w:t>.</w:t>
      </w:r>
      <w:r>
        <w:rPr>
          <w:snapToGrid w:val="0"/>
        </w:rPr>
        <w:tab/>
        <w:t>Port includes pilotage area for some purposes</w:t>
      </w:r>
      <w:bookmarkEnd w:id="1088"/>
      <w:bookmarkEnd w:id="1099"/>
      <w:r>
        <w:rPr>
          <w:snapToGrid w:val="0"/>
        </w:rPr>
        <w:t xml:space="preserve"> </w:t>
      </w:r>
    </w:p>
    <w:p>
      <w:pPr>
        <w:pStyle w:val="ySubsection"/>
        <w:rPr>
          <w:snapToGrid w:val="0"/>
        </w:rPr>
      </w:pPr>
      <w:ins w:id="1100" w:author="svcMRProcess" w:date="2018-09-07T05:21:00Z">
        <w:r>
          <w:rPr>
            <w:snapToGrid w:val="0"/>
          </w:rPr>
          <w:tab/>
        </w:r>
        <w:r>
          <w:rPr>
            <w:snapToGrid w:val="0"/>
          </w:rPr>
          <w:tab/>
        </w:r>
        <w:r>
          <w:rPr>
            <w:snapToGrid w:val="0"/>
          </w:rPr>
          <w:tab/>
        </w:r>
        <w:r>
          <w:rPr>
            <w:snapToGrid w:val="0"/>
          </w:rPr>
          <w:tab/>
        </w:r>
        <w:r>
          <w:rPr>
            <w:snapToGrid w:val="0"/>
          </w:rPr>
          <w:tab/>
        </w:r>
        <w:r>
          <w:rPr>
            <w:snapToGrid w:val="0"/>
          </w:rPr>
          <w:tab/>
        </w:r>
      </w:ins>
      <w:r>
        <w:rPr>
          <w:snapToGrid w:val="0"/>
        </w:rPr>
        <w:tab/>
      </w:r>
      <w:r>
        <w:rPr>
          <w:snapToGrid w:val="0"/>
        </w:rPr>
        <w:tab/>
        <w:t xml:space="preserve">A reference in Part 7, Divisions 2 and 3 and, where appropriate, in section 122(1) </w:t>
      </w:r>
      <w:r>
        <w:t>to the</w:t>
      </w:r>
      <w:r>
        <w:rPr>
          <w:snapToGrid w:val="0"/>
          <w:sz w:val="24"/>
        </w:rPr>
        <w:t xml:space="preserve"> </w:t>
      </w:r>
      <w:r>
        <w:rPr>
          <w:rStyle w:val="CharDefText"/>
        </w:rPr>
        <w:t>port</w:t>
      </w:r>
      <w:r>
        <w:rPr>
          <w:snapToGrid w:val="0"/>
        </w:rPr>
        <w:t xml:space="preserve"> includes a reference to the pilotage area set out below:</w:t>
      </w: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sz w:val="22"/>
                <w:szCs w:val="22"/>
              </w:rPr>
            </w:pPr>
            <w:r>
              <w:rPr>
                <w:snapToGrid w:val="0"/>
                <w:sz w:val="22"/>
                <w:szCs w:val="22"/>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sectPr>
          <w:pgSz w:w="11906" w:h="16838" w:code="9"/>
          <w:pgMar w:top="2376" w:right="2405" w:bottom="3542" w:left="2405" w:header="706" w:footer="3380" w:gutter="0"/>
          <w:cols w:space="720"/>
          <w:noEndnote/>
          <w:docGrid w:linePitch="326"/>
        </w:sectPr>
      </w:pPr>
    </w:p>
    <w:p>
      <w:pPr>
        <w:pStyle w:val="yScheduleHeading"/>
      </w:pPr>
      <w:bookmarkStart w:id="1101" w:name="_Toc389811798"/>
      <w:bookmarkStart w:id="1102" w:name="_Toc388519478"/>
      <w:bookmarkStart w:id="1103" w:name="_Toc388863093"/>
      <w:r>
        <w:rPr>
          <w:rStyle w:val="CharSchNo"/>
        </w:rPr>
        <w:t>Schedule 7</w:t>
      </w:r>
      <w:r>
        <w:t xml:space="preserve"> — </w:t>
      </w:r>
      <w:r>
        <w:rPr>
          <w:rStyle w:val="CharSchText"/>
        </w:rPr>
        <w:t>Purposes for which, or matters about which, regulations may be made</w:t>
      </w:r>
      <w:bookmarkEnd w:id="1101"/>
      <w:bookmarkEnd w:id="1102"/>
      <w:bookmarkEnd w:id="1103"/>
    </w:p>
    <w:p>
      <w:pPr>
        <w:pStyle w:val="yShoulderClause"/>
      </w:pPr>
      <w:r>
        <w:t>[s. 139(2)]</w:t>
      </w:r>
    </w:p>
    <w:p>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snapToGrid w:val="0"/>
        </w:rPr>
        <w:t>4.</w:t>
      </w:r>
      <w:r>
        <w:rPr>
          <w:snapToGrid w:val="0"/>
        </w:rPr>
        <w:tab/>
      </w:r>
      <w:r>
        <w:rPr>
          <w:snapToGrid w:val="0"/>
        </w:rPr>
        <w:tab/>
        <w:t>The use of tide signals and other signals in a port.</w:t>
      </w:r>
    </w:p>
    <w:p>
      <w:pPr>
        <w:pStyle w:val="ySubsection"/>
        <w:spacing w:before="120"/>
        <w:rPr>
          <w:snapToGrid w:val="0"/>
        </w:rPr>
      </w:pPr>
      <w:r>
        <w:rPr>
          <w:snapToGrid w:val="0"/>
        </w:rPr>
        <w:t>5.</w:t>
      </w:r>
      <w:r>
        <w:rPr>
          <w:snapToGrid w:val="0"/>
        </w:rPr>
        <w:tab/>
      </w:r>
      <w:r>
        <w:rPr>
          <w:snapToGrid w:val="0"/>
        </w:rPr>
        <w:tab/>
        <w:t>Prevention of overloading or overcrowding of vessels.</w:t>
      </w:r>
    </w:p>
    <w:p>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snapToGrid w:val="0"/>
        </w:rPr>
        <w:t>8.</w:t>
      </w:r>
      <w:r>
        <w:rPr>
          <w:snapToGrid w:val="0"/>
        </w:rPr>
        <w:tab/>
      </w:r>
      <w:r>
        <w:rPr>
          <w:snapToGrid w:val="0"/>
        </w:rPr>
        <w:tab/>
        <w:t>The movement, mooring, loading and unloading of vessels.</w:t>
      </w:r>
    </w:p>
    <w:p>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 or</w:t>
      </w:r>
    </w:p>
    <w:p>
      <w:pPr>
        <w:pStyle w:val="yIndenta"/>
        <w:rPr>
          <w:snapToGrid w:val="0"/>
        </w:rPr>
      </w:pPr>
      <w:r>
        <w:rPr>
          <w:snapToGrid w:val="0"/>
        </w:rPr>
        <w:tab/>
        <w:t>(b)</w:t>
      </w:r>
      <w:r>
        <w:rPr>
          <w:snapToGrid w:val="0"/>
        </w:rPr>
        <w:tab/>
        <w:t>towage services; or</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snapToGrid w:val="0"/>
        </w:rPr>
        <w:t>10.</w:t>
      </w:r>
      <w:r>
        <w:rPr>
          <w:snapToGrid w:val="0"/>
        </w:rPr>
        <w:tab/>
      </w:r>
      <w:r>
        <w:rPr>
          <w:snapToGrid w:val="0"/>
        </w:rPr>
        <w:tab/>
        <w:t>The taking on and landing of passengers.</w:t>
      </w:r>
    </w:p>
    <w:p>
      <w:pPr>
        <w:pStyle w:val="ySubsection"/>
        <w:rPr>
          <w:snapToGrid w:val="0"/>
        </w:rPr>
      </w:pPr>
      <w:r>
        <w:rPr>
          <w:snapToGrid w:val="0"/>
        </w:rPr>
        <w:t>11.</w:t>
      </w:r>
      <w:r>
        <w:rPr>
          <w:snapToGrid w:val="0"/>
        </w:rPr>
        <w:tab/>
      </w:r>
      <w:r>
        <w:rPr>
          <w:snapToGrid w:val="0"/>
        </w:rPr>
        <w:tab/>
        <w:t>The taking in, management and discharge or delivery of ballast.</w:t>
      </w:r>
    </w:p>
    <w:p>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snapToGrid w:val="0"/>
        </w:rPr>
        <w:t>13.</w:t>
      </w:r>
      <w:r>
        <w:rPr>
          <w:snapToGrid w:val="0"/>
        </w:rPr>
        <w:tab/>
      </w:r>
      <w:r>
        <w:rPr>
          <w:snapToGrid w:val="0"/>
        </w:rPr>
        <w:tab/>
        <w:t>Traffic in a port.</w:t>
      </w:r>
    </w:p>
    <w:p>
      <w:pPr>
        <w:pStyle w:val="ySubsection"/>
        <w:rPr>
          <w:snapToGrid w:val="0"/>
        </w:rPr>
      </w:pPr>
      <w:r>
        <w:rPr>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snapToGrid w:val="0"/>
        </w:rPr>
        <w:t>15.</w:t>
      </w:r>
      <w:r>
        <w:rPr>
          <w:snapToGrid w:val="0"/>
        </w:rPr>
        <w:tab/>
      </w:r>
      <w:r>
        <w:rPr>
          <w:snapToGrid w:val="0"/>
        </w:rPr>
        <w:tab/>
        <w:t>Parking of vehicles in a port.</w:t>
      </w:r>
    </w:p>
    <w:p>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snapToGrid w:val="0"/>
        </w:rPr>
        <w:t>17.</w:t>
      </w:r>
      <w:r>
        <w:rPr>
          <w:snapToGrid w:val="0"/>
        </w:rPr>
        <w:tab/>
      </w:r>
      <w:r>
        <w:rPr>
          <w:snapToGrid w:val="0"/>
        </w:rPr>
        <w:tab/>
        <w:t>Regulation of the duties and conduct of persons in a port.</w:t>
      </w:r>
    </w:p>
    <w:p>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snapToGrid w:val="0"/>
        </w:rPr>
        <w:t>20.</w:t>
      </w:r>
      <w:r>
        <w:rPr>
          <w:snapToGrid w:val="0"/>
        </w:rPr>
        <w:tab/>
      </w:r>
      <w:r>
        <w:rPr>
          <w:snapToGrid w:val="0"/>
        </w:rPr>
        <w:tab/>
        <w:t>The control of the operation of machinery on jetties and wharf loading areas.</w:t>
      </w:r>
    </w:p>
    <w:p>
      <w:pPr>
        <w:pStyle w:val="ySubsection"/>
        <w:rPr>
          <w:snapToGrid w:val="0"/>
        </w:rPr>
      </w:pPr>
      <w:r>
        <w:rPr>
          <w:snapToGrid w:val="0"/>
        </w:rPr>
        <w:t>21.</w:t>
      </w:r>
      <w:r>
        <w:rPr>
          <w:snapToGrid w:val="0"/>
        </w:rPr>
        <w:tab/>
      </w:r>
      <w:r>
        <w:rPr>
          <w:snapToGrid w:val="0"/>
        </w:rPr>
        <w:tab/>
        <w:t>The conduct of persons operating vessels or machinery referred to in item 19 or 20.</w:t>
      </w:r>
    </w:p>
    <w:p>
      <w:pPr>
        <w:pStyle w:val="ySubsection"/>
        <w:rPr>
          <w:snapToGrid w:val="0"/>
        </w:rPr>
      </w:pPr>
      <w:r>
        <w:rPr>
          <w:snapToGrid w:val="0"/>
        </w:rPr>
        <w:t>22.</w:t>
      </w:r>
      <w:r>
        <w:rPr>
          <w:snapToGrid w:val="0"/>
        </w:rPr>
        <w:tab/>
      </w:r>
      <w:r>
        <w:rPr>
          <w:snapToGrid w:val="0"/>
        </w:rPr>
        <w:tab/>
        <w:t xml:space="preserve">The control of the installation and use of moorings. </w:t>
      </w:r>
    </w:p>
    <w:p>
      <w:pPr>
        <w:pStyle w:val="ySubsection"/>
        <w:rPr>
          <w:snapToGrid w:val="0"/>
        </w:rPr>
      </w:pPr>
      <w:r>
        <w:rPr>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 and</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snapToGrid w:val="0"/>
        </w:rPr>
        <w:t>31.</w:t>
      </w:r>
      <w:r>
        <w:rPr>
          <w:snapToGrid w:val="0"/>
        </w:rPr>
        <w:tab/>
      </w:r>
      <w:r>
        <w:rPr>
          <w:snapToGrid w:val="0"/>
        </w:rPr>
        <w:tab/>
        <w:t>The speed of vessels in a port.</w:t>
      </w:r>
    </w:p>
    <w:p>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snapToGrid w:val="0"/>
        </w:rPr>
        <w:t>35.</w:t>
      </w:r>
      <w:r>
        <w:rPr>
          <w:snapToGrid w:val="0"/>
        </w:rPr>
        <w:tab/>
      </w:r>
      <w:r>
        <w:rPr>
          <w:snapToGrid w:val="0"/>
        </w:rPr>
        <w:tab/>
        <w:t>Limitation of the time for making a claim against a port authority for loss or damage.</w:t>
      </w:r>
    </w:p>
    <w:p>
      <w:pPr>
        <w:pStyle w:val="ySubsection"/>
        <w:rPr>
          <w:snapToGrid w:val="0"/>
        </w:rPr>
      </w:pPr>
      <w:r>
        <w:rPr>
          <w:snapToGrid w:val="0"/>
        </w:rPr>
        <w:t>36.</w:t>
      </w:r>
      <w:r>
        <w:rPr>
          <w:snapToGrid w:val="0"/>
        </w:rPr>
        <w:tab/>
      </w:r>
      <w:r>
        <w:rPr>
          <w:snapToGrid w:val="0"/>
        </w:rPr>
        <w:tab/>
        <w:t>Conditions to be inserted in a lease granted under this Act.</w:t>
      </w:r>
    </w:p>
    <w:p>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t>39.</w:t>
      </w:r>
      <w:r>
        <w:tab/>
        <w:t>The protection of port facilities or other property of a port authority.</w:t>
      </w:r>
    </w:p>
    <w:p>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snapToGrid w:val="0"/>
        </w:rPr>
        <w:t>41.</w:t>
      </w:r>
      <w:r>
        <w:rPr>
          <w:snapToGrid w:val="0"/>
        </w:rPr>
        <w:tab/>
      </w:r>
      <w:r>
        <w:rPr>
          <w:snapToGrid w:val="0"/>
        </w:rPr>
        <w:tab/>
        <w:t>The protection of the environment of a port.</w:t>
      </w:r>
    </w:p>
    <w:p>
      <w:pPr>
        <w:pStyle w:val="ySubsection"/>
        <w:keepNext/>
        <w:rPr>
          <w:snapToGrid w:val="0"/>
        </w:rPr>
      </w:pPr>
      <w:r>
        <w:rPr>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2"/>
          <w:headerReference w:type="default" r:id="rId33"/>
          <w:pgSz w:w="11906" w:h="16838" w:code="9"/>
          <w:pgMar w:top="2376" w:right="2405" w:bottom="3542" w:left="2405" w:header="706" w:footer="3380" w:gutter="0"/>
          <w:cols w:space="720"/>
          <w:noEndnote/>
          <w:docGrid w:linePitch="326"/>
        </w:sectPr>
      </w:pPr>
      <w:bookmarkStart w:id="1104" w:name="_Toc388519479"/>
      <w:bookmarkStart w:id="1105" w:name="_Toc388863094"/>
    </w:p>
    <w:p>
      <w:pPr>
        <w:pStyle w:val="yScheduleHeading"/>
      </w:pPr>
      <w:bookmarkStart w:id="1106" w:name="_Toc389811799"/>
      <w:r>
        <w:rPr>
          <w:rStyle w:val="CharSchNo"/>
        </w:rPr>
        <w:t>Schedule 8</w:t>
      </w:r>
      <w:r>
        <w:t> — </w:t>
      </w:r>
      <w:r>
        <w:rPr>
          <w:rStyle w:val="CharSchText"/>
        </w:rPr>
        <w:t>Transitional provisions</w:t>
      </w:r>
      <w:bookmarkEnd w:id="1106"/>
      <w:bookmarkEnd w:id="1104"/>
      <w:bookmarkEnd w:id="1105"/>
    </w:p>
    <w:p>
      <w:pPr>
        <w:pStyle w:val="yShoulderClause"/>
      </w:pPr>
      <w:r>
        <w:t>[s. 139A]</w:t>
      </w:r>
    </w:p>
    <w:p>
      <w:pPr>
        <w:pStyle w:val="yFootnoteheading"/>
        <w:spacing w:after="120"/>
      </w:pPr>
      <w:r>
        <w:tab/>
        <w:t>[Heading inserted by No. 9 of 2014 s. 35.]</w:t>
      </w:r>
    </w:p>
    <w:p>
      <w:pPr>
        <w:pStyle w:val="yHeading3"/>
      </w:pPr>
      <w:bookmarkStart w:id="1107" w:name="_Toc389811800"/>
      <w:bookmarkStart w:id="1108" w:name="_Toc388519480"/>
      <w:bookmarkStart w:id="1109" w:name="_Toc388863095"/>
      <w:r>
        <w:rPr>
          <w:rStyle w:val="CharSDivNo"/>
        </w:rPr>
        <w:t>Division 1</w:t>
      </w:r>
      <w:r>
        <w:rPr>
          <w:b w:val="0"/>
        </w:rPr>
        <w:t> — </w:t>
      </w:r>
      <w:r>
        <w:rPr>
          <w:rStyle w:val="CharSDivText"/>
        </w:rPr>
        <w:t xml:space="preserve">Provisions for </w:t>
      </w:r>
      <w:r>
        <w:rPr>
          <w:rStyle w:val="CharSDivText"/>
          <w:i/>
        </w:rPr>
        <w:t>Ports Legislation Amendment Act 2014</w:t>
      </w:r>
      <w:bookmarkEnd w:id="1107"/>
      <w:bookmarkEnd w:id="1108"/>
      <w:bookmarkEnd w:id="1109"/>
    </w:p>
    <w:p>
      <w:pPr>
        <w:pStyle w:val="yFootnoteheading"/>
        <w:spacing w:after="120"/>
      </w:pPr>
      <w:r>
        <w:tab/>
        <w:t>[Heading inserted by No. 9 of 2014 s. 35.]</w:t>
      </w:r>
    </w:p>
    <w:p>
      <w:pPr>
        <w:pStyle w:val="yHeading4"/>
      </w:pPr>
      <w:bookmarkStart w:id="1110" w:name="_Toc389811801"/>
      <w:bookmarkStart w:id="1111" w:name="_Toc388519481"/>
      <w:bookmarkStart w:id="1112" w:name="_Toc388863096"/>
      <w:r>
        <w:t>Subdivision 1</w:t>
      </w:r>
      <w:r>
        <w:rPr>
          <w:b w:val="0"/>
        </w:rPr>
        <w:t> — </w:t>
      </w:r>
      <w:r>
        <w:t>Preliminary</w:t>
      </w:r>
      <w:bookmarkEnd w:id="1110"/>
      <w:bookmarkEnd w:id="1111"/>
      <w:bookmarkEnd w:id="1112"/>
    </w:p>
    <w:p>
      <w:pPr>
        <w:pStyle w:val="yFootnoteheading"/>
        <w:spacing w:after="120"/>
      </w:pPr>
      <w:r>
        <w:tab/>
        <w:t>[Heading inserted by No. 9 of 2014 s. 35.]</w:t>
      </w:r>
    </w:p>
    <w:p>
      <w:pPr>
        <w:pStyle w:val="yHeading5"/>
      </w:pPr>
      <w:bookmarkStart w:id="1113" w:name="_Toc389811802"/>
      <w:bookmarkStart w:id="1114" w:name="_Toc388863097"/>
      <w:r>
        <w:rPr>
          <w:rStyle w:val="CharSClsNo"/>
        </w:rPr>
        <w:t>1</w:t>
      </w:r>
      <w:r>
        <w:t>.</w:t>
      </w:r>
      <w:r>
        <w:tab/>
        <w:t>Terms used</w:t>
      </w:r>
      <w:bookmarkEnd w:id="1113"/>
      <w:bookmarkEnd w:id="1114"/>
    </w:p>
    <w:p>
      <w:pPr>
        <w:pStyle w:val="ySubsection"/>
      </w:pPr>
      <w:r>
        <w:tab/>
      </w:r>
      <w:r>
        <w:tab/>
        <w:t xml:space="preserve">In this Division — </w:t>
      </w:r>
    </w:p>
    <w:p>
      <w:pPr>
        <w:pStyle w:val="yDefstart"/>
      </w:pPr>
      <w:r>
        <w:tab/>
      </w:r>
      <w:r>
        <w:rPr>
          <w:rStyle w:val="CharDefText"/>
        </w:rPr>
        <w:t>agreement</w:t>
      </w:r>
      <w:r>
        <w:t xml:space="preserve"> includes a Government agreement;</w:t>
      </w:r>
    </w:p>
    <w:p>
      <w:pPr>
        <w:pStyle w:val="yDefstart"/>
      </w:pPr>
      <w:r>
        <w:tab/>
      </w:r>
      <w:r>
        <w:rPr>
          <w:rStyle w:val="CharDefText"/>
        </w:rPr>
        <w:t>amending Act</w:t>
      </w:r>
      <w:r>
        <w:t xml:space="preserve"> means the </w:t>
      </w:r>
      <w:r>
        <w:rPr>
          <w:i/>
        </w:rPr>
        <w:t>Ports Legislation Amendment Act 2014</w:t>
      </w:r>
      <w:r>
        <w:t>;</w:t>
      </w:r>
    </w:p>
    <w:p>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prospective or contingent.</w:t>
      </w:r>
    </w:p>
    <w:p>
      <w:pPr>
        <w:pStyle w:val="yFootnotesection"/>
      </w:pPr>
      <w:r>
        <w:tab/>
        <w:t>[Clause 1 inserted by No. 9 of 2014 s. 35.]</w:t>
      </w:r>
    </w:p>
    <w:p>
      <w:pPr>
        <w:pStyle w:val="yHeading4"/>
      </w:pPr>
      <w:bookmarkStart w:id="1115" w:name="_Toc389811803"/>
      <w:bookmarkStart w:id="1116" w:name="_Toc388519483"/>
      <w:bookmarkStart w:id="1117" w:name="_Toc388863098"/>
      <w:r>
        <w:t>Subdivision 2</w:t>
      </w:r>
      <w:r>
        <w:rPr>
          <w:b w:val="0"/>
        </w:rPr>
        <w:t> — </w:t>
      </w:r>
      <w:r>
        <w:t>Provisions for the Southern Ports Authority</w:t>
      </w:r>
      <w:bookmarkEnd w:id="1115"/>
      <w:bookmarkEnd w:id="1116"/>
      <w:bookmarkEnd w:id="1117"/>
    </w:p>
    <w:p>
      <w:pPr>
        <w:pStyle w:val="yFootnoteheading"/>
        <w:spacing w:after="120"/>
      </w:pPr>
      <w:r>
        <w:tab/>
        <w:t>[Heading inserted by No. 9 of 2014 s. 35.]</w:t>
      </w:r>
    </w:p>
    <w:p>
      <w:pPr>
        <w:pStyle w:val="yHeading5"/>
      </w:pPr>
      <w:bookmarkStart w:id="1118" w:name="_Toc389811804"/>
      <w:bookmarkStart w:id="1119" w:name="_Toc388863099"/>
      <w:r>
        <w:rPr>
          <w:rStyle w:val="CharSClsNo"/>
        </w:rPr>
        <w:t>2</w:t>
      </w:r>
      <w:r>
        <w:t>.</w:t>
      </w:r>
      <w:r>
        <w:tab/>
        <w:t>Terms used</w:t>
      </w:r>
      <w:bookmarkEnd w:id="1118"/>
      <w:bookmarkEnd w:id="1119"/>
    </w:p>
    <w:p>
      <w:pPr>
        <w:pStyle w:val="ySubsection"/>
      </w:pPr>
      <w:r>
        <w:tab/>
      </w:r>
      <w:r>
        <w:tab/>
        <w:t xml:space="preserve">In this Subdivision — </w:t>
      </w:r>
    </w:p>
    <w:p>
      <w:pPr>
        <w:pStyle w:val="yDefstart"/>
      </w:pPr>
      <w:r>
        <w:tab/>
      </w:r>
      <w:r>
        <w:rPr>
          <w:rStyle w:val="CharDefText"/>
        </w:rPr>
        <w:t>continuing authority</w:t>
      </w:r>
      <w:r>
        <w:t xml:space="preserve"> means the Bunbury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31(1) of the amending Act; and</w:t>
      </w:r>
    </w:p>
    <w:p>
      <w:pPr>
        <w:pStyle w:val="yDefpara"/>
      </w:pPr>
      <w:r>
        <w:tab/>
        <w:t>(b)</w:t>
      </w:r>
      <w:r>
        <w:tab/>
        <w:t>the merging of the Albany Port Authority and the Esperance Port Authority into the SPA under clause 3(1);</w:t>
      </w:r>
    </w:p>
    <w:p>
      <w:pPr>
        <w:pStyle w:val="yDefstart"/>
      </w:pPr>
      <w:r>
        <w:tab/>
      </w:r>
      <w:r>
        <w:rPr>
          <w:rStyle w:val="CharDefText"/>
        </w:rPr>
        <w:t>merger time</w:t>
      </w:r>
      <w:r>
        <w:t xml:space="preserve"> means the time at which section 31(1) of the amending Act comes into operation;</w:t>
      </w:r>
    </w:p>
    <w:p>
      <w:pPr>
        <w:pStyle w:val="yDefstart"/>
      </w:pPr>
      <w:r>
        <w:tab/>
      </w:r>
      <w:r>
        <w:rPr>
          <w:rStyle w:val="CharDefText"/>
        </w:rPr>
        <w:t>merging authority</w:t>
      </w:r>
      <w:r>
        <w:t xml:space="preserve"> means the Albany Port Authority or the Esperance Port Authority;</w:t>
      </w:r>
    </w:p>
    <w:p>
      <w:pPr>
        <w:pStyle w:val="yDefstart"/>
      </w:pPr>
      <w:r>
        <w:tab/>
      </w:r>
      <w:r>
        <w:rPr>
          <w:rStyle w:val="CharDefText"/>
        </w:rPr>
        <w:t>new board</w:t>
      </w:r>
      <w:r>
        <w:t xml:space="preserve"> means the board of directors established under clause 4(3);</w:t>
      </w:r>
    </w:p>
    <w:p>
      <w:pPr>
        <w:pStyle w:val="yDefstart"/>
      </w:pPr>
      <w:r>
        <w:tab/>
      </w:r>
      <w:r>
        <w:rPr>
          <w:rStyle w:val="CharDefText"/>
        </w:rPr>
        <w:t>SPA</w:t>
      </w:r>
      <w:r>
        <w:t xml:space="preserve"> means the continuing authority as renamed as the Southern Ports Authority by operation of section 31(1)(a) of the amending Act;</w:t>
      </w:r>
    </w:p>
    <w:p>
      <w:pPr>
        <w:pStyle w:val="yDefstart"/>
      </w:pPr>
      <w:r>
        <w:tab/>
      </w:r>
      <w:r>
        <w:rPr>
          <w:rStyle w:val="CharDefText"/>
        </w:rPr>
        <w:t>transitional regulations</w:t>
      </w:r>
      <w:r>
        <w:t xml:space="preserve"> has the meaning given in clause 15(1).</w:t>
      </w:r>
    </w:p>
    <w:p>
      <w:pPr>
        <w:pStyle w:val="yFootnotesection"/>
      </w:pPr>
      <w:r>
        <w:tab/>
        <w:t>[Clause 2 inserted by No. 9 of 2014 s. 35.]</w:t>
      </w:r>
    </w:p>
    <w:p>
      <w:pPr>
        <w:pStyle w:val="yHeading5"/>
      </w:pPr>
      <w:bookmarkStart w:id="1120" w:name="_Toc389811805"/>
      <w:bookmarkStart w:id="1121" w:name="_Toc388863100"/>
      <w:r>
        <w:rPr>
          <w:rStyle w:val="CharSClsNo"/>
        </w:rPr>
        <w:t>3</w:t>
      </w:r>
      <w:r>
        <w:t>.</w:t>
      </w:r>
      <w:r>
        <w:tab/>
        <w:t>Merger of Albany Port Authority and Esperance Port Authority into Southern Ports Authority</w:t>
      </w:r>
      <w:bookmarkEnd w:id="1120"/>
      <w:bookmarkEnd w:id="1121"/>
    </w:p>
    <w:p>
      <w:pPr>
        <w:pStyle w:val="ySubsection"/>
      </w:pPr>
      <w:r>
        <w:tab/>
        <w:t>(1)</w:t>
      </w:r>
      <w:r>
        <w:tab/>
        <w:t>At the merger time the Albany Port Authority and the Esperance Port Authority cease to be port authorities under this Act and merge into the SPA.</w:t>
      </w:r>
    </w:p>
    <w:p>
      <w:pPr>
        <w:pStyle w:val="ySubsection"/>
      </w:pPr>
      <w:r>
        <w:tab/>
        <w:t>(2)</w:t>
      </w:r>
      <w:r>
        <w:tab/>
        <w:t>From the merger time the SPA is a continuation of each of the merging authorities.</w:t>
      </w:r>
    </w:p>
    <w:p>
      <w:pPr>
        <w:pStyle w:val="yFootnotesection"/>
      </w:pPr>
      <w:r>
        <w:tab/>
        <w:t>[Clause 3 inserted by No. 9 of 2014 s. 35.]</w:t>
      </w:r>
    </w:p>
    <w:p>
      <w:pPr>
        <w:pStyle w:val="yHeading5"/>
      </w:pPr>
      <w:bookmarkStart w:id="1122" w:name="_Toc389811806"/>
      <w:bookmarkStart w:id="1123" w:name="_Toc388863101"/>
      <w:r>
        <w:rPr>
          <w:rStyle w:val="CharSClsNo"/>
        </w:rPr>
        <w:t>4</w:t>
      </w:r>
      <w:r>
        <w:t>.</w:t>
      </w:r>
      <w:r>
        <w:tab/>
        <w:t>Directors and former directors</w:t>
      </w:r>
      <w:bookmarkEnd w:id="1122"/>
      <w:bookmarkEnd w:id="1123"/>
    </w:p>
    <w:p>
      <w:pPr>
        <w:pStyle w:val="ySubsection"/>
      </w:pPr>
      <w:r>
        <w:tab/>
        <w:t>(1)</w:t>
      </w:r>
      <w:r>
        <w:tab/>
        <w:t>Immediately before the merger time a person then holding office as a director of a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a merging authority is to be taken to be a former director of the SPA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SPA for the purposes of the </w:t>
      </w:r>
      <w:r>
        <w:rPr>
          <w:i/>
        </w:rPr>
        <w:t>Statutory Corporations (Liability of Directors) Act 1996</w:t>
      </w:r>
      <w:r>
        <w:t>.</w:t>
      </w:r>
    </w:p>
    <w:p>
      <w:pPr>
        <w:pStyle w:val="ySubsection"/>
      </w:pPr>
      <w:r>
        <w:tab/>
        <w:t>(3)</w:t>
      </w:r>
      <w:r>
        <w:tab/>
        <w:t>The board of directors of the SPA may be established by the appointment of directors before the merger time.</w:t>
      </w:r>
    </w:p>
    <w:p>
      <w:pPr>
        <w:pStyle w:val="ySubsection"/>
      </w:pPr>
      <w:r>
        <w:tab/>
        <w:t>(4)</w:t>
      </w:r>
      <w:r>
        <w:tab/>
        <w:t xml:space="preserve">For the purposes of Schedule 2 clause 1 the term of office of a director appointed under subclause (3) does not begin until the merger time. </w:t>
      </w:r>
    </w:p>
    <w:p>
      <w:pPr>
        <w:pStyle w:val="ySubsection"/>
      </w:pPr>
      <w:r>
        <w:tab/>
        <w:t>(5)</w:t>
      </w:r>
      <w:r>
        <w:tab/>
        <w:t>Nothing in this Schedule prevents a person who is a director of an existing port authority from being appointed under subclause (3).</w:t>
      </w:r>
    </w:p>
    <w:p>
      <w:pPr>
        <w:pStyle w:val="yFootnotesection"/>
      </w:pPr>
      <w:r>
        <w:tab/>
        <w:t>[Clause 4 inserted by No. 9 of 2014 s. 35.]</w:t>
      </w:r>
    </w:p>
    <w:p>
      <w:pPr>
        <w:pStyle w:val="yHeading5"/>
      </w:pPr>
      <w:bookmarkStart w:id="1124" w:name="_Toc389811807"/>
      <w:bookmarkStart w:id="1125" w:name="_Toc388863102"/>
      <w:r>
        <w:rPr>
          <w:rStyle w:val="CharSClsNo"/>
        </w:rPr>
        <w:t>5</w:t>
      </w:r>
      <w:r>
        <w:t>.</w:t>
      </w:r>
      <w:r>
        <w:tab/>
        <w:t>Powers of new board in anticipation of merger</w:t>
      </w:r>
      <w:bookmarkEnd w:id="1124"/>
      <w:bookmarkEnd w:id="1125"/>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pPr>
      <w:r>
        <w:tab/>
        <w:t>(3)</w:t>
      </w:r>
      <w:r>
        <w:tab/>
        <w:t>For the purposes of subclause (1) the new board may incur costs for which the continuing authority is liable.</w:t>
      </w:r>
    </w:p>
    <w:p>
      <w:pPr>
        <w:pStyle w:val="yFootnotesection"/>
      </w:pPr>
      <w:r>
        <w:tab/>
        <w:t>[Clause 5 inserted by No. 9 of 2014 s. 35.]</w:t>
      </w:r>
    </w:p>
    <w:p>
      <w:pPr>
        <w:pStyle w:val="yHeading5"/>
      </w:pPr>
      <w:bookmarkStart w:id="1126" w:name="_Toc389811808"/>
      <w:bookmarkStart w:id="1127" w:name="_Toc388863103"/>
      <w:r>
        <w:rPr>
          <w:rStyle w:val="CharSClsNo"/>
        </w:rPr>
        <w:t>6</w:t>
      </w:r>
      <w:r>
        <w:t>.</w:t>
      </w:r>
      <w:r>
        <w:tab/>
        <w:t>CEOs and members of staff</w:t>
      </w:r>
      <w:bookmarkEnd w:id="1126"/>
      <w:bookmarkEnd w:id="1127"/>
      <w:r>
        <w:t xml:space="preserve"> </w:t>
      </w:r>
    </w:p>
    <w:p>
      <w:pPr>
        <w:pStyle w:val="ySubsection"/>
      </w:pPr>
      <w:r>
        <w:tab/>
        <w:t>(1)</w:t>
      </w:r>
      <w:r>
        <w:tab/>
        <w:t>Immediately before the merger time a person then holding office as the CEO of the continuing authority or a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a merging authority,</w:t>
      </w:r>
    </w:p>
    <w:p>
      <w:pPr>
        <w:pStyle w:val="ySubsection"/>
      </w:pPr>
      <w:r>
        <w:tab/>
      </w:r>
      <w:r>
        <w:tab/>
        <w:t>immediately before the merger time becomes a member of staff of the SPA.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a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5 include the power to appoint a person as the CEO of the SPA before the merger time.</w:t>
      </w:r>
    </w:p>
    <w:p>
      <w:pPr>
        <w:pStyle w:val="ySubsection"/>
      </w:pPr>
      <w:r>
        <w:tab/>
        <w:t>(6)</w:t>
      </w:r>
      <w:r>
        <w:tab/>
        <w:t>Until the merger time a person appointed under subclause (5) may, as CEO of the SPA, perform any function of a CEO of a port authority for the purpose of providing for, implementing or facilitating the merger.</w:t>
      </w:r>
    </w:p>
    <w:p>
      <w:pPr>
        <w:pStyle w:val="yFootnotesection"/>
      </w:pPr>
      <w:r>
        <w:tab/>
        <w:t>[Clause 6 inserted by No. 9 of 2014 s. 35.]</w:t>
      </w:r>
    </w:p>
    <w:p>
      <w:pPr>
        <w:pStyle w:val="yHeading5"/>
      </w:pPr>
      <w:bookmarkStart w:id="1128" w:name="_Toc389811809"/>
      <w:bookmarkStart w:id="1129" w:name="_Toc388863104"/>
      <w:r>
        <w:rPr>
          <w:rStyle w:val="CharSClsNo"/>
        </w:rPr>
        <w:t>7</w:t>
      </w:r>
      <w:r>
        <w:t>.</w:t>
      </w:r>
      <w:r>
        <w:tab/>
        <w:t>Preservation of rights</w:t>
      </w:r>
      <w:bookmarkEnd w:id="1128"/>
      <w:bookmarkEnd w:id="1129"/>
    </w:p>
    <w:p>
      <w:pPr>
        <w:pStyle w:val="ySubsection"/>
      </w:pPr>
      <w:r>
        <w:tab/>
        <w:t>(1)</w:t>
      </w:r>
      <w:r>
        <w:tab/>
        <w:t>Except as otherwise agreed by the relevant CEO or member of staff, the operation of clause 6(1)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a merging authority is to be taken to have been with the SPA.</w:t>
      </w:r>
    </w:p>
    <w:p>
      <w:pPr>
        <w:pStyle w:val="ySubsection"/>
      </w:pPr>
      <w:r>
        <w:tab/>
        <w:t>(3)</w:t>
      </w:r>
      <w:r>
        <w:tab/>
        <w:t>If a person who is the CEO or a member of staff of the continuing authority or a merging authority is appointed under clause 6(5),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a merging authority, his or her service with the merging authority is to be taken, for the purposes of paragraph (c), to have been with the SPA.</w:t>
      </w:r>
    </w:p>
    <w:p>
      <w:pPr>
        <w:pStyle w:val="ySubsection"/>
      </w:pPr>
      <w:r>
        <w:tab/>
        <w:t>(4)</w:t>
      </w:r>
      <w:r>
        <w:tab/>
        <w:t>Nothing in clause 6 or this clause prevents the exercise by the SPA of its powers in relation to the management of members of staff.</w:t>
      </w:r>
    </w:p>
    <w:p>
      <w:pPr>
        <w:pStyle w:val="yFootnotesection"/>
      </w:pPr>
      <w:r>
        <w:tab/>
        <w:t>[Clause 7 inserted by No. 9 of 2014 s. 35.]</w:t>
      </w:r>
    </w:p>
    <w:p>
      <w:pPr>
        <w:pStyle w:val="yHeading5"/>
      </w:pPr>
      <w:bookmarkStart w:id="1130" w:name="_Toc389811810"/>
      <w:bookmarkStart w:id="1131" w:name="_Toc388863105"/>
      <w:r>
        <w:rPr>
          <w:rStyle w:val="CharSClsNo"/>
        </w:rPr>
        <w:t>8</w:t>
      </w:r>
      <w:r>
        <w:t>.</w:t>
      </w:r>
      <w:r>
        <w:tab/>
        <w:t>Devolution of assets, liabilities, proceedings, remedies and immunities</w:t>
      </w:r>
      <w:bookmarkEnd w:id="1130"/>
      <w:bookmarkEnd w:id="1131"/>
    </w:p>
    <w:p>
      <w:pPr>
        <w:pStyle w:val="ySubsection"/>
      </w:pPr>
      <w:r>
        <w:tab/>
        <w:t>(1)</w:t>
      </w:r>
      <w:r>
        <w:tab/>
        <w:t xml:space="preserve">At the merger time — </w:t>
      </w:r>
    </w:p>
    <w:p>
      <w:pPr>
        <w:pStyle w:val="yIndenta"/>
      </w:pPr>
      <w:r>
        <w:tab/>
        <w:t>(a)</w:t>
      </w:r>
      <w:r>
        <w:tab/>
        <w:t>the assets and rights of a merging authority that were immediately before that time vested in or the property of the merging authority vest in or become the property of the SPA by force of this clause; and</w:t>
      </w:r>
    </w:p>
    <w:p>
      <w:pPr>
        <w:pStyle w:val="yIndenta"/>
      </w:pPr>
      <w:r>
        <w:tab/>
        <w:t>(b)</w:t>
      </w:r>
      <w:r>
        <w:tab/>
        <w:t>the liabilities of a merging authority immediately before that time become, by force of this clause, the liabilities of the SPA.</w:t>
      </w:r>
    </w:p>
    <w:p>
      <w:pPr>
        <w:pStyle w:val="ySubsection"/>
      </w:pPr>
      <w:r>
        <w:tab/>
        <w:t>(2)</w:t>
      </w:r>
      <w:r>
        <w:tab/>
        <w:t xml:space="preserve">For the purposes of section 26, </w:t>
      </w:r>
      <w:r>
        <w:rPr>
          <w:snapToGrid w:val="0"/>
        </w:rPr>
        <w:t xml:space="preserve">property referred to in section 25(2)(a) that becomes the property of the SPA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SPA for the purposes of section 84, assets </w:t>
      </w:r>
      <w:r>
        <w:rPr>
          <w:snapToGrid w:val="0"/>
        </w:rPr>
        <w:t xml:space="preserve">that become the property of the SPA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a merging authority may be brought or continued by, and are or is available against or to, the SPA.</w:t>
      </w:r>
    </w:p>
    <w:p>
      <w:pPr>
        <w:pStyle w:val="ySubsection"/>
      </w:pPr>
      <w:r>
        <w:tab/>
        <w:t>(5)</w:t>
      </w:r>
      <w:r>
        <w:tab/>
        <w:t>Where a merging authority had the benefit of any immunity in respect of an act, matter or thing done or omitted before the merger time, that immunity continues in that respect for the benefit of the SPA.</w:t>
      </w:r>
    </w:p>
    <w:p>
      <w:pPr>
        <w:pStyle w:val="ySubsection"/>
      </w:pPr>
      <w:r>
        <w:tab/>
        <w:t>(6)</w:t>
      </w:r>
      <w:r>
        <w:tab/>
        <w:t>As soon as is practicable after the merger time, all papers, documents, minutes, books of account and other records (however compiled, recorded or stored) relating to the operations of a merging authority are to be delivered to the SPA.</w:t>
      </w:r>
    </w:p>
    <w:p>
      <w:pPr>
        <w:pStyle w:val="yFootnotesection"/>
      </w:pPr>
      <w:r>
        <w:tab/>
        <w:t>[Clause 8 inserted by No. 9 of 2014 s. 35.]</w:t>
      </w:r>
    </w:p>
    <w:p>
      <w:pPr>
        <w:pStyle w:val="yHeading5"/>
      </w:pPr>
      <w:bookmarkStart w:id="1132" w:name="_Toc389811811"/>
      <w:bookmarkStart w:id="1133" w:name="_Toc388863106"/>
      <w:r>
        <w:rPr>
          <w:rStyle w:val="CharSClsNo"/>
        </w:rPr>
        <w:t>9</w:t>
      </w:r>
      <w:r>
        <w:t>.</w:t>
      </w:r>
      <w:r>
        <w:tab/>
        <w:t>Completion of things commenced</w:t>
      </w:r>
      <w:bookmarkEnd w:id="1132"/>
      <w:bookmarkEnd w:id="1133"/>
    </w:p>
    <w:p>
      <w:pPr>
        <w:pStyle w:val="ySubsection"/>
      </w:pPr>
      <w:r>
        <w:tab/>
      </w:r>
      <w:r>
        <w:tab/>
        <w:t>Anything commenced to be done by a merging authority before the merger time may be continued by the SPA.</w:t>
      </w:r>
    </w:p>
    <w:p>
      <w:pPr>
        <w:pStyle w:val="yFootnotesection"/>
      </w:pPr>
      <w:r>
        <w:tab/>
        <w:t>[Clause 9 inserted by No. 9 of 2014 s. 35.]</w:t>
      </w:r>
    </w:p>
    <w:p>
      <w:pPr>
        <w:pStyle w:val="yHeading5"/>
      </w:pPr>
      <w:bookmarkStart w:id="1134" w:name="_Toc389811812"/>
      <w:bookmarkStart w:id="1135" w:name="_Toc388863107"/>
      <w:r>
        <w:rPr>
          <w:rStyle w:val="CharSClsNo"/>
        </w:rPr>
        <w:t>10</w:t>
      </w:r>
      <w:r>
        <w:t>.</w:t>
      </w:r>
      <w:r>
        <w:tab/>
        <w:t>Continuing effect of things done</w:t>
      </w:r>
      <w:bookmarkEnd w:id="1134"/>
      <w:bookmarkEnd w:id="1135"/>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a merging authority.</w:t>
      </w:r>
    </w:p>
    <w:p>
      <w:pPr>
        <w:pStyle w:val="ySubsection"/>
      </w:pPr>
      <w:r>
        <w:tab/>
        <w:t>(2)</w:t>
      </w:r>
      <w:r>
        <w:tab/>
        <w:t>To the extent that a relevant act has force or significance at the merger time it is to be taken, from the merger time, to have been done or omitted by, to or in respect of the SPA so far as the act, matter or thing is relevant to the SPA.</w:t>
      </w:r>
    </w:p>
    <w:p>
      <w:pPr>
        <w:pStyle w:val="ySubsection"/>
      </w:pPr>
      <w:r>
        <w:tab/>
        <w:t>(3)</w:t>
      </w:r>
      <w:r>
        <w:tab/>
        <w:t>This clause does not affect the operation of any other provision of this Schedule.</w:t>
      </w:r>
    </w:p>
    <w:p>
      <w:pPr>
        <w:pStyle w:val="yFootnotesection"/>
      </w:pPr>
      <w:r>
        <w:tab/>
        <w:t>[Clause 10 inserted by No. 9 of 2014 s. 35.]</w:t>
      </w:r>
    </w:p>
    <w:p>
      <w:pPr>
        <w:pStyle w:val="yHeading5"/>
      </w:pPr>
      <w:bookmarkStart w:id="1136" w:name="_Toc389811813"/>
      <w:bookmarkStart w:id="1137" w:name="_Toc388863108"/>
      <w:r>
        <w:rPr>
          <w:rStyle w:val="CharSClsNo"/>
        </w:rPr>
        <w:t>11</w:t>
      </w:r>
      <w:r>
        <w:t>.</w:t>
      </w:r>
      <w:r>
        <w:tab/>
        <w:t>Agreements, instruments and documents</w:t>
      </w:r>
      <w:bookmarkEnd w:id="1136"/>
      <w:bookmarkEnd w:id="1137"/>
    </w:p>
    <w:p>
      <w:pPr>
        <w:pStyle w:val="ySubsection"/>
      </w:pPr>
      <w:r>
        <w:tab/>
        <w:t>(1)</w:t>
      </w:r>
      <w:r>
        <w:tab/>
        <w:t xml:space="preserve">In this clause — </w:t>
      </w:r>
    </w:p>
    <w:p>
      <w:pPr>
        <w:pStyle w:val="yDefstart"/>
      </w:pPr>
      <w:r>
        <w:tab/>
      </w:r>
      <w:r>
        <w:rPr>
          <w:rStyle w:val="CharDefText"/>
        </w:rPr>
        <w:t>former name</w:t>
      </w:r>
      <w:r>
        <w:t xml:space="preserve"> means “Bunbury Port Authority”;</w:t>
      </w:r>
    </w:p>
    <w:p>
      <w:pPr>
        <w:pStyle w:val="yDefstart"/>
      </w:pPr>
      <w:r>
        <w:tab/>
      </w:r>
      <w:r>
        <w:rPr>
          <w:rStyle w:val="CharDefText"/>
        </w:rPr>
        <w:t>new name</w:t>
      </w:r>
      <w:r>
        <w:t xml:space="preserve"> means “Southern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SPA by its former name has effect from the merger time as if that reference were amended to be a reference to the SPA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SPA is a party to the agreement or instrument under its new name; and</w:t>
      </w:r>
    </w:p>
    <w:p>
      <w:pPr>
        <w:pStyle w:val="yIndenta"/>
      </w:pPr>
      <w:r>
        <w:tab/>
        <w:t>(b)</w:t>
      </w:r>
      <w:r>
        <w:tab/>
        <w:t>the agreement or instrument has effect as if a reference in it to the SPA by its former name were amended to be a reference to the SPA by its new name.</w:t>
      </w:r>
    </w:p>
    <w:p>
      <w:pPr>
        <w:pStyle w:val="ySubsection"/>
      </w:pPr>
      <w:r>
        <w:tab/>
        <w:t>(5)</w:t>
      </w:r>
      <w:r>
        <w:tab/>
        <w:t>A subsisting agreement, instrument or document that contains a reference to a merging authority has effect from the merger time as if that reference were amended to be or include a reference to the SPA.</w:t>
      </w:r>
    </w:p>
    <w:p>
      <w:pPr>
        <w:pStyle w:val="ySubsection"/>
      </w:pPr>
      <w:r>
        <w:tab/>
        <w:t>(6)</w:t>
      </w:r>
      <w:r>
        <w:tab/>
        <w:t>Subclause (5) does not apply to an agreement or instrument to which a merging authority was a party.</w:t>
      </w:r>
    </w:p>
    <w:p>
      <w:pPr>
        <w:pStyle w:val="ySubsection"/>
      </w:pPr>
      <w:r>
        <w:tab/>
        <w:t>(7)</w:t>
      </w:r>
      <w:r>
        <w:tab/>
        <w:t xml:space="preserve">A subsisting agreement or instrument to which a merging authority was a party has effect from the merger time as if — </w:t>
      </w:r>
    </w:p>
    <w:p>
      <w:pPr>
        <w:pStyle w:val="yIndenta"/>
      </w:pPr>
      <w:r>
        <w:tab/>
        <w:t>(a)</w:t>
      </w:r>
      <w:r>
        <w:tab/>
        <w:t>the SPA were substituted for the merging authority as a party to the agreement or instrument; and</w:t>
      </w:r>
    </w:p>
    <w:p>
      <w:pPr>
        <w:pStyle w:val="yIndenta"/>
      </w:pPr>
      <w:r>
        <w:tab/>
        <w:t>(b)</w:t>
      </w:r>
      <w:r>
        <w:tab/>
        <w:t>a reference to the merging authority in the agreement or instrument were amended to be a reference to the SPA.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11 inserted by No. 9 of 2014 s. 35.]</w:t>
      </w:r>
    </w:p>
    <w:p>
      <w:pPr>
        <w:pStyle w:val="yHeading5"/>
      </w:pPr>
      <w:bookmarkStart w:id="1138" w:name="_Toc389811814"/>
      <w:bookmarkStart w:id="1139" w:name="_Toc388863109"/>
      <w:r>
        <w:rPr>
          <w:rStyle w:val="CharSClsNo"/>
        </w:rPr>
        <w:t>12</w:t>
      </w:r>
      <w:r>
        <w:t>.</w:t>
      </w:r>
      <w:r>
        <w:tab/>
        <w:t>Port authorities to implement or facilitate merger and share costs</w:t>
      </w:r>
      <w:bookmarkEnd w:id="1138"/>
      <w:bookmarkEnd w:id="1139"/>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pPr>
      <w:r>
        <w:tab/>
        <w:t>(2)</w:t>
      </w:r>
      <w:r>
        <w:tab/>
        <w:t xml:space="preserve">Subclause (1) applies — </w:t>
      </w:r>
    </w:p>
    <w:p>
      <w:pPr>
        <w:pStyle w:val="yIndenta"/>
      </w:pPr>
      <w:r>
        <w:tab/>
        <w:t>(a)</w:t>
      </w:r>
      <w:r>
        <w:tab/>
        <w:t>before the merger time — to the merging authorities and the continuing authority; and</w:t>
      </w:r>
    </w:p>
    <w:p>
      <w:pPr>
        <w:pStyle w:val="yIndenta"/>
      </w:pPr>
      <w:r>
        <w:tab/>
        <w:t>(b)</w:t>
      </w:r>
      <w:r>
        <w:tab/>
        <w:t>after the merger time — to the SPA.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4(3);</w:t>
      </w:r>
    </w:p>
    <w:p>
      <w:pPr>
        <w:pStyle w:val="yIndenta"/>
      </w:pPr>
      <w:r>
        <w:tab/>
        <w:t>(b)</w:t>
      </w:r>
      <w:r>
        <w:tab/>
        <w:t>any remuneration payable to a person appointed under clause 6(5);</w:t>
      </w:r>
    </w:p>
    <w:p>
      <w:pPr>
        <w:pStyle w:val="yIndenta"/>
      </w:pPr>
      <w:r>
        <w:tab/>
        <w:t>(c)</w:t>
      </w:r>
      <w:r>
        <w:tab/>
        <w:t>the costs of the appointment process under clause 6(5);</w:t>
      </w:r>
    </w:p>
    <w:p>
      <w:pPr>
        <w:pStyle w:val="yIndenta"/>
      </w:pPr>
      <w:r>
        <w:tab/>
        <w:t>(d)</w:t>
      </w:r>
      <w:r>
        <w:tab/>
        <w:t>any other costs incurred by the new board under clause 5.</w:t>
      </w:r>
    </w:p>
    <w:p>
      <w:pPr>
        <w:pStyle w:val="ySubsection"/>
      </w:pPr>
      <w:r>
        <w:tab/>
        <w:t>(5)</w:t>
      </w:r>
      <w:r>
        <w:tab/>
        <w:t>Each of the merging authorities is to make a contribution to the continuing authority of one</w:t>
      </w:r>
      <w:r>
        <w:noBreakHyphen/>
        <w:t xml:space="preserve">third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authorities are to have regard and give effect to the determination.</w:t>
      </w:r>
    </w:p>
    <w:p>
      <w:pPr>
        <w:pStyle w:val="yFootnotesection"/>
      </w:pPr>
      <w:r>
        <w:tab/>
        <w:t>[Clause 12 inserted by No. 9 of 2014 s. 35.]</w:t>
      </w:r>
    </w:p>
    <w:p>
      <w:pPr>
        <w:pStyle w:val="yHeading5"/>
      </w:pPr>
      <w:bookmarkStart w:id="1140" w:name="_Toc389811815"/>
      <w:bookmarkStart w:id="1141" w:name="_Toc388863110"/>
      <w:r>
        <w:rPr>
          <w:rStyle w:val="CharSClsNo"/>
        </w:rPr>
        <w:t>13</w:t>
      </w:r>
      <w:r>
        <w:t>.</w:t>
      </w:r>
      <w:r>
        <w:tab/>
        <w:t>Financial reporting</w:t>
      </w:r>
      <w:bookmarkEnd w:id="1140"/>
      <w:bookmarkEnd w:id="1141"/>
    </w:p>
    <w:p>
      <w:pPr>
        <w:pStyle w:val="ySubsection"/>
      </w:pPr>
      <w:r>
        <w:tab/>
        <w:t>(1)</w:t>
      </w:r>
      <w:r>
        <w:tab/>
        <w:t xml:space="preserve">In this clause — </w:t>
      </w:r>
    </w:p>
    <w:p>
      <w:pPr>
        <w:pStyle w:val="yDefstart"/>
      </w:pPr>
      <w:r>
        <w:rPr>
          <w:i/>
          <w:iCs/>
        </w:rPr>
        <w:tab/>
      </w:r>
      <w:r>
        <w:rPr>
          <w:rStyle w:val="CharDefText"/>
          <w:iCs/>
        </w:rPr>
        <w:t>former directors</w:t>
      </w:r>
      <w:r>
        <w:t xml:space="preserve"> of a merging authority means the persons holding office as directors of the merging authority immediately before the merger time;</w:t>
      </w:r>
    </w:p>
    <w:p>
      <w:pPr>
        <w:pStyle w:val="yDefstart"/>
      </w:pPr>
      <w:r>
        <w:rPr>
          <w:i/>
          <w:iCs/>
        </w:rPr>
        <w:tab/>
      </w:r>
      <w:r>
        <w:rPr>
          <w:rStyle w:val="CharDefText"/>
          <w:iCs/>
        </w:rPr>
        <w:t>reporting board</w:t>
      </w:r>
      <w:r>
        <w:rPr>
          <w:rStyle w:val="CharDefText"/>
          <w:b w:val="0"/>
          <w:i w:val="0"/>
          <w:iCs/>
        </w:rPr>
        <w:t>,</w:t>
      </w:r>
      <w:r>
        <w:t xml:space="preserve"> in relation to a merging authority,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a </w:t>
      </w:r>
      <w:r>
        <w:t>merging</w:t>
      </w:r>
      <w:r>
        <w:rPr>
          <w:bCs/>
        </w:rPr>
        <w:t xml:space="preserve"> authority.</w:t>
      </w:r>
    </w:p>
    <w:p>
      <w:pPr>
        <w:pStyle w:val="ySubsection"/>
      </w:pPr>
      <w:r>
        <w:tab/>
        <w:t>(3)</w:t>
      </w:r>
      <w:r>
        <w:tab/>
        <w:t>The constitution of a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a merging authority, the reporting board for the merging authority is to comply with the reporting provisions in respect of the merging authority for that financial year.</w:t>
      </w:r>
    </w:p>
    <w:p>
      <w:pPr>
        <w:pStyle w:val="ySubsection"/>
      </w:pPr>
      <w:r>
        <w:tab/>
        <w:t>(5)</w:t>
      </w:r>
      <w:r>
        <w:tab/>
        <w:t xml:space="preserve">If the merger time is after the end of a financial year of a merging authority (the </w:t>
      </w:r>
      <w:r>
        <w:rPr>
          <w:rStyle w:val="CharDefText"/>
        </w:rPr>
        <w:t>last financial year</w:t>
      </w:r>
      <w:r>
        <w:t xml:space="preserve">), the reporting board for the merging authority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A reporting board must comply with any written directions given to it by the Minister as to the performance of its duties under this clause.</w:t>
      </w:r>
    </w:p>
    <w:p>
      <w:pPr>
        <w:pStyle w:val="ySubsection"/>
      </w:pPr>
      <w:r>
        <w:tab/>
        <w:t>(7)</w:t>
      </w:r>
      <w:r>
        <w:tab/>
        <w:t xml:space="preserve">In order to enable a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a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a reporting board and its members.</w:t>
      </w:r>
    </w:p>
    <w:p>
      <w:pPr>
        <w:pStyle w:val="ySubsection"/>
      </w:pPr>
      <w:r>
        <w:tab/>
        <w:t>(11)</w:t>
      </w:r>
      <w:r>
        <w:tab/>
        <w:t>The former directors of a merging authority are to hold office as members of the reporting board of the merging authority for as long as the reporting board remains constituted under subclause (2).</w:t>
      </w:r>
    </w:p>
    <w:p>
      <w:pPr>
        <w:pStyle w:val="ySubsection"/>
      </w:pPr>
      <w:r>
        <w:tab/>
        <w:t>(12)</w:t>
      </w:r>
      <w:r>
        <w:tab/>
        <w:t>If the office of a member of a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a reporting board are to be paid from the funds of the SPA.</w:t>
      </w:r>
    </w:p>
    <w:p>
      <w:pPr>
        <w:pStyle w:val="ySubsection"/>
      </w:pPr>
      <w:r>
        <w:tab/>
        <w:t>(14)</w:t>
      </w:r>
      <w:r>
        <w:tab/>
        <w:t xml:space="preserve">A member of a reporting board is to be taken to be a director of the SPA for the purposes of the </w:t>
      </w:r>
      <w:r>
        <w:rPr>
          <w:i/>
        </w:rPr>
        <w:t>Statutory Corporations (Liability of Directors) Act 1996</w:t>
      </w:r>
      <w:r>
        <w:t>.</w:t>
      </w:r>
    </w:p>
    <w:p>
      <w:pPr>
        <w:pStyle w:val="yFootnotesection"/>
      </w:pPr>
      <w:r>
        <w:tab/>
        <w:t>[Clause 13 inserted by No. 9 of 2014 s. 35.]</w:t>
      </w:r>
    </w:p>
    <w:p>
      <w:pPr>
        <w:pStyle w:val="yHeading5"/>
      </w:pPr>
      <w:bookmarkStart w:id="1142" w:name="_Toc389811816"/>
      <w:bookmarkStart w:id="1143" w:name="_Toc388863111"/>
      <w:r>
        <w:rPr>
          <w:rStyle w:val="CharSClsNo"/>
        </w:rPr>
        <w:t>14</w:t>
      </w:r>
      <w:r>
        <w:t>.</w:t>
      </w:r>
      <w:r>
        <w:tab/>
        <w:t>Dividends</w:t>
      </w:r>
      <w:bookmarkEnd w:id="1142"/>
      <w:bookmarkEnd w:id="1143"/>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a merging authority or its board, the SPA or its board is to perform the function after the merger time as if the SPA were the merging authority.</w:t>
      </w:r>
    </w:p>
    <w:p>
      <w:pPr>
        <w:pStyle w:val="ySubsection"/>
      </w:pPr>
      <w:r>
        <w:tab/>
        <w:t>(3)</w:t>
      </w:r>
      <w:r>
        <w:tab/>
        <w:t>If the merger time coincides with the end of a financial year of a merging authority, the SPA or its board is to perform the dividend functions in relation to that financial year as if the SPA were the merging authority.</w:t>
      </w:r>
    </w:p>
    <w:p>
      <w:pPr>
        <w:pStyle w:val="ySubsection"/>
      </w:pPr>
      <w:r>
        <w:tab/>
        <w:t>(4)</w:t>
      </w:r>
      <w:r>
        <w:tab/>
        <w:t>Any amount that has to be paid to the Treasurer in accordance with subclause (2) or (3) is to be paid from the funds of the SPA.</w:t>
      </w:r>
    </w:p>
    <w:p>
      <w:pPr>
        <w:pStyle w:val="yFootnotesection"/>
      </w:pPr>
      <w:r>
        <w:tab/>
        <w:t>[Clause 14 inserted by No. 9 of 2014 s. 35.]</w:t>
      </w:r>
    </w:p>
    <w:p>
      <w:pPr>
        <w:pStyle w:val="yHeading5"/>
      </w:pPr>
      <w:bookmarkStart w:id="1144" w:name="_Toc389811817"/>
      <w:bookmarkStart w:id="1145" w:name="_Toc388863112"/>
      <w:r>
        <w:rPr>
          <w:rStyle w:val="CharSClsNo"/>
        </w:rPr>
        <w:t>15</w:t>
      </w:r>
      <w:r>
        <w:t>.</w:t>
      </w:r>
      <w:r>
        <w:tab/>
        <w:t>Transitional regulations</w:t>
      </w:r>
      <w:bookmarkEnd w:id="1144"/>
      <w:bookmarkEnd w:id="1145"/>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15 inserted by No. 9 of 2014 s. 35.]</w:t>
      </w:r>
    </w:p>
    <w:p>
      <w:pPr>
        <w:pStyle w:val="yHeading4"/>
      </w:pPr>
      <w:bookmarkStart w:id="1146" w:name="_Toc389811818"/>
      <w:bookmarkStart w:id="1147" w:name="_Toc388519498"/>
      <w:bookmarkStart w:id="1148" w:name="_Toc388863113"/>
      <w:r>
        <w:t>Subdivision 3</w:t>
      </w:r>
      <w:r>
        <w:rPr>
          <w:b w:val="0"/>
        </w:rPr>
        <w:t> — </w:t>
      </w:r>
      <w:r>
        <w:t>Provisions for the Mid West Ports Authority</w:t>
      </w:r>
      <w:bookmarkEnd w:id="1146"/>
      <w:bookmarkEnd w:id="1147"/>
      <w:bookmarkEnd w:id="1148"/>
    </w:p>
    <w:p>
      <w:pPr>
        <w:pStyle w:val="yFootnoteheading"/>
        <w:spacing w:after="120"/>
      </w:pPr>
      <w:r>
        <w:tab/>
        <w:t>[Heading inserted by No. 9 of 2014 s. 35.]</w:t>
      </w:r>
    </w:p>
    <w:p>
      <w:pPr>
        <w:pStyle w:val="yHeading5"/>
      </w:pPr>
      <w:bookmarkStart w:id="1149" w:name="_Toc389811819"/>
      <w:bookmarkStart w:id="1150" w:name="_Toc388863114"/>
      <w:r>
        <w:rPr>
          <w:rStyle w:val="CharSClsNo"/>
        </w:rPr>
        <w:t>16</w:t>
      </w:r>
      <w:r>
        <w:t>.</w:t>
      </w:r>
      <w:r>
        <w:tab/>
        <w:t>Terms used</w:t>
      </w:r>
      <w:bookmarkEnd w:id="1149"/>
      <w:bookmarkEnd w:id="1150"/>
    </w:p>
    <w:p>
      <w:pPr>
        <w:pStyle w:val="ySubsection"/>
      </w:pPr>
      <w:r>
        <w:tab/>
      </w:r>
      <w:r>
        <w:tab/>
        <w:t xml:space="preserve">In this Subdivision, unless the contrary intention appears — </w:t>
      </w:r>
    </w:p>
    <w:p>
      <w:pPr>
        <w:pStyle w:val="yDefstart"/>
      </w:pPr>
      <w:r>
        <w:tab/>
      </w:r>
      <w:r>
        <w:rPr>
          <w:rStyle w:val="CharDefText"/>
        </w:rPr>
        <w:t>MWPA</w:t>
      </w:r>
      <w:r>
        <w:t xml:space="preserve"> means the port authority as renamed as the </w:t>
      </w:r>
      <w:r>
        <w:rPr>
          <w:szCs w:val="22"/>
        </w:rPr>
        <w:t xml:space="preserve">Mid West </w:t>
      </w:r>
      <w:r>
        <w:t>Ports Authority by operation of section 31(2) of the amending Act;</w:t>
      </w:r>
    </w:p>
    <w:p>
      <w:pPr>
        <w:pStyle w:val="yDefstart"/>
      </w:pPr>
      <w:r>
        <w:tab/>
      </w:r>
      <w:r>
        <w:rPr>
          <w:rStyle w:val="CharDefText"/>
        </w:rPr>
        <w:t>new board</w:t>
      </w:r>
      <w:r>
        <w:t xml:space="preserve"> means the board of directors established under clause 17(3);</w:t>
      </w:r>
    </w:p>
    <w:p>
      <w:pPr>
        <w:pStyle w:val="yDefstart"/>
      </w:pPr>
      <w:r>
        <w:tab/>
      </w:r>
      <w:r>
        <w:rPr>
          <w:rStyle w:val="CharDefText"/>
        </w:rPr>
        <w:t>port authority</w:t>
      </w:r>
      <w:r>
        <w:t xml:space="preserve"> means the Geraldton Port Authority;</w:t>
      </w:r>
    </w:p>
    <w:p>
      <w:pPr>
        <w:pStyle w:val="yDefstart"/>
      </w:pPr>
      <w:r>
        <w:tab/>
      </w:r>
      <w:r>
        <w:rPr>
          <w:rStyle w:val="CharDefText"/>
        </w:rPr>
        <w:t>renaming</w:t>
      </w:r>
      <w:r>
        <w:t xml:space="preserve"> means the action effected by the coming into operation of section 31(2) of the amending Act;</w:t>
      </w:r>
    </w:p>
    <w:p>
      <w:pPr>
        <w:pStyle w:val="yDefstart"/>
      </w:pPr>
      <w:r>
        <w:tab/>
      </w:r>
      <w:r>
        <w:rPr>
          <w:rStyle w:val="CharDefText"/>
        </w:rPr>
        <w:t>renaming time</w:t>
      </w:r>
      <w:r>
        <w:t xml:space="preserve"> means the time at which section 31(2) of the amending Act comes into operation;</w:t>
      </w:r>
    </w:p>
    <w:p>
      <w:pPr>
        <w:pStyle w:val="yDefstart"/>
      </w:pPr>
      <w:r>
        <w:tab/>
      </w:r>
      <w:r>
        <w:rPr>
          <w:rStyle w:val="CharDefText"/>
        </w:rPr>
        <w:t>transitional regulations</w:t>
      </w:r>
      <w:r>
        <w:t xml:space="preserve"> has the meaning given in clause 22(1).</w:t>
      </w:r>
    </w:p>
    <w:p>
      <w:pPr>
        <w:pStyle w:val="yFootnotesection"/>
      </w:pPr>
      <w:r>
        <w:tab/>
        <w:t>[Clause 16 inserted by No. 9 of 2014 s. 35.]</w:t>
      </w:r>
    </w:p>
    <w:p>
      <w:pPr>
        <w:pStyle w:val="yHeading5"/>
      </w:pPr>
      <w:bookmarkStart w:id="1151" w:name="_Toc389811820"/>
      <w:bookmarkStart w:id="1152" w:name="_Toc388863115"/>
      <w:r>
        <w:rPr>
          <w:rStyle w:val="CharSClsNo"/>
        </w:rPr>
        <w:t>17</w:t>
      </w:r>
      <w:r>
        <w:t>.</w:t>
      </w:r>
      <w:r>
        <w:tab/>
        <w:t>Directors and former directors</w:t>
      </w:r>
      <w:bookmarkEnd w:id="1151"/>
      <w:bookmarkEnd w:id="1152"/>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MWPA for the purposes of the </w:t>
      </w:r>
      <w:r>
        <w:rPr>
          <w:i/>
        </w:rPr>
        <w:t>Statutory Corporations (Liability of Directors) Act 1996</w:t>
      </w:r>
      <w:r>
        <w:t>.</w:t>
      </w:r>
    </w:p>
    <w:p>
      <w:pPr>
        <w:pStyle w:val="ySubsection"/>
      </w:pPr>
      <w:r>
        <w:tab/>
        <w:t>(3)</w:t>
      </w:r>
      <w:r>
        <w:tab/>
        <w:t>The board of directors of the MWPA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17 inserted by No. 9 of 2014 s. 35.]</w:t>
      </w:r>
    </w:p>
    <w:p>
      <w:pPr>
        <w:pStyle w:val="yHeading5"/>
      </w:pPr>
      <w:bookmarkStart w:id="1153" w:name="_Toc389811821"/>
      <w:bookmarkStart w:id="1154" w:name="_Toc388863116"/>
      <w:r>
        <w:rPr>
          <w:rStyle w:val="CharSClsNo"/>
        </w:rPr>
        <w:t>18</w:t>
      </w:r>
      <w:r>
        <w:t>.</w:t>
      </w:r>
      <w:r>
        <w:tab/>
        <w:t>Powers of new board in anticipation of renaming</w:t>
      </w:r>
      <w:bookmarkEnd w:id="1153"/>
      <w:bookmarkEnd w:id="1154"/>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18 inserted by No. 9 of 2014 s. 35.]</w:t>
      </w:r>
    </w:p>
    <w:p>
      <w:pPr>
        <w:pStyle w:val="yHeading5"/>
      </w:pPr>
      <w:bookmarkStart w:id="1155" w:name="_Toc389811822"/>
      <w:bookmarkStart w:id="1156" w:name="_Toc388863117"/>
      <w:r>
        <w:rPr>
          <w:rStyle w:val="CharSClsNo"/>
        </w:rPr>
        <w:t>19</w:t>
      </w:r>
      <w:r>
        <w:t>.</w:t>
      </w:r>
      <w:r>
        <w:tab/>
        <w:t>CEO and staff</w:t>
      </w:r>
      <w:bookmarkEnd w:id="1155"/>
      <w:bookmarkEnd w:id="1156"/>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MWPA.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18 include the power to appoint a person as the CEO of the MWPA before the renaming time.</w:t>
      </w:r>
    </w:p>
    <w:p>
      <w:pPr>
        <w:pStyle w:val="ySubsection"/>
      </w:pPr>
      <w:r>
        <w:tab/>
        <w:t>(6)</w:t>
      </w:r>
      <w:r>
        <w:tab/>
        <w:t>Until the renaming time a person appointed under subclause (5) may, as CEO of the MWPA,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19 inserted by No. 9 of 2014 s. 35.]</w:t>
      </w:r>
    </w:p>
    <w:p>
      <w:pPr>
        <w:pStyle w:val="yHeading5"/>
      </w:pPr>
      <w:bookmarkStart w:id="1157" w:name="_Toc389811823"/>
      <w:bookmarkStart w:id="1158" w:name="_Toc388863118"/>
      <w:r>
        <w:rPr>
          <w:rStyle w:val="CharSClsNo"/>
        </w:rPr>
        <w:t>20</w:t>
      </w:r>
      <w:r>
        <w:t>.</w:t>
      </w:r>
      <w:r>
        <w:tab/>
        <w:t>Agreements, instruments and documents</w:t>
      </w:r>
      <w:bookmarkEnd w:id="1157"/>
      <w:bookmarkEnd w:id="1158"/>
    </w:p>
    <w:p>
      <w:pPr>
        <w:pStyle w:val="ySubsection"/>
      </w:pPr>
      <w:r>
        <w:tab/>
        <w:t>(1)</w:t>
      </w:r>
      <w:r>
        <w:tab/>
        <w:t xml:space="preserve">In this clause — </w:t>
      </w:r>
    </w:p>
    <w:p>
      <w:pPr>
        <w:pStyle w:val="yDefstart"/>
      </w:pPr>
      <w:r>
        <w:tab/>
      </w:r>
      <w:r>
        <w:rPr>
          <w:rStyle w:val="CharDefText"/>
        </w:rPr>
        <w:t>former name</w:t>
      </w:r>
      <w:r>
        <w:t xml:space="preserve"> means “Geraldton Port Authority”;</w:t>
      </w:r>
    </w:p>
    <w:p>
      <w:pPr>
        <w:pStyle w:val="yDefstart"/>
      </w:pPr>
      <w:r>
        <w:tab/>
      </w:r>
      <w:r>
        <w:rPr>
          <w:rStyle w:val="CharDefText"/>
        </w:rPr>
        <w:t>new name</w:t>
      </w:r>
      <w:r>
        <w:t xml:space="preserve"> means “</w:t>
      </w:r>
      <w:r>
        <w:rPr>
          <w:szCs w:val="22"/>
        </w:rPr>
        <w:t>Mid West</w:t>
      </w:r>
      <w:r>
        <w:t xml:space="preserve"> Ports Authority”.</w:t>
      </w:r>
    </w:p>
    <w:p>
      <w:pPr>
        <w:pStyle w:val="ySubsection"/>
      </w:pPr>
      <w:r>
        <w:rPr>
          <w:b/>
        </w:rPr>
        <w:tab/>
      </w:r>
      <w:r>
        <w:t>(2)</w:t>
      </w:r>
      <w:r>
        <w:rPr>
          <w:b/>
        </w:rPr>
        <w:tab/>
      </w:r>
      <w:r>
        <w:t>A subsisting agreement, instrument or document that contains a reference to the MWPA by its former name has effect from the renaming time as if that reference were amended to be a reference to the MWPA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MWPA is a party to the agreement or instrument under its new name; and</w:t>
      </w:r>
    </w:p>
    <w:p>
      <w:pPr>
        <w:pStyle w:val="yIndenta"/>
      </w:pPr>
      <w:r>
        <w:tab/>
        <w:t>(b)</w:t>
      </w:r>
      <w:r>
        <w:tab/>
        <w:t>the agreement or instrument has effect as if a reference in it to the MWPA by its former name were amended to be a reference to the MWPA by its new name.</w:t>
      </w:r>
    </w:p>
    <w:p>
      <w:pPr>
        <w:pStyle w:val="ySubsection"/>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20 inserted by No. 9 of 2014 s. 35.]</w:t>
      </w:r>
    </w:p>
    <w:p>
      <w:pPr>
        <w:pStyle w:val="yHeading5"/>
      </w:pPr>
      <w:bookmarkStart w:id="1159" w:name="_Toc389811824"/>
      <w:bookmarkStart w:id="1160" w:name="_Toc388863119"/>
      <w:r>
        <w:rPr>
          <w:rStyle w:val="CharSClsNo"/>
        </w:rPr>
        <w:t>21</w:t>
      </w:r>
      <w:r>
        <w:t>.</w:t>
      </w:r>
      <w:r>
        <w:tab/>
        <w:t>Port authority to implement or facilitate renaming</w:t>
      </w:r>
      <w:bookmarkEnd w:id="1159"/>
      <w:bookmarkEnd w:id="1160"/>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MWPA.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17(3);</w:t>
      </w:r>
    </w:p>
    <w:p>
      <w:pPr>
        <w:pStyle w:val="yIndenta"/>
      </w:pPr>
      <w:r>
        <w:tab/>
        <w:t>(b)</w:t>
      </w:r>
      <w:r>
        <w:tab/>
        <w:t>any remuneration payable to a person appointed under clause 19(5);</w:t>
      </w:r>
    </w:p>
    <w:p>
      <w:pPr>
        <w:pStyle w:val="yIndenta"/>
      </w:pPr>
      <w:r>
        <w:tab/>
        <w:t>(c)</w:t>
      </w:r>
      <w:r>
        <w:tab/>
        <w:t>the costs of the appointment process under clause 19(5);</w:t>
      </w:r>
    </w:p>
    <w:p>
      <w:pPr>
        <w:pStyle w:val="yIndenta"/>
      </w:pPr>
      <w:r>
        <w:tab/>
        <w:t>(d)</w:t>
      </w:r>
      <w:r>
        <w:tab/>
        <w:t>any other costs incurred by the new board under clause 18.</w:t>
      </w:r>
    </w:p>
    <w:p>
      <w:pPr>
        <w:pStyle w:val="yFootnotesection"/>
      </w:pPr>
      <w:r>
        <w:tab/>
        <w:t>[Clause 21 inserted by No. 9 of 2014 s. 35.]</w:t>
      </w:r>
    </w:p>
    <w:p>
      <w:pPr>
        <w:pStyle w:val="yHeading5"/>
      </w:pPr>
      <w:bookmarkStart w:id="1161" w:name="_Toc389811825"/>
      <w:bookmarkStart w:id="1162" w:name="_Toc388863120"/>
      <w:r>
        <w:rPr>
          <w:rStyle w:val="CharSClsNo"/>
        </w:rPr>
        <w:t>22</w:t>
      </w:r>
      <w:r>
        <w:t>.</w:t>
      </w:r>
      <w:r>
        <w:tab/>
        <w:t>Transitional regulations</w:t>
      </w:r>
      <w:bookmarkEnd w:id="1161"/>
      <w:bookmarkEnd w:id="1162"/>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MWPA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22 inserted by No. 9 of 2014 s. 35.]</w:t>
      </w:r>
    </w:p>
    <w:p>
      <w:pPr>
        <w:pStyle w:val="yHeading4"/>
      </w:pPr>
      <w:bookmarkStart w:id="1163" w:name="_Toc389811826"/>
      <w:bookmarkStart w:id="1164" w:name="_Toc388519506"/>
      <w:bookmarkStart w:id="1165" w:name="_Toc388863121"/>
      <w:r>
        <w:t>Subdivision 4</w:t>
      </w:r>
      <w:r>
        <w:rPr>
          <w:b w:val="0"/>
        </w:rPr>
        <w:t> — </w:t>
      </w:r>
      <w:r>
        <w:t>Provisions for the Pilbara Ports Authority</w:t>
      </w:r>
      <w:bookmarkEnd w:id="1163"/>
      <w:bookmarkEnd w:id="1164"/>
      <w:bookmarkEnd w:id="1165"/>
    </w:p>
    <w:p>
      <w:pPr>
        <w:pStyle w:val="yFootnoteheading"/>
        <w:spacing w:after="120"/>
      </w:pPr>
      <w:r>
        <w:tab/>
        <w:t>[Heading inserted by No. 9 of 2014 s. 35.]</w:t>
      </w:r>
    </w:p>
    <w:p>
      <w:pPr>
        <w:pStyle w:val="yHeading5"/>
      </w:pPr>
      <w:bookmarkStart w:id="1166" w:name="_Toc389811827"/>
      <w:bookmarkStart w:id="1167" w:name="_Toc388863122"/>
      <w:r>
        <w:rPr>
          <w:rStyle w:val="CharSClsNo"/>
        </w:rPr>
        <w:t>23</w:t>
      </w:r>
      <w:r>
        <w:t>.</w:t>
      </w:r>
      <w:r>
        <w:tab/>
        <w:t>Terms used</w:t>
      </w:r>
      <w:bookmarkEnd w:id="1166"/>
      <w:bookmarkEnd w:id="1167"/>
    </w:p>
    <w:p>
      <w:pPr>
        <w:pStyle w:val="ySubsection"/>
      </w:pPr>
      <w:r>
        <w:tab/>
      </w:r>
      <w:r>
        <w:tab/>
        <w:t xml:space="preserve">In this Subdivision — </w:t>
      </w:r>
    </w:p>
    <w:p>
      <w:pPr>
        <w:pStyle w:val="yDefstart"/>
      </w:pPr>
      <w:r>
        <w:tab/>
      </w:r>
      <w:r>
        <w:rPr>
          <w:rStyle w:val="CharDefText"/>
        </w:rPr>
        <w:t>continuing authority</w:t>
      </w:r>
      <w:r>
        <w:t xml:space="preserve"> means the Port Hedland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31(3) of the amending Act; and</w:t>
      </w:r>
    </w:p>
    <w:p>
      <w:pPr>
        <w:pStyle w:val="yDefpara"/>
      </w:pPr>
      <w:r>
        <w:tab/>
        <w:t>(b)</w:t>
      </w:r>
      <w:r>
        <w:tab/>
        <w:t>the merging of the Dampier Port Authority into the PPA under clause 24(1);</w:t>
      </w:r>
    </w:p>
    <w:p>
      <w:pPr>
        <w:pStyle w:val="yDefstart"/>
      </w:pPr>
      <w:r>
        <w:tab/>
      </w:r>
      <w:r>
        <w:rPr>
          <w:rStyle w:val="CharDefText"/>
        </w:rPr>
        <w:t>merger time</w:t>
      </w:r>
      <w:r>
        <w:t xml:space="preserve"> means the time at which section 31(3) of the amending Act comes into operation;</w:t>
      </w:r>
    </w:p>
    <w:p>
      <w:pPr>
        <w:pStyle w:val="yDefstart"/>
      </w:pPr>
      <w:r>
        <w:tab/>
      </w:r>
      <w:r>
        <w:rPr>
          <w:rStyle w:val="CharDefText"/>
        </w:rPr>
        <w:t>merging authority</w:t>
      </w:r>
      <w:r>
        <w:t xml:space="preserve"> means the Dampier Port Authority;</w:t>
      </w:r>
    </w:p>
    <w:p>
      <w:pPr>
        <w:pStyle w:val="yDefstart"/>
      </w:pPr>
      <w:r>
        <w:tab/>
      </w:r>
      <w:r>
        <w:rPr>
          <w:rStyle w:val="CharDefText"/>
        </w:rPr>
        <w:t>new board</w:t>
      </w:r>
      <w:r>
        <w:t xml:space="preserve"> means the board of directors established under clause 25(3);</w:t>
      </w:r>
    </w:p>
    <w:p>
      <w:pPr>
        <w:pStyle w:val="yDefstart"/>
      </w:pPr>
      <w:r>
        <w:tab/>
      </w:r>
      <w:r>
        <w:rPr>
          <w:rStyle w:val="CharDefText"/>
        </w:rPr>
        <w:t>PPA</w:t>
      </w:r>
      <w:r>
        <w:t xml:space="preserve"> means the continuing authority as renamed as the Pilbara Ports Authority by operation of section 31(3)(b) of the amending Act;</w:t>
      </w:r>
    </w:p>
    <w:p>
      <w:pPr>
        <w:pStyle w:val="yDefstart"/>
      </w:pPr>
      <w:r>
        <w:tab/>
      </w:r>
      <w:r>
        <w:rPr>
          <w:rStyle w:val="CharDefText"/>
        </w:rPr>
        <w:t>transitional regulations</w:t>
      </w:r>
      <w:r>
        <w:t xml:space="preserve"> has the meaning given in clause 36(1).</w:t>
      </w:r>
    </w:p>
    <w:p>
      <w:pPr>
        <w:pStyle w:val="yFootnotesection"/>
      </w:pPr>
      <w:r>
        <w:tab/>
        <w:t>[Clause 23 inserted by No. 9 of 2014 s. 35.]</w:t>
      </w:r>
    </w:p>
    <w:p>
      <w:pPr>
        <w:pStyle w:val="yHeading5"/>
      </w:pPr>
      <w:bookmarkStart w:id="1168" w:name="_Toc389811828"/>
      <w:bookmarkStart w:id="1169" w:name="_Toc388863123"/>
      <w:r>
        <w:rPr>
          <w:rStyle w:val="CharSClsNo"/>
        </w:rPr>
        <w:t>24</w:t>
      </w:r>
      <w:r>
        <w:t>.</w:t>
      </w:r>
      <w:r>
        <w:tab/>
        <w:t>Merger of Dampier Port Authority into Pilbara Ports Authority</w:t>
      </w:r>
      <w:bookmarkEnd w:id="1168"/>
      <w:bookmarkEnd w:id="1169"/>
    </w:p>
    <w:p>
      <w:pPr>
        <w:pStyle w:val="ySubsection"/>
      </w:pPr>
      <w:r>
        <w:tab/>
        <w:t>(1)</w:t>
      </w:r>
      <w:r>
        <w:tab/>
        <w:t>At the merger time the Dampier Port Authority ceases to be a port authority under this Act and merges into the PPA.</w:t>
      </w:r>
    </w:p>
    <w:p>
      <w:pPr>
        <w:pStyle w:val="ySubsection"/>
      </w:pPr>
      <w:r>
        <w:tab/>
        <w:t>(2)</w:t>
      </w:r>
      <w:r>
        <w:tab/>
        <w:t>From the merger time the PPA is a continuation of the merging authority.</w:t>
      </w:r>
    </w:p>
    <w:p>
      <w:pPr>
        <w:pStyle w:val="yFootnotesection"/>
      </w:pPr>
      <w:r>
        <w:tab/>
        <w:t>[Clause 24 inserted by No. 9 of 2014 s. 35.]</w:t>
      </w:r>
    </w:p>
    <w:p>
      <w:pPr>
        <w:pStyle w:val="yHeading5"/>
      </w:pPr>
      <w:bookmarkStart w:id="1170" w:name="_Toc389811829"/>
      <w:bookmarkStart w:id="1171" w:name="_Toc388863124"/>
      <w:r>
        <w:rPr>
          <w:rStyle w:val="CharSClsNo"/>
        </w:rPr>
        <w:t>25</w:t>
      </w:r>
      <w:r>
        <w:t>.</w:t>
      </w:r>
      <w:r>
        <w:tab/>
        <w:t>Directors and former directors</w:t>
      </w:r>
      <w:bookmarkEnd w:id="1170"/>
      <w:bookmarkEnd w:id="1171"/>
    </w:p>
    <w:p>
      <w:pPr>
        <w:pStyle w:val="ySubsection"/>
      </w:pPr>
      <w:r>
        <w:tab/>
        <w:t>(1)</w:t>
      </w:r>
      <w:r>
        <w:tab/>
        <w:t>Immediately before the merger time a person then holding office as a director of the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the merging authority is to be taken to be a former director of the PPA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PPA for the purposes of the </w:t>
      </w:r>
      <w:r>
        <w:rPr>
          <w:i/>
        </w:rPr>
        <w:t>Statutory Corporations (Liability of Directors) Act 1996</w:t>
      </w:r>
      <w:r>
        <w:t>.</w:t>
      </w:r>
    </w:p>
    <w:p>
      <w:pPr>
        <w:pStyle w:val="ySubsection"/>
      </w:pPr>
      <w:r>
        <w:tab/>
        <w:t>(3)</w:t>
      </w:r>
      <w:r>
        <w:tab/>
        <w:t>The board of directors of the PPA may be established by the appointment of directors before the merger time.</w:t>
      </w:r>
    </w:p>
    <w:p>
      <w:pPr>
        <w:pStyle w:val="ySubsection"/>
      </w:pPr>
      <w:r>
        <w:tab/>
        <w:t>(4)</w:t>
      </w:r>
      <w:r>
        <w:tab/>
        <w:t>For the purposes of Schedule 2 clause 1, the term of office of a director appointed under subclause (3) does not begin until the merger time.</w:t>
      </w:r>
    </w:p>
    <w:p>
      <w:pPr>
        <w:pStyle w:val="ySubsection"/>
      </w:pPr>
      <w:r>
        <w:tab/>
        <w:t>(5)</w:t>
      </w:r>
      <w:r>
        <w:tab/>
        <w:t>Nothing in this Schedule prevents a person who is a director of an existing port authority from being appointed under subclause (3).</w:t>
      </w:r>
    </w:p>
    <w:p>
      <w:pPr>
        <w:pStyle w:val="yFootnotesection"/>
      </w:pPr>
      <w:r>
        <w:tab/>
        <w:t>[Clause 25 inserted by No. 9 of 2014 s. 35.]</w:t>
      </w:r>
    </w:p>
    <w:p>
      <w:pPr>
        <w:pStyle w:val="yHeading5"/>
      </w:pPr>
      <w:bookmarkStart w:id="1172" w:name="_Toc389811830"/>
      <w:bookmarkStart w:id="1173" w:name="_Toc388863125"/>
      <w:r>
        <w:rPr>
          <w:rStyle w:val="CharSClsNo"/>
        </w:rPr>
        <w:t>26</w:t>
      </w:r>
      <w:r>
        <w:t>.</w:t>
      </w:r>
      <w:r>
        <w:tab/>
        <w:t>Powers of new board in anticipation of merger</w:t>
      </w:r>
      <w:bookmarkEnd w:id="1172"/>
      <w:bookmarkEnd w:id="1173"/>
      <w:r>
        <w:t xml:space="preserve"> </w:t>
      </w:r>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pPr>
      <w:r>
        <w:tab/>
        <w:t>(3)</w:t>
      </w:r>
      <w:r>
        <w:tab/>
        <w:t>For the purposes of subclause (1) the new board may incur costs for which the continuing authority is liable.</w:t>
      </w:r>
    </w:p>
    <w:p>
      <w:pPr>
        <w:pStyle w:val="yFootnotesection"/>
      </w:pPr>
      <w:r>
        <w:tab/>
        <w:t>[Clause 26 inserted by No. 9 of 2014 s. 35.]</w:t>
      </w:r>
    </w:p>
    <w:p>
      <w:pPr>
        <w:pStyle w:val="yHeading5"/>
      </w:pPr>
      <w:bookmarkStart w:id="1174" w:name="_Toc389811831"/>
      <w:bookmarkStart w:id="1175" w:name="_Toc388863126"/>
      <w:r>
        <w:rPr>
          <w:rStyle w:val="CharSClsNo"/>
        </w:rPr>
        <w:t>27</w:t>
      </w:r>
      <w:r>
        <w:t>.</w:t>
      </w:r>
      <w:r>
        <w:tab/>
        <w:t>CEOs and members of staff</w:t>
      </w:r>
      <w:bookmarkEnd w:id="1174"/>
      <w:bookmarkEnd w:id="1175"/>
      <w:r>
        <w:t xml:space="preserve"> </w:t>
      </w:r>
    </w:p>
    <w:p>
      <w:pPr>
        <w:pStyle w:val="ySubsection"/>
      </w:pPr>
      <w:r>
        <w:tab/>
        <w:t>(1)</w:t>
      </w:r>
      <w:r>
        <w:tab/>
        <w:t>Immediately before the merger time a person then holding office as the CEO of the continuing authority or the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the merging authority,</w:t>
      </w:r>
    </w:p>
    <w:p>
      <w:pPr>
        <w:pStyle w:val="ySubsection"/>
      </w:pPr>
      <w:r>
        <w:tab/>
      </w:r>
      <w:r>
        <w:tab/>
        <w:t>immediately before the merger time becomes a member of staff of the PPA.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the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26 include the power to appoint a person as the CEO of the PPA before the merger time.</w:t>
      </w:r>
    </w:p>
    <w:p>
      <w:pPr>
        <w:pStyle w:val="ySubsection"/>
      </w:pPr>
      <w:r>
        <w:tab/>
        <w:t>(6)</w:t>
      </w:r>
      <w:r>
        <w:tab/>
        <w:t>Until the merger time a person appointed under subclause (5) may, as CEO of the PPA, perform any function of a CEO of a port authority for the purpose of providing for, implementing or facilitating the merger.</w:t>
      </w:r>
    </w:p>
    <w:p>
      <w:pPr>
        <w:pStyle w:val="yFootnotesection"/>
      </w:pPr>
      <w:r>
        <w:tab/>
        <w:t>[Clause 27 inserted by No. 9 of 2014 s. 35.]</w:t>
      </w:r>
    </w:p>
    <w:p>
      <w:pPr>
        <w:pStyle w:val="yHeading5"/>
      </w:pPr>
      <w:bookmarkStart w:id="1176" w:name="_Toc389811832"/>
      <w:bookmarkStart w:id="1177" w:name="_Toc388863127"/>
      <w:r>
        <w:rPr>
          <w:rStyle w:val="CharSClsNo"/>
        </w:rPr>
        <w:t>28</w:t>
      </w:r>
      <w:r>
        <w:t>.</w:t>
      </w:r>
      <w:r>
        <w:tab/>
        <w:t>Preservation of rights</w:t>
      </w:r>
      <w:bookmarkEnd w:id="1176"/>
      <w:bookmarkEnd w:id="1177"/>
    </w:p>
    <w:p>
      <w:pPr>
        <w:pStyle w:val="ySubsection"/>
      </w:pPr>
      <w:r>
        <w:tab/>
        <w:t>(1)</w:t>
      </w:r>
      <w:r>
        <w:tab/>
        <w:t>Except as otherwise agreed by the relevant CEO or member of staff, the operation of clause 27(1)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the merging authority is to be taken to have been with the PPA.</w:t>
      </w:r>
    </w:p>
    <w:p>
      <w:pPr>
        <w:pStyle w:val="ySubsection"/>
      </w:pPr>
      <w:r>
        <w:tab/>
        <w:t>(3)</w:t>
      </w:r>
      <w:r>
        <w:tab/>
        <w:t>If a person who is the CEO or a member of staff of the continuing authority or the merging authority is appointed under clause 27(5),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the merging authority, his or her service with the merging authority is to be taken, for the purposes of paragraph (c), to have been with the PPA.</w:t>
      </w:r>
    </w:p>
    <w:p>
      <w:pPr>
        <w:pStyle w:val="ySubsection"/>
      </w:pPr>
      <w:r>
        <w:tab/>
        <w:t>(4)</w:t>
      </w:r>
      <w:r>
        <w:tab/>
        <w:t>Nothing in clause 27 or this clause prevents the exercise by the PPA of its powers in relation to the management of members of staff.</w:t>
      </w:r>
    </w:p>
    <w:p>
      <w:pPr>
        <w:pStyle w:val="yFootnotesection"/>
      </w:pPr>
      <w:r>
        <w:tab/>
        <w:t>[Clause 28 inserted by No. 9 of 2014 s. 35.]</w:t>
      </w:r>
    </w:p>
    <w:p>
      <w:pPr>
        <w:pStyle w:val="yHeading5"/>
      </w:pPr>
      <w:bookmarkStart w:id="1178" w:name="_Toc389811833"/>
      <w:bookmarkStart w:id="1179" w:name="_Toc388863128"/>
      <w:r>
        <w:rPr>
          <w:rStyle w:val="CharSClsNo"/>
        </w:rPr>
        <w:t>29</w:t>
      </w:r>
      <w:r>
        <w:t>.</w:t>
      </w:r>
      <w:r>
        <w:tab/>
        <w:t>Devolution of assets, liabilities, proceedings, remedies and immunities</w:t>
      </w:r>
      <w:bookmarkEnd w:id="1178"/>
      <w:bookmarkEnd w:id="1179"/>
    </w:p>
    <w:p>
      <w:pPr>
        <w:pStyle w:val="ySubsection"/>
      </w:pPr>
      <w:r>
        <w:tab/>
        <w:t>(1)</w:t>
      </w:r>
      <w:r>
        <w:tab/>
        <w:t xml:space="preserve">At the merger time — </w:t>
      </w:r>
    </w:p>
    <w:p>
      <w:pPr>
        <w:pStyle w:val="yIndenta"/>
      </w:pPr>
      <w:r>
        <w:tab/>
        <w:t>(a)</w:t>
      </w:r>
      <w:r>
        <w:tab/>
        <w:t>the assets and rights of the merging authority that were immediately before that time vested in or the property of the merging authority vest in or become the property of the PPA by force of this clause; and</w:t>
      </w:r>
    </w:p>
    <w:p>
      <w:pPr>
        <w:pStyle w:val="yIndenta"/>
      </w:pPr>
      <w:r>
        <w:tab/>
        <w:t>(b)</w:t>
      </w:r>
      <w:r>
        <w:tab/>
        <w:t>the liabilities of the merging authority immediately before that time become, by force of this clause, the liabilities of the PPA.</w:t>
      </w:r>
    </w:p>
    <w:p>
      <w:pPr>
        <w:pStyle w:val="ySubsection"/>
      </w:pPr>
      <w:r>
        <w:tab/>
        <w:t>(2)</w:t>
      </w:r>
      <w:r>
        <w:tab/>
        <w:t xml:space="preserve">For the purposes of section 26, </w:t>
      </w:r>
      <w:r>
        <w:rPr>
          <w:snapToGrid w:val="0"/>
        </w:rPr>
        <w:t xml:space="preserve">property referred to in section 25(2)(a) that becomes the property of the PPA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PPA for the purposes of section 84, assets </w:t>
      </w:r>
      <w:r>
        <w:rPr>
          <w:snapToGrid w:val="0"/>
        </w:rPr>
        <w:t xml:space="preserve">that become the property of the PPA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the merging authority may be brought or continued by, and are or is available against or to, the PPA.</w:t>
      </w:r>
    </w:p>
    <w:p>
      <w:pPr>
        <w:pStyle w:val="ySubsection"/>
      </w:pPr>
      <w:r>
        <w:tab/>
        <w:t>(5)</w:t>
      </w:r>
      <w:r>
        <w:tab/>
        <w:t>Where the merging authority had the benefit of any immunity in respect of an act, matter or thing done or omitted before the merger time, that immunity continues in that respect for the benefit of the PPA.</w:t>
      </w:r>
    </w:p>
    <w:p>
      <w:pPr>
        <w:pStyle w:val="ySubsection"/>
      </w:pPr>
      <w:r>
        <w:tab/>
        <w:t>(6)</w:t>
      </w:r>
      <w:r>
        <w:tab/>
        <w:t>As soon as is practicable after the merger time, all papers, documents, minutes, books of account and other records (however compiled, recorded or stored) relating to the operations of the merging authority are to be delivered to the PPA.</w:t>
      </w:r>
    </w:p>
    <w:p>
      <w:pPr>
        <w:pStyle w:val="yFootnotesection"/>
      </w:pPr>
      <w:r>
        <w:tab/>
        <w:t>[Clause 29 inserted by No. 9 of 2014 s. 35.]</w:t>
      </w:r>
    </w:p>
    <w:p>
      <w:pPr>
        <w:pStyle w:val="yHeading5"/>
      </w:pPr>
      <w:bookmarkStart w:id="1180" w:name="_Toc389811834"/>
      <w:bookmarkStart w:id="1181" w:name="_Toc388863129"/>
      <w:r>
        <w:rPr>
          <w:rStyle w:val="CharSClsNo"/>
        </w:rPr>
        <w:t>30</w:t>
      </w:r>
      <w:r>
        <w:t>.</w:t>
      </w:r>
      <w:r>
        <w:tab/>
        <w:t>Completion of things commenced</w:t>
      </w:r>
      <w:bookmarkEnd w:id="1180"/>
      <w:bookmarkEnd w:id="1181"/>
    </w:p>
    <w:p>
      <w:pPr>
        <w:pStyle w:val="ySubsection"/>
      </w:pPr>
      <w:r>
        <w:tab/>
      </w:r>
      <w:r>
        <w:tab/>
        <w:t>Anything commenced to be done by the merging authority before the merger time may be continued by the PPA.</w:t>
      </w:r>
    </w:p>
    <w:p>
      <w:pPr>
        <w:pStyle w:val="yFootnotesection"/>
      </w:pPr>
      <w:r>
        <w:tab/>
        <w:t>[Clause 30 inserted by No. 9 of 2014 s. 35.]</w:t>
      </w:r>
    </w:p>
    <w:p>
      <w:pPr>
        <w:pStyle w:val="yHeading5"/>
      </w:pPr>
      <w:bookmarkStart w:id="1182" w:name="_Toc389811835"/>
      <w:bookmarkStart w:id="1183" w:name="_Toc388863130"/>
      <w:r>
        <w:rPr>
          <w:rStyle w:val="CharSClsNo"/>
        </w:rPr>
        <w:t>31</w:t>
      </w:r>
      <w:r>
        <w:t>.</w:t>
      </w:r>
      <w:r>
        <w:tab/>
        <w:t>Continuing effect of things done</w:t>
      </w:r>
      <w:bookmarkEnd w:id="1182"/>
      <w:bookmarkEnd w:id="1183"/>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the merging authority.</w:t>
      </w:r>
    </w:p>
    <w:p>
      <w:pPr>
        <w:pStyle w:val="ySubsection"/>
      </w:pPr>
      <w:r>
        <w:tab/>
        <w:t>(2)</w:t>
      </w:r>
      <w:r>
        <w:tab/>
        <w:t>To the extent that a relevant act has force or significance at the merger time it is to be taken, from the merger time, to have been done or omitted by, to or in respect of the PPA so far as the act, matter or thing is relevant to the PPA.</w:t>
      </w:r>
    </w:p>
    <w:p>
      <w:pPr>
        <w:pStyle w:val="ySubsection"/>
      </w:pPr>
      <w:r>
        <w:tab/>
        <w:t>(3)</w:t>
      </w:r>
      <w:r>
        <w:tab/>
        <w:t>This clause does not affect the operation of any other provision of this Schedule.</w:t>
      </w:r>
    </w:p>
    <w:p>
      <w:pPr>
        <w:pStyle w:val="yFootnotesection"/>
      </w:pPr>
      <w:r>
        <w:tab/>
        <w:t>[Clause 31 inserted by No. 9 of 2014 s. 35.]</w:t>
      </w:r>
    </w:p>
    <w:p>
      <w:pPr>
        <w:pStyle w:val="yHeading5"/>
      </w:pPr>
      <w:bookmarkStart w:id="1184" w:name="_Toc389811836"/>
      <w:bookmarkStart w:id="1185" w:name="_Toc388863131"/>
      <w:r>
        <w:rPr>
          <w:rStyle w:val="CharSClsNo"/>
        </w:rPr>
        <w:t>32</w:t>
      </w:r>
      <w:r>
        <w:t>.</w:t>
      </w:r>
      <w:r>
        <w:tab/>
        <w:t>Agreements, instruments and documents</w:t>
      </w:r>
      <w:bookmarkEnd w:id="1184"/>
      <w:bookmarkEnd w:id="1185"/>
    </w:p>
    <w:p>
      <w:pPr>
        <w:pStyle w:val="ySubsection"/>
      </w:pPr>
      <w:r>
        <w:tab/>
        <w:t>(1)</w:t>
      </w:r>
      <w:r>
        <w:tab/>
        <w:t xml:space="preserve">In this clause — </w:t>
      </w:r>
    </w:p>
    <w:p>
      <w:pPr>
        <w:pStyle w:val="yDefstart"/>
      </w:pPr>
      <w:r>
        <w:tab/>
      </w:r>
      <w:r>
        <w:rPr>
          <w:rStyle w:val="CharDefText"/>
        </w:rPr>
        <w:t>former name</w:t>
      </w:r>
      <w:r>
        <w:t xml:space="preserve"> means “Port Hedland Port Authority”;</w:t>
      </w:r>
    </w:p>
    <w:p>
      <w:pPr>
        <w:pStyle w:val="yDefstart"/>
      </w:pPr>
      <w:r>
        <w:tab/>
      </w:r>
      <w:r>
        <w:rPr>
          <w:rStyle w:val="CharDefText"/>
        </w:rPr>
        <w:t>new name</w:t>
      </w:r>
      <w:r>
        <w:t xml:space="preserve"> means “Pilbara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PPA by its former name has effect from the merger time as if that reference were amended to be a reference to the PPA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PPA is a party to the agreement or instrument under its new name; and</w:t>
      </w:r>
    </w:p>
    <w:p>
      <w:pPr>
        <w:pStyle w:val="yIndenta"/>
      </w:pPr>
      <w:r>
        <w:tab/>
        <w:t>(b)</w:t>
      </w:r>
      <w:r>
        <w:tab/>
        <w:t>the agreement or instrument has effect as if a reference in it to the PPA by its former name were amended to be a reference to the PPA by its new name.</w:t>
      </w:r>
    </w:p>
    <w:p>
      <w:pPr>
        <w:pStyle w:val="ySubsection"/>
      </w:pPr>
      <w:r>
        <w:tab/>
        <w:t>(5)</w:t>
      </w:r>
      <w:r>
        <w:tab/>
        <w:t>A subsisting agreement, instrument or document that contains a reference to the merging authority has effect from the merger time as if that reference were amended to be or include a reference to the PPA.</w:t>
      </w:r>
    </w:p>
    <w:p>
      <w:pPr>
        <w:pStyle w:val="ySubsection"/>
      </w:pPr>
      <w:r>
        <w:tab/>
        <w:t>(6)</w:t>
      </w:r>
      <w:r>
        <w:tab/>
        <w:t>Subclause (5) does not apply to an agreement or instrument to which the merging authority was a party.</w:t>
      </w:r>
    </w:p>
    <w:p>
      <w:pPr>
        <w:pStyle w:val="ySubsection"/>
      </w:pPr>
      <w:r>
        <w:tab/>
        <w:t>(7)</w:t>
      </w:r>
      <w:r>
        <w:tab/>
        <w:t xml:space="preserve">A subsisting agreement or instrument to which the merging authority was a party has effect from the merger time as if — </w:t>
      </w:r>
    </w:p>
    <w:p>
      <w:pPr>
        <w:pStyle w:val="yIndenta"/>
      </w:pPr>
      <w:r>
        <w:tab/>
        <w:t>(a)</w:t>
      </w:r>
      <w:r>
        <w:tab/>
        <w:t>the PPA were substituted for the merging authority as a party to the agreement or instrument; and</w:t>
      </w:r>
    </w:p>
    <w:p>
      <w:pPr>
        <w:pStyle w:val="yIndenta"/>
      </w:pPr>
      <w:r>
        <w:tab/>
        <w:t>(b)</w:t>
      </w:r>
      <w:r>
        <w:tab/>
        <w:t>a reference to the merging authority in the agreement or instrument were amended to be a reference to the PPA.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32 inserted by No. 9 of 2014 s. 35.]</w:t>
      </w:r>
    </w:p>
    <w:p>
      <w:pPr>
        <w:pStyle w:val="yHeading5"/>
      </w:pPr>
      <w:bookmarkStart w:id="1186" w:name="_Toc389811837"/>
      <w:bookmarkStart w:id="1187" w:name="_Toc388863132"/>
      <w:r>
        <w:rPr>
          <w:rStyle w:val="CharSClsNo"/>
        </w:rPr>
        <w:t>33</w:t>
      </w:r>
      <w:r>
        <w:t>.</w:t>
      </w:r>
      <w:r>
        <w:tab/>
        <w:t>Port authorities to implement or facilitate merger and share costs</w:t>
      </w:r>
      <w:bookmarkEnd w:id="1186"/>
      <w:bookmarkEnd w:id="1187"/>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pPr>
      <w:r>
        <w:tab/>
        <w:t>(2)</w:t>
      </w:r>
      <w:r>
        <w:tab/>
        <w:t xml:space="preserve">Subclause (1) applies — </w:t>
      </w:r>
    </w:p>
    <w:p>
      <w:pPr>
        <w:pStyle w:val="yIndenta"/>
      </w:pPr>
      <w:r>
        <w:tab/>
        <w:t>(a)</w:t>
      </w:r>
      <w:r>
        <w:tab/>
        <w:t>before the merger time — to the merging authority and the continuing authority; and</w:t>
      </w:r>
    </w:p>
    <w:p>
      <w:pPr>
        <w:pStyle w:val="yIndenta"/>
      </w:pPr>
      <w:r>
        <w:tab/>
        <w:t>(b)</w:t>
      </w:r>
      <w:r>
        <w:tab/>
        <w:t>after the merger time — to the PPA.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25(3);</w:t>
      </w:r>
    </w:p>
    <w:p>
      <w:pPr>
        <w:pStyle w:val="yIndenta"/>
      </w:pPr>
      <w:r>
        <w:tab/>
        <w:t>(b)</w:t>
      </w:r>
      <w:r>
        <w:tab/>
        <w:t>any remuneration payable to a person appointed under clause 27(5);</w:t>
      </w:r>
    </w:p>
    <w:p>
      <w:pPr>
        <w:pStyle w:val="yIndenta"/>
      </w:pPr>
      <w:r>
        <w:tab/>
        <w:t>(c)</w:t>
      </w:r>
      <w:r>
        <w:tab/>
        <w:t>the costs of the appointment process under clause 27(5);</w:t>
      </w:r>
    </w:p>
    <w:p>
      <w:pPr>
        <w:pStyle w:val="yIndenta"/>
      </w:pPr>
      <w:r>
        <w:tab/>
        <w:t>(d)</w:t>
      </w:r>
      <w:r>
        <w:tab/>
        <w:t>any other costs incurred by the new board under clause 26.</w:t>
      </w:r>
    </w:p>
    <w:p>
      <w:pPr>
        <w:pStyle w:val="ySubsection"/>
      </w:pPr>
      <w:r>
        <w:tab/>
        <w:t>(5)</w:t>
      </w:r>
      <w:r>
        <w:tab/>
        <w:t>The merging authority is to make a contribution to the continuing authority of one</w:t>
      </w:r>
      <w:r>
        <w:noBreakHyphen/>
        <w:t xml:space="preserve">half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authority are to have regard and give effect to the determination.</w:t>
      </w:r>
    </w:p>
    <w:p>
      <w:pPr>
        <w:pStyle w:val="yFootnotesection"/>
      </w:pPr>
      <w:r>
        <w:tab/>
        <w:t>[Clause 33 inserted by No. 9 of 2014 s. 35.]</w:t>
      </w:r>
    </w:p>
    <w:p>
      <w:pPr>
        <w:pStyle w:val="yHeading5"/>
      </w:pPr>
      <w:bookmarkStart w:id="1188" w:name="_Toc389811838"/>
      <w:bookmarkStart w:id="1189" w:name="_Toc388863133"/>
      <w:r>
        <w:rPr>
          <w:rStyle w:val="CharSClsNo"/>
        </w:rPr>
        <w:t>34</w:t>
      </w:r>
      <w:r>
        <w:t>.</w:t>
      </w:r>
      <w:r>
        <w:tab/>
        <w:t>Financial reporting</w:t>
      </w:r>
      <w:bookmarkEnd w:id="1188"/>
      <w:bookmarkEnd w:id="1189"/>
    </w:p>
    <w:p>
      <w:pPr>
        <w:pStyle w:val="ySubsection"/>
      </w:pPr>
      <w:r>
        <w:tab/>
        <w:t>(1)</w:t>
      </w:r>
      <w:r>
        <w:tab/>
        <w:t xml:space="preserve">In this clause — </w:t>
      </w:r>
    </w:p>
    <w:p>
      <w:pPr>
        <w:pStyle w:val="yDefstart"/>
      </w:pPr>
      <w:r>
        <w:rPr>
          <w:i/>
          <w:iCs/>
        </w:rPr>
        <w:tab/>
      </w:r>
      <w:r>
        <w:rPr>
          <w:rStyle w:val="CharDefText"/>
          <w:iCs/>
        </w:rPr>
        <w:t>former directors</w:t>
      </w:r>
      <w:r>
        <w:t xml:space="preserve"> of the merging authority means the persons holding office as directors of the merging authority immediately before the merger time;</w:t>
      </w:r>
    </w:p>
    <w:p>
      <w:pPr>
        <w:pStyle w:val="yDefstart"/>
      </w:pPr>
      <w:r>
        <w:rPr>
          <w:i/>
          <w:iCs/>
        </w:rPr>
        <w:tab/>
      </w:r>
      <w:r>
        <w:rPr>
          <w:rStyle w:val="CharDefText"/>
          <w:iCs/>
        </w:rPr>
        <w:t>reporting board</w:t>
      </w:r>
      <w:r>
        <w:t xml:space="preserve">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the </w:t>
      </w:r>
      <w:r>
        <w:t>merging</w:t>
      </w:r>
      <w:r>
        <w:rPr>
          <w:bCs/>
        </w:rPr>
        <w:t xml:space="preserve"> authority.</w:t>
      </w:r>
    </w:p>
    <w:p>
      <w:pPr>
        <w:pStyle w:val="ySubsection"/>
      </w:pPr>
      <w:r>
        <w:tab/>
        <w:t>(3)</w:t>
      </w:r>
      <w:r>
        <w:tab/>
        <w:t>The constitution of the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the merging authority, the reporting board is to comply with the reporting provisions in respect of the merging authority for that financial year.</w:t>
      </w:r>
    </w:p>
    <w:p>
      <w:pPr>
        <w:pStyle w:val="ySubsection"/>
      </w:pPr>
      <w:r>
        <w:tab/>
        <w:t>(5)</w:t>
      </w:r>
      <w:r>
        <w:tab/>
        <w:t xml:space="preserve">If the merger time is after the end of a financial year of the merging authority (the </w:t>
      </w:r>
      <w:r>
        <w:rPr>
          <w:rStyle w:val="CharDefText"/>
        </w:rPr>
        <w:t>last financial year</w:t>
      </w:r>
      <w:r>
        <w:t xml:space="preserve">), the reporting board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The reporting board must comply with any written directions given to it by the Minister as to the performance of its duties under this clause.</w:t>
      </w:r>
    </w:p>
    <w:p>
      <w:pPr>
        <w:pStyle w:val="ySubsection"/>
      </w:pPr>
      <w:r>
        <w:tab/>
        <w:t>(7)</w:t>
      </w:r>
      <w:r>
        <w:tab/>
        <w:t xml:space="preserve">In order to enable the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the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the reporting board and its members.</w:t>
      </w:r>
    </w:p>
    <w:p>
      <w:pPr>
        <w:pStyle w:val="ySubsection"/>
      </w:pPr>
      <w:r>
        <w:tab/>
        <w:t>(11)</w:t>
      </w:r>
      <w:r>
        <w:tab/>
        <w:t>The former directors of the merging authority are to hold office as members of the reporting board for as long as the reporting board remains constituted under subclause (2).</w:t>
      </w:r>
    </w:p>
    <w:p>
      <w:pPr>
        <w:pStyle w:val="ySubsection"/>
      </w:pPr>
      <w:r>
        <w:tab/>
        <w:t>(12)</w:t>
      </w:r>
      <w:r>
        <w:tab/>
        <w:t>If the office of a member of the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the reporting board are to be paid from the funds of the PPA.</w:t>
      </w:r>
    </w:p>
    <w:p>
      <w:pPr>
        <w:pStyle w:val="ySubsection"/>
      </w:pPr>
      <w:r>
        <w:tab/>
        <w:t>(14)</w:t>
      </w:r>
      <w:r>
        <w:tab/>
        <w:t xml:space="preserve">A member of the reporting board is to be taken to be a director of the PPA for the purposes of the </w:t>
      </w:r>
      <w:r>
        <w:rPr>
          <w:i/>
        </w:rPr>
        <w:t>Statutory Corporations (Liability of Directors) Act 1996</w:t>
      </w:r>
      <w:r>
        <w:t>.</w:t>
      </w:r>
    </w:p>
    <w:p>
      <w:pPr>
        <w:pStyle w:val="yFootnotesection"/>
      </w:pPr>
      <w:r>
        <w:tab/>
        <w:t>[Clause 34 inserted by No. 9 of 2014 s. 35.]</w:t>
      </w:r>
    </w:p>
    <w:p>
      <w:pPr>
        <w:pStyle w:val="yHeading5"/>
      </w:pPr>
      <w:bookmarkStart w:id="1190" w:name="_Toc389811839"/>
      <w:bookmarkStart w:id="1191" w:name="_Toc388863134"/>
      <w:r>
        <w:rPr>
          <w:rStyle w:val="CharSClsNo"/>
        </w:rPr>
        <w:t>35</w:t>
      </w:r>
      <w:r>
        <w:t>.</w:t>
      </w:r>
      <w:r>
        <w:tab/>
        <w:t>Dividends</w:t>
      </w:r>
      <w:bookmarkEnd w:id="1190"/>
      <w:bookmarkEnd w:id="1191"/>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the merging authority or its board, the PPA or its board is to perform the function after the merger time as if the PPA were the merging authority.</w:t>
      </w:r>
    </w:p>
    <w:p>
      <w:pPr>
        <w:pStyle w:val="ySubsection"/>
      </w:pPr>
      <w:r>
        <w:tab/>
        <w:t>(3)</w:t>
      </w:r>
      <w:r>
        <w:tab/>
        <w:t>If the merger time coincides with the end of a financial year of the merging authority, the PPA or its board is to perform the dividend functions in relation to that financial year as if the PPA were the merging authority.</w:t>
      </w:r>
    </w:p>
    <w:p>
      <w:pPr>
        <w:pStyle w:val="ySubsection"/>
      </w:pPr>
      <w:r>
        <w:tab/>
        <w:t>(4)</w:t>
      </w:r>
      <w:r>
        <w:tab/>
        <w:t>Any amount that has to be paid to the Treasurer in accordance with subclause (2) or (3) is to be paid from the funds of the PPA.</w:t>
      </w:r>
    </w:p>
    <w:p>
      <w:pPr>
        <w:pStyle w:val="yFootnotesection"/>
      </w:pPr>
      <w:r>
        <w:tab/>
        <w:t>[Clause 35 inserted by No. 9 of 2014 s. 35.]</w:t>
      </w:r>
    </w:p>
    <w:p>
      <w:pPr>
        <w:pStyle w:val="yHeading5"/>
      </w:pPr>
      <w:bookmarkStart w:id="1192" w:name="_Toc389811840"/>
      <w:bookmarkStart w:id="1193" w:name="_Toc388863135"/>
      <w:r>
        <w:rPr>
          <w:rStyle w:val="CharSClsNo"/>
        </w:rPr>
        <w:t>36</w:t>
      </w:r>
      <w:r>
        <w:t>.</w:t>
      </w:r>
      <w:r>
        <w:tab/>
        <w:t>Transitional regulations</w:t>
      </w:r>
      <w:bookmarkEnd w:id="1192"/>
      <w:bookmarkEnd w:id="1193"/>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36 inserted by No. 9 of 2014 s. 35.]</w:t>
      </w:r>
    </w:p>
    <w:p>
      <w:pPr>
        <w:pStyle w:val="yHeading4"/>
      </w:pPr>
      <w:bookmarkStart w:id="1194" w:name="_Toc389811841"/>
      <w:bookmarkStart w:id="1195" w:name="_Toc388519521"/>
      <w:bookmarkStart w:id="1196" w:name="_Toc388863136"/>
      <w:r>
        <w:t>Subdivision 5</w:t>
      </w:r>
      <w:r>
        <w:rPr>
          <w:b w:val="0"/>
        </w:rPr>
        <w:t> — </w:t>
      </w:r>
      <w:r>
        <w:t>Provisions for the Kimberley Ports Authority</w:t>
      </w:r>
      <w:bookmarkEnd w:id="1194"/>
      <w:bookmarkEnd w:id="1195"/>
      <w:bookmarkEnd w:id="1196"/>
    </w:p>
    <w:p>
      <w:pPr>
        <w:pStyle w:val="yFootnoteheading"/>
        <w:spacing w:after="120"/>
      </w:pPr>
      <w:r>
        <w:tab/>
        <w:t>[Heading inserted by No. 9 of 2014 s. 35.]</w:t>
      </w:r>
    </w:p>
    <w:p>
      <w:pPr>
        <w:pStyle w:val="yHeading5"/>
      </w:pPr>
      <w:bookmarkStart w:id="1197" w:name="_Toc389811842"/>
      <w:bookmarkStart w:id="1198" w:name="_Toc388863137"/>
      <w:r>
        <w:rPr>
          <w:rStyle w:val="CharSClsNo"/>
        </w:rPr>
        <w:t>37</w:t>
      </w:r>
      <w:r>
        <w:t>.</w:t>
      </w:r>
      <w:r>
        <w:tab/>
        <w:t>Terms used</w:t>
      </w:r>
      <w:bookmarkEnd w:id="1197"/>
      <w:bookmarkEnd w:id="1198"/>
    </w:p>
    <w:p>
      <w:pPr>
        <w:pStyle w:val="ySubsection"/>
      </w:pPr>
      <w:r>
        <w:tab/>
      </w:r>
      <w:r>
        <w:tab/>
        <w:t xml:space="preserve">In this Subdivision — </w:t>
      </w:r>
    </w:p>
    <w:p>
      <w:pPr>
        <w:pStyle w:val="yDefstart"/>
      </w:pPr>
      <w:r>
        <w:tab/>
      </w:r>
      <w:r>
        <w:rPr>
          <w:rStyle w:val="CharDefText"/>
        </w:rPr>
        <w:t>KPA</w:t>
      </w:r>
      <w:r>
        <w:t xml:space="preserve"> means the port authority as renamed as the </w:t>
      </w:r>
      <w:r>
        <w:rPr>
          <w:szCs w:val="22"/>
        </w:rPr>
        <w:t xml:space="preserve">Kimberley </w:t>
      </w:r>
      <w:r>
        <w:t>Ports Authority by operation of section 31(4) of the amending Act;</w:t>
      </w:r>
    </w:p>
    <w:p>
      <w:pPr>
        <w:pStyle w:val="yDefstart"/>
      </w:pPr>
      <w:r>
        <w:tab/>
      </w:r>
      <w:r>
        <w:rPr>
          <w:rStyle w:val="CharDefText"/>
        </w:rPr>
        <w:t>new board</w:t>
      </w:r>
      <w:r>
        <w:t xml:space="preserve"> means the board of directors established under clause 38(3);</w:t>
      </w:r>
    </w:p>
    <w:p>
      <w:pPr>
        <w:pStyle w:val="yDefstart"/>
      </w:pPr>
      <w:r>
        <w:tab/>
      </w:r>
      <w:r>
        <w:rPr>
          <w:rStyle w:val="CharDefText"/>
        </w:rPr>
        <w:t>port authority</w:t>
      </w:r>
      <w:r>
        <w:t xml:space="preserve"> means the Broome Port Authority;</w:t>
      </w:r>
    </w:p>
    <w:p>
      <w:pPr>
        <w:pStyle w:val="yDefstart"/>
      </w:pPr>
      <w:r>
        <w:tab/>
      </w:r>
      <w:r>
        <w:rPr>
          <w:rStyle w:val="CharDefText"/>
        </w:rPr>
        <w:t>renaming</w:t>
      </w:r>
      <w:r>
        <w:t xml:space="preserve"> means the action effected by the coming into operation of section 31(4) of the amending Act;</w:t>
      </w:r>
    </w:p>
    <w:p>
      <w:pPr>
        <w:pStyle w:val="yDefstart"/>
      </w:pPr>
      <w:r>
        <w:tab/>
      </w:r>
      <w:r>
        <w:rPr>
          <w:rStyle w:val="CharDefText"/>
        </w:rPr>
        <w:t>renaming time</w:t>
      </w:r>
      <w:r>
        <w:t xml:space="preserve"> means the time at which section 31(4) of the amending Act comes into operation;</w:t>
      </w:r>
    </w:p>
    <w:p>
      <w:pPr>
        <w:pStyle w:val="yDefstart"/>
      </w:pPr>
      <w:r>
        <w:tab/>
      </w:r>
      <w:r>
        <w:rPr>
          <w:rStyle w:val="CharDefText"/>
        </w:rPr>
        <w:t>transitional regulations</w:t>
      </w:r>
      <w:r>
        <w:t xml:space="preserve"> has the meaning given in clause 43(1).</w:t>
      </w:r>
    </w:p>
    <w:p>
      <w:pPr>
        <w:pStyle w:val="yFootnotesection"/>
      </w:pPr>
      <w:r>
        <w:tab/>
        <w:t>[Clause 37 inserted by No. 9 of 2014 s. 35.]</w:t>
      </w:r>
    </w:p>
    <w:p>
      <w:pPr>
        <w:pStyle w:val="yHeading5"/>
      </w:pPr>
      <w:bookmarkStart w:id="1199" w:name="_Toc389811843"/>
      <w:bookmarkStart w:id="1200" w:name="_Toc388863138"/>
      <w:r>
        <w:rPr>
          <w:rStyle w:val="CharSClsNo"/>
        </w:rPr>
        <w:t>38</w:t>
      </w:r>
      <w:r>
        <w:t>.</w:t>
      </w:r>
      <w:r>
        <w:tab/>
        <w:t>Directors and former directors</w:t>
      </w:r>
      <w:bookmarkEnd w:id="1199"/>
      <w:bookmarkEnd w:id="1200"/>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KPA for the purposes of the </w:t>
      </w:r>
      <w:r>
        <w:rPr>
          <w:i/>
        </w:rPr>
        <w:t>Statutory Corporations (Liability of Directors) Act 1996</w:t>
      </w:r>
      <w:r>
        <w:t>.</w:t>
      </w:r>
    </w:p>
    <w:p>
      <w:pPr>
        <w:pStyle w:val="ySubsection"/>
      </w:pPr>
      <w:r>
        <w:tab/>
        <w:t>(3)</w:t>
      </w:r>
      <w:r>
        <w:tab/>
        <w:t>The board of directors of the KPA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38 inserted by No. 9 of 2014 s. 35.]</w:t>
      </w:r>
    </w:p>
    <w:p>
      <w:pPr>
        <w:pStyle w:val="yHeading5"/>
      </w:pPr>
      <w:bookmarkStart w:id="1201" w:name="_Toc389811844"/>
      <w:bookmarkStart w:id="1202" w:name="_Toc388863139"/>
      <w:r>
        <w:rPr>
          <w:rStyle w:val="CharSClsNo"/>
        </w:rPr>
        <w:t>39</w:t>
      </w:r>
      <w:r>
        <w:t>.</w:t>
      </w:r>
      <w:r>
        <w:tab/>
        <w:t>Powers of new board in anticipation of renaming</w:t>
      </w:r>
      <w:bookmarkEnd w:id="1201"/>
      <w:bookmarkEnd w:id="1202"/>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39 inserted by No. 9 of 2014 s. 35.]</w:t>
      </w:r>
    </w:p>
    <w:p>
      <w:pPr>
        <w:pStyle w:val="yHeading5"/>
      </w:pPr>
      <w:bookmarkStart w:id="1203" w:name="_Toc389811845"/>
      <w:bookmarkStart w:id="1204" w:name="_Toc388863140"/>
      <w:r>
        <w:rPr>
          <w:rStyle w:val="CharSClsNo"/>
        </w:rPr>
        <w:t>40</w:t>
      </w:r>
      <w:r>
        <w:t>.</w:t>
      </w:r>
      <w:r>
        <w:tab/>
        <w:t>CEO and staff</w:t>
      </w:r>
      <w:bookmarkEnd w:id="1203"/>
      <w:bookmarkEnd w:id="1204"/>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KPA.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39 include the power to appoint a person as the CEO of the KPA before the renaming time.</w:t>
      </w:r>
    </w:p>
    <w:p>
      <w:pPr>
        <w:pStyle w:val="ySubsection"/>
      </w:pPr>
      <w:r>
        <w:tab/>
        <w:t>(6)</w:t>
      </w:r>
      <w:r>
        <w:tab/>
        <w:t>Until the renaming time a person appointed under subclause (5) may, as CEO of the KPA,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40 inserted by No. 9 of 2014 s. 35.]</w:t>
      </w:r>
    </w:p>
    <w:p>
      <w:pPr>
        <w:pStyle w:val="yHeading5"/>
      </w:pPr>
      <w:bookmarkStart w:id="1205" w:name="_Toc389811846"/>
      <w:bookmarkStart w:id="1206" w:name="_Toc388863141"/>
      <w:r>
        <w:rPr>
          <w:rStyle w:val="CharSClsNo"/>
        </w:rPr>
        <w:t>41</w:t>
      </w:r>
      <w:r>
        <w:t>.</w:t>
      </w:r>
      <w:r>
        <w:tab/>
        <w:t>Agreements, instruments and documents</w:t>
      </w:r>
      <w:bookmarkEnd w:id="1205"/>
      <w:bookmarkEnd w:id="1206"/>
    </w:p>
    <w:p>
      <w:pPr>
        <w:pStyle w:val="ySubsection"/>
      </w:pPr>
      <w:r>
        <w:tab/>
        <w:t>(1)</w:t>
      </w:r>
      <w:r>
        <w:tab/>
        <w:t xml:space="preserve">In this clause — </w:t>
      </w:r>
    </w:p>
    <w:p>
      <w:pPr>
        <w:pStyle w:val="yDefstart"/>
      </w:pPr>
      <w:r>
        <w:tab/>
      </w:r>
      <w:r>
        <w:rPr>
          <w:rStyle w:val="CharDefText"/>
        </w:rPr>
        <w:t>former name</w:t>
      </w:r>
      <w:r>
        <w:t xml:space="preserve"> means “Broome Port Authority”;</w:t>
      </w:r>
    </w:p>
    <w:p>
      <w:pPr>
        <w:pStyle w:val="yDefstart"/>
      </w:pPr>
      <w:r>
        <w:tab/>
      </w:r>
      <w:r>
        <w:rPr>
          <w:rStyle w:val="CharDefText"/>
        </w:rPr>
        <w:t>new name</w:t>
      </w:r>
      <w:r>
        <w:t xml:space="preserve"> means “Kimberley Ports Authority”.</w:t>
      </w:r>
    </w:p>
    <w:p>
      <w:pPr>
        <w:pStyle w:val="ySubsection"/>
      </w:pPr>
      <w:r>
        <w:rPr>
          <w:b/>
        </w:rPr>
        <w:tab/>
      </w:r>
      <w:r>
        <w:t>(2)</w:t>
      </w:r>
      <w:r>
        <w:rPr>
          <w:b/>
        </w:rPr>
        <w:tab/>
      </w:r>
      <w:r>
        <w:t>A subsisting agreement, instrument or document that contains a reference to the KPA by its former name has effect from the renaming time as if that reference were amended to be a reference to the KPA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KPA is a party to the agreement or instrument under its new name; and</w:t>
      </w:r>
    </w:p>
    <w:p>
      <w:pPr>
        <w:pStyle w:val="yIndenta"/>
      </w:pPr>
      <w:r>
        <w:tab/>
        <w:t>(b)</w:t>
      </w:r>
      <w:r>
        <w:tab/>
        <w:t>the agreement or instrument has effect as if a reference in it to the KPA by its former name were amended to be a reference to the KPA by its new name.</w:t>
      </w:r>
    </w:p>
    <w:p>
      <w:pPr>
        <w:pStyle w:val="ySubsection"/>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41 inserted by No. 9 of 2014 s. 35.]</w:t>
      </w:r>
    </w:p>
    <w:p>
      <w:pPr>
        <w:pStyle w:val="yHeading5"/>
      </w:pPr>
      <w:bookmarkStart w:id="1207" w:name="_Toc389811847"/>
      <w:bookmarkStart w:id="1208" w:name="_Toc388863142"/>
      <w:r>
        <w:rPr>
          <w:rStyle w:val="CharSClsNo"/>
        </w:rPr>
        <w:t>42</w:t>
      </w:r>
      <w:r>
        <w:t>.</w:t>
      </w:r>
      <w:r>
        <w:tab/>
        <w:t>Port authority to implement or facilitate renaming</w:t>
      </w:r>
      <w:bookmarkEnd w:id="1207"/>
      <w:bookmarkEnd w:id="1208"/>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KPA.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38(3);</w:t>
      </w:r>
    </w:p>
    <w:p>
      <w:pPr>
        <w:pStyle w:val="yIndenta"/>
      </w:pPr>
      <w:r>
        <w:tab/>
        <w:t>(b)</w:t>
      </w:r>
      <w:r>
        <w:tab/>
        <w:t>any remuneration payable to a person appointed under clause 40(5);</w:t>
      </w:r>
    </w:p>
    <w:p>
      <w:pPr>
        <w:pStyle w:val="yIndenta"/>
      </w:pPr>
      <w:r>
        <w:tab/>
        <w:t>(c)</w:t>
      </w:r>
      <w:r>
        <w:tab/>
        <w:t>the costs of the appointment process under clause 40(5);</w:t>
      </w:r>
    </w:p>
    <w:p>
      <w:pPr>
        <w:pStyle w:val="yIndenta"/>
      </w:pPr>
      <w:r>
        <w:tab/>
        <w:t>(d)</w:t>
      </w:r>
      <w:r>
        <w:tab/>
        <w:t>any other costs incurred by the new board under clause 39.</w:t>
      </w:r>
    </w:p>
    <w:p>
      <w:pPr>
        <w:pStyle w:val="yFootnotesection"/>
      </w:pPr>
      <w:r>
        <w:tab/>
        <w:t>[Clause 42 inserted by No. 9 of 2014 s. 35.]</w:t>
      </w:r>
    </w:p>
    <w:p>
      <w:pPr>
        <w:pStyle w:val="yHeading5"/>
      </w:pPr>
      <w:bookmarkStart w:id="1209" w:name="_Toc389811848"/>
      <w:bookmarkStart w:id="1210" w:name="_Toc388863143"/>
      <w:r>
        <w:rPr>
          <w:rStyle w:val="CharSClsNo"/>
        </w:rPr>
        <w:t>43</w:t>
      </w:r>
      <w:r>
        <w:t>.</w:t>
      </w:r>
      <w:r>
        <w:tab/>
        <w:t>Transitional regulations</w:t>
      </w:r>
      <w:bookmarkEnd w:id="1209"/>
      <w:bookmarkEnd w:id="1210"/>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KPA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43 inserted by No. 9 of 2014 s. 35.]</w:t>
      </w:r>
    </w:p>
    <w:p>
      <w:pPr>
        <w:pStyle w:val="yHeading4"/>
      </w:pPr>
      <w:bookmarkStart w:id="1211" w:name="_Toc389811849"/>
      <w:bookmarkStart w:id="1212" w:name="_Toc388519529"/>
      <w:bookmarkStart w:id="1213" w:name="_Toc388863144"/>
      <w:r>
        <w:t>Subdivision 6</w:t>
      </w:r>
      <w:r>
        <w:rPr>
          <w:b w:val="0"/>
        </w:rPr>
        <w:t> — </w:t>
      </w:r>
      <w:r>
        <w:t>Provisions for certain directors</w:t>
      </w:r>
      <w:bookmarkEnd w:id="1211"/>
      <w:bookmarkEnd w:id="1212"/>
      <w:bookmarkEnd w:id="1213"/>
    </w:p>
    <w:p>
      <w:pPr>
        <w:pStyle w:val="yFootnoteheading"/>
        <w:spacing w:after="120"/>
      </w:pPr>
      <w:r>
        <w:tab/>
        <w:t>[Heading inserted by No. 9 of 2014 s. 35.]</w:t>
      </w:r>
    </w:p>
    <w:p>
      <w:pPr>
        <w:pStyle w:val="yHeading5"/>
      </w:pPr>
      <w:bookmarkStart w:id="1214" w:name="_Toc389811850"/>
      <w:bookmarkStart w:id="1215" w:name="_Toc388863145"/>
      <w:r>
        <w:rPr>
          <w:rStyle w:val="CharSClsNo"/>
        </w:rPr>
        <w:t>44</w:t>
      </w:r>
      <w:r>
        <w:t>.</w:t>
      </w:r>
      <w:r>
        <w:tab/>
        <w:t>Certain directors to cease to hold office</w:t>
      </w:r>
      <w:bookmarkEnd w:id="1214"/>
      <w:bookmarkEnd w:id="1215"/>
    </w:p>
    <w:p>
      <w:pPr>
        <w:pStyle w:val="ySubsection"/>
      </w:pPr>
      <w:r>
        <w:tab/>
        <w:t>(1)</w:t>
      </w:r>
      <w:r>
        <w:tab/>
        <w:t xml:space="preserve">In this clause — </w:t>
      </w:r>
    </w:p>
    <w:p>
      <w:pPr>
        <w:pStyle w:val="yDefstart"/>
      </w:pPr>
      <w:r>
        <w:tab/>
      </w:r>
      <w:r>
        <w:rPr>
          <w:rStyle w:val="CharDefText"/>
        </w:rPr>
        <w:t>commencement</w:t>
      </w:r>
      <w:r>
        <w:t xml:space="preserve"> means the coming into operation of section 33 of the amending Act.</w:t>
      </w:r>
    </w:p>
    <w:p>
      <w:pPr>
        <w:pStyle w:val="ySubsection"/>
      </w:pPr>
      <w:r>
        <w:tab/>
        <w:t>(2)</w:t>
      </w:r>
      <w:r>
        <w:tab/>
        <w:t xml:space="preserve">On commencement — </w:t>
      </w:r>
    </w:p>
    <w:p>
      <w:pPr>
        <w:pStyle w:val="yIndenta"/>
      </w:pPr>
      <w:r>
        <w:tab/>
        <w:t>(a)</w:t>
      </w:r>
      <w:r>
        <w:tab/>
        <w:t>the Company appointee and the Joint Venturers appointee, as defined in Schedule 6 clause 1.2 as enacted before commencement, cease to be directors of the Dampier Port Authority; and</w:t>
      </w:r>
    </w:p>
    <w:p>
      <w:pPr>
        <w:pStyle w:val="yIndenta"/>
      </w:pPr>
      <w:r>
        <w:tab/>
        <w:t>(b)</w:t>
      </w:r>
      <w:r>
        <w:tab/>
        <w:t>the first lessee appointee and the second lessee appointee, as defined in Schedule 6 clause 2.2 as enacted before commencement, cease to be directors of the Port Hedland Port Authority.</w:t>
      </w:r>
    </w:p>
    <w:p>
      <w:pPr>
        <w:pStyle w:val="yFootnotesection"/>
      </w:pPr>
      <w:r>
        <w:tab/>
        <w:t>[Clause 44 inserted by No. 9 of 2014 s. 35.]</w:t>
      </w:r>
    </w:p>
    <w:p>
      <w:pPr>
        <w:pStyle w:val="yHeading4"/>
      </w:pPr>
      <w:bookmarkStart w:id="1216" w:name="_Toc389811851"/>
      <w:bookmarkStart w:id="1217" w:name="_Toc388519531"/>
      <w:bookmarkStart w:id="1218" w:name="_Toc388863146"/>
      <w:r>
        <w:t>Subdivision 7</w:t>
      </w:r>
      <w:r>
        <w:rPr>
          <w:b w:val="0"/>
        </w:rPr>
        <w:t> — </w:t>
      </w:r>
      <w:r>
        <w:t>General provisions</w:t>
      </w:r>
      <w:bookmarkEnd w:id="1216"/>
      <w:bookmarkEnd w:id="1217"/>
      <w:bookmarkEnd w:id="1218"/>
    </w:p>
    <w:p>
      <w:pPr>
        <w:pStyle w:val="yFootnoteheading"/>
        <w:spacing w:after="120"/>
      </w:pPr>
      <w:r>
        <w:tab/>
        <w:t>[Heading inserted by No. 9 of 2014 s. 35.]</w:t>
      </w:r>
    </w:p>
    <w:p>
      <w:pPr>
        <w:pStyle w:val="yHeading5"/>
      </w:pPr>
      <w:bookmarkStart w:id="1219" w:name="_Toc389811852"/>
      <w:bookmarkStart w:id="1220" w:name="_Toc388863147"/>
      <w:r>
        <w:rPr>
          <w:rStyle w:val="CharSClsNo"/>
        </w:rPr>
        <w:t>45</w:t>
      </w:r>
      <w:r>
        <w:t>.</w:t>
      </w:r>
      <w:r>
        <w:tab/>
        <w:t>Terms used</w:t>
      </w:r>
      <w:bookmarkEnd w:id="1219"/>
      <w:bookmarkEnd w:id="1220"/>
    </w:p>
    <w:p>
      <w:pPr>
        <w:pStyle w:val="ySubsection"/>
      </w:pPr>
      <w:r>
        <w:tab/>
      </w:r>
      <w:r>
        <w:tab/>
        <w:t xml:space="preserve">In this Subdivision — </w:t>
      </w:r>
    </w:p>
    <w:p>
      <w:pPr>
        <w:pStyle w:val="yDefstart"/>
      </w:pPr>
      <w:r>
        <w:tab/>
      </w:r>
      <w:r>
        <w:rPr>
          <w:rStyle w:val="CharDefText"/>
        </w:rPr>
        <w:t>affecting provisions</w:t>
      </w:r>
      <w:r>
        <w:t xml:space="preserve"> means — </w:t>
      </w:r>
    </w:p>
    <w:p>
      <w:pPr>
        <w:pStyle w:val="yDefpara"/>
      </w:pPr>
      <w:r>
        <w:tab/>
        <w:t>(a)</w:t>
      </w:r>
      <w:r>
        <w:tab/>
        <w:t>section 31 of the amending Act; and</w:t>
      </w:r>
    </w:p>
    <w:p>
      <w:pPr>
        <w:pStyle w:val="yDefpara"/>
      </w:pPr>
      <w:r>
        <w:tab/>
        <w:t>(b)</w:t>
      </w:r>
      <w:r>
        <w:tab/>
        <w:t>this Division and transitional regulations;</w:t>
      </w:r>
    </w:p>
    <w:p>
      <w:pPr>
        <w:pStyle w:val="yDefstart"/>
      </w:pPr>
      <w:r>
        <w:tab/>
      </w:r>
      <w:r>
        <w:rPr>
          <w:rStyle w:val="CharDefText"/>
        </w:rPr>
        <w:t>new board</w:t>
      </w:r>
      <w:r>
        <w:t xml:space="preserve"> has the meaning given in clause 2, 16, 23 or 37;</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Defstart"/>
      </w:pPr>
      <w:r>
        <w:tab/>
      </w:r>
      <w:r>
        <w:rPr>
          <w:rStyle w:val="CharDefText"/>
        </w:rPr>
        <w:t>State tax</w:t>
      </w:r>
      <w:r>
        <w:t xml:space="preserve"> includes duty under the </w:t>
      </w:r>
      <w:r>
        <w:rPr>
          <w:i/>
        </w:rPr>
        <w:t>Duties Act 2008</w:t>
      </w:r>
      <w:r>
        <w:t xml:space="preserve"> and any other tax under a written law;</w:t>
      </w:r>
    </w:p>
    <w:p>
      <w:pPr>
        <w:pStyle w:val="yDefstart"/>
      </w:pPr>
      <w:r>
        <w:tab/>
      </w:r>
      <w:r>
        <w:rPr>
          <w:rStyle w:val="CharDefText"/>
        </w:rPr>
        <w:t>transitional regulations</w:t>
      </w:r>
      <w:r>
        <w:t xml:space="preserve"> has the meaning given in clause 15(1), 22(1), 36(1) or 43(1).</w:t>
      </w:r>
    </w:p>
    <w:p>
      <w:pPr>
        <w:pStyle w:val="yFootnotesection"/>
      </w:pPr>
      <w:r>
        <w:tab/>
        <w:t>[Clause 45 inserted by No. 9 of 2014 s. 35.]</w:t>
      </w:r>
    </w:p>
    <w:p>
      <w:pPr>
        <w:pStyle w:val="yHeading5"/>
      </w:pPr>
      <w:bookmarkStart w:id="1221" w:name="_Toc389811853"/>
      <w:bookmarkStart w:id="1222" w:name="_Toc388863148"/>
      <w:r>
        <w:rPr>
          <w:rStyle w:val="CharSClsNo"/>
        </w:rPr>
        <w:t>46</w:t>
      </w:r>
      <w:r>
        <w:t>.</w:t>
      </w:r>
      <w:r>
        <w:tab/>
        <w:t>Exemption from State taxes</w:t>
      </w:r>
      <w:bookmarkEnd w:id="1221"/>
      <w:bookmarkEnd w:id="1222"/>
    </w:p>
    <w:p>
      <w:pPr>
        <w:pStyle w:val="ySubsection"/>
      </w:pPr>
      <w:r>
        <w:tab/>
      </w:r>
      <w:r>
        <w:tab/>
        <w:t xml:space="preserve">State tax is not payable in relation to — </w:t>
      </w:r>
    </w:p>
    <w:p>
      <w:pPr>
        <w:pStyle w:val="yIndenta"/>
      </w:pPr>
      <w:r>
        <w:tab/>
        <w:t>(a)</w:t>
      </w:r>
      <w:r>
        <w:tab/>
        <w:t>anything that occurs by the operation of the affecting provisions; or</w:t>
      </w:r>
    </w:p>
    <w:p>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pPr>
        <w:pStyle w:val="yFootnotesection"/>
      </w:pPr>
      <w:r>
        <w:tab/>
        <w:t>[Clause 46 inserted by No. 9 of 2014 s. 35.]</w:t>
      </w:r>
    </w:p>
    <w:p>
      <w:pPr>
        <w:pStyle w:val="yHeading5"/>
      </w:pPr>
      <w:bookmarkStart w:id="1223" w:name="_Toc389811854"/>
      <w:bookmarkStart w:id="1224" w:name="_Toc388863149"/>
      <w:r>
        <w:rPr>
          <w:rStyle w:val="CharSClsNo"/>
        </w:rPr>
        <w:t>47</w:t>
      </w:r>
      <w:r>
        <w:t>.</w:t>
      </w:r>
      <w:r>
        <w:tab/>
        <w:t>Registration of documents</w:t>
      </w:r>
      <w:bookmarkEnd w:id="1223"/>
      <w:bookmarkEnd w:id="1224"/>
    </w:p>
    <w:p>
      <w:pPr>
        <w:pStyle w:val="ySubsection"/>
      </w:pPr>
      <w:r>
        <w:tab/>
      </w:r>
      <w:r>
        <w:tab/>
        <w:t>The relevant officials are to take notice of the affecting provisions and are to record and register in the appropriate manner the documents necessary to show the effect of the affecting provisions.</w:t>
      </w:r>
    </w:p>
    <w:p>
      <w:pPr>
        <w:pStyle w:val="yFootnotesection"/>
      </w:pPr>
      <w:r>
        <w:tab/>
        <w:t>[Clause 47 inserted by No. 9 of 2014 s. 35.]</w:t>
      </w:r>
    </w:p>
    <w:p>
      <w:pPr>
        <w:pStyle w:val="yHeading5"/>
      </w:pPr>
      <w:bookmarkStart w:id="1225" w:name="_Toc389811855"/>
      <w:bookmarkStart w:id="1226" w:name="_Toc388863150"/>
      <w:r>
        <w:rPr>
          <w:rStyle w:val="CharSClsNo"/>
        </w:rPr>
        <w:t>48</w:t>
      </w:r>
      <w:r>
        <w:t>.</w:t>
      </w:r>
      <w:r>
        <w:tab/>
        <w:t>Matters that a new board can deal with</w:t>
      </w:r>
      <w:bookmarkEnd w:id="1225"/>
      <w:bookmarkEnd w:id="1226"/>
    </w:p>
    <w:p>
      <w:pPr>
        <w:pStyle w:val="ySubsection"/>
      </w:pPr>
      <w:r>
        <w:tab/>
      </w:r>
      <w:r>
        <w:tab/>
        <w:t xml:space="preserve">The matters referred to in clauses 5(2), 18(2), 26(2) and 39(2) are — </w:t>
      </w:r>
    </w:p>
    <w:p>
      <w:pPr>
        <w:pStyle w:val="yIndenta"/>
      </w:pPr>
      <w:r>
        <w:tab/>
        <w:t>(a)</w:t>
      </w:r>
      <w:r>
        <w:tab/>
        <w:t>staff issues including organisational structure, reporting accountabilities and employee roles and responsibilities;</w:t>
      </w:r>
    </w:p>
    <w:p>
      <w:pPr>
        <w:pStyle w:val="yIndenta"/>
      </w:pPr>
      <w:r>
        <w:tab/>
        <w:t>(b)</w:t>
      </w:r>
      <w:r>
        <w:tab/>
        <w:t>preparation for staff transfer including confirmation of employee details and entitlements;</w:t>
      </w:r>
    </w:p>
    <w:p>
      <w:pPr>
        <w:pStyle w:val="yIndenta"/>
      </w:pPr>
      <w:r>
        <w:tab/>
        <w:t>(c)</w:t>
      </w:r>
      <w:r>
        <w:tab/>
        <w:t>recruitment of staff if necessary;</w:t>
      </w:r>
    </w:p>
    <w:p>
      <w:pPr>
        <w:pStyle w:val="yIndenta"/>
      </w:pPr>
      <w:r>
        <w:tab/>
        <w:t>(d)</w:t>
      </w:r>
      <w:r>
        <w:tab/>
        <w:t xml:space="preserve">identification and assessment of issues relating to — </w:t>
      </w:r>
    </w:p>
    <w:p>
      <w:pPr>
        <w:pStyle w:val="yIndenti0"/>
      </w:pPr>
      <w:r>
        <w:tab/>
        <w:t>(i)</w:t>
      </w:r>
      <w:r>
        <w:tab/>
        <w:t>port boundaries;</w:t>
      </w:r>
    </w:p>
    <w:p>
      <w:pPr>
        <w:pStyle w:val="yIndenti0"/>
      </w:pPr>
      <w:r>
        <w:tab/>
        <w:t>(ii)</w:t>
      </w:r>
      <w:r>
        <w:tab/>
        <w:t xml:space="preserve">agreements affecting the port; </w:t>
      </w:r>
    </w:p>
    <w:p>
      <w:pPr>
        <w:pStyle w:val="yIndenti0"/>
      </w:pPr>
      <w:r>
        <w:tab/>
        <w:t>(iii)</w:t>
      </w:r>
      <w:r>
        <w:tab/>
        <w:t>mining tenements over port areas;</w:t>
      </w:r>
    </w:p>
    <w:p>
      <w:pPr>
        <w:pStyle w:val="yIndenti0"/>
      </w:pPr>
      <w:r>
        <w:tab/>
        <w:t>(iv)</w:t>
      </w:r>
      <w:r>
        <w:tab/>
        <w:t>contaminated sites;</w:t>
      </w:r>
    </w:p>
    <w:p>
      <w:pPr>
        <w:pStyle w:val="yIndenti0"/>
      </w:pPr>
      <w:r>
        <w:tab/>
        <w:t>(v)</w:t>
      </w:r>
      <w:r>
        <w:tab/>
        <w:t xml:space="preserve">waters in the port reserved under the </w:t>
      </w:r>
      <w:r>
        <w:rPr>
          <w:i/>
        </w:rPr>
        <w:t>Conservation and Land Management Act 1984</w:t>
      </w:r>
      <w:r>
        <w:t xml:space="preserve"> Part II Division 3;</w:t>
      </w:r>
    </w:p>
    <w:p>
      <w:pPr>
        <w:pStyle w:val="yIndenti0"/>
      </w:pPr>
      <w:r>
        <w:tab/>
        <w:t>(vi)</w:t>
      </w:r>
      <w:r>
        <w:tab/>
        <w:t>native title issues;</w:t>
      </w:r>
    </w:p>
    <w:p>
      <w:pPr>
        <w:pStyle w:val="yIndenti0"/>
      </w:pPr>
      <w:r>
        <w:tab/>
        <w:t>(vii)</w:t>
      </w:r>
      <w:r>
        <w:tab/>
        <w:t>operating and maintenance costs;</w:t>
      </w:r>
    </w:p>
    <w:p>
      <w:pPr>
        <w:pStyle w:val="yIndenti0"/>
      </w:pPr>
      <w:r>
        <w:tab/>
        <w:t>(viii)</w:t>
      </w:r>
      <w:r>
        <w:tab/>
        <w:t>community service obligations;</w:t>
      </w:r>
    </w:p>
    <w:p>
      <w:pPr>
        <w:pStyle w:val="yIndenti0"/>
      </w:pPr>
      <w:r>
        <w:tab/>
        <w:t>(ix)</w:t>
      </w:r>
      <w:r>
        <w:tab/>
        <w:t xml:space="preserve">leases, licences and permits; </w:t>
      </w:r>
    </w:p>
    <w:p>
      <w:pPr>
        <w:pStyle w:val="yIndenti0"/>
      </w:pPr>
      <w:r>
        <w:tab/>
        <w:t>(x)</w:t>
      </w:r>
      <w:r>
        <w:tab/>
        <w:t xml:space="preserve">port fees and charges; </w:t>
      </w:r>
    </w:p>
    <w:p>
      <w:pPr>
        <w:pStyle w:val="yIndenti0"/>
      </w:pPr>
      <w:r>
        <w:tab/>
        <w:t>(xi)</w:t>
      </w:r>
      <w:r>
        <w:tab/>
        <w:t>existing legal and commercial disputes and contingent liabilities;</w:t>
      </w:r>
    </w:p>
    <w:p>
      <w:pPr>
        <w:pStyle w:val="yIndenti0"/>
      </w:pPr>
      <w:r>
        <w:tab/>
        <w:t>(xii)</w:t>
      </w:r>
      <w:r>
        <w:tab/>
        <w:t>long term commitments,</w:t>
      </w:r>
    </w:p>
    <w:p>
      <w:pPr>
        <w:pStyle w:val="yIndenta"/>
      </w:pPr>
      <w:r>
        <w:tab/>
      </w:r>
      <w:r>
        <w:tab/>
        <w:t>and resolution of those issues so far as that is within the new board’s powers;</w:t>
      </w:r>
    </w:p>
    <w:p>
      <w:pPr>
        <w:pStyle w:val="yIndenta"/>
      </w:pPr>
      <w:r>
        <w:tab/>
        <w:t>(e)</w:t>
      </w:r>
      <w:r>
        <w:tab/>
        <w:t>review, and if necessary modification, of the existing port operating model;</w:t>
      </w:r>
    </w:p>
    <w:p>
      <w:pPr>
        <w:pStyle w:val="yIndenta"/>
      </w:pPr>
      <w:r>
        <w:tab/>
        <w:t>(f)</w:t>
      </w:r>
      <w:r>
        <w:tab/>
        <w:t xml:space="preserve">harmonisation of internal policies, standards, procedures, processes and reporting requirements on services and systems including — </w:t>
      </w:r>
    </w:p>
    <w:p>
      <w:pPr>
        <w:pStyle w:val="yIndenti0"/>
      </w:pPr>
      <w:r>
        <w:tab/>
        <w:t>(i)</w:t>
      </w:r>
      <w:r>
        <w:tab/>
        <w:t>operating activities;</w:t>
      </w:r>
    </w:p>
    <w:p>
      <w:pPr>
        <w:pStyle w:val="yIndenti0"/>
      </w:pPr>
      <w:r>
        <w:tab/>
        <w:t>(ii)</w:t>
      </w:r>
      <w:r>
        <w:tab/>
        <w:t>administrative functions;</w:t>
      </w:r>
    </w:p>
    <w:p>
      <w:pPr>
        <w:pStyle w:val="yIndenti0"/>
      </w:pPr>
      <w:r>
        <w:tab/>
        <w:t>(iii)</w:t>
      </w:r>
      <w:r>
        <w:tab/>
        <w:t>pricing and marketing principles and practices;</w:t>
      </w:r>
    </w:p>
    <w:p>
      <w:pPr>
        <w:pStyle w:val="yIndenti0"/>
      </w:pPr>
      <w:r>
        <w:tab/>
        <w:t>(iv)</w:t>
      </w:r>
      <w:r>
        <w:tab/>
        <w:t>financial and accounting systems, including the chart of accounts;</w:t>
      </w:r>
    </w:p>
    <w:p>
      <w:pPr>
        <w:pStyle w:val="yIndenti0"/>
      </w:pPr>
      <w:r>
        <w:tab/>
        <w:t>(v)</w:t>
      </w:r>
      <w:r>
        <w:tab/>
        <w:t>human resource services;</w:t>
      </w:r>
    </w:p>
    <w:p>
      <w:pPr>
        <w:pStyle w:val="yIndenti0"/>
      </w:pPr>
      <w:r>
        <w:tab/>
        <w:t>(vi)</w:t>
      </w:r>
      <w:r>
        <w:tab/>
        <w:t>information and communication activities;</w:t>
      </w:r>
    </w:p>
    <w:p>
      <w:pPr>
        <w:pStyle w:val="yIndenta"/>
      </w:pPr>
      <w:r>
        <w:tab/>
        <w:t>(g)</w:t>
      </w:r>
      <w:r>
        <w:tab/>
        <w:t>development of a draft strategic development plan, a draft statement of corporate intent, a draft income and cash flow statement and a draft statement of financial position;</w:t>
      </w:r>
    </w:p>
    <w:p>
      <w:pPr>
        <w:pStyle w:val="yIndenta"/>
      </w:pPr>
      <w:r>
        <w:tab/>
        <w:t>(h)</w:t>
      </w:r>
      <w:r>
        <w:tab/>
        <w:t>development of any other plans that a port authority is required to have under any written law;</w:t>
      </w:r>
    </w:p>
    <w:p>
      <w:pPr>
        <w:pStyle w:val="yIndenta"/>
      </w:pPr>
      <w:r>
        <w:tab/>
        <w:t>(i)</w:t>
      </w:r>
      <w:r>
        <w:tab/>
        <w:t>budgetary matters;</w:t>
      </w:r>
    </w:p>
    <w:p>
      <w:pPr>
        <w:pStyle w:val="yIndenta"/>
      </w:pPr>
      <w:r>
        <w:tab/>
        <w:t>(j)</w:t>
      </w:r>
      <w:r>
        <w:tab/>
        <w:t xml:space="preserve">matters relating to the transfer of assets and liabilities including — </w:t>
      </w:r>
    </w:p>
    <w:p>
      <w:pPr>
        <w:pStyle w:val="yIndenti0"/>
      </w:pPr>
      <w:r>
        <w:tab/>
        <w:t>(i)</w:t>
      </w:r>
      <w:r>
        <w:tab/>
        <w:t>asset and liability inventories;</w:t>
      </w:r>
    </w:p>
    <w:p>
      <w:pPr>
        <w:pStyle w:val="yIndenti0"/>
      </w:pPr>
      <w:r>
        <w:tab/>
        <w:t>(ii)</w:t>
      </w:r>
      <w:r>
        <w:tab/>
        <w:t>valuation of assets and liabilities;</w:t>
      </w:r>
    </w:p>
    <w:p>
      <w:pPr>
        <w:pStyle w:val="yIndenti0"/>
      </w:pPr>
      <w:r>
        <w:tab/>
        <w:t>(iii)</w:t>
      </w:r>
      <w:r>
        <w:tab/>
        <w:t>processes for transfer;</w:t>
      </w:r>
    </w:p>
    <w:p>
      <w:pPr>
        <w:pStyle w:val="yIndenta"/>
      </w:pPr>
      <w:r>
        <w:tab/>
        <w:t>(k)</w:t>
      </w:r>
      <w:r>
        <w:tab/>
        <w:t>employment or engagement of persons to provide management, financial, legal or other services or advice.</w:t>
      </w:r>
    </w:p>
    <w:p>
      <w:pPr>
        <w:pStyle w:val="yFootnotesection"/>
      </w:pPr>
      <w:r>
        <w:tab/>
        <w:t>[Clause 48 inserted by No. 9 of 2014 s. 35.]</w:t>
      </w:r>
    </w:p>
    <w:p>
      <w:pPr>
        <w:pStyle w:val="yHeading5"/>
      </w:pPr>
      <w:bookmarkStart w:id="1227" w:name="_Toc389811856"/>
      <w:bookmarkStart w:id="1228" w:name="_Toc388863151"/>
      <w:r>
        <w:rPr>
          <w:rStyle w:val="CharSClsNo"/>
        </w:rPr>
        <w:t>49</w:t>
      </w:r>
      <w:r>
        <w:t>.</w:t>
      </w:r>
      <w:r>
        <w:tab/>
        <w:t>Operation of transitional regulations</w:t>
      </w:r>
      <w:bookmarkEnd w:id="1227"/>
      <w:bookmarkEnd w:id="1228"/>
    </w:p>
    <w:p>
      <w:pPr>
        <w:pStyle w:val="ySubsection"/>
      </w:pPr>
      <w:r>
        <w:tab/>
      </w:r>
      <w:r>
        <w:tab/>
        <w:t xml:space="preserve">If transitional regulations contain a provision referred to in clause 15(3), 22(3), 36(3) or 43(3),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49 inserted by No. 9 of 2014 s. 35.]</w:t>
      </w:r>
    </w:p>
    <w:p>
      <w:pPr>
        <w:pStyle w:val="yHeading5"/>
      </w:pPr>
      <w:bookmarkStart w:id="1229" w:name="_Toc389811857"/>
      <w:bookmarkStart w:id="1230" w:name="_Toc388863152"/>
      <w:r>
        <w:rPr>
          <w:rStyle w:val="CharSClsNo"/>
        </w:rPr>
        <w:t>50</w:t>
      </w:r>
      <w:r>
        <w:t>.</w:t>
      </w:r>
      <w:r>
        <w:tab/>
        <w:t>Saving</w:t>
      </w:r>
      <w:bookmarkEnd w:id="1229"/>
      <w:bookmarkEnd w:id="1230"/>
    </w:p>
    <w:p>
      <w:pPr>
        <w:pStyle w:val="ySubsection"/>
      </w:pPr>
      <w:r>
        <w:tab/>
        <w:t>(1)</w:t>
      </w:r>
      <w:r>
        <w:tab/>
        <w:t xml:space="preserve">The operation of any of the affecting provisions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 xml:space="preserve">as </w:t>
      </w:r>
      <w:r>
        <w:rPr>
          <w:snapToGrid w:val="0"/>
        </w:rPr>
        <w:t>giving rise to any right to damages or compensation; or</w:t>
      </w:r>
    </w:p>
    <w:p>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pPr>
        <w:pStyle w:val="yIndenta"/>
      </w:pPr>
      <w:r>
        <w:tab/>
        <w:t>(e)</w:t>
      </w:r>
      <w:r>
        <w:tab/>
        <w:t>as causing any contract or instrument to be void or otherwise unenforceable; or</w:t>
      </w:r>
    </w:p>
    <w:p>
      <w:pPr>
        <w:pStyle w:val="yIndenta"/>
      </w:pPr>
      <w:r>
        <w:tab/>
        <w:t>(f)</w:t>
      </w:r>
      <w:r>
        <w:tab/>
        <w:t>as releasing or allowing the release of any surety.</w:t>
      </w:r>
    </w:p>
    <w:p>
      <w:pPr>
        <w:pStyle w:val="ySubsection"/>
      </w:pPr>
      <w:r>
        <w:tab/>
        <w:t>(2)</w:t>
      </w:r>
      <w:r>
        <w:tab/>
        <w:t xml:space="preserve">This Division and transitional regulations are additional to any relevant provisions of the </w:t>
      </w:r>
      <w:r>
        <w:rPr>
          <w:i/>
        </w:rPr>
        <w:t>Interpretation Act 1984</w:t>
      </w:r>
      <w:r>
        <w:t>.</w:t>
      </w:r>
    </w:p>
    <w:p>
      <w:pPr>
        <w:pStyle w:val="yFootnotesection"/>
      </w:pPr>
      <w:r>
        <w:tab/>
        <w:t>[Clause 50 inserted by No. 9 of 2014 s. 35.]</w:t>
      </w:r>
    </w:p>
    <w:p>
      <w:pPr>
        <w:pStyle w:val="yHeading5"/>
      </w:pPr>
      <w:bookmarkStart w:id="1231" w:name="_Toc389811858"/>
      <w:bookmarkStart w:id="1232" w:name="_Toc388863153"/>
      <w:r>
        <w:rPr>
          <w:rStyle w:val="CharSClsNo"/>
        </w:rPr>
        <w:t>51</w:t>
      </w:r>
      <w:r>
        <w:t>.</w:t>
      </w:r>
      <w:r>
        <w:tab/>
        <w:t>Government agreements not affected</w:t>
      </w:r>
      <w:bookmarkEnd w:id="1231"/>
      <w:bookmarkEnd w:id="1232"/>
    </w:p>
    <w:p>
      <w:pPr>
        <w:pStyle w:val="ySubsection"/>
      </w:pPr>
      <w:r>
        <w:tab/>
        <w:t>(1)</w:t>
      </w:r>
      <w:r>
        <w:tab/>
        <w:t>The affecting provisions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51 inserted by No. 9 of 2014 s. 35.]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outlineLvl w:val="0"/>
      </w:pPr>
      <w:bookmarkStart w:id="1233" w:name="_Toc389811859"/>
      <w:bookmarkStart w:id="1234" w:name="_Toc388519539"/>
      <w:bookmarkStart w:id="1235" w:name="_Toc388863154"/>
      <w:r>
        <w:t>Notes</w:t>
      </w:r>
      <w:bookmarkEnd w:id="1233"/>
      <w:bookmarkEnd w:id="1234"/>
      <w:bookmarkEnd w:id="1235"/>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 </w:t>
      </w:r>
      <w:ins w:id="1236" w:author="svcMRProcess" w:date="2018-09-07T05:21:00Z">
        <w:r>
          <w:rPr>
            <w:snapToGrid w:val="0"/>
            <w:vertAlign w:val="superscript"/>
          </w:rPr>
          <w:t>1a, </w:t>
        </w:r>
      </w:ins>
      <w:r>
        <w:rPr>
          <w:snapToGrid w:val="0"/>
          <w:vertAlign w:val="superscript"/>
        </w:rPr>
        <w:t>4,</w:t>
      </w:r>
      <w:del w:id="1237" w:author="svcMRProcess" w:date="2018-09-07T05:21:00Z">
        <w:r>
          <w:rPr>
            <w:snapToGrid w:val="0"/>
            <w:vertAlign w:val="superscript"/>
          </w:rPr>
          <w:delText xml:space="preserve"> </w:delText>
        </w:r>
      </w:del>
      <w:ins w:id="1238" w:author="svcMRProcess" w:date="2018-09-07T05:21:00Z">
        <w:r>
          <w:rPr>
            <w:snapToGrid w:val="0"/>
            <w:vertAlign w:val="superscript"/>
          </w:rPr>
          <w:t> </w:t>
        </w:r>
      </w:ins>
      <w:r>
        <w:rPr>
          <w:snapToGrid w:val="0"/>
          <w:vertAlign w:val="superscript"/>
        </w:rPr>
        <w:t>6</w:t>
      </w:r>
      <w:r>
        <w:rPr>
          <w:snapToGrid w:val="0"/>
        </w:rPr>
        <w:t>.  The table also contains information about any reprint.</w:t>
      </w:r>
    </w:p>
    <w:p>
      <w:pPr>
        <w:pStyle w:val="nHeading3"/>
        <w:rPr>
          <w:snapToGrid w:val="0"/>
        </w:rPr>
      </w:pPr>
      <w:bookmarkStart w:id="1239" w:name="_Toc389811860"/>
      <w:bookmarkStart w:id="1240" w:name="_Toc388863155"/>
      <w:r>
        <w:rPr>
          <w:snapToGrid w:val="0"/>
        </w:rPr>
        <w:t>Compilation table</w:t>
      </w:r>
      <w:bookmarkEnd w:id="1239"/>
      <w:bookmarkEnd w:id="124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7</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rPr>
              <w:t>Dangerous Goods Safety Act 2004</w:t>
            </w:r>
            <w:r>
              <w:rPr>
                <w:bCs/>
                <w:i/>
                <w:snapToGrid w:val="0"/>
                <w:sz w:val="19"/>
              </w:rPr>
              <w:t xml:space="preserve"> </w:t>
            </w:r>
            <w:r>
              <w:rPr>
                <w:bCs/>
                <w:iCs/>
                <w:snapToGrid w:val="0"/>
                <w:sz w:val="19"/>
              </w:rPr>
              <w:t>s. 70</w:t>
            </w:r>
          </w:p>
        </w:tc>
        <w:tc>
          <w:tcPr>
            <w:tcW w:w="1134" w:type="dxa"/>
            <w:tcBorders>
              <w:top w:val="nil"/>
              <w:bottom w:val="nil"/>
            </w:tcBorders>
          </w:tcPr>
          <w:p>
            <w:pPr>
              <w:pStyle w:val="nTable"/>
              <w:spacing w:after="40"/>
              <w:rPr>
                <w:sz w:val="19"/>
              </w:rPr>
            </w:pPr>
            <w:r>
              <w:rPr>
                <w:bCs/>
                <w:snapToGrid w:val="0"/>
                <w:sz w:val="19"/>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rPr>
              <w:t xml:space="preserve">1 Mar 2008 (see s. 2 and </w:t>
            </w:r>
            <w:r>
              <w:rPr>
                <w:bCs/>
                <w:i/>
                <w:iCs/>
                <w:snapToGrid w:val="0"/>
                <w:sz w:val="19"/>
              </w:rPr>
              <w:t>Gazette</w:t>
            </w:r>
            <w:r>
              <w:rPr>
                <w:bCs/>
                <w:snapToGrid w:val="0"/>
                <w:sz w:val="19"/>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rPr>
              <w:t>Criminal Procedure and Appeals (Consequential and Other Provisions) Act 2004</w:t>
            </w:r>
            <w:r>
              <w:rPr>
                <w:snapToGrid w:val="0"/>
                <w:sz w:val="19"/>
              </w:rPr>
              <w:t xml:space="preserve"> s. 80</w:t>
            </w:r>
          </w:p>
        </w:tc>
        <w:tc>
          <w:tcPr>
            <w:tcW w:w="1134" w:type="dxa"/>
            <w:tcBorders>
              <w:top w:val="nil"/>
              <w:bottom w:val="nil"/>
            </w:tcBorders>
          </w:tcPr>
          <w:p>
            <w:pPr>
              <w:pStyle w:val="nTable"/>
              <w:spacing w:after="40"/>
              <w:rPr>
                <w:sz w:val="19"/>
              </w:rPr>
            </w:pPr>
            <w:r>
              <w:rPr>
                <w:snapToGrid w:val="0"/>
                <w:sz w:val="19"/>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Borders>
              <w:top w:val="nil"/>
              <w:bottom w:val="nil"/>
            </w:tcBorders>
          </w:tcPr>
          <w:p>
            <w:pPr>
              <w:pStyle w:val="nTable"/>
              <w:spacing w:after="40"/>
              <w:ind w:right="113"/>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tcBorders>
              <w:top w:val="nil"/>
              <w:bottom w:val="nil"/>
            </w:tcBorders>
          </w:tcPr>
          <w:p>
            <w:pPr>
              <w:pStyle w:val="nTable"/>
              <w:spacing w:after="40"/>
              <w:rPr>
                <w:snapToGrid w:val="0"/>
                <w:sz w:val="19"/>
              </w:rPr>
            </w:pPr>
            <w:r>
              <w:rPr>
                <w:snapToGrid w:val="0"/>
                <w:sz w:val="19"/>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cantSplit/>
        </w:trPr>
        <w:tc>
          <w:tcPr>
            <w:tcW w:w="2268" w:type="dxa"/>
            <w:tcBorders>
              <w:top w:val="nil"/>
              <w:bottom w:val="nil"/>
            </w:tcBorders>
          </w:tcPr>
          <w:p>
            <w:pPr>
              <w:pStyle w:val="nTable"/>
              <w:spacing w:after="40"/>
              <w:ind w:right="113"/>
              <w:rPr>
                <w:i/>
                <w:snapToGrid w:val="0"/>
                <w:sz w:val="19"/>
              </w:rPr>
            </w:pPr>
            <w:r>
              <w:rPr>
                <w:i/>
                <w:snapToGrid w:val="0"/>
                <w:sz w:val="19"/>
              </w:rPr>
              <w:t xml:space="preserve">Financial Legislation Amendment and Repeal Act 2006 </w:t>
            </w:r>
            <w:r>
              <w:rPr>
                <w:snapToGrid w:val="0"/>
                <w:sz w:val="19"/>
              </w:rPr>
              <w:t>s. 4, 5(1), 11 and Sch. 1 cl. 131</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z w:val="19"/>
              </w:rPr>
            </w:pPr>
            <w:r>
              <w:rPr>
                <w:snapToGrid w:val="0"/>
                <w:sz w:val="19"/>
              </w:rPr>
              <w:t>21 Dec 2006</w:t>
            </w:r>
          </w:p>
        </w:tc>
        <w:tc>
          <w:tcPr>
            <w:tcW w:w="2554" w:type="dxa"/>
            <w:tcBorders>
              <w:top w:val="nil"/>
              <w:bottom w:val="nil"/>
            </w:tcBorders>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90" w:type="dxa"/>
            <w:gridSpan w:val="4"/>
            <w:tcBorders>
              <w:top w:val="nil"/>
              <w:bottom w:val="nil"/>
            </w:tcBorders>
          </w:tcPr>
          <w:p>
            <w:pPr>
              <w:pStyle w:val="nTable"/>
              <w:spacing w:after="40"/>
              <w:rPr>
                <w:snapToGrid w:val="0"/>
                <w:sz w:val="19"/>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Public Sector Reform Act 2010</w:t>
            </w:r>
            <w:r>
              <w:rPr>
                <w:i/>
                <w:iCs/>
                <w:snapToGrid w:val="0"/>
                <w:sz w:val="19"/>
              </w:rPr>
              <w:t xml:space="preserve"> </w:t>
            </w:r>
            <w:r>
              <w:rPr>
                <w:snapToGrid w:val="0"/>
                <w:sz w:val="19"/>
              </w:rPr>
              <w:t>s. 81 and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napToGrid w:val="0"/>
                <w:sz w:val="19"/>
              </w:rPr>
              <w:t>1 Oct 2010</w:t>
            </w:r>
          </w:p>
        </w:tc>
        <w:tc>
          <w:tcPr>
            <w:tcW w:w="2554"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tcBorders>
              <w:top w:val="nil"/>
              <w:bottom w:val="nil"/>
            </w:tcBorders>
            <w:shd w:val="clear" w:color="auto" w:fill="auto"/>
          </w:tcPr>
          <w:p>
            <w:pPr>
              <w:pStyle w:val="nTable"/>
              <w:spacing w:after="40"/>
              <w:ind w:right="113"/>
              <w:rPr>
                <w:i/>
                <w:snapToGrid w:val="0"/>
                <w:sz w:val="19"/>
              </w:rPr>
            </w:pPr>
            <w:r>
              <w:rPr>
                <w:i/>
                <w:snapToGrid w:val="0"/>
                <w:sz w:val="19"/>
              </w:rPr>
              <w:t>Building Act 2011</w:t>
            </w:r>
            <w:r>
              <w:rPr>
                <w:snapToGrid w:val="0"/>
                <w:sz w:val="19"/>
              </w:rPr>
              <w:t xml:space="preserve"> s. 169</w:t>
            </w:r>
          </w:p>
        </w:tc>
        <w:tc>
          <w:tcPr>
            <w:tcW w:w="1134" w:type="dxa"/>
            <w:tcBorders>
              <w:top w:val="nil"/>
              <w:bottom w:val="nil"/>
            </w:tcBorders>
            <w:shd w:val="clear" w:color="auto" w:fill="auto"/>
          </w:tcPr>
          <w:p>
            <w:pPr>
              <w:pStyle w:val="nTable"/>
              <w:spacing w:after="40"/>
              <w:rPr>
                <w:snapToGrid w:val="0"/>
                <w:sz w:val="19"/>
              </w:rPr>
            </w:pPr>
            <w:r>
              <w:rPr>
                <w:snapToGrid w:val="0"/>
                <w:sz w:val="19"/>
              </w:rPr>
              <w:t>24 of 2011</w:t>
            </w:r>
          </w:p>
        </w:tc>
        <w:tc>
          <w:tcPr>
            <w:tcW w:w="1134" w:type="dxa"/>
            <w:tcBorders>
              <w:top w:val="nil"/>
              <w:bottom w:val="nil"/>
            </w:tcBorders>
            <w:shd w:val="clear" w:color="auto" w:fill="auto"/>
          </w:tcPr>
          <w:p>
            <w:pPr>
              <w:pStyle w:val="nTable"/>
              <w:spacing w:after="40"/>
              <w:rPr>
                <w:snapToGrid w:val="0"/>
                <w:sz w:val="19"/>
              </w:rPr>
            </w:pPr>
            <w:r>
              <w:rPr>
                <w:snapToGrid w:val="0"/>
                <w:sz w:val="19"/>
              </w:rPr>
              <w:t>11 Jul 2011</w:t>
            </w:r>
          </w:p>
        </w:tc>
        <w:tc>
          <w:tcPr>
            <w:tcW w:w="2554" w:type="dxa"/>
            <w:tcBorders>
              <w:top w:val="nil"/>
              <w:bottom w:val="nil"/>
            </w:tcBorders>
            <w:shd w:val="clear" w:color="auto" w:fill="auto"/>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7090" w:type="dxa"/>
            <w:gridSpan w:val="4"/>
            <w:tcBorders>
              <w:top w:val="nil"/>
              <w:bottom w:val="nil"/>
            </w:tcBorders>
            <w:shd w:val="clear" w:color="auto" w:fill="auto"/>
          </w:tcPr>
          <w:p>
            <w:pPr>
              <w:pStyle w:val="nTable"/>
              <w:spacing w:after="40"/>
              <w:rPr>
                <w:snapToGrid w:val="0"/>
                <w:sz w:val="19"/>
              </w:rPr>
            </w:pPr>
            <w:r>
              <w:rPr>
                <w:b/>
                <w:spacing w:val="-2"/>
                <w:sz w:val="19"/>
              </w:rPr>
              <w:t xml:space="preserve">Reprint 3: The </w:t>
            </w:r>
            <w:r>
              <w:rPr>
                <w:b/>
                <w:i/>
                <w:spacing w:val="-2"/>
                <w:sz w:val="19"/>
              </w:rPr>
              <w:t>Port Authorities Act 1999</w:t>
            </w:r>
            <w:r>
              <w:rPr>
                <w:b/>
                <w:spacing w:val="-2"/>
                <w:sz w:val="19"/>
              </w:rPr>
              <w:t xml:space="preserve"> as at 7 Sep 2012</w:t>
            </w:r>
            <w:r>
              <w:rPr>
                <w:spacing w:val="-2"/>
                <w:sz w:val="19"/>
              </w:rPr>
              <w:t xml:space="preserve"> (includes amendments listed above)</w:t>
            </w:r>
          </w:p>
        </w:tc>
      </w:tr>
      <w:tr>
        <w:trPr>
          <w:cantSplit/>
        </w:trPr>
        <w:tc>
          <w:tcPr>
            <w:tcW w:w="2268" w:type="dxa"/>
            <w:tcBorders>
              <w:top w:val="nil"/>
              <w:bottom w:val="single" w:sz="4" w:space="0" w:color="auto"/>
            </w:tcBorders>
            <w:shd w:val="clear" w:color="auto" w:fill="auto"/>
          </w:tcPr>
          <w:p>
            <w:pPr>
              <w:pStyle w:val="nTable"/>
              <w:spacing w:after="40"/>
              <w:ind w:right="113"/>
              <w:rPr>
                <w:i/>
                <w:snapToGrid w:val="0"/>
                <w:sz w:val="19"/>
              </w:rPr>
            </w:pPr>
            <w:r>
              <w:rPr>
                <w:i/>
                <w:snapToGrid w:val="0"/>
                <w:sz w:val="19"/>
              </w:rPr>
              <w:t>Ports Legislation Amendment Act 2014</w:t>
            </w:r>
          </w:p>
        </w:tc>
        <w:tc>
          <w:tcPr>
            <w:tcW w:w="1134" w:type="dxa"/>
            <w:tcBorders>
              <w:top w:val="nil"/>
              <w:bottom w:val="single" w:sz="4" w:space="0" w:color="auto"/>
            </w:tcBorders>
            <w:shd w:val="clear" w:color="auto" w:fill="auto"/>
          </w:tcPr>
          <w:p>
            <w:pPr>
              <w:pStyle w:val="nTable"/>
              <w:spacing w:after="40"/>
              <w:rPr>
                <w:snapToGrid w:val="0"/>
                <w:sz w:val="19"/>
              </w:rPr>
            </w:pPr>
            <w:r>
              <w:rPr>
                <w:snapToGrid w:val="0"/>
                <w:sz w:val="19"/>
              </w:rPr>
              <w:t>9 of 2014</w:t>
            </w:r>
          </w:p>
        </w:tc>
        <w:tc>
          <w:tcPr>
            <w:tcW w:w="1134" w:type="dxa"/>
            <w:tcBorders>
              <w:top w:val="nil"/>
              <w:bottom w:val="single" w:sz="4" w:space="0" w:color="auto"/>
            </w:tcBorders>
            <w:shd w:val="clear" w:color="auto" w:fill="auto"/>
          </w:tcPr>
          <w:p>
            <w:pPr>
              <w:pStyle w:val="nTable"/>
              <w:spacing w:after="40"/>
              <w:rPr>
                <w:snapToGrid w:val="0"/>
                <w:sz w:val="19"/>
              </w:rPr>
            </w:pPr>
            <w:r>
              <w:rPr>
                <w:snapToGrid w:val="0"/>
                <w:sz w:val="19"/>
              </w:rPr>
              <w:t>20 May 2014</w:t>
            </w:r>
          </w:p>
        </w:tc>
        <w:tc>
          <w:tcPr>
            <w:tcW w:w="2554" w:type="dxa"/>
            <w:tcBorders>
              <w:top w:val="nil"/>
              <w:bottom w:val="single" w:sz="4" w:space="0" w:color="auto"/>
            </w:tcBorders>
            <w:shd w:val="clear" w:color="auto" w:fill="auto"/>
          </w:tcPr>
          <w:p>
            <w:pPr>
              <w:pStyle w:val="nTable"/>
              <w:spacing w:after="40"/>
              <w:rPr>
                <w:snapToGrid w:val="0"/>
                <w:sz w:val="19"/>
              </w:rPr>
            </w:pPr>
            <w:r>
              <w:rPr>
                <w:snapToGrid w:val="0"/>
                <w:sz w:val="19"/>
              </w:rPr>
              <w:t>Heading to Pt. 2, s. 3, 4(3), 5(1), 7(1), 10, 28(1), 29, 30, 32 and 35: 21 May 2014 (see s. 2(1)(b</w:t>
            </w:r>
            <w:del w:id="1241" w:author="svcMRProcess" w:date="2018-09-07T05:21:00Z">
              <w:r>
                <w:rPr>
                  <w:snapToGrid w:val="0"/>
                  <w:sz w:val="19"/>
                </w:rPr>
                <w:delText>))</w:delText>
              </w:r>
            </w:del>
            <w:ins w:id="1242" w:author="svcMRProcess" w:date="2018-09-07T05:21:00Z">
              <w:r>
                <w:rPr>
                  <w:snapToGrid w:val="0"/>
                  <w:sz w:val="19"/>
                </w:rPr>
                <w:t>));</w:t>
              </w:r>
              <w:r>
                <w:rPr>
                  <w:snapToGrid w:val="0"/>
                  <w:sz w:val="19"/>
                </w:rPr>
                <w:br/>
                <w:t>s. 4(1) and (2), 6, 7(2), 8, 9, 11</w:t>
              </w:r>
              <w:r>
                <w:rPr>
                  <w:snapToGrid w:val="0"/>
                  <w:sz w:val="19"/>
                </w:rPr>
                <w:noBreakHyphen/>
                <w:t xml:space="preserve">27 and 33: 31 May 2014 (see s. 2(1)(c) and </w:t>
              </w:r>
              <w:r>
                <w:rPr>
                  <w:i/>
                  <w:snapToGrid w:val="0"/>
                  <w:sz w:val="19"/>
                </w:rPr>
                <w:t>Gazette</w:t>
              </w:r>
              <w:r>
                <w:rPr>
                  <w:snapToGrid w:val="0"/>
                  <w:sz w:val="19"/>
                </w:rPr>
                <w:t xml:space="preserve"> 30 May 2014 p. 1680)</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43" w:name="_Toc389811861"/>
      <w:bookmarkStart w:id="1244" w:name="_Toc388863156"/>
      <w:r>
        <w:rPr>
          <w:snapToGrid w:val="0"/>
        </w:rPr>
        <w:t>Provisions that have not come into operation</w:t>
      </w:r>
      <w:bookmarkEnd w:id="1243"/>
      <w:bookmarkEnd w:id="12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rPr>
            </w:pPr>
            <w:r>
              <w:rPr>
                <w:i/>
                <w:snapToGrid w:val="0"/>
                <w:sz w:val="19"/>
              </w:rPr>
              <w:t>Ports Legislation Amendment Act 2014</w:t>
            </w:r>
            <w:r>
              <w:rPr>
                <w:snapToGrid w:val="0"/>
                <w:sz w:val="19"/>
              </w:rPr>
              <w:t xml:space="preserve"> </w:t>
            </w:r>
            <w:del w:id="1245" w:author="svcMRProcess" w:date="2018-09-07T05:21:00Z">
              <w:r>
                <w:rPr>
                  <w:snapToGrid w:val="0"/>
                  <w:sz w:val="19"/>
                </w:rPr>
                <w:delText>(</w:delText>
              </w:r>
            </w:del>
            <w:r>
              <w:rPr>
                <w:snapToGrid w:val="0"/>
                <w:sz w:val="19"/>
              </w:rPr>
              <w:t>s. 4(</w:t>
            </w:r>
            <w:del w:id="1246" w:author="svcMRProcess" w:date="2018-09-07T05:21:00Z">
              <w:r>
                <w:rPr>
                  <w:snapToGrid w:val="0"/>
                  <w:sz w:val="19"/>
                </w:rPr>
                <w:delText>1), (2) and (</w:delText>
              </w:r>
            </w:del>
            <w:r>
              <w:rPr>
                <w:snapToGrid w:val="0"/>
                <w:sz w:val="19"/>
              </w:rPr>
              <w:t xml:space="preserve">4), 5(2), </w:t>
            </w:r>
            <w:del w:id="1247" w:author="svcMRProcess" w:date="2018-09-07T05:21:00Z">
              <w:r>
                <w:rPr>
                  <w:snapToGrid w:val="0"/>
                  <w:sz w:val="19"/>
                </w:rPr>
                <w:delText xml:space="preserve">6, 7(2), 8, 9, 11-27, </w:delText>
              </w:r>
            </w:del>
            <w:r>
              <w:rPr>
                <w:snapToGrid w:val="0"/>
                <w:sz w:val="19"/>
              </w:rPr>
              <w:t xml:space="preserve">28(2), 31, </w:t>
            </w:r>
            <w:del w:id="1248" w:author="svcMRProcess" w:date="2018-09-07T05:21:00Z">
              <w:r>
                <w:rPr>
                  <w:snapToGrid w:val="0"/>
                  <w:sz w:val="19"/>
                </w:rPr>
                <w:delText xml:space="preserve">33, </w:delText>
              </w:r>
            </w:del>
            <w:r>
              <w:rPr>
                <w:snapToGrid w:val="0"/>
                <w:sz w:val="19"/>
              </w:rPr>
              <w:t>34 and 36</w:t>
            </w:r>
            <w:del w:id="1249" w:author="svcMRProcess" w:date="2018-09-07T05:21:00Z">
              <w:r>
                <w:rPr>
                  <w:snapToGrid w:val="0"/>
                  <w:sz w:val="19"/>
                </w:rPr>
                <w:delText>)</w:delText>
              </w:r>
            </w:del>
            <w:r>
              <w:rPr>
                <w:snapToGrid w:val="0"/>
                <w:sz w:val="19"/>
                <w:vertAlign w:val="superscript"/>
              </w:rPr>
              <w:t> 8</w:t>
            </w:r>
          </w:p>
        </w:tc>
        <w:tc>
          <w:tcPr>
            <w:tcW w:w="1118" w:type="dxa"/>
          </w:tcPr>
          <w:p>
            <w:pPr>
              <w:pStyle w:val="nTable"/>
              <w:spacing w:after="40"/>
              <w:rPr>
                <w:snapToGrid w:val="0"/>
                <w:sz w:val="19"/>
              </w:rPr>
            </w:pPr>
            <w:r>
              <w:rPr>
                <w:snapToGrid w:val="0"/>
                <w:sz w:val="19"/>
              </w:rPr>
              <w:t>9 of 2014</w:t>
            </w:r>
          </w:p>
        </w:tc>
        <w:tc>
          <w:tcPr>
            <w:tcW w:w="1134" w:type="dxa"/>
          </w:tcPr>
          <w:p>
            <w:pPr>
              <w:pStyle w:val="nTable"/>
              <w:spacing w:after="40"/>
              <w:rPr>
                <w:snapToGrid w:val="0"/>
                <w:sz w:val="19"/>
              </w:rPr>
            </w:pPr>
            <w:r>
              <w:rPr>
                <w:snapToGrid w:val="0"/>
                <w:sz w:val="19"/>
              </w:rPr>
              <w:t>20 May 2014</w:t>
            </w:r>
          </w:p>
        </w:tc>
        <w:tc>
          <w:tcPr>
            <w:tcW w:w="2552" w:type="dxa"/>
          </w:tcPr>
          <w:p>
            <w:pPr>
              <w:pStyle w:val="nTable"/>
              <w:spacing w:after="40"/>
              <w:rPr>
                <w:snapToGrid w:val="0"/>
                <w:sz w:val="19"/>
              </w:rPr>
            </w:pPr>
            <w:r>
              <w:rPr>
                <w:snapToGrid w:val="0"/>
                <w:sz w:val="19"/>
              </w:rPr>
              <w:t>To be proclaimed (see s. 2(1)(c) and (2))</w:t>
            </w:r>
          </w:p>
        </w:tc>
      </w:tr>
    </w:tbl>
    <w:p>
      <w:pPr>
        <w:pStyle w:val="nSubsection"/>
        <w:keepNext/>
        <w:spacing w:before="120"/>
      </w:pPr>
      <w:r>
        <w:rPr>
          <w:vertAlign w:val="superscript"/>
        </w:rPr>
        <w:t>2</w:t>
      </w:r>
      <w:r>
        <w:tab/>
        <w:t xml:space="preserve">The </w:t>
      </w:r>
      <w:r>
        <w:rPr>
          <w:i/>
        </w:rPr>
        <w:t>Ports and Marine Legislation Amendment Act 2003</w:t>
      </w:r>
      <w:r>
        <w:t xml:space="preserve"> s. 4(2) reads as follows:</w:t>
      </w:r>
    </w:p>
    <w:p>
      <w:pPr>
        <w:pStyle w:val="BlankOpen"/>
      </w:pPr>
    </w:p>
    <w:p>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pPr>
        <w:pStyle w:val="BlankClose"/>
      </w:pP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6</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pPr>
      <w:r>
        <w:rPr>
          <w:vertAlign w:val="superscript"/>
        </w:rPr>
        <w:t>7</w:t>
      </w:r>
      <w:r>
        <w:tab/>
        <w:t xml:space="preserve">The </w:t>
      </w:r>
      <w:r>
        <w:rPr>
          <w:i/>
        </w:rPr>
        <w:t>Corporations (Consequential Amendments) Act (No. 3) 2003</w:t>
      </w:r>
      <w:r>
        <w:t xml:space="preserve"> s. 2</w:t>
      </w:r>
      <w:r>
        <w:noBreakHyphen/>
        <w:t>4 contain validation provisions.</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Ports Legislation Amendment Act 2014</w:t>
      </w:r>
      <w:r>
        <w:rPr>
          <w:snapToGrid w:val="0"/>
        </w:rPr>
        <w:t xml:space="preserve"> s. 4(</w:t>
      </w:r>
      <w:del w:id="1250" w:author="svcMRProcess" w:date="2018-09-07T05:21:00Z">
        <w:r>
          <w:rPr>
            <w:snapToGrid w:val="0"/>
          </w:rPr>
          <w:delText>1), (2) and (</w:delText>
        </w:r>
      </w:del>
      <w:r>
        <w:rPr>
          <w:snapToGrid w:val="0"/>
        </w:rPr>
        <w:t xml:space="preserve">4), 5(2), </w:t>
      </w:r>
      <w:del w:id="1251" w:author="svcMRProcess" w:date="2018-09-07T05:21:00Z">
        <w:r>
          <w:rPr>
            <w:snapToGrid w:val="0"/>
          </w:rPr>
          <w:delText xml:space="preserve">6, 7(2), 8, 9, 11-27, </w:delText>
        </w:r>
      </w:del>
      <w:r>
        <w:rPr>
          <w:snapToGrid w:val="0"/>
        </w:rPr>
        <w:t xml:space="preserve">28(2), 31, </w:t>
      </w:r>
      <w:del w:id="1252" w:author="svcMRProcess" w:date="2018-09-07T05:21:00Z">
        <w:r>
          <w:rPr>
            <w:snapToGrid w:val="0"/>
          </w:rPr>
          <w:delText xml:space="preserve">33, </w:delText>
        </w:r>
      </w:del>
      <w:r>
        <w:rPr>
          <w:snapToGrid w:val="0"/>
        </w:rPr>
        <w:t xml:space="preserve">34 and 36 </w:t>
      </w:r>
      <w:del w:id="1253" w:author="svcMRProcess" w:date="2018-09-07T05:21:00Z">
        <w:r>
          <w:rPr>
            <w:snapToGrid w:val="0"/>
          </w:rPr>
          <w:delText>have</w:delText>
        </w:r>
      </w:del>
      <w:ins w:id="1254" w:author="svcMRProcess" w:date="2018-09-07T05:21:00Z">
        <w:r>
          <w:rPr>
            <w:snapToGrid w:val="0"/>
          </w:rPr>
          <w:t>had</w:t>
        </w:r>
      </w:ins>
      <w:r>
        <w:rPr>
          <w:snapToGrid w:val="0"/>
        </w:rPr>
        <w:t xml:space="preserve"> not come into operation.  They read as follows:</w:t>
      </w:r>
    </w:p>
    <w:p>
      <w:pPr>
        <w:pStyle w:val="BlankOpen"/>
        <w:rPr>
          <w:snapToGrid w:val="0"/>
        </w:rPr>
      </w:pPr>
    </w:p>
    <w:p>
      <w:pPr>
        <w:pStyle w:val="nzHeading5"/>
      </w:pPr>
      <w:r>
        <w:rPr>
          <w:rStyle w:val="CharSectno"/>
        </w:rPr>
        <w:t>4</w:t>
      </w:r>
      <w:r>
        <w:t>.</w:t>
      </w:r>
      <w:r>
        <w:tab/>
        <w:t>Section 3 amended</w:t>
      </w:r>
    </w:p>
    <w:p>
      <w:pPr>
        <w:pStyle w:val="nzSubsection"/>
        <w:rPr>
          <w:del w:id="1255" w:author="svcMRProcess" w:date="2018-09-07T05:21:00Z"/>
        </w:rPr>
      </w:pPr>
      <w:del w:id="1256" w:author="svcMRProcess" w:date="2018-09-07T05:21:00Z">
        <w:r>
          <w:tab/>
          <w:delText>(1)</w:delText>
        </w:r>
        <w:r>
          <w:tab/>
          <w:delText>In section 3(1) insert in alphabetical order:</w:delText>
        </w:r>
      </w:del>
    </w:p>
    <w:p>
      <w:pPr>
        <w:pStyle w:val="BlankOpen"/>
        <w:rPr>
          <w:del w:id="1257" w:author="svcMRProcess" w:date="2018-09-07T05:21:00Z"/>
        </w:rPr>
      </w:pPr>
    </w:p>
    <w:p>
      <w:pPr>
        <w:pStyle w:val="nzDefstart"/>
        <w:rPr>
          <w:del w:id="1258" w:author="svcMRProcess" w:date="2018-09-07T05:21:00Z"/>
        </w:rPr>
      </w:pPr>
      <w:del w:id="1259" w:author="svcMRProcess" w:date="2018-09-07T05:21:00Z">
        <w:r>
          <w:tab/>
        </w:r>
        <w:r>
          <w:rPr>
            <w:rStyle w:val="CharDefText"/>
          </w:rPr>
          <w:delText>port operations</w:delText>
        </w:r>
        <w:r>
          <w:delText xml:space="preserve"> means — </w:delText>
        </w:r>
      </w:del>
    </w:p>
    <w:p>
      <w:pPr>
        <w:pStyle w:val="nzDefpara"/>
        <w:rPr>
          <w:del w:id="1260" w:author="svcMRProcess" w:date="2018-09-07T05:21:00Z"/>
        </w:rPr>
      </w:pPr>
      <w:del w:id="1261" w:author="svcMRProcess" w:date="2018-09-07T05:21:00Z">
        <w:r>
          <w:tab/>
          <w:delText>(a)</w:delText>
        </w:r>
        <w:r>
          <w:tab/>
          <w:delText>the carrying out of port activities or port works; or</w:delText>
        </w:r>
      </w:del>
    </w:p>
    <w:p>
      <w:pPr>
        <w:pStyle w:val="nzDefpara"/>
        <w:rPr>
          <w:del w:id="1262" w:author="svcMRProcess" w:date="2018-09-07T05:21:00Z"/>
        </w:rPr>
      </w:pPr>
      <w:del w:id="1263" w:author="svcMRProcess" w:date="2018-09-07T05:21:00Z">
        <w:r>
          <w:tab/>
          <w:delText>(b)</w:delText>
        </w:r>
        <w:r>
          <w:tab/>
          <w:delText>the provision of port services; or</w:delText>
        </w:r>
      </w:del>
    </w:p>
    <w:p>
      <w:pPr>
        <w:pStyle w:val="nzDefpara"/>
        <w:rPr>
          <w:del w:id="1264" w:author="svcMRProcess" w:date="2018-09-07T05:21:00Z"/>
        </w:rPr>
      </w:pPr>
      <w:del w:id="1265" w:author="svcMRProcess" w:date="2018-09-07T05:21:00Z">
        <w:r>
          <w:tab/>
          <w:delText>(c)</w:delText>
        </w:r>
        <w:r>
          <w:tab/>
          <w:delText>the provision, management or operation of port facilities;</w:delText>
        </w:r>
      </w:del>
    </w:p>
    <w:p>
      <w:pPr>
        <w:pStyle w:val="nzDefstart"/>
        <w:rPr>
          <w:del w:id="1266" w:author="svcMRProcess" w:date="2018-09-07T05:21:00Z"/>
        </w:rPr>
      </w:pPr>
      <w:del w:id="1267" w:author="svcMRProcess" w:date="2018-09-07T05:21:00Z">
        <w:r>
          <w:tab/>
        </w:r>
        <w:r>
          <w:rPr>
            <w:rStyle w:val="CharDefText"/>
          </w:rPr>
          <w:delText>port property</w:delText>
        </w:r>
        <w:r>
          <w:delText xml:space="preserve">, in relation to a port authority, means — </w:delText>
        </w:r>
      </w:del>
    </w:p>
    <w:p>
      <w:pPr>
        <w:pStyle w:val="nzDefpara"/>
        <w:rPr>
          <w:del w:id="1268" w:author="svcMRProcess" w:date="2018-09-07T05:21:00Z"/>
        </w:rPr>
      </w:pPr>
      <w:del w:id="1269" w:author="svcMRProcess" w:date="2018-09-07T05:21:00Z">
        <w:r>
          <w:tab/>
          <w:delText>(a)</w:delText>
        </w:r>
        <w:r>
          <w:tab/>
          <w:delText>port facilities; or</w:delText>
        </w:r>
      </w:del>
    </w:p>
    <w:p>
      <w:pPr>
        <w:pStyle w:val="nzDefpara"/>
        <w:rPr>
          <w:del w:id="1270" w:author="svcMRProcess" w:date="2018-09-07T05:21:00Z"/>
        </w:rPr>
      </w:pPr>
      <w:del w:id="1271" w:author="svcMRProcess" w:date="2018-09-07T05:21:00Z">
        <w:r>
          <w:tab/>
          <w:delText>(b)</w:delText>
        </w:r>
        <w:r>
          <w:tab/>
          <w:delText>vested property; or</w:delText>
        </w:r>
      </w:del>
    </w:p>
    <w:p>
      <w:pPr>
        <w:pStyle w:val="nzDefpara"/>
        <w:rPr>
          <w:del w:id="1272" w:author="svcMRProcess" w:date="2018-09-07T05:21:00Z"/>
        </w:rPr>
      </w:pPr>
      <w:del w:id="1273" w:author="svcMRProcess" w:date="2018-09-07T05:21:00Z">
        <w:r>
          <w:tab/>
          <w:delText>(c)</w:delText>
        </w:r>
        <w:r>
          <w:tab/>
          <w:delText>other property held by the port authority;</w:delText>
        </w:r>
      </w:del>
    </w:p>
    <w:p>
      <w:pPr>
        <w:pStyle w:val="nzDefstart"/>
        <w:rPr>
          <w:del w:id="1274" w:author="svcMRProcess" w:date="2018-09-07T05:21:00Z"/>
        </w:rPr>
      </w:pPr>
      <w:del w:id="1275" w:author="svcMRProcess" w:date="2018-09-07T05:21:00Z">
        <w:r>
          <w:tab/>
        </w:r>
        <w:r>
          <w:rPr>
            <w:rStyle w:val="CharDefText"/>
          </w:rPr>
          <w:delText>port security</w:delText>
        </w:r>
        <w:r>
          <w:delText xml:space="preserve"> means all matters relating to — </w:delText>
        </w:r>
      </w:del>
    </w:p>
    <w:p>
      <w:pPr>
        <w:pStyle w:val="nzDefpara"/>
        <w:rPr>
          <w:del w:id="1276" w:author="svcMRProcess" w:date="2018-09-07T05:21:00Z"/>
        </w:rPr>
      </w:pPr>
      <w:del w:id="1277" w:author="svcMRProcess" w:date="2018-09-07T05:21:00Z">
        <w:r>
          <w:tab/>
          <w:delText>(a)</w:delText>
        </w:r>
        <w:r>
          <w:tab/>
          <w:delText xml:space="preserve">the preservation and protection of — </w:delText>
        </w:r>
      </w:del>
    </w:p>
    <w:p>
      <w:pPr>
        <w:pStyle w:val="nzDefsubpara"/>
        <w:rPr>
          <w:del w:id="1278" w:author="svcMRProcess" w:date="2018-09-07T05:21:00Z"/>
        </w:rPr>
      </w:pPr>
      <w:del w:id="1279" w:author="svcMRProcess" w:date="2018-09-07T05:21:00Z">
        <w:r>
          <w:tab/>
          <w:delText>(i)</w:delText>
        </w:r>
        <w:r>
          <w:tab/>
          <w:delText>port property; or</w:delText>
        </w:r>
      </w:del>
    </w:p>
    <w:p>
      <w:pPr>
        <w:pStyle w:val="nzDefsubpara"/>
        <w:rPr>
          <w:del w:id="1280" w:author="svcMRProcess" w:date="2018-09-07T05:21:00Z"/>
        </w:rPr>
      </w:pPr>
      <w:del w:id="1281" w:author="svcMRProcess" w:date="2018-09-07T05:21:00Z">
        <w:r>
          <w:tab/>
          <w:delText>(ii)</w:delText>
        </w:r>
        <w:r>
          <w:tab/>
          <w:delText>any other vessel, vehicle or other property within the port,</w:delText>
        </w:r>
      </w:del>
    </w:p>
    <w:p>
      <w:pPr>
        <w:pStyle w:val="nzDefpara"/>
        <w:rPr>
          <w:del w:id="1282" w:author="svcMRProcess" w:date="2018-09-07T05:21:00Z"/>
        </w:rPr>
      </w:pPr>
      <w:del w:id="1283" w:author="svcMRProcess" w:date="2018-09-07T05:21:00Z">
        <w:r>
          <w:tab/>
        </w:r>
        <w:r>
          <w:tab/>
          <w:delText>from damage, destruction or unlawful activity; and</w:delText>
        </w:r>
      </w:del>
    </w:p>
    <w:p>
      <w:pPr>
        <w:pStyle w:val="nzDefpara"/>
        <w:rPr>
          <w:del w:id="1284" w:author="svcMRProcess" w:date="2018-09-07T05:21:00Z"/>
        </w:rPr>
      </w:pPr>
      <w:del w:id="1285" w:author="svcMRProcess" w:date="2018-09-07T05:21:00Z">
        <w:r>
          <w:tab/>
          <w:delText>(b)</w:delText>
        </w:r>
        <w:r>
          <w:tab/>
          <w:delText>the protection of people within the port from injury or unlawful activity;</w:delText>
        </w:r>
      </w:del>
    </w:p>
    <w:p>
      <w:pPr>
        <w:pStyle w:val="nzDefstart"/>
        <w:rPr>
          <w:del w:id="1286" w:author="svcMRProcess" w:date="2018-09-07T05:21:00Z"/>
        </w:rPr>
      </w:pPr>
      <w:del w:id="1287" w:author="svcMRProcess" w:date="2018-09-07T05:21:00Z">
        <w:r>
          <w:tab/>
        </w:r>
        <w:r>
          <w:rPr>
            <w:rStyle w:val="CharDefText"/>
          </w:rPr>
          <w:delText>potential supplier</w:delText>
        </w:r>
        <w:r>
          <w:delText xml:space="preserve"> means — </w:delText>
        </w:r>
      </w:del>
    </w:p>
    <w:p>
      <w:pPr>
        <w:pStyle w:val="nzDefpara"/>
        <w:rPr>
          <w:del w:id="1288" w:author="svcMRProcess" w:date="2018-09-07T05:21:00Z"/>
        </w:rPr>
      </w:pPr>
      <w:del w:id="1289" w:author="svcMRProcess" w:date="2018-09-07T05:21:00Z">
        <w:r>
          <w:tab/>
          <w:delText>(a)</w:delText>
        </w:r>
        <w:r>
          <w:tab/>
          <w:delText>a person who might become a supplier of port services; or</w:delText>
        </w:r>
      </w:del>
    </w:p>
    <w:p>
      <w:pPr>
        <w:pStyle w:val="nzDefpara"/>
        <w:rPr>
          <w:del w:id="1290" w:author="svcMRProcess" w:date="2018-09-07T05:21:00Z"/>
        </w:rPr>
      </w:pPr>
      <w:del w:id="1291" w:author="svcMRProcess" w:date="2018-09-07T05:21:00Z">
        <w:r>
          <w:tab/>
          <w:delText>(b)</w:delText>
        </w:r>
        <w:r>
          <w:tab/>
          <w:delText>a person who might become a supplier of port services and, for that purpose, provide related port facilities;</w:delText>
        </w:r>
      </w:del>
    </w:p>
    <w:p>
      <w:pPr>
        <w:pStyle w:val="BlankClose"/>
        <w:rPr>
          <w:del w:id="1292" w:author="svcMRProcess" w:date="2018-09-07T05:21:00Z"/>
        </w:rPr>
      </w:pPr>
    </w:p>
    <w:p>
      <w:pPr>
        <w:pStyle w:val="nzSubsection"/>
        <w:rPr>
          <w:del w:id="1293" w:author="svcMRProcess" w:date="2018-09-07T05:21:00Z"/>
        </w:rPr>
      </w:pPr>
      <w:del w:id="1294" w:author="svcMRProcess" w:date="2018-09-07T05:21:00Z">
        <w:r>
          <w:tab/>
          <w:delText>(2)</w:delText>
        </w:r>
        <w:r>
          <w:tab/>
          <w:delText xml:space="preserve">In section 3(1) in the definition of </w:delText>
        </w:r>
        <w:r>
          <w:rPr>
            <w:b/>
            <w:i/>
          </w:rPr>
          <w:delText>member of staff</w:delText>
        </w:r>
        <w:r>
          <w:delText xml:space="preserve"> delete “section 16;” and insert:</w:delText>
        </w:r>
      </w:del>
    </w:p>
    <w:p>
      <w:pPr>
        <w:pStyle w:val="BlankOpen"/>
        <w:rPr>
          <w:del w:id="1295" w:author="svcMRProcess" w:date="2018-09-07T05:21:00Z"/>
        </w:rPr>
      </w:pPr>
    </w:p>
    <w:p>
      <w:pPr>
        <w:pStyle w:val="nzSubsection"/>
        <w:rPr>
          <w:del w:id="1296" w:author="svcMRProcess" w:date="2018-09-07T05:21:00Z"/>
        </w:rPr>
      </w:pPr>
      <w:del w:id="1297" w:author="svcMRProcess" w:date="2018-09-07T05:21:00Z">
        <w:r>
          <w:tab/>
        </w:r>
        <w:r>
          <w:tab/>
          <w:delText>section 16 or who becomes a member of staff by operation of this Act;</w:delText>
        </w:r>
      </w:del>
    </w:p>
    <w:p>
      <w:pPr>
        <w:pStyle w:val="BlankClose"/>
        <w:rPr>
          <w:del w:id="1298" w:author="svcMRProcess" w:date="2018-09-07T05:21:00Z"/>
        </w:rPr>
      </w:pPr>
    </w:p>
    <w:p>
      <w:pPr>
        <w:pStyle w:val="nzSubsection"/>
      </w:pPr>
      <w:r>
        <w:tab/>
        <w:t>(4)</w:t>
      </w:r>
      <w:r>
        <w:tab/>
        <w:t xml:space="preserve">In section 3(1) in the definition of </w:t>
      </w:r>
      <w:r>
        <w:rPr>
          <w:b/>
          <w:i/>
        </w:rPr>
        <w:t>port</w:t>
      </w:r>
      <w:r>
        <w:rPr>
          <w:i/>
        </w:rPr>
        <w:t xml:space="preserve"> </w:t>
      </w:r>
      <w:r>
        <w:t>after “Schedule 1” insert:</w:t>
      </w:r>
    </w:p>
    <w:p>
      <w:pPr>
        <w:pStyle w:val="BlankOpen"/>
      </w:pPr>
    </w:p>
    <w:p>
      <w:pPr>
        <w:pStyle w:val="nzSubsection"/>
      </w:pPr>
      <w:r>
        <w:tab/>
      </w:r>
      <w:r>
        <w:tab/>
        <w:t>or placed under the control and management of a port authority by regulations in accordance with Schedule 9</w:t>
      </w:r>
    </w:p>
    <w:p>
      <w:pPr>
        <w:pStyle w:val="BlankClose"/>
      </w:pPr>
    </w:p>
    <w:p>
      <w:pPr>
        <w:pStyle w:val="nzHeading5"/>
      </w:pPr>
      <w:r>
        <w:rPr>
          <w:rStyle w:val="CharSectno"/>
        </w:rPr>
        <w:t>5</w:t>
      </w:r>
      <w:r>
        <w:t>.</w:t>
      </w:r>
      <w:r>
        <w:tab/>
        <w:t>Section 4 amended</w:t>
      </w:r>
    </w:p>
    <w:p>
      <w:pPr>
        <w:pStyle w:val="nzSubsection"/>
      </w:pPr>
      <w:r>
        <w:tab/>
        <w:t>(2)</w:t>
      </w:r>
      <w:r>
        <w:tab/>
        <w:t>Delete section 4(2A) as inserted by subsection (1) and insert:</w:t>
      </w:r>
    </w:p>
    <w:p>
      <w:pPr>
        <w:pStyle w:val="BlankOpen"/>
      </w:pPr>
    </w:p>
    <w:p>
      <w:pPr>
        <w:pStyle w:val="nzSubsection"/>
      </w:pPr>
      <w:r>
        <w:tab/>
        <w:t>(2A)</w:t>
      </w:r>
      <w:r>
        <w:tab/>
        <w:t xml:space="preserve">A port authority named in column 2 of an item in Schedule 1 is to control and manage — </w:t>
      </w:r>
    </w:p>
    <w:p>
      <w:pPr>
        <w:pStyle w:val="nzIndenta"/>
      </w:pPr>
      <w:r>
        <w:tab/>
        <w:t>(a)</w:t>
      </w:r>
      <w:r>
        <w:tab/>
        <w:t>any port named in column 3 of that item</w:t>
      </w:r>
      <w:r>
        <w:rPr>
          <w:snapToGrid w:val="0"/>
        </w:rPr>
        <w:t>; and</w:t>
      </w:r>
    </w:p>
    <w:p>
      <w:pPr>
        <w:pStyle w:val="nzIndenta"/>
      </w:pPr>
      <w:r>
        <w:tab/>
        <w:t>(b)</w:t>
      </w:r>
      <w:r>
        <w:tab/>
        <w:t xml:space="preserve">any port placed under the control and management of the port authority </w:t>
      </w:r>
      <w:r>
        <w:rPr>
          <w:snapToGrid w:val="0"/>
        </w:rPr>
        <w:t>by regulations in accordance with Schedule 9.</w:t>
      </w:r>
    </w:p>
    <w:p>
      <w:pPr>
        <w:pStyle w:val="BlankClose"/>
        <w:keepNext/>
        <w:widowControl w:val="0"/>
      </w:pPr>
    </w:p>
    <w:p>
      <w:pPr>
        <w:pStyle w:val="nzHeading5"/>
        <w:rPr>
          <w:del w:id="1299" w:author="svcMRProcess" w:date="2018-09-07T05:21:00Z"/>
        </w:rPr>
      </w:pPr>
      <w:del w:id="1300" w:author="svcMRProcess" w:date="2018-09-07T05:21:00Z">
        <w:r>
          <w:rPr>
            <w:rStyle w:val="CharSectno"/>
          </w:rPr>
          <w:delText>6</w:delText>
        </w:r>
        <w:r>
          <w:delText>.</w:delText>
        </w:r>
        <w:r>
          <w:tab/>
          <w:delText>Section 5 amended</w:delText>
        </w:r>
      </w:del>
    </w:p>
    <w:p>
      <w:pPr>
        <w:pStyle w:val="nzSubsection"/>
        <w:rPr>
          <w:del w:id="1301" w:author="svcMRProcess" w:date="2018-09-07T05:21:00Z"/>
        </w:rPr>
      </w:pPr>
      <w:del w:id="1302" w:author="svcMRProcess" w:date="2018-09-07T05:21:00Z">
        <w:r>
          <w:tab/>
        </w:r>
        <w:r>
          <w:tab/>
          <w:delText>In section 5 delete “</w:delText>
        </w:r>
        <w:r>
          <w:rPr>
            <w:snapToGrid w:val="0"/>
          </w:rPr>
          <w:delText>A port authority is not</w:delText>
        </w:r>
        <w:r>
          <w:delText>” and insert:</w:delText>
        </w:r>
      </w:del>
    </w:p>
    <w:p>
      <w:pPr>
        <w:pStyle w:val="BlankOpen"/>
        <w:rPr>
          <w:del w:id="1303" w:author="svcMRProcess" w:date="2018-09-07T05:21:00Z"/>
        </w:rPr>
      </w:pPr>
    </w:p>
    <w:p>
      <w:pPr>
        <w:pStyle w:val="nzSubsection"/>
        <w:rPr>
          <w:del w:id="1304" w:author="svcMRProcess" w:date="2018-09-07T05:21:00Z"/>
        </w:rPr>
      </w:pPr>
      <w:del w:id="1305" w:author="svcMRProcess" w:date="2018-09-07T05:21:00Z">
        <w:r>
          <w:tab/>
        </w:r>
        <w:r>
          <w:tab/>
          <w:delText>For the purposes of any law of the State, a port authority is to be regarded as not being</w:delText>
        </w:r>
      </w:del>
    </w:p>
    <w:p>
      <w:pPr>
        <w:pStyle w:val="BlankClose"/>
        <w:keepNext/>
        <w:widowControl w:val="0"/>
        <w:rPr>
          <w:del w:id="1306" w:author="svcMRProcess" w:date="2018-09-07T05:21:00Z"/>
        </w:rPr>
      </w:pPr>
    </w:p>
    <w:p>
      <w:pPr>
        <w:tabs>
          <w:tab w:val="left" w:pos="851"/>
        </w:tabs>
        <w:spacing w:before="160"/>
        <w:ind w:left="1418" w:hanging="1418"/>
        <w:rPr>
          <w:del w:id="1307" w:author="svcMRProcess" w:date="2018-09-07T05:21:00Z"/>
          <w:sz w:val="18"/>
        </w:rPr>
      </w:pPr>
      <w:del w:id="1308" w:author="svcMRProcess" w:date="2018-09-07T05:21:00Z">
        <w:r>
          <w:rPr>
            <w:rFonts w:ascii="Arial" w:hAnsi="Arial"/>
            <w:sz w:val="18"/>
          </w:rPr>
          <w:tab/>
          <w:delText>Note:</w:delText>
        </w:r>
        <w:r>
          <w:rPr>
            <w:rFonts w:ascii="Arial" w:hAnsi="Arial"/>
            <w:sz w:val="18"/>
          </w:rPr>
          <w:tab/>
          <w:delText>The heading to amended section 5 is to read</w:delText>
        </w:r>
        <w:r>
          <w:rPr>
            <w:sz w:val="18"/>
          </w:rPr>
          <w:delText>:</w:delText>
        </w:r>
      </w:del>
    </w:p>
    <w:p>
      <w:pPr>
        <w:tabs>
          <w:tab w:val="left" w:pos="851"/>
        </w:tabs>
        <w:spacing w:before="160"/>
        <w:ind w:left="1418" w:hanging="1418"/>
        <w:rPr>
          <w:del w:id="1309" w:author="svcMRProcess" w:date="2018-09-07T05:21:00Z"/>
          <w:rFonts w:ascii="Arial" w:hAnsi="Arial"/>
          <w:b/>
          <w:snapToGrid w:val="0"/>
          <w:sz w:val="18"/>
        </w:rPr>
      </w:pPr>
      <w:del w:id="1310" w:author="svcMRProcess" w:date="2018-09-07T05:21:00Z">
        <w:r>
          <w:rPr>
            <w:sz w:val="18"/>
          </w:rPr>
          <w:tab/>
        </w:r>
        <w:r>
          <w:rPr>
            <w:sz w:val="18"/>
          </w:rPr>
          <w:tab/>
        </w:r>
        <w:r>
          <w:rPr>
            <w:rFonts w:ascii="Arial" w:hAnsi="Arial"/>
            <w:b/>
            <w:snapToGrid w:val="0"/>
            <w:sz w:val="18"/>
          </w:rPr>
          <w:delText>Port authorities not to be regarded as agents of Crown for purposes of State laws</w:delText>
        </w:r>
      </w:del>
    </w:p>
    <w:p>
      <w:pPr>
        <w:pStyle w:val="nzHeading5"/>
        <w:rPr>
          <w:del w:id="1311" w:author="svcMRProcess" w:date="2018-09-07T05:21:00Z"/>
        </w:rPr>
      </w:pPr>
      <w:del w:id="1312" w:author="svcMRProcess" w:date="2018-09-07T05:21:00Z">
        <w:r>
          <w:rPr>
            <w:rStyle w:val="CharSectno"/>
          </w:rPr>
          <w:delText>7</w:delText>
        </w:r>
        <w:r>
          <w:delText>.</w:delText>
        </w:r>
        <w:r>
          <w:tab/>
          <w:delText>Section 7 amended</w:delText>
        </w:r>
      </w:del>
    </w:p>
    <w:p>
      <w:pPr>
        <w:pStyle w:val="nzSubsection"/>
        <w:rPr>
          <w:del w:id="1313" w:author="svcMRProcess" w:date="2018-09-07T05:21:00Z"/>
        </w:rPr>
      </w:pPr>
      <w:del w:id="1314" w:author="svcMRProcess" w:date="2018-09-07T05:21:00Z">
        <w:r>
          <w:tab/>
          <w:delText>(2)</w:delText>
        </w:r>
        <w:r>
          <w:tab/>
          <w:delText>Delete section 7(4).</w:delText>
        </w:r>
      </w:del>
    </w:p>
    <w:p>
      <w:pPr>
        <w:pStyle w:val="nzHeading5"/>
        <w:rPr>
          <w:del w:id="1315" w:author="svcMRProcess" w:date="2018-09-07T05:21:00Z"/>
        </w:rPr>
      </w:pPr>
      <w:del w:id="1316" w:author="svcMRProcess" w:date="2018-09-07T05:21:00Z">
        <w:r>
          <w:rPr>
            <w:rStyle w:val="CharSectno"/>
          </w:rPr>
          <w:delText>8</w:delText>
        </w:r>
        <w:r>
          <w:delText>.</w:delText>
        </w:r>
        <w:r>
          <w:tab/>
          <w:delText>Section 13 amended</w:delText>
        </w:r>
      </w:del>
    </w:p>
    <w:p>
      <w:pPr>
        <w:pStyle w:val="nzSubsection"/>
        <w:rPr>
          <w:del w:id="1317" w:author="svcMRProcess" w:date="2018-09-07T05:21:00Z"/>
        </w:rPr>
      </w:pPr>
      <w:del w:id="1318" w:author="svcMRProcess" w:date="2018-09-07T05:21:00Z">
        <w:r>
          <w:tab/>
        </w:r>
        <w:r>
          <w:tab/>
          <w:delText>After section 13(4) insert:</w:delText>
        </w:r>
      </w:del>
    </w:p>
    <w:p>
      <w:pPr>
        <w:pStyle w:val="BlankOpen"/>
        <w:rPr>
          <w:del w:id="1319" w:author="svcMRProcess" w:date="2018-09-07T05:21:00Z"/>
        </w:rPr>
      </w:pPr>
    </w:p>
    <w:p>
      <w:pPr>
        <w:pStyle w:val="nzSubsection"/>
        <w:rPr>
          <w:del w:id="1320" w:author="svcMRProcess" w:date="2018-09-07T05:21:00Z"/>
        </w:rPr>
      </w:pPr>
      <w:del w:id="1321" w:author="svcMRProcess" w:date="2018-09-07T05:21:00Z">
        <w:r>
          <w:tab/>
          <w:delText>(5)</w:delText>
        </w:r>
        <w:r>
          <w:tab/>
          <w:delText xml:space="preserve">The port authority is to provide a committee with such — </w:delText>
        </w:r>
      </w:del>
    </w:p>
    <w:p>
      <w:pPr>
        <w:pStyle w:val="nzIndenta"/>
        <w:rPr>
          <w:del w:id="1322" w:author="svcMRProcess" w:date="2018-09-07T05:21:00Z"/>
        </w:rPr>
      </w:pPr>
      <w:del w:id="1323" w:author="svcMRProcess" w:date="2018-09-07T05:21:00Z">
        <w:r>
          <w:tab/>
          <w:delText>(a)</w:delText>
        </w:r>
        <w:r>
          <w:tab/>
          <w:delText>administrative support; and</w:delText>
        </w:r>
      </w:del>
    </w:p>
    <w:p>
      <w:pPr>
        <w:pStyle w:val="nzIndenta"/>
        <w:rPr>
          <w:del w:id="1324" w:author="svcMRProcess" w:date="2018-09-07T05:21:00Z"/>
        </w:rPr>
      </w:pPr>
      <w:del w:id="1325" w:author="svcMRProcess" w:date="2018-09-07T05:21:00Z">
        <w:r>
          <w:tab/>
          <w:delText>(b)</w:delText>
        </w:r>
        <w:r>
          <w:tab/>
          <w:delText>facilities,</w:delText>
        </w:r>
      </w:del>
    </w:p>
    <w:p>
      <w:pPr>
        <w:pStyle w:val="nzSubsection"/>
        <w:rPr>
          <w:del w:id="1326" w:author="svcMRProcess" w:date="2018-09-07T05:21:00Z"/>
        </w:rPr>
      </w:pPr>
      <w:del w:id="1327" w:author="svcMRProcess" w:date="2018-09-07T05:21:00Z">
        <w:r>
          <w:tab/>
        </w:r>
        <w:r>
          <w:tab/>
          <w:delText>as the committee may reasonably require for the performance of its functions.</w:delText>
        </w:r>
      </w:del>
    </w:p>
    <w:p>
      <w:pPr>
        <w:pStyle w:val="BlankClose"/>
        <w:rPr>
          <w:del w:id="1328" w:author="svcMRProcess" w:date="2018-09-07T05:21:00Z"/>
        </w:rPr>
      </w:pPr>
    </w:p>
    <w:p>
      <w:pPr>
        <w:pStyle w:val="nzHeading5"/>
        <w:rPr>
          <w:del w:id="1329" w:author="svcMRProcess" w:date="2018-09-07T05:21:00Z"/>
        </w:rPr>
      </w:pPr>
      <w:del w:id="1330" w:author="svcMRProcess" w:date="2018-09-07T05:21:00Z">
        <w:r>
          <w:rPr>
            <w:rStyle w:val="CharSectno"/>
          </w:rPr>
          <w:delText>9</w:delText>
        </w:r>
        <w:r>
          <w:delText>.</w:delText>
        </w:r>
        <w:r>
          <w:tab/>
          <w:delText>Section 14A inserted</w:delText>
        </w:r>
      </w:del>
    </w:p>
    <w:p>
      <w:pPr>
        <w:pStyle w:val="nzSubsection"/>
        <w:rPr>
          <w:del w:id="1331" w:author="svcMRProcess" w:date="2018-09-07T05:21:00Z"/>
        </w:rPr>
      </w:pPr>
      <w:del w:id="1332" w:author="svcMRProcess" w:date="2018-09-07T05:21:00Z">
        <w:r>
          <w:tab/>
        </w:r>
        <w:r>
          <w:tab/>
          <w:delText>At the end of Part 2 Division 2 insert:</w:delText>
        </w:r>
      </w:del>
    </w:p>
    <w:p>
      <w:pPr>
        <w:pStyle w:val="BlankOpen"/>
        <w:rPr>
          <w:del w:id="1333" w:author="svcMRProcess" w:date="2018-09-07T05:21:00Z"/>
        </w:rPr>
      </w:pPr>
    </w:p>
    <w:p>
      <w:pPr>
        <w:pStyle w:val="nzHeading5"/>
        <w:rPr>
          <w:del w:id="1334" w:author="svcMRProcess" w:date="2018-09-07T05:21:00Z"/>
        </w:rPr>
      </w:pPr>
      <w:del w:id="1335" w:author="svcMRProcess" w:date="2018-09-07T05:21:00Z">
        <w:r>
          <w:delText>14A.</w:delText>
        </w:r>
        <w:r>
          <w:tab/>
          <w:delText>Community consultation committees</w:delText>
        </w:r>
      </w:del>
    </w:p>
    <w:p>
      <w:pPr>
        <w:pStyle w:val="nzSubsection"/>
        <w:rPr>
          <w:del w:id="1336" w:author="svcMRProcess" w:date="2018-09-07T05:21:00Z"/>
        </w:rPr>
      </w:pPr>
      <w:del w:id="1337" w:author="svcMRProcess" w:date="2018-09-07T05:21:00Z">
        <w:r>
          <w:tab/>
          <w:delText>(1)</w:delText>
        </w:r>
        <w:r>
          <w:tab/>
          <w:delText xml:space="preserve">In this section — </w:delText>
        </w:r>
      </w:del>
    </w:p>
    <w:p>
      <w:pPr>
        <w:pStyle w:val="nzDefstart"/>
        <w:rPr>
          <w:del w:id="1338" w:author="svcMRProcess" w:date="2018-09-07T05:21:00Z"/>
        </w:rPr>
      </w:pPr>
      <w:del w:id="1339" w:author="svcMRProcess" w:date="2018-09-07T05:21:00Z">
        <w:r>
          <w:tab/>
        </w:r>
        <w:r>
          <w:rPr>
            <w:rStyle w:val="CharDefText"/>
          </w:rPr>
          <w:delText>consultation committee</w:delText>
        </w:r>
        <w:r>
          <w:delText xml:space="preserve"> means the committee established as required by subsection (2).</w:delText>
        </w:r>
      </w:del>
    </w:p>
    <w:p>
      <w:pPr>
        <w:pStyle w:val="nzSubsection"/>
        <w:rPr>
          <w:del w:id="1340" w:author="svcMRProcess" w:date="2018-09-07T05:21:00Z"/>
        </w:rPr>
      </w:pPr>
      <w:del w:id="1341" w:author="svcMRProcess" w:date="2018-09-07T05:21:00Z">
        <w:r>
          <w:tab/>
          <w:delText>(2)</w:delText>
        </w:r>
        <w:r>
          <w:tab/>
          <w:delText>Without limiting section 13, a port authority must, under that section, establish a committee for the port for the purpose of promoting and facilitating communication, information sharing and consultation between the port authority and members of the public who are or may be affected by port operations.</w:delText>
        </w:r>
      </w:del>
    </w:p>
    <w:p>
      <w:pPr>
        <w:pStyle w:val="nzSubsection"/>
        <w:rPr>
          <w:del w:id="1342" w:author="svcMRProcess" w:date="2018-09-07T05:21:00Z"/>
        </w:rPr>
      </w:pPr>
      <w:del w:id="1343" w:author="svcMRProcess" w:date="2018-09-07T05:21:00Z">
        <w:r>
          <w:tab/>
          <w:delText>(3)</w:delText>
        </w:r>
        <w:r>
          <w:tab/>
          <w:delText>A local government that has electors who are or may be affected by port operations at the port is to be represented on the consultation committee.</w:delText>
        </w:r>
      </w:del>
    </w:p>
    <w:p>
      <w:pPr>
        <w:pStyle w:val="nzSubsection"/>
        <w:rPr>
          <w:del w:id="1344" w:author="svcMRProcess" w:date="2018-09-07T05:21:00Z"/>
        </w:rPr>
      </w:pPr>
      <w:del w:id="1345" w:author="svcMRProcess" w:date="2018-09-07T05:21:00Z">
        <w:r>
          <w:tab/>
          <w:delText>(4)</w:delText>
        </w:r>
        <w:r>
          <w:tab/>
          <w:delText>Minutes of the proceedings of the consultation committee are to be made available on the port authority’s website or in a prescribed manner.</w:delText>
        </w:r>
      </w:del>
    </w:p>
    <w:p>
      <w:pPr>
        <w:pStyle w:val="nzSubsection"/>
        <w:rPr>
          <w:del w:id="1346" w:author="svcMRProcess" w:date="2018-09-07T05:21:00Z"/>
        </w:rPr>
      </w:pPr>
      <w:del w:id="1347" w:author="svcMRProcess" w:date="2018-09-07T05:21:00Z">
        <w:r>
          <w:tab/>
          <w:delText>(5)</w:delText>
        </w:r>
        <w:r>
          <w:tab/>
          <w:delText>Subsection (2) does not apply if the regulations exempt the port from the operation of this section.</w:delText>
        </w:r>
      </w:del>
    </w:p>
    <w:p>
      <w:pPr>
        <w:pStyle w:val="BlankClose"/>
        <w:rPr>
          <w:del w:id="1348" w:author="svcMRProcess" w:date="2018-09-07T05:21:00Z"/>
        </w:rPr>
      </w:pPr>
    </w:p>
    <w:p>
      <w:pPr>
        <w:pStyle w:val="nzHeading5"/>
        <w:rPr>
          <w:del w:id="1349" w:author="svcMRProcess" w:date="2018-09-07T05:21:00Z"/>
        </w:rPr>
      </w:pPr>
      <w:del w:id="1350" w:author="svcMRProcess" w:date="2018-09-07T05:21:00Z">
        <w:r>
          <w:rPr>
            <w:rStyle w:val="CharSectno"/>
          </w:rPr>
          <w:delText>11</w:delText>
        </w:r>
        <w:r>
          <w:delText>.</w:delText>
        </w:r>
        <w:r>
          <w:tab/>
          <w:delText>Section 29A inserted</w:delText>
        </w:r>
      </w:del>
    </w:p>
    <w:p>
      <w:pPr>
        <w:pStyle w:val="nzSubsection"/>
        <w:rPr>
          <w:del w:id="1351" w:author="svcMRProcess" w:date="2018-09-07T05:21:00Z"/>
        </w:rPr>
      </w:pPr>
      <w:del w:id="1352" w:author="svcMRProcess" w:date="2018-09-07T05:21:00Z">
        <w:r>
          <w:tab/>
        </w:r>
        <w:r>
          <w:tab/>
          <w:delText>After section 28 insert:</w:delText>
        </w:r>
      </w:del>
    </w:p>
    <w:p>
      <w:pPr>
        <w:pStyle w:val="BlankOpen"/>
        <w:rPr>
          <w:del w:id="1353" w:author="svcMRProcess" w:date="2018-09-07T05:21:00Z"/>
        </w:rPr>
      </w:pPr>
    </w:p>
    <w:p>
      <w:pPr>
        <w:pStyle w:val="nzHeading5"/>
        <w:rPr>
          <w:del w:id="1354" w:author="svcMRProcess" w:date="2018-09-07T05:21:00Z"/>
        </w:rPr>
      </w:pPr>
      <w:del w:id="1355" w:author="svcMRProcess" w:date="2018-09-07T05:21:00Z">
        <w:r>
          <w:delText>29A.</w:delText>
        </w:r>
        <w:r>
          <w:tab/>
          <w:delText xml:space="preserve">Operation of </w:delText>
        </w:r>
        <w:r>
          <w:rPr>
            <w:i/>
          </w:rPr>
          <w:delText>Planning and Development Act 2005</w:delText>
        </w:r>
        <w:r>
          <w:delText xml:space="preserve"> section 136 modified</w:delText>
        </w:r>
      </w:del>
    </w:p>
    <w:p>
      <w:pPr>
        <w:pStyle w:val="nzSubsection"/>
        <w:rPr>
          <w:del w:id="1356" w:author="svcMRProcess" w:date="2018-09-07T05:21:00Z"/>
        </w:rPr>
      </w:pPr>
      <w:del w:id="1357" w:author="svcMRProcess" w:date="2018-09-07T05:21:00Z">
        <w:r>
          <w:tab/>
        </w:r>
        <w:r>
          <w:tab/>
          <w:delText xml:space="preserve">A port authority does not have to obtain approval under the </w:delText>
        </w:r>
        <w:r>
          <w:rPr>
            <w:i/>
          </w:rPr>
          <w:delText>Planning and Development Act 2005</w:delText>
        </w:r>
        <w:r>
          <w:delText xml:space="preserve"> section 136 in order to grant a lease or licence in respect of port land.</w:delText>
        </w:r>
      </w:del>
    </w:p>
    <w:p>
      <w:pPr>
        <w:pStyle w:val="BlankClose"/>
        <w:rPr>
          <w:del w:id="1358" w:author="svcMRProcess" w:date="2018-09-07T05:21:00Z"/>
        </w:rPr>
      </w:pPr>
    </w:p>
    <w:p>
      <w:pPr>
        <w:pStyle w:val="nzHeading5"/>
        <w:rPr>
          <w:del w:id="1359" w:author="svcMRProcess" w:date="2018-09-07T05:21:00Z"/>
        </w:rPr>
      </w:pPr>
      <w:del w:id="1360" w:author="svcMRProcess" w:date="2018-09-07T05:21:00Z">
        <w:r>
          <w:rPr>
            <w:rStyle w:val="CharSectno"/>
          </w:rPr>
          <w:delText>12</w:delText>
        </w:r>
        <w:r>
          <w:delText>.</w:delText>
        </w:r>
        <w:r>
          <w:tab/>
          <w:delText>Section 30 amended</w:delText>
        </w:r>
      </w:del>
    </w:p>
    <w:p>
      <w:pPr>
        <w:pStyle w:val="nzSubsection"/>
        <w:rPr>
          <w:del w:id="1361" w:author="svcMRProcess" w:date="2018-09-07T05:21:00Z"/>
        </w:rPr>
      </w:pPr>
      <w:del w:id="1362" w:author="svcMRProcess" w:date="2018-09-07T05:21:00Z">
        <w:r>
          <w:tab/>
        </w:r>
        <w:r>
          <w:tab/>
          <w:delText>In section 30(1):</w:delText>
        </w:r>
      </w:del>
    </w:p>
    <w:p>
      <w:pPr>
        <w:pStyle w:val="nzIndenta"/>
        <w:rPr>
          <w:del w:id="1363" w:author="svcMRProcess" w:date="2018-09-07T05:21:00Z"/>
        </w:rPr>
      </w:pPr>
      <w:del w:id="1364" w:author="svcMRProcess" w:date="2018-09-07T05:21:00Z">
        <w:r>
          <w:tab/>
          <w:delText>(a)</w:delText>
        </w:r>
        <w:r>
          <w:tab/>
          <w:delText>delete paragraph (e) and insert:</w:delText>
        </w:r>
      </w:del>
    </w:p>
    <w:p>
      <w:pPr>
        <w:pStyle w:val="BlankOpen"/>
        <w:rPr>
          <w:del w:id="1365" w:author="svcMRProcess" w:date="2018-09-07T05:21:00Z"/>
        </w:rPr>
      </w:pPr>
    </w:p>
    <w:p>
      <w:pPr>
        <w:pStyle w:val="nzIndenta"/>
        <w:rPr>
          <w:del w:id="1366" w:author="svcMRProcess" w:date="2018-09-07T05:21:00Z"/>
        </w:rPr>
      </w:pPr>
      <w:del w:id="1367" w:author="svcMRProcess" w:date="2018-09-07T05:21:00Z">
        <w:r>
          <w:tab/>
          <w:delText>(e)</w:delText>
        </w:r>
        <w:r>
          <w:tab/>
          <w:delText>to be responsible for maintaining port property; and</w:delText>
        </w:r>
      </w:del>
    </w:p>
    <w:p>
      <w:pPr>
        <w:pStyle w:val="nzIndenta"/>
        <w:rPr>
          <w:del w:id="1368" w:author="svcMRProcess" w:date="2018-09-07T05:21:00Z"/>
        </w:rPr>
      </w:pPr>
      <w:del w:id="1369" w:author="svcMRProcess" w:date="2018-09-07T05:21:00Z">
        <w:r>
          <w:tab/>
          <w:delText>(fa)</w:delText>
        </w:r>
        <w:r>
          <w:tab/>
          <w:delText>to be responsible for port security; and</w:delText>
        </w:r>
      </w:del>
    </w:p>
    <w:p>
      <w:pPr>
        <w:pStyle w:val="BlankClose"/>
        <w:rPr>
          <w:del w:id="1370" w:author="svcMRProcess" w:date="2018-09-07T05:21:00Z"/>
        </w:rPr>
      </w:pPr>
    </w:p>
    <w:p>
      <w:pPr>
        <w:pStyle w:val="nzIndenta"/>
        <w:rPr>
          <w:del w:id="1371" w:author="svcMRProcess" w:date="2018-09-07T05:21:00Z"/>
        </w:rPr>
      </w:pPr>
      <w:del w:id="1372" w:author="svcMRProcess" w:date="2018-09-07T05:21:00Z">
        <w:r>
          <w:tab/>
          <w:delText>(b)</w:delText>
        </w:r>
        <w:r>
          <w:tab/>
          <w:delText>in paragraph (f) delete “activities” and insert:</w:delText>
        </w:r>
      </w:del>
    </w:p>
    <w:p>
      <w:pPr>
        <w:pStyle w:val="BlankOpen"/>
        <w:rPr>
          <w:del w:id="1373" w:author="svcMRProcess" w:date="2018-09-07T05:21:00Z"/>
        </w:rPr>
      </w:pPr>
    </w:p>
    <w:p>
      <w:pPr>
        <w:pStyle w:val="nzIndenta"/>
        <w:rPr>
          <w:del w:id="1374" w:author="svcMRProcess" w:date="2018-09-07T05:21:00Z"/>
        </w:rPr>
      </w:pPr>
      <w:del w:id="1375" w:author="svcMRProcess" w:date="2018-09-07T05:21:00Z">
        <w:r>
          <w:tab/>
        </w:r>
        <w:r>
          <w:tab/>
          <w:delText>operations</w:delText>
        </w:r>
      </w:del>
    </w:p>
    <w:p>
      <w:pPr>
        <w:pStyle w:val="BlankClose"/>
        <w:rPr>
          <w:del w:id="1376" w:author="svcMRProcess" w:date="2018-09-07T05:21:00Z"/>
        </w:rPr>
      </w:pPr>
    </w:p>
    <w:p>
      <w:pPr>
        <w:pStyle w:val="nzHeading5"/>
        <w:rPr>
          <w:del w:id="1377" w:author="svcMRProcess" w:date="2018-09-07T05:21:00Z"/>
        </w:rPr>
      </w:pPr>
      <w:del w:id="1378" w:author="svcMRProcess" w:date="2018-09-07T05:21:00Z">
        <w:r>
          <w:rPr>
            <w:rStyle w:val="CharSectno"/>
          </w:rPr>
          <w:delText>13</w:delText>
        </w:r>
        <w:r>
          <w:delText>.</w:delText>
        </w:r>
        <w:r>
          <w:tab/>
          <w:delText>Section 31 amended</w:delText>
        </w:r>
      </w:del>
    </w:p>
    <w:p>
      <w:pPr>
        <w:pStyle w:val="nzSubsection"/>
        <w:rPr>
          <w:del w:id="1379" w:author="svcMRProcess" w:date="2018-09-07T05:21:00Z"/>
        </w:rPr>
      </w:pPr>
      <w:del w:id="1380" w:author="svcMRProcess" w:date="2018-09-07T05:21:00Z">
        <w:r>
          <w:tab/>
        </w:r>
        <w:r>
          <w:tab/>
          <w:delText>In section 31(2) delete “activities.” and insert:</w:delText>
        </w:r>
      </w:del>
    </w:p>
    <w:p>
      <w:pPr>
        <w:pStyle w:val="BlankOpen"/>
        <w:rPr>
          <w:del w:id="1381" w:author="svcMRProcess" w:date="2018-09-07T05:21:00Z"/>
        </w:rPr>
      </w:pPr>
    </w:p>
    <w:p>
      <w:pPr>
        <w:pStyle w:val="nzSubsection"/>
        <w:rPr>
          <w:del w:id="1382" w:author="svcMRProcess" w:date="2018-09-07T05:21:00Z"/>
        </w:rPr>
      </w:pPr>
      <w:del w:id="1383" w:author="svcMRProcess" w:date="2018-09-07T05:21:00Z">
        <w:r>
          <w:tab/>
        </w:r>
        <w:r>
          <w:tab/>
          <w:delText>operations.</w:delText>
        </w:r>
      </w:del>
    </w:p>
    <w:p>
      <w:pPr>
        <w:pStyle w:val="BlankClose"/>
        <w:rPr>
          <w:del w:id="1384" w:author="svcMRProcess" w:date="2018-09-07T05:21:00Z"/>
        </w:rPr>
      </w:pPr>
    </w:p>
    <w:p>
      <w:pPr>
        <w:pStyle w:val="nzHeading5"/>
        <w:rPr>
          <w:del w:id="1385" w:author="svcMRProcess" w:date="2018-09-07T05:21:00Z"/>
        </w:rPr>
      </w:pPr>
      <w:del w:id="1386" w:author="svcMRProcess" w:date="2018-09-07T05:21:00Z">
        <w:r>
          <w:rPr>
            <w:rStyle w:val="CharSectno"/>
          </w:rPr>
          <w:delText>14</w:delText>
        </w:r>
        <w:r>
          <w:delText>.</w:delText>
        </w:r>
        <w:r>
          <w:tab/>
          <w:delText>Section 33 amended</w:delText>
        </w:r>
      </w:del>
    </w:p>
    <w:p>
      <w:pPr>
        <w:pStyle w:val="nzSubsection"/>
        <w:rPr>
          <w:del w:id="1387" w:author="svcMRProcess" w:date="2018-09-07T05:21:00Z"/>
        </w:rPr>
      </w:pPr>
      <w:del w:id="1388" w:author="svcMRProcess" w:date="2018-09-07T05:21:00Z">
        <w:r>
          <w:tab/>
        </w:r>
        <w:r>
          <w:tab/>
          <w:delText>In section 33 delete “A” and insert:</w:delText>
        </w:r>
      </w:del>
    </w:p>
    <w:p>
      <w:pPr>
        <w:pStyle w:val="BlankOpen"/>
        <w:rPr>
          <w:del w:id="1389" w:author="svcMRProcess" w:date="2018-09-07T05:21:00Z"/>
        </w:rPr>
      </w:pPr>
    </w:p>
    <w:p>
      <w:pPr>
        <w:pStyle w:val="nzSubsection"/>
        <w:rPr>
          <w:del w:id="1390" w:author="svcMRProcess" w:date="2018-09-07T05:21:00Z"/>
        </w:rPr>
      </w:pPr>
      <w:del w:id="1391" w:author="svcMRProcess" w:date="2018-09-07T05:21:00Z">
        <w:r>
          <w:tab/>
        </w:r>
        <w:r>
          <w:tab/>
          <w:delText>Subject to section 34A, a</w:delText>
        </w:r>
      </w:del>
    </w:p>
    <w:p>
      <w:pPr>
        <w:pStyle w:val="BlankClose"/>
        <w:keepNext/>
        <w:rPr>
          <w:del w:id="1392" w:author="svcMRProcess" w:date="2018-09-07T05:21:00Z"/>
        </w:rPr>
      </w:pPr>
    </w:p>
    <w:p>
      <w:pPr>
        <w:pStyle w:val="nzHeading5"/>
        <w:rPr>
          <w:del w:id="1393" w:author="svcMRProcess" w:date="2018-09-07T05:21:00Z"/>
        </w:rPr>
      </w:pPr>
      <w:del w:id="1394" w:author="svcMRProcess" w:date="2018-09-07T05:21:00Z">
        <w:r>
          <w:rPr>
            <w:rStyle w:val="CharSectno"/>
          </w:rPr>
          <w:delText>15</w:delText>
        </w:r>
        <w:r>
          <w:delText>.</w:delText>
        </w:r>
        <w:r>
          <w:tab/>
          <w:delText>Section 34A inserted</w:delText>
        </w:r>
      </w:del>
    </w:p>
    <w:p>
      <w:pPr>
        <w:pStyle w:val="nzSubsection"/>
        <w:rPr>
          <w:del w:id="1395" w:author="svcMRProcess" w:date="2018-09-07T05:21:00Z"/>
        </w:rPr>
      </w:pPr>
      <w:del w:id="1396" w:author="svcMRProcess" w:date="2018-09-07T05:21:00Z">
        <w:r>
          <w:tab/>
        </w:r>
        <w:r>
          <w:tab/>
          <w:delText>After section 33 insert:</w:delText>
        </w:r>
      </w:del>
    </w:p>
    <w:p>
      <w:pPr>
        <w:pStyle w:val="BlankOpen"/>
        <w:rPr>
          <w:del w:id="1397" w:author="svcMRProcess" w:date="2018-09-07T05:21:00Z"/>
        </w:rPr>
      </w:pPr>
    </w:p>
    <w:p>
      <w:pPr>
        <w:pStyle w:val="nzHeading5"/>
        <w:rPr>
          <w:del w:id="1398" w:author="svcMRProcess" w:date="2018-09-07T05:21:00Z"/>
        </w:rPr>
      </w:pPr>
      <w:del w:id="1399" w:author="svcMRProcess" w:date="2018-09-07T05:21:00Z">
        <w:r>
          <w:delText>34A.</w:delText>
        </w:r>
        <w:r>
          <w:tab/>
          <w:delText>Duty to comply with State budgetary requirements</w:delText>
        </w:r>
      </w:del>
    </w:p>
    <w:p>
      <w:pPr>
        <w:pStyle w:val="nzSubsection"/>
        <w:rPr>
          <w:del w:id="1400" w:author="svcMRProcess" w:date="2018-09-07T05:21:00Z"/>
        </w:rPr>
      </w:pPr>
      <w:del w:id="1401" w:author="svcMRProcess" w:date="2018-09-07T05:21:00Z">
        <w:r>
          <w:tab/>
          <w:delText>(1)</w:delText>
        </w:r>
        <w:r>
          <w:tab/>
          <w:delText xml:space="preserve">In this section — </w:delText>
        </w:r>
      </w:del>
    </w:p>
    <w:p>
      <w:pPr>
        <w:pStyle w:val="nzDefstart"/>
        <w:rPr>
          <w:del w:id="1402" w:author="svcMRProcess" w:date="2018-09-07T05:21:00Z"/>
        </w:rPr>
      </w:pPr>
      <w:del w:id="1403" w:author="svcMRProcess" w:date="2018-09-07T05:21:00Z">
        <w:r>
          <w:tab/>
        </w:r>
        <w:r>
          <w:rPr>
            <w:rStyle w:val="CharDefText"/>
          </w:rPr>
          <w:delText>approved</w:delText>
        </w:r>
        <w:r>
          <w:delText xml:space="preserve"> means approved from time to time by the Government for the port authority and communicated in writing by the Treasurer to the port authority;</w:delText>
        </w:r>
      </w:del>
    </w:p>
    <w:p>
      <w:pPr>
        <w:pStyle w:val="nzDefstart"/>
        <w:rPr>
          <w:del w:id="1404" w:author="svcMRProcess" w:date="2018-09-07T05:21:00Z"/>
        </w:rPr>
      </w:pPr>
      <w:del w:id="1405" w:author="svcMRProcess" w:date="2018-09-07T05:21:00Z">
        <w:r>
          <w:tab/>
        </w:r>
        <w:r>
          <w:rPr>
            <w:rStyle w:val="CharDefText"/>
          </w:rPr>
          <w:delText>Government</w:delText>
        </w:r>
        <w:r>
          <w:delText xml:space="preserve"> includes — </w:delText>
        </w:r>
      </w:del>
    </w:p>
    <w:p>
      <w:pPr>
        <w:pStyle w:val="nzDefpara"/>
        <w:rPr>
          <w:del w:id="1406" w:author="svcMRProcess" w:date="2018-09-07T05:21:00Z"/>
        </w:rPr>
      </w:pPr>
      <w:del w:id="1407" w:author="svcMRProcess" w:date="2018-09-07T05:21:00Z">
        <w:r>
          <w:tab/>
          <w:delText>(a)</w:delText>
        </w:r>
        <w:r>
          <w:tab/>
          <w:delText>Cabinet; and</w:delText>
        </w:r>
      </w:del>
    </w:p>
    <w:p>
      <w:pPr>
        <w:pStyle w:val="nzDefpara"/>
        <w:rPr>
          <w:del w:id="1408" w:author="svcMRProcess" w:date="2018-09-07T05:21:00Z"/>
        </w:rPr>
      </w:pPr>
      <w:del w:id="1409" w:author="svcMRProcess" w:date="2018-09-07T05:21:00Z">
        <w:r>
          <w:tab/>
          <w:delText>(b)</w:delText>
        </w:r>
        <w:r>
          <w:tab/>
          <w:delText>a committee of Cabinet; and</w:delText>
        </w:r>
      </w:del>
    </w:p>
    <w:p>
      <w:pPr>
        <w:pStyle w:val="nzDefpara"/>
        <w:rPr>
          <w:del w:id="1410" w:author="svcMRProcess" w:date="2018-09-07T05:21:00Z"/>
        </w:rPr>
      </w:pPr>
      <w:del w:id="1411" w:author="svcMRProcess" w:date="2018-09-07T05:21:00Z">
        <w:r>
          <w:tab/>
          <w:delText>(c)</w:delText>
        </w:r>
        <w:r>
          <w:tab/>
          <w:delText>a subcommittee of a committee of Cabinet; and</w:delText>
        </w:r>
      </w:del>
    </w:p>
    <w:p>
      <w:pPr>
        <w:pStyle w:val="nzDefpara"/>
        <w:rPr>
          <w:del w:id="1412" w:author="svcMRProcess" w:date="2018-09-07T05:21:00Z"/>
        </w:rPr>
      </w:pPr>
      <w:del w:id="1413" w:author="svcMRProcess" w:date="2018-09-07T05:21:00Z">
        <w:r>
          <w:tab/>
          <w:delText>(d)</w:delText>
        </w:r>
        <w:r>
          <w:tab/>
          <w:delText>the Treasurer.</w:delText>
        </w:r>
      </w:del>
    </w:p>
    <w:p>
      <w:pPr>
        <w:pStyle w:val="nzSubsection"/>
        <w:rPr>
          <w:del w:id="1414" w:author="svcMRProcess" w:date="2018-09-07T05:21:00Z"/>
        </w:rPr>
      </w:pPr>
      <w:del w:id="1415" w:author="svcMRProcess" w:date="2018-09-07T05:21:00Z">
        <w:r>
          <w:tab/>
          <w:delText>(2)</w:delText>
        </w:r>
        <w:r>
          <w:tab/>
        </w:r>
        <w:r>
          <w:rPr>
            <w:snapToGrid w:val="0"/>
          </w:rPr>
          <w:delText xml:space="preserve">A port authority in performing its functions </w:delText>
        </w:r>
        <w:r>
          <w:delText xml:space="preserve">must — </w:delText>
        </w:r>
      </w:del>
    </w:p>
    <w:p>
      <w:pPr>
        <w:pStyle w:val="nzIndenta"/>
        <w:rPr>
          <w:del w:id="1416" w:author="svcMRProcess" w:date="2018-09-07T05:21:00Z"/>
        </w:rPr>
      </w:pPr>
      <w:del w:id="1417" w:author="svcMRProcess" w:date="2018-09-07T05:21:00Z">
        <w:r>
          <w:tab/>
          <w:delText>(a)</w:delText>
        </w:r>
        <w:r>
          <w:tab/>
          <w:delText>comply with approved requirements as to capital works expenditure limits and associated funding; and</w:delText>
        </w:r>
      </w:del>
    </w:p>
    <w:p>
      <w:pPr>
        <w:pStyle w:val="nzIndenta"/>
        <w:rPr>
          <w:del w:id="1418" w:author="svcMRProcess" w:date="2018-09-07T05:21:00Z"/>
        </w:rPr>
      </w:pPr>
      <w:del w:id="1419" w:author="svcMRProcess" w:date="2018-09-07T05:21:00Z">
        <w:r>
          <w:tab/>
          <w:delText>(b)</w:delText>
        </w:r>
        <w:r>
          <w:tab/>
          <w:delText>endeavour to achieve financial outcomes that are consistent with forecasts contained in approved income and cash flow statements and approved statements of financial position.</w:delText>
        </w:r>
      </w:del>
    </w:p>
    <w:p>
      <w:pPr>
        <w:pStyle w:val="nzSubsection"/>
        <w:rPr>
          <w:del w:id="1420" w:author="svcMRProcess" w:date="2018-09-07T05:21:00Z"/>
          <w:snapToGrid w:val="0"/>
        </w:rPr>
      </w:pPr>
      <w:del w:id="1421" w:author="svcMRProcess" w:date="2018-09-07T05:21:00Z">
        <w:r>
          <w:rPr>
            <w:snapToGrid w:val="0"/>
          </w:rPr>
          <w:tab/>
          <w:delText>(3)</w:delText>
        </w:r>
        <w:r>
          <w:rPr>
            <w:snapToGrid w:val="0"/>
          </w:rPr>
          <w:tab/>
          <w:delText>If there is any conflict or inconsistency between the duty imposed by subsection (2) and the duty imposed by section 33, the duty imposed by subsection (2) prevails. </w:delText>
        </w:r>
      </w:del>
    </w:p>
    <w:p>
      <w:pPr>
        <w:pStyle w:val="BlankClose"/>
        <w:rPr>
          <w:del w:id="1422" w:author="svcMRProcess" w:date="2018-09-07T05:21:00Z"/>
          <w:snapToGrid w:val="0"/>
        </w:rPr>
      </w:pPr>
    </w:p>
    <w:p>
      <w:pPr>
        <w:pStyle w:val="nzHeading5"/>
        <w:rPr>
          <w:del w:id="1423" w:author="svcMRProcess" w:date="2018-09-07T05:21:00Z"/>
        </w:rPr>
      </w:pPr>
      <w:del w:id="1424" w:author="svcMRProcess" w:date="2018-09-07T05:21:00Z">
        <w:r>
          <w:rPr>
            <w:rStyle w:val="CharSectno"/>
          </w:rPr>
          <w:delText>16</w:delText>
        </w:r>
        <w:r>
          <w:delText>.</w:delText>
        </w:r>
        <w:r>
          <w:tab/>
          <w:delText>Section 35 amended</w:delText>
        </w:r>
      </w:del>
    </w:p>
    <w:p>
      <w:pPr>
        <w:pStyle w:val="nzSubsection"/>
        <w:rPr>
          <w:del w:id="1425" w:author="svcMRProcess" w:date="2018-09-07T05:21:00Z"/>
        </w:rPr>
      </w:pPr>
      <w:del w:id="1426" w:author="svcMRProcess" w:date="2018-09-07T05:21:00Z">
        <w:r>
          <w:tab/>
        </w:r>
        <w:r>
          <w:tab/>
          <w:delText>After section 35(8) insert:</w:delText>
        </w:r>
      </w:del>
    </w:p>
    <w:p>
      <w:pPr>
        <w:pStyle w:val="BlankOpen"/>
        <w:rPr>
          <w:del w:id="1427" w:author="svcMRProcess" w:date="2018-09-07T05:21:00Z"/>
        </w:rPr>
      </w:pPr>
    </w:p>
    <w:p>
      <w:pPr>
        <w:pStyle w:val="nzSubsection"/>
        <w:rPr>
          <w:del w:id="1428" w:author="svcMRProcess" w:date="2018-09-07T05:21:00Z"/>
        </w:rPr>
      </w:pPr>
      <w:del w:id="1429" w:author="svcMRProcess" w:date="2018-09-07T05:21:00Z">
        <w:r>
          <w:tab/>
          <w:delText>(9A)</w:delText>
        </w:r>
        <w:r>
          <w:tab/>
          <w:delText xml:space="preserve">Subject to the </w:delText>
        </w:r>
        <w:r>
          <w:rPr>
            <w:i/>
          </w:rPr>
          <w:delText>Environmental Protection Act 1986</w:delText>
        </w:r>
        <w:r>
          <w:delText>, port operations may take place on any day and at any time.</w:delText>
        </w:r>
      </w:del>
    </w:p>
    <w:p>
      <w:pPr>
        <w:pStyle w:val="BlankClose"/>
        <w:rPr>
          <w:del w:id="1430" w:author="svcMRProcess" w:date="2018-09-07T05:21:00Z"/>
        </w:rPr>
      </w:pPr>
    </w:p>
    <w:p>
      <w:pPr>
        <w:pStyle w:val="nzHeading5"/>
        <w:rPr>
          <w:del w:id="1431" w:author="svcMRProcess" w:date="2018-09-07T05:21:00Z"/>
        </w:rPr>
      </w:pPr>
      <w:del w:id="1432" w:author="svcMRProcess" w:date="2018-09-07T05:21:00Z">
        <w:r>
          <w:rPr>
            <w:rStyle w:val="CharSectno"/>
          </w:rPr>
          <w:delText>17</w:delText>
        </w:r>
        <w:r>
          <w:delText>.</w:delText>
        </w:r>
        <w:r>
          <w:tab/>
          <w:delText>Section 51 amended</w:delText>
        </w:r>
      </w:del>
    </w:p>
    <w:p>
      <w:pPr>
        <w:pStyle w:val="nzSubsection"/>
        <w:rPr>
          <w:del w:id="1433" w:author="svcMRProcess" w:date="2018-09-07T05:21:00Z"/>
        </w:rPr>
      </w:pPr>
      <w:del w:id="1434" w:author="svcMRProcess" w:date="2018-09-07T05:21:00Z">
        <w:r>
          <w:tab/>
        </w:r>
        <w:r>
          <w:tab/>
          <w:delText>In section 51(2)(a) after “effectiveness,” insert:</w:delText>
        </w:r>
      </w:del>
    </w:p>
    <w:p>
      <w:pPr>
        <w:pStyle w:val="BlankOpen"/>
        <w:rPr>
          <w:del w:id="1435" w:author="svcMRProcess" w:date="2018-09-07T05:21:00Z"/>
        </w:rPr>
      </w:pPr>
    </w:p>
    <w:p>
      <w:pPr>
        <w:pStyle w:val="nzSubsection"/>
        <w:rPr>
          <w:del w:id="1436" w:author="svcMRProcess" w:date="2018-09-07T05:21:00Z"/>
        </w:rPr>
      </w:pPr>
      <w:del w:id="1437" w:author="svcMRProcess" w:date="2018-09-07T05:21:00Z">
        <w:r>
          <w:tab/>
        </w:r>
        <w:r>
          <w:tab/>
          <w:delText>participation of potential suppliers,</w:delText>
        </w:r>
      </w:del>
    </w:p>
    <w:p>
      <w:pPr>
        <w:pStyle w:val="BlankClose"/>
        <w:keepNext/>
        <w:rPr>
          <w:del w:id="1438" w:author="svcMRProcess" w:date="2018-09-07T05:21:00Z"/>
        </w:rPr>
      </w:pPr>
    </w:p>
    <w:p>
      <w:pPr>
        <w:pStyle w:val="nzHeading5"/>
        <w:rPr>
          <w:del w:id="1439" w:author="svcMRProcess" w:date="2018-09-07T05:21:00Z"/>
        </w:rPr>
      </w:pPr>
      <w:del w:id="1440" w:author="svcMRProcess" w:date="2018-09-07T05:21:00Z">
        <w:r>
          <w:rPr>
            <w:rStyle w:val="CharSectno"/>
          </w:rPr>
          <w:delText>18</w:delText>
        </w:r>
        <w:r>
          <w:delText>.</w:delText>
        </w:r>
        <w:r>
          <w:tab/>
          <w:delText>Section 57 amended</w:delText>
        </w:r>
      </w:del>
    </w:p>
    <w:p>
      <w:pPr>
        <w:pStyle w:val="nzSubsection"/>
        <w:rPr>
          <w:del w:id="1441" w:author="svcMRProcess" w:date="2018-09-07T05:21:00Z"/>
        </w:rPr>
      </w:pPr>
      <w:del w:id="1442" w:author="svcMRProcess" w:date="2018-09-07T05:21:00Z">
        <w:r>
          <w:tab/>
          <w:delText>(1)</w:delText>
        </w:r>
        <w:r>
          <w:tab/>
          <w:delText>In section 57 delete “The” and insert:</w:delText>
        </w:r>
      </w:del>
    </w:p>
    <w:p>
      <w:pPr>
        <w:pStyle w:val="BlankOpen"/>
        <w:rPr>
          <w:del w:id="1443" w:author="svcMRProcess" w:date="2018-09-07T05:21:00Z"/>
        </w:rPr>
      </w:pPr>
    </w:p>
    <w:p>
      <w:pPr>
        <w:pStyle w:val="nzSubsection"/>
        <w:rPr>
          <w:del w:id="1444" w:author="svcMRProcess" w:date="2018-09-07T05:21:00Z"/>
        </w:rPr>
      </w:pPr>
      <w:del w:id="1445" w:author="svcMRProcess" w:date="2018-09-07T05:21:00Z">
        <w:r>
          <w:tab/>
          <w:delText>(1)</w:delText>
        </w:r>
        <w:r>
          <w:tab/>
          <w:delText>The</w:delText>
        </w:r>
      </w:del>
    </w:p>
    <w:p>
      <w:pPr>
        <w:pStyle w:val="BlankClose"/>
        <w:keepNext/>
        <w:rPr>
          <w:del w:id="1446" w:author="svcMRProcess" w:date="2018-09-07T05:21:00Z"/>
        </w:rPr>
      </w:pPr>
    </w:p>
    <w:p>
      <w:pPr>
        <w:pStyle w:val="nzSubsection"/>
        <w:rPr>
          <w:del w:id="1447" w:author="svcMRProcess" w:date="2018-09-07T05:21:00Z"/>
        </w:rPr>
      </w:pPr>
      <w:del w:id="1448" w:author="svcMRProcess" w:date="2018-09-07T05:21:00Z">
        <w:r>
          <w:tab/>
          <w:delText>(2)</w:delText>
        </w:r>
        <w:r>
          <w:tab/>
          <w:delText>At the end of section 57 insert:</w:delText>
        </w:r>
      </w:del>
    </w:p>
    <w:p>
      <w:pPr>
        <w:pStyle w:val="BlankOpen"/>
        <w:rPr>
          <w:del w:id="1449" w:author="svcMRProcess" w:date="2018-09-07T05:21:00Z"/>
        </w:rPr>
      </w:pPr>
    </w:p>
    <w:p>
      <w:pPr>
        <w:pStyle w:val="nzSubsection"/>
        <w:rPr>
          <w:del w:id="1450" w:author="svcMRProcess" w:date="2018-09-07T05:21:00Z"/>
        </w:rPr>
      </w:pPr>
      <w:del w:id="1451" w:author="svcMRProcess" w:date="2018-09-07T05:21:00Z">
        <w:r>
          <w:tab/>
          <w:delText>(2)</w:delText>
        </w:r>
        <w:r>
          <w:tab/>
          <w:delText xml:space="preserve">Without limiting section 34A, any agreement or concurrence mentioned in subsection (1) has effect subject to the reservation that the port authority must — </w:delText>
        </w:r>
      </w:del>
    </w:p>
    <w:p>
      <w:pPr>
        <w:pStyle w:val="nzIndenta"/>
        <w:rPr>
          <w:del w:id="1452" w:author="svcMRProcess" w:date="2018-09-07T05:21:00Z"/>
        </w:rPr>
      </w:pPr>
      <w:del w:id="1453" w:author="svcMRProcess" w:date="2018-09-07T05:21:00Z">
        <w:r>
          <w:tab/>
          <w:delText>(a)</w:delText>
        </w:r>
        <w:r>
          <w:tab/>
          <w:delText>comply with the requirements mentioned in section 34A(2)(a); and</w:delText>
        </w:r>
      </w:del>
    </w:p>
    <w:p>
      <w:pPr>
        <w:pStyle w:val="nzIndenta"/>
        <w:rPr>
          <w:del w:id="1454" w:author="svcMRProcess" w:date="2018-09-07T05:21:00Z"/>
        </w:rPr>
      </w:pPr>
      <w:del w:id="1455" w:author="svcMRProcess" w:date="2018-09-07T05:21:00Z">
        <w:r>
          <w:tab/>
          <w:delText>(b)</w:delText>
        </w:r>
        <w:r>
          <w:tab/>
          <w:delText>endeavour to achieve the financial outcomes mentioned in section 34A(2)(b),</w:delText>
        </w:r>
      </w:del>
    </w:p>
    <w:p>
      <w:pPr>
        <w:pStyle w:val="nzSubsection"/>
        <w:rPr>
          <w:del w:id="1456" w:author="svcMRProcess" w:date="2018-09-07T05:21:00Z"/>
        </w:rPr>
      </w:pPr>
      <w:del w:id="1457" w:author="svcMRProcess" w:date="2018-09-07T05:21:00Z">
        <w:r>
          <w:tab/>
        </w:r>
        <w:r>
          <w:tab/>
          <w:delText>whether or not they are consistent with the strategic development plan or modified strategic development plan, as the case may be.</w:delText>
        </w:r>
      </w:del>
    </w:p>
    <w:p>
      <w:pPr>
        <w:pStyle w:val="BlankClose"/>
        <w:keepNext/>
        <w:rPr>
          <w:del w:id="1458" w:author="svcMRProcess" w:date="2018-09-07T05:21:00Z"/>
        </w:rPr>
      </w:pPr>
    </w:p>
    <w:p>
      <w:pPr>
        <w:pStyle w:val="nzHeading5"/>
        <w:rPr>
          <w:del w:id="1459" w:author="svcMRProcess" w:date="2018-09-07T05:21:00Z"/>
        </w:rPr>
      </w:pPr>
      <w:del w:id="1460" w:author="svcMRProcess" w:date="2018-09-07T05:21:00Z">
        <w:r>
          <w:rPr>
            <w:rStyle w:val="CharSectno"/>
          </w:rPr>
          <w:delText>19</w:delText>
        </w:r>
        <w:r>
          <w:delText>.</w:delText>
        </w:r>
        <w:r>
          <w:tab/>
          <w:delText>Section 60 amended</w:delText>
        </w:r>
      </w:del>
    </w:p>
    <w:p>
      <w:pPr>
        <w:pStyle w:val="nzSubsection"/>
        <w:rPr>
          <w:del w:id="1461" w:author="svcMRProcess" w:date="2018-09-07T05:21:00Z"/>
        </w:rPr>
      </w:pPr>
      <w:del w:id="1462" w:author="svcMRProcess" w:date="2018-09-07T05:21:00Z">
        <w:r>
          <w:tab/>
        </w:r>
        <w:r>
          <w:tab/>
          <w:delText>After section 60(2)(j) insert:</w:delText>
        </w:r>
      </w:del>
    </w:p>
    <w:p>
      <w:pPr>
        <w:pStyle w:val="BlankOpen"/>
        <w:rPr>
          <w:del w:id="1463" w:author="svcMRProcess" w:date="2018-09-07T05:21:00Z"/>
        </w:rPr>
      </w:pPr>
    </w:p>
    <w:p>
      <w:pPr>
        <w:pStyle w:val="nzIndenta"/>
        <w:rPr>
          <w:del w:id="1464" w:author="svcMRProcess" w:date="2018-09-07T05:21:00Z"/>
        </w:rPr>
      </w:pPr>
      <w:del w:id="1465" w:author="svcMRProcess" w:date="2018-09-07T05:21:00Z">
        <w:r>
          <w:tab/>
          <w:delText>(ka)</w:delText>
        </w:r>
        <w:r>
          <w:tab/>
          <w:delText>proposed arrangements to facilitate the participation of potential suppliers in the provision of port services or, if no arrangements are proposed, the reason and justification for their absence; and</w:delText>
        </w:r>
      </w:del>
    </w:p>
    <w:p>
      <w:pPr>
        <w:pStyle w:val="BlankClose"/>
        <w:rPr>
          <w:del w:id="1466" w:author="svcMRProcess" w:date="2018-09-07T05:21:00Z"/>
        </w:rPr>
      </w:pPr>
    </w:p>
    <w:p>
      <w:pPr>
        <w:pStyle w:val="nzHeading5"/>
        <w:rPr>
          <w:del w:id="1467" w:author="svcMRProcess" w:date="2018-09-07T05:21:00Z"/>
        </w:rPr>
      </w:pPr>
      <w:del w:id="1468" w:author="svcMRProcess" w:date="2018-09-07T05:21:00Z">
        <w:r>
          <w:rPr>
            <w:rStyle w:val="CharSectno"/>
          </w:rPr>
          <w:delText>20</w:delText>
        </w:r>
        <w:r>
          <w:delText>.</w:delText>
        </w:r>
        <w:r>
          <w:tab/>
          <w:delText>Section 66 amended</w:delText>
        </w:r>
      </w:del>
    </w:p>
    <w:p>
      <w:pPr>
        <w:pStyle w:val="nzSubsection"/>
        <w:rPr>
          <w:del w:id="1469" w:author="svcMRProcess" w:date="2018-09-07T05:21:00Z"/>
        </w:rPr>
      </w:pPr>
      <w:del w:id="1470" w:author="svcMRProcess" w:date="2018-09-07T05:21:00Z">
        <w:r>
          <w:tab/>
          <w:delText>(1)</w:delText>
        </w:r>
        <w:r>
          <w:tab/>
          <w:delText>In section 66 delete “The” and insert:</w:delText>
        </w:r>
      </w:del>
    </w:p>
    <w:p>
      <w:pPr>
        <w:pStyle w:val="BlankOpen"/>
        <w:rPr>
          <w:del w:id="1471" w:author="svcMRProcess" w:date="2018-09-07T05:21:00Z"/>
        </w:rPr>
      </w:pPr>
    </w:p>
    <w:p>
      <w:pPr>
        <w:pStyle w:val="nzSubsection"/>
        <w:rPr>
          <w:del w:id="1472" w:author="svcMRProcess" w:date="2018-09-07T05:21:00Z"/>
        </w:rPr>
      </w:pPr>
      <w:del w:id="1473" w:author="svcMRProcess" w:date="2018-09-07T05:21:00Z">
        <w:r>
          <w:tab/>
          <w:delText>(1)</w:delText>
        </w:r>
        <w:r>
          <w:tab/>
          <w:delText>The</w:delText>
        </w:r>
      </w:del>
    </w:p>
    <w:p>
      <w:pPr>
        <w:pStyle w:val="BlankClose"/>
        <w:keepNext/>
        <w:rPr>
          <w:del w:id="1474" w:author="svcMRProcess" w:date="2018-09-07T05:21:00Z"/>
        </w:rPr>
      </w:pPr>
    </w:p>
    <w:p>
      <w:pPr>
        <w:pStyle w:val="nzSubsection"/>
        <w:rPr>
          <w:del w:id="1475" w:author="svcMRProcess" w:date="2018-09-07T05:21:00Z"/>
        </w:rPr>
      </w:pPr>
      <w:del w:id="1476" w:author="svcMRProcess" w:date="2018-09-07T05:21:00Z">
        <w:r>
          <w:tab/>
          <w:delText>(2)</w:delText>
        </w:r>
        <w:r>
          <w:tab/>
          <w:delText>At the end of section 66 insert:</w:delText>
        </w:r>
      </w:del>
    </w:p>
    <w:p>
      <w:pPr>
        <w:pStyle w:val="BlankOpen"/>
        <w:rPr>
          <w:del w:id="1477" w:author="svcMRProcess" w:date="2018-09-07T05:21:00Z"/>
        </w:rPr>
      </w:pPr>
    </w:p>
    <w:p>
      <w:pPr>
        <w:pStyle w:val="nzSubsection"/>
        <w:rPr>
          <w:del w:id="1478" w:author="svcMRProcess" w:date="2018-09-07T05:21:00Z"/>
        </w:rPr>
      </w:pPr>
      <w:del w:id="1479" w:author="svcMRProcess" w:date="2018-09-07T05:21:00Z">
        <w:r>
          <w:tab/>
          <w:delText>(2)</w:delText>
        </w:r>
        <w:r>
          <w:tab/>
          <w:delText xml:space="preserve">Without limiting section 34A, any agreement or concurrence mentioned in subsection (1) has effect subject to the reservation that the port authority must — </w:delText>
        </w:r>
      </w:del>
    </w:p>
    <w:p>
      <w:pPr>
        <w:pStyle w:val="nzIndenta"/>
        <w:rPr>
          <w:del w:id="1480" w:author="svcMRProcess" w:date="2018-09-07T05:21:00Z"/>
        </w:rPr>
      </w:pPr>
      <w:del w:id="1481" w:author="svcMRProcess" w:date="2018-09-07T05:21:00Z">
        <w:r>
          <w:tab/>
          <w:delText>(a)</w:delText>
        </w:r>
        <w:r>
          <w:tab/>
          <w:delText>comply with the requirements mentioned in section 34A(2)(a); and</w:delText>
        </w:r>
      </w:del>
    </w:p>
    <w:p>
      <w:pPr>
        <w:pStyle w:val="nzIndenta"/>
        <w:rPr>
          <w:del w:id="1482" w:author="svcMRProcess" w:date="2018-09-07T05:21:00Z"/>
        </w:rPr>
      </w:pPr>
      <w:del w:id="1483" w:author="svcMRProcess" w:date="2018-09-07T05:21:00Z">
        <w:r>
          <w:tab/>
          <w:delText>(b)</w:delText>
        </w:r>
        <w:r>
          <w:tab/>
          <w:delText>endeavour to achieve the financial outcomes mentioned in section 34A(2)(b),</w:delText>
        </w:r>
      </w:del>
    </w:p>
    <w:p>
      <w:pPr>
        <w:pStyle w:val="nzSubsection"/>
        <w:rPr>
          <w:del w:id="1484" w:author="svcMRProcess" w:date="2018-09-07T05:21:00Z"/>
        </w:rPr>
      </w:pPr>
      <w:del w:id="1485" w:author="svcMRProcess" w:date="2018-09-07T05:21:00Z">
        <w:r>
          <w:tab/>
        </w:r>
        <w:r>
          <w:tab/>
          <w:delText>whether or not they are consistent with the statement of corporate intent or modified statement of corporate intent, as the case may be.</w:delText>
        </w:r>
      </w:del>
    </w:p>
    <w:p>
      <w:pPr>
        <w:pStyle w:val="BlankClose"/>
        <w:keepNext/>
        <w:rPr>
          <w:del w:id="1486" w:author="svcMRProcess" w:date="2018-09-07T05:21:00Z"/>
        </w:rPr>
      </w:pPr>
    </w:p>
    <w:p>
      <w:pPr>
        <w:pStyle w:val="nzHeading5"/>
        <w:rPr>
          <w:del w:id="1487" w:author="svcMRProcess" w:date="2018-09-07T05:21:00Z"/>
        </w:rPr>
      </w:pPr>
      <w:del w:id="1488" w:author="svcMRProcess" w:date="2018-09-07T05:21:00Z">
        <w:r>
          <w:rPr>
            <w:rStyle w:val="CharSectno"/>
          </w:rPr>
          <w:delText>21</w:delText>
        </w:r>
        <w:r>
          <w:delText>.</w:delText>
        </w:r>
        <w:r>
          <w:tab/>
          <w:delText>Section 84 amended</w:delText>
        </w:r>
      </w:del>
    </w:p>
    <w:p>
      <w:pPr>
        <w:pStyle w:val="nzSubsection"/>
        <w:rPr>
          <w:del w:id="1489" w:author="svcMRProcess" w:date="2018-09-07T05:21:00Z"/>
        </w:rPr>
      </w:pPr>
      <w:del w:id="1490" w:author="svcMRProcess" w:date="2018-09-07T05:21:00Z">
        <w:r>
          <w:tab/>
          <w:delText>(1)</w:delText>
        </w:r>
        <w:r>
          <w:tab/>
          <w:delText>After section 84(1)(a)(i) insert:</w:delText>
        </w:r>
      </w:del>
    </w:p>
    <w:p>
      <w:pPr>
        <w:pStyle w:val="BlankOpen"/>
        <w:widowControl w:val="0"/>
        <w:rPr>
          <w:del w:id="1491" w:author="svcMRProcess" w:date="2018-09-07T05:21:00Z"/>
        </w:rPr>
      </w:pPr>
    </w:p>
    <w:p>
      <w:pPr>
        <w:pStyle w:val="nzIndenti"/>
        <w:rPr>
          <w:del w:id="1492" w:author="svcMRProcess" w:date="2018-09-07T05:21:00Z"/>
        </w:rPr>
      </w:pPr>
      <w:del w:id="1493" w:author="svcMRProcess" w:date="2018-09-07T05:21:00Z">
        <w:r>
          <w:tab/>
          <w:delText>(iia)</w:delText>
        </w:r>
        <w:r>
          <w:tab/>
          <w:delText>any interim dividend paid to the Treasurer in relation to that financial year in accordance with subsections (5) to (8); and</w:delText>
        </w:r>
      </w:del>
    </w:p>
    <w:p>
      <w:pPr>
        <w:pStyle w:val="BlankClose"/>
        <w:keepNext/>
        <w:widowControl w:val="0"/>
        <w:rPr>
          <w:del w:id="1494" w:author="svcMRProcess" w:date="2018-09-07T05:21:00Z"/>
        </w:rPr>
      </w:pPr>
    </w:p>
    <w:p>
      <w:pPr>
        <w:pStyle w:val="nzSubsection"/>
        <w:rPr>
          <w:del w:id="1495" w:author="svcMRProcess" w:date="2018-09-07T05:21:00Z"/>
        </w:rPr>
      </w:pPr>
      <w:del w:id="1496" w:author="svcMRProcess" w:date="2018-09-07T05:21:00Z">
        <w:r>
          <w:tab/>
          <w:delText>(2)</w:delText>
        </w:r>
        <w:r>
          <w:tab/>
          <w:delText>After section 84(1) insert:</w:delText>
        </w:r>
      </w:del>
    </w:p>
    <w:p>
      <w:pPr>
        <w:pStyle w:val="BlankOpen"/>
        <w:rPr>
          <w:del w:id="1497" w:author="svcMRProcess" w:date="2018-09-07T05:21:00Z"/>
        </w:rPr>
      </w:pPr>
    </w:p>
    <w:p>
      <w:pPr>
        <w:pStyle w:val="nzSubsection"/>
        <w:rPr>
          <w:del w:id="1498" w:author="svcMRProcess" w:date="2018-09-07T05:21:00Z"/>
        </w:rPr>
      </w:pPr>
      <w:del w:id="1499" w:author="svcMRProcess" w:date="2018-09-07T05:21:00Z">
        <w:r>
          <w:tab/>
          <w:delText>(2A)</w:delText>
        </w:r>
        <w:r>
          <w:tab/>
          <w:delText>In calculating a dividend under this section no account is to be taken of a payment made to the port authority by another person for application towards the capital cost of providing port facilities if the Minister, with the concurrence of the Treasurer, has declared the payment to be an exempt payment for the purposes of this section.</w:delText>
        </w:r>
      </w:del>
    </w:p>
    <w:p>
      <w:pPr>
        <w:pStyle w:val="nzSubsection"/>
        <w:rPr>
          <w:del w:id="1500" w:author="svcMRProcess" w:date="2018-09-07T05:21:00Z"/>
        </w:rPr>
      </w:pPr>
      <w:del w:id="1501" w:author="svcMRProcess" w:date="2018-09-07T05:21:00Z">
        <w:r>
          <w:tab/>
          <w:delText>(2B)</w:delText>
        </w:r>
        <w:r>
          <w:tab/>
          <w:delText>A declaration under subsection (2A) can be made before or after the payment is received by the port authority.</w:delText>
        </w:r>
      </w:del>
    </w:p>
    <w:p>
      <w:pPr>
        <w:pStyle w:val="BlankClose"/>
        <w:rPr>
          <w:del w:id="1502" w:author="svcMRProcess" w:date="2018-09-07T05:21:00Z"/>
        </w:rPr>
      </w:pPr>
    </w:p>
    <w:p>
      <w:pPr>
        <w:pStyle w:val="nzSubsection"/>
        <w:rPr>
          <w:del w:id="1503" w:author="svcMRProcess" w:date="2018-09-07T05:21:00Z"/>
        </w:rPr>
      </w:pPr>
      <w:del w:id="1504" w:author="svcMRProcess" w:date="2018-09-07T05:21:00Z">
        <w:r>
          <w:tab/>
          <w:delText>(3)</w:delText>
        </w:r>
        <w:r>
          <w:tab/>
          <w:delText>In section 84(3)(b) delete “is to” (1</w:delText>
        </w:r>
        <w:r>
          <w:rPr>
            <w:vertAlign w:val="superscript"/>
          </w:rPr>
          <w:delText>st</w:delText>
        </w:r>
        <w:r>
          <w:delText xml:space="preserve"> occurrence) and insert:</w:delText>
        </w:r>
      </w:del>
    </w:p>
    <w:p>
      <w:pPr>
        <w:pStyle w:val="BlankOpen"/>
        <w:rPr>
          <w:del w:id="1505" w:author="svcMRProcess" w:date="2018-09-07T05:21:00Z"/>
        </w:rPr>
      </w:pPr>
    </w:p>
    <w:p>
      <w:pPr>
        <w:pStyle w:val="nzSubsection"/>
        <w:rPr>
          <w:del w:id="1506" w:author="svcMRProcess" w:date="2018-09-07T05:21:00Z"/>
        </w:rPr>
      </w:pPr>
      <w:del w:id="1507" w:author="svcMRProcess" w:date="2018-09-07T05:21:00Z">
        <w:r>
          <w:tab/>
        </w:r>
        <w:r>
          <w:tab/>
          <w:delText>may</w:delText>
        </w:r>
      </w:del>
    </w:p>
    <w:p>
      <w:pPr>
        <w:pStyle w:val="BlankClose"/>
        <w:rPr>
          <w:del w:id="1508" w:author="svcMRProcess" w:date="2018-09-07T05:21:00Z"/>
        </w:rPr>
      </w:pPr>
    </w:p>
    <w:p>
      <w:pPr>
        <w:pStyle w:val="nzSubsection"/>
        <w:rPr>
          <w:del w:id="1509" w:author="svcMRProcess" w:date="2018-09-07T05:21:00Z"/>
        </w:rPr>
      </w:pPr>
      <w:del w:id="1510" w:author="svcMRProcess" w:date="2018-09-07T05:21:00Z">
        <w:r>
          <w:tab/>
          <w:delText>(4)</w:delText>
        </w:r>
        <w:r>
          <w:tab/>
          <w:delText>Delete section 84(5) and insert:</w:delText>
        </w:r>
      </w:del>
    </w:p>
    <w:p>
      <w:pPr>
        <w:pStyle w:val="BlankOpen"/>
        <w:rPr>
          <w:del w:id="1511" w:author="svcMRProcess" w:date="2018-09-07T05:21:00Z"/>
        </w:rPr>
      </w:pPr>
    </w:p>
    <w:p>
      <w:pPr>
        <w:pStyle w:val="nzSubsection"/>
        <w:rPr>
          <w:del w:id="1512" w:author="svcMRProcess" w:date="2018-09-07T05:21:00Z"/>
        </w:rPr>
      </w:pPr>
      <w:del w:id="1513" w:author="svcMRProcess" w:date="2018-09-07T05:21:00Z">
        <w:r>
          <w:tab/>
          <w:delText>(5)</w:delText>
        </w:r>
        <w:r>
          <w:tab/>
          <w:delText>If the Minister considers that payment by a port authority of an interim dividend in relation to a financial year is justified, the Minister may give written notice to the board of the port authority informing it that an interim dividend is to be paid to the Treasurer.</w:delText>
        </w:r>
      </w:del>
    </w:p>
    <w:p>
      <w:pPr>
        <w:pStyle w:val="nzSubsection"/>
        <w:rPr>
          <w:del w:id="1514" w:author="svcMRProcess" w:date="2018-09-07T05:21:00Z"/>
        </w:rPr>
      </w:pPr>
      <w:del w:id="1515" w:author="svcMRProcess" w:date="2018-09-07T05:21:00Z">
        <w:r>
          <w:tab/>
          <w:delText>(6)</w:delText>
        </w:r>
        <w:r>
          <w:tab/>
          <w:delText>As soon as practicable after it receives a notice under subsection (5) the board of a port authority is to make a recommendation to the Minister as to the amount of the interim dividend that the board recommends as appropriate.</w:delText>
        </w:r>
      </w:del>
    </w:p>
    <w:p>
      <w:pPr>
        <w:pStyle w:val="nzSubsection"/>
        <w:rPr>
          <w:del w:id="1516" w:author="svcMRProcess" w:date="2018-09-07T05:21:00Z"/>
        </w:rPr>
      </w:pPr>
      <w:del w:id="1517" w:author="svcMRProcess" w:date="2018-09-07T05:21:00Z">
        <w:r>
          <w:tab/>
          <w:delText>(7)</w:delText>
        </w:r>
        <w:r>
          <w:tab/>
          <w:delText xml:space="preserve">The Minister, with the Treasurer’s concurrence — </w:delText>
        </w:r>
      </w:del>
    </w:p>
    <w:p>
      <w:pPr>
        <w:pStyle w:val="nzIndenta"/>
        <w:rPr>
          <w:del w:id="1518" w:author="svcMRProcess" w:date="2018-09-07T05:21:00Z"/>
        </w:rPr>
      </w:pPr>
      <w:del w:id="1519" w:author="svcMRProcess" w:date="2018-09-07T05:21:00Z">
        <w:r>
          <w:tab/>
          <w:delText>(a)</w:delText>
        </w:r>
        <w:r>
          <w:tab/>
          <w:delText>may accept a recommendation under subsection (6); or</w:delText>
        </w:r>
      </w:del>
    </w:p>
    <w:p>
      <w:pPr>
        <w:pStyle w:val="nzIndenta"/>
        <w:rPr>
          <w:del w:id="1520" w:author="svcMRProcess" w:date="2018-09-07T05:21:00Z"/>
        </w:rPr>
      </w:pPr>
      <w:del w:id="1521" w:author="svcMRProcess" w:date="2018-09-07T05:21:00Z">
        <w:r>
          <w:tab/>
          <w:delText>(b)</w:delText>
        </w:r>
        <w:r>
          <w:tab/>
          <w:delText>after consultation with the board, may direct that the amount of the interim dividend is to be some other amount.</w:delText>
        </w:r>
      </w:del>
    </w:p>
    <w:p>
      <w:pPr>
        <w:pStyle w:val="nzSubsection"/>
        <w:rPr>
          <w:del w:id="1522" w:author="svcMRProcess" w:date="2018-09-07T05:21:00Z"/>
        </w:rPr>
      </w:pPr>
      <w:del w:id="1523" w:author="svcMRProcess" w:date="2018-09-07T05:21:00Z">
        <w:r>
          <w:tab/>
          <w:delText>(8)</w:delText>
        </w:r>
        <w:r>
          <w:tab/>
          <w:delText xml:space="preserve">A port authority is to pay the interim dividend — </w:delText>
        </w:r>
      </w:del>
    </w:p>
    <w:p>
      <w:pPr>
        <w:pStyle w:val="nzIndenta"/>
        <w:rPr>
          <w:del w:id="1524" w:author="svcMRProcess" w:date="2018-09-07T05:21:00Z"/>
        </w:rPr>
      </w:pPr>
      <w:del w:id="1525" w:author="svcMRProcess" w:date="2018-09-07T05:21:00Z">
        <w:r>
          <w:tab/>
          <w:delText>(a)</w:delText>
        </w:r>
        <w:r>
          <w:tab/>
          <w:delText>as soon as practicable after the amount is fixed under subsection (7); and</w:delText>
        </w:r>
      </w:del>
    </w:p>
    <w:p>
      <w:pPr>
        <w:pStyle w:val="nzIndenta"/>
        <w:rPr>
          <w:del w:id="1526" w:author="svcMRProcess" w:date="2018-09-07T05:21:00Z"/>
        </w:rPr>
      </w:pPr>
      <w:del w:id="1527" w:author="svcMRProcess" w:date="2018-09-07T05:21:00Z">
        <w:r>
          <w:tab/>
          <w:delText>(b)</w:delText>
        </w:r>
        <w:r>
          <w:tab/>
          <w:delText>in any case not later than the end of the financial year to which the interim dividend relates.</w:delText>
        </w:r>
      </w:del>
    </w:p>
    <w:p>
      <w:pPr>
        <w:pStyle w:val="nzSubsection"/>
        <w:rPr>
          <w:del w:id="1528" w:author="svcMRProcess" w:date="2018-09-07T05:21:00Z"/>
        </w:rPr>
      </w:pPr>
      <w:del w:id="1529" w:author="svcMRProcess" w:date="2018-09-07T05:21:00Z">
        <w:r>
          <w:tab/>
          <w:delText>(9)</w:delText>
        </w:r>
        <w:r>
          <w:tab/>
          <w:delText>The Minister must within 14 days after a direction is given under subsection (3) or (7) cause a copy of it to be laid before each House of Parliament or dealt with in accordance with section 133.</w:delText>
        </w:r>
      </w:del>
    </w:p>
    <w:p>
      <w:pPr>
        <w:pStyle w:val="BlankClose"/>
        <w:rPr>
          <w:del w:id="1530" w:author="svcMRProcess" w:date="2018-09-07T05:21:00Z"/>
        </w:rPr>
      </w:pPr>
    </w:p>
    <w:p>
      <w:pPr>
        <w:pStyle w:val="nzHeading5"/>
        <w:rPr>
          <w:del w:id="1531" w:author="svcMRProcess" w:date="2018-09-07T05:21:00Z"/>
        </w:rPr>
      </w:pPr>
      <w:del w:id="1532" w:author="svcMRProcess" w:date="2018-09-07T05:21:00Z">
        <w:r>
          <w:rPr>
            <w:rStyle w:val="CharSectno"/>
          </w:rPr>
          <w:delText>22</w:delText>
        </w:r>
        <w:r>
          <w:delText>.</w:delText>
        </w:r>
        <w:r>
          <w:tab/>
          <w:delText>Section 87 amended</w:delText>
        </w:r>
      </w:del>
    </w:p>
    <w:p>
      <w:pPr>
        <w:pStyle w:val="nzSubsection"/>
        <w:rPr>
          <w:del w:id="1533" w:author="svcMRProcess" w:date="2018-09-07T05:21:00Z"/>
        </w:rPr>
      </w:pPr>
      <w:del w:id="1534" w:author="svcMRProcess" w:date="2018-09-07T05:21:00Z">
        <w:r>
          <w:tab/>
        </w:r>
        <w:r>
          <w:tab/>
          <w:delText>Delete section 87(2) and insert:</w:delText>
        </w:r>
      </w:del>
    </w:p>
    <w:p>
      <w:pPr>
        <w:pStyle w:val="BlankOpen"/>
        <w:rPr>
          <w:del w:id="1535" w:author="svcMRProcess" w:date="2018-09-07T05:21:00Z"/>
        </w:rPr>
      </w:pPr>
    </w:p>
    <w:p>
      <w:pPr>
        <w:pStyle w:val="nzSubsection"/>
        <w:rPr>
          <w:del w:id="1536" w:author="svcMRProcess" w:date="2018-09-07T05:21:00Z"/>
        </w:rPr>
      </w:pPr>
      <w:del w:id="1537" w:author="svcMRProcess" w:date="2018-09-07T05:21:00Z">
        <w:r>
          <w:tab/>
          <w:delText>(2)</w:delText>
        </w:r>
        <w:r>
          <w:tab/>
          <w:delText xml:space="preserve">A port authority may also enter into a hedging arrangement for the purpose of managing, limiting or reducing perceived risks or anticipated costs in connection with a transaction that involves capital expenditure and is undertaken in, or based on, a foreign currency as long as the port authority, with advice from the Treasury Corporation — </w:delText>
        </w:r>
      </w:del>
    </w:p>
    <w:p>
      <w:pPr>
        <w:pStyle w:val="nzIndenta"/>
        <w:rPr>
          <w:del w:id="1538" w:author="svcMRProcess" w:date="2018-09-07T05:21:00Z"/>
        </w:rPr>
      </w:pPr>
      <w:del w:id="1539" w:author="svcMRProcess" w:date="2018-09-07T05:21:00Z">
        <w:r>
          <w:tab/>
          <w:delText>(a)</w:delText>
        </w:r>
        <w:r>
          <w:tab/>
          <w:delText>identifies, considers and takes steps to minimise any foreign exchange risks before entering into the hedging arrangement; and</w:delText>
        </w:r>
      </w:del>
    </w:p>
    <w:p>
      <w:pPr>
        <w:pStyle w:val="nzIndenta"/>
        <w:rPr>
          <w:del w:id="1540" w:author="svcMRProcess" w:date="2018-09-07T05:21:00Z"/>
        </w:rPr>
      </w:pPr>
      <w:del w:id="1541" w:author="svcMRProcess" w:date="2018-09-07T05:21:00Z">
        <w:r>
          <w:tab/>
          <w:delText>(b)</w:delText>
        </w:r>
        <w:r>
          <w:tab/>
          <w:delText>monitors any foreign exchange risks that may result from entering into the hedging arrangement.</w:delText>
        </w:r>
      </w:del>
    </w:p>
    <w:p>
      <w:pPr>
        <w:pStyle w:val="nzSubsection"/>
        <w:rPr>
          <w:del w:id="1542" w:author="svcMRProcess" w:date="2018-09-07T05:21:00Z"/>
        </w:rPr>
      </w:pPr>
      <w:del w:id="1543" w:author="svcMRProcess" w:date="2018-09-07T05:21:00Z">
        <w:r>
          <w:tab/>
          <w:delText>(3)</w:delText>
        </w:r>
        <w:r>
          <w:tab/>
          <w:delText xml:space="preserve">In this section — </w:delText>
        </w:r>
      </w:del>
    </w:p>
    <w:p>
      <w:pPr>
        <w:pStyle w:val="nzDefstart"/>
        <w:rPr>
          <w:del w:id="1544" w:author="svcMRProcess" w:date="2018-09-07T05:21:00Z"/>
        </w:rPr>
      </w:pPr>
      <w:del w:id="1545" w:author="svcMRProcess" w:date="2018-09-07T05:21:00Z">
        <w:r>
          <w:tab/>
        </w:r>
        <w:r>
          <w:rPr>
            <w:rStyle w:val="CharDefText"/>
          </w:rPr>
          <w:delText xml:space="preserve">hedging arrangement </w:delText>
        </w:r>
        <w:r>
          <w:delText>means an agreement or arrangement described in subsection (1)(a) or (b);</w:delText>
        </w:r>
      </w:del>
    </w:p>
    <w:p>
      <w:pPr>
        <w:pStyle w:val="nzDefstart"/>
        <w:rPr>
          <w:del w:id="1546" w:author="svcMRProcess" w:date="2018-09-07T05:21:00Z"/>
        </w:rPr>
      </w:pPr>
      <w:del w:id="1547" w:author="svcMRProcess" w:date="2018-09-07T05:21:00Z">
        <w:r>
          <w:rPr>
            <w:b/>
          </w:rPr>
          <w:tab/>
        </w:r>
        <w:r>
          <w:rPr>
            <w:rStyle w:val="CharDefText"/>
          </w:rPr>
          <w:delText>interest rate</w:delText>
        </w:r>
        <w:r>
          <w:delText xml:space="preserve"> includes coupon rate, discount rate and yield;</w:delText>
        </w:r>
      </w:del>
    </w:p>
    <w:p>
      <w:pPr>
        <w:pStyle w:val="nzDefstart"/>
        <w:rPr>
          <w:del w:id="1548" w:author="svcMRProcess" w:date="2018-09-07T05:21:00Z"/>
        </w:rPr>
      </w:pPr>
      <w:del w:id="1549" w:author="svcMRProcess" w:date="2018-09-07T05:21:00Z">
        <w:r>
          <w:tab/>
        </w:r>
        <w:r>
          <w:rPr>
            <w:rStyle w:val="CharDefText"/>
          </w:rPr>
          <w:delText>Treasury Corporation</w:delText>
        </w:r>
        <w:r>
          <w:delText xml:space="preserve"> means the Western Australian Treasury Corporation established under the </w:delText>
        </w:r>
        <w:r>
          <w:rPr>
            <w:i/>
          </w:rPr>
          <w:delText>Western Australian Treasury Corporation Act 1986</w:delText>
        </w:r>
        <w:r>
          <w:delText>.</w:delText>
        </w:r>
      </w:del>
    </w:p>
    <w:p>
      <w:pPr>
        <w:pStyle w:val="BlankClose"/>
        <w:keepNext/>
        <w:rPr>
          <w:del w:id="1550" w:author="svcMRProcess" w:date="2018-09-07T05:21:00Z"/>
        </w:rPr>
      </w:pPr>
    </w:p>
    <w:p>
      <w:pPr>
        <w:pStyle w:val="nzHeading5"/>
        <w:rPr>
          <w:del w:id="1551" w:author="svcMRProcess" w:date="2018-09-07T05:21:00Z"/>
        </w:rPr>
      </w:pPr>
      <w:del w:id="1552" w:author="svcMRProcess" w:date="2018-09-07T05:21:00Z">
        <w:r>
          <w:rPr>
            <w:rStyle w:val="CharSectno"/>
          </w:rPr>
          <w:delText>23</w:delText>
        </w:r>
        <w:r>
          <w:delText>.</w:delText>
        </w:r>
        <w:r>
          <w:tab/>
          <w:delText>Section 96 amended</w:delText>
        </w:r>
      </w:del>
    </w:p>
    <w:p>
      <w:pPr>
        <w:pStyle w:val="nzSubsection"/>
        <w:rPr>
          <w:del w:id="1553" w:author="svcMRProcess" w:date="2018-09-07T05:21:00Z"/>
        </w:rPr>
      </w:pPr>
      <w:del w:id="1554" w:author="svcMRProcess" w:date="2018-09-07T05:21:00Z">
        <w:r>
          <w:tab/>
        </w:r>
        <w:r>
          <w:tab/>
          <w:delText>In section 96(7):</w:delText>
        </w:r>
      </w:del>
    </w:p>
    <w:p>
      <w:pPr>
        <w:pStyle w:val="nzIndenta"/>
        <w:rPr>
          <w:del w:id="1555" w:author="svcMRProcess" w:date="2018-09-07T05:21:00Z"/>
        </w:rPr>
      </w:pPr>
      <w:del w:id="1556" w:author="svcMRProcess" w:date="2018-09-07T05:21:00Z">
        <w:r>
          <w:tab/>
          <w:delText>(a)</w:delText>
        </w:r>
        <w:r>
          <w:tab/>
          <w:delText>delete “Despite section 37,” and insert:</w:delText>
        </w:r>
      </w:del>
    </w:p>
    <w:p>
      <w:pPr>
        <w:pStyle w:val="BlankOpen"/>
        <w:rPr>
          <w:del w:id="1557" w:author="svcMRProcess" w:date="2018-09-07T05:21:00Z"/>
        </w:rPr>
      </w:pPr>
    </w:p>
    <w:p>
      <w:pPr>
        <w:pStyle w:val="nzIndenta"/>
        <w:rPr>
          <w:del w:id="1558" w:author="svcMRProcess" w:date="2018-09-07T05:21:00Z"/>
        </w:rPr>
      </w:pPr>
      <w:del w:id="1559" w:author="svcMRProcess" w:date="2018-09-07T05:21:00Z">
        <w:r>
          <w:tab/>
        </w:r>
        <w:r>
          <w:tab/>
          <w:delText>Subject to subsection (8),</w:delText>
        </w:r>
      </w:del>
    </w:p>
    <w:p>
      <w:pPr>
        <w:pStyle w:val="BlankClose"/>
        <w:rPr>
          <w:del w:id="1560" w:author="svcMRProcess" w:date="2018-09-07T05:21:00Z"/>
        </w:rPr>
      </w:pPr>
    </w:p>
    <w:p>
      <w:pPr>
        <w:pStyle w:val="nzIndenta"/>
        <w:rPr>
          <w:del w:id="1561" w:author="svcMRProcess" w:date="2018-09-07T05:21:00Z"/>
        </w:rPr>
      </w:pPr>
      <w:del w:id="1562" w:author="svcMRProcess" w:date="2018-09-07T05:21:00Z">
        <w:r>
          <w:tab/>
          <w:delText>(b)</w:delText>
        </w:r>
        <w:r>
          <w:tab/>
          <w:delText>in paragraph (a) delete “in accordance with the regulations; and” and insert:</w:delText>
        </w:r>
      </w:del>
    </w:p>
    <w:p>
      <w:pPr>
        <w:pStyle w:val="BlankOpen"/>
        <w:rPr>
          <w:del w:id="1563" w:author="svcMRProcess" w:date="2018-09-07T05:21:00Z"/>
        </w:rPr>
      </w:pPr>
    </w:p>
    <w:p>
      <w:pPr>
        <w:pStyle w:val="nzIndenta"/>
        <w:rPr>
          <w:del w:id="1564" w:author="svcMRProcess" w:date="2018-09-07T05:21:00Z"/>
        </w:rPr>
      </w:pPr>
      <w:del w:id="1565" w:author="svcMRProcess" w:date="2018-09-07T05:21:00Z">
        <w:r>
          <w:tab/>
        </w:r>
        <w:r>
          <w:tab/>
          <w:delText>under section 37; and</w:delText>
        </w:r>
      </w:del>
    </w:p>
    <w:p>
      <w:pPr>
        <w:pStyle w:val="BlankClose"/>
        <w:rPr>
          <w:del w:id="1566" w:author="svcMRProcess" w:date="2018-09-07T05:21:00Z"/>
        </w:rPr>
      </w:pPr>
    </w:p>
    <w:p>
      <w:pPr>
        <w:pStyle w:val="nzHeading5"/>
        <w:rPr>
          <w:del w:id="1567" w:author="svcMRProcess" w:date="2018-09-07T05:21:00Z"/>
        </w:rPr>
      </w:pPr>
      <w:del w:id="1568" w:author="svcMRProcess" w:date="2018-09-07T05:21:00Z">
        <w:r>
          <w:rPr>
            <w:rStyle w:val="CharSectno"/>
          </w:rPr>
          <w:delText>24</w:delText>
        </w:r>
        <w:r>
          <w:delText>.</w:delText>
        </w:r>
        <w:r>
          <w:tab/>
          <w:delText>Section 100 amended</w:delText>
        </w:r>
      </w:del>
    </w:p>
    <w:p>
      <w:pPr>
        <w:pStyle w:val="nzSubsection"/>
        <w:rPr>
          <w:del w:id="1569" w:author="svcMRProcess" w:date="2018-09-07T05:21:00Z"/>
        </w:rPr>
      </w:pPr>
      <w:del w:id="1570" w:author="svcMRProcess" w:date="2018-09-07T05:21:00Z">
        <w:r>
          <w:tab/>
        </w:r>
        <w:r>
          <w:tab/>
          <w:delText>Delete section 100(1) and insert:</w:delText>
        </w:r>
      </w:del>
    </w:p>
    <w:p>
      <w:pPr>
        <w:pStyle w:val="BlankOpen"/>
        <w:rPr>
          <w:del w:id="1571" w:author="svcMRProcess" w:date="2018-09-07T05:21:00Z"/>
        </w:rPr>
      </w:pPr>
    </w:p>
    <w:p>
      <w:pPr>
        <w:pStyle w:val="nzSubsection"/>
        <w:rPr>
          <w:del w:id="1572" w:author="svcMRProcess" w:date="2018-09-07T05:21:00Z"/>
          <w:snapToGrid w:val="0"/>
        </w:rPr>
      </w:pPr>
      <w:del w:id="1573" w:author="svcMRProcess" w:date="2018-09-07T05:21:00Z">
        <w:r>
          <w:tab/>
          <w:delText>(1)</w:delText>
        </w:r>
        <w:r>
          <w:tab/>
        </w:r>
        <w:r>
          <w:rPr>
            <w:snapToGrid w:val="0"/>
          </w:rPr>
          <w:delText xml:space="preserve">Neither the State nor the port authority is liable for any loss or damage resulting from — </w:delText>
        </w:r>
      </w:del>
    </w:p>
    <w:p>
      <w:pPr>
        <w:pStyle w:val="nzIndenta"/>
        <w:rPr>
          <w:del w:id="1574" w:author="svcMRProcess" w:date="2018-09-07T05:21:00Z"/>
        </w:rPr>
      </w:pPr>
      <w:del w:id="1575" w:author="svcMRProcess" w:date="2018-09-07T05:21:00Z">
        <w:r>
          <w:tab/>
          <w:delText>(a)</w:delText>
        </w:r>
        <w:r>
          <w:tab/>
        </w:r>
        <w:r>
          <w:rPr>
            <w:snapToGrid w:val="0"/>
          </w:rPr>
          <w:delText>an act or omission by</w:delText>
        </w:r>
        <w:r>
          <w:delText xml:space="preserve"> a port authority, a harbour master or a member of staff of a port authority in connection with the provision of pilotage services; or</w:delText>
        </w:r>
      </w:del>
    </w:p>
    <w:p>
      <w:pPr>
        <w:pStyle w:val="nzIndenta"/>
        <w:rPr>
          <w:del w:id="1576" w:author="svcMRProcess" w:date="2018-09-07T05:21:00Z"/>
          <w:snapToGrid w:val="0"/>
        </w:rPr>
      </w:pPr>
      <w:del w:id="1577" w:author="svcMRProcess" w:date="2018-09-07T05:21:00Z">
        <w:r>
          <w:rPr>
            <w:snapToGrid w:val="0"/>
          </w:rPr>
          <w:tab/>
          <w:delText>(b)</w:delText>
        </w:r>
        <w:r>
          <w:rPr>
            <w:snapToGrid w:val="0"/>
          </w:rPr>
          <w:tab/>
          <w:delText>an act or omission by a person approved as a pilot by a port authority in the conduct or navigation of a vessel of which the person is the pilot.</w:delText>
        </w:r>
      </w:del>
    </w:p>
    <w:p>
      <w:pPr>
        <w:pStyle w:val="BlankClose"/>
        <w:rPr>
          <w:del w:id="1578" w:author="svcMRProcess" w:date="2018-09-07T05:21:00Z"/>
        </w:rPr>
      </w:pPr>
    </w:p>
    <w:p>
      <w:pPr>
        <w:tabs>
          <w:tab w:val="left" w:pos="851"/>
        </w:tabs>
        <w:spacing w:before="120"/>
        <w:ind w:left="1418" w:hanging="1418"/>
        <w:rPr>
          <w:del w:id="1579" w:author="svcMRProcess" w:date="2018-09-07T05:21:00Z"/>
          <w:sz w:val="18"/>
        </w:rPr>
      </w:pPr>
      <w:del w:id="1580" w:author="svcMRProcess" w:date="2018-09-07T05:21:00Z">
        <w:r>
          <w:rPr>
            <w:rFonts w:ascii="Arial" w:hAnsi="Arial"/>
            <w:sz w:val="18"/>
          </w:rPr>
          <w:tab/>
          <w:delText>Note:</w:delText>
        </w:r>
        <w:r>
          <w:rPr>
            <w:rFonts w:ascii="Arial" w:hAnsi="Arial"/>
            <w:sz w:val="18"/>
          </w:rPr>
          <w:tab/>
          <w:delText>The heading to amended section 100 is to read</w:delText>
        </w:r>
        <w:r>
          <w:rPr>
            <w:sz w:val="18"/>
          </w:rPr>
          <w:delText>:</w:delText>
        </w:r>
      </w:del>
    </w:p>
    <w:p>
      <w:pPr>
        <w:tabs>
          <w:tab w:val="left" w:pos="851"/>
        </w:tabs>
        <w:spacing w:before="120"/>
        <w:ind w:left="1418" w:hanging="1418"/>
        <w:rPr>
          <w:del w:id="1581" w:author="svcMRProcess" w:date="2018-09-07T05:21:00Z"/>
          <w:rFonts w:ascii="Arial" w:hAnsi="Arial"/>
          <w:b/>
          <w:snapToGrid w:val="0"/>
          <w:sz w:val="18"/>
        </w:rPr>
      </w:pPr>
      <w:del w:id="1582" w:author="svcMRProcess" w:date="2018-09-07T05:21:00Z">
        <w:r>
          <w:rPr>
            <w:sz w:val="18"/>
          </w:rPr>
          <w:tab/>
        </w:r>
        <w:r>
          <w:rPr>
            <w:sz w:val="18"/>
          </w:rPr>
          <w:tab/>
        </w:r>
        <w:r>
          <w:rPr>
            <w:rFonts w:ascii="Arial" w:hAnsi="Arial"/>
            <w:b/>
            <w:snapToGrid w:val="0"/>
            <w:sz w:val="18"/>
          </w:rPr>
          <w:delText>Immunity from liability for negligent provision of pilotage services</w:delText>
        </w:r>
      </w:del>
    </w:p>
    <w:p>
      <w:pPr>
        <w:pStyle w:val="nzHeading5"/>
        <w:rPr>
          <w:del w:id="1583" w:author="svcMRProcess" w:date="2018-09-07T05:21:00Z"/>
        </w:rPr>
      </w:pPr>
      <w:del w:id="1584" w:author="svcMRProcess" w:date="2018-09-07T05:21:00Z">
        <w:r>
          <w:rPr>
            <w:rStyle w:val="CharSectno"/>
          </w:rPr>
          <w:delText>25</w:delText>
        </w:r>
        <w:r>
          <w:delText>.</w:delText>
        </w:r>
        <w:r>
          <w:tab/>
          <w:delText>Section 113 amended</w:delText>
        </w:r>
      </w:del>
    </w:p>
    <w:p>
      <w:pPr>
        <w:pStyle w:val="nzSubsection"/>
        <w:rPr>
          <w:del w:id="1585" w:author="svcMRProcess" w:date="2018-09-07T05:21:00Z"/>
        </w:rPr>
      </w:pPr>
      <w:del w:id="1586" w:author="svcMRProcess" w:date="2018-09-07T05:21:00Z">
        <w:r>
          <w:tab/>
          <w:delText>(1)</w:delText>
        </w:r>
        <w:r>
          <w:tab/>
          <w:delText>At the beginning of section 113 insert:</w:delText>
        </w:r>
      </w:del>
    </w:p>
    <w:p>
      <w:pPr>
        <w:pStyle w:val="BlankOpen"/>
        <w:rPr>
          <w:del w:id="1587" w:author="svcMRProcess" w:date="2018-09-07T05:21:00Z"/>
        </w:rPr>
      </w:pPr>
    </w:p>
    <w:p>
      <w:pPr>
        <w:pStyle w:val="nzSubsection"/>
        <w:rPr>
          <w:del w:id="1588" w:author="svcMRProcess" w:date="2018-09-07T05:21:00Z"/>
        </w:rPr>
      </w:pPr>
      <w:del w:id="1589" w:author="svcMRProcess" w:date="2018-09-07T05:21:00Z">
        <w:r>
          <w:tab/>
          <w:delText>(1A)</w:delText>
        </w:r>
        <w:r>
          <w:tab/>
          <w:delText xml:space="preserve">In this section — </w:delText>
        </w:r>
      </w:del>
    </w:p>
    <w:p>
      <w:pPr>
        <w:pStyle w:val="nzDefstart"/>
        <w:rPr>
          <w:del w:id="1590" w:author="svcMRProcess" w:date="2018-09-07T05:21:00Z"/>
        </w:rPr>
      </w:pPr>
      <w:del w:id="1591" w:author="svcMRProcess" w:date="2018-09-07T05:21:00Z">
        <w:r>
          <w:tab/>
        </w:r>
        <w:r>
          <w:rPr>
            <w:rStyle w:val="CharDefText"/>
          </w:rPr>
          <w:delText>prescribed thing</w:delText>
        </w:r>
        <w:r>
          <w:delText xml:space="preserve"> means — </w:delText>
        </w:r>
      </w:del>
    </w:p>
    <w:p>
      <w:pPr>
        <w:pStyle w:val="nzDefpara"/>
        <w:rPr>
          <w:del w:id="1592" w:author="svcMRProcess" w:date="2018-09-07T05:21:00Z"/>
        </w:rPr>
      </w:pPr>
      <w:del w:id="1593" w:author="svcMRProcess" w:date="2018-09-07T05:21:00Z">
        <w:r>
          <w:tab/>
          <w:delText>(a)</w:delText>
        </w:r>
        <w:r>
          <w:tab/>
          <w:delText>any floating object; or</w:delText>
        </w:r>
      </w:del>
    </w:p>
    <w:p>
      <w:pPr>
        <w:pStyle w:val="nzDefpara"/>
        <w:rPr>
          <w:del w:id="1594" w:author="svcMRProcess" w:date="2018-09-07T05:21:00Z"/>
        </w:rPr>
      </w:pPr>
      <w:del w:id="1595" w:author="svcMRProcess" w:date="2018-09-07T05:21:00Z">
        <w:r>
          <w:tab/>
          <w:delText>(b)</w:delText>
        </w:r>
        <w:r>
          <w:tab/>
          <w:delText>any material, product or substance (whether solid, liquid or gas); or</w:delText>
        </w:r>
      </w:del>
    </w:p>
    <w:p>
      <w:pPr>
        <w:pStyle w:val="nzDefpara"/>
        <w:rPr>
          <w:del w:id="1596" w:author="svcMRProcess" w:date="2018-09-07T05:21:00Z"/>
        </w:rPr>
      </w:pPr>
      <w:del w:id="1597" w:author="svcMRProcess" w:date="2018-09-07T05:21:00Z">
        <w:r>
          <w:tab/>
          <w:delText>(c)</w:delText>
        </w:r>
        <w:r>
          <w:tab/>
          <w:delText>any vehicle, plant, machinery, equipment or infrastructure.</w:delText>
        </w:r>
      </w:del>
    </w:p>
    <w:p>
      <w:pPr>
        <w:pStyle w:val="BlankClose"/>
        <w:rPr>
          <w:del w:id="1598" w:author="svcMRProcess" w:date="2018-09-07T05:21:00Z"/>
        </w:rPr>
      </w:pPr>
    </w:p>
    <w:p>
      <w:pPr>
        <w:pStyle w:val="nzSubsection"/>
        <w:rPr>
          <w:del w:id="1599" w:author="svcMRProcess" w:date="2018-09-07T05:21:00Z"/>
        </w:rPr>
      </w:pPr>
      <w:del w:id="1600" w:author="svcMRProcess" w:date="2018-09-07T05:21:00Z">
        <w:r>
          <w:tab/>
          <w:delText>(2)</w:delText>
        </w:r>
        <w:r>
          <w:tab/>
          <w:delText>In section 113(1) delete paragraphs (b), (c) and (d) and insert:</w:delText>
        </w:r>
      </w:del>
    </w:p>
    <w:p>
      <w:pPr>
        <w:pStyle w:val="BlankOpen"/>
        <w:rPr>
          <w:del w:id="1601" w:author="svcMRProcess" w:date="2018-09-07T05:21:00Z"/>
        </w:rPr>
      </w:pPr>
    </w:p>
    <w:p>
      <w:pPr>
        <w:pStyle w:val="nzIndenta"/>
        <w:rPr>
          <w:del w:id="1602" w:author="svcMRProcess" w:date="2018-09-07T05:21:00Z"/>
        </w:rPr>
      </w:pPr>
      <w:del w:id="1603" w:author="svcMRProcess" w:date="2018-09-07T05:21:00Z">
        <w:r>
          <w:tab/>
          <w:delText>(b)</w:delText>
        </w:r>
        <w:r>
          <w:tab/>
          <w:delText>a prescribed thing; or</w:delText>
        </w:r>
      </w:del>
    </w:p>
    <w:p>
      <w:pPr>
        <w:pStyle w:val="nzIndenta"/>
        <w:rPr>
          <w:del w:id="1604" w:author="svcMRProcess" w:date="2018-09-07T05:21:00Z"/>
          <w:snapToGrid w:val="0"/>
        </w:rPr>
      </w:pPr>
      <w:del w:id="1605" w:author="svcMRProcess" w:date="2018-09-07T05:21:00Z">
        <w:r>
          <w:tab/>
          <w:delText>(c)</w:delText>
        </w:r>
        <w:r>
          <w:tab/>
          <w:delText xml:space="preserve">any person employed in, on or in relation to, a </w:delText>
        </w:r>
        <w:r>
          <w:rPr>
            <w:snapToGrid w:val="0"/>
          </w:rPr>
          <w:delText>vessel, or its equipment or cargo, or a prescribed thing.</w:delText>
        </w:r>
      </w:del>
    </w:p>
    <w:p>
      <w:pPr>
        <w:pStyle w:val="BlankClose"/>
        <w:rPr>
          <w:del w:id="1606" w:author="svcMRProcess" w:date="2018-09-07T05:21:00Z"/>
        </w:rPr>
      </w:pPr>
    </w:p>
    <w:p>
      <w:pPr>
        <w:pStyle w:val="nzSubsection"/>
        <w:rPr>
          <w:del w:id="1607" w:author="svcMRProcess" w:date="2018-09-07T05:21:00Z"/>
          <w:snapToGrid w:val="0"/>
        </w:rPr>
      </w:pPr>
      <w:del w:id="1608" w:author="svcMRProcess" w:date="2018-09-07T05:21:00Z">
        <w:r>
          <w:tab/>
          <w:delText>(3)</w:delText>
        </w:r>
        <w:r>
          <w:tab/>
          <w:delText>In section 113(2) delete “</w:delText>
        </w:r>
        <w:r>
          <w:rPr>
            <w:snapToGrid w:val="0"/>
          </w:rPr>
          <w:delText>vessel, floating object or material” and insert:</w:delText>
        </w:r>
      </w:del>
    </w:p>
    <w:p>
      <w:pPr>
        <w:pStyle w:val="BlankOpen"/>
        <w:rPr>
          <w:del w:id="1609" w:author="svcMRProcess" w:date="2018-09-07T05:21:00Z"/>
          <w:snapToGrid w:val="0"/>
        </w:rPr>
      </w:pPr>
    </w:p>
    <w:p>
      <w:pPr>
        <w:pStyle w:val="nzSubsection"/>
        <w:rPr>
          <w:del w:id="1610" w:author="svcMRProcess" w:date="2018-09-07T05:21:00Z"/>
          <w:snapToGrid w:val="0"/>
        </w:rPr>
      </w:pPr>
      <w:del w:id="1611" w:author="svcMRProcess" w:date="2018-09-07T05:21:00Z">
        <w:r>
          <w:rPr>
            <w:snapToGrid w:val="0"/>
          </w:rPr>
          <w:tab/>
        </w:r>
        <w:r>
          <w:rPr>
            <w:snapToGrid w:val="0"/>
          </w:rPr>
          <w:tab/>
          <w:delText>vessel or prescribed thing</w:delText>
        </w:r>
      </w:del>
    </w:p>
    <w:p>
      <w:pPr>
        <w:pStyle w:val="BlankClose"/>
        <w:rPr>
          <w:del w:id="1612" w:author="svcMRProcess" w:date="2018-09-07T05:21:00Z"/>
        </w:rPr>
      </w:pPr>
    </w:p>
    <w:p>
      <w:pPr>
        <w:pStyle w:val="nzSubsection"/>
        <w:rPr>
          <w:del w:id="1613" w:author="svcMRProcess" w:date="2018-09-07T05:21:00Z"/>
          <w:snapToGrid w:val="0"/>
        </w:rPr>
      </w:pPr>
      <w:del w:id="1614" w:author="svcMRProcess" w:date="2018-09-07T05:21:00Z">
        <w:r>
          <w:tab/>
          <w:delText>(4)</w:delText>
        </w:r>
        <w:r>
          <w:tab/>
          <w:delText>In section 113(3) delete “</w:delText>
        </w:r>
        <w:r>
          <w:rPr>
            <w:snapToGrid w:val="0"/>
          </w:rPr>
          <w:delText>of the floating object or the material,” and insert:</w:delText>
        </w:r>
      </w:del>
    </w:p>
    <w:p>
      <w:pPr>
        <w:pStyle w:val="BlankOpen"/>
        <w:rPr>
          <w:del w:id="1615" w:author="svcMRProcess" w:date="2018-09-07T05:21:00Z"/>
          <w:snapToGrid w:val="0"/>
        </w:rPr>
      </w:pPr>
    </w:p>
    <w:p>
      <w:pPr>
        <w:pStyle w:val="nzSubsection"/>
        <w:rPr>
          <w:del w:id="1616" w:author="svcMRProcess" w:date="2018-09-07T05:21:00Z"/>
          <w:snapToGrid w:val="0"/>
        </w:rPr>
      </w:pPr>
      <w:del w:id="1617" w:author="svcMRProcess" w:date="2018-09-07T05:21:00Z">
        <w:r>
          <w:rPr>
            <w:snapToGrid w:val="0"/>
          </w:rPr>
          <w:tab/>
        </w:r>
        <w:r>
          <w:rPr>
            <w:snapToGrid w:val="0"/>
          </w:rPr>
          <w:tab/>
          <w:delText>or control of the prescribed thing,</w:delText>
        </w:r>
      </w:del>
    </w:p>
    <w:p>
      <w:pPr>
        <w:pStyle w:val="BlankClose"/>
        <w:rPr>
          <w:del w:id="1618" w:author="svcMRProcess" w:date="2018-09-07T05:21:00Z"/>
        </w:rPr>
      </w:pPr>
    </w:p>
    <w:p>
      <w:pPr>
        <w:pStyle w:val="nzSubsection"/>
        <w:rPr>
          <w:del w:id="1619" w:author="svcMRProcess" w:date="2018-09-07T05:21:00Z"/>
        </w:rPr>
      </w:pPr>
      <w:del w:id="1620" w:author="svcMRProcess" w:date="2018-09-07T05:21:00Z">
        <w:r>
          <w:tab/>
          <w:delText>(5)</w:delText>
        </w:r>
        <w:r>
          <w:tab/>
          <w:delText>In section 113(5) delete “</w:delText>
        </w:r>
        <w:r>
          <w:rPr>
            <w:snapToGrid w:val="0"/>
          </w:rPr>
          <w:delText xml:space="preserve">vessel, floating object or material —” </w:delText>
        </w:r>
        <w:r>
          <w:delText>and insert:</w:delText>
        </w:r>
      </w:del>
    </w:p>
    <w:p>
      <w:pPr>
        <w:pStyle w:val="BlankOpen"/>
        <w:rPr>
          <w:del w:id="1621" w:author="svcMRProcess" w:date="2018-09-07T05:21:00Z"/>
          <w:snapToGrid w:val="0"/>
        </w:rPr>
      </w:pPr>
    </w:p>
    <w:p>
      <w:pPr>
        <w:pStyle w:val="nzSubsection"/>
        <w:rPr>
          <w:del w:id="1622" w:author="svcMRProcess" w:date="2018-09-07T05:21:00Z"/>
          <w:snapToGrid w:val="0"/>
        </w:rPr>
      </w:pPr>
      <w:del w:id="1623" w:author="svcMRProcess" w:date="2018-09-07T05:21:00Z">
        <w:r>
          <w:rPr>
            <w:snapToGrid w:val="0"/>
          </w:rPr>
          <w:tab/>
        </w:r>
        <w:r>
          <w:rPr>
            <w:snapToGrid w:val="0"/>
          </w:rPr>
          <w:tab/>
          <w:delText xml:space="preserve">vessel or prescribed thing — </w:delText>
        </w:r>
      </w:del>
    </w:p>
    <w:p>
      <w:pPr>
        <w:pStyle w:val="BlankClose"/>
        <w:rPr>
          <w:del w:id="1624" w:author="svcMRProcess" w:date="2018-09-07T05:21:00Z"/>
        </w:rPr>
      </w:pPr>
    </w:p>
    <w:p>
      <w:pPr>
        <w:pStyle w:val="nzHeading5"/>
        <w:rPr>
          <w:del w:id="1625" w:author="svcMRProcess" w:date="2018-09-07T05:21:00Z"/>
        </w:rPr>
      </w:pPr>
      <w:del w:id="1626" w:author="svcMRProcess" w:date="2018-09-07T05:21:00Z">
        <w:r>
          <w:rPr>
            <w:rStyle w:val="CharSectno"/>
          </w:rPr>
          <w:delText>26</w:delText>
        </w:r>
        <w:r>
          <w:delText>.</w:delText>
        </w:r>
        <w:r>
          <w:tab/>
          <w:delText>Section 114EA inserted</w:delText>
        </w:r>
      </w:del>
    </w:p>
    <w:p>
      <w:pPr>
        <w:pStyle w:val="nzSubsection"/>
        <w:rPr>
          <w:del w:id="1627" w:author="svcMRProcess" w:date="2018-09-07T05:21:00Z"/>
        </w:rPr>
      </w:pPr>
      <w:del w:id="1628" w:author="svcMRProcess" w:date="2018-09-07T05:21:00Z">
        <w:r>
          <w:tab/>
        </w:r>
        <w:r>
          <w:tab/>
          <w:delText>After section 114D insert:</w:delText>
        </w:r>
      </w:del>
    </w:p>
    <w:p>
      <w:pPr>
        <w:pStyle w:val="BlankOpen"/>
        <w:rPr>
          <w:del w:id="1629" w:author="svcMRProcess" w:date="2018-09-07T05:21:00Z"/>
        </w:rPr>
      </w:pPr>
    </w:p>
    <w:p>
      <w:pPr>
        <w:pStyle w:val="nzHeading5"/>
        <w:rPr>
          <w:del w:id="1630" w:author="svcMRProcess" w:date="2018-09-07T05:21:00Z"/>
        </w:rPr>
      </w:pPr>
      <w:del w:id="1631" w:author="svcMRProcess" w:date="2018-09-07T05:21:00Z">
        <w:r>
          <w:delText>114EA.</w:delText>
        </w:r>
        <w:r>
          <w:tab/>
          <w:delText>Immunity from liability for acts or omissions of port users</w:delText>
        </w:r>
      </w:del>
    </w:p>
    <w:p>
      <w:pPr>
        <w:pStyle w:val="nzSubsection"/>
        <w:rPr>
          <w:del w:id="1632" w:author="svcMRProcess" w:date="2018-09-07T05:21:00Z"/>
        </w:rPr>
      </w:pPr>
      <w:del w:id="1633" w:author="svcMRProcess" w:date="2018-09-07T05:21:00Z">
        <w:r>
          <w:tab/>
          <w:delText>(1)</w:delText>
        </w:r>
        <w:r>
          <w:tab/>
          <w:delText>A port authority is not liable for any loss or damage resulting from an act or omission of a person who is, or is acting on behalf of, a user of its port.</w:delText>
        </w:r>
      </w:del>
    </w:p>
    <w:p>
      <w:pPr>
        <w:pStyle w:val="nzSubsection"/>
        <w:rPr>
          <w:del w:id="1634" w:author="svcMRProcess" w:date="2018-09-07T05:21:00Z"/>
        </w:rPr>
      </w:pPr>
      <w:del w:id="1635" w:author="svcMRProcess" w:date="2018-09-07T05:21:00Z">
        <w:r>
          <w:tab/>
          <w:delText>(2)</w:delText>
        </w:r>
        <w:r>
          <w:tab/>
          <w:delText>Subsection (1) does not affect any liability a port authority might have for breach of contract.</w:delText>
        </w:r>
      </w:del>
    </w:p>
    <w:p>
      <w:pPr>
        <w:pStyle w:val="BlankClose"/>
        <w:rPr>
          <w:del w:id="1636" w:author="svcMRProcess" w:date="2018-09-07T05:21:00Z"/>
        </w:rPr>
      </w:pPr>
    </w:p>
    <w:p>
      <w:pPr>
        <w:pStyle w:val="nzHeading5"/>
        <w:rPr>
          <w:del w:id="1637" w:author="svcMRProcess" w:date="2018-09-07T05:21:00Z"/>
        </w:rPr>
      </w:pPr>
      <w:del w:id="1638" w:author="svcMRProcess" w:date="2018-09-07T05:21:00Z">
        <w:r>
          <w:rPr>
            <w:rStyle w:val="CharSectno"/>
          </w:rPr>
          <w:delText>27</w:delText>
        </w:r>
        <w:r>
          <w:delText>.</w:delText>
        </w:r>
        <w:r>
          <w:tab/>
          <w:delText>Section 133 amended</w:delText>
        </w:r>
      </w:del>
    </w:p>
    <w:p>
      <w:pPr>
        <w:pStyle w:val="nzSubsection"/>
        <w:rPr>
          <w:del w:id="1639" w:author="svcMRProcess" w:date="2018-09-07T05:21:00Z"/>
        </w:rPr>
      </w:pPr>
      <w:del w:id="1640" w:author="svcMRProcess" w:date="2018-09-07T05:21:00Z">
        <w:r>
          <w:tab/>
        </w:r>
        <w:r>
          <w:tab/>
          <w:delText>In section 133(1)(a) delete “84(5)” and insert:</w:delText>
        </w:r>
      </w:del>
    </w:p>
    <w:p>
      <w:pPr>
        <w:pStyle w:val="BlankOpen"/>
        <w:rPr>
          <w:del w:id="1641" w:author="svcMRProcess" w:date="2018-09-07T05:21:00Z"/>
        </w:rPr>
      </w:pPr>
    </w:p>
    <w:p>
      <w:pPr>
        <w:pStyle w:val="nzSubsection"/>
        <w:rPr>
          <w:del w:id="1642" w:author="svcMRProcess" w:date="2018-09-07T05:21:00Z"/>
        </w:rPr>
      </w:pPr>
      <w:del w:id="1643" w:author="svcMRProcess" w:date="2018-09-07T05:21:00Z">
        <w:r>
          <w:tab/>
        </w:r>
        <w:r>
          <w:tab/>
          <w:delText>84(9)</w:delText>
        </w:r>
      </w:del>
    </w:p>
    <w:p>
      <w:pPr>
        <w:pStyle w:val="BlankClose"/>
        <w:rPr>
          <w:del w:id="1644" w:author="svcMRProcess" w:date="2018-09-07T05:21:00Z"/>
        </w:rPr>
      </w:pPr>
    </w:p>
    <w:p>
      <w:pPr>
        <w:pStyle w:val="nzHeading5"/>
      </w:pPr>
      <w:r>
        <w:rPr>
          <w:rStyle w:val="CharSectno"/>
        </w:rPr>
        <w:t>28</w:t>
      </w:r>
      <w:r>
        <w:t>.</w:t>
      </w:r>
      <w:r>
        <w:tab/>
        <w:t>Section 138 replaced</w:t>
      </w:r>
    </w:p>
    <w:p>
      <w:pPr>
        <w:pStyle w:val="nzSubsection"/>
      </w:pPr>
      <w:r>
        <w:tab/>
        <w:t>(2)</w:t>
      </w:r>
      <w:r>
        <w:tab/>
        <w:t>In section 138 as inserted by subsection (1):</w:t>
      </w:r>
    </w:p>
    <w:p>
      <w:pPr>
        <w:pStyle w:val="nzIndenta"/>
      </w:pPr>
      <w:r>
        <w:tab/>
        <w:t>(a)</w:t>
      </w:r>
      <w:r>
        <w:tab/>
        <w:t>in paragraph (b) delete “clause 45.” and insert:</w:t>
      </w:r>
    </w:p>
    <w:p>
      <w:pPr>
        <w:pStyle w:val="BlankOpen"/>
      </w:pPr>
    </w:p>
    <w:p>
      <w:pPr>
        <w:pStyle w:val="nzIndenta"/>
      </w:pPr>
      <w:r>
        <w:tab/>
      </w:r>
      <w:r>
        <w:tab/>
        <w:t>clause 45; or</w:t>
      </w:r>
    </w:p>
    <w:p>
      <w:pPr>
        <w:pStyle w:val="BlankClose"/>
      </w:pPr>
    </w:p>
    <w:p>
      <w:pPr>
        <w:pStyle w:val="nzIndenta"/>
      </w:pPr>
      <w:r>
        <w:tab/>
        <w:t>(b)</w:t>
      </w:r>
      <w:r>
        <w:tab/>
        <w:t>after paragraph (b) insert:</w:t>
      </w:r>
    </w:p>
    <w:p>
      <w:pPr>
        <w:pStyle w:val="BlankOpen"/>
      </w:pPr>
    </w:p>
    <w:p>
      <w:pPr>
        <w:pStyle w:val="nzIndenta"/>
      </w:pPr>
      <w:r>
        <w:tab/>
        <w:t>(c)</w:t>
      </w:r>
      <w:r>
        <w:tab/>
        <w:t>Schedule 9 or regulations referred to in Schedule 9.</w:t>
      </w:r>
    </w:p>
    <w:p>
      <w:pPr>
        <w:pStyle w:val="BlankClose"/>
      </w:pPr>
    </w:p>
    <w:p>
      <w:pPr>
        <w:pStyle w:val="nzHeading5"/>
      </w:pPr>
      <w:r>
        <w:rPr>
          <w:rStyle w:val="CharSectno"/>
        </w:rPr>
        <w:t>31</w:t>
      </w:r>
      <w:r>
        <w:t>.</w:t>
      </w:r>
      <w:r>
        <w:tab/>
        <w:t>Schedule 1 amended</w:t>
      </w:r>
    </w:p>
    <w:p>
      <w:pPr>
        <w:pStyle w:val="nzSubsection"/>
      </w:pPr>
      <w:r>
        <w:tab/>
        <w:t>(1)</w:t>
      </w:r>
      <w:r>
        <w:tab/>
        <w:t>In Schedule 1:</w:t>
      </w:r>
    </w:p>
    <w:p>
      <w:pPr>
        <w:pStyle w:val="nzIndenta"/>
      </w:pPr>
      <w:r>
        <w:tab/>
        <w:t>(a)</w:t>
      </w:r>
      <w:r>
        <w:tab/>
        <w:t>in item 3 column 2 delete “</w:t>
      </w:r>
      <w:r>
        <w:rPr>
          <w:sz w:val="22"/>
          <w:szCs w:val="22"/>
        </w:rPr>
        <w:t>Bunbury Port Authority</w:t>
      </w:r>
      <w:r>
        <w:t>” and insert:</w:t>
      </w:r>
    </w:p>
    <w:p>
      <w:pPr>
        <w:pStyle w:val="BlankOpen"/>
      </w:pPr>
    </w:p>
    <w:p>
      <w:pPr>
        <w:pStyle w:val="nzIndenta"/>
      </w:pPr>
      <w:r>
        <w:rPr>
          <w:sz w:val="22"/>
          <w:szCs w:val="22"/>
        </w:rPr>
        <w:tab/>
      </w:r>
      <w:r>
        <w:rPr>
          <w:sz w:val="22"/>
          <w:szCs w:val="22"/>
        </w:rPr>
        <w:tab/>
        <w:t>Southern Ports Authority</w:t>
      </w:r>
    </w:p>
    <w:p>
      <w:pPr>
        <w:pStyle w:val="BlankClose"/>
      </w:pPr>
    </w:p>
    <w:p>
      <w:pPr>
        <w:pStyle w:val="nzIndenta"/>
      </w:pPr>
      <w:r>
        <w:tab/>
        <w:t>(b)</w:t>
      </w:r>
      <w:r>
        <w:tab/>
        <w:t>in item 3 column 3 above “</w:t>
      </w:r>
      <w:r>
        <w:rPr>
          <w:sz w:val="22"/>
          <w:szCs w:val="22"/>
        </w:rPr>
        <w:t>Port of Bunbury</w:t>
      </w:r>
      <w:r>
        <w:t>” insert:</w:t>
      </w:r>
    </w:p>
    <w:p>
      <w:pPr>
        <w:pStyle w:val="BlankOpen"/>
      </w:pPr>
    </w:p>
    <w:p>
      <w:pPr>
        <w:pStyle w:val="nzIndenta"/>
      </w:pPr>
      <w:r>
        <w:rPr>
          <w:sz w:val="22"/>
          <w:szCs w:val="22"/>
        </w:rPr>
        <w:tab/>
      </w:r>
      <w:r>
        <w:rPr>
          <w:sz w:val="22"/>
          <w:szCs w:val="22"/>
        </w:rPr>
        <w:tab/>
        <w:t>Port of Albany</w:t>
      </w:r>
    </w:p>
    <w:p>
      <w:pPr>
        <w:pStyle w:val="BlankClose"/>
      </w:pPr>
    </w:p>
    <w:p>
      <w:pPr>
        <w:pStyle w:val="nzIndenta"/>
      </w:pPr>
      <w:r>
        <w:tab/>
        <w:t>(c)</w:t>
      </w:r>
      <w:r>
        <w:tab/>
        <w:t>in item 3 column 3 below “</w:t>
      </w:r>
      <w:r>
        <w:rPr>
          <w:sz w:val="22"/>
          <w:szCs w:val="22"/>
        </w:rPr>
        <w:t>Port of Bunbury</w:t>
      </w:r>
      <w:r>
        <w:t>” insert:</w:t>
      </w:r>
    </w:p>
    <w:p>
      <w:pPr>
        <w:pStyle w:val="BlankOpen"/>
      </w:pPr>
    </w:p>
    <w:p>
      <w:pPr>
        <w:pStyle w:val="nzIndenta"/>
      </w:pPr>
      <w:r>
        <w:rPr>
          <w:sz w:val="22"/>
          <w:szCs w:val="22"/>
        </w:rPr>
        <w:tab/>
      </w:r>
      <w:r>
        <w:rPr>
          <w:sz w:val="22"/>
          <w:szCs w:val="22"/>
        </w:rPr>
        <w:tab/>
        <w:t>Port of Esperance</w:t>
      </w:r>
    </w:p>
    <w:p>
      <w:pPr>
        <w:pStyle w:val="BlankClose"/>
      </w:pPr>
    </w:p>
    <w:p>
      <w:pPr>
        <w:pStyle w:val="nzIndenta"/>
      </w:pPr>
      <w:r>
        <w:tab/>
        <w:t>(d)</w:t>
      </w:r>
      <w:r>
        <w:tab/>
        <w:t>delete items 2 and 4.</w:t>
      </w:r>
    </w:p>
    <w:p>
      <w:pPr>
        <w:pStyle w:val="nzSubsection"/>
      </w:pPr>
      <w:r>
        <w:tab/>
        <w:t>(2)</w:t>
      </w:r>
      <w:r>
        <w:tab/>
        <w:t>In Schedule 1 item 5 column 2 delete “</w:t>
      </w:r>
      <w:r>
        <w:rPr>
          <w:sz w:val="22"/>
          <w:szCs w:val="22"/>
        </w:rPr>
        <w:t>Geraldton Port Authority</w:t>
      </w:r>
      <w:r>
        <w:t>” and insert:</w:t>
      </w:r>
    </w:p>
    <w:p>
      <w:pPr>
        <w:pStyle w:val="BlankOpen"/>
      </w:pPr>
    </w:p>
    <w:p>
      <w:pPr>
        <w:pStyle w:val="nzSubsection"/>
      </w:pPr>
      <w:r>
        <w:rPr>
          <w:sz w:val="22"/>
          <w:szCs w:val="22"/>
        </w:rPr>
        <w:tab/>
      </w:r>
      <w:r>
        <w:rPr>
          <w:sz w:val="22"/>
          <w:szCs w:val="22"/>
        </w:rPr>
        <w:tab/>
        <w:t>Mid West Ports Authority</w:t>
      </w:r>
    </w:p>
    <w:p>
      <w:pPr>
        <w:pStyle w:val="BlankClose"/>
        <w:keepNext/>
      </w:pPr>
    </w:p>
    <w:p>
      <w:pPr>
        <w:pStyle w:val="nzSubsection"/>
      </w:pPr>
      <w:r>
        <w:tab/>
        <w:t>(3)</w:t>
      </w:r>
      <w:r>
        <w:tab/>
        <w:t>In Schedule 1:</w:t>
      </w:r>
    </w:p>
    <w:p>
      <w:pPr>
        <w:pStyle w:val="nzIndenta"/>
      </w:pPr>
      <w:r>
        <w:tab/>
        <w:t>(a)</w:t>
      </w:r>
      <w:r>
        <w:tab/>
        <w:t>delete item 6;</w:t>
      </w:r>
    </w:p>
    <w:p>
      <w:pPr>
        <w:pStyle w:val="nzIndenta"/>
      </w:pPr>
      <w:r>
        <w:tab/>
        <w:t>(b)</w:t>
      </w:r>
      <w:r>
        <w:tab/>
        <w:t>in item 7 column 2 delete “</w:t>
      </w:r>
      <w:r>
        <w:rPr>
          <w:sz w:val="22"/>
          <w:szCs w:val="22"/>
        </w:rPr>
        <w:t>Port Hedland Port Authority</w:t>
      </w:r>
      <w:r>
        <w:t>” and insert:</w:t>
      </w:r>
    </w:p>
    <w:p>
      <w:pPr>
        <w:pStyle w:val="BlankOpen"/>
      </w:pPr>
    </w:p>
    <w:p>
      <w:pPr>
        <w:pStyle w:val="nzIndenta"/>
      </w:pPr>
      <w:r>
        <w:rPr>
          <w:sz w:val="22"/>
          <w:szCs w:val="22"/>
        </w:rPr>
        <w:tab/>
      </w:r>
      <w:r>
        <w:rPr>
          <w:sz w:val="22"/>
          <w:szCs w:val="22"/>
        </w:rPr>
        <w:tab/>
        <w:t>Pilbara Ports Authority</w:t>
      </w:r>
    </w:p>
    <w:p>
      <w:pPr>
        <w:pStyle w:val="BlankClose"/>
      </w:pPr>
    </w:p>
    <w:p>
      <w:pPr>
        <w:pStyle w:val="nzIndenta"/>
      </w:pPr>
      <w:r>
        <w:tab/>
        <w:t>(c)</w:t>
      </w:r>
      <w:r>
        <w:tab/>
        <w:t>in item 7 column 3 above “</w:t>
      </w:r>
      <w:r>
        <w:rPr>
          <w:sz w:val="22"/>
          <w:szCs w:val="22"/>
        </w:rPr>
        <w:t>Port of Port Hedland</w:t>
      </w:r>
      <w:r>
        <w:t>” insert:</w:t>
      </w:r>
    </w:p>
    <w:p>
      <w:pPr>
        <w:pStyle w:val="BlankOpen"/>
      </w:pPr>
    </w:p>
    <w:p>
      <w:pPr>
        <w:pStyle w:val="nzIndenta"/>
      </w:pPr>
      <w:r>
        <w:rPr>
          <w:sz w:val="22"/>
          <w:szCs w:val="22"/>
        </w:rPr>
        <w:tab/>
      </w:r>
      <w:r>
        <w:rPr>
          <w:sz w:val="22"/>
          <w:szCs w:val="22"/>
        </w:rPr>
        <w:tab/>
        <w:t>Port of Ashburton</w:t>
      </w:r>
    </w:p>
    <w:p>
      <w:pPr>
        <w:pStyle w:val="nzIndenta"/>
        <w:rPr>
          <w:sz w:val="22"/>
          <w:szCs w:val="22"/>
        </w:rPr>
      </w:pPr>
      <w:r>
        <w:tab/>
      </w:r>
      <w:r>
        <w:tab/>
      </w:r>
      <w:r>
        <w:rPr>
          <w:sz w:val="22"/>
          <w:szCs w:val="22"/>
        </w:rPr>
        <w:t>Port of Dampier</w:t>
      </w:r>
    </w:p>
    <w:p>
      <w:pPr>
        <w:pStyle w:val="BlankClose"/>
      </w:pPr>
    </w:p>
    <w:p>
      <w:pPr>
        <w:pStyle w:val="nzSubsection"/>
      </w:pPr>
      <w:r>
        <w:tab/>
        <w:t>(4)</w:t>
      </w:r>
      <w:r>
        <w:tab/>
        <w:t>In Schedule 1 item 8 column 2 delete “</w:t>
      </w:r>
      <w:r>
        <w:rPr>
          <w:sz w:val="22"/>
          <w:szCs w:val="22"/>
        </w:rPr>
        <w:t>Broome Port Authority</w:t>
      </w:r>
      <w:r>
        <w:t>” and insert:</w:t>
      </w:r>
    </w:p>
    <w:p>
      <w:pPr>
        <w:pStyle w:val="BlankOpen"/>
      </w:pPr>
    </w:p>
    <w:p>
      <w:pPr>
        <w:pStyle w:val="nzSubsection"/>
        <w:rPr>
          <w:sz w:val="22"/>
          <w:szCs w:val="22"/>
        </w:rPr>
      </w:pPr>
      <w:r>
        <w:rPr>
          <w:sz w:val="22"/>
          <w:szCs w:val="22"/>
        </w:rPr>
        <w:tab/>
      </w:r>
      <w:r>
        <w:rPr>
          <w:sz w:val="22"/>
          <w:szCs w:val="22"/>
        </w:rPr>
        <w:tab/>
        <w:t>Kimberley Ports Authority</w:t>
      </w:r>
    </w:p>
    <w:p>
      <w:pPr>
        <w:pStyle w:val="BlankClose"/>
      </w:pPr>
    </w:p>
    <w:p>
      <w:pPr>
        <w:pStyle w:val="nzHeading5"/>
        <w:rPr>
          <w:del w:id="1645" w:author="svcMRProcess" w:date="2018-09-07T05:21:00Z"/>
        </w:rPr>
      </w:pPr>
      <w:del w:id="1646" w:author="svcMRProcess" w:date="2018-09-07T05:21:00Z">
        <w:r>
          <w:rPr>
            <w:rStyle w:val="CharSectno"/>
          </w:rPr>
          <w:delText>33</w:delText>
        </w:r>
        <w:r>
          <w:delText>.</w:delText>
        </w:r>
        <w:r>
          <w:tab/>
          <w:delText>Schedule 6 amended</w:delText>
        </w:r>
      </w:del>
    </w:p>
    <w:p>
      <w:pPr>
        <w:pStyle w:val="nzSubsection"/>
        <w:rPr>
          <w:del w:id="1647" w:author="svcMRProcess" w:date="2018-09-07T05:21:00Z"/>
        </w:rPr>
      </w:pPr>
      <w:del w:id="1648" w:author="svcMRProcess" w:date="2018-09-07T05:21:00Z">
        <w:r>
          <w:tab/>
          <w:delText>(1)</w:delText>
        </w:r>
        <w:r>
          <w:tab/>
          <w:delText>In Schedule 6 clause 1.2 delete the definitions of:</w:delText>
        </w:r>
      </w:del>
    </w:p>
    <w:p>
      <w:pPr>
        <w:pStyle w:val="DeleteListSub"/>
        <w:rPr>
          <w:del w:id="1649" w:author="svcMRProcess" w:date="2018-09-07T05:21:00Z"/>
          <w:b/>
          <w:i/>
          <w:sz w:val="22"/>
          <w:szCs w:val="22"/>
        </w:rPr>
      </w:pPr>
      <w:del w:id="1650" w:author="svcMRProcess" w:date="2018-09-07T05:21:00Z">
        <w:r>
          <w:rPr>
            <w:b/>
            <w:i/>
            <w:sz w:val="22"/>
            <w:szCs w:val="22"/>
          </w:rPr>
          <w:delText>Company appointee</w:delText>
        </w:r>
      </w:del>
    </w:p>
    <w:p>
      <w:pPr>
        <w:pStyle w:val="DeleteListSub"/>
        <w:rPr>
          <w:del w:id="1651" w:author="svcMRProcess" w:date="2018-09-07T05:21:00Z"/>
          <w:b/>
          <w:i/>
          <w:sz w:val="22"/>
          <w:szCs w:val="22"/>
        </w:rPr>
      </w:pPr>
      <w:del w:id="1652" w:author="svcMRProcess" w:date="2018-09-07T05:21:00Z">
        <w:r>
          <w:rPr>
            <w:b/>
            <w:i/>
            <w:sz w:val="22"/>
            <w:szCs w:val="22"/>
          </w:rPr>
          <w:delText>Joint Venturers appointee</w:delText>
        </w:r>
      </w:del>
    </w:p>
    <w:p>
      <w:pPr>
        <w:pStyle w:val="DeleteListSub"/>
        <w:rPr>
          <w:del w:id="1653" w:author="svcMRProcess" w:date="2018-09-07T05:21:00Z"/>
          <w:b/>
          <w:i/>
          <w:sz w:val="22"/>
          <w:szCs w:val="22"/>
        </w:rPr>
      </w:pPr>
      <w:del w:id="1654" w:author="svcMRProcess" w:date="2018-09-07T05:21:00Z">
        <w:r>
          <w:rPr>
            <w:b/>
            <w:i/>
            <w:sz w:val="22"/>
            <w:szCs w:val="22"/>
          </w:rPr>
          <w:delText>Ministerial appointee</w:delText>
        </w:r>
      </w:del>
    </w:p>
    <w:p>
      <w:pPr>
        <w:pStyle w:val="nzSubsection"/>
        <w:rPr>
          <w:del w:id="1655" w:author="svcMRProcess" w:date="2018-09-07T05:21:00Z"/>
        </w:rPr>
      </w:pPr>
      <w:del w:id="1656" w:author="svcMRProcess" w:date="2018-09-07T05:21:00Z">
        <w:r>
          <w:tab/>
          <w:delText>(2)</w:delText>
        </w:r>
        <w:r>
          <w:tab/>
          <w:delText>Delete Schedule 6 clauses 1.4 to 1.7.</w:delText>
        </w:r>
      </w:del>
    </w:p>
    <w:p>
      <w:pPr>
        <w:pStyle w:val="nzSubsection"/>
        <w:rPr>
          <w:del w:id="1657" w:author="svcMRProcess" w:date="2018-09-07T05:21:00Z"/>
        </w:rPr>
      </w:pPr>
      <w:del w:id="1658" w:author="svcMRProcess" w:date="2018-09-07T05:21:00Z">
        <w:r>
          <w:tab/>
          <w:delText>(3)</w:delText>
        </w:r>
        <w:r>
          <w:tab/>
          <w:delText>Delete Schedule 6 clauses 2.2 and 2.4 to 2.7.</w:delText>
        </w:r>
      </w:del>
    </w:p>
    <w:p>
      <w:pPr>
        <w:pStyle w:val="nzHeading5"/>
      </w:pPr>
      <w:r>
        <w:rPr>
          <w:rStyle w:val="CharSectno"/>
        </w:rPr>
        <w:t>34</w:t>
      </w:r>
      <w:r>
        <w:t>.</w:t>
      </w:r>
      <w:r>
        <w:tab/>
        <w:t>Schedule 6 further amended</w:t>
      </w:r>
    </w:p>
    <w:p>
      <w:pPr>
        <w:pStyle w:val="nzSubsection"/>
      </w:pPr>
      <w:r>
        <w:tab/>
        <w:t>(1)</w:t>
      </w:r>
      <w:r>
        <w:tab/>
        <w:t>In the heading to Schedule 6 delete “</w:t>
      </w:r>
      <w:r>
        <w:rPr>
          <w:b/>
          <w:sz w:val="28"/>
          <w:szCs w:val="28"/>
        </w:rPr>
        <w:t>particular port authorities</w:t>
      </w:r>
      <w:r>
        <w:t>” and insert:</w:t>
      </w:r>
    </w:p>
    <w:p>
      <w:pPr>
        <w:pStyle w:val="BlankOpen"/>
      </w:pPr>
    </w:p>
    <w:p>
      <w:pPr>
        <w:pStyle w:val="nzSubsection"/>
      </w:pPr>
      <w:r>
        <w:tab/>
      </w:r>
      <w:r>
        <w:tab/>
      </w:r>
      <w:r>
        <w:rPr>
          <w:b/>
          <w:sz w:val="28"/>
          <w:szCs w:val="28"/>
        </w:rPr>
        <w:t>Pilbara Ports Authority</w:t>
      </w:r>
    </w:p>
    <w:p>
      <w:pPr>
        <w:pStyle w:val="BlankClose"/>
      </w:pPr>
    </w:p>
    <w:p>
      <w:pPr>
        <w:pStyle w:val="nzSubsection"/>
      </w:pPr>
      <w:r>
        <w:tab/>
        <w:t>(2)</w:t>
      </w:r>
      <w:r>
        <w:tab/>
        <w:t>In the heading to Schedule 6 Division 1 delete “</w:t>
      </w:r>
      <w:r>
        <w:rPr>
          <w:b/>
        </w:rPr>
        <w:t>Dampier Port Authority</w:t>
      </w:r>
      <w:r>
        <w:t>” and insert:</w:t>
      </w:r>
    </w:p>
    <w:p>
      <w:pPr>
        <w:pStyle w:val="BlankOpen"/>
      </w:pPr>
    </w:p>
    <w:p>
      <w:pPr>
        <w:pStyle w:val="nzSubsection"/>
      </w:pPr>
      <w:r>
        <w:tab/>
      </w:r>
      <w:r>
        <w:tab/>
      </w:r>
      <w:r>
        <w:rPr>
          <w:b/>
        </w:rPr>
        <w:t>Port of Dampier</w:t>
      </w:r>
    </w:p>
    <w:p>
      <w:pPr>
        <w:pStyle w:val="BlankClose"/>
        <w:keepNext/>
      </w:pPr>
    </w:p>
    <w:p>
      <w:pPr>
        <w:pStyle w:val="nzSubsection"/>
      </w:pPr>
      <w:r>
        <w:tab/>
        <w:t>(3)</w:t>
      </w:r>
      <w:r>
        <w:tab/>
        <w:t>In Schedule 6 clause 1.1 delete “</w:t>
      </w:r>
      <w:r>
        <w:rPr>
          <w:snapToGrid w:val="0"/>
          <w:sz w:val="22"/>
          <w:szCs w:val="22"/>
        </w:rPr>
        <w:t>Dampier Port</w:t>
      </w:r>
      <w:r>
        <w:t>” and insert:</w:t>
      </w:r>
    </w:p>
    <w:p>
      <w:pPr>
        <w:pStyle w:val="BlankOpen"/>
        <w:widowControl w:val="0"/>
      </w:pPr>
    </w:p>
    <w:p>
      <w:pPr>
        <w:pStyle w:val="nzSubsection"/>
      </w:pPr>
      <w:r>
        <w:tab/>
      </w:r>
      <w:r>
        <w:tab/>
      </w:r>
      <w:r>
        <w:rPr>
          <w:sz w:val="22"/>
          <w:szCs w:val="22"/>
        </w:rPr>
        <w:t>Pilbara Ports</w:t>
      </w:r>
    </w:p>
    <w:p>
      <w:pPr>
        <w:pStyle w:val="BlankClose"/>
        <w:keepNext/>
        <w:widowControl w:val="0"/>
      </w:pPr>
    </w:p>
    <w:p>
      <w:pPr>
        <w:pStyle w:val="nzSubsection"/>
      </w:pPr>
      <w:r>
        <w:tab/>
        <w:t>(4)</w:t>
      </w:r>
      <w:r>
        <w:tab/>
        <w:t>In the heading to Schedule 6 Division 2 delete “</w:t>
      </w:r>
      <w:r>
        <w:rPr>
          <w:b/>
        </w:rPr>
        <w:t>Port Hedland Port Authority</w:t>
      </w:r>
      <w:r>
        <w:t>” and insert:</w:t>
      </w:r>
    </w:p>
    <w:p>
      <w:pPr>
        <w:pStyle w:val="BlankOpen"/>
      </w:pPr>
    </w:p>
    <w:p>
      <w:pPr>
        <w:pStyle w:val="nzSubsection"/>
      </w:pPr>
      <w:r>
        <w:tab/>
      </w:r>
      <w:r>
        <w:tab/>
      </w:r>
      <w:r>
        <w:rPr>
          <w:b/>
        </w:rPr>
        <w:t>Port of Port Hedland</w:t>
      </w:r>
    </w:p>
    <w:p>
      <w:pPr>
        <w:pStyle w:val="BlankClose"/>
      </w:pPr>
    </w:p>
    <w:p>
      <w:pPr>
        <w:pStyle w:val="nzSubsection"/>
      </w:pPr>
      <w:r>
        <w:tab/>
        <w:t>(5)</w:t>
      </w:r>
      <w:r>
        <w:tab/>
        <w:t>In Schedule 6 clause 2.1 delete “</w:t>
      </w:r>
      <w:r>
        <w:rPr>
          <w:snapToGrid w:val="0"/>
          <w:sz w:val="22"/>
          <w:szCs w:val="22"/>
        </w:rPr>
        <w:t>Port Hedland Port</w:t>
      </w:r>
      <w:r>
        <w:t>” and insert:</w:t>
      </w:r>
    </w:p>
    <w:p>
      <w:pPr>
        <w:pStyle w:val="BlankOpen"/>
      </w:pPr>
    </w:p>
    <w:p>
      <w:pPr>
        <w:pStyle w:val="nzSubsection"/>
      </w:pPr>
      <w:r>
        <w:tab/>
      </w:r>
      <w:r>
        <w:tab/>
      </w:r>
      <w:r>
        <w:rPr>
          <w:sz w:val="22"/>
          <w:szCs w:val="22"/>
        </w:rPr>
        <w:t>Pilbara Ports</w:t>
      </w:r>
    </w:p>
    <w:p>
      <w:pPr>
        <w:pStyle w:val="BlankClose"/>
      </w:pPr>
    </w:p>
    <w:p>
      <w:pPr>
        <w:pStyle w:val="nzHeading5"/>
      </w:pPr>
      <w:r>
        <w:rPr>
          <w:rStyle w:val="CharSectno"/>
        </w:rPr>
        <w:t>36</w:t>
      </w:r>
      <w:r>
        <w:t>.</w:t>
      </w:r>
      <w:r>
        <w:tab/>
        <w:t>Schedule 9 inserted</w:t>
      </w:r>
    </w:p>
    <w:p>
      <w:pPr>
        <w:pStyle w:val="nzSubsection"/>
      </w:pPr>
      <w:r>
        <w:tab/>
      </w:r>
      <w:r>
        <w:tab/>
        <w:t>After the last Schedule insert:</w:t>
      </w:r>
    </w:p>
    <w:p>
      <w:pPr>
        <w:pStyle w:val="BlankOpen"/>
      </w:pPr>
    </w:p>
    <w:p>
      <w:pPr>
        <w:pStyle w:val="nzHeading2"/>
      </w:pPr>
      <w:r>
        <w:t xml:space="preserve">Schedule 9 — Placing additional ports under a port authority’s control and management </w:t>
      </w:r>
    </w:p>
    <w:p>
      <w:pPr>
        <w:pStyle w:val="nzMiscellaneousBody"/>
        <w:jc w:val="right"/>
      </w:pPr>
      <w:r>
        <w:t>[s. 4(2A)(b)]</w:t>
      </w:r>
    </w:p>
    <w:p>
      <w:pPr>
        <w:pStyle w:val="nzHeading5"/>
      </w:pPr>
      <w:r>
        <w:t>1.</w:t>
      </w:r>
      <w:r>
        <w:tab/>
        <w:t>Terms used</w:t>
      </w:r>
    </w:p>
    <w:p>
      <w:pPr>
        <w:pStyle w:val="nzSubsection"/>
      </w:pPr>
      <w:r>
        <w:tab/>
      </w:r>
      <w:r>
        <w:tab/>
        <w:t xml:space="preserve">In this Schedule — </w:t>
      </w:r>
    </w:p>
    <w:p>
      <w:pPr>
        <w:pStyle w:val="nzDefstart"/>
      </w:pPr>
      <w:r>
        <w:tab/>
      </w:r>
      <w:r>
        <w:rPr>
          <w:rStyle w:val="CharDefText"/>
        </w:rPr>
        <w:t>Government agreement</w:t>
      </w:r>
      <w:r>
        <w:t xml:space="preserve"> has the meaning given in Schedule 8 clause 1;</w:t>
      </w:r>
    </w:p>
    <w:p>
      <w:pPr>
        <w:pStyle w:val="nzDefstart"/>
      </w:pPr>
      <w:r>
        <w:tab/>
      </w:r>
      <w:r>
        <w:rPr>
          <w:rStyle w:val="CharDefText"/>
        </w:rPr>
        <w:t xml:space="preserve">port </w:t>
      </w:r>
      <w:r>
        <w:t>means a port other than a port named in regulations referred to in the</w:t>
      </w:r>
      <w:r>
        <w:rPr>
          <w:i/>
        </w:rPr>
        <w:t xml:space="preserve"> Shipping and Pilotage Act 1967 </w:t>
      </w:r>
      <w:r>
        <w:t>section 10(1a);</w:t>
      </w:r>
    </w:p>
    <w:p>
      <w:pPr>
        <w:pStyle w:val="nzDefstart"/>
      </w:pPr>
      <w:r>
        <w:rPr>
          <w:rStyle w:val="CharDefText"/>
          <w:b w:val="0"/>
        </w:rPr>
        <w:tab/>
      </w:r>
      <w:r>
        <w:rPr>
          <w:rStyle w:val="CharDefText"/>
        </w:rPr>
        <w:t>port addition</w:t>
      </w:r>
      <w:r>
        <w:rPr>
          <w:b/>
          <w:i/>
        </w:rPr>
        <w:t xml:space="preserve"> </w:t>
      </w:r>
      <w:r>
        <w:t>means the placing of a port under the control and management of a port authority by regulations referred to in clause 2(1), whether or not those regulations have come into operation.</w:t>
      </w:r>
    </w:p>
    <w:p>
      <w:pPr>
        <w:pStyle w:val="nzHeading5"/>
      </w:pPr>
      <w:r>
        <w:t>2.</w:t>
      </w:r>
      <w:r>
        <w:tab/>
        <w:t>Regulations may place a port under the control and management of a port authority</w:t>
      </w:r>
    </w:p>
    <w:p>
      <w:pPr>
        <w:pStyle w:val="nzSubsection"/>
      </w:pPr>
      <w:r>
        <w:tab/>
        <w:t>(1)</w:t>
      </w:r>
      <w:r>
        <w:tab/>
        <w:t>Regulations may place a port specified in the regulations under the control and management of a port authority specified in the regulations.</w:t>
      </w:r>
    </w:p>
    <w:p>
      <w:pPr>
        <w:pStyle w:val="nzSubsection"/>
      </w:pPr>
      <w:r>
        <w:tab/>
        <w:t>(2)</w:t>
      </w:r>
      <w:r>
        <w:tab/>
        <w:t>Regulations may prescribe any matter that may be necessary or expedient to provide for, implement or facilitate a port addition.</w:t>
      </w:r>
    </w:p>
    <w:p>
      <w:pPr>
        <w:pStyle w:val="nzHeading5"/>
      </w:pPr>
      <w:r>
        <w:t>3.</w:t>
      </w:r>
      <w:r>
        <w:tab/>
        <w:t>Port authority to implement or facilitate port addition</w:t>
      </w:r>
    </w:p>
    <w:p>
      <w:pPr>
        <w:pStyle w:val="nzSubsection"/>
      </w:pPr>
      <w:r>
        <w:tab/>
        <w:t>(1)</w:t>
      </w:r>
      <w:r>
        <w:tab/>
        <w: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t>
      </w:r>
    </w:p>
    <w:p>
      <w:pPr>
        <w:pStyle w:val="nzSubsection"/>
      </w:pPr>
      <w:r>
        <w:tab/>
        <w:t>(2)</w:t>
      </w:r>
      <w:r>
        <w:tab/>
        <w:t>The function conferred on a port authority by subclause (1) is in addition to any other function that it has.</w:t>
      </w:r>
    </w:p>
    <w:p>
      <w:pPr>
        <w:pStyle w:val="nzHeading5"/>
      </w:pPr>
      <w:r>
        <w:t>4.</w:t>
      </w:r>
      <w:r>
        <w:tab/>
        <w:t>Government agreements not affected</w:t>
      </w:r>
    </w:p>
    <w:p>
      <w:pPr>
        <w:pStyle w:val="nzSubsection"/>
      </w:pPr>
      <w:r>
        <w:tab/>
        <w:t>(1)</w:t>
      </w:r>
      <w:r>
        <w:tab/>
        <w:t>The provisions of this Schedule or regulations referred to in this Schedule do not prejudice or in any way affect any right or obligation of a party to a Government agreement.</w:t>
      </w:r>
    </w:p>
    <w:p>
      <w:pPr>
        <w:pStyle w:val="nzSubsection"/>
      </w:pPr>
      <w:r>
        <w:tab/>
        <w:t>(2)</w:t>
      </w:r>
      <w:r>
        <w:tab/>
        <w:t>This clause does not limit or otherwise affect the operation of Schedule 6 clauses 1.3 and 2.3.</w:t>
      </w:r>
    </w:p>
    <w:p>
      <w:pPr>
        <w:pStyle w:val="BlankClose"/>
      </w:pPr>
    </w:p>
    <w:p>
      <w:pPr>
        <w:pStyle w:val="BlankOpen"/>
        <w:rPr>
          <w:snapToGrid w:val="0"/>
        </w:rPr>
      </w:pPr>
    </w:p>
    <w:p>
      <w:pPr>
        <w:rPr>
          <w:sz w:val="20"/>
        </w:rPr>
      </w:pPr>
    </w:p>
    <w:p>
      <w:pPr>
        <w:rPr>
          <w:sz w:val="20"/>
        </w:rPr>
        <w:sectPr>
          <w:headerReference w:type="even" r:id="rId37"/>
          <w:headerReference w:type="default" r:id="rId38"/>
          <w:pgSz w:w="11906" w:h="16838" w:code="9"/>
          <w:pgMar w:top="2376" w:right="2404" w:bottom="3544" w:left="2404" w:header="720" w:footer="3380" w:gutter="0"/>
          <w:cols w:space="720"/>
          <w:noEndnote/>
          <w:docGrid w:linePitch="326"/>
        </w:sectPr>
      </w:pPr>
    </w:p>
    <w:p>
      <w:pPr>
        <w:rPr>
          <w:sz w:val="20"/>
        </w:rPr>
      </w:pPr>
    </w:p>
    <w:sectPr>
      <w:headerReference w:type="even" r:id="rId39"/>
      <w:headerReference w:type="default" r:id="rId4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 authorities and ports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 authorities and ports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to be included in articles of association of subsidiaries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tcPr>
        <w:p>
          <w:pPr>
            <w:pStyle w:val="HeaderTextLeft"/>
          </w:pPr>
          <w:fldSimple w:instr=" styleref CharSDivText ">
            <w:r>
              <w:rPr>
                <w:noProof/>
              </w:rPr>
              <w:t>Restrictions on indemnities and exemptions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to be included in articles of association of subsidiaries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Restrictions on indemnities and exemptions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Purposes for which, or matters about which, regulations may be made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Purposes for which, or matters about which, regulations may be made</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c>
        <w:tcPr>
          <w:tcW w:w="7160" w:type="dxa"/>
          <w:gridSpan w:val="2"/>
        </w:tcPr>
        <w:p>
          <w:pPr>
            <w:pStyle w:val="HeaderNumberRight"/>
          </w:pPr>
        </w:p>
      </w:tc>
    </w:tr>
  </w:tbl>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Right"/>
            <w:ind w:right="17"/>
            <w:jc w:val="left"/>
          </w:pPr>
          <w:r>
            <w:t>Defined Terms</w:t>
          </w:r>
        </w:p>
      </w:tc>
    </w:tr>
  </w:tbl>
  <w:p>
    <w:pPr>
      <w:pStyle w:val="HeaderText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gridCol w:w="152"/>
    </w:tblGrid>
    <w:tr>
      <w:trPr>
        <w:gridAfter w:val="1"/>
        <w:wAfter w:w="152" w:type="dxa"/>
        <w:cantSplit/>
      </w:trPr>
      <w:tc>
        <w:tcPr>
          <w:tcW w:w="7160" w:type="dxa"/>
          <w:gridSpan w:val="2"/>
        </w:tcPr>
        <w:p>
          <w:pPr>
            <w:pStyle w:val="HeaderActNameRight"/>
          </w:pPr>
          <w:fldSimple w:instr=" Styleref &quot;Name of Act/Reg&quot; ">
            <w:r>
              <w:rPr>
                <w:noProof/>
              </w:rPr>
              <w:t>Port Authorities Act 1999</w:t>
            </w:r>
          </w:fldSimple>
        </w:p>
      </w:tc>
    </w:tr>
    <w:tr>
      <w:trPr>
        <w:gridAfter w:val="1"/>
        <w:wAfter w:w="152" w:type="dxa"/>
      </w:trPr>
      <w:tc>
        <w:tcPr>
          <w:tcW w:w="5760" w:type="dxa"/>
        </w:tcPr>
        <w:p>
          <w:pPr>
            <w:pStyle w:val="HeaderTextRight"/>
          </w:pPr>
        </w:p>
      </w:tc>
      <w:tc>
        <w:tcPr>
          <w:tcW w:w="1400" w:type="dxa"/>
        </w:tcPr>
        <w:p>
          <w:pPr>
            <w:pStyle w:val="HeaderNumberRight"/>
          </w:pPr>
        </w:p>
      </w:tc>
    </w:tr>
    <w:tr>
      <w:trPr>
        <w:gridAfter w:val="1"/>
        <w:wAfter w:w="152" w:type="dxa"/>
      </w:trPr>
      <w:tc>
        <w:tcPr>
          <w:tcW w:w="5760" w:type="dxa"/>
        </w:tcPr>
        <w:p>
          <w:pPr>
            <w:pStyle w:val="HeaderTextRight"/>
          </w:pPr>
        </w:p>
      </w:tc>
      <w:tc>
        <w:tcPr>
          <w:tcW w:w="1400" w:type="dxa"/>
        </w:tcPr>
        <w:p>
          <w:pPr>
            <w:pStyle w:val="HeaderNumberRight"/>
          </w:pPr>
        </w:p>
      </w:tc>
    </w:tr>
    <w:tr>
      <w:trPr>
        <w:cantSplit/>
      </w:trPr>
      <w:tc>
        <w:tcPr>
          <w:tcW w:w="7312" w:type="dxa"/>
          <w:gridSpan w:val="3"/>
        </w:tcPr>
        <w:p>
          <w:pPr>
            <w:pStyle w:val="HeaderSectionRight"/>
          </w:pPr>
          <w:r>
            <w:t>Defined Terms</w:t>
          </w:r>
        </w:p>
      </w:tc>
    </w:tr>
  </w:tbl>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AFC3E8A"/>
    <w:multiLevelType w:val="multilevel"/>
    <w:tmpl w:val="05B09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8"/>
  </w:num>
  <w:num w:numId="14">
    <w:abstractNumId w:val="18"/>
  </w:num>
  <w:num w:numId="15">
    <w:abstractNumId w:val="14"/>
  </w:num>
  <w:num w:numId="16">
    <w:abstractNumId w:val="15"/>
  </w:num>
  <w:num w:numId="17">
    <w:abstractNumId w:val="19"/>
  </w:num>
  <w:num w:numId="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6094810"/>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 w:name="WAFER_20140522104547" w:val="RemoveTocBookmarks,RemoveUnusedBookmarks,RemoveLanguageTags,UsedStyles,ResetPageSize"/>
    <w:docVar w:name="WAFER_20140522104547_GUID" w:val="d63a9e04-c65e-4db4-88bc-287a0cab3ca2"/>
    <w:docVar w:name="WAFER_20140529155200" w:val="RemoveTocBookmarks,RunningHeaders"/>
    <w:docVar w:name="WAFER_20140529155200_GUID" w:val="719f0b41-0a6c-4198-ad95-83afb068ebfe"/>
    <w:docVar w:name="WAFER_20140603173813" w:val="RemoveTocBookmarks,RunningHeaders"/>
    <w:docVar w:name="WAFER_20140603173813_GUID" w:val="896ecf3a-ac73-4285-a925-6a04a36bbdc4"/>
    <w:docVar w:name="WAFER_20140606094752" w:val="RemoveTocBookmarks,RemoveUnusedBookmarks,RemoveLanguageTags,UsedStyles,ResetPageSize,UpdateArrangement"/>
    <w:docVar w:name="WAFER_20140606094752_GUID" w:val="416ac43c-e106-44d2-8761-6f47bf533fa5"/>
    <w:docVar w:name="WAFER_20140606094810" w:val="RemoveTocBookmarks,RunningHeaders"/>
    <w:docVar w:name="WAFER_20140606094810_GUID" w:val="f3ae3d72-7dfc-4fed-88d3-15f4db374d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46267</Words>
  <Characters>217922</Characters>
  <Application>Microsoft Office Word</Application>
  <DocSecurity>0</DocSecurity>
  <Lines>5587</Lines>
  <Paragraphs>3476</Paragraphs>
  <ScaleCrop>false</ScaleCrop>
  <HeadingPairs>
    <vt:vector size="2" baseType="variant">
      <vt:variant>
        <vt:lpstr>Title</vt:lpstr>
      </vt:variant>
      <vt:variant>
        <vt:i4>1</vt:i4>
      </vt:variant>
    </vt:vector>
  </HeadingPairs>
  <TitlesOfParts>
    <vt:vector size="1" baseType="lpstr">
      <vt:lpstr>Port Authorities Act 1999</vt:lpstr>
    </vt:vector>
  </TitlesOfParts>
  <Manager/>
  <Company/>
  <LinksUpToDate>false</LinksUpToDate>
  <CharactersWithSpaces>260713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03-b0-03 - 03-c0-02</dc:title>
  <dc:subject/>
  <dc:creator/>
  <cp:keywords/>
  <dc:description/>
  <cp:lastModifiedBy>svcMRProcess</cp:lastModifiedBy>
  <cp:revision>2</cp:revision>
  <cp:lastPrinted>2012-09-11T05:57:00Z</cp:lastPrinted>
  <dcterms:created xsi:type="dcterms:W3CDTF">2018-09-06T21:21:00Z</dcterms:created>
  <dcterms:modified xsi:type="dcterms:W3CDTF">2018-09-06T21:21:00Z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20140531</vt:lpwstr>
  </property>
  <property fmtid="{D5CDD505-2E9C-101B-9397-08002B2CF9AE}" pid="4" name="DocumentType">
    <vt:lpwstr>Act</vt:lpwstr>
  </property>
  <property fmtid="{D5CDD505-2E9C-101B-9397-08002B2CF9AE}" pid="5" name="OwlsUID">
    <vt:i4>1946</vt:i4>
  </property>
  <property fmtid="{D5CDD505-2E9C-101B-9397-08002B2CF9AE}" pid="6" name="ReprintNo">
    <vt:lpwstr>3</vt:lpwstr>
  </property>
  <property fmtid="{D5CDD505-2E9C-101B-9397-08002B2CF9AE}" pid="7" name="ReprintedAsAt">
    <vt:filetime>2012-09-06T16:00:00Z</vt:filetime>
  </property>
  <property fmtid="{D5CDD505-2E9C-101B-9397-08002B2CF9AE}" pid="8" name="FromSuffix">
    <vt:lpwstr>03-b0-03</vt:lpwstr>
  </property>
  <property fmtid="{D5CDD505-2E9C-101B-9397-08002B2CF9AE}" pid="9" name="FromAsAtDate">
    <vt:lpwstr>21 May 2014</vt:lpwstr>
  </property>
  <property fmtid="{D5CDD505-2E9C-101B-9397-08002B2CF9AE}" pid="10" name="ToSuffix">
    <vt:lpwstr>03-c0-02</vt:lpwstr>
  </property>
  <property fmtid="{D5CDD505-2E9C-101B-9397-08002B2CF9AE}" pid="11" name="ToAsAtDate">
    <vt:lpwstr>31 May 2014</vt:lpwstr>
  </property>
</Properties>
</file>