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2014</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25 Jun 2014</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spacing w:before="720"/>
      </w:pPr>
      <w:r>
        <w:t>Lotteries Commission (Saturday Lotto) Rules 1996</w:t>
      </w:r>
    </w:p>
    <w:p>
      <w:pPr>
        <w:pStyle w:val="Heading2"/>
        <w:pageBreakBefore w:val="0"/>
        <w:spacing w:before="120"/>
      </w:pPr>
      <w:bookmarkStart w:id="0" w:name="_Toc391299389"/>
      <w:bookmarkStart w:id="1" w:name="_Toc391299489"/>
      <w:bookmarkStart w:id="2" w:name="_Toc38706457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rPr>
          <w:snapToGrid w:val="0"/>
        </w:rPr>
      </w:pPr>
      <w:bookmarkStart w:id="4" w:name="_Toc391299490"/>
      <w:bookmarkStart w:id="5" w:name="_Toc387064580"/>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6" w:name="_Toc391299491"/>
      <w:bookmarkStart w:id="7" w:name="_Toc387064581"/>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8" w:name="_Toc391299492"/>
      <w:bookmarkStart w:id="9" w:name="_Toc387064582"/>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New South Wales</w:t>
        </w:r>
      </w:smartTag>
      <w:r>
        <w:t xml:space="preserve"> and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spacing w:before="120"/>
        <w:ind w:left="890" w:hanging="890"/>
      </w:pPr>
      <w:r>
        <w:tab/>
        <w:t>[Rule 3 amended in Gazette 5 Dec 1997 p. 7131; 9 Mar 2001 p. 1325; 28 Mar 2002 p. 1765; 10 Sep 2002 p. 4597; 6 Jun 2008 p. 2253-4.]</w:t>
      </w:r>
    </w:p>
    <w:p>
      <w:pPr>
        <w:pStyle w:val="Heading2"/>
      </w:pPr>
      <w:bookmarkStart w:id="10" w:name="_Toc391299393"/>
      <w:bookmarkStart w:id="11" w:name="_Toc391299493"/>
      <w:bookmarkStart w:id="12" w:name="_Toc387064583"/>
      <w:r>
        <w:rPr>
          <w:rStyle w:val="CharPartNo"/>
        </w:rPr>
        <w:t>Part 2</w:t>
      </w:r>
      <w:r>
        <w:rPr>
          <w:rStyle w:val="CharDivNo"/>
        </w:rPr>
        <w:t> </w:t>
      </w:r>
      <w:r>
        <w:t>—</w:t>
      </w:r>
      <w:r>
        <w:rPr>
          <w:rStyle w:val="CharDivText"/>
        </w:rPr>
        <w:t> </w:t>
      </w:r>
      <w:r>
        <w:rPr>
          <w:rStyle w:val="CharPartText"/>
        </w:rPr>
        <w:t>Requirements for entry</w:t>
      </w:r>
      <w:bookmarkEnd w:id="10"/>
      <w:bookmarkEnd w:id="11"/>
      <w:bookmarkEnd w:id="12"/>
    </w:p>
    <w:p>
      <w:pPr>
        <w:pStyle w:val="Heading5"/>
        <w:rPr>
          <w:snapToGrid w:val="0"/>
        </w:rPr>
      </w:pPr>
      <w:bookmarkStart w:id="13" w:name="_Toc391299494"/>
      <w:bookmarkStart w:id="14" w:name="_Toc387064584"/>
      <w:r>
        <w:rPr>
          <w:rStyle w:val="CharSectno"/>
        </w:rPr>
        <w:t>4</w:t>
      </w:r>
      <w:r>
        <w:rPr>
          <w:snapToGrid w:val="0"/>
        </w:rPr>
        <w:t>.</w:t>
      </w:r>
      <w:r>
        <w:rPr>
          <w:snapToGrid w:val="0"/>
        </w:rPr>
        <w:tab/>
        <w:t>Playslips, information on</w:t>
      </w:r>
      <w:bookmarkEnd w:id="13"/>
      <w:bookmarkEnd w:id="14"/>
    </w:p>
    <w:p>
      <w:pPr>
        <w:pStyle w:val="Subsection"/>
        <w:spacing w:before="140"/>
        <w:rPr>
          <w:snapToGrid w:val="0"/>
        </w:rPr>
      </w:pPr>
      <w:r>
        <w:rPr>
          <w:snapToGrid w:val="0"/>
        </w:rPr>
        <w:tab/>
      </w:r>
      <w:r>
        <w:rPr>
          <w:snapToGrid w:val="0"/>
        </w:rPr>
        <w:tab/>
        <w:t>The Commission must ensure that a playslip for Saturday lotto displays —</w:t>
      </w:r>
    </w:p>
    <w:p>
      <w:pPr>
        <w:pStyle w:val="Indenta"/>
        <w:spacing w:before="60"/>
        <w:rPr>
          <w:snapToGrid w:val="0"/>
        </w:rPr>
      </w:pPr>
      <w:r>
        <w:rPr>
          <w:snapToGrid w:val="0"/>
        </w:rPr>
        <w:tab/>
        <w:t>(a)</w:t>
      </w:r>
      <w:r>
        <w:rPr>
          <w:snapToGrid w:val="0"/>
        </w:rPr>
        <w:tab/>
        <w:t>such details to facilitate entry; and</w:t>
      </w:r>
    </w:p>
    <w:p>
      <w:pPr>
        <w:pStyle w:val="Indenta"/>
        <w:spacing w:before="60"/>
        <w:rPr>
          <w:snapToGrid w:val="0"/>
        </w:rPr>
      </w:pPr>
      <w:r>
        <w:rPr>
          <w:snapToGrid w:val="0"/>
        </w:rPr>
        <w:tab/>
        <w:t>(b)</w:t>
      </w:r>
      <w:r>
        <w:rPr>
          <w:snapToGrid w:val="0"/>
        </w:rPr>
        <w:tab/>
        <w:t>such instructions to subscribers,</w:t>
      </w:r>
    </w:p>
    <w:p>
      <w:pPr>
        <w:pStyle w:val="Subsection"/>
        <w:spacing w:before="120"/>
        <w:rPr>
          <w:snapToGrid w:val="0"/>
        </w:rPr>
      </w:pPr>
      <w:r>
        <w:rPr>
          <w:snapToGrid w:val="0"/>
        </w:rPr>
        <w:tab/>
      </w:r>
      <w:r>
        <w:rPr>
          <w:snapToGrid w:val="0"/>
        </w:rPr>
        <w:tab/>
        <w:t>as the Commission considers necessary.</w:t>
      </w:r>
    </w:p>
    <w:p>
      <w:pPr>
        <w:pStyle w:val="Ednotesection"/>
        <w:spacing w:before="100"/>
        <w:ind w:left="890" w:hanging="890"/>
      </w:pPr>
      <w:r>
        <w:tab/>
        <w:t>[Rule 4 amended in Gazette 6 Jun 2008 p. 2254.]</w:t>
      </w:r>
    </w:p>
    <w:p>
      <w:pPr>
        <w:pStyle w:val="Heading5"/>
        <w:rPr>
          <w:snapToGrid w:val="0"/>
        </w:rPr>
      </w:pPr>
      <w:bookmarkStart w:id="15" w:name="_Toc391299495"/>
      <w:bookmarkStart w:id="16" w:name="_Toc387064585"/>
      <w:r>
        <w:rPr>
          <w:rStyle w:val="CharSectno"/>
        </w:rPr>
        <w:t>5</w:t>
      </w:r>
      <w:r>
        <w:rPr>
          <w:snapToGrid w:val="0"/>
        </w:rPr>
        <w:t>.</w:t>
      </w:r>
      <w:r>
        <w:rPr>
          <w:snapToGrid w:val="0"/>
        </w:rPr>
        <w:tab/>
        <w:t>Methods of entry</w:t>
      </w:r>
      <w:bookmarkEnd w:id="15"/>
      <w:bookmarkEnd w:id="16"/>
    </w:p>
    <w:p>
      <w:pPr>
        <w:pStyle w:val="Subsection"/>
        <w:spacing w:before="140"/>
        <w:rPr>
          <w:snapToGrid w:val="0"/>
        </w:rPr>
      </w:pPr>
      <w:r>
        <w:rPr>
          <w:snapToGrid w:val="0"/>
        </w:rPr>
        <w:tab/>
        <w:t>(1)</w:t>
      </w:r>
      <w:r>
        <w:rPr>
          <w:snapToGrid w:val="0"/>
        </w:rPr>
        <w:tab/>
        <w:t xml:space="preserve">A person may enter Saturday </w:t>
      </w:r>
      <w:r>
        <w:t>lotto —</w:t>
      </w:r>
    </w:p>
    <w:p>
      <w:pPr>
        <w:pStyle w:val="Indenta"/>
        <w:spacing w:before="60"/>
        <w:rPr>
          <w:snapToGrid w:val="0"/>
        </w:rPr>
      </w:pPr>
      <w:r>
        <w:rPr>
          <w:snapToGrid w:val="0"/>
        </w:rPr>
        <w:tab/>
        <w:t>(a)</w:t>
      </w:r>
      <w:r>
        <w:rPr>
          <w:snapToGrid w:val="0"/>
        </w:rPr>
        <w:tab/>
        <w:t xml:space="preserve">by filling out </w:t>
      </w:r>
      <w:r>
        <w:t>a playslip</w:t>
      </w:r>
      <w:r>
        <w:rPr>
          <w:snapToGrid w:val="0"/>
        </w:rPr>
        <w:t xml:space="preserve"> in accordance with rule 8; and —</w:t>
      </w:r>
    </w:p>
    <w:p>
      <w:pPr>
        <w:pStyle w:val="Indenti"/>
        <w:spacing w:before="60"/>
        <w:rPr>
          <w:snapToGrid w:val="0"/>
        </w:rPr>
      </w:pPr>
      <w:r>
        <w:rPr>
          <w:snapToGrid w:val="0"/>
        </w:rPr>
        <w:tab/>
        <w:t>(i)</w:t>
      </w:r>
      <w:r>
        <w:rPr>
          <w:snapToGrid w:val="0"/>
        </w:rPr>
        <w:tab/>
        <w:t>giving it to an agent; or</w:t>
      </w:r>
    </w:p>
    <w:p>
      <w:pPr>
        <w:pStyle w:val="Indenti"/>
        <w:spacing w:before="60"/>
        <w:rPr>
          <w:snapToGrid w:val="0"/>
        </w:rPr>
      </w:pPr>
      <w:r>
        <w:rPr>
          <w:snapToGrid w:val="0"/>
        </w:rPr>
        <w:tab/>
        <w:t>(ii)</w:t>
      </w:r>
      <w:r>
        <w:rPr>
          <w:snapToGrid w:val="0"/>
        </w:rPr>
        <w:tab/>
        <w:t>posting it to the Commission;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by making an oral request for entry in accordance with</w:t>
      </w:r>
      <w:r>
        <w:t xml:space="preserve"> rule 9; or</w:t>
      </w:r>
    </w:p>
    <w:p>
      <w:pPr>
        <w:pStyle w:val="Indenta"/>
        <w:spacing w:before="60"/>
      </w:pPr>
      <w:r>
        <w:tab/>
        <w:t>(c)</w:t>
      </w:r>
      <w:r>
        <w:tab/>
        <w:t>by using the “ticket repeat” method set out in rule 8A; or</w:t>
      </w:r>
    </w:p>
    <w:p>
      <w:pPr>
        <w:pStyle w:val="Indenta"/>
        <w:spacing w:before="60"/>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paying the appropriate amount</w:t>
      </w:r>
      <w:r>
        <w:t xml:space="preserve"> as calculated using the formula set out in Schedule 1.</w:t>
      </w:r>
    </w:p>
    <w:p>
      <w:pPr>
        <w:pStyle w:val="Subsection"/>
        <w:spacing w:before="140"/>
      </w:pPr>
      <w:r>
        <w:tab/>
        <w:t>(1A)</w:t>
      </w:r>
      <w:r>
        <w:tab/>
        <w:t>A person may enter Saturday lotto by redeeming a promotional coupon and, in that case, may be required to pay less than the amount payable under subrule (1).</w:t>
      </w:r>
    </w:p>
    <w:p>
      <w:pPr>
        <w:pStyle w:val="Subsection"/>
        <w:spacing w:before="140"/>
      </w:pPr>
      <w:r>
        <w:tab/>
        <w:t>(1B)</w:t>
      </w:r>
      <w:r>
        <w:tab/>
        <w:t>A person may enter Saturday lotto as a part of a syndicate in accordance with Part 2A.</w:t>
      </w:r>
    </w:p>
    <w:p>
      <w:pPr>
        <w:pStyle w:val="Subsection"/>
        <w:spacing w:before="14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r>
        <w:tab/>
        <w:t>[Rule 5 amended in Gazette 6 Jun 2008 p. 2255-6; 19 Nov 2010 p. 5730.]</w:t>
      </w:r>
    </w:p>
    <w:p>
      <w:pPr>
        <w:pStyle w:val="Heading5"/>
        <w:rPr>
          <w:snapToGrid w:val="0"/>
        </w:rPr>
      </w:pPr>
      <w:bookmarkStart w:id="17" w:name="_Toc391299496"/>
      <w:bookmarkStart w:id="18" w:name="_Toc387064586"/>
      <w:r>
        <w:rPr>
          <w:rStyle w:val="CharSectno"/>
        </w:rPr>
        <w:t>6</w:t>
      </w:r>
      <w:r>
        <w:rPr>
          <w:snapToGrid w:val="0"/>
        </w:rPr>
        <w:t>.</w:t>
      </w:r>
      <w:r>
        <w:rPr>
          <w:snapToGrid w:val="0"/>
        </w:rPr>
        <w:tab/>
        <w:t>No limit to number of entries</w:t>
      </w:r>
      <w:bookmarkEnd w:id="17"/>
      <w:bookmarkEnd w:id="18"/>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19" w:name="_Toc391299497"/>
      <w:bookmarkStart w:id="20" w:name="_Toc387064587"/>
      <w:r>
        <w:rPr>
          <w:rStyle w:val="CharSectno"/>
        </w:rPr>
        <w:t>7</w:t>
      </w:r>
      <w:r>
        <w:rPr>
          <w:snapToGrid w:val="0"/>
        </w:rPr>
        <w:t>.</w:t>
      </w:r>
      <w:r>
        <w:rPr>
          <w:snapToGrid w:val="0"/>
        </w:rPr>
        <w:tab/>
        <w:t>Super 66 entry may be made with lotto entry</w:t>
      </w:r>
      <w:bookmarkEnd w:id="19"/>
      <w:bookmarkEnd w:id="20"/>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21" w:name="_Toc391299498"/>
      <w:bookmarkStart w:id="22" w:name="_Toc387064588"/>
      <w:r>
        <w:rPr>
          <w:rStyle w:val="CharSectno"/>
        </w:rPr>
        <w:t>8</w:t>
      </w:r>
      <w:r>
        <w:rPr>
          <w:snapToGrid w:val="0"/>
        </w:rPr>
        <w:t>.</w:t>
      </w:r>
      <w:r>
        <w:rPr>
          <w:snapToGrid w:val="0"/>
        </w:rPr>
        <w:tab/>
        <w:t>Playslips, how to be filled out</w:t>
      </w:r>
      <w:bookmarkEnd w:id="21"/>
      <w:bookmarkEnd w:id="22"/>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23" w:name="_Toc391299499"/>
      <w:bookmarkStart w:id="24" w:name="_Toc387064589"/>
      <w:r>
        <w:rPr>
          <w:rStyle w:val="CharSectno"/>
        </w:rPr>
        <w:t>8A</w:t>
      </w:r>
      <w:r>
        <w:t>.</w:t>
      </w:r>
      <w:r>
        <w:tab/>
        <w:t>Ticket repeat method of entry</w:t>
      </w:r>
      <w:bookmarkEnd w:id="23"/>
      <w:bookmarkEnd w:id="24"/>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1635.]</w:t>
      </w:r>
    </w:p>
    <w:p>
      <w:pPr>
        <w:pStyle w:val="Heading5"/>
        <w:rPr>
          <w:snapToGrid w:val="0"/>
        </w:rPr>
      </w:pPr>
      <w:bookmarkStart w:id="25" w:name="_Toc391299500"/>
      <w:bookmarkStart w:id="26" w:name="_Toc387064590"/>
      <w:r>
        <w:rPr>
          <w:rStyle w:val="CharSectno"/>
        </w:rPr>
        <w:t>8B</w:t>
      </w:r>
      <w:r>
        <w:rPr>
          <w:snapToGrid w:val="0"/>
        </w:rPr>
        <w:t>.</w:t>
      </w:r>
      <w:r>
        <w:rPr>
          <w:snapToGrid w:val="0"/>
        </w:rPr>
        <w:tab/>
        <w:t>Favourite numbers, use of</w:t>
      </w:r>
      <w:bookmarkEnd w:id="25"/>
      <w:bookmarkEnd w:id="26"/>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27" w:name="_Toc391299501"/>
      <w:bookmarkStart w:id="28" w:name="_Toc387064591"/>
      <w:r>
        <w:rPr>
          <w:rStyle w:val="CharSectno"/>
        </w:rPr>
        <w:t>9</w:t>
      </w:r>
      <w:r>
        <w:rPr>
          <w:snapToGrid w:val="0"/>
        </w:rPr>
        <w:t>.</w:t>
      </w:r>
      <w:r>
        <w:rPr>
          <w:snapToGrid w:val="0"/>
        </w:rPr>
        <w:tab/>
        <w:t>Oral request for entry</w:t>
      </w:r>
      <w:bookmarkEnd w:id="27"/>
      <w:bookmarkEnd w:id="28"/>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 and</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keepNext/>
        <w:rPr>
          <w:snapToGrid w:val="0"/>
        </w:rPr>
      </w:pPr>
      <w:r>
        <w:rPr>
          <w:snapToGrid w:val="0"/>
        </w:rPr>
        <w:tab/>
        <w:t>(ii)</w:t>
      </w:r>
      <w:r>
        <w:rPr>
          <w:snapToGrid w:val="0"/>
        </w:rPr>
        <w:tab/>
        <w:t>between 4 and 20 selected numbers (other than 6 numbers) (ie. a systems entry);</w:t>
      </w:r>
    </w:p>
    <w:p>
      <w:pPr>
        <w:pStyle w:val="Indenta"/>
        <w:keepNext/>
      </w:pPr>
      <w:r>
        <w:tab/>
      </w:r>
      <w:r>
        <w:tab/>
      </w:r>
      <w:r>
        <w:rPr>
          <w:snapToGrid w:val="0"/>
        </w:rPr>
        <w:t>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29" w:name="_Toc391299502"/>
      <w:bookmarkStart w:id="30" w:name="_Toc387064592"/>
      <w:r>
        <w:rPr>
          <w:rStyle w:val="CharSectno"/>
        </w:rPr>
        <w:t>10</w:t>
      </w:r>
      <w:r>
        <w:rPr>
          <w:snapToGrid w:val="0"/>
        </w:rPr>
        <w:t>.</w:t>
      </w:r>
      <w:r>
        <w:rPr>
          <w:snapToGrid w:val="0"/>
        </w:rPr>
        <w:tab/>
        <w:t>Postal entry</w:t>
      </w:r>
      <w:bookmarkEnd w:id="29"/>
      <w:bookmarkEnd w:id="30"/>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31" w:name="_Toc391299503"/>
      <w:bookmarkStart w:id="32" w:name="_Toc387064593"/>
      <w:r>
        <w:rPr>
          <w:rStyle w:val="CharSectno"/>
        </w:rPr>
        <w:t>11</w:t>
      </w:r>
      <w:r>
        <w:rPr>
          <w:snapToGrid w:val="0"/>
        </w:rPr>
        <w:t>.</w:t>
      </w:r>
      <w:r>
        <w:rPr>
          <w:snapToGrid w:val="0"/>
        </w:rPr>
        <w:tab/>
        <w:t>Receipted tickets to be issued</w:t>
      </w:r>
      <w:bookmarkEnd w:id="31"/>
      <w:bookmarkEnd w:id="32"/>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[Rule 11 amended in Gazette 6 Jun 2008 p. 2259-60.]</w:t>
      </w:r>
    </w:p>
    <w:p>
      <w:pPr>
        <w:pStyle w:val="Heading5"/>
        <w:rPr>
          <w:snapToGrid w:val="0"/>
        </w:rPr>
      </w:pPr>
      <w:bookmarkStart w:id="33" w:name="_Toc391299504"/>
      <w:bookmarkStart w:id="34" w:name="_Toc387064594"/>
      <w:r>
        <w:rPr>
          <w:rStyle w:val="CharSectno"/>
        </w:rPr>
        <w:t>12</w:t>
      </w:r>
      <w:r>
        <w:rPr>
          <w:snapToGrid w:val="0"/>
        </w:rPr>
        <w:t>.</w:t>
      </w:r>
      <w:r>
        <w:rPr>
          <w:snapToGrid w:val="0"/>
        </w:rPr>
        <w:tab/>
        <w:t>Receipted tickets, surrender of</w:t>
      </w:r>
      <w:bookmarkEnd w:id="33"/>
      <w:bookmarkEnd w:id="34"/>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35" w:name="_Toc391299505"/>
      <w:bookmarkStart w:id="36" w:name="_Toc387064595"/>
      <w:r>
        <w:rPr>
          <w:rStyle w:val="CharSectno"/>
        </w:rPr>
        <w:t>13</w:t>
      </w:r>
      <w:r>
        <w:rPr>
          <w:snapToGrid w:val="0"/>
        </w:rPr>
        <w:t>.</w:t>
      </w:r>
      <w:r>
        <w:rPr>
          <w:snapToGrid w:val="0"/>
        </w:rPr>
        <w:tab/>
        <w:t>Receipted tickets, agents not required to check accuracy of</w:t>
      </w:r>
      <w:bookmarkEnd w:id="35"/>
      <w:bookmarkEnd w:id="36"/>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r>
        <w:tab/>
        <w:t>[Rule 13 amended in Gazette 6 Jun 2008 p. 2260.]</w:t>
      </w:r>
    </w:p>
    <w:p>
      <w:pPr>
        <w:pStyle w:val="Heading5"/>
        <w:rPr>
          <w:snapToGrid w:val="0"/>
        </w:rPr>
      </w:pPr>
      <w:bookmarkStart w:id="37" w:name="_Toc391299506"/>
      <w:bookmarkStart w:id="38" w:name="_Toc387064596"/>
      <w:r>
        <w:rPr>
          <w:rStyle w:val="CharSectno"/>
        </w:rPr>
        <w:t>14</w:t>
      </w:r>
      <w:r>
        <w:rPr>
          <w:snapToGrid w:val="0"/>
        </w:rPr>
        <w:t>.</w:t>
      </w:r>
      <w:r>
        <w:rPr>
          <w:snapToGrid w:val="0"/>
        </w:rPr>
        <w:tab/>
        <w:t>Receipted tickets, effect of</w:t>
      </w:r>
      <w:bookmarkEnd w:id="37"/>
      <w:bookmarkEnd w:id="38"/>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 option is not allowed for some of the draws on the receipted ticket; or</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39" w:name="_Toc391299407"/>
      <w:bookmarkStart w:id="40" w:name="_Toc391299507"/>
      <w:bookmarkStart w:id="41" w:name="_Toc387064597"/>
      <w:r>
        <w:rPr>
          <w:rStyle w:val="CharPartNo"/>
        </w:rPr>
        <w:t>Part 2A</w:t>
      </w:r>
      <w:r>
        <w:rPr>
          <w:b w:val="0"/>
        </w:rPr>
        <w:t> </w:t>
      </w:r>
      <w:r>
        <w:t>—</w:t>
      </w:r>
      <w:r>
        <w:rPr>
          <w:b w:val="0"/>
        </w:rPr>
        <w:t> </w:t>
      </w:r>
      <w:r>
        <w:rPr>
          <w:rStyle w:val="CharPartText"/>
        </w:rPr>
        <w:t>Syndicate entries</w:t>
      </w:r>
      <w:bookmarkEnd w:id="39"/>
      <w:bookmarkEnd w:id="40"/>
      <w:bookmarkEnd w:id="41"/>
    </w:p>
    <w:p>
      <w:pPr>
        <w:pStyle w:val="Footnoteheading"/>
      </w:pPr>
      <w:r>
        <w:tab/>
        <w:t>[Heading inserted in Gazette 6 Jun 2008 p. 2261.]</w:t>
      </w:r>
    </w:p>
    <w:p>
      <w:pPr>
        <w:pStyle w:val="Heading5"/>
      </w:pPr>
      <w:bookmarkStart w:id="42" w:name="_Toc391299508"/>
      <w:bookmarkStart w:id="43" w:name="_Toc387064598"/>
      <w:r>
        <w:rPr>
          <w:rStyle w:val="CharSectno"/>
        </w:rPr>
        <w:t>14A</w:t>
      </w:r>
      <w:r>
        <w:t>.</w:t>
      </w:r>
      <w:r>
        <w:tab/>
        <w:t>Informal syndicate entries; application of this Part</w:t>
      </w:r>
      <w:bookmarkEnd w:id="42"/>
      <w:bookmarkEnd w:id="43"/>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44" w:name="_Toc391299509"/>
      <w:bookmarkStart w:id="45" w:name="_Toc387064599"/>
      <w:r>
        <w:rPr>
          <w:rStyle w:val="CharSectno"/>
        </w:rPr>
        <w:t>14B</w:t>
      </w:r>
      <w:r>
        <w:t>.</w:t>
      </w:r>
      <w:r>
        <w:tab/>
        <w:t>Creating a syndicate</w:t>
      </w:r>
      <w:bookmarkEnd w:id="44"/>
      <w:bookmarkEnd w:id="4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46" w:name="_Toc391299510"/>
      <w:bookmarkStart w:id="47" w:name="_Toc387064600"/>
      <w:r>
        <w:rPr>
          <w:rStyle w:val="CharSectno"/>
        </w:rPr>
        <w:t>14C</w:t>
      </w:r>
      <w:r>
        <w:t>.</w:t>
      </w:r>
      <w:r>
        <w:tab/>
        <w:t>Syndicate share numbers and cost parameters</w:t>
      </w:r>
      <w:bookmarkEnd w:id="46"/>
      <w:bookmarkEnd w:id="47"/>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48" w:name="_Toc391299511"/>
      <w:bookmarkStart w:id="49" w:name="_Toc387064601"/>
      <w:r>
        <w:rPr>
          <w:rStyle w:val="CharSectno"/>
        </w:rPr>
        <w:t>14D</w:t>
      </w:r>
      <w:r>
        <w:t>.</w:t>
      </w:r>
      <w:r>
        <w:tab/>
        <w:t>Agent’s component of syndicate share</w:t>
      </w:r>
      <w:bookmarkEnd w:id="48"/>
      <w:bookmarkEnd w:id="49"/>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50" w:name="_Toc391299512"/>
      <w:bookmarkStart w:id="51" w:name="_Toc387064602"/>
      <w:r>
        <w:rPr>
          <w:rStyle w:val="CharSectno"/>
        </w:rPr>
        <w:t>14E</w:t>
      </w:r>
      <w:r>
        <w:t>.</w:t>
      </w:r>
      <w:r>
        <w:tab/>
        <w:t>Syndicate participation parameters</w:t>
      </w:r>
      <w:bookmarkEnd w:id="50"/>
      <w:bookmarkEnd w:id="5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52" w:name="_Toc391299513"/>
      <w:bookmarkStart w:id="53" w:name="_Toc387064603"/>
      <w:r>
        <w:rPr>
          <w:rStyle w:val="CharSectno"/>
        </w:rPr>
        <w:t>14F</w:t>
      </w:r>
      <w:r>
        <w:t>.</w:t>
      </w:r>
      <w:r>
        <w:tab/>
        <w:t>Types of syndicate entries</w:t>
      </w:r>
      <w:bookmarkEnd w:id="52"/>
      <w:bookmarkEnd w:id="53"/>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54" w:name="_Toc391299514"/>
      <w:bookmarkStart w:id="55" w:name="_Toc387064604"/>
      <w:r>
        <w:rPr>
          <w:rStyle w:val="CharSectno"/>
        </w:rPr>
        <w:t>14G</w:t>
      </w:r>
      <w:r>
        <w:t>.</w:t>
      </w:r>
      <w:r>
        <w:tab/>
        <w:t>Syndicate share receipted ticket, registering and cancelling</w:t>
      </w:r>
      <w:bookmarkEnd w:id="54"/>
      <w:bookmarkEnd w:id="55"/>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56" w:name="_Toc391299515"/>
      <w:bookmarkStart w:id="57" w:name="_Toc387064605"/>
      <w:r>
        <w:rPr>
          <w:rStyle w:val="CharSectno"/>
        </w:rPr>
        <w:t>14H</w:t>
      </w:r>
      <w:r>
        <w:t>.</w:t>
      </w:r>
      <w:r>
        <w:tab/>
        <w:t>Unsold shares in some syndicates; syndicate master ticket</w:t>
      </w:r>
      <w:bookmarkEnd w:id="56"/>
      <w:bookmarkEnd w:id="5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58" w:name="_Toc391299416"/>
      <w:bookmarkStart w:id="59" w:name="_Toc391299516"/>
      <w:bookmarkStart w:id="60" w:name="_Toc387064606"/>
      <w:r>
        <w:rPr>
          <w:rStyle w:val="CharPartNo"/>
        </w:rPr>
        <w:t>Part 3</w:t>
      </w:r>
      <w:r>
        <w:rPr>
          <w:rStyle w:val="CharDivNo"/>
        </w:rPr>
        <w:t> </w:t>
      </w:r>
      <w:r>
        <w:t>—</w:t>
      </w:r>
      <w:r>
        <w:rPr>
          <w:rStyle w:val="CharDivText"/>
        </w:rPr>
        <w:t> </w:t>
      </w:r>
      <w:r>
        <w:rPr>
          <w:rStyle w:val="CharPartText"/>
        </w:rPr>
        <w:t>General duties of Commission</w:t>
      </w:r>
      <w:bookmarkEnd w:id="58"/>
      <w:bookmarkEnd w:id="59"/>
      <w:bookmarkEnd w:id="60"/>
    </w:p>
    <w:p>
      <w:pPr>
        <w:pStyle w:val="Heading5"/>
        <w:rPr>
          <w:snapToGrid w:val="0"/>
        </w:rPr>
      </w:pPr>
      <w:bookmarkStart w:id="61" w:name="_Toc391299517"/>
      <w:bookmarkStart w:id="62" w:name="_Toc387064607"/>
      <w:r>
        <w:rPr>
          <w:rStyle w:val="CharSectno"/>
        </w:rPr>
        <w:t>15</w:t>
      </w:r>
      <w:r>
        <w:rPr>
          <w:snapToGrid w:val="0"/>
        </w:rPr>
        <w:t>.</w:t>
      </w:r>
      <w:r>
        <w:rPr>
          <w:snapToGrid w:val="0"/>
        </w:rPr>
        <w:tab/>
        <w:t>Each draw to be numbered</w:t>
      </w:r>
      <w:bookmarkEnd w:id="61"/>
      <w:bookmarkEnd w:id="62"/>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63" w:name="_Toc391299518"/>
      <w:bookmarkStart w:id="64" w:name="_Toc387064608"/>
      <w:r>
        <w:rPr>
          <w:rStyle w:val="CharSectno"/>
        </w:rPr>
        <w:t>16</w:t>
      </w:r>
      <w:r>
        <w:t>.</w:t>
      </w:r>
      <w:r>
        <w:tab/>
        <w:t>Saturday lotto to be supervised</w:t>
      </w:r>
      <w:bookmarkEnd w:id="63"/>
      <w:bookmarkEnd w:id="64"/>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65" w:name="_Toc391299519"/>
      <w:bookmarkStart w:id="66" w:name="_Toc387064609"/>
      <w:r>
        <w:rPr>
          <w:rStyle w:val="CharSectno"/>
        </w:rPr>
        <w:t>17</w:t>
      </w:r>
      <w:r>
        <w:rPr>
          <w:snapToGrid w:val="0"/>
        </w:rPr>
        <w:t>.</w:t>
      </w:r>
      <w:r>
        <w:rPr>
          <w:snapToGrid w:val="0"/>
        </w:rPr>
        <w:tab/>
        <w:t>Results etc. to be published</w:t>
      </w:r>
      <w:bookmarkEnd w:id="65"/>
      <w:bookmarkEnd w:id="66"/>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 and</w:t>
      </w:r>
    </w:p>
    <w:p>
      <w:pPr>
        <w:pStyle w:val="Indenta"/>
        <w:rPr>
          <w:snapToGrid w:val="0"/>
        </w:rPr>
      </w:pPr>
      <w:r>
        <w:rPr>
          <w:snapToGrid w:val="0"/>
        </w:rPr>
        <w:tab/>
        <w:t>(b)</w:t>
      </w:r>
      <w:r>
        <w:rPr>
          <w:snapToGrid w:val="0"/>
        </w:rPr>
        <w:tab/>
        <w:t>the 6 winning numbers and the 2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to a winning game in each division; and</w:t>
      </w:r>
    </w:p>
    <w:p>
      <w:pPr>
        <w:pStyle w:val="Indenta"/>
        <w:rPr>
          <w:snapToGrid w:val="0"/>
        </w:rPr>
      </w:pPr>
      <w:r>
        <w:rPr>
          <w:snapToGrid w:val="0"/>
        </w:rPr>
        <w:tab/>
        <w:t>(e)</w:t>
      </w:r>
      <w:r>
        <w:rPr>
          <w:snapToGrid w:val="0"/>
        </w:rPr>
        <w:tab/>
        <w:t>the validation period and the date after which division 1 prizes will be paid; and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67" w:name="_Toc391299520"/>
      <w:bookmarkStart w:id="68" w:name="_Toc387064610"/>
      <w:r>
        <w:rPr>
          <w:rStyle w:val="CharSectno"/>
        </w:rPr>
        <w:t>18</w:t>
      </w:r>
      <w:r>
        <w:rPr>
          <w:snapToGrid w:val="0"/>
        </w:rPr>
        <w:t>.</w:t>
      </w:r>
      <w:r>
        <w:rPr>
          <w:snapToGrid w:val="0"/>
        </w:rPr>
        <w:tab/>
        <w:t>Australian Lotto Bloc prize pool and prize reserve fund</w:t>
      </w:r>
      <w:bookmarkEnd w:id="67"/>
      <w:bookmarkEnd w:id="68"/>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69" w:name="_Toc391299421"/>
      <w:bookmarkStart w:id="70" w:name="_Toc391299521"/>
      <w:bookmarkStart w:id="71" w:name="_Toc387064611"/>
      <w:r>
        <w:rPr>
          <w:rStyle w:val="CharPartNo"/>
        </w:rPr>
        <w:t>Part 4</w:t>
      </w:r>
      <w:r>
        <w:rPr>
          <w:rStyle w:val="CharDivNo"/>
        </w:rPr>
        <w:t> </w:t>
      </w:r>
      <w:r>
        <w:t>—</w:t>
      </w:r>
      <w:r>
        <w:rPr>
          <w:rStyle w:val="CharDivText"/>
        </w:rPr>
        <w:t> </w:t>
      </w:r>
      <w:r>
        <w:rPr>
          <w:rStyle w:val="CharPartText"/>
        </w:rPr>
        <w:t>Saturday lotto draw</w:t>
      </w:r>
      <w:bookmarkEnd w:id="69"/>
      <w:bookmarkEnd w:id="70"/>
      <w:bookmarkEnd w:id="71"/>
    </w:p>
    <w:p>
      <w:pPr>
        <w:pStyle w:val="Heading5"/>
        <w:spacing w:before="180"/>
        <w:rPr>
          <w:snapToGrid w:val="0"/>
        </w:rPr>
      </w:pPr>
      <w:bookmarkStart w:id="72" w:name="_Toc391299522"/>
      <w:bookmarkStart w:id="73" w:name="_Toc387064612"/>
      <w:r>
        <w:rPr>
          <w:rStyle w:val="CharSectno"/>
        </w:rPr>
        <w:t>19</w:t>
      </w:r>
      <w:r>
        <w:rPr>
          <w:snapToGrid w:val="0"/>
        </w:rPr>
        <w:t>.</w:t>
      </w:r>
      <w:r>
        <w:rPr>
          <w:snapToGrid w:val="0"/>
        </w:rPr>
        <w:tab/>
        <w:t>Draw, method of</w:t>
      </w:r>
      <w:bookmarkEnd w:id="72"/>
      <w:bookmarkEnd w:id="73"/>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74" w:name="_Toc391299523"/>
      <w:bookmarkStart w:id="75" w:name="_Toc387064613"/>
      <w:r>
        <w:rPr>
          <w:snapToGrid w:val="0"/>
        </w:rPr>
        <w:t>20.</w:t>
      </w:r>
      <w:r>
        <w:rPr>
          <w:snapToGrid w:val="0"/>
        </w:rPr>
        <w:tab/>
        <w:t>Criteria for winning</w:t>
      </w:r>
      <w:bookmarkEnd w:id="74"/>
      <w:bookmarkEnd w:id="75"/>
    </w:p>
    <w:p>
      <w:pPr>
        <w:pStyle w:val="Subsection"/>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p>
    <w:p>
      <w:pPr>
        <w:pStyle w:val="Indenta"/>
        <w:rPr>
          <w:snapToGrid w:val="0"/>
        </w:rPr>
      </w:pPr>
      <w:r>
        <w:tab/>
        <w:t>(f)</w:t>
      </w:r>
      <w:r>
        <w:tab/>
        <w:t>in relation to draw 3081 on 29 January 2011 and all subsequent draws — division 6, if one or 2 winning numbers and 2 supplementary numbers,</w:t>
      </w:r>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 21 Dec 2010 p. 6763.]</w:t>
      </w:r>
    </w:p>
    <w:p>
      <w:pPr>
        <w:pStyle w:val="Heading5"/>
        <w:rPr>
          <w:snapToGrid w:val="0"/>
        </w:rPr>
      </w:pPr>
      <w:bookmarkStart w:id="76" w:name="_Toc391299524"/>
      <w:bookmarkStart w:id="77" w:name="_Toc387064614"/>
      <w:r>
        <w:rPr>
          <w:snapToGrid w:val="0"/>
        </w:rPr>
        <w:t>21.</w:t>
      </w:r>
      <w:r>
        <w:rPr>
          <w:snapToGrid w:val="0"/>
        </w:rPr>
        <w:tab/>
        <w:t>Which divisions can be won by a receipted ticket</w:t>
      </w:r>
      <w:bookmarkEnd w:id="76"/>
      <w:bookmarkEnd w:id="77"/>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78" w:name="_Toc391299525"/>
      <w:bookmarkStart w:id="79" w:name="_Toc387064615"/>
      <w:r>
        <w:rPr>
          <w:rStyle w:val="CharSectno"/>
        </w:rPr>
        <w:t>22</w:t>
      </w:r>
      <w:r>
        <w:rPr>
          <w:snapToGrid w:val="0"/>
        </w:rPr>
        <w:t>.</w:t>
      </w:r>
      <w:r>
        <w:rPr>
          <w:snapToGrid w:val="0"/>
        </w:rPr>
        <w:tab/>
        <w:t>Prize pool, distribution of</w:t>
      </w:r>
      <w:bookmarkEnd w:id="78"/>
      <w:bookmarkEnd w:id="79"/>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80" w:name="_Toc391299526"/>
      <w:bookmarkStart w:id="81" w:name="_Toc387064616"/>
      <w:r>
        <w:rPr>
          <w:rStyle w:val="CharSectno"/>
        </w:rPr>
        <w:t>23</w:t>
      </w:r>
      <w:r>
        <w:rPr>
          <w:snapToGrid w:val="0"/>
        </w:rPr>
        <w:t>.</w:t>
      </w:r>
      <w:r>
        <w:rPr>
          <w:snapToGrid w:val="0"/>
        </w:rPr>
        <w:tab/>
        <w:t>Division 1 prize not won, application of prize pool in case of</w:t>
      </w:r>
      <w:bookmarkEnd w:id="80"/>
      <w:bookmarkEnd w:id="81"/>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6 Jun 2008 p. 2265-6.]</w:t>
      </w:r>
    </w:p>
    <w:p>
      <w:pPr>
        <w:pStyle w:val="Heading5"/>
        <w:rPr>
          <w:snapToGrid w:val="0"/>
        </w:rPr>
      </w:pPr>
      <w:bookmarkStart w:id="82" w:name="_Toc391299527"/>
      <w:bookmarkStart w:id="83" w:name="_Toc387064617"/>
      <w:r>
        <w:rPr>
          <w:rStyle w:val="CharSectno"/>
        </w:rPr>
        <w:t>24</w:t>
      </w:r>
      <w:r>
        <w:rPr>
          <w:snapToGrid w:val="0"/>
        </w:rPr>
        <w:t>.</w:t>
      </w:r>
      <w:r>
        <w:rPr>
          <w:snapToGrid w:val="0"/>
        </w:rPr>
        <w:tab/>
        <w:t>Division 2 to 5 prize not won, application of prize pool in case of</w:t>
      </w:r>
      <w:bookmarkEnd w:id="82"/>
      <w:bookmarkEnd w:id="83"/>
    </w:p>
    <w:p>
      <w:pPr>
        <w:pStyle w:val="Subsection"/>
        <w:rPr>
          <w:snapToGrid w:val="0"/>
        </w:rPr>
      </w:pPr>
      <w:r>
        <w:rPr>
          <w:snapToGrid w:val="0"/>
        </w:rPr>
        <w:tab/>
      </w:r>
      <w:r>
        <w:rPr>
          <w:snapToGrid w:val="0"/>
        </w:rPr>
        <w:tab/>
        <w:t xml:space="preserve">If no one wins a prize in division 2, 3 or 4 </w:t>
      </w:r>
      <w:r>
        <w:t xml:space="preserve">(or, in relation to draw 3081 on 29 January 2011 and all subsequent draws, division 5) </w:t>
      </w:r>
      <w:r>
        <w:rPr>
          <w:snapToGrid w:val="0"/>
        </w:rPr>
        <w:t>in a particular Saturday lotto draw, then the prize pool for that division is to be added to the prize pool for the next lower division in which there is at least one winner in that Saturday lotto draw.</w:t>
      </w:r>
    </w:p>
    <w:p>
      <w:pPr>
        <w:pStyle w:val="Footnotesection"/>
      </w:pPr>
      <w:r>
        <w:tab/>
        <w:t>[Rule 24 amended in Gazette 21 Dec 2010 p. 6763.]</w:t>
      </w:r>
    </w:p>
    <w:p>
      <w:pPr>
        <w:pStyle w:val="Heading5"/>
        <w:rPr>
          <w:snapToGrid w:val="0"/>
        </w:rPr>
      </w:pPr>
      <w:bookmarkStart w:id="84" w:name="_Toc391299528"/>
      <w:bookmarkStart w:id="85" w:name="_Toc387064618"/>
      <w:r>
        <w:rPr>
          <w:rStyle w:val="CharSectno"/>
        </w:rPr>
        <w:t>25</w:t>
      </w:r>
      <w:r>
        <w:rPr>
          <w:snapToGrid w:val="0"/>
        </w:rPr>
        <w:t>.</w:t>
      </w:r>
      <w:r>
        <w:rPr>
          <w:snapToGrid w:val="0"/>
        </w:rPr>
        <w:tab/>
        <w:t>Bonus draws and guaranteed prize pools</w:t>
      </w:r>
      <w:bookmarkEnd w:id="84"/>
      <w:bookmarkEnd w:id="85"/>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r>
        <w:tab/>
        <w:t>[Rule 25 amended in Gazette 6 Jun 2008 p. 2266.]</w:t>
      </w:r>
    </w:p>
    <w:p>
      <w:pPr>
        <w:pStyle w:val="Heading5"/>
        <w:rPr>
          <w:snapToGrid w:val="0"/>
        </w:rPr>
      </w:pPr>
      <w:bookmarkStart w:id="86" w:name="_Toc391299529"/>
      <w:bookmarkStart w:id="87" w:name="_Toc387064619"/>
      <w:r>
        <w:rPr>
          <w:rStyle w:val="CharSectno"/>
        </w:rPr>
        <w:t>26</w:t>
      </w:r>
      <w:r>
        <w:rPr>
          <w:snapToGrid w:val="0"/>
        </w:rPr>
        <w:t>.</w:t>
      </w:r>
      <w:r>
        <w:rPr>
          <w:snapToGrid w:val="0"/>
        </w:rPr>
        <w:tab/>
        <w:t>Division 1 prizes, claims for and payment of</w:t>
      </w:r>
      <w:bookmarkEnd w:id="86"/>
      <w:bookmarkEnd w:id="87"/>
    </w:p>
    <w:p>
      <w:pPr>
        <w:pStyle w:val="Subsection"/>
        <w:spacing w:before="140"/>
      </w:pPr>
      <w:r>
        <w:tab/>
        <w:t>(1A)</w:t>
      </w:r>
      <w:r>
        <w:tab/>
        <w:t xml:space="preserve">A division 1 prize in a Saturday lotto draw is to be paid in accordance with these rules and the </w:t>
      </w:r>
      <w:r>
        <w:rPr>
          <w:i/>
          <w:iCs/>
        </w:rPr>
        <w:t>Lotteries Commission (Internet Entries) Rules 2010</w:t>
      </w:r>
      <w:r>
        <w:t>.</w:t>
      </w:r>
    </w:p>
    <w:p>
      <w:pPr>
        <w:pStyle w:val="Subsection"/>
        <w:spacing w:before="140"/>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spacing w:before="140"/>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4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 and</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 or</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r>
        <w:tab/>
        <w:t>[Rule 26 amended in Gazette 6 Jun 2008 p. 2266; 19 Nov 2010 p. 5731.]</w:t>
      </w:r>
    </w:p>
    <w:p>
      <w:pPr>
        <w:pStyle w:val="Heading5"/>
        <w:rPr>
          <w:snapToGrid w:val="0"/>
        </w:rPr>
      </w:pPr>
      <w:bookmarkStart w:id="88" w:name="_Toc391299530"/>
      <w:bookmarkStart w:id="89" w:name="_Toc387064620"/>
      <w:r>
        <w:rPr>
          <w:rStyle w:val="CharSectno"/>
        </w:rPr>
        <w:t>27</w:t>
      </w:r>
      <w:r>
        <w:rPr>
          <w:snapToGrid w:val="0"/>
        </w:rPr>
        <w:t>.</w:t>
      </w:r>
      <w:r>
        <w:rPr>
          <w:snapToGrid w:val="0"/>
        </w:rPr>
        <w:tab/>
        <w:t>Division 2 prizes, claims for and payment of</w:t>
      </w:r>
      <w:bookmarkEnd w:id="88"/>
      <w:bookmarkEnd w:id="89"/>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r>
        <w:tab/>
        <w:t>[Rule 27 amended in Gazette 6 Jun 2008 p. 2266; 19 Nov 2010 p. 5731.]</w:t>
      </w:r>
    </w:p>
    <w:p>
      <w:pPr>
        <w:pStyle w:val="Heading5"/>
        <w:rPr>
          <w:snapToGrid w:val="0"/>
        </w:rPr>
      </w:pPr>
      <w:bookmarkStart w:id="90" w:name="_Toc391299531"/>
      <w:bookmarkStart w:id="91" w:name="_Toc387064621"/>
      <w:r>
        <w:rPr>
          <w:rStyle w:val="CharSectno"/>
        </w:rPr>
        <w:t>28</w:t>
      </w:r>
      <w:r>
        <w:rPr>
          <w:snapToGrid w:val="0"/>
        </w:rPr>
        <w:t>.</w:t>
      </w:r>
      <w:r>
        <w:rPr>
          <w:snapToGrid w:val="0"/>
        </w:rPr>
        <w:tab/>
        <w:t>Division 3 to 6 prizes, claims for and payment of</w:t>
      </w:r>
      <w:bookmarkEnd w:id="90"/>
      <w:bookmarkEnd w:id="91"/>
    </w:p>
    <w:p>
      <w:pPr>
        <w:pStyle w:val="Subsection"/>
      </w:pPr>
      <w:r>
        <w:tab/>
        <w:t>(1A)</w:t>
      </w:r>
      <w:r>
        <w:tab/>
        <w:t xml:space="preserve">A division 3, 4, 5 or 6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 and</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r>
        <w:tab/>
        <w:t>[Rule 28 amended in Gazette 6 Jun 2008 p. 2266; 19 Nov 2010 p. 5732; 21 Dec 2010 p. 6764.]</w:t>
      </w:r>
    </w:p>
    <w:p>
      <w:pPr>
        <w:pStyle w:val="Heading5"/>
      </w:pPr>
      <w:bookmarkStart w:id="92" w:name="_Toc391299532"/>
      <w:bookmarkStart w:id="93" w:name="_Toc387064622"/>
      <w:r>
        <w:rPr>
          <w:rStyle w:val="CharSectno"/>
        </w:rPr>
        <w:t>28A</w:t>
      </w:r>
      <w:r>
        <w:t>.</w:t>
      </w:r>
      <w:r>
        <w:tab/>
        <w:t>Syndicate share prizes, claims for and payment of</w:t>
      </w:r>
      <w:bookmarkEnd w:id="92"/>
      <w:bookmarkEnd w:id="93"/>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94" w:name="_Toc391299533"/>
      <w:bookmarkStart w:id="95" w:name="_Toc387064623"/>
      <w:r>
        <w:rPr>
          <w:rStyle w:val="CharSectno"/>
        </w:rPr>
        <w:t>29</w:t>
      </w:r>
      <w:r>
        <w:rPr>
          <w:snapToGrid w:val="0"/>
        </w:rPr>
        <w:t>.</w:t>
      </w:r>
      <w:r>
        <w:rPr>
          <w:snapToGrid w:val="0"/>
        </w:rPr>
        <w:tab/>
        <w:t>Statutory declaration as to compliance with law, Commission may require</w:t>
      </w:r>
      <w:bookmarkEnd w:id="94"/>
      <w:bookmarkEnd w:id="95"/>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r>
        <w:tab/>
        <w:t>[Rule 29 amended in Gazette 6 Jun 2008 p. 2268.]</w:t>
      </w:r>
    </w:p>
    <w:p>
      <w:pPr>
        <w:pStyle w:val="Heading5"/>
        <w:spacing w:before="260"/>
        <w:rPr>
          <w:snapToGrid w:val="0"/>
        </w:rPr>
      </w:pPr>
      <w:bookmarkStart w:id="96" w:name="_Toc391299534"/>
      <w:bookmarkStart w:id="97" w:name="_Toc387064624"/>
      <w:r>
        <w:rPr>
          <w:rStyle w:val="CharSectno"/>
        </w:rPr>
        <w:t>30</w:t>
      </w:r>
      <w:r>
        <w:rPr>
          <w:snapToGrid w:val="0"/>
        </w:rPr>
        <w:t>.</w:t>
      </w:r>
      <w:r>
        <w:rPr>
          <w:snapToGrid w:val="0"/>
        </w:rPr>
        <w:tab/>
        <w:t>Names and addresses of prize winners, publishing</w:t>
      </w:r>
      <w:bookmarkEnd w:id="96"/>
      <w:bookmarkEnd w:id="97"/>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98" w:name="_Toc391299535"/>
      <w:bookmarkStart w:id="99" w:name="_Toc387064625"/>
      <w:r>
        <w:rPr>
          <w:rStyle w:val="CharSectno"/>
        </w:rPr>
        <w:t>31</w:t>
      </w:r>
      <w:r>
        <w:rPr>
          <w:snapToGrid w:val="0"/>
        </w:rPr>
        <w:t>.</w:t>
      </w:r>
      <w:r>
        <w:rPr>
          <w:snapToGrid w:val="0"/>
        </w:rPr>
        <w:tab/>
        <w:t>Player Registration Service</w:t>
      </w:r>
      <w:bookmarkEnd w:id="98"/>
      <w:bookmarkEnd w:id="99"/>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100" w:name="_Toc391299536"/>
      <w:bookmarkStart w:id="101" w:name="_Toc387064626"/>
      <w:r>
        <w:rPr>
          <w:rStyle w:val="CharSectno"/>
        </w:rPr>
        <w:t>31A</w:t>
      </w:r>
      <w:r>
        <w:t>.</w:t>
      </w:r>
      <w:r>
        <w:tab/>
        <w:t>Player’s card holders may request direct credit of prizes</w:t>
      </w:r>
      <w:bookmarkEnd w:id="100"/>
      <w:bookmarkEnd w:id="10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102" w:name="_Toc391299537"/>
      <w:bookmarkStart w:id="103" w:name="_Toc387064627"/>
      <w:r>
        <w:rPr>
          <w:rStyle w:val="CharSectno"/>
        </w:rPr>
        <w:t>31B</w:t>
      </w:r>
      <w:r>
        <w:t>.</w:t>
      </w:r>
      <w:r>
        <w:tab/>
        <w:t>Favourite numbers, registering by subscribers</w:t>
      </w:r>
      <w:bookmarkEnd w:id="102"/>
      <w:bookmarkEnd w:id="103"/>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104" w:name="_Toc391299438"/>
      <w:bookmarkStart w:id="105" w:name="_Toc391299538"/>
      <w:bookmarkStart w:id="106" w:name="_Toc387064628"/>
      <w:r>
        <w:rPr>
          <w:rStyle w:val="CharPartNo"/>
        </w:rPr>
        <w:t>Part 5</w:t>
      </w:r>
      <w:r>
        <w:rPr>
          <w:rStyle w:val="CharDivNo"/>
        </w:rPr>
        <w:t> </w:t>
      </w:r>
      <w:r>
        <w:t>—</w:t>
      </w:r>
      <w:r>
        <w:rPr>
          <w:rStyle w:val="CharDivText"/>
        </w:rPr>
        <w:t> </w:t>
      </w:r>
      <w:r>
        <w:rPr>
          <w:rStyle w:val="CharPartText"/>
        </w:rPr>
        <w:t>Miscellaneous</w:t>
      </w:r>
      <w:bookmarkEnd w:id="104"/>
      <w:bookmarkEnd w:id="105"/>
      <w:bookmarkEnd w:id="106"/>
    </w:p>
    <w:p>
      <w:pPr>
        <w:pStyle w:val="Heading5"/>
        <w:rPr>
          <w:snapToGrid w:val="0"/>
        </w:rPr>
      </w:pPr>
      <w:bookmarkStart w:id="107" w:name="_Toc391299539"/>
      <w:bookmarkStart w:id="108" w:name="_Toc387064629"/>
      <w:r>
        <w:rPr>
          <w:rStyle w:val="CharSectno"/>
        </w:rPr>
        <w:t>32</w:t>
      </w:r>
      <w:r>
        <w:rPr>
          <w:snapToGrid w:val="0"/>
        </w:rPr>
        <w:t>.</w:t>
      </w:r>
      <w:r>
        <w:rPr>
          <w:snapToGrid w:val="0"/>
        </w:rPr>
        <w:tab/>
        <w:t>Instructions on playslips etc., status of</w:t>
      </w:r>
      <w:bookmarkEnd w:id="107"/>
      <w:bookmarkEnd w:id="108"/>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2270.]</w:t>
      </w:r>
    </w:p>
    <w:p>
      <w:pPr>
        <w:pStyle w:val="Heading5"/>
        <w:rPr>
          <w:snapToGrid w:val="0"/>
        </w:rPr>
      </w:pPr>
      <w:bookmarkStart w:id="109" w:name="_Toc391299540"/>
      <w:bookmarkStart w:id="110" w:name="_Toc387064630"/>
      <w:r>
        <w:rPr>
          <w:rStyle w:val="CharSectno"/>
        </w:rPr>
        <w:t>33</w:t>
      </w:r>
      <w:r>
        <w:rPr>
          <w:snapToGrid w:val="0"/>
        </w:rPr>
        <w:t>.</w:t>
      </w:r>
      <w:r>
        <w:rPr>
          <w:snapToGrid w:val="0"/>
        </w:rPr>
        <w:tab/>
        <w:t>These rules to be made available etc.</w:t>
      </w:r>
      <w:bookmarkEnd w:id="109"/>
      <w:bookmarkEnd w:id="110"/>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11" w:name="_Toc391299541"/>
      <w:bookmarkStart w:id="112" w:name="_Toc387064631"/>
      <w:r>
        <w:rPr>
          <w:rStyle w:val="CharSectno"/>
        </w:rPr>
        <w:t>34</w:t>
      </w:r>
      <w:r>
        <w:rPr>
          <w:snapToGrid w:val="0"/>
        </w:rPr>
        <w:t>.</w:t>
      </w:r>
      <w:r>
        <w:rPr>
          <w:snapToGrid w:val="0"/>
        </w:rPr>
        <w:tab/>
        <w:t>Commission’s decisions are final</w:t>
      </w:r>
      <w:bookmarkEnd w:id="111"/>
      <w:bookmarkEnd w:id="112"/>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3" w:name="_Toc391299442"/>
      <w:bookmarkStart w:id="114" w:name="_Toc391299542"/>
      <w:bookmarkStart w:id="115" w:name="_Toc387064632"/>
      <w:r>
        <w:rPr>
          <w:rStyle w:val="CharSchNo"/>
        </w:rPr>
        <w:t>Schedule 1</w:t>
      </w:r>
      <w:r>
        <w:t> — </w:t>
      </w:r>
      <w:r>
        <w:rPr>
          <w:rStyle w:val="CharSchText"/>
        </w:rPr>
        <w:t>Calculating the total cost of entry — Saturday lotto draw</w:t>
      </w:r>
      <w:bookmarkEnd w:id="113"/>
      <w:bookmarkEnd w:id="114"/>
      <w:bookmarkEnd w:id="115"/>
    </w:p>
    <w:p>
      <w:pPr>
        <w:pStyle w:val="yShoulderClause"/>
      </w:pPr>
      <w:r>
        <w:t>[r. 5(1)]</w:t>
      </w:r>
    </w:p>
    <w:p>
      <w:pPr>
        <w:pStyle w:val="yFootnoteheading"/>
      </w:pPr>
      <w:r>
        <w:tab/>
        <w:t>[Heading inserted in Gazette 6 May 2014 p. 1386.]</w:t>
      </w:r>
    </w:p>
    <w:p>
      <w:pPr>
        <w:pStyle w:val="yHeading3"/>
      </w:pPr>
      <w:bookmarkStart w:id="116" w:name="_Toc391299443"/>
      <w:bookmarkStart w:id="117" w:name="_Toc391299543"/>
      <w:bookmarkStart w:id="118" w:name="_Toc387064633"/>
      <w:r>
        <w:rPr>
          <w:rStyle w:val="CharSDivNo"/>
        </w:rPr>
        <w:t>Part 1</w:t>
      </w:r>
      <w:r>
        <w:rPr>
          <w:b w:val="0"/>
        </w:rPr>
        <w:t> — </w:t>
      </w:r>
      <w:r>
        <w:rPr>
          <w:rStyle w:val="CharSDivText"/>
        </w:rPr>
        <w:t>Formula applicable up to and including draw 3441 on 12 July 2014</w:t>
      </w:r>
      <w:bookmarkEnd w:id="116"/>
      <w:bookmarkEnd w:id="117"/>
      <w:bookmarkEnd w:id="118"/>
    </w:p>
    <w:p>
      <w:pPr>
        <w:pStyle w:val="yFootnoteheading"/>
      </w:pPr>
      <w:r>
        <w:tab/>
        <w:t>[Heading inserted in Gazette 6 May 2014 p. 1386.]</w:t>
      </w:r>
    </w:p>
    <w:p>
      <w:pPr>
        <w:pStyle w:val="yMiscellaneousBody"/>
      </w:pPr>
      <w:r>
        <w:t>The unit cost of entering a Saturday lotto draw is made up of a subscription of 60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pPr>
      <w:r>
        <w:t>((G x $0.60) x .09 </w:t>
      </w:r>
      <w:r>
        <w:sym w:font="Symbol" w:char="F0AE"/>
      </w:r>
      <w: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pPr>
      <w:r>
        <w:t>The total cost of entry for a Slikpik 25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rPr>
          <w:b/>
          <w:bCs/>
        </w:rPr>
      </w:pPr>
      <w:r>
        <w:rPr>
          <w:b/>
          <w:bCs/>
        </w:rPr>
        <w:tab/>
        <w:t>Total cost of entry</w:t>
      </w:r>
      <w:r>
        <w:rPr>
          <w:b/>
          <w:bCs/>
        </w:rPr>
        <w:tab/>
        <w:t>=</w:t>
      </w:r>
      <w:r>
        <w:rPr>
          <w:b/>
          <w:bCs/>
        </w:rPr>
        <w:tab/>
        <w:t>$16.35</w:t>
      </w:r>
    </w:p>
    <w:p>
      <w:pPr>
        <w:pStyle w:val="yMiscellaneousBody"/>
        <w:keepNext/>
      </w:pPr>
      <w:r>
        <w:t>The total cost of entry for a System 8 entry for a single Saturday lotto draw is calculated as follows —</w:t>
      </w:r>
    </w:p>
    <w:p>
      <w:pPr>
        <w:pStyle w:val="yMiscellaneousBody"/>
        <w:keepNext/>
        <w:tabs>
          <w:tab w:val="left" w:pos="993"/>
          <w:tab w:val="left" w:pos="4536"/>
          <w:tab w:val="left" w:pos="5103"/>
        </w:tabs>
      </w:pPr>
      <w:r>
        <w:tab/>
        <w:t>Subscription for one week</w:t>
      </w:r>
    </w:p>
    <w:p>
      <w:pPr>
        <w:pStyle w:val="yMiscellaneousBody"/>
        <w:tabs>
          <w:tab w:val="left" w:pos="993"/>
          <w:tab w:val="left" w:pos="4536"/>
          <w:tab w:val="left" w:pos="5103"/>
        </w:tabs>
      </w:pPr>
      <w:r>
        <w:tab/>
        <w:t>[28 games @ $0.60 each]</w:t>
      </w:r>
      <w:r>
        <w:tab/>
        <w:t>=</w:t>
      </w:r>
      <w:r>
        <w:tab/>
        <w:t>$16.80</w:t>
      </w:r>
    </w:p>
    <w:p>
      <w:pPr>
        <w:pStyle w:val="yMiscellaneousBody"/>
        <w:tabs>
          <w:tab w:val="left" w:pos="993"/>
          <w:tab w:val="left" w:pos="4536"/>
          <w:tab w:val="left" w:pos="5103"/>
        </w:tabs>
      </w:pPr>
      <w:r>
        <w:tab/>
        <w:t>9% of subscription [.09 x $16.80]</w:t>
      </w:r>
      <w:r>
        <w:tab/>
        <w:t>=</w:t>
      </w:r>
      <w:r>
        <w:tab/>
        <w:t>$1.512</w:t>
      </w:r>
    </w:p>
    <w:p>
      <w:pPr>
        <w:pStyle w:val="yMiscellaneousBody"/>
        <w:tabs>
          <w:tab w:val="left" w:pos="993"/>
          <w:tab w:val="left" w:pos="4536"/>
          <w:tab w:val="left" w:pos="5103"/>
        </w:tabs>
      </w:pPr>
      <w:r>
        <w:tab/>
        <w:t>Rounded using “bankers rounding”</w:t>
      </w:r>
      <w:r>
        <w:tab/>
        <w:t>=</w:t>
      </w:r>
      <w:r>
        <w:tab/>
        <w:t>$1.50</w:t>
      </w:r>
    </w:p>
    <w:p>
      <w:pPr>
        <w:pStyle w:val="yMiscellaneousBody"/>
        <w:tabs>
          <w:tab w:val="left" w:pos="993"/>
          <w:tab w:val="left" w:pos="4536"/>
          <w:tab w:val="left" w:pos="5103"/>
        </w:tabs>
        <w:rPr>
          <w:b/>
          <w:bCs/>
        </w:rPr>
      </w:pPr>
      <w:r>
        <w:rPr>
          <w:b/>
          <w:bCs/>
        </w:rPr>
        <w:tab/>
        <w:t>Total cost of entry</w:t>
      </w:r>
      <w:r>
        <w:rPr>
          <w:b/>
          <w:bCs/>
        </w:rPr>
        <w:tab/>
        <w:t>=</w:t>
      </w:r>
      <w:r>
        <w:rPr>
          <w:b/>
          <w:bCs/>
        </w:rPr>
        <w:tab/>
        <w:t>$18.30</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$0.60 each]</w:t>
      </w:r>
      <w:r>
        <w:tab/>
        <w:t>=</w:t>
      </w:r>
      <w:r>
        <w:tab/>
        <w:t>$302.40</w:t>
      </w:r>
    </w:p>
    <w:p>
      <w:pPr>
        <w:pStyle w:val="yMiscellaneousBody"/>
        <w:tabs>
          <w:tab w:val="left" w:pos="993"/>
          <w:tab w:val="left" w:pos="4536"/>
          <w:tab w:val="left" w:pos="5103"/>
        </w:tabs>
      </w:pPr>
      <w:r>
        <w:tab/>
        <w:t>9% of subscription [.09 x $302.40]</w:t>
      </w:r>
      <w:r>
        <w:tab/>
        <w:t>=</w:t>
      </w:r>
      <w:r>
        <w:tab/>
        <w:t>$27.216</w:t>
      </w:r>
    </w:p>
    <w:p>
      <w:pPr>
        <w:pStyle w:val="yMiscellaneousBody"/>
        <w:tabs>
          <w:tab w:val="left" w:pos="993"/>
          <w:tab w:val="left" w:pos="4536"/>
          <w:tab w:val="left" w:pos="5103"/>
        </w:tabs>
      </w:pPr>
      <w:r>
        <w:tab/>
        <w:t>Rounded using “bankers rounding”</w:t>
      </w:r>
      <w:r>
        <w:tab/>
        <w:t>=</w:t>
      </w:r>
      <w:r>
        <w:tab/>
        <w:t>$27.20</w:t>
      </w:r>
    </w:p>
    <w:p>
      <w:pPr>
        <w:pStyle w:val="yMiscellaneousBody"/>
        <w:tabs>
          <w:tab w:val="left" w:pos="993"/>
          <w:tab w:val="left" w:pos="4536"/>
          <w:tab w:val="left" w:pos="5103"/>
        </w:tabs>
        <w:rPr>
          <w:b/>
          <w:bCs/>
        </w:rPr>
      </w:pPr>
      <w:r>
        <w:rPr>
          <w:b/>
          <w:bCs/>
        </w:rPr>
        <w:tab/>
        <w:t>Total cost of entry</w:t>
      </w:r>
      <w:r>
        <w:rPr>
          <w:b/>
          <w:bCs/>
        </w:rPr>
        <w:tab/>
        <w:t>=</w:t>
      </w:r>
      <w:r>
        <w:rPr>
          <w:b/>
          <w:bCs/>
        </w:rPr>
        <w:tab/>
        <w:t>$329.60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pPr>
      <w:r>
        <w:tab/>
        <w:t>Total cost of entry for one week</w:t>
      </w:r>
      <w:r>
        <w:tab/>
        <w:t>=</w:t>
      </w:r>
      <w:r>
        <w:tab/>
        <w:t>$16.35</w:t>
      </w:r>
    </w:p>
    <w:p>
      <w:pPr>
        <w:pStyle w:val="yMiscellaneousBody"/>
        <w:tabs>
          <w:tab w:val="left" w:pos="993"/>
          <w:tab w:val="left" w:pos="4536"/>
          <w:tab w:val="left" w:pos="5103"/>
        </w:tabs>
        <w:rPr>
          <w:b/>
          <w:bCs/>
        </w:rPr>
      </w:pPr>
      <w:r>
        <w:rPr>
          <w:b/>
          <w:bCs/>
        </w:rPr>
        <w:tab/>
        <w:t xml:space="preserve">Total cost of entry for 10 </w:t>
      </w:r>
      <w:r>
        <w:rPr>
          <w:b/>
        </w:rPr>
        <w:t>weeks</w:t>
      </w:r>
      <w:r>
        <w:rPr>
          <w:b/>
          <w:bCs/>
        </w:rPr>
        <w:tab/>
        <w:t>=</w:t>
      </w:r>
      <w:r>
        <w:rPr>
          <w:b/>
          <w:bCs/>
        </w:rPr>
        <w:tab/>
        <w:t>$163.50</w:t>
      </w:r>
    </w:p>
    <w:p>
      <w:pPr>
        <w:pStyle w:val="yMiscellaneousBody"/>
      </w:pPr>
      <w:r>
        <w:t>* Rounding is calculated using the method known as “bankers rounding” or “round</w:t>
      </w:r>
      <w:r>
        <w:noBreakHyphen/>
        <w:t>to</w:t>
      </w:r>
      <w:r>
        <w:noBreakHyphen/>
        <w:t>even” rounding.</w:t>
      </w:r>
    </w:p>
    <w:p>
      <w:pPr>
        <w:pStyle w:val="yFootnotesection"/>
      </w:pPr>
      <w:r>
        <w:tab/>
        <w:t>[Part 1 inserted in Gazette 6 May 2014 p.1386</w:t>
      </w:r>
      <w:r>
        <w:noBreakHyphen/>
        <w:t>7.]</w:t>
      </w:r>
    </w:p>
    <w:p>
      <w:r>
        <w:br w:type="page"/>
      </w:r>
    </w:p>
    <w:p>
      <w:pPr>
        <w:pStyle w:val="yHeading3"/>
      </w:pPr>
      <w:bookmarkStart w:id="119" w:name="_Toc391299444"/>
      <w:bookmarkStart w:id="120" w:name="_Toc391299544"/>
      <w:bookmarkStart w:id="121" w:name="_Toc387064634"/>
      <w:r>
        <w:rPr>
          <w:rStyle w:val="CharSDivNo"/>
        </w:rPr>
        <w:t>Part 2</w:t>
      </w:r>
      <w:r>
        <w:t> — </w:t>
      </w:r>
      <w:r>
        <w:rPr>
          <w:rStyle w:val="CharSDivText"/>
        </w:rPr>
        <w:t>Formula applicable to draw 3443 on 19 July 2014 and subsequent draws</w:t>
      </w:r>
      <w:bookmarkEnd w:id="119"/>
      <w:bookmarkEnd w:id="120"/>
      <w:bookmarkEnd w:id="121"/>
    </w:p>
    <w:p>
      <w:pPr>
        <w:pStyle w:val="yFootnoteheading"/>
        <w:keepNext/>
      </w:pPr>
      <w:r>
        <w:tab/>
        <w:t>[Heading inserted in Gazette 6 May 2014 p. 1388.]</w:t>
      </w:r>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rPr>
          <w:bCs/>
        </w:rPr>
      </w:pPr>
      <w:r>
        <w:rPr>
          <w:bCs/>
        </w:rPr>
        <w:t>((G x $0.65) x .09 </w:t>
      </w:r>
      <w:r>
        <w:rPr>
          <w:bCs/>
        </w:rPr>
        <w:sym w:font="Symbol" w:char="F0AE"/>
      </w:r>
      <w:r>
        <w:rPr>
          <w:bCs/>
        </w:rP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spacing w:before="120"/>
      </w:pPr>
      <w:r>
        <w:t>The total cost of entry for a Slikpik 25 entry for a single Saturday lotto draw is calculated as follows —</w:t>
      </w:r>
    </w:p>
    <w:p>
      <w:pPr>
        <w:pStyle w:val="yMiscellaneousBody"/>
        <w:tabs>
          <w:tab w:val="left" w:pos="99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$1.50</w:t>
      </w:r>
    </w:p>
    <w:p>
      <w:pPr>
        <w:pStyle w:val="yMiscellaneousBody"/>
        <w:tabs>
          <w:tab w:val="left" w:pos="993"/>
          <w:tab w:val="left" w:pos="4536"/>
          <w:tab w:val="left" w:pos="5103"/>
        </w:tabs>
        <w:rPr>
          <w:b/>
          <w:bCs/>
        </w:rPr>
      </w:pPr>
      <w:r>
        <w:rPr>
          <w:b/>
          <w:bCs/>
        </w:rPr>
        <w:tab/>
        <w:t>Total cost of entry</w:t>
      </w:r>
      <w:r>
        <w:rPr>
          <w:b/>
          <w:bCs/>
        </w:rPr>
        <w:tab/>
        <w:t>=</w:t>
      </w:r>
      <w:r>
        <w:rPr>
          <w:b/>
          <w:bCs/>
        </w:rPr>
        <w:tab/>
        <w:t>$17.</w:t>
      </w:r>
      <w:del w:id="122" w:author="Master Repository Process" w:date="2021-08-29T03:45:00Z">
        <w:r>
          <w:rPr>
            <w:b/>
            <w:bCs/>
          </w:rPr>
          <w:delText>75</w:delText>
        </w:r>
      </w:del>
      <w:ins w:id="123" w:author="Master Repository Process" w:date="2021-08-29T03:45:00Z">
        <w:r>
          <w:rPr>
            <w:b/>
            <w:bCs/>
          </w:rPr>
          <w:t>70</w:t>
        </w:r>
      </w:ins>
    </w:p>
    <w:p>
      <w:pPr>
        <w:pStyle w:val="yMiscellaneousBody"/>
        <w:spacing w:before="120"/>
      </w:pPr>
      <w:r>
        <w:t>The total cost of entry for a System 8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[28 games @ $0.65 each]</w:t>
      </w:r>
      <w:r>
        <w:tab/>
        <w:t>=</w:t>
      </w:r>
      <w:r>
        <w:tab/>
        <w:t>$18.20</w:t>
      </w:r>
    </w:p>
    <w:p>
      <w:pPr>
        <w:pStyle w:val="yMiscellaneousBody"/>
        <w:tabs>
          <w:tab w:val="left" w:pos="993"/>
          <w:tab w:val="left" w:pos="4536"/>
          <w:tab w:val="left" w:pos="5103"/>
        </w:tabs>
      </w:pPr>
      <w:r>
        <w:tab/>
        <w:t>9% of subscription [.09 x $18.20]</w:t>
      </w:r>
      <w:r>
        <w:tab/>
        <w:t>=</w:t>
      </w:r>
      <w:r>
        <w:tab/>
        <w:t>$1.638</w:t>
      </w:r>
    </w:p>
    <w:p>
      <w:pPr>
        <w:pStyle w:val="yMiscellaneousBody"/>
        <w:tabs>
          <w:tab w:val="left" w:pos="993"/>
          <w:tab w:val="left" w:pos="4536"/>
          <w:tab w:val="left" w:pos="5103"/>
        </w:tabs>
      </w:pPr>
      <w:r>
        <w:tab/>
        <w:t>Rounded using “bankers rounding”</w:t>
      </w:r>
      <w:r>
        <w:tab/>
        <w:t>=</w:t>
      </w:r>
      <w:r>
        <w:tab/>
        <w:t>$1.65</w:t>
      </w:r>
    </w:p>
    <w:p>
      <w:pPr>
        <w:pStyle w:val="yMiscellaneousBody"/>
        <w:tabs>
          <w:tab w:val="left" w:pos="993"/>
          <w:tab w:val="left" w:pos="4536"/>
          <w:tab w:val="left" w:pos="5103"/>
        </w:tabs>
        <w:rPr>
          <w:b/>
          <w:bCs/>
        </w:rPr>
      </w:pPr>
      <w:r>
        <w:rPr>
          <w:b/>
          <w:bCs/>
        </w:rPr>
        <w:tab/>
        <w:t>Total cost of entry</w:t>
      </w:r>
      <w:r>
        <w:rPr>
          <w:b/>
          <w:bCs/>
        </w:rPr>
        <w:tab/>
        <w:t>=</w:t>
      </w:r>
      <w:r>
        <w:rPr>
          <w:b/>
          <w:bCs/>
        </w:rPr>
        <w:tab/>
        <w:t>$19.85</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$0.65 each]</w:t>
      </w:r>
      <w:r>
        <w:tab/>
        <w:t>=</w:t>
      </w:r>
      <w:r>
        <w:tab/>
        <w:t>$327.60</w:t>
      </w:r>
    </w:p>
    <w:p>
      <w:pPr>
        <w:pStyle w:val="yMiscellaneousBody"/>
        <w:tabs>
          <w:tab w:val="left" w:pos="993"/>
          <w:tab w:val="left" w:pos="4536"/>
          <w:tab w:val="left" w:pos="5103"/>
        </w:tabs>
      </w:pPr>
      <w:r>
        <w:tab/>
        <w:t>9% of subscription [.09 x $327.60]</w:t>
      </w:r>
      <w:r>
        <w:tab/>
        <w:t>=</w:t>
      </w:r>
      <w:r>
        <w:tab/>
        <w:t>$29.484</w:t>
      </w:r>
    </w:p>
    <w:p>
      <w:pPr>
        <w:pStyle w:val="yMiscellaneousBody"/>
        <w:tabs>
          <w:tab w:val="left" w:pos="993"/>
          <w:tab w:val="left" w:pos="4536"/>
          <w:tab w:val="left" w:pos="5103"/>
        </w:tabs>
      </w:pPr>
      <w:r>
        <w:tab/>
        <w:t>Rounded using “bankers rounding”</w:t>
      </w:r>
      <w:r>
        <w:tab/>
        <w:t>=</w:t>
      </w:r>
      <w:r>
        <w:tab/>
        <w:t>$29.50</w:t>
      </w:r>
    </w:p>
    <w:p>
      <w:pPr>
        <w:pStyle w:val="yMiscellaneousBody"/>
        <w:tabs>
          <w:tab w:val="left" w:pos="993"/>
          <w:tab w:val="left" w:pos="4536"/>
          <w:tab w:val="left" w:pos="5103"/>
        </w:tabs>
        <w:rPr>
          <w:b/>
          <w:bCs/>
        </w:rPr>
      </w:pPr>
      <w:r>
        <w:rPr>
          <w:b/>
          <w:bCs/>
        </w:rPr>
        <w:tab/>
        <w:t>Total cost of entry</w:t>
      </w:r>
      <w:r>
        <w:rPr>
          <w:b/>
          <w:bCs/>
        </w:rPr>
        <w:tab/>
        <w:t>=</w:t>
      </w:r>
      <w:r>
        <w:rPr>
          <w:b/>
          <w:bCs/>
        </w:rPr>
        <w:tab/>
        <w:t>$357.10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$1.50</w:t>
      </w:r>
    </w:p>
    <w:p>
      <w:pPr>
        <w:pStyle w:val="yMiscellaneousBody"/>
        <w:tabs>
          <w:tab w:val="left" w:pos="993"/>
          <w:tab w:val="left" w:pos="4536"/>
          <w:tab w:val="left" w:pos="5103"/>
        </w:tabs>
      </w:pPr>
      <w:r>
        <w:tab/>
        <w:t>Total cost of entry for one week</w:t>
      </w:r>
      <w:r>
        <w:tab/>
        <w:t>=</w:t>
      </w:r>
      <w:r>
        <w:tab/>
        <w:t>$17.</w:t>
      </w:r>
      <w:del w:id="124" w:author="Master Repository Process" w:date="2021-08-29T03:45:00Z">
        <w:r>
          <w:delText>75</w:delText>
        </w:r>
      </w:del>
      <w:ins w:id="125" w:author="Master Repository Process" w:date="2021-08-29T03:45:00Z">
        <w:r>
          <w:t>70</w:t>
        </w:r>
      </w:ins>
    </w:p>
    <w:p>
      <w:pPr>
        <w:pStyle w:val="yMiscellaneousBody"/>
        <w:tabs>
          <w:tab w:val="left" w:pos="993"/>
          <w:tab w:val="left" w:pos="4536"/>
          <w:tab w:val="left" w:pos="5103"/>
        </w:tabs>
        <w:rPr>
          <w:b/>
          <w:bCs/>
        </w:rPr>
      </w:pPr>
      <w:r>
        <w:rPr>
          <w:b/>
          <w:bCs/>
        </w:rPr>
        <w:tab/>
        <w:t>Total cost of entry for 10 weeks</w:t>
      </w:r>
      <w:r>
        <w:rPr>
          <w:b/>
          <w:bCs/>
        </w:rPr>
        <w:tab/>
        <w:t>=</w:t>
      </w:r>
      <w:r>
        <w:rPr>
          <w:b/>
          <w:bCs/>
        </w:rPr>
        <w:tab/>
        <w:t>$177.</w:t>
      </w:r>
      <w:del w:id="126" w:author="Master Repository Process" w:date="2021-08-29T03:45:00Z">
        <w:r>
          <w:rPr>
            <w:b/>
            <w:bCs/>
          </w:rPr>
          <w:delText>50</w:delText>
        </w:r>
      </w:del>
      <w:ins w:id="127" w:author="Master Repository Process" w:date="2021-08-29T03:45:00Z">
        <w:r>
          <w:rPr>
            <w:b/>
            <w:bCs/>
          </w:rPr>
          <w:t>00</w:t>
        </w:r>
      </w:ins>
    </w:p>
    <w:p>
      <w:pPr>
        <w:pStyle w:val="yMiscellaneousBody"/>
      </w:pPr>
      <w:r>
        <w:t>* Rounding is calculated using the method known as “bankers rounding” or “round</w:t>
      </w:r>
      <w:r>
        <w:noBreakHyphen/>
        <w:t>to</w:t>
      </w:r>
      <w:r>
        <w:noBreakHyphen/>
        <w:t>even” rounding.</w:t>
      </w:r>
    </w:p>
    <w:p>
      <w:pPr>
        <w:pStyle w:val="yFootnotesection"/>
      </w:pPr>
      <w:r>
        <w:tab/>
        <w:t>[Part 2 inserted in Gazette 6 May 2014 p.1388</w:t>
      </w:r>
      <w:r>
        <w:noBreakHyphen/>
        <w:t>9</w:t>
      </w:r>
      <w:ins w:id="128" w:author="Master Repository Process" w:date="2021-08-29T03:45:00Z">
        <w:r>
          <w:t>; amended in Gazette 24 Jun 2014 p. 2094</w:t>
        </w:r>
      </w:ins>
      <w:r>
        <w:t>.]</w:t>
      </w:r>
    </w:p>
    <w:p>
      <w:pPr>
        <w:pStyle w:val="yScheduleHeading"/>
      </w:pPr>
      <w:bookmarkStart w:id="129" w:name="_Toc391299445"/>
      <w:bookmarkStart w:id="130" w:name="_Toc391299545"/>
      <w:bookmarkStart w:id="131" w:name="_Toc387064635"/>
      <w:r>
        <w:rPr>
          <w:rStyle w:val="CharSchNo"/>
        </w:rPr>
        <w:t>Schedule 1A</w:t>
      </w:r>
      <w:r>
        <w:rPr>
          <w:rStyle w:val="CharSDivNo"/>
        </w:rPr>
        <w:t> </w:t>
      </w:r>
      <w:r>
        <w:t>—</w:t>
      </w:r>
      <w:r>
        <w:rPr>
          <w:rStyle w:val="CharSDivText"/>
        </w:rPr>
        <w:t> </w:t>
      </w:r>
      <w:r>
        <w:rPr>
          <w:rStyle w:val="CharSchText"/>
        </w:rPr>
        <w:t>System entries and game equivalents</w:t>
      </w:r>
      <w:bookmarkEnd w:id="129"/>
      <w:bookmarkEnd w:id="130"/>
      <w:bookmarkEnd w:id="131"/>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132" w:name="_Toc391299446"/>
      <w:bookmarkStart w:id="133" w:name="_Toc391299546"/>
      <w:bookmarkStart w:id="134" w:name="_Toc387064636"/>
      <w:r>
        <w:rPr>
          <w:rStyle w:val="CharSchNo"/>
        </w:rPr>
        <w:t>Schedule 2</w:t>
      </w:r>
      <w:r>
        <w:t> — </w:t>
      </w:r>
      <w:r>
        <w:rPr>
          <w:rStyle w:val="CharSchText"/>
        </w:rPr>
        <w:t>System entry prizes</w:t>
      </w:r>
      <w:bookmarkEnd w:id="132"/>
      <w:bookmarkEnd w:id="133"/>
      <w:bookmarkEnd w:id="134"/>
    </w:p>
    <w:p>
      <w:pPr>
        <w:pStyle w:val="yShoulderClause"/>
      </w:pPr>
      <w:r>
        <w:t>[r. 21(2)]</w:t>
      </w:r>
    </w:p>
    <w:p>
      <w:pPr>
        <w:pStyle w:val="yFootnoteheading"/>
      </w:pPr>
      <w:r>
        <w:tab/>
        <w:t>[Heading inserted in Gazette 21 Dec 2010 p. 6765.]</w:t>
      </w:r>
    </w:p>
    <w:p>
      <w:pPr>
        <w:pStyle w:val="yHeading3"/>
      </w:pPr>
      <w:bookmarkStart w:id="135" w:name="_Toc391299447"/>
      <w:bookmarkStart w:id="136" w:name="_Toc391299547"/>
      <w:bookmarkStart w:id="137" w:name="_Toc387064637"/>
      <w:r>
        <w:rPr>
          <w:rStyle w:val="CharSDivNo"/>
        </w:rPr>
        <w:t>Part 1</w:t>
      </w:r>
      <w:r>
        <w:rPr>
          <w:b w:val="0"/>
        </w:rPr>
        <w:t> — </w:t>
      </w:r>
      <w:r>
        <w:rPr>
          <w:rStyle w:val="CharSDivText"/>
        </w:rPr>
        <w:t xml:space="preserve">Prizes applicable up to and including draw 3079 on </w:t>
      </w:r>
      <w:r>
        <w:rPr>
          <w:rStyle w:val="CharSDivText"/>
        </w:rPr>
        <w:br/>
        <w:t>22 January 2011</w:t>
      </w:r>
      <w:bookmarkEnd w:id="135"/>
      <w:bookmarkEnd w:id="136"/>
      <w:bookmarkEnd w:id="137"/>
    </w:p>
    <w:p>
      <w:pPr>
        <w:pStyle w:val="yFootnoteheading"/>
        <w:spacing w:after="80"/>
      </w:pPr>
      <w:r>
        <w:tab/>
        <w:t>[Heading inserted in Gazette 21 Dec 2010 p. 6765.]</w:t>
      </w:r>
    </w:p>
    <w:tbl>
      <w:tblPr>
        <w:tblW w:w="0" w:type="auto"/>
        <w:tblInd w:w="57" w:type="dxa"/>
        <w:tblBorders>
          <w:bottom w:val="single" w:sz="4" w:space="0" w:color="auto"/>
        </w:tblBorders>
        <w:tblLayout w:type="fixed"/>
        <w:tblCellMar>
          <w:left w:w="57" w:type="dxa"/>
        </w:tblCellMar>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2835" w:type="dxa"/>
            <w:gridSpan w:val="8"/>
            <w:tcBorders>
              <w:bottom w:val="nil"/>
            </w:tcBorders>
          </w:tcPr>
          <w:p>
            <w:pPr>
              <w:pStyle w:val="yTableNAm"/>
              <w:spacing w:before="0"/>
              <w:ind w:left="-18"/>
              <w:rPr>
                <w:b/>
                <w:bCs/>
                <w:sz w:val="12"/>
              </w:rPr>
            </w:pPr>
            <w:r>
              <w:rPr>
                <w:b/>
                <w:bCs/>
                <w:sz w:val="12"/>
              </w:rPr>
              <w:t>NUMBER OF PRIZES</w:t>
            </w:r>
          </w:p>
        </w:tc>
        <w:tc>
          <w:tcPr>
            <w:tcW w:w="3260" w:type="dxa"/>
            <w:gridSpan w:val="10"/>
            <w:tcBorders>
              <w:bottom w:val="nil"/>
            </w:tcBorders>
          </w:tcPr>
          <w:p>
            <w:pPr>
              <w:pStyle w:val="yTableNAm"/>
              <w:spacing w:before="0"/>
              <w:rPr>
                <w:b/>
                <w:bCs/>
                <w:sz w:val="12"/>
              </w:rPr>
            </w:pP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ind w:left="-18"/>
              <w:rPr>
                <w:b/>
                <w:bCs/>
                <w:sz w:val="12"/>
              </w:rPr>
            </w:pPr>
            <w:r>
              <w:rPr>
                <w:b/>
                <w:bCs/>
                <w:sz w:val="12"/>
              </w:rPr>
              <w:t>PRIZE TAKE</w:t>
            </w:r>
          </w:p>
          <w:p>
            <w:pPr>
              <w:pStyle w:val="yTableNAm"/>
              <w:spacing w:before="0"/>
              <w:ind w:left="-18"/>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bottom w:val="nil"/>
            </w:tcBorders>
          </w:tcPr>
          <w:p>
            <w:pPr>
              <w:pStyle w:val="yTableNAm"/>
              <w:spacing w:before="0"/>
              <w:rPr>
                <w:b/>
                <w:bCs/>
                <w:sz w:val="12"/>
              </w:rPr>
            </w:pPr>
          </w:p>
        </w:tc>
        <w:tc>
          <w:tcPr>
            <w:tcW w:w="359" w:type="dxa"/>
            <w:tcBorders>
              <w:top w:val="single" w:sz="4" w:space="0" w:color="auto"/>
              <w:bottom w:val="nil"/>
            </w:tcBorders>
          </w:tcPr>
          <w:p>
            <w:pPr>
              <w:pStyle w:val="yTableNAm"/>
              <w:spacing w:before="0"/>
              <w:rPr>
                <w:b/>
                <w:bCs/>
                <w:sz w:val="12"/>
              </w:rPr>
            </w:pPr>
            <w:r>
              <w:rPr>
                <w:b/>
                <w:bCs/>
                <w:sz w:val="12"/>
              </w:rPr>
              <w:t>5</w:t>
            </w:r>
          </w:p>
        </w:tc>
        <w:tc>
          <w:tcPr>
            <w:tcW w:w="358" w:type="dxa"/>
            <w:tcBorders>
              <w:top w:val="single" w:sz="4" w:space="0" w:color="auto"/>
              <w:bottom w:val="nil"/>
            </w:tcBorders>
          </w:tcPr>
          <w:p>
            <w:pPr>
              <w:pStyle w:val="yTableNAm"/>
              <w:spacing w:before="0"/>
              <w:rPr>
                <w:b/>
                <w:bCs/>
                <w:sz w:val="12"/>
              </w:rPr>
            </w:pPr>
            <w:r>
              <w:rPr>
                <w:b/>
                <w:bCs/>
                <w:sz w:val="12"/>
              </w:rPr>
              <w:t>4</w:t>
            </w:r>
          </w:p>
        </w:tc>
        <w:tc>
          <w:tcPr>
            <w:tcW w:w="359" w:type="dxa"/>
            <w:tcBorders>
              <w:top w:val="single" w:sz="4" w:space="0" w:color="auto"/>
              <w:bottom w:val="nil"/>
            </w:tcBorders>
          </w:tcPr>
          <w:p>
            <w:pPr>
              <w:pStyle w:val="yTableNAm"/>
              <w:spacing w:before="0"/>
              <w:rPr>
                <w:b/>
                <w:bCs/>
                <w:sz w:val="12"/>
              </w:rPr>
            </w:pPr>
            <w:r>
              <w:rPr>
                <w:b/>
                <w:bCs/>
                <w:sz w:val="12"/>
              </w:rPr>
              <w:t>7</w:t>
            </w:r>
          </w:p>
        </w:tc>
        <w:tc>
          <w:tcPr>
            <w:tcW w:w="358" w:type="dxa"/>
            <w:tcBorders>
              <w:top w:val="single" w:sz="4" w:space="0" w:color="auto"/>
              <w:bottom w:val="nil"/>
            </w:tcBorders>
          </w:tcPr>
          <w:p>
            <w:pPr>
              <w:pStyle w:val="yTableNAm"/>
              <w:spacing w:before="0"/>
              <w:rPr>
                <w:b/>
                <w:bCs/>
                <w:sz w:val="12"/>
              </w:rPr>
            </w:pPr>
            <w:r>
              <w:rPr>
                <w:b/>
                <w:bCs/>
                <w:sz w:val="12"/>
              </w:rPr>
              <w:t>8</w:t>
            </w:r>
          </w:p>
        </w:tc>
        <w:tc>
          <w:tcPr>
            <w:tcW w:w="359" w:type="dxa"/>
            <w:tcBorders>
              <w:top w:val="single" w:sz="4" w:space="0" w:color="auto"/>
              <w:bottom w:val="nil"/>
            </w:tcBorders>
          </w:tcPr>
          <w:p>
            <w:pPr>
              <w:pStyle w:val="yTableNAm"/>
              <w:spacing w:before="0"/>
              <w:rPr>
                <w:b/>
                <w:bCs/>
                <w:sz w:val="12"/>
              </w:rPr>
            </w:pPr>
            <w:r>
              <w:rPr>
                <w:b/>
                <w:bCs/>
                <w:sz w:val="12"/>
              </w:rPr>
              <w:t>9</w:t>
            </w:r>
          </w:p>
        </w:tc>
        <w:tc>
          <w:tcPr>
            <w:tcW w:w="358" w:type="dxa"/>
            <w:tcBorders>
              <w:top w:val="single" w:sz="4" w:space="0" w:color="auto"/>
              <w:bottom w:val="nil"/>
            </w:tcBorders>
          </w:tcPr>
          <w:p>
            <w:pPr>
              <w:pStyle w:val="yTableNAm"/>
              <w:spacing w:before="0"/>
              <w:rPr>
                <w:b/>
                <w:bCs/>
                <w:sz w:val="12"/>
              </w:rPr>
            </w:pPr>
            <w:r>
              <w:rPr>
                <w:b/>
                <w:bCs/>
                <w:sz w:val="12"/>
              </w:rPr>
              <w:t>10</w:t>
            </w:r>
          </w:p>
        </w:tc>
        <w:tc>
          <w:tcPr>
            <w:tcW w:w="359" w:type="dxa"/>
            <w:gridSpan w:val="2"/>
            <w:tcBorders>
              <w:top w:val="single" w:sz="4" w:space="0" w:color="auto"/>
              <w:bottom w:val="nil"/>
            </w:tcBorders>
          </w:tcPr>
          <w:p>
            <w:pPr>
              <w:pStyle w:val="yTableNAm"/>
              <w:spacing w:before="0"/>
              <w:rPr>
                <w:b/>
                <w:bCs/>
                <w:sz w:val="12"/>
              </w:rPr>
            </w:pPr>
            <w:r>
              <w:rPr>
                <w:b/>
                <w:bCs/>
                <w:sz w:val="12"/>
              </w:rPr>
              <w:t>11</w:t>
            </w:r>
          </w:p>
        </w:tc>
        <w:tc>
          <w:tcPr>
            <w:tcW w:w="358" w:type="dxa"/>
            <w:tcBorders>
              <w:top w:val="single" w:sz="4" w:space="0" w:color="auto"/>
              <w:bottom w:val="nil"/>
            </w:tcBorders>
          </w:tcPr>
          <w:p>
            <w:pPr>
              <w:pStyle w:val="yTableNAm"/>
              <w:spacing w:before="0"/>
              <w:rPr>
                <w:b/>
                <w:bCs/>
                <w:sz w:val="12"/>
              </w:rPr>
            </w:pPr>
            <w:r>
              <w:rPr>
                <w:b/>
                <w:bCs/>
                <w:sz w:val="12"/>
              </w:rPr>
              <w:t>12</w:t>
            </w:r>
          </w:p>
        </w:tc>
        <w:tc>
          <w:tcPr>
            <w:tcW w:w="359" w:type="dxa"/>
            <w:tcBorders>
              <w:top w:val="single" w:sz="4" w:space="0" w:color="auto"/>
              <w:bottom w:val="nil"/>
            </w:tcBorders>
          </w:tcPr>
          <w:p>
            <w:pPr>
              <w:pStyle w:val="yTableNAm"/>
              <w:spacing w:before="0"/>
              <w:rPr>
                <w:b/>
                <w:bCs/>
                <w:sz w:val="12"/>
              </w:rPr>
            </w:pPr>
            <w:r>
              <w:rPr>
                <w:b/>
                <w:bCs/>
                <w:sz w:val="12"/>
              </w:rPr>
              <w:t>13</w:t>
            </w:r>
          </w:p>
        </w:tc>
        <w:tc>
          <w:tcPr>
            <w:tcW w:w="358" w:type="dxa"/>
            <w:tcBorders>
              <w:top w:val="single" w:sz="4" w:space="0" w:color="auto"/>
              <w:bottom w:val="nil"/>
            </w:tcBorders>
          </w:tcPr>
          <w:p>
            <w:pPr>
              <w:pStyle w:val="yTableNAm"/>
              <w:spacing w:before="0"/>
              <w:rPr>
                <w:b/>
                <w:bCs/>
                <w:sz w:val="12"/>
              </w:rPr>
            </w:pPr>
            <w:r>
              <w:rPr>
                <w:b/>
                <w:bCs/>
                <w:sz w:val="12"/>
              </w:rPr>
              <w:t>14</w:t>
            </w:r>
          </w:p>
        </w:tc>
        <w:tc>
          <w:tcPr>
            <w:tcW w:w="359" w:type="dxa"/>
            <w:tcBorders>
              <w:top w:val="single" w:sz="4" w:space="0" w:color="auto"/>
              <w:bottom w:val="nil"/>
            </w:tcBorders>
          </w:tcPr>
          <w:p>
            <w:pPr>
              <w:pStyle w:val="yTableNAm"/>
              <w:spacing w:before="0"/>
              <w:rPr>
                <w:b/>
                <w:bCs/>
                <w:sz w:val="12"/>
              </w:rPr>
            </w:pPr>
            <w:r>
              <w:rPr>
                <w:b/>
                <w:bCs/>
                <w:sz w:val="12"/>
              </w:rPr>
              <w:t>15</w:t>
            </w:r>
          </w:p>
        </w:tc>
        <w:tc>
          <w:tcPr>
            <w:tcW w:w="358" w:type="dxa"/>
            <w:tcBorders>
              <w:top w:val="single" w:sz="4" w:space="0" w:color="auto"/>
              <w:bottom w:val="nil"/>
            </w:tcBorders>
          </w:tcPr>
          <w:p>
            <w:pPr>
              <w:pStyle w:val="yTableNAm"/>
              <w:spacing w:before="0"/>
              <w:rPr>
                <w:b/>
                <w:bCs/>
                <w:sz w:val="12"/>
              </w:rPr>
            </w:pPr>
            <w:r>
              <w:rPr>
                <w:b/>
                <w:bCs/>
                <w:sz w:val="12"/>
              </w:rPr>
              <w:t>16</w:t>
            </w:r>
          </w:p>
        </w:tc>
        <w:tc>
          <w:tcPr>
            <w:tcW w:w="359" w:type="dxa"/>
            <w:tcBorders>
              <w:top w:val="single" w:sz="4" w:space="0" w:color="auto"/>
              <w:bottom w:val="nil"/>
            </w:tcBorders>
          </w:tcPr>
          <w:p>
            <w:pPr>
              <w:pStyle w:val="yTableNAm"/>
              <w:spacing w:before="0"/>
              <w:rPr>
                <w:b/>
                <w:bCs/>
                <w:sz w:val="12"/>
              </w:rPr>
            </w:pPr>
            <w:r>
              <w:rPr>
                <w:b/>
                <w:bCs/>
                <w:sz w:val="12"/>
              </w:rPr>
              <w:t>17</w:t>
            </w:r>
          </w:p>
        </w:tc>
        <w:tc>
          <w:tcPr>
            <w:tcW w:w="358" w:type="dxa"/>
            <w:tcBorders>
              <w:top w:val="single" w:sz="4" w:space="0" w:color="auto"/>
              <w:bottom w:val="nil"/>
            </w:tcBorders>
          </w:tcPr>
          <w:p>
            <w:pPr>
              <w:pStyle w:val="yTableNAm"/>
              <w:spacing w:before="0"/>
              <w:rPr>
                <w:b/>
                <w:bCs/>
                <w:sz w:val="12"/>
              </w:rPr>
            </w:pPr>
            <w:r>
              <w:rPr>
                <w:b/>
                <w:bCs/>
                <w:sz w:val="12"/>
              </w:rPr>
              <w:t>18</w:t>
            </w:r>
          </w:p>
        </w:tc>
        <w:tc>
          <w:tcPr>
            <w:tcW w:w="359" w:type="dxa"/>
            <w:tcBorders>
              <w:top w:val="single" w:sz="4" w:space="0" w:color="auto"/>
              <w:bottom w:val="nil"/>
            </w:tcBorders>
          </w:tcPr>
          <w:p>
            <w:pPr>
              <w:pStyle w:val="yTableNAm"/>
              <w:spacing w:before="0"/>
              <w:rPr>
                <w:b/>
                <w:bCs/>
                <w:sz w:val="12"/>
              </w:rPr>
            </w:pPr>
            <w:r>
              <w:rPr>
                <w:b/>
                <w:bCs/>
                <w:sz w:val="12"/>
              </w:rPr>
              <w:t>19</w:t>
            </w:r>
          </w:p>
        </w:tc>
        <w:tc>
          <w:tcPr>
            <w:tcW w:w="359" w:type="dxa"/>
            <w:gridSpan w:val="2"/>
            <w:tcBorders>
              <w:top w:val="single" w:sz="4" w:space="0" w:color="auto"/>
              <w:bottom w:val="nil"/>
            </w:tcBorders>
          </w:tcPr>
          <w:p>
            <w:pPr>
              <w:pStyle w:val="yTableNAm"/>
              <w:spacing w:before="0"/>
              <w:rPr>
                <w:b/>
                <w:bCs/>
                <w:sz w:val="12"/>
              </w:rPr>
            </w:pPr>
            <w:r>
              <w:rPr>
                <w:b/>
                <w:bCs/>
                <w:sz w:val="12"/>
              </w:rPr>
              <w:t>20</w:t>
            </w:r>
          </w:p>
        </w:tc>
      </w:tr>
      <w:tr>
        <w:tblPrEx>
          <w:tblCellMar>
            <w:right w:w="0" w:type="dxa"/>
          </w:tblCellMar>
        </w:tblPrEx>
        <w:tc>
          <w:tcPr>
            <w:tcW w:w="993" w:type="dxa"/>
            <w:tcBorders>
              <w:top w:val="nil"/>
            </w:tcBorders>
          </w:tcPr>
          <w:p>
            <w:pPr>
              <w:pStyle w:val="yTableNAm"/>
              <w:spacing w:before="0"/>
              <w:rPr>
                <w:sz w:val="12"/>
              </w:rPr>
            </w:pPr>
            <w:r>
              <w:rPr>
                <w:sz w:val="12"/>
              </w:rPr>
              <w:t>Six and two</w:t>
            </w:r>
          </w:p>
          <w:p>
            <w:pPr>
              <w:pStyle w:val="yTableNAm"/>
              <w:spacing w:before="0"/>
              <w:rPr>
                <w:sz w:val="12"/>
              </w:rPr>
            </w:pPr>
            <w:r>
              <w:rPr>
                <w:sz w:val="12"/>
              </w:rPr>
              <w:t>supplementaries</w:t>
            </w: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r>
              <w:rPr>
                <w:sz w:val="12"/>
              </w:rPr>
              <w:t>Five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keepNext/>
              <w:spacing w:before="0"/>
              <w:rPr>
                <w:sz w:val="12"/>
              </w:rPr>
            </w:pPr>
            <w:r>
              <w:rPr>
                <w:sz w:val="12"/>
              </w:rPr>
              <w:t>Three and two supplementaries</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r>
              <w:rPr>
                <w:sz w:val="12"/>
              </w:rPr>
              <w:t>Three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1, formerly Schedule 2, renumbered as Part 1 in Gazette 21 Dec 2010 p. 6765.]</w:t>
      </w:r>
    </w:p>
    <w:p>
      <w:pPr>
        <w:pStyle w:val="yHeading3"/>
        <w:pageBreakBefore/>
        <w:spacing w:before="0"/>
        <w:rPr>
          <w:bCs/>
        </w:rPr>
      </w:pPr>
      <w:bookmarkStart w:id="138" w:name="_Toc391299448"/>
      <w:bookmarkStart w:id="139" w:name="_Toc391299548"/>
      <w:bookmarkStart w:id="140" w:name="_Toc387064638"/>
      <w:r>
        <w:rPr>
          <w:rStyle w:val="CharSDivNo"/>
        </w:rPr>
        <w:t>Part 2</w:t>
      </w:r>
      <w:r>
        <w:rPr>
          <w:b w:val="0"/>
        </w:rPr>
        <w:t> — </w:t>
      </w:r>
      <w:r>
        <w:rPr>
          <w:rStyle w:val="CharSDivText"/>
        </w:rPr>
        <w:t>Prizes applicable to draw 3081 on 29 January 2011 and subsequent draws</w:t>
      </w:r>
      <w:bookmarkEnd w:id="138"/>
      <w:bookmarkEnd w:id="139"/>
      <w:bookmarkEnd w:id="140"/>
    </w:p>
    <w:p>
      <w:pPr>
        <w:pStyle w:val="yFootnoteheading"/>
        <w:spacing w:after="80"/>
      </w:pPr>
      <w:r>
        <w:tab/>
        <w:t>[Heading inserted in Gazette 21 Dec 2010 p. 6765.]</w:t>
      </w:r>
    </w:p>
    <w:tbl>
      <w:tblPr>
        <w:tblW w:w="7088" w:type="dxa"/>
        <w:tblInd w:w="57" w:type="dxa"/>
        <w:tblBorders>
          <w:bottom w:val="single" w:sz="4" w:space="0" w:color="auto"/>
        </w:tblBorders>
        <w:tblLayout w:type="fixed"/>
        <w:tblCellMar>
          <w:left w:w="57" w:type="dxa"/>
        </w:tblCellMar>
        <w:tblLook w:val="0000" w:firstRow="0" w:lastRow="0" w:firstColumn="0" w:lastColumn="0" w:noHBand="0" w:noVBand="0"/>
      </w:tblPr>
      <w:tblGrid>
        <w:gridCol w:w="986"/>
        <w:gridCol w:w="356"/>
        <w:gridCol w:w="357"/>
        <w:gridCol w:w="356"/>
        <w:gridCol w:w="356"/>
        <w:gridCol w:w="355"/>
        <w:gridCol w:w="356"/>
        <w:gridCol w:w="355"/>
        <w:gridCol w:w="324"/>
        <w:gridCol w:w="33"/>
        <w:gridCol w:w="355"/>
        <w:gridCol w:w="356"/>
        <w:gridCol w:w="355"/>
        <w:gridCol w:w="356"/>
        <w:gridCol w:w="355"/>
        <w:gridCol w:w="356"/>
        <w:gridCol w:w="355"/>
        <w:gridCol w:w="356"/>
        <w:gridCol w:w="356"/>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6095" w:type="dxa"/>
            <w:gridSpan w:val="18"/>
            <w:tcBorders>
              <w:bottom w:val="nil"/>
            </w:tcBorders>
          </w:tcPr>
          <w:p>
            <w:pPr>
              <w:pStyle w:val="yTableNAm"/>
              <w:spacing w:before="0"/>
              <w:rPr>
                <w:b/>
                <w:bCs/>
                <w:sz w:val="12"/>
              </w:rPr>
            </w:pPr>
            <w:r>
              <w:rPr>
                <w:b/>
                <w:bCs/>
                <w:sz w:val="12"/>
              </w:rPr>
              <w:t>NUMBER OF PRIZES</w:t>
            </w: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rPr>
                <w:b/>
                <w:bCs/>
                <w:sz w:val="12"/>
              </w:rPr>
            </w:pPr>
            <w:r>
              <w:rPr>
                <w:b/>
                <w:bCs/>
                <w:sz w:val="12"/>
              </w:rPr>
              <w:t>PRIZE TAKE</w:t>
            </w:r>
          </w:p>
          <w:p>
            <w:pPr>
              <w:pStyle w:val="yTableNAm"/>
              <w:spacing w:before="0"/>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tcBorders>
          </w:tcPr>
          <w:p>
            <w:pPr>
              <w:pStyle w:val="yTableNAm"/>
              <w:spacing w:before="0"/>
              <w:rPr>
                <w:b/>
                <w:bCs/>
                <w:sz w:val="12"/>
              </w:rPr>
            </w:pPr>
          </w:p>
        </w:tc>
        <w:tc>
          <w:tcPr>
            <w:tcW w:w="359" w:type="dxa"/>
            <w:tcBorders>
              <w:top w:val="single" w:sz="4" w:space="0" w:color="auto"/>
            </w:tcBorders>
          </w:tcPr>
          <w:p>
            <w:pPr>
              <w:pStyle w:val="yTableNAm"/>
              <w:spacing w:before="0"/>
              <w:rPr>
                <w:b/>
                <w:bCs/>
                <w:sz w:val="12"/>
              </w:rPr>
            </w:pPr>
            <w:r>
              <w:rPr>
                <w:b/>
                <w:bCs/>
                <w:sz w:val="12"/>
              </w:rPr>
              <w:t>5</w:t>
            </w:r>
          </w:p>
        </w:tc>
        <w:tc>
          <w:tcPr>
            <w:tcW w:w="358" w:type="dxa"/>
            <w:tcBorders>
              <w:top w:val="single" w:sz="4" w:space="0" w:color="auto"/>
            </w:tcBorders>
          </w:tcPr>
          <w:p>
            <w:pPr>
              <w:pStyle w:val="yTableNAm"/>
              <w:spacing w:before="0"/>
              <w:rPr>
                <w:b/>
                <w:bCs/>
                <w:sz w:val="12"/>
              </w:rPr>
            </w:pPr>
            <w:r>
              <w:rPr>
                <w:b/>
                <w:bCs/>
                <w:sz w:val="12"/>
              </w:rPr>
              <w:t>4</w:t>
            </w:r>
          </w:p>
        </w:tc>
        <w:tc>
          <w:tcPr>
            <w:tcW w:w="359" w:type="dxa"/>
            <w:tcBorders>
              <w:top w:val="single" w:sz="4" w:space="0" w:color="auto"/>
            </w:tcBorders>
          </w:tcPr>
          <w:p>
            <w:pPr>
              <w:pStyle w:val="yTableNAm"/>
              <w:spacing w:before="0"/>
              <w:rPr>
                <w:b/>
                <w:bCs/>
                <w:sz w:val="12"/>
              </w:rPr>
            </w:pPr>
            <w:r>
              <w:rPr>
                <w:b/>
                <w:bCs/>
                <w:sz w:val="12"/>
              </w:rPr>
              <w:t>7</w:t>
            </w:r>
          </w:p>
        </w:tc>
        <w:tc>
          <w:tcPr>
            <w:tcW w:w="358" w:type="dxa"/>
            <w:tcBorders>
              <w:top w:val="single" w:sz="4" w:space="0" w:color="auto"/>
            </w:tcBorders>
          </w:tcPr>
          <w:p>
            <w:pPr>
              <w:pStyle w:val="yTableNAm"/>
              <w:spacing w:before="0"/>
              <w:rPr>
                <w:b/>
                <w:bCs/>
                <w:sz w:val="12"/>
              </w:rPr>
            </w:pPr>
            <w:r>
              <w:rPr>
                <w:b/>
                <w:bCs/>
                <w:sz w:val="12"/>
              </w:rPr>
              <w:t>8</w:t>
            </w:r>
          </w:p>
        </w:tc>
        <w:tc>
          <w:tcPr>
            <w:tcW w:w="359" w:type="dxa"/>
            <w:tcBorders>
              <w:top w:val="single" w:sz="4" w:space="0" w:color="auto"/>
            </w:tcBorders>
          </w:tcPr>
          <w:p>
            <w:pPr>
              <w:pStyle w:val="yTableNAm"/>
              <w:spacing w:before="0"/>
              <w:rPr>
                <w:b/>
                <w:bCs/>
                <w:sz w:val="12"/>
              </w:rPr>
            </w:pPr>
            <w:r>
              <w:rPr>
                <w:b/>
                <w:bCs/>
                <w:sz w:val="12"/>
              </w:rPr>
              <w:t>9</w:t>
            </w:r>
          </w:p>
        </w:tc>
        <w:tc>
          <w:tcPr>
            <w:tcW w:w="358" w:type="dxa"/>
            <w:tcBorders>
              <w:top w:val="single" w:sz="4" w:space="0" w:color="auto"/>
            </w:tcBorders>
          </w:tcPr>
          <w:p>
            <w:pPr>
              <w:pStyle w:val="yTableNAm"/>
              <w:spacing w:before="0"/>
              <w:rPr>
                <w:b/>
                <w:bCs/>
                <w:sz w:val="12"/>
              </w:rPr>
            </w:pPr>
            <w:r>
              <w:rPr>
                <w:b/>
                <w:bCs/>
                <w:sz w:val="12"/>
              </w:rPr>
              <w:t>10</w:t>
            </w:r>
          </w:p>
        </w:tc>
        <w:tc>
          <w:tcPr>
            <w:tcW w:w="359" w:type="dxa"/>
            <w:gridSpan w:val="2"/>
            <w:tcBorders>
              <w:top w:val="single" w:sz="4" w:space="0" w:color="auto"/>
            </w:tcBorders>
          </w:tcPr>
          <w:p>
            <w:pPr>
              <w:pStyle w:val="yTableNAm"/>
              <w:spacing w:before="0"/>
              <w:rPr>
                <w:b/>
                <w:bCs/>
                <w:sz w:val="12"/>
              </w:rPr>
            </w:pPr>
            <w:r>
              <w:rPr>
                <w:b/>
                <w:bCs/>
                <w:sz w:val="12"/>
              </w:rPr>
              <w:t>11</w:t>
            </w:r>
          </w:p>
        </w:tc>
        <w:tc>
          <w:tcPr>
            <w:tcW w:w="358" w:type="dxa"/>
            <w:tcBorders>
              <w:top w:val="single" w:sz="4" w:space="0" w:color="auto"/>
            </w:tcBorders>
          </w:tcPr>
          <w:p>
            <w:pPr>
              <w:pStyle w:val="yTableNAm"/>
              <w:spacing w:before="0"/>
              <w:rPr>
                <w:b/>
                <w:bCs/>
                <w:sz w:val="12"/>
              </w:rPr>
            </w:pPr>
            <w:r>
              <w:rPr>
                <w:b/>
                <w:bCs/>
                <w:sz w:val="12"/>
              </w:rPr>
              <w:t>12</w:t>
            </w:r>
          </w:p>
        </w:tc>
        <w:tc>
          <w:tcPr>
            <w:tcW w:w="359" w:type="dxa"/>
            <w:tcBorders>
              <w:top w:val="single" w:sz="4" w:space="0" w:color="auto"/>
            </w:tcBorders>
          </w:tcPr>
          <w:p>
            <w:pPr>
              <w:pStyle w:val="yTableNAm"/>
              <w:spacing w:before="0"/>
              <w:rPr>
                <w:b/>
                <w:bCs/>
                <w:sz w:val="12"/>
              </w:rPr>
            </w:pPr>
            <w:r>
              <w:rPr>
                <w:b/>
                <w:bCs/>
                <w:sz w:val="12"/>
              </w:rPr>
              <w:t>13</w:t>
            </w:r>
          </w:p>
        </w:tc>
        <w:tc>
          <w:tcPr>
            <w:tcW w:w="358" w:type="dxa"/>
            <w:tcBorders>
              <w:top w:val="single" w:sz="4" w:space="0" w:color="auto"/>
            </w:tcBorders>
          </w:tcPr>
          <w:p>
            <w:pPr>
              <w:pStyle w:val="yTableNAm"/>
              <w:spacing w:before="0"/>
              <w:rPr>
                <w:b/>
                <w:bCs/>
                <w:sz w:val="12"/>
              </w:rPr>
            </w:pPr>
            <w:r>
              <w:rPr>
                <w:b/>
                <w:bCs/>
                <w:sz w:val="12"/>
              </w:rPr>
              <w:t>14</w:t>
            </w:r>
          </w:p>
        </w:tc>
        <w:tc>
          <w:tcPr>
            <w:tcW w:w="359" w:type="dxa"/>
            <w:tcBorders>
              <w:top w:val="single" w:sz="4" w:space="0" w:color="auto"/>
            </w:tcBorders>
          </w:tcPr>
          <w:p>
            <w:pPr>
              <w:pStyle w:val="yTableNAm"/>
              <w:spacing w:before="0"/>
              <w:rPr>
                <w:b/>
                <w:bCs/>
                <w:sz w:val="12"/>
              </w:rPr>
            </w:pPr>
            <w:r>
              <w:rPr>
                <w:b/>
                <w:bCs/>
                <w:sz w:val="12"/>
              </w:rPr>
              <w:t>15</w:t>
            </w:r>
          </w:p>
        </w:tc>
        <w:tc>
          <w:tcPr>
            <w:tcW w:w="358" w:type="dxa"/>
            <w:tcBorders>
              <w:top w:val="single" w:sz="4" w:space="0" w:color="auto"/>
            </w:tcBorders>
          </w:tcPr>
          <w:p>
            <w:pPr>
              <w:pStyle w:val="yTableNAm"/>
              <w:spacing w:before="0"/>
              <w:rPr>
                <w:b/>
                <w:bCs/>
                <w:sz w:val="12"/>
              </w:rPr>
            </w:pPr>
            <w:r>
              <w:rPr>
                <w:b/>
                <w:bCs/>
                <w:sz w:val="12"/>
              </w:rPr>
              <w:t>16</w:t>
            </w:r>
          </w:p>
        </w:tc>
        <w:tc>
          <w:tcPr>
            <w:tcW w:w="359" w:type="dxa"/>
            <w:tcBorders>
              <w:top w:val="single" w:sz="4" w:space="0" w:color="auto"/>
            </w:tcBorders>
          </w:tcPr>
          <w:p>
            <w:pPr>
              <w:pStyle w:val="yTableNAm"/>
              <w:spacing w:before="0"/>
              <w:rPr>
                <w:b/>
                <w:bCs/>
                <w:sz w:val="12"/>
              </w:rPr>
            </w:pPr>
            <w:r>
              <w:rPr>
                <w:b/>
                <w:bCs/>
                <w:sz w:val="12"/>
              </w:rPr>
              <w:t>17</w:t>
            </w:r>
          </w:p>
        </w:tc>
        <w:tc>
          <w:tcPr>
            <w:tcW w:w="358" w:type="dxa"/>
            <w:tcBorders>
              <w:top w:val="single" w:sz="4" w:space="0" w:color="auto"/>
            </w:tcBorders>
          </w:tcPr>
          <w:p>
            <w:pPr>
              <w:pStyle w:val="yTableNAm"/>
              <w:spacing w:before="0"/>
              <w:rPr>
                <w:b/>
                <w:bCs/>
                <w:sz w:val="12"/>
              </w:rPr>
            </w:pPr>
            <w:r>
              <w:rPr>
                <w:b/>
                <w:bCs/>
                <w:sz w:val="12"/>
              </w:rPr>
              <w:t>18</w:t>
            </w:r>
          </w:p>
        </w:tc>
        <w:tc>
          <w:tcPr>
            <w:tcW w:w="359" w:type="dxa"/>
            <w:tcBorders>
              <w:top w:val="single" w:sz="4" w:space="0" w:color="auto"/>
            </w:tcBorders>
          </w:tcPr>
          <w:p>
            <w:pPr>
              <w:pStyle w:val="yTableNAm"/>
              <w:spacing w:before="0"/>
              <w:rPr>
                <w:b/>
                <w:bCs/>
                <w:sz w:val="12"/>
              </w:rPr>
            </w:pPr>
            <w:r>
              <w:rPr>
                <w:b/>
                <w:bCs/>
                <w:sz w:val="12"/>
              </w:rPr>
              <w:t>19</w:t>
            </w:r>
          </w:p>
        </w:tc>
        <w:tc>
          <w:tcPr>
            <w:tcW w:w="359" w:type="dxa"/>
            <w:gridSpan w:val="2"/>
            <w:tcBorders>
              <w:top w:val="single" w:sz="4" w:space="0" w:color="auto"/>
            </w:tcBorders>
          </w:tcPr>
          <w:p>
            <w:pPr>
              <w:pStyle w:val="yTableNAm"/>
              <w:spacing w:before="0"/>
              <w:rPr>
                <w:b/>
                <w:bCs/>
                <w:sz w:val="12"/>
              </w:rPr>
            </w:pPr>
            <w:r>
              <w:rPr>
                <w:b/>
                <w:bCs/>
                <w:sz w:val="12"/>
              </w:rPr>
              <w:t>20</w:t>
            </w:r>
          </w:p>
        </w:tc>
      </w:tr>
      <w:tr>
        <w:tblPrEx>
          <w:tblCellMar>
            <w:right w:w="0" w:type="dxa"/>
          </w:tblCellMar>
        </w:tblPrEx>
        <w:tc>
          <w:tcPr>
            <w:tcW w:w="993" w:type="dxa"/>
          </w:tcPr>
          <w:p>
            <w:pPr>
              <w:pStyle w:val="yTableNAm"/>
              <w:spacing w:before="0"/>
              <w:rPr>
                <w:sz w:val="12"/>
              </w:rPr>
            </w:pPr>
            <w:r>
              <w:rPr>
                <w:sz w:val="12"/>
              </w:rPr>
              <w:t>Six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51</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345</w:t>
            </w:r>
          </w:p>
        </w:tc>
        <w:tc>
          <w:tcPr>
            <w:tcW w:w="359" w:type="dxa"/>
          </w:tcPr>
          <w:p>
            <w:pPr>
              <w:pStyle w:val="yTableNAm"/>
              <w:spacing w:before="0"/>
              <w:rPr>
                <w:sz w:val="12"/>
              </w:rPr>
            </w:pPr>
            <w:r>
              <w:rPr>
                <w:sz w:val="12"/>
              </w:rPr>
              <w:t>525</w:t>
            </w:r>
          </w:p>
        </w:tc>
        <w:tc>
          <w:tcPr>
            <w:tcW w:w="358" w:type="dxa"/>
          </w:tcPr>
          <w:p>
            <w:pPr>
              <w:pStyle w:val="yTableNAm"/>
              <w:spacing w:before="0"/>
              <w:rPr>
                <w:sz w:val="12"/>
              </w:rPr>
            </w:pPr>
            <w:r>
              <w:rPr>
                <w:sz w:val="12"/>
              </w:rPr>
              <w:t>756</w:t>
            </w:r>
          </w:p>
        </w:tc>
        <w:tc>
          <w:tcPr>
            <w:tcW w:w="359" w:type="dxa"/>
          </w:tcPr>
          <w:p>
            <w:pPr>
              <w:pStyle w:val="yTableNAm"/>
              <w:spacing w:before="0"/>
              <w:rPr>
                <w:sz w:val="12"/>
              </w:rPr>
            </w:pPr>
            <w:r>
              <w:rPr>
                <w:sz w:val="12"/>
              </w:rPr>
              <w:t>1044</w:t>
            </w:r>
          </w:p>
        </w:tc>
        <w:tc>
          <w:tcPr>
            <w:tcW w:w="358" w:type="dxa"/>
          </w:tcPr>
          <w:p>
            <w:pPr>
              <w:pStyle w:val="yTableNAm"/>
              <w:spacing w:before="0"/>
              <w:rPr>
                <w:sz w:val="12"/>
              </w:rPr>
            </w:pPr>
            <w:r>
              <w:rPr>
                <w:sz w:val="12"/>
              </w:rPr>
              <w:t>1395</w:t>
            </w:r>
          </w:p>
        </w:tc>
        <w:tc>
          <w:tcPr>
            <w:tcW w:w="359" w:type="dxa"/>
          </w:tcPr>
          <w:p>
            <w:pPr>
              <w:pStyle w:val="yTableNAm"/>
              <w:spacing w:before="0"/>
              <w:rPr>
                <w:sz w:val="12"/>
              </w:rPr>
            </w:pPr>
            <w:r>
              <w:rPr>
                <w:sz w:val="12"/>
              </w:rPr>
              <w:t>1815</w:t>
            </w:r>
          </w:p>
        </w:tc>
        <w:tc>
          <w:tcPr>
            <w:tcW w:w="359" w:type="dxa"/>
            <w:gridSpan w:val="2"/>
          </w:tcPr>
          <w:p>
            <w:pPr>
              <w:pStyle w:val="yTableNAm"/>
              <w:spacing w:before="0"/>
              <w:rPr>
                <w:sz w:val="12"/>
              </w:rPr>
            </w:pPr>
            <w:r>
              <w:rPr>
                <w:sz w:val="12"/>
              </w:rPr>
              <w:t>2310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80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250</w:t>
            </w:r>
          </w:p>
        </w:tc>
        <w:tc>
          <w:tcPr>
            <w:tcW w:w="358" w:type="dxa"/>
          </w:tcPr>
          <w:p>
            <w:pPr>
              <w:pStyle w:val="yTableNAm"/>
              <w:spacing w:before="0"/>
              <w:rPr>
                <w:sz w:val="12"/>
              </w:rPr>
            </w:pPr>
            <w:r>
              <w:rPr>
                <w:sz w:val="12"/>
              </w:rPr>
              <w:t>385</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780</w:t>
            </w:r>
          </w:p>
        </w:tc>
        <w:tc>
          <w:tcPr>
            <w:tcW w:w="359" w:type="dxa"/>
          </w:tcPr>
          <w:p>
            <w:pPr>
              <w:pStyle w:val="yTableNAm"/>
              <w:spacing w:before="0"/>
              <w:rPr>
                <w:sz w:val="12"/>
              </w:rPr>
            </w:pPr>
            <w:r>
              <w:rPr>
                <w:sz w:val="12"/>
              </w:rPr>
              <w:t>1050</w:t>
            </w:r>
          </w:p>
        </w:tc>
        <w:tc>
          <w:tcPr>
            <w:tcW w:w="358" w:type="dxa"/>
          </w:tcPr>
          <w:p>
            <w:pPr>
              <w:pStyle w:val="yTableNAm"/>
              <w:spacing w:before="0"/>
              <w:rPr>
                <w:sz w:val="12"/>
              </w:rPr>
            </w:pPr>
            <w:r>
              <w:rPr>
                <w:sz w:val="12"/>
              </w:rPr>
              <w:t>1375</w:t>
            </w:r>
          </w:p>
        </w:tc>
        <w:tc>
          <w:tcPr>
            <w:tcW w:w="359" w:type="dxa"/>
          </w:tcPr>
          <w:p>
            <w:pPr>
              <w:pStyle w:val="yTableNAm"/>
              <w:spacing w:before="0"/>
              <w:rPr>
                <w:sz w:val="12"/>
              </w:rPr>
            </w:pPr>
            <w:r>
              <w:rPr>
                <w:sz w:val="12"/>
              </w:rPr>
              <w:t>1760</w:t>
            </w:r>
          </w:p>
        </w:tc>
        <w:tc>
          <w:tcPr>
            <w:tcW w:w="359" w:type="dxa"/>
            <w:gridSpan w:val="2"/>
          </w:tcPr>
          <w:p>
            <w:pPr>
              <w:pStyle w:val="yTableNAm"/>
              <w:spacing w:before="0"/>
              <w:rPr>
                <w:sz w:val="12"/>
              </w:rPr>
            </w:pPr>
            <w:r>
              <w:rPr>
                <w:sz w:val="12"/>
              </w:rPr>
              <w:t>2210</w:t>
            </w:r>
          </w:p>
        </w:tc>
      </w:tr>
      <w:tr>
        <w:tblPrEx>
          <w:tblCellMar>
            <w:right w:w="0" w:type="dxa"/>
          </w:tblCellMar>
        </w:tblPrEx>
        <w:tc>
          <w:tcPr>
            <w:tcW w:w="993" w:type="dxa"/>
          </w:tcPr>
          <w:p>
            <w:pPr>
              <w:pStyle w:val="yTableNAm"/>
              <w:spacing w:before="0"/>
              <w:rPr>
                <w:sz w:val="12"/>
              </w:rPr>
            </w:pPr>
            <w:r>
              <w:rPr>
                <w:sz w:val="12"/>
              </w:rPr>
              <w:t>Five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22</w:t>
            </w:r>
          </w:p>
        </w:tc>
        <w:tc>
          <w:tcPr>
            <w:tcW w:w="358" w:type="dxa"/>
          </w:tcPr>
          <w:p>
            <w:pPr>
              <w:pStyle w:val="yTableNAm"/>
              <w:spacing w:before="0"/>
              <w:rPr>
                <w:sz w:val="12"/>
              </w:rPr>
            </w:pPr>
            <w:r>
              <w:rPr>
                <w:sz w:val="12"/>
              </w:rPr>
              <w:t>52</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170</w:t>
            </w:r>
          </w:p>
        </w:tc>
        <w:tc>
          <w:tcPr>
            <w:tcW w:w="359" w:type="dxa"/>
          </w:tcPr>
          <w:p>
            <w:pPr>
              <w:pStyle w:val="yTableNAm"/>
              <w:spacing w:before="0"/>
              <w:rPr>
                <w:sz w:val="12"/>
              </w:rPr>
            </w:pPr>
            <w:r>
              <w:rPr>
                <w:sz w:val="12"/>
              </w:rPr>
              <w:t>266</w:t>
            </w:r>
          </w:p>
        </w:tc>
        <w:tc>
          <w:tcPr>
            <w:tcW w:w="358" w:type="dxa"/>
          </w:tcPr>
          <w:p>
            <w:pPr>
              <w:pStyle w:val="yTableNAm"/>
              <w:spacing w:before="0"/>
              <w:rPr>
                <w:sz w:val="12"/>
              </w:rPr>
            </w:pPr>
            <w:r>
              <w:rPr>
                <w:sz w:val="12"/>
              </w:rPr>
              <w:t>392</w:t>
            </w:r>
          </w:p>
        </w:tc>
        <w:tc>
          <w:tcPr>
            <w:tcW w:w="359" w:type="dxa"/>
          </w:tcPr>
          <w:p>
            <w:pPr>
              <w:pStyle w:val="yTableNAm"/>
              <w:spacing w:before="0"/>
              <w:rPr>
                <w:sz w:val="12"/>
              </w:rPr>
            </w:pPr>
            <w:r>
              <w:rPr>
                <w:sz w:val="12"/>
              </w:rPr>
              <w:t>552</w:t>
            </w:r>
          </w:p>
        </w:tc>
        <w:tc>
          <w:tcPr>
            <w:tcW w:w="358" w:type="dxa"/>
          </w:tcPr>
          <w:p>
            <w:pPr>
              <w:pStyle w:val="yTableNAm"/>
              <w:spacing w:before="0"/>
              <w:rPr>
                <w:sz w:val="12"/>
              </w:rPr>
            </w:pPr>
            <w:r>
              <w:rPr>
                <w:sz w:val="12"/>
              </w:rPr>
              <w:t>750</w:t>
            </w:r>
          </w:p>
        </w:tc>
        <w:tc>
          <w:tcPr>
            <w:tcW w:w="359" w:type="dxa"/>
          </w:tcPr>
          <w:p>
            <w:pPr>
              <w:pStyle w:val="yTableNAm"/>
              <w:spacing w:before="0"/>
              <w:rPr>
                <w:sz w:val="12"/>
              </w:rPr>
            </w:pPr>
            <w:r>
              <w:rPr>
                <w:sz w:val="12"/>
              </w:rPr>
              <w:t>990</w:t>
            </w:r>
          </w:p>
        </w:tc>
        <w:tc>
          <w:tcPr>
            <w:tcW w:w="358" w:type="dxa"/>
          </w:tcPr>
          <w:p>
            <w:pPr>
              <w:pStyle w:val="yTableNAm"/>
              <w:spacing w:before="0"/>
              <w:rPr>
                <w:sz w:val="12"/>
              </w:rPr>
            </w:pPr>
            <w:r>
              <w:rPr>
                <w:sz w:val="12"/>
              </w:rPr>
              <w:t>1276</w:t>
            </w:r>
          </w:p>
        </w:tc>
        <w:tc>
          <w:tcPr>
            <w:tcW w:w="359" w:type="dxa"/>
          </w:tcPr>
          <w:p>
            <w:pPr>
              <w:pStyle w:val="yTableNAm"/>
              <w:spacing w:before="0"/>
              <w:rPr>
                <w:sz w:val="12"/>
              </w:rPr>
            </w:pPr>
            <w:r>
              <w:rPr>
                <w:sz w:val="12"/>
              </w:rPr>
              <w:t>1612</w:t>
            </w:r>
          </w:p>
        </w:tc>
        <w:tc>
          <w:tcPr>
            <w:tcW w:w="359" w:type="dxa"/>
            <w:gridSpan w:val="2"/>
          </w:tcPr>
          <w:p>
            <w:pPr>
              <w:pStyle w:val="yTableNAm"/>
              <w:spacing w:before="0"/>
              <w:rPr>
                <w:sz w:val="12"/>
              </w:rPr>
            </w:pPr>
            <w:r>
              <w:rPr>
                <w:sz w:val="12"/>
              </w:rPr>
              <w:t>2002</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105</w:t>
            </w:r>
          </w:p>
        </w:tc>
        <w:tc>
          <w:tcPr>
            <w:tcW w:w="358" w:type="dxa"/>
          </w:tcPr>
          <w:p>
            <w:pPr>
              <w:pStyle w:val="yTableNAm"/>
              <w:spacing w:before="0"/>
              <w:rPr>
                <w:sz w:val="12"/>
              </w:rPr>
            </w:pPr>
            <w:r>
              <w:rPr>
                <w:sz w:val="12"/>
              </w:rPr>
              <w:t>168</w:t>
            </w:r>
          </w:p>
        </w:tc>
        <w:tc>
          <w:tcPr>
            <w:tcW w:w="359" w:type="dxa"/>
          </w:tcPr>
          <w:p>
            <w:pPr>
              <w:pStyle w:val="yTableNAm"/>
              <w:spacing w:before="0"/>
              <w:rPr>
                <w:sz w:val="12"/>
              </w:rPr>
            </w:pPr>
            <w:r>
              <w:rPr>
                <w:sz w:val="12"/>
              </w:rPr>
              <w:t>252</w:t>
            </w:r>
          </w:p>
        </w:tc>
        <w:tc>
          <w:tcPr>
            <w:tcW w:w="358" w:type="dxa"/>
          </w:tcPr>
          <w:p>
            <w:pPr>
              <w:pStyle w:val="yTableNAm"/>
              <w:spacing w:before="0"/>
              <w:rPr>
                <w:sz w:val="12"/>
              </w:rPr>
            </w:pPr>
            <w:r>
              <w:rPr>
                <w:sz w:val="12"/>
              </w:rPr>
              <w:t>360</w:t>
            </w:r>
          </w:p>
        </w:tc>
        <w:tc>
          <w:tcPr>
            <w:tcW w:w="359" w:type="dxa"/>
          </w:tcPr>
          <w:p>
            <w:pPr>
              <w:pStyle w:val="yTableNAm"/>
              <w:spacing w:before="0"/>
              <w:rPr>
                <w:sz w:val="12"/>
              </w:rPr>
            </w:pPr>
            <w:r>
              <w:rPr>
                <w:sz w:val="12"/>
              </w:rPr>
              <w:t>495</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858</w:t>
            </w:r>
          </w:p>
        </w:tc>
        <w:tc>
          <w:tcPr>
            <w:tcW w:w="358" w:type="dxa"/>
          </w:tcPr>
          <w:p>
            <w:pPr>
              <w:pStyle w:val="yTableNAm"/>
              <w:spacing w:before="0"/>
              <w:rPr>
                <w:sz w:val="12"/>
              </w:rPr>
            </w:pPr>
            <w:r>
              <w:rPr>
                <w:sz w:val="12"/>
              </w:rPr>
              <w:t>1092</w:t>
            </w:r>
          </w:p>
        </w:tc>
        <w:tc>
          <w:tcPr>
            <w:tcW w:w="359" w:type="dxa"/>
          </w:tcPr>
          <w:p>
            <w:pPr>
              <w:pStyle w:val="yTableNAm"/>
              <w:spacing w:before="0"/>
              <w:rPr>
                <w:sz w:val="12"/>
              </w:rPr>
            </w:pPr>
            <w:r>
              <w:rPr>
                <w:sz w:val="12"/>
              </w:rPr>
              <w:t>1365</w:t>
            </w:r>
          </w:p>
        </w:tc>
        <w:tc>
          <w:tcPr>
            <w:tcW w:w="359" w:type="dxa"/>
            <w:gridSpan w:val="2"/>
          </w:tcPr>
          <w:p>
            <w:pPr>
              <w:pStyle w:val="yTableNAm"/>
              <w:spacing w:before="0"/>
              <w:rPr>
                <w:sz w:val="12"/>
              </w:rPr>
            </w:pPr>
            <w:r>
              <w:rPr>
                <w:sz w:val="12"/>
              </w:rPr>
              <w:t>1680</w:t>
            </w:r>
          </w:p>
        </w:tc>
      </w:tr>
      <w:tr>
        <w:tblPrEx>
          <w:tblCellMar>
            <w:right w:w="0" w:type="dxa"/>
          </w:tblCellMar>
        </w:tblPrEx>
        <w:tc>
          <w:tcPr>
            <w:tcW w:w="993" w:type="dxa"/>
          </w:tcPr>
          <w:p>
            <w:pPr>
              <w:pStyle w:val="yTableNAm"/>
              <w:keepNext/>
              <w:spacing w:before="0"/>
              <w:rPr>
                <w:sz w:val="12"/>
              </w:rPr>
            </w:pPr>
            <w:r>
              <w:rPr>
                <w:sz w:val="12"/>
              </w:rPr>
              <w:t>Three and one supplementary</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2</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t>3</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t>114</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666</w:t>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55</w:t>
            </w:r>
          </w:p>
        </w:tc>
        <w:tc>
          <w:tcPr>
            <w:tcW w:w="359" w:type="dxa"/>
            <w:gridSpan w:val="2"/>
          </w:tcPr>
          <w:p>
            <w:pPr>
              <w:pStyle w:val="yTableNAm"/>
              <w:spacing w:before="0"/>
              <w:rPr>
                <w:sz w:val="12"/>
              </w:rPr>
            </w:pPr>
            <w:r>
              <w:rPr>
                <w:sz w:val="12"/>
              </w:rPr>
              <w:t>91</w:t>
            </w:r>
          </w:p>
        </w:tc>
        <w:tc>
          <w:tcPr>
            <w:tcW w:w="358" w:type="dxa"/>
          </w:tcPr>
          <w:p>
            <w:pPr>
              <w:pStyle w:val="yTableNAm"/>
              <w:spacing w:before="0"/>
              <w:rPr>
                <w:sz w:val="12"/>
              </w:rPr>
            </w:pPr>
            <w:r>
              <w:rPr>
                <w:sz w:val="12"/>
              </w:rPr>
              <w:t>140</w:t>
            </w:r>
          </w:p>
        </w:tc>
        <w:tc>
          <w:tcPr>
            <w:tcW w:w="359" w:type="dxa"/>
          </w:tcPr>
          <w:p>
            <w:pPr>
              <w:pStyle w:val="yTableNAm"/>
              <w:spacing w:before="0"/>
              <w:rPr>
                <w:sz w:val="12"/>
              </w:rPr>
            </w:pPr>
            <w:r>
              <w:rPr>
                <w:sz w:val="12"/>
              </w:rPr>
              <w:t>204</w:t>
            </w:r>
          </w:p>
        </w:tc>
        <w:tc>
          <w:tcPr>
            <w:tcW w:w="358" w:type="dxa"/>
          </w:tcPr>
          <w:p>
            <w:pPr>
              <w:pStyle w:val="yTableNAm"/>
              <w:spacing w:before="0"/>
              <w:rPr>
                <w:sz w:val="12"/>
              </w:rPr>
            </w:pPr>
            <w:r>
              <w:rPr>
                <w:sz w:val="12"/>
              </w:rPr>
              <w:t>285</w:t>
            </w:r>
          </w:p>
        </w:tc>
        <w:tc>
          <w:tcPr>
            <w:tcW w:w="359" w:type="dxa"/>
          </w:tcPr>
          <w:p>
            <w:pPr>
              <w:pStyle w:val="yTableNAm"/>
              <w:spacing w:before="0"/>
              <w:rPr>
                <w:sz w:val="12"/>
              </w:rPr>
            </w:pPr>
            <w:r>
              <w:rPr>
                <w:sz w:val="12"/>
              </w:rPr>
              <w:t>385</w:t>
            </w:r>
          </w:p>
        </w:tc>
        <w:tc>
          <w:tcPr>
            <w:tcW w:w="358" w:type="dxa"/>
          </w:tcPr>
          <w:p>
            <w:pPr>
              <w:pStyle w:val="yTableNAm"/>
              <w:spacing w:before="0"/>
              <w:rPr>
                <w:sz w:val="12"/>
              </w:rPr>
            </w:pPr>
            <w:r>
              <w:rPr>
                <w:sz w:val="12"/>
              </w:rPr>
              <w:t>506</w:t>
            </w:r>
          </w:p>
        </w:tc>
        <w:tc>
          <w:tcPr>
            <w:tcW w:w="359" w:type="dxa"/>
          </w:tcPr>
          <w:p>
            <w:pPr>
              <w:pStyle w:val="yTableNAm"/>
              <w:spacing w:before="0"/>
              <w:rPr>
                <w:sz w:val="12"/>
              </w:rPr>
            </w:pPr>
            <w:r>
              <w:rPr>
                <w:sz w:val="12"/>
              </w:rPr>
              <w:t>650</w:t>
            </w:r>
          </w:p>
        </w:tc>
        <w:tc>
          <w:tcPr>
            <w:tcW w:w="358" w:type="dxa"/>
          </w:tcPr>
          <w:p>
            <w:pPr>
              <w:pStyle w:val="yTableNAm"/>
              <w:spacing w:before="0"/>
              <w:rPr>
                <w:sz w:val="12"/>
              </w:rPr>
            </w:pPr>
            <w:r>
              <w:rPr>
                <w:sz w:val="12"/>
              </w:rPr>
              <w:t>819</w:t>
            </w:r>
          </w:p>
        </w:tc>
        <w:tc>
          <w:tcPr>
            <w:tcW w:w="359" w:type="dxa"/>
          </w:tcPr>
          <w:p>
            <w:pPr>
              <w:pStyle w:val="yTableNAm"/>
              <w:spacing w:before="0"/>
              <w:rPr>
                <w:sz w:val="12"/>
              </w:rPr>
            </w:pPr>
            <w:r>
              <w:rPr>
                <w:sz w:val="12"/>
              </w:rPr>
              <w:t>1015</w:t>
            </w:r>
          </w:p>
        </w:tc>
        <w:tc>
          <w:tcPr>
            <w:tcW w:w="359" w:type="dxa"/>
            <w:gridSpan w:val="2"/>
          </w:tcPr>
          <w:p>
            <w:pPr>
              <w:pStyle w:val="yTableNAm"/>
              <w:spacing w:before="0"/>
              <w:rPr>
                <w:sz w:val="12"/>
              </w:rPr>
            </w:pPr>
            <w:r>
              <w:rPr>
                <w:sz w:val="12"/>
              </w:rPr>
              <w:t>1240</w:t>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56</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120</w:t>
            </w:r>
          </w:p>
        </w:tc>
        <w:tc>
          <w:tcPr>
            <w:tcW w:w="358" w:type="dxa"/>
          </w:tcPr>
          <w:p>
            <w:pPr>
              <w:pStyle w:val="yTableNAm"/>
              <w:spacing w:before="0"/>
              <w:rPr>
                <w:sz w:val="12"/>
              </w:rPr>
            </w:pPr>
            <w:r>
              <w:rPr>
                <w:sz w:val="12"/>
              </w:rPr>
              <w:t>165</w:t>
            </w:r>
          </w:p>
        </w:tc>
        <w:tc>
          <w:tcPr>
            <w:tcW w:w="359" w:type="dxa"/>
          </w:tcPr>
          <w:p>
            <w:pPr>
              <w:pStyle w:val="yTableNAm"/>
              <w:spacing w:before="0"/>
              <w:rPr>
                <w:sz w:val="12"/>
              </w:rPr>
            </w:pPr>
            <w:r>
              <w:rPr>
                <w:sz w:val="12"/>
              </w:rPr>
              <w:t>220</w:t>
            </w:r>
          </w:p>
        </w:tc>
        <w:tc>
          <w:tcPr>
            <w:tcW w:w="358" w:type="dxa"/>
          </w:tcPr>
          <w:p>
            <w:pPr>
              <w:pStyle w:val="yTableNAm"/>
              <w:spacing w:before="0"/>
              <w:rPr>
                <w:sz w:val="12"/>
              </w:rPr>
            </w:pPr>
            <w:r>
              <w:rPr>
                <w:sz w:val="12"/>
              </w:rPr>
              <w:t>286</w:t>
            </w:r>
          </w:p>
        </w:tc>
        <w:tc>
          <w:tcPr>
            <w:tcW w:w="359" w:type="dxa"/>
          </w:tcPr>
          <w:p>
            <w:pPr>
              <w:pStyle w:val="yTableNAm"/>
              <w:spacing w:before="0"/>
              <w:rPr>
                <w:sz w:val="12"/>
              </w:rPr>
            </w:pPr>
            <w:r>
              <w:rPr>
                <w:sz w:val="12"/>
              </w:rPr>
              <w:t>364</w:t>
            </w:r>
          </w:p>
        </w:tc>
        <w:tc>
          <w:tcPr>
            <w:tcW w:w="358" w:type="dxa"/>
          </w:tcPr>
          <w:p>
            <w:pPr>
              <w:pStyle w:val="yTableNAm"/>
              <w:spacing w:before="0"/>
              <w:rPr>
                <w:sz w:val="12"/>
              </w:rPr>
            </w:pPr>
            <w:r>
              <w:rPr>
                <w:sz w:val="12"/>
              </w:rPr>
              <w:t>455</w:t>
            </w:r>
          </w:p>
        </w:tc>
        <w:tc>
          <w:tcPr>
            <w:tcW w:w="359" w:type="dxa"/>
          </w:tcPr>
          <w:p>
            <w:pPr>
              <w:pStyle w:val="yTableNAm"/>
              <w:spacing w:before="0"/>
              <w:rPr>
                <w:sz w:val="12"/>
              </w:rPr>
            </w:pPr>
            <w:r>
              <w:rPr>
                <w:sz w:val="12"/>
              </w:rPr>
              <w:t>560</w:t>
            </w:r>
          </w:p>
        </w:tc>
        <w:tc>
          <w:tcPr>
            <w:tcW w:w="359" w:type="dxa"/>
            <w:gridSpan w:val="2"/>
          </w:tcPr>
          <w:p>
            <w:pPr>
              <w:pStyle w:val="yTableNAm"/>
              <w:spacing w:before="0"/>
              <w:rPr>
                <w:sz w:val="12"/>
              </w:rPr>
            </w:pPr>
            <w:r>
              <w:rPr>
                <w:sz w:val="12"/>
              </w:rPr>
              <w:t>680</w:t>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40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2 inserted in Gazette 21 Dec 2010 p. 6765</w:t>
      </w:r>
      <w:r>
        <w:noBreakHyphen/>
        <w:t>6.]</w:t>
      </w:r>
    </w:p>
    <w:p>
      <w:pPr>
        <w:pStyle w:val="yScheduleHeading"/>
      </w:pPr>
      <w:bookmarkStart w:id="141" w:name="_Toc391299449"/>
      <w:bookmarkStart w:id="142" w:name="_Toc391299549"/>
      <w:bookmarkStart w:id="143" w:name="_Toc387064639"/>
      <w:r>
        <w:rPr>
          <w:rStyle w:val="CharSchNo"/>
        </w:rPr>
        <w:t>Schedule 3</w:t>
      </w:r>
      <w:r>
        <w:t> — </w:t>
      </w:r>
      <w:r>
        <w:rPr>
          <w:rStyle w:val="CharSchText"/>
        </w:rPr>
        <w:t>Summary of parameters within which Saturday lotto is conducted</w:t>
      </w:r>
      <w:bookmarkEnd w:id="141"/>
      <w:bookmarkEnd w:id="142"/>
      <w:bookmarkEnd w:id="143"/>
    </w:p>
    <w:p>
      <w:pPr>
        <w:pStyle w:val="yFootnoteheading"/>
      </w:pPr>
      <w:r>
        <w:tab/>
        <w:t>[Heading inserted in Gazette 6 Jun 2008 p. 2273.]</w:t>
      </w:r>
    </w:p>
    <w:p>
      <w:pPr>
        <w:pStyle w:val="yHeading3"/>
        <w:spacing w:after="120"/>
      </w:pPr>
      <w:bookmarkStart w:id="144" w:name="_Toc391299450"/>
      <w:bookmarkStart w:id="145" w:name="_Toc391299550"/>
      <w:bookmarkStart w:id="146" w:name="_Toc387064640"/>
      <w:r>
        <w:rPr>
          <w:rStyle w:val="CharSDivNo"/>
        </w:rPr>
        <w:t>Part 1 </w:t>
      </w:r>
      <w:r>
        <w:t>—</w:t>
      </w:r>
      <w:r>
        <w:rPr>
          <w:rStyle w:val="CharSDivNo"/>
        </w:rPr>
        <w:t> </w:t>
      </w:r>
      <w:r>
        <w:rPr>
          <w:rStyle w:val="CharSDivText"/>
        </w:rPr>
        <w:t>Up to and including draw 3441 on 12 July 2014</w:t>
      </w:r>
      <w:bookmarkEnd w:id="144"/>
      <w:bookmarkEnd w:id="145"/>
      <w:bookmarkEnd w:id="146"/>
    </w:p>
    <w:p>
      <w:pPr>
        <w:pStyle w:val="yFootnoteheading"/>
        <w:spacing w:after="120"/>
        <w:rPr>
          <w:rStyle w:val="CharSDivNo"/>
        </w:rPr>
      </w:pPr>
      <w:r>
        <w:tab/>
        <w:t>[Heading inserted in Gazette 6 May 2014 p. 1389.]</w:t>
      </w:r>
    </w:p>
    <w:tbl>
      <w:tblPr>
        <w:tblW w:w="0" w:type="auto"/>
        <w:tblInd w:w="283" w:type="dxa"/>
        <w:tblLayout w:type="fixed"/>
        <w:tblCellMar>
          <w:left w:w="141" w:type="dxa"/>
          <w:right w:w="141" w:type="dxa"/>
        </w:tblCellMar>
        <w:tblLook w:val="0000" w:firstRow="0" w:lastRow="0" w:firstColumn="0" w:lastColumn="0" w:noHBand="0" w:noVBand="0"/>
      </w:tblPr>
      <w:tblGrid>
        <w:gridCol w:w="4820"/>
        <w:gridCol w:w="1984"/>
      </w:tblGrid>
      <w:tr>
        <w:tc>
          <w:tcPr>
            <w:tcW w:w="4820" w:type="dxa"/>
          </w:tcPr>
          <w:p>
            <w:pPr>
              <w:pStyle w:val="yTableNAm"/>
            </w:pPr>
            <w:r>
              <w:t>Unit cost for a Saturday lotto draw</w:t>
            </w:r>
          </w:p>
        </w:tc>
        <w:tc>
          <w:tcPr>
            <w:tcW w:w="1984" w:type="dxa"/>
          </w:tcPr>
          <w:p>
            <w:pPr>
              <w:pStyle w:val="yTableNAm"/>
            </w:pPr>
            <w:r>
              <w:t>$0.60 (+ a 9% agent’s component)</w:t>
            </w:r>
          </w:p>
        </w:tc>
      </w:tr>
      <w:tr>
        <w:tc>
          <w:tcPr>
            <w:tcW w:w="4820" w:type="dxa"/>
          </w:tcPr>
          <w:p>
            <w:pPr>
              <w:pStyle w:val="yTableNAm"/>
              <w:spacing w:before="60"/>
            </w:pPr>
            <w:r>
              <w:t>Prize fund — % of subscriptions</w:t>
            </w:r>
          </w:p>
        </w:tc>
        <w:tc>
          <w:tcPr>
            <w:tcW w:w="1984" w:type="dxa"/>
          </w:tcPr>
          <w:p>
            <w:pPr>
              <w:pStyle w:val="yTableNAm"/>
              <w:spacing w:before="60"/>
            </w:pPr>
            <w:r>
              <w:t>60.0%</w:t>
            </w:r>
          </w:p>
        </w:tc>
      </w:tr>
      <w:tr>
        <w:tc>
          <w:tcPr>
            <w:tcW w:w="4820" w:type="dxa"/>
          </w:tcPr>
          <w:p>
            <w:pPr>
              <w:pStyle w:val="yTableNAm"/>
              <w:spacing w:before="60"/>
            </w:pPr>
            <w:r>
              <w:t>Prize pool — % of subscriptions</w:t>
            </w:r>
          </w:p>
        </w:tc>
        <w:tc>
          <w:tcPr>
            <w:tcW w:w="1984" w:type="dxa"/>
          </w:tcPr>
          <w:p>
            <w:pPr>
              <w:pStyle w:val="yTableNAm"/>
              <w:spacing w:before="60"/>
            </w:pPr>
            <w:r>
              <w:t>no less than 55%</w:t>
            </w:r>
          </w:p>
        </w:tc>
      </w:tr>
      <w:tr>
        <w:tc>
          <w:tcPr>
            <w:tcW w:w="4820" w:type="dxa"/>
          </w:tcPr>
          <w:p>
            <w:pPr>
              <w:pStyle w:val="yTableNAm"/>
              <w:spacing w:before="60"/>
            </w:pPr>
            <w:r>
              <w:t>Prize reserve fund — % of subscriptions</w:t>
            </w:r>
          </w:p>
        </w:tc>
        <w:tc>
          <w:tcPr>
            <w:tcW w:w="1984" w:type="dxa"/>
          </w:tcPr>
          <w:p>
            <w:pPr>
              <w:pStyle w:val="yTableNAm"/>
              <w:spacing w:before="60"/>
            </w:pPr>
            <w:r>
              <w:t>balance of prize fund after prize pool</w:t>
            </w:r>
            <w:r>
              <w:br/>
              <w:t>(up to 5.0%)</w:t>
            </w:r>
          </w:p>
        </w:tc>
      </w:tr>
      <w:tr>
        <w:tc>
          <w:tcPr>
            <w:tcW w:w="4820" w:type="dxa"/>
          </w:tcPr>
          <w:p>
            <w:pPr>
              <w:pStyle w:val="yTableNAm"/>
              <w:spacing w:before="60"/>
            </w:pPr>
            <w:r>
              <w:t>Number of divisions</w:t>
            </w:r>
          </w:p>
        </w:tc>
        <w:tc>
          <w:tcPr>
            <w:tcW w:w="1984" w:type="dxa"/>
          </w:tcPr>
          <w:p>
            <w:pPr>
              <w:pStyle w:val="yTableNAm"/>
              <w:spacing w:before="60"/>
            </w:pPr>
            <w:r>
              <w:t>6</w:t>
            </w:r>
          </w:p>
        </w:tc>
      </w:tr>
      <w:tr>
        <w:tc>
          <w:tcPr>
            <w:tcW w:w="4820" w:type="dxa"/>
          </w:tcPr>
          <w:p>
            <w:pPr>
              <w:pStyle w:val="yTableNAm"/>
              <w:spacing w:before="60"/>
            </w:pPr>
            <w:r>
              <w:t>Winning numbers drawn</w:t>
            </w:r>
          </w:p>
        </w:tc>
        <w:tc>
          <w:tcPr>
            <w:tcW w:w="1984" w:type="dxa"/>
          </w:tcPr>
          <w:p>
            <w:pPr>
              <w:pStyle w:val="yTableNAm"/>
              <w:spacing w:before="60"/>
            </w:pPr>
            <w:r>
              <w:t>6</w:t>
            </w:r>
          </w:p>
        </w:tc>
      </w:tr>
      <w:tr>
        <w:tc>
          <w:tcPr>
            <w:tcW w:w="4820" w:type="dxa"/>
          </w:tcPr>
          <w:p>
            <w:pPr>
              <w:pStyle w:val="yTableNAm"/>
              <w:spacing w:before="60"/>
            </w:pPr>
            <w:r>
              <w:t>Supplementary numbers drawn</w:t>
            </w:r>
          </w:p>
        </w:tc>
        <w:tc>
          <w:tcPr>
            <w:tcW w:w="1984" w:type="dxa"/>
          </w:tcPr>
          <w:p>
            <w:pPr>
              <w:pStyle w:val="yTableNAm"/>
              <w:spacing w:before="60"/>
            </w:pPr>
            <w:r>
              <w:t>2</w:t>
            </w:r>
          </w:p>
        </w:tc>
      </w:tr>
      <w:tr>
        <w:tc>
          <w:tcPr>
            <w:tcW w:w="4820" w:type="dxa"/>
          </w:tcPr>
          <w:p>
            <w:pPr>
              <w:pStyle w:val="yTableNAm"/>
              <w:spacing w:before="60"/>
            </w:pPr>
            <w:r>
              <w:t>Forecast range </w:t>
            </w:r>
          </w:p>
        </w:tc>
        <w:tc>
          <w:tcPr>
            <w:tcW w:w="1984" w:type="dxa"/>
          </w:tcPr>
          <w:p>
            <w:pPr>
              <w:pStyle w:val="yTableNAm"/>
              <w:spacing w:before="60"/>
            </w:pPr>
            <w:r>
              <w:t>1 to 45 inclusive</w:t>
            </w:r>
          </w:p>
        </w:tc>
      </w:tr>
      <w:tr>
        <w:tc>
          <w:tcPr>
            <w:tcW w:w="4820" w:type="dxa"/>
          </w:tcPr>
          <w:p>
            <w:pPr>
              <w:pStyle w:val="yTableNAm"/>
              <w:spacing w:before="60"/>
            </w:pPr>
            <w:r>
              <w:t>Odds of winning —</w:t>
            </w:r>
          </w:p>
          <w:p>
            <w:pPr>
              <w:pStyle w:val="yTableNAm"/>
              <w:spacing w:before="60"/>
            </w:pPr>
            <w:r>
              <w:t>division 1</w:t>
            </w:r>
          </w:p>
          <w:p>
            <w:pPr>
              <w:pStyle w:val="yTableNAm"/>
              <w:spacing w:before="60"/>
            </w:pPr>
            <w:r>
              <w:t>division 2</w:t>
            </w:r>
          </w:p>
          <w:p>
            <w:pPr>
              <w:pStyle w:val="yTableNAm"/>
              <w:spacing w:before="60"/>
            </w:pPr>
            <w:r>
              <w:t>division 3</w:t>
            </w:r>
          </w:p>
          <w:p>
            <w:pPr>
              <w:pStyle w:val="yTableNAm"/>
              <w:spacing w:before="60"/>
            </w:pPr>
            <w:r>
              <w:t>division 4</w:t>
            </w:r>
          </w:p>
          <w:p>
            <w:pPr>
              <w:pStyle w:val="yTableNAm"/>
              <w:spacing w:before="60"/>
            </w:pPr>
            <w:r>
              <w:t>division 5</w:t>
            </w:r>
          </w:p>
          <w:p>
            <w:pPr>
              <w:pStyle w:val="yTableNAm"/>
              <w:spacing w:before="60"/>
            </w:pPr>
            <w:r>
              <w:t>division 6</w:t>
            </w:r>
          </w:p>
        </w:tc>
        <w:tc>
          <w:tcPr>
            <w:tcW w:w="1984" w:type="dxa"/>
          </w:tcPr>
          <w:p>
            <w:pPr>
              <w:pStyle w:val="yTableNAm"/>
              <w:spacing w:before="60"/>
            </w:pPr>
          </w:p>
          <w:p>
            <w:pPr>
              <w:pStyle w:val="yTableNAm"/>
              <w:spacing w:before="60"/>
            </w:pPr>
            <w:r>
              <w:t>1 in 8 145 060</w:t>
            </w:r>
          </w:p>
          <w:p>
            <w:pPr>
              <w:pStyle w:val="yTableNAm"/>
              <w:spacing w:before="60"/>
            </w:pPr>
            <w:r>
              <w:t>1 in 678 755</w:t>
            </w:r>
          </w:p>
          <w:p>
            <w:pPr>
              <w:pStyle w:val="yTableNAm"/>
              <w:spacing w:before="60"/>
            </w:pPr>
            <w:r>
              <w:t>1 in 36 690</w:t>
            </w:r>
          </w:p>
          <w:p>
            <w:pPr>
              <w:pStyle w:val="yTableNAm"/>
              <w:spacing w:before="60"/>
            </w:pPr>
            <w:r>
              <w:t>1 in 733</w:t>
            </w:r>
          </w:p>
          <w:p>
            <w:pPr>
              <w:pStyle w:val="yTableNAm"/>
              <w:spacing w:before="60"/>
            </w:pPr>
            <w:r>
              <w:t>1 in 298</w:t>
            </w:r>
          </w:p>
          <w:p>
            <w:pPr>
              <w:pStyle w:val="yTableNAm"/>
              <w:spacing w:before="60"/>
            </w:pPr>
            <w:r>
              <w:t>1 in 144</w:t>
            </w:r>
          </w:p>
        </w:tc>
      </w:tr>
      <w:tr>
        <w:tc>
          <w:tcPr>
            <w:tcW w:w="4820" w:type="dxa"/>
          </w:tcPr>
          <w:p>
            <w:pPr>
              <w:pStyle w:val="yTableNAm"/>
              <w:spacing w:before="60"/>
            </w:pPr>
            <w:r>
              <w:t>Systems range</w:t>
            </w:r>
          </w:p>
        </w:tc>
        <w:tc>
          <w:tcPr>
            <w:tcW w:w="1984" w:type="dxa"/>
          </w:tcPr>
          <w:p>
            <w:pPr>
              <w:pStyle w:val="yTableNAm"/>
              <w:spacing w:before="60"/>
            </w:pPr>
            <w:r>
              <w:t>4</w:t>
            </w:r>
            <w:r>
              <w:noBreakHyphen/>
              <w:t>5/7</w:t>
            </w:r>
            <w:r>
              <w:noBreakHyphen/>
              <w:t>20 inclusive</w:t>
            </w:r>
          </w:p>
        </w:tc>
      </w:tr>
      <w:tr>
        <w:tc>
          <w:tcPr>
            <w:tcW w:w="4820" w:type="dxa"/>
          </w:tcPr>
          <w:p>
            <w:pPr>
              <w:pStyle w:val="yTableNAm"/>
              <w:spacing w:before="60"/>
            </w:pPr>
            <w:r>
              <w:t>Multiweek options (</w:t>
            </w:r>
            <w:r>
              <w:rPr>
                <w:i/>
                <w:iCs/>
              </w:rPr>
              <w:t>if available</w:t>
            </w:r>
            <w:r>
              <w:t>)</w:t>
            </w:r>
          </w:p>
        </w:tc>
        <w:tc>
          <w:tcPr>
            <w:tcW w:w="1984" w:type="dxa"/>
          </w:tcPr>
          <w:p>
            <w:pPr>
              <w:pStyle w:val="yTableNAm"/>
              <w:spacing w:before="60"/>
            </w:pPr>
            <w:r>
              <w:t>2, 5 or 10 weeks</w:t>
            </w:r>
          </w:p>
        </w:tc>
      </w:tr>
      <w:tr>
        <w:tc>
          <w:tcPr>
            <w:tcW w:w="4820" w:type="dxa"/>
          </w:tcPr>
          <w:p>
            <w:pPr>
              <w:pStyle w:val="yTableNAm"/>
              <w:spacing w:before="60"/>
            </w:pPr>
            <w:r>
              <w:t>Advance sales (maximum) (</w:t>
            </w:r>
            <w:r>
              <w:rPr>
                <w:i/>
                <w:iCs/>
              </w:rPr>
              <w:t>if available</w:t>
            </w:r>
            <w:r>
              <w:t>)</w:t>
            </w:r>
          </w:p>
        </w:tc>
        <w:tc>
          <w:tcPr>
            <w:tcW w:w="1984" w:type="dxa"/>
          </w:tcPr>
          <w:p>
            <w:pPr>
              <w:pStyle w:val="yTableNAm"/>
              <w:spacing w:before="60"/>
            </w:pPr>
            <w:r>
              <w:t>10 weeks</w:t>
            </w:r>
          </w:p>
        </w:tc>
      </w:tr>
      <w:tr>
        <w:tc>
          <w:tcPr>
            <w:tcW w:w="4820" w:type="dxa"/>
          </w:tcPr>
          <w:p>
            <w:pPr>
              <w:pStyle w:val="yTableNAm"/>
              <w:spacing w:before="60"/>
            </w:pPr>
            <w:r>
              <w:t>Games per playslip (minimum)</w:t>
            </w:r>
          </w:p>
        </w:tc>
        <w:tc>
          <w:tcPr>
            <w:tcW w:w="1984" w:type="dxa"/>
          </w:tcPr>
          <w:p>
            <w:pPr>
              <w:pStyle w:val="yTableNAm"/>
              <w:spacing w:before="60"/>
            </w:pPr>
            <w:r>
              <w:t>4</w:t>
            </w:r>
          </w:p>
        </w:tc>
      </w:tr>
      <w:tr>
        <w:tc>
          <w:tcPr>
            <w:tcW w:w="4820" w:type="dxa"/>
          </w:tcPr>
          <w:p>
            <w:pPr>
              <w:pStyle w:val="yTableNAm"/>
              <w:keepNext/>
              <w:spacing w:before="60"/>
            </w:pPr>
            <w:r>
              <w:t>Systems entries per playslip (maximum)</w:t>
            </w:r>
          </w:p>
        </w:tc>
        <w:tc>
          <w:tcPr>
            <w:tcW w:w="1984" w:type="dxa"/>
          </w:tcPr>
          <w:p>
            <w:pPr>
              <w:pStyle w:val="yTableNAm"/>
              <w:keepNext/>
              <w:spacing w:before="60"/>
            </w:pPr>
            <w:r>
              <w:t>18</w:t>
            </w:r>
            <w:r>
              <w:br/>
              <w:t>(subject to maximum aggregate entry cost)</w:t>
            </w:r>
          </w:p>
        </w:tc>
      </w:tr>
      <w:tr>
        <w:tc>
          <w:tcPr>
            <w:tcW w:w="4820" w:type="dxa"/>
          </w:tcPr>
          <w:p>
            <w:pPr>
              <w:pStyle w:val="yTableNAm"/>
              <w:spacing w:before="60"/>
            </w:pPr>
            <w:r>
              <w:t>Games per playslip (maximum)</w:t>
            </w:r>
          </w:p>
        </w:tc>
        <w:tc>
          <w:tcPr>
            <w:tcW w:w="1984" w:type="dxa"/>
          </w:tcPr>
          <w:p>
            <w:pPr>
              <w:pStyle w:val="yTableNAm"/>
              <w:spacing w:before="60"/>
            </w:pPr>
            <w:r>
              <w:t>18</w:t>
            </w:r>
          </w:p>
        </w:tc>
      </w:tr>
      <w:tr>
        <w:tc>
          <w:tcPr>
            <w:tcW w:w="4820" w:type="dxa"/>
          </w:tcPr>
          <w:p>
            <w:pPr>
              <w:pStyle w:val="yTableNAm"/>
              <w:spacing w:before="60"/>
            </w:pPr>
            <w:r>
              <w:t>Games per oral request (default)</w:t>
            </w:r>
          </w:p>
        </w:tc>
        <w:tc>
          <w:tcPr>
            <w:tcW w:w="1984" w:type="dxa"/>
          </w:tcPr>
          <w:p>
            <w:pPr>
              <w:pStyle w:val="yTableNAm"/>
              <w:spacing w:before="60"/>
            </w:pPr>
            <w:r>
              <w:t>12, 18, 25, 30 or 50</w:t>
            </w:r>
          </w:p>
        </w:tc>
      </w:tr>
      <w:tr>
        <w:tc>
          <w:tcPr>
            <w:tcW w:w="4820" w:type="dxa"/>
          </w:tcPr>
          <w:p>
            <w:pPr>
              <w:pStyle w:val="yTableNAm"/>
              <w:spacing w:before="60"/>
            </w:pPr>
            <w:r>
              <w:t>Games per oral request (</w:t>
            </w:r>
            <w:r>
              <w:rPr>
                <w:i/>
                <w:iCs/>
              </w:rPr>
              <w:t>if available</w:t>
            </w:r>
            <w:r>
              <w:t>)</w:t>
            </w:r>
          </w:p>
        </w:tc>
        <w:tc>
          <w:tcPr>
            <w:tcW w:w="1984" w:type="dxa"/>
          </w:tcPr>
          <w:p>
            <w:pPr>
              <w:pStyle w:val="yTableNAm"/>
              <w:spacing w:before="60"/>
            </w:pPr>
            <w:r>
              <w:t>4 to 50</w:t>
            </w:r>
          </w:p>
        </w:tc>
      </w:tr>
      <w:tr>
        <w:tc>
          <w:tcPr>
            <w:tcW w:w="4820" w:type="dxa"/>
          </w:tcPr>
          <w:p>
            <w:pPr>
              <w:pStyle w:val="yTableNAm"/>
              <w:spacing w:before="60"/>
            </w:pPr>
            <w:r>
              <w:t>Syndicate entries may be purchased (</w:t>
            </w:r>
            <w:r>
              <w:rPr>
                <w:i/>
                <w:iCs/>
              </w:rPr>
              <w:t>if available</w:t>
            </w:r>
            <w:r>
              <w:t>)</w:t>
            </w:r>
          </w:p>
        </w:tc>
        <w:tc>
          <w:tcPr>
            <w:tcW w:w="1984" w:type="dxa"/>
          </w:tcPr>
          <w:p>
            <w:pPr>
              <w:pStyle w:val="yTableNAm"/>
              <w:spacing w:before="60"/>
            </w:pPr>
            <w:r>
              <w:t>(see Part 2A)</w:t>
            </w:r>
          </w:p>
        </w:tc>
      </w:tr>
      <w:tr>
        <w:tc>
          <w:tcPr>
            <w:tcW w:w="4820" w:type="dxa"/>
          </w:tcPr>
          <w:p>
            <w:pPr>
              <w:pStyle w:val="yTableNAm"/>
              <w:spacing w:before="60"/>
            </w:pPr>
            <w:r>
              <w:t>Systems entries per oral request</w:t>
            </w:r>
          </w:p>
        </w:tc>
        <w:tc>
          <w:tcPr>
            <w:tcW w:w="1984" w:type="dxa"/>
          </w:tcPr>
          <w:p>
            <w:pPr>
              <w:pStyle w:val="yTableNAm"/>
              <w:spacing w:before="60"/>
            </w:pPr>
            <w:r>
              <w:t>1</w:t>
            </w:r>
          </w:p>
        </w:tc>
      </w:tr>
      <w:tr>
        <w:tc>
          <w:tcPr>
            <w:tcW w:w="4820" w:type="dxa"/>
          </w:tcPr>
          <w:p>
            <w:pPr>
              <w:pStyle w:val="yTableNAm"/>
              <w:spacing w:before="60"/>
            </w:pPr>
            <w:r>
              <w:t>Slikpik entries per oral request</w:t>
            </w:r>
          </w:p>
        </w:tc>
        <w:tc>
          <w:tcPr>
            <w:tcW w:w="1984" w:type="dxa"/>
          </w:tcPr>
          <w:p>
            <w:pPr>
              <w:pStyle w:val="yTableNAm"/>
              <w:spacing w:before="60"/>
            </w:pPr>
            <w:r>
              <w:t>1</w:t>
            </w:r>
          </w:p>
        </w:tc>
      </w:tr>
      <w:tr>
        <w:tc>
          <w:tcPr>
            <w:tcW w:w="4820" w:type="dxa"/>
          </w:tcPr>
          <w:p>
            <w:pPr>
              <w:pStyle w:val="yTableNAm"/>
              <w:spacing w:before="60"/>
            </w:pPr>
            <w:r>
              <w:t>Prize payout period</w:t>
            </w:r>
          </w:p>
        </w:tc>
        <w:tc>
          <w:tcPr>
            <w:tcW w:w="1984" w:type="dxa"/>
          </w:tcPr>
          <w:p>
            <w:pPr>
              <w:pStyle w:val="yTableNAm"/>
              <w:spacing w:before="60"/>
            </w:pPr>
            <w:r>
              <w:t>12 months</w:t>
            </w:r>
          </w:p>
        </w:tc>
      </w:tr>
      <w:tr>
        <w:tc>
          <w:tcPr>
            <w:tcW w:w="4820" w:type="dxa"/>
          </w:tcPr>
          <w:p>
            <w:pPr>
              <w:pStyle w:val="yTableNAm"/>
              <w:spacing w:before="60"/>
            </w:pPr>
            <w:r>
              <w:t>Maximum aggregate entry cost</w:t>
            </w:r>
          </w:p>
        </w:tc>
        <w:tc>
          <w:tcPr>
            <w:tcW w:w="1984" w:type="dxa"/>
          </w:tcPr>
          <w:p>
            <w:pPr>
              <w:pStyle w:val="yTableNAm"/>
              <w:spacing w:before="60"/>
            </w:pPr>
            <w:r>
              <w:t>$100 000</w:t>
            </w:r>
          </w:p>
        </w:tc>
      </w:tr>
    </w:tbl>
    <w:p>
      <w:pPr>
        <w:pStyle w:val="yFootnotesection"/>
      </w:pPr>
      <w:r>
        <w:tab/>
        <w:t>[Part 1 inserted in Gazette 6 May 2014 p. 1389</w:t>
      </w:r>
      <w:r>
        <w:noBreakHyphen/>
        <w:t>90.]</w:t>
      </w:r>
    </w:p>
    <w:p>
      <w:pPr>
        <w:pStyle w:val="yHeading3"/>
        <w:rPr>
          <w:bCs/>
        </w:rPr>
      </w:pPr>
      <w:bookmarkStart w:id="147" w:name="_Toc391299451"/>
      <w:bookmarkStart w:id="148" w:name="_Toc391299551"/>
      <w:bookmarkStart w:id="149" w:name="_Toc387064641"/>
      <w:r>
        <w:rPr>
          <w:rStyle w:val="CharSDivNo"/>
        </w:rPr>
        <w:t>Part 2</w:t>
      </w:r>
      <w:r>
        <w:rPr>
          <w:b w:val="0"/>
        </w:rPr>
        <w:t> — </w:t>
      </w:r>
      <w:r>
        <w:rPr>
          <w:rStyle w:val="CharSDivText"/>
        </w:rPr>
        <w:t>Draw 3443 on 19 July 2014 and subsequent draws</w:t>
      </w:r>
      <w:bookmarkEnd w:id="147"/>
      <w:bookmarkEnd w:id="148"/>
      <w:bookmarkEnd w:id="149"/>
    </w:p>
    <w:p>
      <w:pPr>
        <w:pStyle w:val="yFootnoteheading"/>
      </w:pPr>
      <w:r>
        <w:tab/>
        <w:t>[Heading inserted in Gazette 21 Dec 2010 p. 6767; amended in Gazette 6 May 2014 p. 1390.]</w:t>
      </w:r>
    </w:p>
    <w:p>
      <w:pPr>
        <w:rPr>
          <w:sz w:val="16"/>
          <w:szCs w:val="16"/>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spacing w:before="0"/>
              <w:rPr>
                <w:sz w:val="20"/>
              </w:rPr>
            </w:pPr>
            <w:r>
              <w:rPr>
                <w:sz w:val="20"/>
              </w:rPr>
              <w:t>Unit cost for a Saturday lotto draw</w:t>
            </w:r>
          </w:p>
        </w:tc>
        <w:tc>
          <w:tcPr>
            <w:tcW w:w="2048" w:type="dxa"/>
            <w:gridSpan w:val="2"/>
          </w:tcPr>
          <w:p>
            <w:pPr>
              <w:pStyle w:val="yTableNAm"/>
              <w:spacing w:before="0"/>
              <w:rPr>
                <w:sz w:val="20"/>
              </w:rPr>
            </w:pPr>
            <w:r>
              <w:rPr>
                <w:sz w:val="20"/>
              </w:rPr>
              <w:t>$0.65 (+ a 9% agent’s component)</w:t>
            </w:r>
          </w:p>
        </w:tc>
      </w:tr>
      <w:tr>
        <w:tc>
          <w:tcPr>
            <w:tcW w:w="5040" w:type="dxa"/>
          </w:tcPr>
          <w:p>
            <w:pPr>
              <w:pStyle w:val="yTableNAm"/>
              <w:spacing w:before="0"/>
              <w:rPr>
                <w:sz w:val="20"/>
              </w:rPr>
            </w:pPr>
            <w:r>
              <w:rPr>
                <w:sz w:val="20"/>
              </w:rPr>
              <w:t>Prize fund — % of subscriptions</w:t>
            </w:r>
          </w:p>
        </w:tc>
        <w:tc>
          <w:tcPr>
            <w:tcW w:w="2048" w:type="dxa"/>
            <w:gridSpan w:val="2"/>
          </w:tcPr>
          <w:p>
            <w:pPr>
              <w:pStyle w:val="yTableNAm"/>
              <w:spacing w:before="0"/>
              <w:rPr>
                <w:sz w:val="20"/>
              </w:rPr>
            </w:pPr>
            <w:r>
              <w:rPr>
                <w:sz w:val="20"/>
              </w:rPr>
              <w:t>60.0%</w:t>
            </w:r>
          </w:p>
        </w:tc>
      </w:tr>
      <w:tr>
        <w:trPr>
          <w:gridAfter w:val="1"/>
          <w:wAfter w:w="8" w:type="dxa"/>
        </w:trPr>
        <w:tc>
          <w:tcPr>
            <w:tcW w:w="5040" w:type="dxa"/>
          </w:tcPr>
          <w:p>
            <w:pPr>
              <w:pStyle w:val="yTableNAm"/>
              <w:spacing w:before="0"/>
              <w:rPr>
                <w:sz w:val="20"/>
              </w:rPr>
            </w:pPr>
            <w:r>
              <w:rPr>
                <w:sz w:val="20"/>
              </w:rPr>
              <w:t>Prize pool — % of subscriptions</w:t>
            </w:r>
          </w:p>
        </w:tc>
        <w:tc>
          <w:tcPr>
            <w:tcW w:w="2040" w:type="dxa"/>
          </w:tcPr>
          <w:p>
            <w:pPr>
              <w:pStyle w:val="yTableNAm"/>
              <w:spacing w:before="0"/>
              <w:rPr>
                <w:sz w:val="20"/>
              </w:rPr>
            </w:pPr>
            <w:r>
              <w:rPr>
                <w:sz w:val="20"/>
              </w:rPr>
              <w:t>no less than 55%</w:t>
            </w:r>
          </w:p>
        </w:tc>
      </w:tr>
      <w:tr>
        <w:trPr>
          <w:gridAfter w:val="1"/>
          <w:wAfter w:w="8" w:type="dxa"/>
        </w:trPr>
        <w:tc>
          <w:tcPr>
            <w:tcW w:w="5040" w:type="dxa"/>
          </w:tcPr>
          <w:p>
            <w:pPr>
              <w:pStyle w:val="yTableNAm"/>
              <w:spacing w:before="0"/>
              <w:rPr>
                <w:sz w:val="20"/>
              </w:rPr>
            </w:pPr>
            <w:r>
              <w:rPr>
                <w:sz w:val="20"/>
              </w:rPr>
              <w:t>Prize reserve fund — % of subscriptions</w:t>
            </w:r>
          </w:p>
        </w:tc>
        <w:tc>
          <w:tcPr>
            <w:tcW w:w="2040" w:type="dxa"/>
          </w:tcPr>
          <w:p>
            <w:pPr>
              <w:pStyle w:val="yTableNAm"/>
              <w:spacing w:before="0"/>
              <w:rPr>
                <w:sz w:val="20"/>
              </w:rPr>
            </w:pPr>
            <w:r>
              <w:rPr>
                <w:sz w:val="20"/>
              </w:rPr>
              <w:t>balance of prize fund after prize pool</w:t>
            </w:r>
            <w:r>
              <w:rPr>
                <w:sz w:val="20"/>
              </w:rPr>
              <w:br/>
              <w:t>(up to 5.0%)</w:t>
            </w:r>
          </w:p>
        </w:tc>
      </w:tr>
      <w:tr>
        <w:trPr>
          <w:gridAfter w:val="1"/>
          <w:wAfter w:w="8" w:type="dxa"/>
        </w:trPr>
        <w:tc>
          <w:tcPr>
            <w:tcW w:w="5040" w:type="dxa"/>
          </w:tcPr>
          <w:p>
            <w:pPr>
              <w:pStyle w:val="yTableNAm"/>
              <w:spacing w:before="0"/>
              <w:rPr>
                <w:sz w:val="20"/>
              </w:rPr>
            </w:pPr>
            <w:r>
              <w:rPr>
                <w:sz w:val="20"/>
              </w:rPr>
              <w:t>Number of divisions</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Winning numbers drawn</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Supplementary numbers drawn</w:t>
            </w:r>
          </w:p>
        </w:tc>
        <w:tc>
          <w:tcPr>
            <w:tcW w:w="2040" w:type="dxa"/>
          </w:tcPr>
          <w:p>
            <w:pPr>
              <w:pStyle w:val="yTableNAm"/>
              <w:spacing w:before="0"/>
              <w:rPr>
                <w:sz w:val="20"/>
              </w:rPr>
            </w:pPr>
            <w:r>
              <w:rPr>
                <w:sz w:val="20"/>
              </w:rPr>
              <w:t>2</w:t>
            </w:r>
          </w:p>
        </w:tc>
      </w:tr>
      <w:tr>
        <w:trPr>
          <w:gridAfter w:val="1"/>
          <w:wAfter w:w="8" w:type="dxa"/>
        </w:trPr>
        <w:tc>
          <w:tcPr>
            <w:tcW w:w="5040" w:type="dxa"/>
          </w:tcPr>
          <w:p>
            <w:pPr>
              <w:pStyle w:val="yTableNAm"/>
              <w:spacing w:before="0"/>
              <w:rPr>
                <w:sz w:val="20"/>
              </w:rPr>
            </w:pPr>
            <w:r>
              <w:rPr>
                <w:sz w:val="20"/>
              </w:rPr>
              <w:t>Forecast range </w:t>
            </w:r>
          </w:p>
        </w:tc>
        <w:tc>
          <w:tcPr>
            <w:tcW w:w="2040" w:type="dxa"/>
          </w:tcPr>
          <w:p>
            <w:pPr>
              <w:pStyle w:val="yTableNAm"/>
              <w:spacing w:before="0"/>
              <w:rPr>
                <w:sz w:val="20"/>
              </w:rPr>
            </w:pPr>
            <w:r>
              <w:rPr>
                <w:sz w:val="20"/>
              </w:rPr>
              <w:t>1 to 45 inclusive</w:t>
            </w:r>
          </w:p>
        </w:tc>
      </w:tr>
      <w:tr>
        <w:trPr>
          <w:gridAfter w:val="1"/>
          <w:wAfter w:w="8" w:type="dxa"/>
        </w:trPr>
        <w:tc>
          <w:tcPr>
            <w:tcW w:w="5040" w:type="dxa"/>
          </w:tcPr>
          <w:p>
            <w:pPr>
              <w:pStyle w:val="yTableNAm"/>
              <w:spacing w:before="0"/>
              <w:rPr>
                <w:sz w:val="20"/>
              </w:rPr>
            </w:pPr>
            <w:r>
              <w:rPr>
                <w:sz w:val="20"/>
              </w:rPr>
              <w:t>Odds of winning —</w:t>
            </w:r>
          </w:p>
          <w:p>
            <w:pPr>
              <w:pStyle w:val="yTableNAm"/>
              <w:spacing w:before="0"/>
              <w:rPr>
                <w:sz w:val="20"/>
              </w:rPr>
            </w:pPr>
            <w:r>
              <w:rPr>
                <w:sz w:val="20"/>
              </w:rPr>
              <w:t>division 1</w:t>
            </w:r>
          </w:p>
          <w:p>
            <w:pPr>
              <w:pStyle w:val="yTableNAm"/>
              <w:spacing w:before="0"/>
              <w:rPr>
                <w:sz w:val="20"/>
              </w:rPr>
            </w:pPr>
            <w:r>
              <w:rPr>
                <w:sz w:val="20"/>
              </w:rPr>
              <w:t>division 2</w:t>
            </w:r>
          </w:p>
          <w:p>
            <w:pPr>
              <w:pStyle w:val="yTableNAm"/>
              <w:spacing w:before="0"/>
              <w:rPr>
                <w:sz w:val="20"/>
              </w:rPr>
            </w:pPr>
            <w:r>
              <w:rPr>
                <w:sz w:val="20"/>
              </w:rPr>
              <w:t>division 3</w:t>
            </w:r>
          </w:p>
          <w:p>
            <w:pPr>
              <w:pStyle w:val="yTableNAm"/>
              <w:spacing w:before="0"/>
              <w:rPr>
                <w:sz w:val="20"/>
              </w:rPr>
            </w:pPr>
            <w:r>
              <w:rPr>
                <w:sz w:val="20"/>
              </w:rPr>
              <w:t>division 4</w:t>
            </w:r>
          </w:p>
          <w:p>
            <w:pPr>
              <w:pStyle w:val="yTableNAm"/>
              <w:spacing w:before="0"/>
              <w:rPr>
                <w:sz w:val="20"/>
              </w:rPr>
            </w:pPr>
            <w:r>
              <w:rPr>
                <w:sz w:val="20"/>
              </w:rPr>
              <w:t>division 5</w:t>
            </w:r>
          </w:p>
          <w:p>
            <w:pPr>
              <w:pStyle w:val="yTableNAm"/>
              <w:spacing w:before="0"/>
              <w:rPr>
                <w:sz w:val="20"/>
              </w:rPr>
            </w:pPr>
            <w:r>
              <w:rPr>
                <w:sz w:val="20"/>
              </w:rPr>
              <w:t>division 6</w:t>
            </w:r>
          </w:p>
        </w:tc>
        <w:tc>
          <w:tcPr>
            <w:tcW w:w="2040" w:type="dxa"/>
          </w:tcPr>
          <w:p>
            <w:pPr>
              <w:pStyle w:val="yTableNAm"/>
              <w:spacing w:before="0"/>
              <w:rPr>
                <w:sz w:val="20"/>
              </w:rPr>
            </w:pPr>
          </w:p>
          <w:p>
            <w:pPr>
              <w:pStyle w:val="yTableNAm"/>
              <w:spacing w:before="0"/>
              <w:rPr>
                <w:sz w:val="20"/>
              </w:rPr>
            </w:pPr>
            <w:r>
              <w:rPr>
                <w:sz w:val="20"/>
              </w:rPr>
              <w:t>1 in 8 145 060</w:t>
            </w:r>
          </w:p>
          <w:p>
            <w:pPr>
              <w:pStyle w:val="yTableNAm"/>
              <w:spacing w:before="0"/>
              <w:rPr>
                <w:sz w:val="20"/>
              </w:rPr>
            </w:pPr>
            <w:r>
              <w:rPr>
                <w:sz w:val="20"/>
              </w:rPr>
              <w:t>1 in 678 755</w:t>
            </w:r>
          </w:p>
          <w:p>
            <w:pPr>
              <w:pStyle w:val="yTableNAm"/>
              <w:spacing w:before="0"/>
              <w:rPr>
                <w:sz w:val="20"/>
              </w:rPr>
            </w:pPr>
            <w:r>
              <w:rPr>
                <w:sz w:val="20"/>
              </w:rPr>
              <w:t>1 in 36 690</w:t>
            </w:r>
          </w:p>
          <w:p>
            <w:pPr>
              <w:pStyle w:val="yTableNAm"/>
              <w:spacing w:before="0"/>
              <w:rPr>
                <w:sz w:val="20"/>
              </w:rPr>
            </w:pPr>
            <w:r>
              <w:rPr>
                <w:sz w:val="20"/>
              </w:rPr>
              <w:t>1 in 733</w:t>
            </w:r>
          </w:p>
          <w:p>
            <w:pPr>
              <w:pStyle w:val="yTableNAm"/>
              <w:spacing w:before="0"/>
              <w:rPr>
                <w:sz w:val="20"/>
              </w:rPr>
            </w:pPr>
            <w:r>
              <w:rPr>
                <w:sz w:val="20"/>
              </w:rPr>
              <w:t>1 in 298</w:t>
            </w:r>
          </w:p>
          <w:p>
            <w:pPr>
              <w:pStyle w:val="yTableNAm"/>
              <w:spacing w:before="0"/>
              <w:rPr>
                <w:sz w:val="20"/>
              </w:rPr>
            </w:pPr>
            <w:r>
              <w:rPr>
                <w:sz w:val="20"/>
              </w:rPr>
              <w:t>1 in 144</w:t>
            </w:r>
          </w:p>
        </w:tc>
      </w:tr>
      <w:tr>
        <w:trPr>
          <w:gridAfter w:val="1"/>
          <w:wAfter w:w="8" w:type="dxa"/>
        </w:trPr>
        <w:tc>
          <w:tcPr>
            <w:tcW w:w="5040" w:type="dxa"/>
          </w:tcPr>
          <w:p>
            <w:pPr>
              <w:pStyle w:val="yTableNAm"/>
              <w:spacing w:before="0"/>
              <w:rPr>
                <w:sz w:val="20"/>
              </w:rPr>
            </w:pPr>
            <w:r>
              <w:rPr>
                <w:sz w:val="20"/>
              </w:rPr>
              <w:t>Systems range</w:t>
            </w:r>
          </w:p>
        </w:tc>
        <w:tc>
          <w:tcPr>
            <w:tcW w:w="2040" w:type="dxa"/>
          </w:tcPr>
          <w:p>
            <w:pPr>
              <w:pStyle w:val="yTableNAm"/>
              <w:spacing w:before="0"/>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NAm"/>
              <w:spacing w:before="0"/>
              <w:rPr>
                <w:sz w:val="20"/>
              </w:rPr>
            </w:pPr>
            <w:r>
              <w:rPr>
                <w:sz w:val="20"/>
              </w:rPr>
              <w:t>Multiweek options (</w:t>
            </w:r>
            <w:r>
              <w:rPr>
                <w:i/>
                <w:iCs/>
                <w:sz w:val="20"/>
              </w:rPr>
              <w:t>if available</w:t>
            </w:r>
            <w:r>
              <w:rPr>
                <w:sz w:val="20"/>
              </w:rPr>
              <w:t>)</w:t>
            </w:r>
          </w:p>
        </w:tc>
        <w:tc>
          <w:tcPr>
            <w:tcW w:w="2040" w:type="dxa"/>
          </w:tcPr>
          <w:p>
            <w:pPr>
              <w:pStyle w:val="yTableNAm"/>
              <w:spacing w:before="0"/>
              <w:rPr>
                <w:sz w:val="20"/>
              </w:rPr>
            </w:pPr>
            <w:r>
              <w:rPr>
                <w:sz w:val="20"/>
              </w:rPr>
              <w:t>2, 5 or 10 weeks</w:t>
            </w:r>
          </w:p>
        </w:tc>
      </w:tr>
      <w:tr>
        <w:trPr>
          <w:gridAfter w:val="1"/>
          <w:wAfter w:w="8" w:type="dxa"/>
        </w:trPr>
        <w:tc>
          <w:tcPr>
            <w:tcW w:w="5040" w:type="dxa"/>
          </w:tcPr>
          <w:p>
            <w:pPr>
              <w:pStyle w:val="yTableNAm"/>
              <w:spacing w:before="0"/>
              <w:rPr>
                <w:sz w:val="20"/>
              </w:rPr>
            </w:pPr>
            <w:r>
              <w:rPr>
                <w:sz w:val="20"/>
              </w:rPr>
              <w:t>Advance sales (maximum) (</w:t>
            </w:r>
            <w:r>
              <w:rPr>
                <w:i/>
                <w:iCs/>
                <w:sz w:val="20"/>
              </w:rPr>
              <w:t>if available</w:t>
            </w:r>
            <w:r>
              <w:rPr>
                <w:sz w:val="20"/>
              </w:rPr>
              <w:t>)</w:t>
            </w:r>
          </w:p>
        </w:tc>
        <w:tc>
          <w:tcPr>
            <w:tcW w:w="2040" w:type="dxa"/>
          </w:tcPr>
          <w:p>
            <w:pPr>
              <w:pStyle w:val="yTableNAm"/>
              <w:spacing w:before="0"/>
              <w:rPr>
                <w:sz w:val="20"/>
              </w:rPr>
            </w:pPr>
            <w:r>
              <w:rPr>
                <w:sz w:val="20"/>
              </w:rPr>
              <w:t>10 weeks</w:t>
            </w:r>
          </w:p>
        </w:tc>
      </w:tr>
      <w:tr>
        <w:trPr>
          <w:gridAfter w:val="1"/>
          <w:wAfter w:w="8" w:type="dxa"/>
        </w:trPr>
        <w:tc>
          <w:tcPr>
            <w:tcW w:w="5040" w:type="dxa"/>
          </w:tcPr>
          <w:p>
            <w:pPr>
              <w:pStyle w:val="yTableNAm"/>
              <w:spacing w:before="0"/>
              <w:rPr>
                <w:sz w:val="20"/>
              </w:rPr>
            </w:pPr>
            <w:r>
              <w:rPr>
                <w:sz w:val="20"/>
              </w:rPr>
              <w:t>Games per playslip (minimum)</w:t>
            </w:r>
          </w:p>
        </w:tc>
        <w:tc>
          <w:tcPr>
            <w:tcW w:w="2040" w:type="dxa"/>
          </w:tcPr>
          <w:p>
            <w:pPr>
              <w:pStyle w:val="yTableNAm"/>
              <w:spacing w:before="0"/>
              <w:rPr>
                <w:sz w:val="20"/>
              </w:rPr>
            </w:pPr>
            <w:r>
              <w:rPr>
                <w:sz w:val="20"/>
              </w:rPr>
              <w:t>4</w:t>
            </w:r>
          </w:p>
        </w:tc>
      </w:tr>
      <w:tr>
        <w:trPr>
          <w:gridAfter w:val="1"/>
          <w:wAfter w:w="8" w:type="dxa"/>
        </w:trPr>
        <w:tc>
          <w:tcPr>
            <w:tcW w:w="5040" w:type="dxa"/>
          </w:tcPr>
          <w:p>
            <w:pPr>
              <w:pStyle w:val="yTableNAm"/>
              <w:spacing w:before="0"/>
              <w:rPr>
                <w:sz w:val="20"/>
              </w:rPr>
            </w:pPr>
            <w:r>
              <w:rPr>
                <w:sz w:val="20"/>
              </w:rPr>
              <w:t>Systems entries per playslip (maximum)</w:t>
            </w:r>
          </w:p>
        </w:tc>
        <w:tc>
          <w:tcPr>
            <w:tcW w:w="2040" w:type="dxa"/>
          </w:tcPr>
          <w:p>
            <w:pPr>
              <w:pStyle w:val="yTableNAm"/>
              <w:spacing w:before="0"/>
              <w:rPr>
                <w:sz w:val="20"/>
              </w:rPr>
            </w:pPr>
            <w:r>
              <w:rPr>
                <w:sz w:val="20"/>
              </w:rPr>
              <w:t>18</w:t>
            </w:r>
            <w:r>
              <w:rPr>
                <w:sz w:val="20"/>
              </w:rPr>
              <w:br/>
              <w:t>(subject to maximum aggregate entry cost)</w:t>
            </w:r>
          </w:p>
        </w:tc>
      </w:tr>
      <w:tr>
        <w:trPr>
          <w:gridAfter w:val="1"/>
          <w:wAfter w:w="8" w:type="dxa"/>
        </w:trPr>
        <w:tc>
          <w:tcPr>
            <w:tcW w:w="5040" w:type="dxa"/>
          </w:tcPr>
          <w:p>
            <w:pPr>
              <w:pStyle w:val="yTableNAm"/>
              <w:spacing w:before="0"/>
              <w:rPr>
                <w:sz w:val="20"/>
              </w:rPr>
            </w:pPr>
            <w:r>
              <w:rPr>
                <w:sz w:val="20"/>
              </w:rPr>
              <w:t>Games per playslip (maximum)</w:t>
            </w:r>
          </w:p>
        </w:tc>
        <w:tc>
          <w:tcPr>
            <w:tcW w:w="2040" w:type="dxa"/>
          </w:tcPr>
          <w:p>
            <w:pPr>
              <w:pStyle w:val="yTableNAm"/>
              <w:spacing w:before="0"/>
              <w:rPr>
                <w:sz w:val="20"/>
              </w:rPr>
            </w:pPr>
            <w:r>
              <w:rPr>
                <w:sz w:val="20"/>
              </w:rPr>
              <w:t>18</w:t>
            </w:r>
          </w:p>
        </w:tc>
      </w:tr>
      <w:tr>
        <w:trPr>
          <w:gridAfter w:val="1"/>
          <w:wAfter w:w="8" w:type="dxa"/>
        </w:trPr>
        <w:tc>
          <w:tcPr>
            <w:tcW w:w="5040" w:type="dxa"/>
          </w:tcPr>
          <w:p>
            <w:pPr>
              <w:pStyle w:val="yTableNAm"/>
              <w:spacing w:before="0"/>
              <w:rPr>
                <w:sz w:val="20"/>
              </w:rPr>
            </w:pPr>
            <w:r>
              <w:rPr>
                <w:sz w:val="20"/>
              </w:rPr>
              <w:t>Games per oral request (default)</w:t>
            </w:r>
          </w:p>
        </w:tc>
        <w:tc>
          <w:tcPr>
            <w:tcW w:w="2040" w:type="dxa"/>
          </w:tcPr>
          <w:p>
            <w:pPr>
              <w:pStyle w:val="yTableNAm"/>
              <w:spacing w:before="0"/>
              <w:rPr>
                <w:sz w:val="20"/>
              </w:rPr>
            </w:pPr>
            <w:r>
              <w:rPr>
                <w:sz w:val="20"/>
              </w:rPr>
              <w:t>12, 18, 25, 30 or 50</w:t>
            </w:r>
          </w:p>
        </w:tc>
      </w:tr>
      <w:tr>
        <w:trPr>
          <w:gridAfter w:val="1"/>
          <w:wAfter w:w="8" w:type="dxa"/>
        </w:trPr>
        <w:tc>
          <w:tcPr>
            <w:tcW w:w="5040" w:type="dxa"/>
          </w:tcPr>
          <w:p>
            <w:pPr>
              <w:pStyle w:val="yTableNAm"/>
              <w:spacing w:before="0"/>
              <w:rPr>
                <w:sz w:val="20"/>
              </w:rPr>
            </w:pPr>
            <w:r>
              <w:rPr>
                <w:sz w:val="20"/>
              </w:rPr>
              <w:t>Games per oral request (</w:t>
            </w:r>
            <w:r>
              <w:rPr>
                <w:i/>
                <w:iCs/>
                <w:sz w:val="20"/>
              </w:rPr>
              <w:t>if available</w:t>
            </w:r>
            <w:r>
              <w:rPr>
                <w:sz w:val="20"/>
              </w:rPr>
              <w:t>)</w:t>
            </w:r>
          </w:p>
        </w:tc>
        <w:tc>
          <w:tcPr>
            <w:tcW w:w="2040" w:type="dxa"/>
          </w:tcPr>
          <w:p>
            <w:pPr>
              <w:pStyle w:val="yTableNAm"/>
              <w:spacing w:before="0"/>
              <w:rPr>
                <w:sz w:val="20"/>
              </w:rPr>
            </w:pPr>
            <w:r>
              <w:rPr>
                <w:sz w:val="20"/>
              </w:rPr>
              <w:t>4 to 50</w:t>
            </w:r>
          </w:p>
        </w:tc>
      </w:tr>
      <w:tr>
        <w:trPr>
          <w:gridAfter w:val="1"/>
          <w:wAfter w:w="8" w:type="dxa"/>
        </w:trPr>
        <w:tc>
          <w:tcPr>
            <w:tcW w:w="5040" w:type="dxa"/>
          </w:tcPr>
          <w:p>
            <w:pPr>
              <w:pStyle w:val="yTableNAm"/>
              <w:spacing w:before="0"/>
              <w:rPr>
                <w:sz w:val="20"/>
              </w:rPr>
            </w:pPr>
            <w:r>
              <w:rPr>
                <w:sz w:val="20"/>
              </w:rPr>
              <w:t>Syndicate entries may be purchased (</w:t>
            </w:r>
            <w:r>
              <w:rPr>
                <w:i/>
                <w:iCs/>
                <w:sz w:val="20"/>
              </w:rPr>
              <w:t>if available</w:t>
            </w:r>
            <w:r>
              <w:rPr>
                <w:sz w:val="20"/>
              </w:rPr>
              <w:t>)</w:t>
            </w:r>
          </w:p>
        </w:tc>
        <w:tc>
          <w:tcPr>
            <w:tcW w:w="2040" w:type="dxa"/>
          </w:tcPr>
          <w:p>
            <w:pPr>
              <w:pStyle w:val="yTableNAm"/>
              <w:spacing w:before="0"/>
              <w:rPr>
                <w:sz w:val="20"/>
              </w:rPr>
            </w:pPr>
            <w:r>
              <w:rPr>
                <w:sz w:val="20"/>
              </w:rPr>
              <w:t>(see Part 2A)</w:t>
            </w:r>
          </w:p>
        </w:tc>
      </w:tr>
      <w:tr>
        <w:trPr>
          <w:gridAfter w:val="1"/>
          <w:wAfter w:w="8" w:type="dxa"/>
        </w:trPr>
        <w:tc>
          <w:tcPr>
            <w:tcW w:w="5040" w:type="dxa"/>
          </w:tcPr>
          <w:p>
            <w:pPr>
              <w:pStyle w:val="yTableNAm"/>
              <w:spacing w:before="0"/>
              <w:rPr>
                <w:sz w:val="20"/>
              </w:rPr>
            </w:pPr>
            <w:r>
              <w:rPr>
                <w:sz w:val="20"/>
              </w:rPr>
              <w:t>Systems entries per oral request</w:t>
            </w:r>
          </w:p>
        </w:tc>
        <w:tc>
          <w:tcPr>
            <w:tcW w:w="2040" w:type="dxa"/>
          </w:tcPr>
          <w:p>
            <w:pPr>
              <w:pStyle w:val="yTableNAm"/>
              <w:spacing w:before="0"/>
              <w:rPr>
                <w:sz w:val="20"/>
              </w:rPr>
            </w:pPr>
            <w:r>
              <w:rPr>
                <w:sz w:val="20"/>
              </w:rPr>
              <w:t>1</w:t>
            </w:r>
          </w:p>
        </w:tc>
      </w:tr>
      <w:tr>
        <w:trPr>
          <w:gridAfter w:val="1"/>
          <w:wAfter w:w="8" w:type="dxa"/>
        </w:trPr>
        <w:tc>
          <w:tcPr>
            <w:tcW w:w="5040" w:type="dxa"/>
          </w:tcPr>
          <w:p>
            <w:pPr>
              <w:pStyle w:val="yTableNAm"/>
              <w:spacing w:before="0"/>
              <w:rPr>
                <w:sz w:val="20"/>
              </w:rPr>
            </w:pPr>
            <w:r>
              <w:rPr>
                <w:sz w:val="20"/>
              </w:rPr>
              <w:t>Prize payout period</w:t>
            </w:r>
          </w:p>
        </w:tc>
        <w:tc>
          <w:tcPr>
            <w:tcW w:w="2040" w:type="dxa"/>
          </w:tcPr>
          <w:p>
            <w:pPr>
              <w:pStyle w:val="yTableNAm"/>
              <w:spacing w:before="0"/>
              <w:rPr>
                <w:sz w:val="20"/>
              </w:rPr>
            </w:pPr>
            <w:r>
              <w:rPr>
                <w:sz w:val="20"/>
              </w:rPr>
              <w:t>12 months</w:t>
            </w:r>
          </w:p>
        </w:tc>
      </w:tr>
      <w:tr>
        <w:trPr>
          <w:gridAfter w:val="1"/>
          <w:wAfter w:w="8" w:type="dxa"/>
        </w:trPr>
        <w:tc>
          <w:tcPr>
            <w:tcW w:w="5040" w:type="dxa"/>
          </w:tcPr>
          <w:p>
            <w:pPr>
              <w:pStyle w:val="yTableNAm"/>
              <w:spacing w:before="0"/>
              <w:rPr>
                <w:sz w:val="20"/>
              </w:rPr>
            </w:pPr>
            <w:r>
              <w:rPr>
                <w:sz w:val="20"/>
              </w:rPr>
              <w:t>Maximum aggregate entry cost</w:t>
            </w:r>
          </w:p>
        </w:tc>
        <w:tc>
          <w:tcPr>
            <w:tcW w:w="2040" w:type="dxa"/>
          </w:tcPr>
          <w:p>
            <w:pPr>
              <w:pStyle w:val="yTableNAm"/>
              <w:spacing w:before="0"/>
              <w:rPr>
                <w:sz w:val="20"/>
              </w:rPr>
            </w:pPr>
            <w:r>
              <w:rPr>
                <w:sz w:val="20"/>
              </w:rPr>
              <w:t>$100 000</w:t>
            </w:r>
          </w:p>
        </w:tc>
      </w:tr>
    </w:tbl>
    <w:p>
      <w:pPr>
        <w:pStyle w:val="yFootnotesection"/>
      </w:pPr>
      <w:r>
        <w:tab/>
        <w:t>[Part 2 inserted in Gazette 21 Dec 2010 p. 6767; amended in Gazette 6 May 2014 p. 1390.]</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0" w:name="_Toc391299452"/>
      <w:bookmarkStart w:id="151" w:name="_Toc391299552"/>
      <w:bookmarkStart w:id="152" w:name="_Toc387064642"/>
      <w:r>
        <w:t>Notes</w:t>
      </w:r>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 w:name="_Toc391299553"/>
      <w:bookmarkStart w:id="154" w:name="_Toc387064643"/>
      <w: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31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rPr>
              <w:t>r. 1 and 2: 26 Jun 2007 (see r. 2(a));</w:t>
            </w:r>
            <w:r>
              <w:rPr>
                <w:snapToGrid w:val="0"/>
                <w:sz w:val="19"/>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rPr>
            </w:pPr>
            <w:r>
              <w:rPr>
                <w:snapToGrid w:val="0"/>
                <w:sz w:val="19"/>
              </w:rPr>
              <w:t>r. 1 and 2: 6 Jun 2008 (see r. 2(a));</w:t>
            </w:r>
            <w:r>
              <w:rPr>
                <w:snapToGrid w:val="0"/>
                <w:sz w:val="19"/>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rPr>
            </w:pPr>
            <w:r>
              <w:rPr>
                <w:snapToGrid w:val="0"/>
                <w:sz w:val="19"/>
              </w:rPr>
              <w:t>r. 1 and 2: 3 Oct 2008 (see r. 2(a));</w:t>
            </w:r>
            <w:r>
              <w:rPr>
                <w:snapToGrid w:val="0"/>
                <w:sz w:val="19"/>
              </w:rPr>
              <w:br/>
              <w:t>Rules other than r. 1 and 2: 12 Oct 2008 (see r. 2(b) and applies to Saturday lotto draws conducted on or after 18 Oct 2008)</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rFonts w:ascii="Times" w:hAnsi="Times"/>
                <w:sz w:val="19"/>
              </w:rPr>
            </w:pPr>
            <w:r>
              <w:rPr>
                <w:rFonts w:ascii="Times" w:hAnsi="Times"/>
                <w:sz w:val="19"/>
              </w:rPr>
              <w:t>17 May 2009 (see r. 2(b))</w:t>
            </w:r>
          </w:p>
        </w:tc>
      </w:tr>
      <w:tr>
        <w:tc>
          <w:tcPr>
            <w:tcW w:w="3119" w:type="dxa"/>
          </w:tcPr>
          <w:p>
            <w:pPr>
              <w:pStyle w:val="nTable"/>
              <w:spacing w:after="40"/>
              <w:rPr>
                <w:i/>
                <w:sz w:val="19"/>
              </w:rPr>
            </w:pPr>
            <w:r>
              <w:rPr>
                <w:i/>
                <w:sz w:val="19"/>
              </w:rPr>
              <w:t>Lotteries Commission (Saturday Lotto) Amendment Rules 2010</w:t>
            </w:r>
          </w:p>
        </w:tc>
        <w:tc>
          <w:tcPr>
            <w:tcW w:w="1276" w:type="dxa"/>
          </w:tcPr>
          <w:p>
            <w:pPr>
              <w:pStyle w:val="nTable"/>
              <w:spacing w:after="40"/>
              <w:rPr>
                <w:sz w:val="19"/>
              </w:rPr>
            </w:pPr>
            <w:r>
              <w:rPr>
                <w:sz w:val="19"/>
              </w:rPr>
              <w:t>12 Mar 2010 p. 948</w:t>
            </w:r>
            <w:r>
              <w:rPr>
                <w:sz w:val="19"/>
              </w:rPr>
              <w:noBreakHyphen/>
              <w:t>50</w:t>
            </w:r>
          </w:p>
        </w:tc>
        <w:tc>
          <w:tcPr>
            <w:tcW w:w="2693" w:type="dxa"/>
          </w:tcPr>
          <w:p>
            <w:pPr>
              <w:pStyle w:val="nTable"/>
              <w:spacing w:after="40"/>
              <w:rPr>
                <w:rFonts w:ascii="Times" w:hAnsi="Times"/>
                <w:sz w:val="19"/>
              </w:rPr>
            </w:pPr>
            <w:r>
              <w:rPr>
                <w:rFonts w:ascii="Times" w:hAnsi="Times"/>
                <w:snapToGrid w:val="0"/>
                <w:sz w:val="19"/>
              </w:rPr>
              <w:t>r. 1 and 2: 12 Mar 2010 (see r. 2(a));</w:t>
            </w:r>
            <w:r>
              <w:rPr>
                <w:rFonts w:ascii="Times" w:hAnsi="Times"/>
                <w:snapToGrid w:val="0"/>
                <w:sz w:val="19"/>
              </w:rPr>
              <w:br/>
              <w:t>Rules other than r. 1 and 2: 14 Mar 2010 (see r. 2(b))</w:t>
            </w:r>
          </w:p>
        </w:tc>
      </w:tr>
      <w:tr>
        <w:tc>
          <w:tcPr>
            <w:tcW w:w="3119" w:type="dxa"/>
          </w:tcPr>
          <w:p>
            <w:pPr>
              <w:pStyle w:val="nTable"/>
              <w:spacing w:after="40"/>
              <w:rPr>
                <w:i/>
                <w:sz w:val="19"/>
              </w:rPr>
            </w:pPr>
            <w:r>
              <w:rPr>
                <w:i/>
                <w:sz w:val="19"/>
              </w:rPr>
              <w:t>Lotteries Commission (Saturday Lotto) Amendment Rules (No. 2) 2010</w:t>
            </w:r>
          </w:p>
        </w:tc>
        <w:tc>
          <w:tcPr>
            <w:tcW w:w="1276" w:type="dxa"/>
          </w:tcPr>
          <w:p>
            <w:pPr>
              <w:pStyle w:val="nTable"/>
              <w:spacing w:after="40"/>
              <w:rPr>
                <w:sz w:val="19"/>
              </w:rPr>
            </w:pPr>
            <w:r>
              <w:rPr>
                <w:sz w:val="19"/>
              </w:rPr>
              <w:t>19 Nov 2010 p. 5729</w:t>
            </w:r>
            <w:r>
              <w:rPr>
                <w:sz w:val="19"/>
              </w:rPr>
              <w:noBreakHyphen/>
              <w:t>32</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Rules other than r. 1 and 2: 20 Nov 2010 (see r. 2(b))</w:t>
            </w:r>
          </w:p>
        </w:tc>
      </w:tr>
      <w:tr>
        <w:tc>
          <w:tcPr>
            <w:tcW w:w="3119" w:type="dxa"/>
            <w:shd w:val="clear" w:color="auto" w:fill="auto"/>
          </w:tcPr>
          <w:p>
            <w:pPr>
              <w:pStyle w:val="nTable"/>
              <w:spacing w:after="40"/>
              <w:rPr>
                <w:i/>
                <w:sz w:val="19"/>
              </w:rPr>
            </w:pPr>
            <w:r>
              <w:rPr>
                <w:i/>
                <w:sz w:val="19"/>
              </w:rPr>
              <w:t>Lotteries Commission (Saturday Lotto) Amendment Rules (No. 3) 2010</w:t>
            </w:r>
          </w:p>
        </w:tc>
        <w:tc>
          <w:tcPr>
            <w:tcW w:w="1276" w:type="dxa"/>
            <w:shd w:val="clear" w:color="auto" w:fill="auto"/>
          </w:tcPr>
          <w:p>
            <w:pPr>
              <w:pStyle w:val="nTable"/>
              <w:spacing w:after="40"/>
              <w:rPr>
                <w:sz w:val="19"/>
              </w:rPr>
            </w:pPr>
            <w:r>
              <w:rPr>
                <w:sz w:val="19"/>
              </w:rPr>
              <w:t>21 Dec 2010 p. 6763-7</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21 Dec 2010 (see r. 2(a));</w:t>
            </w:r>
            <w:r>
              <w:rPr>
                <w:rFonts w:ascii="Times" w:hAnsi="Times"/>
                <w:snapToGrid w:val="0"/>
                <w:sz w:val="19"/>
              </w:rPr>
              <w:br/>
              <w:t xml:space="preserve">Rules other than r. 1 and 2: </w:t>
            </w:r>
            <w:r>
              <w:rPr>
                <w:rFonts w:ascii="Times" w:hAnsi="Times"/>
                <w:sz w:val="19"/>
              </w:rPr>
              <w:t>23 Jan 2011 (see r. 2(b))</w:t>
            </w:r>
          </w:p>
        </w:tc>
      </w:tr>
      <w:tr>
        <w:tc>
          <w:tcPr>
            <w:tcW w:w="7088" w:type="dxa"/>
            <w:gridSpan w:val="3"/>
            <w:shd w:val="clear" w:color="auto" w:fill="auto"/>
          </w:tcPr>
          <w:p>
            <w:pPr>
              <w:pStyle w:val="nTable"/>
              <w:spacing w:after="40"/>
              <w:rPr>
                <w:rFonts w:ascii="Times" w:hAnsi="Times"/>
                <w:snapToGrid w:val="0"/>
                <w:sz w:val="19"/>
              </w:rPr>
            </w:pPr>
            <w:r>
              <w:rPr>
                <w:b/>
                <w:sz w:val="19"/>
              </w:rPr>
              <w:t xml:space="preserve">Reprint 4: The </w:t>
            </w:r>
            <w:r>
              <w:rPr>
                <w:b/>
                <w:i/>
                <w:sz w:val="19"/>
              </w:rPr>
              <w:t>Lotteries Commission (Saturday Lotto) Rules 1996</w:t>
            </w:r>
            <w:r>
              <w:rPr>
                <w:b/>
                <w:sz w:val="19"/>
              </w:rPr>
              <w:t xml:space="preserve"> as at 19 Oct 2012</w:t>
            </w:r>
            <w:r>
              <w:rPr>
                <w:b/>
                <w:sz w:val="19"/>
              </w:rPr>
              <w:br/>
            </w:r>
            <w:r>
              <w:rPr>
                <w:sz w:val="19"/>
              </w:rPr>
              <w:t>(includes amendments listed above)</w:t>
            </w:r>
          </w:p>
        </w:tc>
      </w:tr>
      <w:tr>
        <w:tc>
          <w:tcPr>
            <w:tcW w:w="3119" w:type="dxa"/>
            <w:shd w:val="clear" w:color="auto" w:fill="auto"/>
          </w:tcPr>
          <w:p>
            <w:pPr>
              <w:pStyle w:val="nTable"/>
              <w:spacing w:after="40"/>
              <w:rPr>
                <w:i/>
                <w:sz w:val="19"/>
              </w:rPr>
            </w:pPr>
            <w:r>
              <w:rPr>
                <w:i/>
                <w:sz w:val="19"/>
              </w:rPr>
              <w:t>Lotteries Commission (Saturday Lotto) Amendment Rules 2014</w:t>
            </w:r>
          </w:p>
        </w:tc>
        <w:tc>
          <w:tcPr>
            <w:tcW w:w="1276" w:type="dxa"/>
            <w:shd w:val="clear" w:color="auto" w:fill="auto"/>
          </w:tcPr>
          <w:p>
            <w:pPr>
              <w:pStyle w:val="nTable"/>
              <w:spacing w:after="40"/>
              <w:rPr>
                <w:sz w:val="19"/>
              </w:rPr>
            </w:pPr>
            <w:r>
              <w:rPr>
                <w:sz w:val="19"/>
              </w:rPr>
              <w:t>6 May 2014 p. 1386</w:t>
            </w:r>
            <w:r>
              <w:rPr>
                <w:sz w:val="19"/>
              </w:rPr>
              <w:noBreakHyphen/>
              <w:t>90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6 May 2014 (see r. 2(a));</w:t>
            </w:r>
            <w:r>
              <w:rPr>
                <w:rFonts w:ascii="Times" w:hAnsi="Times"/>
                <w:snapToGrid w:val="0"/>
                <w:sz w:val="19"/>
              </w:rPr>
              <w:br/>
              <w:t xml:space="preserve">Rules other than r. 1 and 2: </w:t>
            </w:r>
            <w:r>
              <w:rPr>
                <w:rFonts w:ascii="Times" w:hAnsi="Times"/>
                <w:sz w:val="19"/>
              </w:rPr>
              <w:t>7 May 2014 (see r. 2(b))</w:t>
            </w:r>
          </w:p>
        </w:tc>
      </w:tr>
    </w:tbl>
    <w:p>
      <w:pPr>
        <w:rPr>
          <w:del w:id="155" w:author="Master Repository Process" w:date="2021-08-29T03:45:00Z"/>
        </w:rPr>
      </w:pPr>
    </w:p>
    <w:p>
      <w:pPr>
        <w:rPr>
          <w:del w:id="156" w:author="Master Repository Process" w:date="2021-08-29T03:45:00Z"/>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157" w:author="Master Repository Process" w:date="2021-08-29T03:45:00Z"/>
        </w:trPr>
        <w:tc>
          <w:tcPr>
            <w:tcW w:w="3119" w:type="dxa"/>
            <w:tcBorders>
              <w:bottom w:val="single" w:sz="4" w:space="0" w:color="auto"/>
            </w:tcBorders>
            <w:shd w:val="clear" w:color="auto" w:fill="auto"/>
          </w:tcPr>
          <w:p>
            <w:pPr>
              <w:pStyle w:val="nTable"/>
              <w:spacing w:after="40"/>
              <w:rPr>
                <w:ins w:id="158" w:author="Master Repository Process" w:date="2021-08-29T03:45:00Z"/>
                <w:i/>
                <w:sz w:val="19"/>
              </w:rPr>
            </w:pPr>
            <w:ins w:id="159" w:author="Master Repository Process" w:date="2021-08-29T03:45:00Z">
              <w:r>
                <w:rPr>
                  <w:i/>
                  <w:sz w:val="19"/>
                </w:rPr>
                <w:t>Lotteries Commission (Saturday Lotto) Amendment Rules (No. 2) 2014</w:t>
              </w:r>
            </w:ins>
          </w:p>
        </w:tc>
        <w:tc>
          <w:tcPr>
            <w:tcW w:w="1276" w:type="dxa"/>
            <w:tcBorders>
              <w:bottom w:val="single" w:sz="4" w:space="0" w:color="auto"/>
            </w:tcBorders>
            <w:shd w:val="clear" w:color="auto" w:fill="auto"/>
          </w:tcPr>
          <w:p>
            <w:pPr>
              <w:pStyle w:val="nTable"/>
              <w:spacing w:after="40"/>
              <w:rPr>
                <w:ins w:id="160" w:author="Master Repository Process" w:date="2021-08-29T03:45:00Z"/>
                <w:sz w:val="19"/>
              </w:rPr>
            </w:pPr>
            <w:ins w:id="161" w:author="Master Repository Process" w:date="2021-08-29T03:45:00Z">
              <w:r>
                <w:rPr>
                  <w:sz w:val="19"/>
                </w:rPr>
                <w:t>24 Jun 2014 p. 2093-4</w:t>
              </w:r>
            </w:ins>
          </w:p>
        </w:tc>
        <w:tc>
          <w:tcPr>
            <w:tcW w:w="2693" w:type="dxa"/>
            <w:tcBorders>
              <w:bottom w:val="single" w:sz="4" w:space="0" w:color="auto"/>
            </w:tcBorders>
            <w:shd w:val="clear" w:color="auto" w:fill="auto"/>
          </w:tcPr>
          <w:p>
            <w:pPr>
              <w:pStyle w:val="nTable"/>
              <w:spacing w:after="40"/>
              <w:rPr>
                <w:ins w:id="162" w:author="Master Repository Process" w:date="2021-08-29T03:45:00Z"/>
                <w:rFonts w:ascii="Times" w:hAnsi="Times"/>
                <w:snapToGrid w:val="0"/>
                <w:sz w:val="19"/>
              </w:rPr>
            </w:pPr>
            <w:ins w:id="163" w:author="Master Repository Process" w:date="2021-08-29T03:45:00Z">
              <w:r>
                <w:rPr>
                  <w:rFonts w:ascii="Times" w:hAnsi="Times"/>
                  <w:snapToGrid w:val="0"/>
                  <w:sz w:val="19"/>
                </w:rPr>
                <w:t>r. 1 and 2: 24 Jun 2014 (see r. 2(a));</w:t>
              </w:r>
              <w:r>
                <w:rPr>
                  <w:rFonts w:ascii="Times" w:hAnsi="Times"/>
                  <w:snapToGrid w:val="0"/>
                  <w:sz w:val="19"/>
                </w:rPr>
                <w:br/>
                <w:t>Rules other than r. 1 and 2: 25</w:t>
              </w:r>
              <w:r>
                <w:rPr>
                  <w:rFonts w:ascii="Times" w:hAnsi="Times"/>
                  <w:sz w:val="19"/>
                </w:rPr>
                <w:t> Jun 2014 (see r. 2(b))</w:t>
              </w:r>
            </w:ins>
          </w:p>
        </w:tc>
      </w:tr>
    </w:tbl>
    <w:p>
      <w:pPr>
        <w:rPr>
          <w:ins w:id="164" w:author="Master Repository Process" w:date="2021-08-29T03:45:00Z"/>
        </w:rPr>
      </w:pPr>
    </w:p>
    <w:p>
      <w:pPr>
        <w:rPr>
          <w:ins w:id="165" w:author="Master Repository Process" w:date="2021-08-29T03:45:00Z"/>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ins w:id="166" w:author="Master Repository Process" w:date="2021-08-29T03:45:00Z"/>
        </w:rPr>
      </w:pPr>
    </w:p>
    <w:p>
      <w:pPr>
        <w:rPr>
          <w:ins w:id="167" w:author="Master Repository Process" w:date="2021-08-29T03:45:00Z"/>
        </w:r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ind w:right="678"/>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ind w:left="684"/>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5A07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3150712"/>
    <w:docVar w:name="WAFER_20140203160931" w:val="RemoveTocBookmarks,RemoveUnusedBookmarks,RemoveLanguageTags,UsedStyles,ResetPageSize,UpdateArrangement"/>
    <w:docVar w:name="WAFER_20140203160931_GUID" w:val="661ec98e-1977-455c-8975-41af212d2ed8"/>
    <w:docVar w:name="WAFER_20140203161546" w:val="RemoveTocBookmarks,RunningHeaders"/>
    <w:docVar w:name="WAFER_20140203161546_GUID" w:val="369c8709-e82b-494a-8c04-b7cf7c79a1bb"/>
    <w:docVar w:name="WAFER_20140214120234" w:val="ResetStyles"/>
    <w:docVar w:name="WAFER_20140214120234_GUID" w:val="2f90f087-07f5-49fb-882b-5ae84db5547a"/>
    <w:docVar w:name="WAFER_20140505104918" w:val="RemoveTocBookmarks,RemoveUnusedBookmarks,RemoveLanguageTags,UsedStyles,ResetPageSize,UpdateArrangement"/>
    <w:docVar w:name="WAFER_20140505104918_GUID" w:val="0db6f70b-04d1-4a68-9e2e-c26b959be82c"/>
    <w:docVar w:name="WAFER_20140623150712" w:val="RemoveTocBookmarks,RunningHeaders"/>
    <w:docVar w:name="WAFER_20140623150712_GUID" w:val="12dfb3d0-1656-49e4-8d18-030e4d544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8B82F7F-9ADC-4CD0-984B-9691D841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otesPerm2">
    <w:name w:val="NotesPerm(2)"/>
    <w:basedOn w:val="NotesPerm"/>
    <w:pPr>
      <w:numPr>
        <w:numId w:val="11"/>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11538</Words>
  <Characters>46618</Characters>
  <Application>Microsoft Office Word</Application>
  <DocSecurity>0</DocSecurity>
  <Lines>4238</Lines>
  <Paragraphs>3420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04-b0-01 - 04-c0-00</dc:title>
  <dc:subject/>
  <dc:creator/>
  <cp:keywords/>
  <dc:description/>
  <cp:lastModifiedBy>Master Repository Process</cp:lastModifiedBy>
  <cp:revision>2</cp:revision>
  <cp:lastPrinted>2012-10-22T04:14:00Z</cp:lastPrinted>
  <dcterms:created xsi:type="dcterms:W3CDTF">2021-08-28T19:44:00Z</dcterms:created>
  <dcterms:modified xsi:type="dcterms:W3CDTF">2021-08-28T19:45:00Z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20140625</vt:lpwstr>
  </property>
  <property fmtid="{D5CDD505-2E9C-101B-9397-08002B2CF9AE}" pid="4" name="DocumentType">
    <vt:lpwstr>Reg</vt:lpwstr>
  </property>
  <property fmtid="{D5CDD505-2E9C-101B-9397-08002B2CF9AE}" pid="5" name="OwlsUID">
    <vt:i4>4607</vt:i4>
  </property>
  <property fmtid="{D5CDD505-2E9C-101B-9397-08002B2CF9AE}" pid="6" name="ReprintNo">
    <vt:lpwstr>4</vt:lpwstr>
  </property>
  <property fmtid="{D5CDD505-2E9C-101B-9397-08002B2CF9AE}" pid="7" name="ReprintedAsAt">
    <vt:filetime>2012-10-18T16:00:00Z</vt:filetime>
  </property>
  <property fmtid="{D5CDD505-2E9C-101B-9397-08002B2CF9AE}" pid="8" name="FromSuffix">
    <vt:lpwstr>04-b0-01</vt:lpwstr>
  </property>
  <property fmtid="{D5CDD505-2E9C-101B-9397-08002B2CF9AE}" pid="9" name="FromAsAtDate">
    <vt:lpwstr>07 May 2014</vt:lpwstr>
  </property>
  <property fmtid="{D5CDD505-2E9C-101B-9397-08002B2CF9AE}" pid="10" name="ToSuffix">
    <vt:lpwstr>04-c0-00</vt:lpwstr>
  </property>
  <property fmtid="{D5CDD505-2E9C-101B-9397-08002B2CF9AE}" pid="11" name="ToAsAtDate">
    <vt:lpwstr>25 Jun 2014</vt:lpwstr>
  </property>
</Properties>
</file>