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0" w:name="_Toc391651488"/>
      <w:bookmarkStart w:id="1" w:name="_Toc378672225"/>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3" w:name="_Toc391651489"/>
      <w:bookmarkStart w:id="4" w:name="_Toc378672226"/>
      <w:r>
        <w:rPr>
          <w:rStyle w:val="CharSectno"/>
        </w:rPr>
        <w:t>2</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pPr>
      <w:r>
        <w:tab/>
      </w:r>
      <w:r>
        <w:rPr>
          <w:rStyle w:val="CharDefText"/>
        </w:rPr>
        <w:t>educational activity</w:t>
      </w:r>
      <w:r>
        <w:t xml:space="preserve"> means —</w:t>
      </w:r>
    </w:p>
    <w:p>
      <w:pPr>
        <w:pStyle w:val="Defpara"/>
      </w:pPr>
      <w:r>
        <w:tab/>
        <w:t>(a)</w:t>
      </w:r>
      <w:r>
        <w:tab/>
        <w:t xml:space="preserve">attendance, including by means of audiolink or videolink, at a specific training course provided by a </w:t>
      </w:r>
      <w:r>
        <w:lastRenderedPageBreak/>
        <w:t>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w:t>
      </w:r>
    </w:p>
    <w:p>
      <w:pPr>
        <w:pStyle w:val="Defpara"/>
      </w:pPr>
      <w:r>
        <w:tab/>
        <w:t>(a)</w:t>
      </w:r>
      <w:r>
        <w:tab/>
        <w:t>in relation to a CPD activity approved for the calendar year 2009 or any subsequent calendar year, the point value specified under regulation 4AA(2)(a);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lastRenderedPageBreak/>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5" w:name="_Toc391651490"/>
      <w:bookmarkStart w:id="6" w:name="_Toc378672227"/>
      <w:r>
        <w:rPr>
          <w:rStyle w:val="CharSectno"/>
        </w:rPr>
        <w:t>3A</w:t>
      </w:r>
      <w:r>
        <w:t>.</w:t>
      </w:r>
      <w:r>
        <w:tab/>
        <w:t>Prescribed duty (Act s. 4(4)(d))</w:t>
      </w:r>
      <w:bookmarkEnd w:id="5"/>
      <w:bookmarkEnd w:id="6"/>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7" w:name="_Toc391651491"/>
      <w:bookmarkStart w:id="8" w:name="_Toc378672228"/>
      <w:r>
        <w:rPr>
          <w:rStyle w:val="CharSectno"/>
        </w:rPr>
        <w:t>4</w:t>
      </w:r>
      <w:r>
        <w:rPr>
          <w:snapToGrid w:val="0"/>
        </w:rPr>
        <w:t>.</w:t>
      </w:r>
      <w:r>
        <w:rPr>
          <w:snapToGrid w:val="0"/>
        </w:rPr>
        <w:tab/>
        <w:t>Fees (Sch. 1)</w:t>
      </w:r>
      <w:bookmarkEnd w:id="7"/>
      <w:bookmarkEnd w:id="8"/>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spacing w:before="180"/>
        <w:rPr>
          <w:snapToGrid w:val="0"/>
        </w:rPr>
      </w:pPr>
      <w:bookmarkStart w:id="9" w:name="_Toc391651492"/>
      <w:bookmarkStart w:id="10" w:name="_Toc378672229"/>
      <w:r>
        <w:rPr>
          <w:rStyle w:val="CharSectno"/>
        </w:rPr>
        <w:t>4A</w:t>
      </w:r>
      <w:r>
        <w:rPr>
          <w:snapToGrid w:val="0"/>
        </w:rPr>
        <w:t>.</w:t>
      </w:r>
      <w:r>
        <w:rPr>
          <w:snapToGrid w:val="0"/>
        </w:rPr>
        <w:tab/>
        <w:t>Holding fee, when payable etc.</w:t>
      </w:r>
      <w:bookmarkEnd w:id="9"/>
      <w:bookmarkEnd w:id="1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[Regulation 4A inserted in Gazette 25 Jun 1996 p. 2924; amended in Gazette 17 Jun 2008 p. 2558; 30 Jun 2011 p. 2671.]</w:t>
      </w:r>
    </w:p>
    <w:p>
      <w:pPr>
        <w:pStyle w:val="Heading5"/>
      </w:pPr>
      <w:bookmarkStart w:id="11" w:name="_Toc391651493"/>
      <w:bookmarkStart w:id="12" w:name="_Toc378672230"/>
      <w:r>
        <w:rPr>
          <w:rStyle w:val="CharSectno"/>
        </w:rPr>
        <w:t>4AA</w:t>
      </w:r>
      <w:r>
        <w:t>.</w:t>
      </w:r>
      <w:r>
        <w:tab/>
        <w:t>CPD activities, approval of etc.</w:t>
      </w:r>
      <w:bookmarkEnd w:id="11"/>
      <w:bookmarkEnd w:id="12"/>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13" w:name="_Toc391651494"/>
      <w:bookmarkStart w:id="14" w:name="_Toc378672231"/>
      <w:r>
        <w:rPr>
          <w:rStyle w:val="CharSectno"/>
        </w:rPr>
        <w:t>4AB</w:t>
      </w:r>
      <w:r>
        <w:t>.</w:t>
      </w:r>
      <w:r>
        <w:tab/>
        <w:t>Prescribed educational requirement (Act s. 31(3)(b))</w:t>
      </w:r>
      <w:bookmarkEnd w:id="13"/>
      <w:bookmarkEnd w:id="14"/>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15" w:name="_Toc391651495"/>
      <w:bookmarkStart w:id="16" w:name="_Toc378672232"/>
      <w:r>
        <w:rPr>
          <w:rStyle w:val="CharSectno"/>
        </w:rPr>
        <w:t>4AC</w:t>
      </w:r>
      <w:r>
        <w:t>.</w:t>
      </w:r>
      <w:r>
        <w:tab/>
        <w:t>Prescribed educational requirement (Act s. 48(5)(b))</w:t>
      </w:r>
      <w:bookmarkEnd w:id="15"/>
      <w:bookmarkEnd w:id="16"/>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17" w:name="_Toc391651496"/>
      <w:bookmarkStart w:id="18" w:name="_Toc378672233"/>
      <w:r>
        <w:rPr>
          <w:rStyle w:val="CharSectno"/>
        </w:rPr>
        <w:t>4B</w:t>
      </w:r>
      <w:r>
        <w:rPr>
          <w:snapToGrid w:val="0"/>
        </w:rPr>
        <w:t>.</w:t>
      </w:r>
      <w:r>
        <w:rPr>
          <w:snapToGrid w:val="0"/>
        </w:rPr>
        <w:tab/>
        <w:t>Prescribed periods (Act s. 48(1), (2) and 49(2))</w:t>
      </w:r>
      <w:bookmarkEnd w:id="17"/>
      <w:bookmarkEnd w:id="18"/>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Heading5"/>
        <w:spacing w:before="240"/>
        <w:rPr>
          <w:snapToGrid w:val="0"/>
        </w:rPr>
      </w:pPr>
      <w:bookmarkStart w:id="19" w:name="_Toc391651497"/>
      <w:bookmarkStart w:id="20" w:name="_Toc378672234"/>
      <w:r>
        <w:rPr>
          <w:rStyle w:val="CharSectno"/>
        </w:rPr>
        <w:t>5</w:t>
      </w:r>
      <w:r>
        <w:rPr>
          <w:snapToGrid w:val="0"/>
        </w:rPr>
        <w:t>.</w:t>
      </w:r>
      <w:r>
        <w:rPr>
          <w:snapToGrid w:val="0"/>
        </w:rPr>
        <w:tab/>
        <w:t>Notice of application for licence, advertisement of (Act s. 24(2))</w:t>
      </w:r>
      <w:bookmarkEnd w:id="19"/>
      <w:bookmarkEnd w:id="20"/>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Commissioner in a newspaper with State</w:t>
      </w:r>
      <w:r>
        <w:noBreakHyphen/>
        <w:t>wide circulation as soon as practicable after the application is made.</w:t>
      </w:r>
    </w:p>
    <w:p>
      <w:pPr>
        <w:pStyle w:val="Ednotesubsection"/>
      </w:pPr>
      <w:r>
        <w:tab/>
        <w:t>[(2)</w:t>
      </w:r>
      <w:r>
        <w:tab/>
        <w:t>deleted]</w:t>
      </w:r>
    </w:p>
    <w:p>
      <w:pPr>
        <w:pStyle w:val="Footnotesection"/>
      </w:pPr>
      <w:r>
        <w:tab/>
        <w:t>[Regulation 5 amended in Gazette 26 Oct 1990 p. 5370; 30 Jun 2011 p. 2670.]</w:t>
      </w:r>
    </w:p>
    <w:p>
      <w:pPr>
        <w:pStyle w:val="Heading5"/>
        <w:spacing w:before="240"/>
      </w:pPr>
      <w:bookmarkStart w:id="21" w:name="_Toc391651498"/>
      <w:bookmarkStart w:id="22" w:name="_Toc378672235"/>
      <w:r>
        <w:rPr>
          <w:rStyle w:val="CharSectno"/>
        </w:rPr>
        <w:t>6</w:t>
      </w:r>
      <w:r>
        <w:t>.</w:t>
      </w:r>
      <w:r>
        <w:tab/>
        <w:t>Prescribed examinations (Act Sch. cl. 1(a))</w:t>
      </w:r>
      <w:bookmarkEnd w:id="21"/>
      <w:bookmarkEnd w:id="22"/>
    </w:p>
    <w:p>
      <w:pPr>
        <w:pStyle w:val="Subsection"/>
      </w:pPr>
      <w:r>
        <w:tab/>
        <w:t>(1)</w:t>
      </w:r>
      <w:r>
        <w:tab/>
        <w:t>The prescribed examinations for the purposes of clause 1(a) of the Schedule to the Act are —</w:t>
      </w:r>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p>
    <w:p>
      <w:pPr>
        <w:pStyle w:val="Indenti"/>
      </w:pPr>
      <w:r>
        <w:tab/>
        <w:t>(i)</w:t>
      </w:r>
      <w:r>
        <w:tab/>
        <w:t>Unit 15826 — Rural Sales; and</w:t>
      </w:r>
    </w:p>
    <w:p>
      <w:pPr>
        <w:pStyle w:val="Indenti"/>
      </w:pPr>
      <w:r>
        <w:tab/>
        <w:t>(ii)</w:t>
      </w:r>
      <w:r>
        <w:tab/>
        <w:t>Unit 15825 — Selling Businesses; and</w:t>
      </w:r>
    </w:p>
    <w:p>
      <w:pPr>
        <w:pStyle w:val="Indenti"/>
      </w:pPr>
      <w:r>
        <w:tab/>
        <w:t>(iii)</w:t>
      </w:r>
      <w:r>
        <w:tab/>
        <w:t>Unit 15892 — Real Estate Law;</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23" w:name="_Toc391651499"/>
      <w:bookmarkStart w:id="24" w:name="_Toc378672236"/>
      <w:r>
        <w:rPr>
          <w:rStyle w:val="CharSectno"/>
        </w:rPr>
        <w:t>6A</w:t>
      </w:r>
      <w:r>
        <w:t>.</w:t>
      </w:r>
      <w:r>
        <w:tab/>
        <w:t>Prescribed qualifications for sales representatives (Act s. 47(2))</w:t>
      </w:r>
      <w:bookmarkEnd w:id="23"/>
      <w:bookmarkEnd w:id="2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25" w:name="_Toc391651500"/>
      <w:bookmarkStart w:id="26" w:name="_Toc378672237"/>
      <w:r>
        <w:rPr>
          <w:rStyle w:val="CharSectno"/>
        </w:rPr>
        <w:t>6B</w:t>
      </w:r>
      <w:r>
        <w:rPr>
          <w:snapToGrid w:val="0"/>
        </w:rPr>
        <w:t>.</w:t>
      </w:r>
      <w:r>
        <w:rPr>
          <w:snapToGrid w:val="0"/>
        </w:rPr>
        <w:tab/>
        <w:t>Certificate of registration, grant of (Act s. 47)</w:t>
      </w:r>
      <w:bookmarkEnd w:id="25"/>
      <w:bookmarkEnd w:id="26"/>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27" w:name="_Toc391651501"/>
      <w:bookmarkStart w:id="28" w:name="_Toc378672238"/>
      <w:r>
        <w:rPr>
          <w:rStyle w:val="CharSectno"/>
        </w:rPr>
        <w:t>6BA</w:t>
      </w:r>
      <w:r>
        <w:rPr>
          <w:snapToGrid w:val="0"/>
        </w:rPr>
        <w:t>.</w:t>
      </w:r>
      <w:r>
        <w:rPr>
          <w:snapToGrid w:val="0"/>
        </w:rPr>
        <w:tab/>
        <w:t>Appointment to act as agent, content of</w:t>
      </w:r>
      <w:bookmarkEnd w:id="27"/>
      <w:bookmarkEnd w:id="28"/>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spacing w:before="240"/>
        <w:rPr>
          <w:snapToGrid w:val="0"/>
        </w:rPr>
      </w:pPr>
      <w:bookmarkStart w:id="29" w:name="_Toc391651502"/>
      <w:bookmarkStart w:id="30" w:name="_Toc378672239"/>
      <w:r>
        <w:rPr>
          <w:rStyle w:val="CharSectno"/>
        </w:rPr>
        <w:t>6C</w:t>
      </w:r>
      <w:r>
        <w:rPr>
          <w:snapToGrid w:val="0"/>
        </w:rPr>
        <w:t>.</w:t>
      </w:r>
      <w:r>
        <w:rPr>
          <w:snapToGrid w:val="0"/>
        </w:rPr>
        <w:tab/>
        <w:t>Authorised financial institution (Act s. 67), classes of body prescribed</w:t>
      </w:r>
      <w:bookmarkEnd w:id="29"/>
      <w:bookmarkEnd w:id="30"/>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spacing w:before="240"/>
        <w:rPr>
          <w:snapToGrid w:val="0"/>
        </w:rPr>
      </w:pPr>
      <w:bookmarkStart w:id="31" w:name="_Toc391651503"/>
      <w:bookmarkStart w:id="32" w:name="_Toc378672240"/>
      <w:r>
        <w:rPr>
          <w:rStyle w:val="CharSectno"/>
        </w:rPr>
        <w:t>6D</w:t>
      </w:r>
      <w:r>
        <w:rPr>
          <w:snapToGrid w:val="0"/>
        </w:rPr>
        <w:t>.</w:t>
      </w:r>
      <w:r>
        <w:rPr>
          <w:snapToGrid w:val="0"/>
        </w:rPr>
        <w:tab/>
        <w:t>Trust accounts, designation of (Act s. 68(1))</w:t>
      </w:r>
      <w:bookmarkEnd w:id="31"/>
      <w:bookmarkEnd w:id="32"/>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spacing w:before="240"/>
        <w:rPr>
          <w:snapToGrid w:val="0"/>
        </w:rPr>
      </w:pPr>
      <w:bookmarkStart w:id="33" w:name="_Toc391651504"/>
      <w:bookmarkStart w:id="34" w:name="_Toc378672241"/>
      <w:r>
        <w:rPr>
          <w:rStyle w:val="CharSectno"/>
        </w:rPr>
        <w:t>6E</w:t>
      </w:r>
      <w:r>
        <w:rPr>
          <w:snapToGrid w:val="0"/>
        </w:rPr>
        <w:t>.</w:t>
      </w:r>
      <w:r>
        <w:rPr>
          <w:snapToGrid w:val="0"/>
        </w:rPr>
        <w:tab/>
        <w:t>Separate trust accounts, requests for, requirements prescribed (Act s. 68A(4))</w:t>
      </w:r>
      <w:bookmarkEnd w:id="33"/>
      <w:bookmarkEnd w:id="34"/>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40"/>
        <w:rPr>
          <w:snapToGrid w:val="0"/>
        </w:rPr>
      </w:pPr>
      <w:bookmarkStart w:id="35" w:name="_Toc391651505"/>
      <w:bookmarkStart w:id="36" w:name="_Toc378672242"/>
      <w:r>
        <w:rPr>
          <w:rStyle w:val="CharSectno"/>
        </w:rPr>
        <w:t>6F</w:t>
      </w:r>
      <w:r>
        <w:rPr>
          <w:snapToGrid w:val="0"/>
        </w:rPr>
        <w:t>.</w:t>
      </w:r>
      <w:r>
        <w:rPr>
          <w:snapToGrid w:val="0"/>
        </w:rPr>
        <w:tab/>
        <w:t>Trust accounts, interest on (Act s. 68B(1))</w:t>
      </w:r>
      <w:bookmarkEnd w:id="35"/>
      <w:bookmarkEnd w:id="36"/>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pPr>
      <w:bookmarkStart w:id="37" w:name="_Toc391651506"/>
      <w:bookmarkStart w:id="38" w:name="_Toc378672243"/>
      <w:r>
        <w:rPr>
          <w:rStyle w:val="CharSectno"/>
        </w:rPr>
        <w:t>6G</w:t>
      </w:r>
      <w:r>
        <w:t>.</w:t>
      </w:r>
      <w:r>
        <w:tab/>
        <w:t>Receipts by agents, information in prescribed (Act s. 69(1)(a))</w:t>
      </w:r>
      <w:bookmarkEnd w:id="37"/>
      <w:bookmarkEnd w:id="38"/>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39" w:name="_Toc391651507"/>
      <w:bookmarkStart w:id="40" w:name="_Toc378672244"/>
      <w:r>
        <w:rPr>
          <w:rStyle w:val="CharSectno"/>
        </w:rPr>
        <w:t>6H</w:t>
      </w:r>
      <w:r>
        <w:rPr>
          <w:snapToGrid w:val="0"/>
        </w:rPr>
        <w:t>.</w:t>
      </w:r>
      <w:r>
        <w:rPr>
          <w:snapToGrid w:val="0"/>
        </w:rPr>
        <w:tab/>
        <w:t>Record keeping requirements</w:t>
      </w:r>
      <w:bookmarkEnd w:id="39"/>
      <w:bookmarkEnd w:id="40"/>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41" w:name="_Toc391651508"/>
      <w:bookmarkStart w:id="42" w:name="_Toc378672245"/>
      <w:r>
        <w:rPr>
          <w:rStyle w:val="CharSectno"/>
        </w:rPr>
        <w:t>7</w:t>
      </w:r>
      <w:r>
        <w:rPr>
          <w:snapToGrid w:val="0"/>
        </w:rPr>
        <w:t>.</w:t>
      </w:r>
      <w:r>
        <w:rPr>
          <w:snapToGrid w:val="0"/>
        </w:rPr>
        <w:tab/>
        <w:t>Registers of licensees etc., particulars in prescribed (Act s. 133(2))</w:t>
      </w:r>
      <w:bookmarkEnd w:id="41"/>
      <w:bookmarkEnd w:id="42"/>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43" w:name="_Toc391651509"/>
      <w:bookmarkStart w:id="44" w:name="_Toc378672246"/>
      <w:r>
        <w:rPr>
          <w:rStyle w:val="CharSectno"/>
        </w:rPr>
        <w:t>7AA</w:t>
      </w:r>
      <w:r>
        <w:t>.</w:t>
      </w:r>
      <w:r>
        <w:tab/>
        <w:t>Lending institution (Act s. 131A), classes of body prescribed</w:t>
      </w:r>
      <w:bookmarkEnd w:id="43"/>
      <w:bookmarkEnd w:id="44"/>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[Regulation 7AA inserted in Gazette 25 Jun 1996 p. 2920.]</w:t>
      </w:r>
    </w:p>
    <w:p>
      <w:pPr>
        <w:pStyle w:val="Heading5"/>
        <w:rPr>
          <w:snapToGrid w:val="0"/>
        </w:rPr>
      </w:pPr>
      <w:bookmarkStart w:id="45" w:name="_Toc391651510"/>
      <w:bookmarkStart w:id="46" w:name="_Toc378672247"/>
      <w:r>
        <w:rPr>
          <w:rStyle w:val="CharSectno"/>
        </w:rPr>
        <w:t>7A</w:t>
      </w:r>
      <w:r>
        <w:rPr>
          <w:snapToGrid w:val="0"/>
        </w:rPr>
        <w:t>.</w:t>
      </w:r>
      <w:r>
        <w:rPr>
          <w:snapToGrid w:val="0"/>
        </w:rPr>
        <w:tab/>
        <w:t>Application for assistance from Home Buyers Assistance Account, form of (Act s. 131L(1))</w:t>
      </w:r>
      <w:bookmarkEnd w:id="45"/>
      <w:bookmarkEnd w:id="46"/>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47" w:name="_Toc391651511"/>
      <w:bookmarkStart w:id="48" w:name="_Toc378672248"/>
      <w:r>
        <w:rPr>
          <w:rStyle w:val="CharSectno"/>
        </w:rPr>
        <w:t>7B</w:t>
      </w:r>
      <w:r>
        <w:rPr>
          <w:snapToGrid w:val="0"/>
        </w:rPr>
        <w:t>.</w:t>
      </w:r>
      <w:r>
        <w:rPr>
          <w:snapToGrid w:val="0"/>
        </w:rPr>
        <w:tab/>
        <w:t>Maximum amount prescribed (Act s. 131M(3))</w:t>
      </w:r>
      <w:bookmarkEnd w:id="47"/>
      <w:bookmarkEnd w:id="48"/>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49" w:name="_Toc391651512"/>
      <w:bookmarkStart w:id="50" w:name="_Toc378672249"/>
      <w:r>
        <w:rPr>
          <w:rStyle w:val="CharSectno"/>
        </w:rPr>
        <w:t>8</w:t>
      </w:r>
      <w:r>
        <w:rPr>
          <w:snapToGrid w:val="0"/>
        </w:rPr>
        <w:t>.</w:t>
      </w:r>
      <w:r>
        <w:rPr>
          <w:snapToGrid w:val="0"/>
        </w:rPr>
        <w:tab/>
        <w:t>Changes in particulars, licensees to notify Commissioner of</w:t>
      </w:r>
      <w:bookmarkEnd w:id="49"/>
      <w:bookmarkEnd w:id="50"/>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spacing w:before="180"/>
        <w:rPr>
          <w:snapToGrid w:val="0"/>
        </w:rPr>
      </w:pPr>
      <w:bookmarkStart w:id="51" w:name="_Toc391651513"/>
      <w:bookmarkStart w:id="52" w:name="_Toc378672250"/>
      <w:r>
        <w:rPr>
          <w:rStyle w:val="CharSectno"/>
        </w:rPr>
        <w:t>9</w:t>
      </w:r>
      <w:r>
        <w:rPr>
          <w:snapToGrid w:val="0"/>
        </w:rPr>
        <w:t>.</w:t>
      </w:r>
      <w:r>
        <w:rPr>
          <w:snapToGrid w:val="0"/>
        </w:rPr>
        <w:tab/>
        <w:t>Fees and costs, recovery of</w:t>
      </w:r>
      <w:bookmarkEnd w:id="51"/>
      <w:bookmarkEnd w:id="52"/>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keepNext w:val="0"/>
        <w:keepLines w:val="0"/>
        <w:spacing w:before="180"/>
        <w:rPr>
          <w:snapToGrid w:val="0"/>
        </w:rPr>
      </w:pPr>
      <w:bookmarkStart w:id="53" w:name="_Toc391651514"/>
      <w:bookmarkStart w:id="54" w:name="_Toc378672251"/>
      <w:r>
        <w:rPr>
          <w:rStyle w:val="CharSectno"/>
        </w:rPr>
        <w:t>10</w:t>
      </w:r>
      <w:r>
        <w:rPr>
          <w:snapToGrid w:val="0"/>
        </w:rPr>
        <w:t>.</w:t>
      </w:r>
      <w:r>
        <w:rPr>
          <w:snapToGrid w:val="0"/>
        </w:rPr>
        <w:tab/>
        <w:t>Unsuccessful applicant for licence etc., refund to (Act s. 113)</w:t>
      </w:r>
      <w:bookmarkEnd w:id="53"/>
      <w:bookmarkEnd w:id="54"/>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55" w:name="_Toc391651515"/>
      <w:bookmarkStart w:id="56" w:name="_Toc378672252"/>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5"/>
      <w:bookmarkEnd w:id="56"/>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57" w:name="_Toc391651516"/>
      <w:bookmarkStart w:id="58" w:name="_Toc378672253"/>
      <w:r>
        <w:rPr>
          <w:rStyle w:val="CharSectno"/>
        </w:rPr>
        <w:t>12</w:t>
      </w:r>
      <w:r>
        <w:rPr>
          <w:snapToGrid w:val="0"/>
        </w:rPr>
        <w:t>.</w:t>
      </w:r>
      <w:r>
        <w:rPr>
          <w:snapToGrid w:val="0"/>
        </w:rPr>
        <w:tab/>
        <w:t>Fidelity Guarantee Account, claims against</w:t>
      </w:r>
      <w:bookmarkEnd w:id="57"/>
      <w:bookmarkEnd w:id="58"/>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59" w:name="_Toc391651517"/>
      <w:bookmarkStart w:id="60" w:name="_Toc378672254"/>
      <w:r>
        <w:rPr>
          <w:rStyle w:val="CharSectno"/>
        </w:rPr>
        <w:t>13</w:t>
      </w:r>
      <w:r>
        <w:rPr>
          <w:snapToGrid w:val="0"/>
        </w:rPr>
        <w:t>.</w:t>
      </w:r>
      <w:r>
        <w:rPr>
          <w:snapToGrid w:val="0"/>
        </w:rPr>
        <w:tab/>
        <w:t>Codes of conduct prescribed to be published (Act s. 101)</w:t>
      </w:r>
      <w:bookmarkEnd w:id="59"/>
      <w:bookmarkEnd w:id="60"/>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p>
    <w:p>
      <w:pPr>
        <w:pStyle w:val="Footnotesection"/>
      </w:pPr>
      <w:r>
        <w:tab/>
        <w:t>[Regulation 13 amended in Gazette 30 Jun 2011 p. 2672.]</w:t>
      </w:r>
    </w:p>
    <w:p>
      <w:pPr>
        <w:pStyle w:val="Heading5"/>
      </w:pPr>
      <w:bookmarkStart w:id="61" w:name="_Toc391651518"/>
      <w:bookmarkStart w:id="62" w:name="_Toc378672255"/>
      <w:r>
        <w:rPr>
          <w:rStyle w:val="CharSectno"/>
        </w:rPr>
        <w:t>14</w:t>
      </w:r>
      <w:r>
        <w:t>.</w:t>
      </w:r>
      <w:r>
        <w:tab/>
        <w:t>Infringement notices, offences and modified penalties for etc.</w:t>
      </w:r>
      <w:bookmarkEnd w:id="61"/>
      <w:bookmarkEnd w:id="6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63" w:name="_Toc391651519"/>
      <w:bookmarkStart w:id="64" w:name="_Toc378672256"/>
      <w:r>
        <w:rPr>
          <w:rStyle w:val="CharSectno"/>
        </w:rPr>
        <w:t>15</w:t>
      </w:r>
      <w:r>
        <w:t>.</w:t>
      </w:r>
      <w:r>
        <w:tab/>
        <w:t>Forms (Sch. 2)</w:t>
      </w:r>
      <w:bookmarkEnd w:id="63"/>
      <w:bookmarkEnd w:id="64"/>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5" w:name="_Toc391651520"/>
      <w:bookmarkStart w:id="66" w:name="_Toc378672257"/>
      <w:r>
        <w:rPr>
          <w:rStyle w:val="CharSchNo"/>
        </w:rPr>
        <w:t>Schedule 1</w:t>
      </w:r>
      <w:r>
        <w:t> — </w:t>
      </w:r>
      <w:r>
        <w:rPr>
          <w:rStyle w:val="CharSchText"/>
        </w:rPr>
        <w:t>Fees</w:t>
      </w:r>
      <w:bookmarkEnd w:id="65"/>
      <w:bookmarkEnd w:id="66"/>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w:t>
            </w:r>
            <w:del w:id="67" w:author="Master Repository Process" w:date="2021-09-12T14:56:00Z">
              <w:r>
                <w:rPr>
                  <w:szCs w:val="22"/>
                </w:rPr>
                <w:delText>68.30</w:delText>
              </w:r>
            </w:del>
            <w:ins w:id="68" w:author="Master Repository Process" w:date="2021-09-12T14:56:00Z">
              <w:r>
                <w:rPr>
                  <w:szCs w:val="22"/>
                </w:rPr>
                <w:t>70.00</w:t>
              </w:r>
            </w:ins>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w:t>
            </w:r>
            <w:del w:id="69" w:author="Master Repository Process" w:date="2021-09-12T14:56:00Z">
              <w:r>
                <w:rPr>
                  <w:szCs w:val="22"/>
                </w:rPr>
                <w:delText>721</w:delText>
              </w:r>
            </w:del>
            <w:ins w:id="70" w:author="Master Repository Process" w:date="2021-09-12T14:56:00Z">
              <w:r>
                <w:rPr>
                  <w:szCs w:val="22"/>
                </w:rPr>
                <w:t>739</w:t>
              </w:r>
            </w:ins>
            <w:r>
              <w:rPr>
                <w:szCs w:val="22"/>
              </w:rPr>
              <w:t>.00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w:t>
            </w:r>
            <w:del w:id="71" w:author="Master Repository Process" w:date="2021-09-12T14:56:00Z">
              <w:r>
                <w:rPr>
                  <w:szCs w:val="22"/>
                </w:rPr>
                <w:delText>943</w:delText>
              </w:r>
            </w:del>
            <w:ins w:id="72" w:author="Master Repository Process" w:date="2021-09-12T14:56:00Z">
              <w:r>
                <w:rPr>
                  <w:szCs w:val="22"/>
                </w:rPr>
                <w:t>967</w:t>
              </w:r>
            </w:ins>
            <w:r>
              <w:rPr>
                <w:szCs w:val="22"/>
              </w:rPr>
              <w:t>.00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w:t>
            </w:r>
            <w:del w:id="73" w:author="Master Repository Process" w:date="2021-09-12T14:56:00Z">
              <w:r>
                <w:rPr>
                  <w:szCs w:val="22"/>
                </w:rPr>
                <w:delText>943</w:delText>
              </w:r>
            </w:del>
            <w:ins w:id="74" w:author="Master Repository Process" w:date="2021-09-12T14:56:00Z">
              <w:r>
                <w:rPr>
                  <w:szCs w:val="22"/>
                </w:rPr>
                <w:t>967</w:t>
              </w:r>
            </w:ins>
            <w:r>
              <w:rPr>
                <w:szCs w:val="22"/>
              </w:rPr>
              <w:t>.00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w:t>
            </w:r>
            <w:del w:id="75" w:author="Master Repository Process" w:date="2021-09-12T14:56:00Z">
              <w:r>
                <w:rPr>
                  <w:szCs w:val="22"/>
                </w:rPr>
                <w:delText>463</w:delText>
              </w:r>
            </w:del>
            <w:ins w:id="76" w:author="Master Repository Process" w:date="2021-09-12T14:56:00Z">
              <w:r>
                <w:rPr>
                  <w:szCs w:val="22"/>
                </w:rPr>
                <w:t>475</w:t>
              </w:r>
            </w:ins>
            <w:r>
              <w:rPr>
                <w:szCs w:val="22"/>
              </w:rPr>
              <w:t>.00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w:t>
            </w:r>
            <w:del w:id="77" w:author="Master Repository Process" w:date="2021-09-12T14:56:00Z">
              <w:r>
                <w:rPr>
                  <w:szCs w:val="22"/>
                </w:rPr>
                <w:delText>184</w:delText>
              </w:r>
            </w:del>
            <w:ins w:id="78" w:author="Master Repository Process" w:date="2021-09-12T14:56:00Z">
              <w:r>
                <w:rPr>
                  <w:szCs w:val="22"/>
                </w:rPr>
                <w:t>188</w:t>
              </w:r>
            </w:ins>
            <w:r>
              <w:rPr>
                <w:szCs w:val="22"/>
              </w:rPr>
              <w:t>.00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w:t>
            </w:r>
            <w:del w:id="79" w:author="Master Repository Process" w:date="2021-09-12T14:56:00Z">
              <w:r>
                <w:rPr>
                  <w:szCs w:val="22"/>
                </w:rPr>
                <w:delText>151.00</w:delText>
              </w:r>
            </w:del>
            <w:ins w:id="80" w:author="Master Repository Process" w:date="2021-09-12T14:56:00Z">
              <w:r>
                <w:rPr>
                  <w:szCs w:val="22"/>
                </w:rPr>
                <w:t>154.50</w:t>
              </w:r>
            </w:ins>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w:t>
            </w:r>
            <w:del w:id="81" w:author="Master Repository Process" w:date="2021-09-12T14:56:00Z">
              <w:r>
                <w:rPr>
                  <w:szCs w:val="22"/>
                </w:rPr>
                <w:delText>70</w:delText>
              </w:r>
            </w:del>
            <w:ins w:id="82" w:author="Master Repository Process" w:date="2021-09-12T14:56:00Z">
              <w:r>
                <w:rPr>
                  <w:szCs w:val="22"/>
                </w:rPr>
                <w:t>90</w:t>
              </w:r>
            </w:ins>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w:t>
            </w:r>
            <w:del w:id="83" w:author="Master Repository Process" w:date="2021-09-12T14:56:00Z">
              <w:r>
                <w:rPr>
                  <w:szCs w:val="22"/>
                </w:rPr>
                <w:delText>21.50</w:delText>
              </w:r>
            </w:del>
            <w:ins w:id="84" w:author="Master Repository Process" w:date="2021-09-12T14:56:00Z">
              <w:r>
                <w:rPr>
                  <w:szCs w:val="22"/>
                </w:rPr>
                <w:t>22.00</w:t>
              </w:r>
            </w:ins>
          </w:p>
          <w:p>
            <w:pPr>
              <w:pStyle w:val="yTableNAm"/>
              <w:tabs>
                <w:tab w:val="left" w:pos="1103"/>
              </w:tabs>
            </w:pPr>
            <w:r>
              <w:rPr>
                <w:szCs w:val="22"/>
              </w:rPr>
              <w:t>$2.</w:t>
            </w:r>
            <w:del w:id="85" w:author="Master Repository Process" w:date="2021-09-12T14:56:00Z">
              <w:r>
                <w:rPr>
                  <w:szCs w:val="22"/>
                </w:rPr>
                <w:delText>15</w:delText>
              </w:r>
            </w:del>
            <w:ins w:id="86" w:author="Master Repository Process" w:date="2021-09-12T14:56:00Z">
              <w:r>
                <w:rPr>
                  <w:szCs w:val="22"/>
                </w:rPr>
                <w:t>20</w:t>
              </w:r>
            </w:ins>
          </w:p>
        </w:tc>
      </w:tr>
      <w:tr>
        <w:tc>
          <w:tcPr>
            <w:tcW w:w="960" w:type="dxa"/>
          </w:tcPr>
          <w:p>
            <w:pPr>
              <w:pStyle w:val="yTableNAm"/>
              <w:keepNext/>
            </w:pPr>
            <w:r>
              <w:t>10.</w:t>
            </w:r>
          </w:p>
        </w:tc>
        <w:tc>
          <w:tcPr>
            <w:tcW w:w="5082" w:type="dxa"/>
          </w:tcPr>
          <w:p>
            <w:pPr>
              <w:pStyle w:val="yTableNAm"/>
              <w:keepNext/>
              <w:tabs>
                <w:tab w:val="left" w:leader="dot" w:pos="4866"/>
              </w:tabs>
            </w:pPr>
            <w:r>
              <w:t xml:space="preserve">Copy (certified or uncertified) or an extract of all registrations in a register </w:t>
            </w:r>
            <w:r>
              <w:tab/>
            </w:r>
          </w:p>
        </w:tc>
        <w:tc>
          <w:tcPr>
            <w:tcW w:w="1038" w:type="dxa"/>
          </w:tcPr>
          <w:p>
            <w:pPr>
              <w:pStyle w:val="yTableNAm"/>
              <w:keepNext/>
              <w:tabs>
                <w:tab w:val="left" w:pos="1103"/>
              </w:tabs>
            </w:pPr>
            <w:r>
              <w:br/>
            </w:r>
            <w:r>
              <w:rPr>
                <w:szCs w:val="22"/>
              </w:rPr>
              <w:t>$</w:t>
            </w:r>
            <w:del w:id="87" w:author="Master Repository Process" w:date="2021-09-12T14:56:00Z">
              <w:r>
                <w:rPr>
                  <w:szCs w:val="22"/>
                </w:rPr>
                <w:delText>318</w:delText>
              </w:r>
            </w:del>
            <w:ins w:id="88" w:author="Master Repository Process" w:date="2021-09-12T14:56:00Z">
              <w:r>
                <w:rPr>
                  <w:szCs w:val="22"/>
                </w:rPr>
                <w:t>326</w:t>
              </w:r>
            </w:ins>
            <w:r>
              <w:rPr>
                <w:szCs w:val="22"/>
              </w:rPr>
              <w:t>.00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w:t>
            </w:r>
            <w:del w:id="89" w:author="Master Repository Process" w:date="2021-09-12T14:56:00Z">
              <w:r>
                <w:rPr>
                  <w:szCs w:val="22"/>
                </w:rPr>
                <w:delText>217</w:delText>
              </w:r>
            </w:del>
            <w:ins w:id="90" w:author="Master Repository Process" w:date="2021-09-12T14:56:00Z">
              <w:r>
                <w:rPr>
                  <w:szCs w:val="22"/>
                </w:rPr>
                <w:t>222</w:t>
              </w:r>
            </w:ins>
            <w:r>
              <w:rPr>
                <w:szCs w:val="22"/>
              </w:rPr>
              <w:t>.00</w:t>
            </w:r>
          </w:p>
        </w:tc>
      </w:tr>
    </w:tbl>
    <w:p>
      <w:pPr>
        <w:pStyle w:val="yFootnotesection"/>
      </w:pPr>
      <w:r>
        <w:tab/>
        <w:t>[Schedule 1 inserted in Gazette 23 Jun 2009 p. 2454; amended in Gazette 25 Jun 2010 p. 2851</w:t>
      </w:r>
      <w:r>
        <w:noBreakHyphen/>
        <w:t>2; 22 Jun 2011 p. 2368; 15 Jun 2012 p. 2600; 27 Jun 2013 p. 2691-2</w:t>
      </w:r>
      <w:ins w:id="91" w:author="Master Repository Process" w:date="2021-09-12T14:56:00Z">
        <w:r>
          <w:t>; 17 Jun 2014 p. 1978</w:t>
        </w:r>
      </w:ins>
      <w:r>
        <w:t>.]</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92" w:name="_Toc391651521"/>
      <w:bookmarkStart w:id="93" w:name="_Toc378672258"/>
      <w:r>
        <w:rPr>
          <w:rStyle w:val="CharSchNo"/>
        </w:rPr>
        <w:t>Schedule 1A</w:t>
      </w:r>
      <w:r>
        <w:rPr>
          <w:rStyle w:val="CharSDivNo"/>
        </w:rPr>
        <w:t> </w:t>
      </w:r>
      <w:r>
        <w:t>—</w:t>
      </w:r>
      <w:r>
        <w:rPr>
          <w:rStyle w:val="CharSDivText"/>
        </w:rPr>
        <w:t> </w:t>
      </w:r>
      <w:r>
        <w:rPr>
          <w:rStyle w:val="CharSchText"/>
        </w:rPr>
        <w:t>Professional development subjects</w:t>
      </w:r>
      <w:bookmarkEnd w:id="92"/>
      <w:bookmarkEnd w:id="93"/>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94" w:name="_Toc391651522"/>
      <w:bookmarkStart w:id="95" w:name="_Toc378672259"/>
      <w:r>
        <w:rPr>
          <w:rStyle w:val="CharSchNo"/>
        </w:rPr>
        <w:t>Schedule 2</w:t>
      </w:r>
      <w:r>
        <w:rPr>
          <w:rStyle w:val="CharSDivNo"/>
        </w:rPr>
        <w:t> </w:t>
      </w:r>
      <w:r>
        <w:t>—</w:t>
      </w:r>
      <w:r>
        <w:rPr>
          <w:rStyle w:val="CharSDivText"/>
        </w:rPr>
        <w:t> </w:t>
      </w:r>
      <w:r>
        <w:rPr>
          <w:rStyle w:val="CharSchText"/>
        </w:rPr>
        <w:t>Forms</w:t>
      </w:r>
      <w:bookmarkEnd w:id="94"/>
      <w:bookmarkEnd w:id="95"/>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rPr>
      </w:pPr>
      <w:r>
        <w:rPr>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w:t>
      </w:r>
    </w:p>
    <w:p>
      <w:pPr>
        <w:pStyle w:val="yMiscellaneousBody"/>
        <w:tabs>
          <w:tab w:val="left" w:pos="2127"/>
        </w:tabs>
        <w:rPr>
          <w:snapToGrid w:val="0"/>
        </w:rPr>
      </w:pPr>
      <w:r>
        <w:rPr>
          <w:snapToGrid w:val="0"/>
        </w:rPr>
        <w:t>Other Given Name(s) ______________________________________</w:t>
      </w:r>
    </w:p>
    <w:p>
      <w:pPr>
        <w:pStyle w:val="yMiscellaneousBody"/>
        <w:tabs>
          <w:tab w:val="left" w:pos="2127"/>
        </w:tabs>
        <w:rPr>
          <w:snapToGrid w:val="0"/>
        </w:rPr>
      </w:pPr>
      <w:r>
        <w:rPr>
          <w:snapToGrid w:val="0"/>
        </w:rPr>
        <w:t>Previous Family Name 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w:t>
      </w:r>
    </w:p>
    <w:p>
      <w:pPr>
        <w:pStyle w:val="yMiscellaneousBody"/>
        <w:tabs>
          <w:tab w:val="left" w:pos="2127"/>
        </w:tabs>
        <w:rPr>
          <w:snapToGrid w:val="0"/>
        </w:rPr>
      </w:pPr>
      <w:r>
        <w:rPr>
          <w:snapToGrid w:val="0"/>
        </w:rPr>
        <w:t>Suburb/Town</w:t>
      </w:r>
      <w:r>
        <w:rPr>
          <w:snapToGrid w:val="0"/>
        </w:rPr>
        <w:tab/>
        <w:t>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 (Home)</w:t>
      </w:r>
      <w:r>
        <w:rPr>
          <w:snapToGrid w:val="0"/>
        </w:rPr>
        <w:t xml:space="preserve">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w:t>
      </w:r>
    </w:p>
    <w:p>
      <w:pPr>
        <w:pStyle w:val="yMiscellaneousBody"/>
        <w:tabs>
          <w:tab w:val="left" w:pos="2127"/>
        </w:tabs>
        <w:rPr>
          <w:snapToGrid w:val="0"/>
        </w:rPr>
      </w:pPr>
      <w:r>
        <w:rPr>
          <w:snapToGrid w:val="0"/>
        </w:rPr>
        <w:t>Other Given Name(s) ______________________________________</w:t>
      </w:r>
    </w:p>
    <w:p>
      <w:pPr>
        <w:pStyle w:val="yMiscellaneousBody"/>
        <w:tabs>
          <w:tab w:val="left" w:pos="2127"/>
        </w:tabs>
        <w:rPr>
          <w:snapToGrid w:val="0"/>
        </w:rPr>
      </w:pPr>
      <w:r>
        <w:rPr>
          <w:snapToGrid w:val="0"/>
        </w:rPr>
        <w:t>Previous Family Name 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w:t>
      </w:r>
    </w:p>
    <w:p>
      <w:pPr>
        <w:pStyle w:val="yMiscellaneousBody"/>
        <w:tabs>
          <w:tab w:val="left" w:pos="2127"/>
        </w:tabs>
        <w:rPr>
          <w:snapToGrid w:val="0"/>
        </w:rPr>
      </w:pPr>
      <w:r>
        <w:rPr>
          <w:snapToGrid w:val="0"/>
        </w:rPr>
        <w:t>Suburb/Town</w:t>
      </w:r>
      <w:r>
        <w:rPr>
          <w:snapToGrid w:val="0"/>
        </w:rPr>
        <w:tab/>
        <w:t>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 </w:t>
      </w:r>
      <w:r>
        <w:rPr>
          <w:snapToGrid w:val="0"/>
          <w:sz w:val="20"/>
        </w:rPr>
        <w:t>(Home)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w:t>
      </w:r>
    </w:p>
    <w:p>
      <w:pPr>
        <w:pStyle w:val="yMiscellaneousBody"/>
        <w:tabs>
          <w:tab w:val="left" w:pos="2127"/>
        </w:tabs>
        <w:rPr>
          <w:snapToGrid w:val="0"/>
        </w:rPr>
      </w:pPr>
      <w:r>
        <w:rPr>
          <w:snapToGrid w:val="0"/>
        </w:rPr>
        <w:t>Email</w:t>
      </w:r>
      <w:r>
        <w:rPr>
          <w:snapToGrid w:val="0"/>
        </w:rPr>
        <w:tab/>
        <w:t>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pPr>
        <w:pStyle w:val="yMiscellaneousBody"/>
        <w:rPr>
          <w:b/>
          <w:i/>
          <w:snapToGrid w:val="0"/>
          <w:sz w:val="20"/>
        </w:rPr>
      </w:pPr>
    </w:p>
    <w:p>
      <w:pPr>
        <w:pStyle w:val="yMiscellaneousHeading"/>
        <w:tabs>
          <w:tab w:val="left" w:pos="570"/>
        </w:tabs>
        <w:jc w:val="left"/>
        <w:rPr>
          <w:b/>
        </w:rPr>
      </w:pPr>
      <w:r>
        <w:rPr>
          <w:b/>
        </w:rPr>
        <w:t>1.</w:t>
      </w:r>
      <w:r>
        <w:rPr>
          <w:b/>
        </w:rPr>
        <w:tab/>
        <w:t>What is the address of the dwelling purchased?</w:t>
      </w:r>
    </w:p>
    <w:p>
      <w:pPr>
        <w:pStyle w:val="yMiscellaneousBody"/>
        <w:tabs>
          <w:tab w:val="left" w:pos="570"/>
          <w:tab w:val="left" w:pos="2552"/>
        </w:tabs>
        <w:rPr>
          <w:snapToGrid w:val="0"/>
        </w:rPr>
      </w:pPr>
      <w:r>
        <w:rPr>
          <w:snapToGrid w:val="0"/>
        </w:rPr>
        <w:tab/>
        <w:t>Street Address</w:t>
      </w:r>
      <w:r>
        <w:rPr>
          <w:snapToGrid w:val="0"/>
        </w:rPr>
        <w:tab/>
        <w:t>______________________________________</w:t>
      </w:r>
    </w:p>
    <w:p>
      <w:pPr>
        <w:pStyle w:val="yMiscellaneousBody"/>
        <w:tabs>
          <w:tab w:val="left" w:pos="570"/>
          <w:tab w:val="left" w:pos="2552"/>
        </w:tabs>
        <w:rPr>
          <w:snapToGrid w:val="0"/>
        </w:rPr>
      </w:pPr>
      <w:r>
        <w:rPr>
          <w:snapToGrid w:val="0"/>
        </w:rPr>
        <w:tab/>
        <w:t>Suburb/Town</w:t>
      </w:r>
      <w:r>
        <w:rPr>
          <w:snapToGrid w:val="0"/>
        </w:rPr>
        <w:tab/>
        <w:t>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rPr>
          <w:snapToGrid w:val="0"/>
        </w:rPr>
      </w:pPr>
      <w:r>
        <w:rPr>
          <w:snapToGrid w:val="0"/>
        </w:rPr>
        <w:tab/>
        <w:t>$ 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rPr>
          <w:snapToGrid w:val="0"/>
        </w:rPr>
      </w:pPr>
      <w:r>
        <w:rPr>
          <w:snapToGrid w:val="0"/>
        </w:rPr>
        <w:tab/>
        <w:t>Name</w:t>
      </w:r>
      <w:r>
        <w:rPr>
          <w:snapToGrid w:val="0"/>
        </w:rPr>
        <w:tab/>
        <w:t>___________________________________________</w:t>
      </w:r>
    </w:p>
    <w:p>
      <w:pPr>
        <w:pStyle w:val="yMiscellaneousBody"/>
        <w:tabs>
          <w:tab w:val="left" w:pos="570"/>
          <w:tab w:val="left" w:pos="1985"/>
        </w:tabs>
        <w:rPr>
          <w:snapToGrid w:val="0"/>
        </w:rPr>
      </w:pPr>
      <w:r>
        <w:rPr>
          <w:snapToGrid w:val="0"/>
        </w:rPr>
        <w:tab/>
        <w:t>Address</w:t>
      </w:r>
      <w:r>
        <w:rPr>
          <w:snapToGrid w:val="0"/>
        </w:rPr>
        <w:tab/>
        <w:t>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rPr>
          <w:snapToGrid w:val="0"/>
        </w:rPr>
      </w:pPr>
      <w:r>
        <w:rPr>
          <w:snapToGrid w:val="0"/>
        </w:rPr>
        <w:tab/>
        <w:t>If “Yes”:</w:t>
      </w:r>
    </w:p>
    <w:p>
      <w:pPr>
        <w:pStyle w:val="yMiscellaneousBody"/>
        <w:tabs>
          <w:tab w:val="left" w:pos="570"/>
          <w:tab w:val="left" w:pos="1140"/>
        </w:tabs>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207" w:type="dxa"/>
        <w:tblInd w:w="576" w:type="dxa"/>
        <w:tblLayout w:type="fixed"/>
        <w:tblCellMar>
          <w:left w:w="120" w:type="dxa"/>
          <w:right w:w="120" w:type="dxa"/>
        </w:tblCellMar>
        <w:tblLook w:val="0000" w:firstRow="0" w:lastRow="0" w:firstColumn="0" w:lastColumn="0" w:noHBand="0" w:noVBand="0"/>
      </w:tblPr>
      <w:tblGrid>
        <w:gridCol w:w="4931"/>
        <w:gridCol w:w="1276"/>
      </w:tblGrid>
      <w:tr>
        <w:tc>
          <w:tcPr>
            <w:tcW w:w="4931"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jc w:val="center"/>
              <w:rPr>
                <w:b/>
              </w:rPr>
            </w:pPr>
            <w:r>
              <w:rPr>
                <w:b/>
              </w:rPr>
              <w:t>Expense</w:t>
            </w: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jc w:val="center"/>
              <w:rPr>
                <w:b/>
              </w:rPr>
            </w:pPr>
            <w:r>
              <w:rPr>
                <w:b/>
              </w:rPr>
              <w:t>Amount $</w:t>
            </w:r>
          </w:p>
        </w:tc>
      </w:tr>
      <w:tr>
        <w:tc>
          <w:tcPr>
            <w:tcW w:w="4931"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pPr>
            <w:r>
              <w:t>Settlement / Conveyancing fees</w:t>
            </w:r>
          </w:p>
          <w:p>
            <w:pPr>
              <w:pStyle w:val="yTableNAm"/>
              <w:tabs>
                <w:tab w:val="clear" w:pos="567"/>
                <w:tab w:val="left" w:pos="570"/>
              </w:tabs>
              <w:rPr>
                <w:sz w:val="16"/>
                <w:szCs w:val="16"/>
              </w:rPr>
            </w:pPr>
            <w:r>
              <w:t>Stamp duty</w:t>
            </w:r>
          </w:p>
          <w:p>
            <w:pPr>
              <w:pStyle w:val="yTableNAm"/>
              <w:tabs>
                <w:tab w:val="clear" w:pos="567"/>
                <w:tab w:val="left" w:pos="570"/>
              </w:tabs>
            </w:pPr>
            <w:r>
              <w:t xml:space="preserve">Strata company enquiry fee / section 43 </w:t>
            </w:r>
            <w:r>
              <w:br/>
              <w:t>certificate fee</w:t>
            </w:r>
          </w:p>
          <w:p>
            <w:pPr>
              <w:pStyle w:val="yTableNAm"/>
              <w:tabs>
                <w:tab w:val="clear" w:pos="567"/>
                <w:tab w:val="left" w:pos="570"/>
              </w:tabs>
            </w:pPr>
            <w:r>
              <w:t>Landgate transfer registration fee</w:t>
            </w:r>
          </w:p>
          <w:p>
            <w:pPr>
              <w:pStyle w:val="yTableNAm"/>
              <w:tabs>
                <w:tab w:val="clear" w:pos="567"/>
                <w:tab w:val="left" w:pos="570"/>
              </w:tabs>
            </w:pPr>
            <w:r>
              <w:t>Inspection fees</w:t>
            </w:r>
          </w:p>
          <w:p>
            <w:pPr>
              <w:pStyle w:val="yTableNAm"/>
              <w:tabs>
                <w:tab w:val="clear" w:pos="567"/>
                <w:tab w:val="left" w:pos="570"/>
              </w:tabs>
              <w:rPr>
                <w:sz w:val="16"/>
                <w:szCs w:val="16"/>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pPr>
          </w:p>
        </w:tc>
      </w:tr>
      <w:tr>
        <w:tc>
          <w:tcPr>
            <w:tcW w:w="4931" w:type="dxa"/>
            <w:tcBorders>
              <w:left w:val="single" w:sz="4" w:space="0" w:color="auto"/>
              <w:bottom w:val="single" w:sz="4" w:space="0" w:color="auto"/>
              <w:right w:val="single" w:sz="4" w:space="0" w:color="auto"/>
            </w:tcBorders>
          </w:tcPr>
          <w:p>
            <w:pPr>
              <w:pStyle w:val="yTableNAm"/>
              <w:tabs>
                <w:tab w:val="clear" w:pos="567"/>
                <w:tab w:val="left" w:pos="570"/>
              </w:tabs>
              <w:jc w:val="right"/>
              <w:rPr>
                <w:b/>
              </w:rPr>
            </w:pPr>
            <w:r>
              <w:rPr>
                <w:b/>
              </w:rPr>
              <w:t>Total</w:t>
            </w:r>
          </w:p>
        </w:tc>
        <w:tc>
          <w:tcPr>
            <w:tcW w:w="1276" w:type="dxa"/>
            <w:tcBorders>
              <w:left w:val="single" w:sz="4" w:space="0" w:color="auto"/>
              <w:bottom w:val="single" w:sz="4" w:space="0" w:color="auto"/>
              <w:right w:val="single" w:sz="4" w:space="0" w:color="auto"/>
            </w:tcBorders>
          </w:tcPr>
          <w:p>
            <w:pPr>
              <w:pStyle w:val="yTableNAm"/>
              <w:tabs>
                <w:tab w:val="clear" w:pos="567"/>
                <w:tab w:val="left" w:pos="570"/>
              </w:tabs>
              <w:jc w:val="right"/>
              <w:rPr>
                <w:b/>
              </w:rPr>
            </w:pPr>
          </w:p>
        </w:tc>
      </w:tr>
    </w:tbl>
    <w:p>
      <w:pPr>
        <w:pStyle w:val="yMiscellaneousHeading"/>
        <w:spacing w:before="360"/>
        <w:jc w:val="left"/>
        <w:rPr>
          <w:b/>
        </w:rPr>
      </w:pPr>
      <w:r>
        <w:rPr>
          <w:b/>
        </w:rPr>
        <w:t>Statutory Declaration</w:t>
      </w:r>
    </w:p>
    <w:p>
      <w:pPr>
        <w:pStyle w:val="yMiscellaneousBody"/>
        <w:rPr>
          <w:snapToGrid w:val="0"/>
        </w:rPr>
      </w:pPr>
      <w:r>
        <w:rPr>
          <w:snapToGrid w:val="0"/>
        </w:rPr>
        <w:t>I/We,</w:t>
      </w:r>
    </w:p>
    <w:p>
      <w:pPr>
        <w:pStyle w:val="yMiscellaneousBody"/>
        <w:rPr>
          <w:snapToGrid w:val="0"/>
        </w:rPr>
      </w:pPr>
      <w:r>
        <w:rPr>
          <w:snapToGrid w:val="0"/>
        </w:rPr>
        <w:t>________________________________________________________</w:t>
      </w:r>
    </w:p>
    <w:p>
      <w:pPr>
        <w:pStyle w:val="yMiscellaneousBody"/>
        <w:spacing w:before="0"/>
        <w:rPr>
          <w:i/>
          <w:snapToGrid w:val="0"/>
          <w:sz w:val="20"/>
        </w:rPr>
      </w:pPr>
      <w:r>
        <w:rPr>
          <w:snapToGrid w:val="0"/>
        </w:rPr>
        <w:tab/>
      </w: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rPr>
          <w:snapToGrid w:val="0"/>
        </w:rPr>
      </w:pPr>
      <w:r>
        <w:rPr>
          <w:snapToGrid w:val="0"/>
        </w:rPr>
        <w:t>________________________________________________________</w:t>
      </w:r>
    </w:p>
    <w:p>
      <w:pPr>
        <w:pStyle w:val="yMiscellaneousBody"/>
        <w:spacing w:before="0"/>
        <w:rPr>
          <w:i/>
          <w:snapToGrid w:val="0"/>
          <w:sz w:val="20"/>
        </w:rPr>
      </w:pPr>
      <w:r>
        <w:rPr>
          <w:snapToGrid w:val="0"/>
        </w:rPr>
        <w:tab/>
      </w: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rPr>
          <w:snapToGrid w:val="0"/>
        </w:rPr>
      </w:pPr>
      <w:r>
        <w:rPr>
          <w:snapToGrid w:val="0"/>
        </w:rPr>
        <w:t xml:space="preserve">sincerely declare as follows — </w:t>
      </w:r>
    </w:p>
    <w:p>
      <w:pPr>
        <w:pStyle w:val="yMiscellaneousBody"/>
        <w:ind w:right="305"/>
        <w:rPr>
          <w:snapToGrid w:val="0"/>
        </w:rPr>
      </w:pPr>
      <w:r>
        <w:rPr>
          <w:snapToGrid w:val="0"/>
        </w:rPr>
        <w:t>The information provided by me/us in this Home Buyers Assistance Account Application is true and correct.</w:t>
      </w:r>
    </w:p>
    <w:p>
      <w:pPr>
        <w:pStyle w:val="yMiscellaneousBody"/>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z w:val="18"/>
                <w:szCs w:val="18"/>
              </w:rPr>
            </w:pPr>
            <w:r>
              <w:rPr>
                <w:i/>
                <w:snapToGrid w:val="0"/>
                <w:sz w:val="18"/>
                <w:szCs w:val="18"/>
              </w:rPr>
              <w:t>Place</w:t>
            </w:r>
          </w:p>
        </w:tc>
        <w:tc>
          <w:tcPr>
            <w:tcW w:w="1881" w:type="dxa"/>
          </w:tcPr>
          <w:p>
            <w:pPr>
              <w:pStyle w:val="yTableNAm"/>
              <w:jc w:val="center"/>
              <w:rPr>
                <w:i/>
                <w:sz w:val="18"/>
                <w:szCs w:val="18"/>
              </w:rPr>
            </w:pPr>
            <w:r>
              <w:rPr>
                <w:i/>
                <w:snapToGrid w:val="0"/>
                <w:sz w:val="18"/>
                <w:szCs w:val="18"/>
              </w:rPr>
              <w:t>Date</w:t>
            </w:r>
          </w:p>
        </w:tc>
        <w:tc>
          <w:tcPr>
            <w:tcW w:w="2223" w:type="dxa"/>
            <w:tcBorders>
              <w:left w:val="nil"/>
            </w:tcBorders>
          </w:tcPr>
          <w:p>
            <w:pPr>
              <w:pStyle w:val="yTableNAm"/>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   _________________   ____________________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napToGrid w:val="0"/>
                <w:sz w:val="18"/>
                <w:szCs w:val="18"/>
              </w:rPr>
            </w:pPr>
            <w:r>
              <w:rPr>
                <w:i/>
                <w:snapToGrid w:val="0"/>
                <w:sz w:val="18"/>
                <w:szCs w:val="18"/>
              </w:rPr>
              <w:t>Signature of authorised witness</w:t>
            </w:r>
          </w:p>
        </w:tc>
        <w:tc>
          <w:tcPr>
            <w:tcW w:w="1881" w:type="dxa"/>
          </w:tcPr>
          <w:p>
            <w:pPr>
              <w:pStyle w:val="yTableNAm"/>
              <w:jc w:val="center"/>
              <w:rPr>
                <w:i/>
                <w:snapToGrid w:val="0"/>
                <w:sz w:val="18"/>
                <w:szCs w:val="18"/>
              </w:rPr>
            </w:pPr>
            <w:r>
              <w:rPr>
                <w:i/>
                <w:snapToGrid w:val="0"/>
                <w:sz w:val="18"/>
                <w:szCs w:val="18"/>
              </w:rPr>
              <w:t>Name of authorised witness</w:t>
            </w:r>
          </w:p>
        </w:tc>
        <w:tc>
          <w:tcPr>
            <w:tcW w:w="2223"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z w:val="18"/>
                <w:szCs w:val="18"/>
              </w:rPr>
            </w:pPr>
            <w:r>
              <w:rPr>
                <w:i/>
                <w:snapToGrid w:val="0"/>
                <w:sz w:val="18"/>
                <w:szCs w:val="18"/>
              </w:rPr>
              <w:t>Place</w:t>
            </w:r>
          </w:p>
        </w:tc>
        <w:tc>
          <w:tcPr>
            <w:tcW w:w="1881" w:type="dxa"/>
          </w:tcPr>
          <w:p>
            <w:pPr>
              <w:pStyle w:val="yTableNAm"/>
              <w:jc w:val="center"/>
              <w:rPr>
                <w:i/>
                <w:sz w:val="18"/>
                <w:szCs w:val="18"/>
              </w:rPr>
            </w:pPr>
            <w:r>
              <w:rPr>
                <w:i/>
                <w:snapToGrid w:val="0"/>
                <w:sz w:val="18"/>
                <w:szCs w:val="18"/>
              </w:rPr>
              <w:t>Date</w:t>
            </w:r>
          </w:p>
        </w:tc>
        <w:tc>
          <w:tcPr>
            <w:tcW w:w="2223" w:type="dxa"/>
            <w:tcBorders>
              <w:left w:val="nil"/>
            </w:tcBorders>
          </w:tcPr>
          <w:p>
            <w:pPr>
              <w:pStyle w:val="yTableNAm"/>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   _________________   ____________________</w:t>
      </w:r>
    </w:p>
    <w:tbl>
      <w:tblPr>
        <w:tblW w:w="0" w:type="auto"/>
        <w:tblInd w:w="336" w:type="dxa"/>
        <w:tblLayout w:type="fixed"/>
        <w:tblLook w:val="0000" w:firstRow="0" w:lastRow="0" w:firstColumn="0" w:lastColumn="0" w:noHBand="0" w:noVBand="0"/>
      </w:tblPr>
      <w:tblGrid>
        <w:gridCol w:w="1938"/>
        <w:gridCol w:w="1881"/>
        <w:gridCol w:w="2223"/>
      </w:tblGrid>
      <w:tr>
        <w:tc>
          <w:tcPr>
            <w:tcW w:w="1938" w:type="dxa"/>
          </w:tcPr>
          <w:p>
            <w:pPr>
              <w:pStyle w:val="yTableNAm"/>
              <w:jc w:val="center"/>
              <w:rPr>
                <w:i/>
                <w:snapToGrid w:val="0"/>
                <w:sz w:val="18"/>
                <w:szCs w:val="18"/>
              </w:rPr>
            </w:pPr>
            <w:r>
              <w:rPr>
                <w:i/>
                <w:snapToGrid w:val="0"/>
                <w:sz w:val="18"/>
                <w:szCs w:val="18"/>
              </w:rPr>
              <w:t>Signature of authorised witness</w:t>
            </w:r>
          </w:p>
        </w:tc>
        <w:tc>
          <w:tcPr>
            <w:tcW w:w="1881" w:type="dxa"/>
          </w:tcPr>
          <w:p>
            <w:pPr>
              <w:pStyle w:val="yTableNAm"/>
              <w:jc w:val="center"/>
              <w:rPr>
                <w:i/>
                <w:snapToGrid w:val="0"/>
                <w:sz w:val="18"/>
                <w:szCs w:val="18"/>
              </w:rPr>
            </w:pPr>
            <w:r>
              <w:rPr>
                <w:i/>
                <w:snapToGrid w:val="0"/>
                <w:sz w:val="18"/>
                <w:szCs w:val="18"/>
              </w:rPr>
              <w:t>Name of authorised witness</w:t>
            </w:r>
          </w:p>
        </w:tc>
        <w:tc>
          <w:tcPr>
            <w:tcW w:w="2223"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 of ___________________________________</w:t>
      </w:r>
    </w:p>
    <w:p>
      <w:pPr>
        <w:pStyle w:val="yMiscellaneousBody"/>
        <w:ind w:right="761"/>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 of 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 on _____/_____/______</w:t>
      </w:r>
    </w:p>
    <w:p>
      <w:pPr>
        <w:pStyle w:val="yMiscellaneousBody"/>
        <w:tabs>
          <w:tab w:val="left" w:pos="4845"/>
          <w:tab w:val="left" w:pos="5387"/>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 on _____/_____/______</w:t>
      </w:r>
    </w:p>
    <w:p>
      <w:pPr>
        <w:pStyle w:val="yMiscellaneousBody"/>
        <w:tabs>
          <w:tab w:val="left" w:pos="4845"/>
          <w:tab w:val="left" w:pos="5387"/>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w:t>
      </w:r>
    </w:p>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w:t>
      </w:r>
    </w:p>
    <w:p>
      <w:pPr>
        <w:pStyle w:val="yMiscellaneousBody"/>
        <w:tabs>
          <w:tab w:val="left" w:pos="2410"/>
        </w:tabs>
        <w:rPr>
          <w:snapToGrid w:val="0"/>
        </w:rPr>
      </w:pPr>
      <w:r>
        <w:rPr>
          <w:snapToGrid w:val="0"/>
        </w:rPr>
        <w:t>Business Fax No.</w:t>
      </w:r>
      <w:r>
        <w:rPr>
          <w:snapToGrid w:val="0"/>
        </w:rPr>
        <w:tab/>
        <w:t>_______________________________________</w:t>
      </w:r>
    </w:p>
    <w:p>
      <w:pPr>
        <w:pStyle w:val="yMiscellaneousHeading"/>
        <w:spacing w:before="240" w:after="160"/>
        <w:jc w:val="left"/>
        <w:rPr>
          <w:b/>
        </w:rPr>
      </w:pPr>
      <w:r>
        <w:rPr>
          <w:b/>
        </w:rPr>
        <w:t>Further incidental expenses associated with the loan</w:t>
      </w:r>
    </w:p>
    <w:tbl>
      <w:tblPr>
        <w:tblW w:w="6663" w:type="dxa"/>
        <w:tblInd w:w="120" w:type="dxa"/>
        <w:tblLayout w:type="fixed"/>
        <w:tblCellMar>
          <w:left w:w="120" w:type="dxa"/>
          <w:right w:w="120" w:type="dxa"/>
        </w:tblCellMar>
        <w:tblLook w:val="0000" w:firstRow="0" w:lastRow="0" w:firstColumn="0" w:lastColumn="0" w:noHBand="0" w:noVBand="0"/>
      </w:tblPr>
      <w:tblGrid>
        <w:gridCol w:w="5529"/>
        <w:gridCol w:w="1134"/>
      </w:tblGrid>
      <w:tr>
        <w:tc>
          <w:tcPr>
            <w:tcW w:w="5529" w:type="dxa"/>
            <w:tcBorders>
              <w:top w:val="single" w:sz="7" w:space="0" w:color="auto"/>
              <w:left w:val="single" w:sz="7" w:space="0" w:color="auto"/>
              <w:bottom w:val="single" w:sz="4" w:space="0" w:color="auto"/>
              <w:right w:val="single" w:sz="4" w:space="0" w:color="auto"/>
            </w:tcBorders>
          </w:tcPr>
          <w:p>
            <w:pPr>
              <w:pStyle w:val="yTableNAm"/>
              <w:jc w:val="center"/>
              <w:rPr>
                <w:b/>
                <w:sz w:val="20"/>
              </w:rPr>
            </w:pPr>
            <w:r>
              <w:rPr>
                <w:b/>
                <w:sz w:val="20"/>
              </w:rPr>
              <w:t>Expense</w:t>
            </w:r>
          </w:p>
        </w:tc>
        <w:tc>
          <w:tcPr>
            <w:tcW w:w="1134"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Amount $</w:t>
            </w:r>
          </w:p>
        </w:tc>
      </w:tr>
      <w:tr>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rPr>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5529" w:type="dxa"/>
            <w:tcBorders>
              <w:left w:val="single" w:sz="4" w:space="0" w:color="auto"/>
              <w:bottom w:val="single" w:sz="4" w:space="0" w:color="auto"/>
              <w:right w:val="single" w:sz="4" w:space="0" w:color="auto"/>
            </w:tcBorders>
          </w:tcPr>
          <w:p>
            <w:pPr>
              <w:pStyle w:val="yTableNAm"/>
              <w:jc w:val="center"/>
              <w:rPr>
                <w:b/>
                <w:sz w:val="20"/>
              </w:rPr>
            </w:pPr>
            <w:r>
              <w:rPr>
                <w:b/>
                <w:sz w:val="20"/>
              </w:rPr>
              <w:t>Total</w:t>
            </w:r>
          </w:p>
        </w:tc>
        <w:tc>
          <w:tcPr>
            <w:tcW w:w="1134" w:type="dxa"/>
            <w:tcBorders>
              <w:left w:val="single" w:sz="4" w:space="0" w:color="auto"/>
              <w:bottom w:val="single" w:sz="4" w:space="0" w:color="auto"/>
              <w:right w:val="single" w:sz="4" w:space="0" w:color="auto"/>
            </w:tcBorders>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360"/>
        <w:rPr>
          <w:snapToGrid w:val="0"/>
        </w:rPr>
      </w:pPr>
      <w:r>
        <w:rPr>
          <w:snapToGrid w:val="0"/>
        </w:rPr>
        <w:t>_________________________   ______________________________</w:t>
      </w:r>
    </w:p>
    <w:tbl>
      <w:tblPr>
        <w:tblW w:w="6954" w:type="dxa"/>
        <w:jc w:val="center"/>
        <w:tblLayout w:type="fixed"/>
        <w:tblLook w:val="0000" w:firstRow="0" w:lastRow="0" w:firstColumn="0" w:lastColumn="0" w:noHBand="0" w:noVBand="0"/>
      </w:tblPr>
      <w:tblGrid>
        <w:gridCol w:w="3651"/>
        <w:gridCol w:w="3303"/>
      </w:tblGrid>
      <w:tr>
        <w:trPr>
          <w:jc w:val="center"/>
        </w:trPr>
        <w:tc>
          <w:tcPr>
            <w:tcW w:w="3651" w:type="dxa"/>
          </w:tcPr>
          <w:p>
            <w:pPr>
              <w:pStyle w:val="Table"/>
              <w:jc w:val="center"/>
              <w:rPr>
                <w:sz w:val="18"/>
                <w:szCs w:val="18"/>
              </w:rPr>
            </w:pPr>
            <w:r>
              <w:rPr>
                <w:i/>
                <w:snapToGrid w:val="0"/>
                <w:sz w:val="18"/>
                <w:szCs w:val="18"/>
              </w:rPr>
              <w:t>Signature of authorised officer of lending institution</w:t>
            </w:r>
          </w:p>
        </w:tc>
        <w:tc>
          <w:tcPr>
            <w:tcW w:w="3303" w:type="dxa"/>
            <w:tcBorders>
              <w:left w:val="nil"/>
            </w:tcBorders>
          </w:tcPr>
          <w:p>
            <w:pPr>
              <w:pStyle w:val="Table"/>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360"/>
        <w:rPr>
          <w:snapToGrid w:val="0"/>
        </w:rPr>
      </w:pPr>
      <w:r>
        <w:rPr>
          <w:snapToGrid w:val="0"/>
        </w:rPr>
        <w:t>________________________________________________________</w:t>
      </w:r>
    </w:p>
    <w:p>
      <w:pPr>
        <w:pStyle w:val="yMiscellaneousBody"/>
        <w:spacing w:after="36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b/>
          <w:bCs/>
          <w:snapToGrid w:val="0"/>
        </w:rPr>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b/>
          <w:bCs/>
          <w:snapToGrid w:val="0"/>
        </w:rPr>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spacing w:val="-8"/>
              </w:rPr>
            </w:pPr>
            <w:r>
              <w:rPr>
                <w:b/>
                <w:spacing w:val="-8"/>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spacing w:val="-8"/>
              </w:rPr>
            </w:pPr>
            <w:r>
              <w:rPr>
                <w:b/>
                <w:spacing w:val="-8"/>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pStyle w:val="yScheduleHeading"/>
      </w:pPr>
      <w:bookmarkStart w:id="96" w:name="_Toc391651523"/>
      <w:bookmarkStart w:id="97" w:name="_Toc378672260"/>
      <w:r>
        <w:rPr>
          <w:rStyle w:val="CharSchNo"/>
        </w:rPr>
        <w:t>Schedule 3</w:t>
      </w:r>
      <w:r>
        <w:rPr>
          <w:rStyle w:val="CharSDivNo"/>
        </w:rPr>
        <w:t> </w:t>
      </w:r>
      <w:r>
        <w:t>—</w:t>
      </w:r>
      <w:r>
        <w:rPr>
          <w:rStyle w:val="CharSDivText"/>
        </w:rPr>
        <w:t> </w:t>
      </w:r>
      <w:r>
        <w:rPr>
          <w:rStyle w:val="CharSchText"/>
        </w:rPr>
        <w:t>Prescribed offences and modified penalties</w:t>
      </w:r>
      <w:bookmarkEnd w:id="96"/>
      <w:bookmarkEnd w:id="97"/>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98" w:name="_Toc391651524"/>
      <w:bookmarkStart w:id="99" w:name="_Toc378672261"/>
      <w:r>
        <w:t>Notes</w:t>
      </w:r>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 w:name="_Toc391651525"/>
      <w:bookmarkStart w:id="101" w:name="_Toc378672262"/>
      <w: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rPr>
              <w:t>r. 1 and 2: 24 Jul 2007 (see r. 2(a));</w:t>
            </w:r>
            <w:r>
              <w:rPr>
                <w:snapToGrid w:val="0"/>
                <w:sz w:val="19"/>
              </w:rPr>
              <w:br/>
              <w:t xml:space="preserve">Regulations other than r. 1 and 2: 25 Jul 2007 (see r. 2(b) and </w:t>
            </w:r>
            <w:r>
              <w:rPr>
                <w:i/>
                <w:iCs/>
                <w:snapToGrid w:val="0"/>
                <w:sz w:val="19"/>
              </w:rPr>
              <w:t>Gazette</w:t>
            </w:r>
            <w:r>
              <w:rPr>
                <w:snapToGrid w:val="0"/>
                <w:sz w:val="19"/>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rFonts w:ascii="Times" w:hAnsi="Times"/>
                <w:sz w:val="19"/>
              </w:rPr>
            </w:pPr>
            <w:r>
              <w:rPr>
                <w:rFonts w:ascii="Times" w:hAnsi="Times"/>
                <w:sz w:val="19"/>
              </w:rPr>
              <w:t>r. 1 and 2: 8 May 2009 (see r. 2(a));</w:t>
            </w:r>
            <w:r>
              <w:rPr>
                <w:rFonts w:ascii="Times" w:hAnsi="Times"/>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rFonts w:ascii="Times" w:hAnsi="Times"/>
                <w:snapToGrid w:val="0"/>
                <w:sz w:val="19"/>
              </w:rPr>
            </w:pPr>
            <w:r>
              <w:rPr>
                <w:rFonts w:ascii="Times" w:hAnsi="Times"/>
                <w:snapToGrid w:val="0"/>
                <w:sz w:val="19"/>
              </w:rPr>
              <w:t>r. 1 and 2: 28 Aug 2009 (see r. 2(a));</w:t>
            </w:r>
            <w:r>
              <w:rPr>
                <w:rFonts w:ascii="Times" w:hAnsi="Times"/>
                <w:snapToGrid w:val="0"/>
                <w:sz w:val="19"/>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rFonts w:ascii="Times" w:hAnsi="Times"/>
                <w:snapToGrid w:val="0"/>
                <w:sz w:val="19"/>
              </w:rPr>
            </w:pPr>
            <w:r>
              <w:rPr>
                <w:rFonts w:ascii="Times" w:hAnsi="Times"/>
                <w:snapToGrid w:val="0"/>
                <w:sz w:val="19"/>
              </w:rPr>
              <w:t>r. 1 and 2: 10 Nov 2009 (see r. 2(a));</w:t>
            </w:r>
            <w:r>
              <w:rPr>
                <w:rFonts w:ascii="Times" w:hAnsi="Times"/>
                <w:snapToGrid w:val="0"/>
                <w:sz w:val="19"/>
              </w:rPr>
              <w:br/>
              <w:t>Regulations other than r. 1 and 2: 11 Nov 2009 (see r. 2(b))</w:t>
            </w:r>
          </w:p>
        </w:tc>
      </w:tr>
      <w:tr>
        <w:trPr>
          <w:cantSplit/>
        </w:trPr>
        <w:tc>
          <w:tcPr>
            <w:tcW w:w="7088" w:type="dxa"/>
            <w:gridSpan w:val="3"/>
          </w:tcPr>
          <w:p>
            <w:pPr>
              <w:pStyle w:val="nTable"/>
              <w:spacing w:after="40"/>
              <w:rPr>
                <w:snapToGrid w:val="0"/>
                <w:spacing w:val="-2"/>
                <w:sz w:val="19"/>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rPr>
        <w:tc>
          <w:tcPr>
            <w:tcW w:w="3119" w:type="dxa"/>
          </w:tcPr>
          <w:p>
            <w:pPr>
              <w:pStyle w:val="nTable"/>
              <w:spacing w:after="40"/>
              <w:ind w:right="113"/>
              <w:rPr>
                <w:i/>
                <w:sz w:val="19"/>
              </w:rPr>
            </w:pPr>
            <w:r>
              <w:rPr>
                <w:i/>
                <w:sz w:val="19"/>
              </w:rPr>
              <w:t>Real Estate and Business Agents (General) Amendment Regulations 2011</w:t>
            </w:r>
          </w:p>
        </w:tc>
        <w:tc>
          <w:tcPr>
            <w:tcW w:w="1276" w:type="dxa"/>
          </w:tcPr>
          <w:p>
            <w:pPr>
              <w:pStyle w:val="nTable"/>
              <w:spacing w:after="40"/>
              <w:rPr>
                <w:sz w:val="19"/>
              </w:rPr>
            </w:pPr>
            <w:r>
              <w:rPr>
                <w:sz w:val="19"/>
              </w:rPr>
              <w:t>22 Jun 2011 p. 2367-8</w:t>
            </w:r>
          </w:p>
        </w:tc>
        <w:tc>
          <w:tcPr>
            <w:tcW w:w="2693"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2011</w:t>
            </w:r>
          </w:p>
        </w:tc>
        <w:tc>
          <w:tcPr>
            <w:tcW w:w="1276" w:type="dxa"/>
            <w:shd w:val="clear" w:color="auto" w:fill="auto"/>
          </w:tcPr>
          <w:p>
            <w:pPr>
              <w:pStyle w:val="nTable"/>
              <w:spacing w:after="40"/>
              <w:rPr>
                <w:sz w:val="19"/>
              </w:rPr>
            </w:pPr>
            <w:r>
              <w:rPr>
                <w:sz w:val="19"/>
              </w:rPr>
              <w:t>30 Jun 2011 p. 2669-72</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7: The </w:t>
            </w:r>
            <w:r>
              <w:rPr>
                <w:b/>
                <w:bCs/>
                <w:i/>
                <w:sz w:val="19"/>
              </w:rPr>
              <w:t>Real Estate and Business Agents (General) Regulations 1979</w:t>
            </w:r>
            <w:r>
              <w:rPr>
                <w:b/>
                <w:bCs/>
                <w:sz w:val="19"/>
              </w:rPr>
              <w:t xml:space="preserve"> as at 3 Feb 2012</w:t>
            </w:r>
            <w:r>
              <w:rPr>
                <w:sz w:val="19"/>
              </w:rPr>
              <w:t xml:space="preserve"> (includes amendments listed above)</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2012</w:t>
            </w:r>
          </w:p>
        </w:tc>
        <w:tc>
          <w:tcPr>
            <w:tcW w:w="1276" w:type="dxa"/>
            <w:shd w:val="clear" w:color="auto" w:fill="auto"/>
          </w:tcPr>
          <w:p>
            <w:pPr>
              <w:pStyle w:val="nTable"/>
              <w:spacing w:after="40"/>
              <w:rPr>
                <w:sz w:val="19"/>
              </w:rPr>
            </w:pPr>
            <w:r>
              <w:rPr>
                <w:sz w:val="19"/>
              </w:rPr>
              <w:t>15 Jun 2012 p. 2599-600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2012</w:t>
            </w:r>
          </w:p>
        </w:tc>
        <w:tc>
          <w:tcPr>
            <w:tcW w:w="1276" w:type="dxa"/>
            <w:shd w:val="clear" w:color="auto" w:fill="auto"/>
          </w:tcPr>
          <w:p>
            <w:pPr>
              <w:pStyle w:val="nTable"/>
              <w:spacing w:after="40"/>
              <w:rPr>
                <w:sz w:val="19"/>
              </w:rPr>
            </w:pPr>
            <w:r>
              <w:rPr>
                <w:sz w:val="19"/>
              </w:rPr>
              <w:t>23 Oct 2012 p. 5049</w:t>
            </w:r>
            <w:r>
              <w:rPr>
                <w:sz w:val="19"/>
              </w:rPr>
              <w:noBreakHyphen/>
              <w:t>55</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rPr>
              <w:t>r. 1 and 2: 23 Oct 2012 (see r. 2(a));</w:t>
            </w:r>
            <w:r>
              <w:rPr>
                <w:rFonts w:ascii="Times" w:hAnsi="Times"/>
                <w:snapToGrid w:val="0"/>
                <w:spacing w:val="-2"/>
                <w:sz w:val="19"/>
              </w:rPr>
              <w:br/>
              <w:t>Regulations other than r. 1 and 2: 24 Oct 2012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(No. 2) 2013</w:t>
            </w:r>
          </w:p>
        </w:tc>
        <w:tc>
          <w:tcPr>
            <w:tcW w:w="1276" w:type="dxa"/>
            <w:shd w:val="clear" w:color="auto" w:fill="auto"/>
          </w:tcPr>
          <w:p>
            <w:pPr>
              <w:pStyle w:val="nTable"/>
              <w:spacing w:after="40"/>
              <w:rPr>
                <w:sz w:val="19"/>
              </w:rPr>
            </w:pPr>
            <w:r>
              <w:rPr>
                <w:sz w:val="19"/>
              </w:rPr>
              <w:t>27 Jun 2013 p. 2691-2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27 Jun 2013 (see r. 2(a));</w:t>
            </w:r>
            <w:r>
              <w:rPr>
                <w:rFonts w:ascii="Times" w:hAnsi="Times"/>
                <w:snapToGrid w:val="0"/>
                <w:spacing w:val="-2"/>
                <w:sz w:val="19"/>
              </w:rPr>
              <w:br/>
              <w:t>Regulations other than r. 1 and 2: 1 Jul 2013 (see r. 2(b))</w:t>
            </w:r>
          </w:p>
        </w:tc>
      </w:tr>
      <w:tr>
        <w:trPr>
          <w:cantSplit/>
        </w:trPr>
        <w:tc>
          <w:tcPr>
            <w:tcW w:w="3119" w:type="dxa"/>
            <w:shd w:val="clear" w:color="auto" w:fill="auto"/>
          </w:tcPr>
          <w:p>
            <w:pPr>
              <w:pStyle w:val="nTable"/>
              <w:spacing w:after="40"/>
              <w:ind w:right="113"/>
              <w:rPr>
                <w:i/>
                <w:sz w:val="19"/>
              </w:rPr>
            </w:pPr>
            <w:r>
              <w:rPr>
                <w:i/>
                <w:sz w:val="19"/>
              </w:rPr>
              <w:t>Real Estate and Business Agents (General) Amendment Regulations 2013</w:t>
            </w:r>
          </w:p>
        </w:tc>
        <w:tc>
          <w:tcPr>
            <w:tcW w:w="1276" w:type="dxa"/>
            <w:shd w:val="clear" w:color="auto" w:fill="auto"/>
          </w:tcPr>
          <w:p>
            <w:pPr>
              <w:pStyle w:val="nTable"/>
              <w:spacing w:after="40"/>
              <w:rPr>
                <w:sz w:val="19"/>
              </w:rPr>
            </w:pPr>
            <w:r>
              <w:rPr>
                <w:sz w:val="19"/>
              </w:rPr>
              <w:t>20 Aug 2013 p. 3839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ins w:id="102" w:author="Master Repository Process" w:date="2021-09-12T14:56:00Z"/>
        </w:trPr>
        <w:tc>
          <w:tcPr>
            <w:tcW w:w="3119" w:type="dxa"/>
            <w:tcBorders>
              <w:bottom w:val="single" w:sz="4" w:space="0" w:color="auto"/>
            </w:tcBorders>
            <w:shd w:val="clear" w:color="auto" w:fill="auto"/>
          </w:tcPr>
          <w:p>
            <w:pPr>
              <w:pStyle w:val="nTable"/>
              <w:spacing w:after="40"/>
              <w:ind w:right="113"/>
              <w:rPr>
                <w:ins w:id="103" w:author="Master Repository Process" w:date="2021-09-12T14:56:00Z"/>
                <w:i/>
                <w:sz w:val="19"/>
              </w:rPr>
            </w:pPr>
            <w:ins w:id="104" w:author="Master Repository Process" w:date="2021-09-12T14:56:00Z">
              <w:r>
                <w:rPr>
                  <w:i/>
                </w:rPr>
                <w:t>Real Estate and Business Agents (General) Amendment Regulations 2014</w:t>
              </w:r>
            </w:ins>
          </w:p>
        </w:tc>
        <w:tc>
          <w:tcPr>
            <w:tcW w:w="1276" w:type="dxa"/>
            <w:tcBorders>
              <w:bottom w:val="single" w:sz="4" w:space="0" w:color="auto"/>
            </w:tcBorders>
            <w:shd w:val="clear" w:color="auto" w:fill="auto"/>
          </w:tcPr>
          <w:p>
            <w:pPr>
              <w:pStyle w:val="nTable"/>
              <w:spacing w:after="40"/>
              <w:rPr>
                <w:ins w:id="105" w:author="Master Repository Process" w:date="2021-09-12T14:56:00Z"/>
                <w:sz w:val="19"/>
              </w:rPr>
            </w:pPr>
            <w:ins w:id="106" w:author="Master Repository Process" w:date="2021-09-12T14:56:00Z">
              <w:r>
                <w:rPr>
                  <w:spacing w:val="-4"/>
                  <w:sz w:val="19"/>
                </w:rPr>
                <w:t>17 Jun 2014 p. 1</w:t>
              </w:r>
              <w:r>
                <w:rPr>
                  <w:sz w:val="19"/>
                </w:rPr>
                <w:t>977</w:t>
              </w:r>
              <w:r>
                <w:rPr>
                  <w:sz w:val="19"/>
                </w:rPr>
                <w:noBreakHyphen/>
                <w:t>8</w:t>
              </w:r>
            </w:ins>
          </w:p>
        </w:tc>
        <w:tc>
          <w:tcPr>
            <w:tcW w:w="2693" w:type="dxa"/>
            <w:tcBorders>
              <w:bottom w:val="single" w:sz="4" w:space="0" w:color="auto"/>
            </w:tcBorders>
            <w:shd w:val="clear" w:color="auto" w:fill="auto"/>
          </w:tcPr>
          <w:p>
            <w:pPr>
              <w:pStyle w:val="nTable"/>
              <w:spacing w:after="40"/>
              <w:rPr>
                <w:ins w:id="107" w:author="Master Repository Process" w:date="2021-09-12T14:56:00Z"/>
                <w:rFonts w:ascii="Times" w:hAnsi="Times"/>
                <w:snapToGrid w:val="0"/>
                <w:spacing w:val="-2"/>
                <w:sz w:val="19"/>
              </w:rPr>
            </w:pPr>
            <w:ins w:id="108" w:author="Master Repository Process" w:date="2021-09-12T14:56:00Z">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ins>
          </w:p>
        </w:tc>
      </w:tr>
    </w:tbl>
    <w:p>
      <w:pPr>
        <w:pStyle w:val="nSubsection"/>
        <w:spacing w:before="120"/>
        <w:rPr>
          <w:vertAlign w:val="superscript"/>
        </w:rPr>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6130302"/>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626130302" w:val="RemoveTocBookmarks,RemoveUnusedBookmarks,RemoveLanguageTags,UsedStyles,ResetPageSize,UpdateArrangement"/>
    <w:docVar w:name="WAFER_20140626130302_GUID" w:val="960c04e0-ec75-45eb-b924-484a316d1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5B49781-DF33-4EC8-8626-C5CC523B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9382</Words>
  <Characters>47946</Characters>
  <Application>Microsoft Office Word</Application>
  <DocSecurity>0</DocSecurity>
  <Lines>1712</Lines>
  <Paragraphs>1042</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07-e0-01 - 07-f0-00</dc:title>
  <dc:subject/>
  <dc:creator/>
  <cp:keywords/>
  <dc:description/>
  <cp:lastModifiedBy>Master Repository Process</cp:lastModifiedBy>
  <cp:revision>2</cp:revision>
  <cp:lastPrinted>2012-02-09T02:44:00Z</cp:lastPrinted>
  <dcterms:created xsi:type="dcterms:W3CDTF">2021-09-12T06:56:00Z</dcterms:created>
  <dcterms:modified xsi:type="dcterms:W3CDTF">2021-09-12T06:56:00Z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7</vt:lpwstr>
  </property>
  <property fmtid="{D5CDD505-2E9C-101B-9397-08002B2CF9AE}" pid="7" name="ReprintedAsAt">
    <vt:filetime>2012-02-02T16:00:00Z</vt:filetime>
  </property>
  <property fmtid="{D5CDD505-2E9C-101B-9397-08002B2CF9AE}" pid="8" name="FromSuffix">
    <vt:lpwstr>07-e0-01</vt:lpwstr>
  </property>
  <property fmtid="{D5CDD505-2E9C-101B-9397-08002B2CF9AE}" pid="9" name="FromAsAtDate">
    <vt:lpwstr>21 Aug 2013</vt:lpwstr>
  </property>
  <property fmtid="{D5CDD505-2E9C-101B-9397-08002B2CF9AE}" pid="10" name="ToSuffix">
    <vt:lpwstr>07-f0-00</vt:lpwstr>
  </property>
  <property fmtid="{D5CDD505-2E9C-101B-9397-08002B2CF9AE}" pid="11" name="ToAsAtDate">
    <vt:lpwstr>01 Jul 2014</vt:lpwstr>
  </property>
</Properties>
</file>