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for Compensable Patients) Determination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2014</w:t>
      </w:r>
      <w:r>
        <w:fldChar w:fldCharType="end"/>
      </w:r>
      <w:r>
        <w:t xml:space="preserve">, </w:t>
      </w:r>
      <w:r>
        <w:fldChar w:fldCharType="begin"/>
      </w:r>
      <w:r>
        <w:instrText xml:space="preserve"> DocProperty FromSuffix </w:instrText>
      </w:r>
      <w:r>
        <w:fldChar w:fldCharType="separate"/>
      </w:r>
      <w:r>
        <w:t>00-w0-00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00-x0-00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r>
        <w:br/>
        <w:t>Hospitals (Services Charges) Regulations 1984</w:t>
      </w:r>
    </w:p>
    <w:p>
      <w:pPr>
        <w:pStyle w:val="NameofActReg"/>
      </w:pPr>
      <w:r>
        <w:t>Hospitals (Services Charges for Compensable Patients) Determination 2005</w:t>
      </w:r>
    </w:p>
    <w:p>
      <w:pPr>
        <w:pStyle w:val="Heading5"/>
      </w:pPr>
      <w:bookmarkStart w:id="0" w:name="_Toc391911973"/>
      <w:bookmarkStart w:id="1" w:name="_Toc524529809"/>
      <w:r>
        <w:rPr>
          <w:rStyle w:val="CharSectno"/>
        </w:rPr>
        <w:t>1</w:t>
      </w:r>
      <w:bookmarkStart w:id="2" w:name="_GoBack"/>
      <w:bookmarkEnd w:id="2"/>
      <w:r>
        <w:t>.</w:t>
      </w:r>
      <w:r>
        <w:tab/>
        <w:t>Citation</w:t>
      </w:r>
      <w:bookmarkEnd w:id="0"/>
      <w:bookmarkEnd w:id="1"/>
    </w:p>
    <w:p>
      <w:pPr>
        <w:pStyle w:val="Subsection"/>
        <w:rPr>
          <w:i/>
        </w:rPr>
      </w:pPr>
      <w:r>
        <w:tab/>
      </w:r>
      <w:r>
        <w:tab/>
      </w:r>
      <w:bookmarkStart w:id="3" w:name="Start_Cursor"/>
      <w:bookmarkEnd w:id="3"/>
      <w:r>
        <w:rPr>
          <w:spacing w:val="-2"/>
        </w:rPr>
        <w:t>This</w:t>
      </w:r>
      <w:r>
        <w:t xml:space="preserve"> </w:t>
      </w:r>
      <w:r>
        <w:rPr>
          <w:spacing w:val="-2"/>
        </w:rPr>
        <w:t>determination</w:t>
      </w:r>
      <w:r>
        <w:t xml:space="preserve"> is the </w:t>
      </w:r>
      <w:r>
        <w:rPr>
          <w:i/>
        </w:rPr>
        <w:t>Hospitals (Services Charges for Compensable Patients) Determination 2005</w:t>
      </w:r>
      <w:r>
        <w:t>.</w:t>
      </w:r>
    </w:p>
    <w:p>
      <w:pPr>
        <w:pStyle w:val="Heading5"/>
        <w:rPr>
          <w:spacing w:val="-2"/>
        </w:rPr>
      </w:pPr>
      <w:bookmarkStart w:id="4" w:name="_Toc391911974"/>
      <w:bookmarkStart w:id="5" w:name="_Toc524529810"/>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This determination comes into operation on 1 July 2005</w:t>
      </w:r>
      <w:r>
        <w:rPr>
          <w:rFonts w:ascii="Times" w:hAnsi="Times"/>
        </w:rPr>
        <w:t>.</w:t>
      </w:r>
    </w:p>
    <w:p>
      <w:pPr>
        <w:pStyle w:val="Heading5"/>
      </w:pPr>
      <w:bookmarkStart w:id="6" w:name="_Toc391911975"/>
      <w:bookmarkStart w:id="7" w:name="_Toc524529811"/>
      <w:r>
        <w:rPr>
          <w:rStyle w:val="CharSectno"/>
        </w:rPr>
        <w:t>3</w:t>
      </w:r>
      <w:r>
        <w:t>.</w:t>
      </w:r>
      <w:r>
        <w:tab/>
        <w:t>Interpretation</w:t>
      </w:r>
      <w:bookmarkEnd w:id="6"/>
      <w:bookmarkEnd w:id="7"/>
    </w:p>
    <w:p>
      <w:pPr>
        <w:pStyle w:val="Subsection"/>
      </w:pPr>
      <w:r>
        <w:tab/>
      </w:r>
      <w:r>
        <w:tab/>
        <w:t>Unless the contrary intention appears, a word or phrase to which a meaning is attributed by, or by virtue of its use in, the regulations has the same meaning when it is used in this determination.</w:t>
      </w:r>
    </w:p>
    <w:p>
      <w:pPr>
        <w:pStyle w:val="Heading5"/>
      </w:pPr>
      <w:bookmarkStart w:id="8" w:name="_Toc391911976"/>
      <w:bookmarkStart w:id="9" w:name="_Toc524529812"/>
      <w:r>
        <w:rPr>
          <w:rStyle w:val="CharSectno"/>
        </w:rPr>
        <w:t>4</w:t>
      </w:r>
      <w:r>
        <w:t>.</w:t>
      </w:r>
      <w:r>
        <w:tab/>
        <w:t>Charges payable in respect of compensable patients</w:t>
      </w:r>
      <w:bookmarkEnd w:id="8"/>
      <w:bookmarkEnd w:id="9"/>
    </w:p>
    <w:p>
      <w:pPr>
        <w:pStyle w:val="Subsection"/>
      </w:pPr>
      <w:r>
        <w:tab/>
        <w:t>(1)</w:t>
      </w:r>
      <w:r>
        <w:tab/>
        <w:t xml:space="preserve">Except as provided in subclause (2), the charges specified in Schedule 1 are the charges payable in respect of — </w:t>
      </w:r>
    </w:p>
    <w:p>
      <w:pPr>
        <w:pStyle w:val="Indenta"/>
      </w:pPr>
      <w:r>
        <w:tab/>
        <w:t>(a)</w:t>
      </w:r>
      <w:r>
        <w:tab/>
        <w:t>services rendered by, in or at the hospital in respect of compensable in</w:t>
      </w:r>
      <w:r>
        <w:noBreakHyphen/>
        <w:t>patients, compensable day patients and compensable out</w:t>
      </w:r>
      <w:r>
        <w:noBreakHyphen/>
        <w:t>patients; and</w:t>
      </w:r>
    </w:p>
    <w:p>
      <w:pPr>
        <w:pStyle w:val="Indenta"/>
      </w:pPr>
      <w:r>
        <w:tab/>
        <w:t>(b)</w:t>
      </w:r>
      <w:r>
        <w:tab/>
        <w:t>services rendered by, at or in the hospital in respect of compensable same day patients (other than services rendered by, in or at a day hospital, nursing home or nursing post).</w:t>
      </w:r>
    </w:p>
    <w:p>
      <w:pPr>
        <w:pStyle w:val="Subsection"/>
      </w:pPr>
      <w:r>
        <w:tab/>
        <w:t>(2)</w:t>
      </w:r>
      <w:r>
        <w:tab/>
        <w:t>The charges specified in Schedule 1 do not apply to the supply of surgically implanted prostheses that are the subject of a determination made under regulation 5(2)(c) of the regulations.</w:t>
      </w:r>
    </w:p>
    <w:p>
      <w:pPr>
        <w:pStyle w:val="Heading5"/>
      </w:pPr>
      <w:bookmarkStart w:id="10" w:name="_Toc391911977"/>
      <w:bookmarkStart w:id="11" w:name="_Toc524529813"/>
      <w:r>
        <w:rPr>
          <w:rStyle w:val="CharSectno"/>
        </w:rPr>
        <w:t>5</w:t>
      </w:r>
      <w:r>
        <w:t>.</w:t>
      </w:r>
      <w:r>
        <w:tab/>
        <w:t>Revocation</w:t>
      </w:r>
      <w:bookmarkEnd w:id="10"/>
      <w:bookmarkEnd w:id="11"/>
    </w:p>
    <w:p>
      <w:pPr>
        <w:pStyle w:val="Subsection"/>
      </w:pPr>
      <w:r>
        <w:tab/>
      </w:r>
      <w:r>
        <w:tab/>
        <w:t xml:space="preserve">The following determinations are revoked — </w:t>
      </w:r>
    </w:p>
    <w:p>
      <w:pPr>
        <w:pStyle w:val="Indenta"/>
      </w:pPr>
      <w:r>
        <w:tab/>
        <w:t>(a)</w:t>
      </w:r>
      <w:r>
        <w:tab/>
        <w:t xml:space="preserve">the </w:t>
      </w:r>
      <w:r>
        <w:rPr>
          <w:i/>
        </w:rPr>
        <w:t>Hospitals (Services Charges for Compensable Patients) Determination 2002</w:t>
      </w:r>
      <w:r>
        <w:t>;</w:t>
      </w:r>
    </w:p>
    <w:p>
      <w:pPr>
        <w:pStyle w:val="Indenta"/>
      </w:pPr>
      <w:r>
        <w:tab/>
        <w:t>(b)</w:t>
      </w:r>
      <w:r>
        <w:tab/>
        <w:t xml:space="preserve">the </w:t>
      </w:r>
      <w:r>
        <w:rPr>
          <w:i/>
        </w:rPr>
        <w:t>Hospitals (Services Charges for Compensable Patients) Amendment Determination 2003</w:t>
      </w:r>
      <w:r>
        <w:t>;</w:t>
      </w:r>
    </w:p>
    <w:p>
      <w:pPr>
        <w:pStyle w:val="Indenta"/>
      </w:pPr>
      <w:r>
        <w:tab/>
        <w:t>(c)</w:t>
      </w:r>
      <w:r>
        <w:tab/>
        <w:t xml:space="preserve">the </w:t>
      </w:r>
      <w:r>
        <w:rPr>
          <w:i/>
        </w:rPr>
        <w:t>Hospitals (Services Charges for Compensable Patients) Amendment Determination 2004</w:t>
      </w:r>
      <w:r>
        <w:t>;</w:t>
      </w:r>
    </w:p>
    <w:p>
      <w:pPr>
        <w:pStyle w:val="Indenta"/>
      </w:pPr>
      <w:r>
        <w:tab/>
        <w:t>(d)</w:t>
      </w:r>
      <w:r>
        <w:tab/>
        <w:t xml:space="preserve">the </w:t>
      </w:r>
      <w:r>
        <w:rPr>
          <w:i/>
        </w:rPr>
        <w:t>Hospitals (Services Charges for Compensable Patients) Amendment Determination (No. 2) 2004</w:t>
      </w:r>
      <w:r>
        <w:t>;</w:t>
      </w:r>
    </w:p>
    <w:p>
      <w:pPr>
        <w:pStyle w:val="Indenta"/>
      </w:pPr>
      <w:r>
        <w:tab/>
        <w:t>(e)</w:t>
      </w:r>
      <w:r>
        <w:tab/>
        <w:t xml:space="preserve">the </w:t>
      </w:r>
      <w:r>
        <w:rPr>
          <w:i/>
        </w:rPr>
        <w:t>Hospitals (Services Charges for Compensable Patients) Amendment Determination 2005</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 w:name="_Toc391911978"/>
      <w:bookmarkStart w:id="13" w:name="_Toc524529814"/>
      <w:r>
        <w:rPr>
          <w:rStyle w:val="CharSchNo"/>
        </w:rPr>
        <w:t>Schedule 1</w:t>
      </w:r>
      <w:r>
        <w:t> — </w:t>
      </w:r>
      <w:r>
        <w:rPr>
          <w:rStyle w:val="CharSchText"/>
        </w:rPr>
        <w:t>Services charges for compensable patients</w:t>
      </w:r>
      <w:bookmarkEnd w:id="12"/>
      <w:bookmarkEnd w:id="13"/>
    </w:p>
    <w:p>
      <w:pPr>
        <w:pStyle w:val="yShoulderClause"/>
      </w:pPr>
      <w:r>
        <w:t>[cl. 4]</w:t>
      </w:r>
    </w:p>
    <w:p>
      <w:pPr>
        <w:pStyle w:val="yFootnoteheading"/>
      </w:pPr>
      <w:r>
        <w:tab/>
        <w:t>[Heading inserted in Gazette 10 Jun 2008 p. 2490.]</w:t>
      </w:r>
    </w:p>
    <w:p>
      <w:pPr>
        <w:pStyle w:val="yHeading3"/>
      </w:pPr>
      <w:bookmarkStart w:id="14" w:name="_Toc391911979"/>
      <w:bookmarkStart w:id="15" w:name="_Toc524529815"/>
      <w:r>
        <w:rPr>
          <w:rStyle w:val="CharSDivNo"/>
        </w:rPr>
        <w:t>Division 1</w:t>
      </w:r>
      <w:r>
        <w:rPr>
          <w:b w:val="0"/>
        </w:rPr>
        <w:t> — </w:t>
      </w:r>
      <w:r>
        <w:rPr>
          <w:rStyle w:val="CharSDivText"/>
        </w:rPr>
        <w:t>Compensable in</w:t>
      </w:r>
      <w:r>
        <w:rPr>
          <w:rStyle w:val="CharSDivText"/>
        </w:rPr>
        <w:noBreakHyphen/>
        <w:t>patients</w:t>
      </w:r>
      <w:bookmarkEnd w:id="14"/>
      <w:bookmarkEnd w:id="15"/>
    </w:p>
    <w:p>
      <w:pPr>
        <w:pStyle w:val="yFootnoteheading"/>
        <w:spacing w:after="120"/>
      </w:pPr>
      <w:r>
        <w:tab/>
        <w:t>[Heading inserted in Gazette 10 Jun 2008 p. 2490.]</w:t>
      </w:r>
    </w:p>
    <w:tbl>
      <w:tblPr>
        <w:tblW w:w="6662" w:type="dxa"/>
        <w:tblInd w:w="250" w:type="dxa"/>
        <w:tblLayout w:type="fixed"/>
        <w:tblLook w:val="0000" w:firstRow="0" w:lastRow="0" w:firstColumn="0" w:lastColumn="0" w:noHBand="0" w:noVBand="0"/>
      </w:tblPr>
      <w:tblGrid>
        <w:gridCol w:w="567"/>
        <w:gridCol w:w="4394"/>
        <w:gridCol w:w="1701"/>
      </w:tblGrid>
      <w:tr>
        <w:tc>
          <w:tcPr>
            <w:tcW w:w="567" w:type="dxa"/>
          </w:tcPr>
          <w:p>
            <w:pPr>
              <w:pStyle w:val="yTableNAm"/>
            </w:pPr>
            <w:r>
              <w:t>1.</w:t>
            </w:r>
          </w:p>
        </w:tc>
        <w:tc>
          <w:tcPr>
            <w:tcW w:w="4394" w:type="dxa"/>
          </w:tcPr>
          <w:p>
            <w:pPr>
              <w:pStyle w:val="yTableNAm"/>
              <w:tabs>
                <w:tab w:val="clear" w:pos="567"/>
                <w:tab w:val="right" w:leader="dot" w:pos="4178"/>
              </w:tabs>
            </w:pPr>
            <w:r>
              <w:t>Accommodation, maintenance, nursing care and other services in a hospital bed, except services referred to in item 3 or 4</w:t>
            </w:r>
            <w:r>
              <w:tab/>
            </w:r>
          </w:p>
        </w:tc>
        <w:tc>
          <w:tcPr>
            <w:tcW w:w="1701" w:type="dxa"/>
          </w:tcPr>
          <w:p>
            <w:pPr>
              <w:pStyle w:val="yTableNAm"/>
            </w:pPr>
            <w:r>
              <w:br/>
            </w:r>
            <w:r>
              <w:br/>
            </w:r>
            <w:r>
              <w:rPr>
                <w:szCs w:val="22"/>
              </w:rPr>
              <w:t>$</w:t>
            </w:r>
            <w:del w:id="16" w:author="Master Repository Process" w:date="2021-08-28T17:55:00Z">
              <w:r>
                <w:delText>1 984</w:delText>
              </w:r>
              <w:r>
                <w:rPr>
                  <w:szCs w:val="22"/>
                </w:rPr>
                <w:delText xml:space="preserve"> </w:delText>
              </w:r>
              <w:r>
                <w:delText>per</w:delText>
              </w:r>
            </w:del>
            <w:ins w:id="17" w:author="Master Repository Process" w:date="2021-08-28T17:55:00Z">
              <w:r>
                <w:rPr>
                  <w:szCs w:val="22"/>
                </w:rPr>
                <w:t>2 005</w:t>
              </w:r>
              <w:r>
                <w:t>per</w:t>
              </w:r>
            </w:ins>
            <w:r>
              <w:t xml:space="preserve"> day</w:t>
            </w:r>
          </w:p>
        </w:tc>
      </w:tr>
      <w:tr>
        <w:tc>
          <w:tcPr>
            <w:tcW w:w="567" w:type="dxa"/>
          </w:tcPr>
          <w:p>
            <w:pPr>
              <w:pStyle w:val="yTableNAm"/>
            </w:pPr>
            <w:r>
              <w:t>2.</w:t>
            </w:r>
          </w:p>
        </w:tc>
        <w:tc>
          <w:tcPr>
            <w:tcW w:w="4394" w:type="dxa"/>
          </w:tcPr>
          <w:p>
            <w:pPr>
              <w:pStyle w:val="yTableNAm"/>
              <w:tabs>
                <w:tab w:val="clear" w:pos="567"/>
                <w:tab w:val="right" w:leader="dot" w:pos="4178"/>
              </w:tabs>
            </w:pPr>
            <w:r>
              <w:t xml:space="preserve">Accommodation, maintenance, nursing care and other services in a hospital bed for a patient, not being a patient mentioned in item 2A, in respect of whose care and treatment the </w:t>
            </w:r>
            <w:r>
              <w:rPr>
                <w:i/>
              </w:rPr>
              <w:t>Motor Vehicle (Third Party Insurance) Act 1943</w:t>
            </w:r>
            <w:r>
              <w:t xml:space="preserve"> applies or prima facie appears to apply</w:t>
            </w:r>
            <w:r>
              <w:tab/>
            </w:r>
          </w:p>
        </w:tc>
        <w:tc>
          <w:tcPr>
            <w:tcW w:w="1701" w:type="dxa"/>
          </w:tcPr>
          <w:p>
            <w:pPr>
              <w:pStyle w:val="yTableNAm"/>
            </w:pPr>
            <w:r>
              <w:br/>
            </w:r>
            <w:r>
              <w:br/>
            </w:r>
            <w:r>
              <w:br/>
            </w:r>
            <w:r>
              <w:br/>
            </w:r>
            <w:r>
              <w:br/>
            </w:r>
            <w:r>
              <w:br/>
              <w:t>$1 730</w:t>
            </w:r>
            <w:r>
              <w:rPr>
                <w:szCs w:val="22"/>
              </w:rPr>
              <w:t xml:space="preserve"> </w:t>
            </w:r>
            <w:r>
              <w:t>per day</w:t>
            </w:r>
          </w:p>
        </w:tc>
      </w:tr>
      <w:tr>
        <w:tc>
          <w:tcPr>
            <w:tcW w:w="567" w:type="dxa"/>
          </w:tcPr>
          <w:p>
            <w:pPr>
              <w:pStyle w:val="yTableNAm"/>
            </w:pPr>
            <w:r>
              <w:t>2A.</w:t>
            </w:r>
          </w:p>
        </w:tc>
        <w:tc>
          <w:tcPr>
            <w:tcW w:w="4394" w:type="dxa"/>
          </w:tcPr>
          <w:p>
            <w:pPr>
              <w:pStyle w:val="yTableNAm"/>
              <w:tabs>
                <w:tab w:val="clear" w:pos="567"/>
                <w:tab w:val="right" w:leader="dot" w:pos="4178"/>
              </w:tabs>
            </w:pPr>
            <w:r>
              <w:t xml:space="preserve">Accommodation, maintenance, nursing care and other services in a hospital bed for a patient in Princess Margaret Hospital for Children in respect of whose care and treatment the </w:t>
            </w:r>
            <w:r>
              <w:rPr>
                <w:i/>
                <w:iCs/>
              </w:rPr>
              <w:t>Motor Vehicle (Third Party Insurance) Act 1943</w:t>
            </w:r>
            <w:r>
              <w:t xml:space="preserve"> applies or prima facie appears to apply</w:t>
            </w:r>
            <w:r>
              <w:tab/>
            </w:r>
          </w:p>
        </w:tc>
        <w:tc>
          <w:tcPr>
            <w:tcW w:w="1701" w:type="dxa"/>
          </w:tcPr>
          <w:p>
            <w:pPr>
              <w:pStyle w:val="yTableNAm"/>
            </w:pPr>
            <w:r>
              <w:br/>
            </w:r>
            <w:r>
              <w:br/>
            </w:r>
            <w:r>
              <w:br/>
            </w:r>
            <w:r>
              <w:br/>
            </w:r>
            <w:r>
              <w:br/>
            </w:r>
            <w:r>
              <w:br/>
            </w:r>
            <w:r>
              <w:rPr>
                <w:szCs w:val="22"/>
              </w:rPr>
              <w:t>$2 </w:t>
            </w:r>
            <w:del w:id="18" w:author="Master Repository Process" w:date="2021-08-28T17:55:00Z">
              <w:r>
                <w:delText>127</w:delText>
              </w:r>
              <w:r>
                <w:rPr>
                  <w:szCs w:val="22"/>
                </w:rPr>
                <w:delText xml:space="preserve"> </w:delText>
              </w:r>
              <w:r>
                <w:delText>per</w:delText>
              </w:r>
            </w:del>
            <w:ins w:id="19" w:author="Master Repository Process" w:date="2021-08-28T17:55:00Z">
              <w:r>
                <w:rPr>
                  <w:szCs w:val="22"/>
                </w:rPr>
                <w:t>149</w:t>
              </w:r>
              <w:r>
                <w:t>per</w:t>
              </w:r>
            </w:ins>
            <w:r>
              <w:t xml:space="preserve"> day </w:t>
            </w:r>
          </w:p>
        </w:tc>
      </w:tr>
      <w:tr>
        <w:tc>
          <w:tcPr>
            <w:tcW w:w="567" w:type="dxa"/>
          </w:tcPr>
          <w:p>
            <w:pPr>
              <w:pStyle w:val="yTableNAm"/>
            </w:pPr>
            <w:r>
              <w:t>3.</w:t>
            </w:r>
          </w:p>
        </w:tc>
        <w:tc>
          <w:tcPr>
            <w:tcW w:w="4394" w:type="dxa"/>
          </w:tcPr>
          <w:p>
            <w:pPr>
              <w:pStyle w:val="yTableNAm"/>
              <w:tabs>
                <w:tab w:val="clear" w:pos="567"/>
                <w:tab w:val="right" w:leader="dot" w:pos="4178"/>
              </w:tabs>
            </w:pPr>
            <w:r>
              <w:t>Accommodation, maintenance, nursing care and other services in a nursing home bed</w:t>
            </w:r>
            <w:r>
              <w:tab/>
            </w:r>
          </w:p>
        </w:tc>
        <w:tc>
          <w:tcPr>
            <w:tcW w:w="1701" w:type="dxa"/>
          </w:tcPr>
          <w:p>
            <w:pPr>
              <w:pStyle w:val="yTableNAm"/>
            </w:pPr>
            <w:r>
              <w:br/>
            </w:r>
            <w:r>
              <w:rPr>
                <w:szCs w:val="22"/>
              </w:rPr>
              <w:t>$</w:t>
            </w:r>
            <w:del w:id="20" w:author="Master Repository Process" w:date="2021-08-28T17:55:00Z">
              <w:r>
                <w:delText>267</w:delText>
              </w:r>
              <w:r>
                <w:rPr>
                  <w:szCs w:val="22"/>
                </w:rPr>
                <w:delText xml:space="preserve"> </w:delText>
              </w:r>
              <w:r>
                <w:delText>per</w:delText>
              </w:r>
            </w:del>
            <w:ins w:id="21" w:author="Master Repository Process" w:date="2021-08-28T17:55:00Z">
              <w:r>
                <w:rPr>
                  <w:szCs w:val="22"/>
                </w:rPr>
                <w:t>275</w:t>
              </w:r>
              <w:r>
                <w:t>per</w:t>
              </w:r>
            </w:ins>
            <w:r>
              <w:t xml:space="preserve"> day</w:t>
            </w:r>
          </w:p>
        </w:tc>
      </w:tr>
      <w:tr>
        <w:tc>
          <w:tcPr>
            <w:tcW w:w="567" w:type="dxa"/>
          </w:tcPr>
          <w:p>
            <w:pPr>
              <w:pStyle w:val="yTableNAm"/>
            </w:pPr>
            <w:r>
              <w:t>4.</w:t>
            </w:r>
          </w:p>
        </w:tc>
        <w:tc>
          <w:tcPr>
            <w:tcW w:w="4394" w:type="dxa"/>
          </w:tcPr>
          <w:p>
            <w:pPr>
              <w:pStyle w:val="yTableNAm"/>
              <w:tabs>
                <w:tab w:val="clear" w:pos="567"/>
                <w:tab w:val="right" w:leader="dot" w:pos="4178"/>
              </w:tabs>
            </w:pPr>
            <w:r>
              <w:t>Ventilator dependent compensable in</w:t>
            </w:r>
            <w:r>
              <w:noBreakHyphen/>
              <w:t>patient with tracheostomy requiring 24 hours individual care</w:t>
            </w:r>
            <w:r>
              <w:tab/>
            </w:r>
          </w:p>
        </w:tc>
        <w:tc>
          <w:tcPr>
            <w:tcW w:w="1701" w:type="dxa"/>
          </w:tcPr>
          <w:p>
            <w:pPr>
              <w:pStyle w:val="yTableNAm"/>
            </w:pPr>
            <w:r>
              <w:br/>
            </w:r>
            <w:r>
              <w:br/>
            </w:r>
            <w:r>
              <w:rPr>
                <w:szCs w:val="22"/>
              </w:rPr>
              <w:t>$</w:t>
            </w:r>
            <w:del w:id="22" w:author="Master Repository Process" w:date="2021-08-28T17:55:00Z">
              <w:r>
                <w:delText>4 845</w:delText>
              </w:r>
              <w:r>
                <w:rPr>
                  <w:szCs w:val="22"/>
                </w:rPr>
                <w:delText xml:space="preserve"> </w:delText>
              </w:r>
              <w:r>
                <w:delText>per</w:delText>
              </w:r>
            </w:del>
            <w:ins w:id="23" w:author="Master Repository Process" w:date="2021-08-28T17:55:00Z">
              <w:r>
                <w:rPr>
                  <w:szCs w:val="22"/>
                </w:rPr>
                <w:t>5 140</w:t>
              </w:r>
              <w:r>
                <w:t>per</w:t>
              </w:r>
            </w:ins>
            <w:r>
              <w:t xml:space="preserve"> day</w:t>
            </w:r>
          </w:p>
        </w:tc>
      </w:tr>
    </w:tbl>
    <w:p>
      <w:pPr>
        <w:pStyle w:val="yFootnotesection"/>
      </w:pPr>
      <w:r>
        <w:tab/>
        <w:t>[Division 1 inserted in Gazette 10 Jun 2008 p. 2490; amended in Gazette 23 Jun 2009 p. 2465; 30 Jun 2010 p. 3101</w:t>
      </w:r>
      <w:r>
        <w:noBreakHyphen/>
        <w:t>2; 3 Jun 2011 p. 1979; 15 Jun 2012 p. 2519; 28 Jun 2013 p. 2754</w:t>
      </w:r>
      <w:ins w:id="24" w:author="Master Repository Process" w:date="2021-08-28T17:55:00Z">
        <w:r>
          <w:t xml:space="preserve">; </w:t>
        </w:r>
        <w:r>
          <w:rPr>
            <w:sz w:val="24"/>
          </w:rPr>
          <w:t>13 Jun 2014 p. </w:t>
        </w:r>
        <w:r>
          <w:t>1896</w:t>
        </w:r>
      </w:ins>
      <w:r>
        <w:t>.]</w:t>
      </w:r>
    </w:p>
    <w:p>
      <w:pPr>
        <w:pStyle w:val="yHeading3"/>
      </w:pPr>
      <w:bookmarkStart w:id="25" w:name="_Toc391911980"/>
      <w:bookmarkStart w:id="26" w:name="_Toc524529816"/>
      <w:r>
        <w:rPr>
          <w:rStyle w:val="CharSDivNo"/>
        </w:rPr>
        <w:t>Division 2</w:t>
      </w:r>
      <w:r>
        <w:rPr>
          <w:b w:val="0"/>
        </w:rPr>
        <w:t> — </w:t>
      </w:r>
      <w:r>
        <w:rPr>
          <w:rStyle w:val="CharSDivText"/>
        </w:rPr>
        <w:t>Compensable out</w:t>
      </w:r>
      <w:r>
        <w:rPr>
          <w:rStyle w:val="CharSDivText"/>
        </w:rPr>
        <w:noBreakHyphen/>
        <w:t>patients</w:t>
      </w:r>
      <w:bookmarkEnd w:id="25"/>
      <w:bookmarkEnd w:id="26"/>
    </w:p>
    <w:p>
      <w:pPr>
        <w:pStyle w:val="yFootnoteheading"/>
        <w:keepNext/>
        <w:spacing w:after="120"/>
      </w:pPr>
      <w:r>
        <w:tab/>
        <w:t>[Heading inserted in Gazette 10 Jun 2008 p. 2490.]</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NAm"/>
              <w:rPr>
                <w:i/>
              </w:rPr>
            </w:pPr>
            <w:r>
              <w:rPr>
                <w:i/>
              </w:rPr>
              <w:t>[5.</w:t>
            </w:r>
          </w:p>
        </w:tc>
        <w:tc>
          <w:tcPr>
            <w:tcW w:w="4450" w:type="dxa"/>
          </w:tcPr>
          <w:p>
            <w:pPr>
              <w:pStyle w:val="yTableNAm"/>
              <w:tabs>
                <w:tab w:val="left" w:pos="983"/>
              </w:tabs>
              <w:rPr>
                <w:i/>
              </w:rPr>
            </w:pPr>
            <w:r>
              <w:rPr>
                <w:i/>
              </w:rPr>
              <w:t>deleted]</w:t>
            </w:r>
          </w:p>
        </w:tc>
        <w:tc>
          <w:tcPr>
            <w:tcW w:w="1582" w:type="dxa"/>
          </w:tcPr>
          <w:p>
            <w:pPr>
              <w:pStyle w:val="yTableNAm"/>
            </w:pPr>
          </w:p>
        </w:tc>
      </w:tr>
      <w:tr>
        <w:tc>
          <w:tcPr>
            <w:tcW w:w="567" w:type="dxa"/>
          </w:tcPr>
          <w:p>
            <w:pPr>
              <w:pStyle w:val="yTableNAm"/>
            </w:pPr>
            <w:r>
              <w:t>6.</w:t>
            </w:r>
          </w:p>
        </w:tc>
        <w:tc>
          <w:tcPr>
            <w:tcW w:w="4450" w:type="dxa"/>
          </w:tcPr>
          <w:p>
            <w:pPr>
              <w:pStyle w:val="yTableNAm"/>
              <w:tabs>
                <w:tab w:val="clear" w:pos="567"/>
                <w:tab w:val="right" w:leader="dot" w:pos="4178"/>
              </w:tabs>
            </w:pPr>
            <w:r>
              <w:t>For radiological service — for each item of service</w:t>
            </w:r>
            <w:r>
              <w:tab/>
            </w:r>
          </w:p>
        </w:tc>
        <w:tc>
          <w:tcPr>
            <w:tcW w:w="1582" w:type="dxa"/>
          </w:tcPr>
          <w:p>
            <w:pPr>
              <w:pStyle w:val="yTableNAm"/>
            </w:pPr>
            <w:r>
              <w:br/>
            </w:r>
            <w:r>
              <w:rPr>
                <w:szCs w:val="22"/>
              </w:rPr>
              <w:t>$</w:t>
            </w:r>
            <w:del w:id="27" w:author="Master Repository Process" w:date="2021-08-28T17:55:00Z">
              <w:r>
                <w:delText>203</w:delText>
              </w:r>
            </w:del>
            <w:ins w:id="28" w:author="Master Repository Process" w:date="2021-08-28T17:55:00Z">
              <w:r>
                <w:rPr>
                  <w:szCs w:val="22"/>
                </w:rPr>
                <w:t>223</w:t>
              </w:r>
            </w:ins>
          </w:p>
        </w:tc>
      </w:tr>
      <w:tr>
        <w:tc>
          <w:tcPr>
            <w:tcW w:w="567" w:type="dxa"/>
          </w:tcPr>
          <w:p>
            <w:pPr>
              <w:pStyle w:val="yTableNAm"/>
            </w:pPr>
            <w:r>
              <w:t>7.</w:t>
            </w:r>
          </w:p>
        </w:tc>
        <w:tc>
          <w:tcPr>
            <w:tcW w:w="4450" w:type="dxa"/>
          </w:tcPr>
          <w:p>
            <w:pPr>
              <w:pStyle w:val="yTableNAm"/>
              <w:tabs>
                <w:tab w:val="left" w:pos="983"/>
              </w:tabs>
            </w:pPr>
            <w:r>
              <w:t xml:space="preserve">For drugs and medications, subject to item 8, for each item — </w:t>
            </w:r>
          </w:p>
          <w:p>
            <w:pPr>
              <w:pStyle w:val="yTableNAm"/>
              <w:tabs>
                <w:tab w:val="left" w:pos="983"/>
              </w:tabs>
            </w:pPr>
            <w:r>
              <w:t>(a)</w:t>
            </w:r>
            <w:r>
              <w:tab/>
              <w:t xml:space="preserve">at a participating hospital — </w:t>
            </w:r>
          </w:p>
          <w:p>
            <w:pPr>
              <w:pStyle w:val="yTableNAm"/>
              <w:tabs>
                <w:tab w:val="left" w:pos="983"/>
                <w:tab w:val="right" w:leader="dot" w:pos="4234"/>
              </w:tabs>
              <w:ind w:left="1004" w:hanging="1004"/>
            </w:pPr>
            <w:r>
              <w:tab/>
              <w:t>(i)</w:t>
            </w:r>
            <w:r>
              <w:tab/>
              <w:t>for an item on the PBS list</w:t>
            </w:r>
            <w:r>
              <w:tab/>
            </w:r>
          </w:p>
          <w:p>
            <w:pPr>
              <w:pStyle w:val="yTableNAm"/>
              <w:tabs>
                <w:tab w:val="left" w:pos="983"/>
                <w:tab w:val="right" w:leader="dot" w:pos="4234"/>
              </w:tabs>
              <w:ind w:left="1004" w:hanging="1004"/>
            </w:pPr>
            <w:r>
              <w:tab/>
              <w:t>(ii)</w:t>
            </w:r>
            <w:r>
              <w:tab/>
              <w:t>for an item not on the PBS list</w:t>
            </w:r>
            <w:r>
              <w:tab/>
            </w:r>
          </w:p>
          <w:p>
            <w:pPr>
              <w:pStyle w:val="yTableNAm"/>
              <w:tabs>
                <w:tab w:val="left" w:pos="983"/>
                <w:tab w:val="right" w:leader="dot" w:pos="4234"/>
              </w:tabs>
              <w:ind w:left="567" w:hanging="567"/>
            </w:pPr>
            <w:r>
              <w:t>(b)</w:t>
            </w:r>
            <w:r>
              <w:tab/>
              <w:t>at a hospital that is not a participating hospital</w:t>
            </w:r>
            <w:r>
              <w:tab/>
            </w:r>
          </w:p>
        </w:tc>
        <w:tc>
          <w:tcPr>
            <w:tcW w:w="1582" w:type="dxa"/>
          </w:tcPr>
          <w:p>
            <w:pPr>
              <w:pStyle w:val="yTableNAm"/>
            </w:pPr>
            <w:r>
              <w:t>PBS price up to a maximum of</w:t>
            </w:r>
            <w:r>
              <w:br/>
            </w:r>
            <w:r>
              <w:br/>
              <w:t>$36.90</w:t>
            </w:r>
          </w:p>
          <w:p>
            <w:pPr>
              <w:pStyle w:val="yTableNAm"/>
            </w:pPr>
            <w:r>
              <w:rPr>
                <w:szCs w:val="22"/>
              </w:rPr>
              <w:t>$29.50</w:t>
            </w:r>
          </w:p>
          <w:p>
            <w:pPr>
              <w:pStyle w:val="yTableNAm"/>
            </w:pPr>
            <w:r>
              <w:br/>
            </w:r>
            <w:r>
              <w:rPr>
                <w:szCs w:val="22"/>
              </w:rPr>
              <w:t>$29.50</w:t>
            </w:r>
          </w:p>
        </w:tc>
      </w:tr>
      <w:tr>
        <w:tc>
          <w:tcPr>
            <w:tcW w:w="567" w:type="dxa"/>
          </w:tcPr>
          <w:p>
            <w:pPr>
              <w:pStyle w:val="yTableNAm"/>
            </w:pPr>
            <w:r>
              <w:t>8.</w:t>
            </w:r>
          </w:p>
        </w:tc>
        <w:tc>
          <w:tcPr>
            <w:tcW w:w="4450" w:type="dxa"/>
          </w:tcPr>
          <w:p>
            <w:pPr>
              <w:pStyle w:val="yTableNAm"/>
              <w:tabs>
                <w:tab w:val="clear" w:pos="567"/>
                <w:tab w:val="right" w:leader="dot" w:pos="4178"/>
              </w:tabs>
            </w:pPr>
            <w:r>
              <w:t>For each other individual service (with any drugs and medications supplied at the time of the initial service being treated as included in that service)</w:t>
            </w:r>
            <w:r>
              <w:tab/>
            </w:r>
          </w:p>
        </w:tc>
        <w:tc>
          <w:tcPr>
            <w:tcW w:w="1582" w:type="dxa"/>
          </w:tcPr>
          <w:p>
            <w:pPr>
              <w:pStyle w:val="yTableNAm"/>
            </w:pPr>
            <w:r>
              <w:br/>
            </w:r>
            <w:r>
              <w:br/>
            </w:r>
            <w:r>
              <w:br/>
            </w:r>
            <w:r>
              <w:rPr>
                <w:szCs w:val="22"/>
              </w:rPr>
              <w:t>$</w:t>
            </w:r>
            <w:del w:id="29" w:author="Master Repository Process" w:date="2021-08-28T17:55:00Z">
              <w:r>
                <w:delText>203</w:delText>
              </w:r>
            </w:del>
            <w:ins w:id="30" w:author="Master Repository Process" w:date="2021-08-28T17:55:00Z">
              <w:r>
                <w:rPr>
                  <w:szCs w:val="22"/>
                </w:rPr>
                <w:t>223</w:t>
              </w:r>
            </w:ins>
          </w:p>
        </w:tc>
      </w:tr>
    </w:tbl>
    <w:p>
      <w:pPr>
        <w:pStyle w:val="yFootnotesection"/>
      </w:pPr>
      <w:r>
        <w:tab/>
        <w:t>[Division 2 inserted in Gazette 10 Jun 2008 p. 2490</w:t>
      </w:r>
      <w:r>
        <w:noBreakHyphen/>
        <w:t>1; amended in Gazette 10 Feb 2009 p. 275; 23 Jun 2009 p. 2465; 19 Jan 2010 p. 150; 30 Jun 2010 p. 3101</w:t>
      </w:r>
      <w:r>
        <w:noBreakHyphen/>
        <w:t xml:space="preserve">2; </w:t>
      </w:r>
      <w:r>
        <w:rPr>
          <w:szCs w:val="22"/>
        </w:rPr>
        <w:t>11 Feb 2011 p. 481</w:t>
      </w:r>
      <w:r>
        <w:t>; 3 Jun 2011 p. 1979; 30 Dec 2011 p. 5577; 24 Feb 2012 p. 810; 15 Jun 2012 p. 2519; 4 Jan 2013 p. 5; 28 Jun 2013 p. 2754; 28 Jan 2014 p. 181</w:t>
      </w:r>
      <w:ins w:id="31" w:author="Master Repository Process" w:date="2021-08-28T17:55:00Z">
        <w:r>
          <w:t xml:space="preserve">; </w:t>
        </w:r>
        <w:r>
          <w:rPr>
            <w:sz w:val="24"/>
          </w:rPr>
          <w:t>13 Jun 2014 p. </w:t>
        </w:r>
        <w:r>
          <w:t>1896</w:t>
        </w:r>
      </w:ins>
      <w:r>
        <w:t>.]</w:t>
      </w:r>
    </w:p>
    <w:p>
      <w:pPr>
        <w:pStyle w:val="yHeading3"/>
      </w:pPr>
      <w:bookmarkStart w:id="32" w:name="_Toc391911981"/>
      <w:bookmarkStart w:id="33" w:name="_Toc524529817"/>
      <w:r>
        <w:rPr>
          <w:rStyle w:val="CharSDivNo"/>
        </w:rPr>
        <w:t>Division 3</w:t>
      </w:r>
      <w:r>
        <w:rPr>
          <w:b w:val="0"/>
        </w:rPr>
        <w:t> — </w:t>
      </w:r>
      <w:r>
        <w:rPr>
          <w:rStyle w:val="CharSDivText"/>
        </w:rPr>
        <w:t>Compensable same day patients</w:t>
      </w:r>
      <w:bookmarkEnd w:id="32"/>
      <w:bookmarkEnd w:id="33"/>
    </w:p>
    <w:p>
      <w:pPr>
        <w:pStyle w:val="yFootnoteheading"/>
        <w:spacing w:after="120"/>
      </w:pPr>
      <w:r>
        <w:tab/>
        <w:t>[Heading inserted in Gazette 10 Jun 2008 p. 2491.]</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NAm"/>
            </w:pPr>
            <w:r>
              <w:t>9.</w:t>
            </w:r>
          </w:p>
        </w:tc>
        <w:tc>
          <w:tcPr>
            <w:tcW w:w="4450" w:type="dxa"/>
          </w:tcPr>
          <w:p>
            <w:pPr>
              <w:pStyle w:val="yTableNAm"/>
              <w:tabs>
                <w:tab w:val="clear" w:pos="567"/>
                <w:tab w:val="right" w:leader="dot" w:pos="4178"/>
              </w:tabs>
            </w:pPr>
            <w:r>
              <w:t xml:space="preserve">In hospitals, other than day hospitals, nursing homes and nursing posts — </w:t>
            </w:r>
          </w:p>
          <w:p>
            <w:pPr>
              <w:pStyle w:val="yTableNAm"/>
              <w:tabs>
                <w:tab w:val="left" w:pos="983"/>
                <w:tab w:val="right" w:leader="dot" w:pos="4234"/>
              </w:tabs>
              <w:ind w:left="567" w:hanging="567"/>
            </w:pPr>
            <w:r>
              <w:t>(a)</w:t>
            </w:r>
            <w:r>
              <w:tab/>
              <w:t xml:space="preserve">for a patient, not being a patient mentioned in paragraph (aa), in respect of whose care and treatment the </w:t>
            </w:r>
            <w:r>
              <w:rPr>
                <w:i/>
              </w:rPr>
              <w:t>Motor Vehicle (Third Party Insurance) Act 1943</w:t>
            </w:r>
            <w:r>
              <w:t xml:space="preserve"> applies or prima facie appears to apply </w:t>
            </w:r>
            <w:r>
              <w:tab/>
            </w:r>
          </w:p>
        </w:tc>
        <w:tc>
          <w:tcPr>
            <w:tcW w:w="1582" w:type="dxa"/>
          </w:tcPr>
          <w:p>
            <w:pPr>
              <w:pStyle w:val="yTableNAm"/>
            </w:pPr>
            <w:r>
              <w:br/>
            </w:r>
          </w:p>
          <w:p>
            <w:pPr>
              <w:pStyle w:val="yTableNAm"/>
            </w:pPr>
            <w:r>
              <w:br/>
            </w:r>
            <w:r>
              <w:br/>
            </w:r>
            <w:r>
              <w:br/>
            </w:r>
            <w:r>
              <w:br/>
            </w:r>
            <w:r>
              <w:br/>
              <w:t>$1 667</w:t>
            </w:r>
            <w:r>
              <w:rPr>
                <w:szCs w:val="22"/>
              </w:rPr>
              <w:t xml:space="preserve"> </w:t>
            </w:r>
            <w:r>
              <w:t>per day</w:t>
            </w:r>
          </w:p>
        </w:tc>
      </w:tr>
      <w:tr>
        <w:tc>
          <w:tcPr>
            <w:tcW w:w="567" w:type="dxa"/>
          </w:tcPr>
          <w:p>
            <w:pPr>
              <w:pStyle w:val="yTableNAm"/>
            </w:pPr>
          </w:p>
        </w:tc>
        <w:tc>
          <w:tcPr>
            <w:tcW w:w="4450" w:type="dxa"/>
          </w:tcPr>
          <w:p>
            <w:pPr>
              <w:pStyle w:val="yTableNAm"/>
              <w:tabs>
                <w:tab w:val="left" w:pos="983"/>
                <w:tab w:val="right" w:leader="dot" w:pos="4234"/>
              </w:tabs>
              <w:ind w:left="567" w:hanging="567"/>
            </w:pPr>
            <w:r>
              <w:t>(aa)</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care and treatment the </w:t>
            </w:r>
            <w:r>
              <w:rPr>
                <w:i/>
              </w:rPr>
              <w:t>Motor Vehicle (Third Party Insurance) Act 1943</w:t>
            </w:r>
            <w:r>
              <w:t xml:space="preserve"> applies or prima facie appears to apply </w:t>
            </w:r>
            <w:r>
              <w:tab/>
            </w:r>
          </w:p>
        </w:tc>
        <w:tc>
          <w:tcPr>
            <w:tcW w:w="1582" w:type="dxa"/>
          </w:tcPr>
          <w:p>
            <w:pPr>
              <w:pStyle w:val="yTableNAm"/>
            </w:pPr>
            <w:r>
              <w:br/>
            </w:r>
            <w:r>
              <w:br/>
            </w:r>
            <w:r>
              <w:br/>
            </w:r>
            <w:r>
              <w:br/>
            </w:r>
            <w:r>
              <w:br/>
            </w:r>
            <w:r>
              <w:rPr>
                <w:szCs w:val="22"/>
              </w:rPr>
              <w:t>$2 </w:t>
            </w:r>
            <w:del w:id="34" w:author="Master Repository Process" w:date="2021-08-28T17:55:00Z">
              <w:r>
                <w:delText>050</w:delText>
              </w:r>
              <w:r>
                <w:rPr>
                  <w:szCs w:val="22"/>
                </w:rPr>
                <w:delText xml:space="preserve"> </w:delText>
              </w:r>
              <w:r>
                <w:delText>per</w:delText>
              </w:r>
            </w:del>
            <w:ins w:id="35" w:author="Master Repository Process" w:date="2021-08-28T17:55:00Z">
              <w:r>
                <w:rPr>
                  <w:szCs w:val="22"/>
                </w:rPr>
                <w:t>255</w:t>
              </w:r>
              <w:r>
                <w:t>per</w:t>
              </w:r>
            </w:ins>
            <w:r>
              <w:t xml:space="preserve"> day</w:t>
            </w:r>
          </w:p>
        </w:tc>
      </w:tr>
      <w:tr>
        <w:tc>
          <w:tcPr>
            <w:tcW w:w="567" w:type="dxa"/>
          </w:tcPr>
          <w:p>
            <w:pPr>
              <w:pStyle w:val="yTableNAm"/>
            </w:pPr>
          </w:p>
        </w:tc>
        <w:tc>
          <w:tcPr>
            <w:tcW w:w="4450" w:type="dxa"/>
          </w:tcPr>
          <w:p>
            <w:pPr>
              <w:pStyle w:val="yTableNAm"/>
              <w:tabs>
                <w:tab w:val="left" w:pos="983"/>
                <w:tab w:val="right" w:leader="dot" w:pos="4234"/>
              </w:tabs>
              <w:ind w:left="567" w:hanging="567"/>
            </w:pPr>
            <w:r>
              <w:t>(b)</w:t>
            </w:r>
            <w:r>
              <w:tab/>
              <w:t>for any other patient</w:t>
            </w:r>
            <w:r>
              <w:tab/>
            </w:r>
          </w:p>
        </w:tc>
        <w:tc>
          <w:tcPr>
            <w:tcW w:w="1582" w:type="dxa"/>
          </w:tcPr>
          <w:p>
            <w:pPr>
              <w:pStyle w:val="yTableNAm"/>
            </w:pPr>
            <w:r>
              <w:rPr>
                <w:szCs w:val="22"/>
              </w:rPr>
              <w:t>$</w:t>
            </w:r>
            <w:del w:id="36" w:author="Master Repository Process" w:date="2021-08-28T17:55:00Z">
              <w:r>
                <w:delText>1 912</w:delText>
              </w:r>
              <w:r>
                <w:rPr>
                  <w:szCs w:val="22"/>
                </w:rPr>
                <w:delText xml:space="preserve"> </w:delText>
              </w:r>
              <w:r>
                <w:delText>per</w:delText>
              </w:r>
            </w:del>
            <w:ins w:id="37" w:author="Master Repository Process" w:date="2021-08-28T17:55:00Z">
              <w:r>
                <w:rPr>
                  <w:szCs w:val="22"/>
                </w:rPr>
                <w:t>2 103</w:t>
              </w:r>
              <w:r>
                <w:t>per</w:t>
              </w:r>
            </w:ins>
            <w:r>
              <w:t xml:space="preserve"> day</w:t>
            </w:r>
          </w:p>
        </w:tc>
      </w:tr>
    </w:tbl>
    <w:p>
      <w:pPr>
        <w:pStyle w:val="yFootnotesection"/>
      </w:pPr>
      <w:r>
        <w:tab/>
        <w:t>[Division 3 inserted in Gazette 10 Jun 2008 p. 2491; amended in Gazette 23 Jun 2009 p. 2465; 30 Jun 2010 p. 3101</w:t>
      </w:r>
      <w:r>
        <w:noBreakHyphen/>
        <w:t>2; 3 Jun 2011 p. 1979; 15 Jun 2012 p. 2519; 28 Jun 2013 p. 2754-5</w:t>
      </w:r>
      <w:ins w:id="38" w:author="Master Repository Process" w:date="2021-08-28T17:55:00Z">
        <w:r>
          <w:t xml:space="preserve">; </w:t>
        </w:r>
        <w:r>
          <w:rPr>
            <w:sz w:val="24"/>
          </w:rPr>
          <w:t>13 Jun 2014 p. </w:t>
        </w:r>
        <w:r>
          <w:t>1896</w:t>
        </w:r>
      </w:ins>
      <w:r>
        <w:t>.]</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9" w:name="_Toc391911982"/>
      <w:bookmarkStart w:id="40" w:name="_Toc524529818"/>
      <w:r>
        <w:t>Notes</w:t>
      </w:r>
      <w:bookmarkEnd w:id="39"/>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for Compensable Patients) Determination 2005</w:t>
      </w:r>
      <w:r>
        <w:rPr>
          <w:snapToGrid w:val="0"/>
        </w:rPr>
        <w:t xml:space="preserve"> and includes the amendments made by the other written laws referred to in the following table</w:t>
      </w:r>
      <w:del w:id="41" w:author="Master Repository Process" w:date="2021-08-28T17:55:00Z">
        <w:r>
          <w:rPr>
            <w:snapToGrid w:val="0"/>
            <w:vertAlign w:val="superscript"/>
          </w:rPr>
          <w:delText> 1a</w:delText>
        </w:r>
      </w:del>
      <w:r>
        <w:rPr>
          <w:snapToGrid w:val="0"/>
        </w:rPr>
        <w:t>.</w:t>
      </w:r>
    </w:p>
    <w:p>
      <w:pPr>
        <w:pStyle w:val="nHeading3"/>
      </w:pPr>
      <w:bookmarkStart w:id="42" w:name="_Toc391911983"/>
      <w:bookmarkStart w:id="43" w:name="_Toc524529819"/>
      <w:r>
        <w:t>Compilation table</w:t>
      </w:r>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Hospitals (Services Charges for Compensable Patients) Determination 2005</w:t>
            </w:r>
          </w:p>
        </w:tc>
        <w:tc>
          <w:tcPr>
            <w:tcW w:w="1276" w:type="dxa"/>
            <w:tcBorders>
              <w:top w:val="single" w:sz="4" w:space="0" w:color="auto"/>
            </w:tcBorders>
          </w:tcPr>
          <w:p>
            <w:pPr>
              <w:pStyle w:val="nTable"/>
              <w:rPr>
                <w:sz w:val="19"/>
              </w:rPr>
            </w:pPr>
            <w:r>
              <w:rPr>
                <w:sz w:val="19"/>
              </w:rPr>
              <w:t>28 Jun 2005 p. 2922-4</w:t>
            </w:r>
          </w:p>
        </w:tc>
        <w:tc>
          <w:tcPr>
            <w:tcW w:w="2693" w:type="dxa"/>
            <w:tcBorders>
              <w:top w:val="single" w:sz="4" w:space="0" w:color="auto"/>
            </w:tcBorders>
          </w:tcPr>
          <w:p>
            <w:pPr>
              <w:pStyle w:val="nTable"/>
              <w:rPr>
                <w:sz w:val="19"/>
              </w:rPr>
            </w:pPr>
            <w:r>
              <w:rPr>
                <w:sz w:val="19"/>
              </w:rPr>
              <w:t>1 Jul 2005 (see cl. 2)</w:t>
            </w:r>
          </w:p>
        </w:tc>
      </w:tr>
      <w:tr>
        <w:tc>
          <w:tcPr>
            <w:tcW w:w="3118" w:type="dxa"/>
          </w:tcPr>
          <w:p>
            <w:pPr>
              <w:pStyle w:val="nTable"/>
              <w:rPr>
                <w:i/>
                <w:sz w:val="19"/>
              </w:rPr>
            </w:pPr>
            <w:r>
              <w:rPr>
                <w:i/>
                <w:sz w:val="19"/>
              </w:rPr>
              <w:t>Hospitals (Services Charges for Compensable Patients) Amendment Determination 2006</w:t>
            </w:r>
          </w:p>
        </w:tc>
        <w:tc>
          <w:tcPr>
            <w:tcW w:w="1276" w:type="dxa"/>
          </w:tcPr>
          <w:p>
            <w:pPr>
              <w:pStyle w:val="nTable"/>
              <w:rPr>
                <w:sz w:val="19"/>
              </w:rPr>
            </w:pPr>
            <w:r>
              <w:rPr>
                <w:sz w:val="19"/>
              </w:rPr>
              <w:t>28 Feb 2006 p. 912-13</w:t>
            </w:r>
          </w:p>
        </w:tc>
        <w:tc>
          <w:tcPr>
            <w:tcW w:w="2693" w:type="dxa"/>
          </w:tcPr>
          <w:p>
            <w:pPr>
              <w:pStyle w:val="nTable"/>
              <w:rPr>
                <w:sz w:val="19"/>
              </w:rPr>
            </w:pPr>
            <w:r>
              <w:rPr>
                <w:sz w:val="19"/>
              </w:rPr>
              <w:t>28 Feb 2006</w:t>
            </w:r>
          </w:p>
        </w:tc>
      </w:tr>
      <w:tr>
        <w:tc>
          <w:tcPr>
            <w:tcW w:w="3118" w:type="dxa"/>
          </w:tcPr>
          <w:p>
            <w:pPr>
              <w:pStyle w:val="nTable"/>
              <w:rPr>
                <w:i/>
                <w:sz w:val="19"/>
              </w:rPr>
            </w:pPr>
            <w:r>
              <w:rPr>
                <w:i/>
                <w:sz w:val="19"/>
              </w:rPr>
              <w:t>Hospitals (Services Charges for Compensable Patients) Amendment Determination (No. 2) 2006</w:t>
            </w:r>
            <w:r>
              <w:rPr>
                <w:iCs/>
                <w:sz w:val="19"/>
              </w:rPr>
              <w:t xml:space="preserve"> </w:t>
            </w:r>
          </w:p>
        </w:tc>
        <w:tc>
          <w:tcPr>
            <w:tcW w:w="1276" w:type="dxa"/>
          </w:tcPr>
          <w:p>
            <w:pPr>
              <w:pStyle w:val="nTable"/>
              <w:rPr>
                <w:sz w:val="19"/>
              </w:rPr>
            </w:pPr>
            <w:r>
              <w:rPr>
                <w:sz w:val="19"/>
              </w:rPr>
              <w:t>13 Jun 2006 p. 2063-4</w:t>
            </w:r>
          </w:p>
        </w:tc>
        <w:tc>
          <w:tcPr>
            <w:tcW w:w="2693" w:type="dxa"/>
          </w:tcPr>
          <w:p>
            <w:pPr>
              <w:pStyle w:val="nTable"/>
              <w:rPr>
                <w:sz w:val="19"/>
              </w:rPr>
            </w:pPr>
            <w:r>
              <w:rPr>
                <w:sz w:val="19"/>
              </w:rPr>
              <w:t>1 Jul 2006 (see cl. 2)</w:t>
            </w:r>
          </w:p>
        </w:tc>
      </w:tr>
      <w:tr>
        <w:tc>
          <w:tcPr>
            <w:tcW w:w="3118" w:type="dxa"/>
          </w:tcPr>
          <w:p>
            <w:pPr>
              <w:pStyle w:val="nTable"/>
              <w:rPr>
                <w:i/>
                <w:sz w:val="19"/>
              </w:rPr>
            </w:pPr>
            <w:r>
              <w:rPr>
                <w:i/>
                <w:sz w:val="19"/>
              </w:rPr>
              <w:t>Hospitals (Services Charges for Compensable Patients) Amendment Determination (No. 3) 2006</w:t>
            </w:r>
          </w:p>
        </w:tc>
        <w:tc>
          <w:tcPr>
            <w:tcW w:w="1276" w:type="dxa"/>
          </w:tcPr>
          <w:p>
            <w:pPr>
              <w:pStyle w:val="nTable"/>
              <w:rPr>
                <w:sz w:val="19"/>
              </w:rPr>
            </w:pPr>
            <w:r>
              <w:rPr>
                <w:sz w:val="19"/>
              </w:rPr>
              <w:t>23 Jan 2007 p. 182</w:t>
            </w:r>
            <w:r>
              <w:rPr>
                <w:sz w:val="19"/>
              </w:rPr>
              <w:noBreakHyphen/>
              <w:t>3</w:t>
            </w:r>
          </w:p>
        </w:tc>
        <w:tc>
          <w:tcPr>
            <w:tcW w:w="2693" w:type="dxa"/>
          </w:tcPr>
          <w:p>
            <w:pPr>
              <w:pStyle w:val="nTable"/>
              <w:rPr>
                <w:sz w:val="19"/>
              </w:rPr>
            </w:pPr>
            <w:r>
              <w:rPr>
                <w:sz w:val="19"/>
              </w:rPr>
              <w:t>23 Jan 2007 (see cl. 2)</w:t>
            </w:r>
          </w:p>
        </w:tc>
      </w:tr>
      <w:tr>
        <w:tc>
          <w:tcPr>
            <w:tcW w:w="3118" w:type="dxa"/>
          </w:tcPr>
          <w:p>
            <w:pPr>
              <w:pStyle w:val="nTable"/>
              <w:rPr>
                <w:i/>
                <w:sz w:val="19"/>
              </w:rPr>
            </w:pPr>
            <w:r>
              <w:rPr>
                <w:i/>
                <w:sz w:val="19"/>
              </w:rPr>
              <w:t>Hospitals (Services Charges for Compensable Patients) Amendment Determination 2007</w:t>
            </w:r>
          </w:p>
        </w:tc>
        <w:tc>
          <w:tcPr>
            <w:tcW w:w="1276" w:type="dxa"/>
          </w:tcPr>
          <w:p>
            <w:pPr>
              <w:pStyle w:val="nTable"/>
              <w:rPr>
                <w:sz w:val="19"/>
              </w:rPr>
            </w:pPr>
            <w:r>
              <w:rPr>
                <w:sz w:val="19"/>
              </w:rPr>
              <w:t>10 Jul 2007 p. 3420-1</w:t>
            </w:r>
          </w:p>
        </w:tc>
        <w:tc>
          <w:tcPr>
            <w:tcW w:w="2693" w:type="dxa"/>
          </w:tcPr>
          <w:p>
            <w:pPr>
              <w:pStyle w:val="nTable"/>
              <w:rPr>
                <w:sz w:val="19"/>
              </w:rPr>
            </w:pPr>
            <w:r>
              <w:rPr>
                <w:sz w:val="19"/>
              </w:rPr>
              <w:t>cl. 1 and 2: 10 Jul 2007 (see cl. 2(a));</w:t>
            </w:r>
          </w:p>
          <w:p>
            <w:pPr>
              <w:pStyle w:val="nTable"/>
              <w:rPr>
                <w:sz w:val="19"/>
              </w:rPr>
            </w:pPr>
            <w:r>
              <w:rPr>
                <w:sz w:val="19"/>
              </w:rPr>
              <w:t>Determination other than cl. 1 and 2: 11 Jul 2007 (see cl. 2(b))</w:t>
            </w:r>
          </w:p>
        </w:tc>
      </w:tr>
      <w:tr>
        <w:tc>
          <w:tcPr>
            <w:tcW w:w="3118" w:type="dxa"/>
          </w:tcPr>
          <w:p>
            <w:pPr>
              <w:pStyle w:val="nTable"/>
              <w:rPr>
                <w:i/>
                <w:sz w:val="19"/>
              </w:rPr>
            </w:pPr>
            <w:r>
              <w:rPr>
                <w:i/>
                <w:sz w:val="19"/>
              </w:rPr>
              <w:t>Hospitals (Services Charges for Compensable Patients) Amendment Determination 2008</w:t>
            </w:r>
          </w:p>
        </w:tc>
        <w:tc>
          <w:tcPr>
            <w:tcW w:w="1276" w:type="dxa"/>
          </w:tcPr>
          <w:p>
            <w:pPr>
              <w:pStyle w:val="nTable"/>
              <w:rPr>
                <w:sz w:val="19"/>
              </w:rPr>
            </w:pPr>
            <w:r>
              <w:rPr>
                <w:sz w:val="19"/>
              </w:rPr>
              <w:t>25 Jan 2008 p. 214</w:t>
            </w:r>
            <w:r>
              <w:rPr>
                <w:sz w:val="19"/>
              </w:rPr>
              <w:noBreakHyphen/>
              <w:t>15</w:t>
            </w:r>
          </w:p>
        </w:tc>
        <w:tc>
          <w:tcPr>
            <w:tcW w:w="2693" w:type="dxa"/>
          </w:tcPr>
          <w:p>
            <w:pPr>
              <w:pStyle w:val="nTable"/>
              <w:rPr>
                <w:sz w:val="19"/>
              </w:rPr>
            </w:pPr>
            <w:r>
              <w:rPr>
                <w:snapToGrid w:val="0"/>
                <w:sz w:val="19"/>
              </w:rPr>
              <w:t>cl. 1 and 2: 25 Jan 2008 (see cl. 2(a));</w:t>
            </w:r>
            <w:r>
              <w:rPr>
                <w:snapToGrid w:val="0"/>
                <w:sz w:val="19"/>
              </w:rPr>
              <w:br/>
              <w:t>Determination other than cl. 1 and 2: 26 Jan 2008 (see cl. 2(b))</w:t>
            </w:r>
          </w:p>
        </w:tc>
      </w:tr>
      <w:tr>
        <w:tc>
          <w:tcPr>
            <w:tcW w:w="3118" w:type="dxa"/>
          </w:tcPr>
          <w:p>
            <w:pPr>
              <w:pStyle w:val="nTable"/>
              <w:rPr>
                <w:i/>
                <w:sz w:val="19"/>
              </w:rPr>
            </w:pPr>
            <w:r>
              <w:rPr>
                <w:i/>
                <w:sz w:val="19"/>
              </w:rPr>
              <w:t>Hospitals (Services Charges for Compensable Patients) Amendment Determination (No. 2) 2008</w:t>
            </w:r>
            <w:r>
              <w:rPr>
                <w:sz w:val="19"/>
              </w:rPr>
              <w:t xml:space="preserve"> </w:t>
            </w:r>
          </w:p>
        </w:tc>
        <w:tc>
          <w:tcPr>
            <w:tcW w:w="1276" w:type="dxa"/>
          </w:tcPr>
          <w:p>
            <w:pPr>
              <w:pStyle w:val="nTable"/>
              <w:rPr>
                <w:sz w:val="19"/>
              </w:rPr>
            </w:pPr>
            <w:r>
              <w:rPr>
                <w:sz w:val="19"/>
              </w:rPr>
              <w:t>10 Jun 2008 p. 2489-91</w:t>
            </w:r>
          </w:p>
        </w:tc>
        <w:tc>
          <w:tcPr>
            <w:tcW w:w="2693" w:type="dxa"/>
          </w:tcPr>
          <w:p>
            <w:pPr>
              <w:pStyle w:val="nTable"/>
              <w:rPr>
                <w:snapToGrid w:val="0"/>
                <w:sz w:val="19"/>
              </w:rPr>
            </w:pPr>
            <w:r>
              <w:rPr>
                <w:sz w:val="19"/>
              </w:rPr>
              <w:t>cl. 1 and 2: 10 Jun 2008 (see cl. 2(a));</w:t>
            </w:r>
            <w:r>
              <w:rPr>
                <w:sz w:val="19"/>
              </w:rPr>
              <w:br/>
            </w:r>
            <w:r>
              <w:rPr>
                <w:snapToGrid w:val="0"/>
                <w:sz w:val="19"/>
              </w:rPr>
              <w:t>Determination</w:t>
            </w:r>
            <w:r>
              <w:rPr>
                <w:sz w:val="19"/>
              </w:rPr>
              <w:t xml:space="preserve"> other than cl. 1 and 2: 1 Jul 2008 (see cl. 2(b)) </w:t>
            </w:r>
          </w:p>
        </w:tc>
      </w:tr>
      <w:tr>
        <w:tc>
          <w:tcPr>
            <w:tcW w:w="3118" w:type="dxa"/>
          </w:tcPr>
          <w:p>
            <w:pPr>
              <w:pStyle w:val="nTable"/>
              <w:rPr>
                <w:i/>
                <w:sz w:val="19"/>
              </w:rPr>
            </w:pPr>
            <w:r>
              <w:rPr>
                <w:i/>
                <w:sz w:val="19"/>
              </w:rPr>
              <w:t>Hospitals (Services Charges for Compensable Patients) Amendment Determination 2009</w:t>
            </w:r>
          </w:p>
        </w:tc>
        <w:tc>
          <w:tcPr>
            <w:tcW w:w="1276" w:type="dxa"/>
          </w:tcPr>
          <w:p>
            <w:pPr>
              <w:pStyle w:val="nTable"/>
              <w:rPr>
                <w:sz w:val="19"/>
              </w:rPr>
            </w:pPr>
            <w:r>
              <w:rPr>
                <w:sz w:val="19"/>
              </w:rPr>
              <w:t>10 Feb 2009 p. 274-5</w:t>
            </w:r>
          </w:p>
        </w:tc>
        <w:tc>
          <w:tcPr>
            <w:tcW w:w="2693" w:type="dxa"/>
          </w:tcPr>
          <w:p>
            <w:pPr>
              <w:pStyle w:val="nTable"/>
              <w:rPr>
                <w:sz w:val="19"/>
              </w:rPr>
            </w:pPr>
            <w:r>
              <w:rPr>
                <w:sz w:val="19"/>
              </w:rPr>
              <w:t>cl. 1 and 2: 10 Feb 2009 (see cl. 2(a));</w:t>
            </w:r>
            <w:r>
              <w:rPr>
                <w:sz w:val="19"/>
              </w:rPr>
              <w:br/>
            </w:r>
            <w:r>
              <w:rPr>
                <w:snapToGrid w:val="0"/>
                <w:sz w:val="19"/>
              </w:rPr>
              <w:t>Determination other than cl. 1 and 2</w:t>
            </w:r>
            <w:r>
              <w:rPr>
                <w:sz w:val="19"/>
              </w:rPr>
              <w:t>: 11 Feb 2009 (see cl. 2(b))</w:t>
            </w:r>
          </w:p>
        </w:tc>
      </w:tr>
      <w:tr>
        <w:tc>
          <w:tcPr>
            <w:tcW w:w="3118" w:type="dxa"/>
          </w:tcPr>
          <w:p>
            <w:pPr>
              <w:pStyle w:val="nTable"/>
              <w:rPr>
                <w:i/>
                <w:sz w:val="19"/>
              </w:rPr>
            </w:pPr>
            <w:r>
              <w:rPr>
                <w:i/>
                <w:sz w:val="19"/>
              </w:rPr>
              <w:t>Hospitals (Services Charges for Compensable Patients) Amendment Determination (No. 2) 2009</w:t>
            </w:r>
          </w:p>
        </w:tc>
        <w:tc>
          <w:tcPr>
            <w:tcW w:w="1276" w:type="dxa"/>
          </w:tcPr>
          <w:p>
            <w:pPr>
              <w:pStyle w:val="nTable"/>
              <w:rPr>
                <w:sz w:val="19"/>
              </w:rPr>
            </w:pPr>
            <w:r>
              <w:rPr>
                <w:sz w:val="19"/>
              </w:rPr>
              <w:t>23 Jun 2009 p. 2464</w:t>
            </w:r>
            <w:r>
              <w:rPr>
                <w:sz w:val="19"/>
              </w:rPr>
              <w:noBreakHyphen/>
              <w:t>5</w:t>
            </w:r>
          </w:p>
        </w:tc>
        <w:tc>
          <w:tcPr>
            <w:tcW w:w="2693" w:type="dxa"/>
          </w:tcPr>
          <w:p>
            <w:pPr>
              <w:pStyle w:val="nTable"/>
              <w:rPr>
                <w:sz w:val="19"/>
              </w:rPr>
            </w:pPr>
            <w:r>
              <w:rPr>
                <w:snapToGrid w:val="0"/>
                <w:sz w:val="19"/>
              </w:rPr>
              <w:t>cl. 1 and 2: 23 Jun 2009 (see cl. 2(a));</w:t>
            </w:r>
            <w:r>
              <w:rPr>
                <w:snapToGrid w:val="0"/>
                <w:sz w:val="19"/>
              </w:rPr>
              <w:br/>
              <w:t>Determination other than cl. 1 and 2: 1 Jul 2009 (see cl. 2(b))</w:t>
            </w:r>
          </w:p>
        </w:tc>
      </w:tr>
      <w:tr>
        <w:tc>
          <w:tcPr>
            <w:tcW w:w="3118" w:type="dxa"/>
          </w:tcPr>
          <w:p>
            <w:pPr>
              <w:pStyle w:val="nTable"/>
              <w:rPr>
                <w:i/>
                <w:sz w:val="19"/>
              </w:rPr>
            </w:pPr>
            <w:r>
              <w:rPr>
                <w:i/>
                <w:sz w:val="19"/>
              </w:rPr>
              <w:t>Hospitals (Services Charges for Compensable Patients) Amendment Determination (No. 3) 2009</w:t>
            </w:r>
          </w:p>
        </w:tc>
        <w:tc>
          <w:tcPr>
            <w:tcW w:w="1276" w:type="dxa"/>
          </w:tcPr>
          <w:p>
            <w:pPr>
              <w:pStyle w:val="nTable"/>
              <w:rPr>
                <w:sz w:val="19"/>
              </w:rPr>
            </w:pPr>
            <w:r>
              <w:rPr>
                <w:sz w:val="19"/>
              </w:rPr>
              <w:t>19 Jan 2010 p. 149-50</w:t>
            </w:r>
          </w:p>
        </w:tc>
        <w:tc>
          <w:tcPr>
            <w:tcW w:w="2693" w:type="dxa"/>
          </w:tcPr>
          <w:p>
            <w:pPr>
              <w:pStyle w:val="nTable"/>
              <w:rPr>
                <w:snapToGrid w:val="0"/>
                <w:sz w:val="19"/>
              </w:rPr>
            </w:pPr>
            <w:r>
              <w:rPr>
                <w:snapToGrid w:val="0"/>
                <w:sz w:val="19"/>
              </w:rPr>
              <w:t>cl. 1 and 2: 19 Jan 2010 (see cl. 2(a));</w:t>
            </w:r>
            <w:r>
              <w:rPr>
                <w:snapToGrid w:val="0"/>
                <w:sz w:val="19"/>
              </w:rPr>
              <w:br/>
              <w:t>Determination other than cl. 1 and 2: 20 Jan 2010 (see cl. 2(b))</w:t>
            </w:r>
          </w:p>
        </w:tc>
      </w:tr>
      <w:tr>
        <w:tc>
          <w:tcPr>
            <w:tcW w:w="3118" w:type="dxa"/>
          </w:tcPr>
          <w:p>
            <w:pPr>
              <w:pStyle w:val="nTable"/>
              <w:rPr>
                <w:i/>
                <w:sz w:val="19"/>
              </w:rPr>
            </w:pPr>
            <w:r>
              <w:rPr>
                <w:i/>
                <w:sz w:val="19"/>
              </w:rPr>
              <w:t>Hospitals (Services Charges for Compensable Patients) Amendment Determination 2010</w:t>
            </w:r>
          </w:p>
        </w:tc>
        <w:tc>
          <w:tcPr>
            <w:tcW w:w="1276" w:type="dxa"/>
          </w:tcPr>
          <w:p>
            <w:pPr>
              <w:pStyle w:val="nTable"/>
              <w:rPr>
                <w:sz w:val="19"/>
              </w:rPr>
            </w:pPr>
            <w:r>
              <w:rPr>
                <w:sz w:val="19"/>
              </w:rPr>
              <w:t>30 Jun 2010 p. 3101</w:t>
            </w:r>
            <w:r>
              <w:rPr>
                <w:sz w:val="19"/>
              </w:rPr>
              <w:noBreakHyphen/>
              <w:t>2</w:t>
            </w:r>
          </w:p>
        </w:tc>
        <w:tc>
          <w:tcPr>
            <w:tcW w:w="2693" w:type="dxa"/>
          </w:tcPr>
          <w:p>
            <w:pPr>
              <w:pStyle w:val="nTable"/>
              <w:rPr>
                <w:snapToGrid w:val="0"/>
                <w:sz w:val="19"/>
              </w:rPr>
            </w:pPr>
            <w:r>
              <w:rPr>
                <w:snapToGrid w:val="0"/>
                <w:sz w:val="19"/>
              </w:rPr>
              <w:t>cl. 1 and 2: 30 Jun 2010 (see cl. 2(a));</w:t>
            </w:r>
            <w:r>
              <w:rPr>
                <w:snapToGrid w:val="0"/>
                <w:sz w:val="19"/>
              </w:rPr>
              <w:br/>
              <w:t>Determination other than cl. 1 and 2: 1 Jul 2010 (see cl. 2(b))</w:t>
            </w:r>
          </w:p>
        </w:tc>
      </w:tr>
      <w:tr>
        <w:tc>
          <w:tcPr>
            <w:tcW w:w="3118" w:type="dxa"/>
          </w:tcPr>
          <w:p>
            <w:pPr>
              <w:pStyle w:val="nTable"/>
              <w:rPr>
                <w:i/>
                <w:sz w:val="19"/>
              </w:rPr>
            </w:pPr>
            <w:r>
              <w:rPr>
                <w:i/>
                <w:sz w:val="19"/>
              </w:rPr>
              <w:t>Hospitals (Services Charges for Compensable Patients) Amendment Determination 2011</w:t>
            </w:r>
          </w:p>
        </w:tc>
        <w:tc>
          <w:tcPr>
            <w:tcW w:w="1276" w:type="dxa"/>
          </w:tcPr>
          <w:p>
            <w:pPr>
              <w:pStyle w:val="nTable"/>
              <w:rPr>
                <w:sz w:val="19"/>
              </w:rPr>
            </w:pPr>
            <w:r>
              <w:rPr>
                <w:sz w:val="19"/>
              </w:rPr>
              <w:t>11 Feb 2011 p. 481</w:t>
            </w:r>
          </w:p>
        </w:tc>
        <w:tc>
          <w:tcPr>
            <w:tcW w:w="2693" w:type="dxa"/>
          </w:tcPr>
          <w:p>
            <w:pPr>
              <w:pStyle w:val="nTable"/>
              <w:rPr>
                <w:snapToGrid w:val="0"/>
                <w:sz w:val="19"/>
              </w:rPr>
            </w:pPr>
            <w:r>
              <w:rPr>
                <w:snapToGrid w:val="0"/>
                <w:sz w:val="19"/>
              </w:rPr>
              <w:t>cl. 1 and 2: 11 Feb 2011 (see cl. 2(a));</w:t>
            </w:r>
            <w:r>
              <w:rPr>
                <w:snapToGrid w:val="0"/>
                <w:sz w:val="19"/>
              </w:rPr>
              <w:br/>
              <w:t>Determination other than cl. 1 and 2: 12 Feb 2011 (see cl. 2(b))</w:t>
            </w:r>
          </w:p>
        </w:tc>
      </w:tr>
      <w:tr>
        <w:tc>
          <w:tcPr>
            <w:tcW w:w="3118" w:type="dxa"/>
          </w:tcPr>
          <w:p>
            <w:pPr>
              <w:pStyle w:val="nTable"/>
              <w:rPr>
                <w:i/>
                <w:sz w:val="19"/>
              </w:rPr>
            </w:pPr>
            <w:r>
              <w:rPr>
                <w:i/>
                <w:sz w:val="19"/>
              </w:rPr>
              <w:t>Hospitals (Services Charges for Compensable Patients) Determination Amendment Notice (No. 2) 2011</w:t>
            </w:r>
            <w:r>
              <w:rPr>
                <w:sz w:val="19"/>
              </w:rPr>
              <w:t xml:space="preserve"> </w:t>
            </w:r>
          </w:p>
        </w:tc>
        <w:tc>
          <w:tcPr>
            <w:tcW w:w="1276" w:type="dxa"/>
          </w:tcPr>
          <w:p>
            <w:pPr>
              <w:pStyle w:val="nTable"/>
              <w:rPr>
                <w:sz w:val="19"/>
              </w:rPr>
            </w:pPr>
            <w:r>
              <w:rPr>
                <w:sz w:val="19"/>
              </w:rPr>
              <w:t>3 Jun 2011 p. 1978-9</w:t>
            </w:r>
          </w:p>
        </w:tc>
        <w:tc>
          <w:tcPr>
            <w:tcW w:w="2693" w:type="dxa"/>
          </w:tcPr>
          <w:p>
            <w:pPr>
              <w:pStyle w:val="nTable"/>
              <w:rPr>
                <w:snapToGrid w:val="0"/>
                <w:sz w:val="19"/>
              </w:rPr>
            </w:pPr>
            <w:r>
              <w:rPr>
                <w:sz w:val="19"/>
              </w:rPr>
              <w:t>cl. 1 and 2: 3 Jun 2011 (see cl. 2(a));</w:t>
            </w:r>
            <w:r>
              <w:rPr>
                <w:sz w:val="19"/>
              </w:rPr>
              <w:br/>
              <w:t>Notice other than cl. 1 and 2: 1 Jul 2011 (see cl. 2(b))</w:t>
            </w:r>
          </w:p>
        </w:tc>
      </w:tr>
      <w:tr>
        <w:tc>
          <w:tcPr>
            <w:tcW w:w="3118" w:type="dxa"/>
          </w:tcPr>
          <w:p>
            <w:pPr>
              <w:pStyle w:val="nTable"/>
              <w:rPr>
                <w:i/>
                <w:sz w:val="19"/>
              </w:rPr>
            </w:pPr>
            <w:r>
              <w:rPr>
                <w:i/>
                <w:sz w:val="19"/>
              </w:rPr>
              <w:t>Hospitals (Services Charges for Compensable Patients) Determination Amendment Notice (No. 4) 2011</w:t>
            </w:r>
          </w:p>
        </w:tc>
        <w:tc>
          <w:tcPr>
            <w:tcW w:w="1276" w:type="dxa"/>
          </w:tcPr>
          <w:p>
            <w:pPr>
              <w:pStyle w:val="nTable"/>
              <w:rPr>
                <w:sz w:val="19"/>
              </w:rPr>
            </w:pPr>
            <w:r>
              <w:rPr>
                <w:sz w:val="19"/>
              </w:rPr>
              <w:t>30 Dec 2011 p. 5576-7</w:t>
            </w:r>
          </w:p>
        </w:tc>
        <w:tc>
          <w:tcPr>
            <w:tcW w:w="2693" w:type="dxa"/>
          </w:tcPr>
          <w:p>
            <w:pPr>
              <w:pStyle w:val="nTable"/>
              <w:rPr>
                <w:sz w:val="19"/>
              </w:rPr>
            </w:pPr>
            <w:r>
              <w:rPr>
                <w:sz w:val="19"/>
              </w:rPr>
              <w:t>cl. 1 and 2: 30 Dec 2011 (see cl. 2(a));</w:t>
            </w:r>
            <w:r>
              <w:rPr>
                <w:sz w:val="19"/>
              </w:rPr>
              <w:br/>
              <w:t>Notice other than cl. 1 and 2: 1 Jan 2012 (see cl. 2(b))</w:t>
            </w:r>
          </w:p>
        </w:tc>
      </w:tr>
      <w:tr>
        <w:tc>
          <w:tcPr>
            <w:tcW w:w="3118" w:type="dxa"/>
          </w:tcPr>
          <w:p>
            <w:pPr>
              <w:pStyle w:val="nTable"/>
              <w:rPr>
                <w:i/>
                <w:sz w:val="19"/>
              </w:rPr>
            </w:pPr>
            <w:r>
              <w:rPr>
                <w:i/>
                <w:sz w:val="19"/>
              </w:rPr>
              <w:t>Hospitals (Services Charges for Compensable Patients) Determination Amendment Notice 2012</w:t>
            </w:r>
          </w:p>
        </w:tc>
        <w:tc>
          <w:tcPr>
            <w:tcW w:w="1276" w:type="dxa"/>
          </w:tcPr>
          <w:p>
            <w:pPr>
              <w:pStyle w:val="nTable"/>
              <w:rPr>
                <w:sz w:val="19"/>
              </w:rPr>
            </w:pPr>
            <w:r>
              <w:rPr>
                <w:sz w:val="19"/>
              </w:rPr>
              <w:t>24 Feb 2012 p. 810</w:t>
            </w:r>
          </w:p>
        </w:tc>
        <w:tc>
          <w:tcPr>
            <w:tcW w:w="2693" w:type="dxa"/>
          </w:tcPr>
          <w:p>
            <w:pPr>
              <w:pStyle w:val="nTable"/>
              <w:rPr>
                <w:sz w:val="19"/>
              </w:rPr>
            </w:pPr>
            <w:r>
              <w:rPr>
                <w:sz w:val="19"/>
              </w:rPr>
              <w:t>cl. 1 and 2: 24 Feb 2012 (see cl. 2(a));</w:t>
            </w:r>
            <w:r>
              <w:rPr>
                <w:sz w:val="19"/>
              </w:rPr>
              <w:br/>
              <w:t>Notice other than cl. 1 and 2: 25 Feb 2012 (see cl. 2(b))</w:t>
            </w:r>
          </w:p>
        </w:tc>
      </w:tr>
      <w:tr>
        <w:tc>
          <w:tcPr>
            <w:tcW w:w="3118" w:type="dxa"/>
          </w:tcPr>
          <w:p>
            <w:pPr>
              <w:pStyle w:val="nTable"/>
              <w:rPr>
                <w:i/>
                <w:sz w:val="19"/>
              </w:rPr>
            </w:pPr>
            <w:r>
              <w:rPr>
                <w:i/>
                <w:sz w:val="19"/>
              </w:rPr>
              <w:t>Hospitals (Services Charges for Compensable Patients) Amendment Determination 2012</w:t>
            </w:r>
          </w:p>
        </w:tc>
        <w:tc>
          <w:tcPr>
            <w:tcW w:w="1276" w:type="dxa"/>
          </w:tcPr>
          <w:p>
            <w:pPr>
              <w:pStyle w:val="nTable"/>
              <w:rPr>
                <w:sz w:val="19"/>
              </w:rPr>
            </w:pPr>
            <w:r>
              <w:rPr>
                <w:sz w:val="19"/>
              </w:rPr>
              <w:t>15 Jun 2012 p. 2518-19</w:t>
            </w:r>
          </w:p>
        </w:tc>
        <w:tc>
          <w:tcPr>
            <w:tcW w:w="2693" w:type="dxa"/>
          </w:tcPr>
          <w:p>
            <w:pPr>
              <w:pStyle w:val="nTable"/>
              <w:rPr>
                <w:sz w:val="19"/>
              </w:rPr>
            </w:pPr>
            <w:r>
              <w:rPr>
                <w:snapToGrid w:val="0"/>
                <w:sz w:val="19"/>
              </w:rPr>
              <w:t>cl. 1 and 2: 15 Jun 2012 (see cl. 2(a));</w:t>
            </w:r>
            <w:r>
              <w:rPr>
                <w:snapToGrid w:val="0"/>
                <w:sz w:val="19"/>
              </w:rPr>
              <w:br/>
              <w:t>Determination other than cl. 1 and 2: 1 Jul 2012 (see cl. 2(b))</w:t>
            </w:r>
          </w:p>
        </w:tc>
      </w:tr>
      <w:tr>
        <w:tc>
          <w:tcPr>
            <w:tcW w:w="3118" w:type="dxa"/>
          </w:tcPr>
          <w:p>
            <w:pPr>
              <w:pStyle w:val="nTable"/>
              <w:rPr>
                <w:i/>
                <w:sz w:val="19"/>
              </w:rPr>
            </w:pPr>
            <w:r>
              <w:rPr>
                <w:i/>
                <w:sz w:val="19"/>
              </w:rPr>
              <w:t>Hospitals (Services Charges for Compensable Patients) Amendment Determination (No. 2) 2012</w:t>
            </w:r>
          </w:p>
        </w:tc>
        <w:tc>
          <w:tcPr>
            <w:tcW w:w="1276" w:type="dxa"/>
          </w:tcPr>
          <w:p>
            <w:pPr>
              <w:pStyle w:val="nTable"/>
              <w:rPr>
                <w:sz w:val="19"/>
              </w:rPr>
            </w:pPr>
            <w:r>
              <w:rPr>
                <w:sz w:val="19"/>
              </w:rPr>
              <w:t>4 Jan 2013 p. 5</w:t>
            </w:r>
          </w:p>
        </w:tc>
        <w:tc>
          <w:tcPr>
            <w:tcW w:w="2693" w:type="dxa"/>
          </w:tcPr>
          <w:p>
            <w:pPr>
              <w:pStyle w:val="nTable"/>
              <w:rPr>
                <w:snapToGrid w:val="0"/>
                <w:sz w:val="19"/>
              </w:rPr>
            </w:pPr>
            <w:r>
              <w:rPr>
                <w:snapToGrid w:val="0"/>
                <w:sz w:val="19"/>
              </w:rPr>
              <w:t>cl. 1 and 2: 4 Jan 2013 (see cl. 2(a));</w:t>
            </w:r>
            <w:r>
              <w:rPr>
                <w:snapToGrid w:val="0"/>
                <w:sz w:val="19"/>
              </w:rPr>
              <w:br/>
              <w:t>Determination other than cl. 1 and 2: 5 Jan 2013 (see cl. 2(b))</w:t>
            </w:r>
          </w:p>
        </w:tc>
      </w:tr>
      <w:tr>
        <w:tc>
          <w:tcPr>
            <w:tcW w:w="3118" w:type="dxa"/>
          </w:tcPr>
          <w:p>
            <w:pPr>
              <w:pStyle w:val="nTable"/>
              <w:rPr>
                <w:i/>
                <w:sz w:val="19"/>
              </w:rPr>
            </w:pPr>
            <w:r>
              <w:rPr>
                <w:i/>
                <w:sz w:val="19"/>
              </w:rPr>
              <w:t>Hospitals (Services Charges for Compensable Patients) Amendment Determination 2013</w:t>
            </w:r>
          </w:p>
        </w:tc>
        <w:tc>
          <w:tcPr>
            <w:tcW w:w="1276" w:type="dxa"/>
          </w:tcPr>
          <w:p>
            <w:pPr>
              <w:pStyle w:val="nTable"/>
              <w:rPr>
                <w:sz w:val="19"/>
              </w:rPr>
            </w:pPr>
            <w:r>
              <w:rPr>
                <w:sz w:val="19"/>
              </w:rPr>
              <w:t>28 Jun 2013 p. 2754-5</w:t>
            </w:r>
          </w:p>
        </w:tc>
        <w:tc>
          <w:tcPr>
            <w:tcW w:w="2693" w:type="dxa"/>
          </w:tcPr>
          <w:p>
            <w:pPr>
              <w:pStyle w:val="nTable"/>
              <w:rPr>
                <w:snapToGrid w:val="0"/>
                <w:sz w:val="19"/>
              </w:rPr>
            </w:pPr>
            <w:r>
              <w:rPr>
                <w:snapToGrid w:val="0"/>
                <w:sz w:val="19"/>
              </w:rPr>
              <w:t>cl. 1 and 2: 28 Jun 2013 (see cl. 2(a));</w:t>
            </w:r>
            <w:r>
              <w:rPr>
                <w:snapToGrid w:val="0"/>
                <w:sz w:val="19"/>
              </w:rPr>
              <w:br/>
              <w:t>Determination other than cl. 1 and 2: 1 Jul 2013 (see cl. 2(b))</w:t>
            </w:r>
          </w:p>
        </w:tc>
      </w:tr>
      <w:tr>
        <w:tc>
          <w:tcPr>
            <w:tcW w:w="3118" w:type="dxa"/>
          </w:tcPr>
          <w:p>
            <w:pPr>
              <w:pStyle w:val="nTable"/>
              <w:rPr>
                <w:i/>
                <w:sz w:val="19"/>
              </w:rPr>
            </w:pPr>
            <w:r>
              <w:rPr>
                <w:i/>
                <w:sz w:val="19"/>
              </w:rPr>
              <w:t>Hospitals (Services Charges for Compensable Patients) Amendment Determination 2014</w:t>
            </w:r>
          </w:p>
        </w:tc>
        <w:tc>
          <w:tcPr>
            <w:tcW w:w="1276" w:type="dxa"/>
          </w:tcPr>
          <w:p>
            <w:pPr>
              <w:pStyle w:val="nTable"/>
              <w:rPr>
                <w:sz w:val="19"/>
              </w:rPr>
            </w:pPr>
            <w:r>
              <w:rPr>
                <w:sz w:val="19"/>
              </w:rPr>
              <w:t>28 Jan 2014 p. 180</w:t>
            </w:r>
            <w:r>
              <w:rPr>
                <w:sz w:val="19"/>
              </w:rPr>
              <w:noBreakHyphen/>
              <w:t>1</w:t>
            </w:r>
          </w:p>
        </w:tc>
        <w:tc>
          <w:tcPr>
            <w:tcW w:w="2693" w:type="dxa"/>
          </w:tcPr>
          <w:p>
            <w:pPr>
              <w:pStyle w:val="nTable"/>
              <w:rPr>
                <w:snapToGrid w:val="0"/>
                <w:sz w:val="19"/>
              </w:rPr>
            </w:pPr>
            <w:r>
              <w:rPr>
                <w:rFonts w:ascii="Times" w:hAnsi="Times"/>
                <w:bCs/>
                <w:snapToGrid w:val="0"/>
                <w:spacing w:val="-2"/>
                <w:sz w:val="19"/>
              </w:rPr>
              <w:t>cl. 1 and 2: 28 Jan 2014 (see cl. 2(a));</w:t>
            </w:r>
            <w:r>
              <w:rPr>
                <w:rFonts w:ascii="Times" w:hAnsi="Times"/>
                <w:bCs/>
                <w:snapToGrid w:val="0"/>
                <w:spacing w:val="-2"/>
                <w:sz w:val="19"/>
              </w:rPr>
              <w:br/>
              <w:t>Determination other than cl. 1 and 2: 29 Jan 2014 (see cl. 2(b))</w:t>
            </w:r>
          </w:p>
        </w:tc>
      </w:tr>
    </w:tbl>
    <w:p>
      <w:pPr>
        <w:pStyle w:val="nSubsection"/>
        <w:tabs>
          <w:tab w:val="clear" w:pos="454"/>
          <w:tab w:val="left" w:pos="567"/>
        </w:tabs>
        <w:spacing w:before="120"/>
        <w:ind w:left="567" w:hanging="567"/>
        <w:rPr>
          <w:del w:id="44" w:author="Master Repository Process" w:date="2021-08-28T17:55:00Z"/>
          <w:snapToGrid w:val="0"/>
        </w:rPr>
      </w:pPr>
      <w:del w:id="45" w:author="Master Repository Process" w:date="2021-08-28T17:5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6" w:author="Master Repository Process" w:date="2021-08-28T17:55:00Z"/>
        </w:rPr>
      </w:pPr>
      <w:bookmarkStart w:id="47" w:name="_Toc7405065"/>
      <w:bookmarkStart w:id="48" w:name="_Toc524529820"/>
      <w:del w:id="49" w:author="Master Repository Process" w:date="2021-08-28T17:55:00Z">
        <w:r>
          <w:delText>Provisions that have not come into operation</w:delText>
        </w:r>
        <w:bookmarkEnd w:id="47"/>
        <w:bookmarkEnd w:id="4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50" w:author="Master Repository Process" w:date="2021-08-28T17:55:00Z"/>
        </w:trPr>
        <w:tc>
          <w:tcPr>
            <w:tcW w:w="3118" w:type="dxa"/>
            <w:tcBorders>
              <w:top w:val="single" w:sz="8" w:space="0" w:color="auto"/>
              <w:bottom w:val="single" w:sz="8" w:space="0" w:color="auto"/>
            </w:tcBorders>
          </w:tcPr>
          <w:p>
            <w:pPr>
              <w:pStyle w:val="nTable"/>
              <w:spacing w:after="40"/>
              <w:rPr>
                <w:del w:id="51" w:author="Master Repository Process" w:date="2021-08-28T17:55:00Z"/>
                <w:b/>
                <w:sz w:val="19"/>
              </w:rPr>
            </w:pPr>
            <w:del w:id="52" w:author="Master Repository Process" w:date="2021-08-28T17:55:00Z">
              <w:r>
                <w:rPr>
                  <w:b/>
                  <w:sz w:val="19"/>
                </w:rPr>
                <w:delText>Citation</w:delText>
              </w:r>
            </w:del>
          </w:p>
        </w:tc>
        <w:tc>
          <w:tcPr>
            <w:tcW w:w="1276" w:type="dxa"/>
            <w:tcBorders>
              <w:top w:val="single" w:sz="8" w:space="0" w:color="auto"/>
              <w:bottom w:val="single" w:sz="8" w:space="0" w:color="auto"/>
            </w:tcBorders>
          </w:tcPr>
          <w:p>
            <w:pPr>
              <w:pStyle w:val="nTable"/>
              <w:spacing w:after="40"/>
              <w:rPr>
                <w:del w:id="53" w:author="Master Repository Process" w:date="2021-08-28T17:55:00Z"/>
                <w:b/>
                <w:sz w:val="19"/>
              </w:rPr>
            </w:pPr>
            <w:del w:id="54" w:author="Master Repository Process" w:date="2021-08-28T17:55:00Z">
              <w:r>
                <w:rPr>
                  <w:b/>
                  <w:sz w:val="19"/>
                </w:rPr>
                <w:delText>Gazettal</w:delText>
              </w:r>
            </w:del>
          </w:p>
        </w:tc>
        <w:tc>
          <w:tcPr>
            <w:tcW w:w="2693" w:type="dxa"/>
            <w:tcBorders>
              <w:top w:val="single" w:sz="8" w:space="0" w:color="auto"/>
              <w:bottom w:val="single" w:sz="8" w:space="0" w:color="auto"/>
            </w:tcBorders>
          </w:tcPr>
          <w:p>
            <w:pPr>
              <w:pStyle w:val="nTable"/>
              <w:spacing w:after="40"/>
              <w:rPr>
                <w:del w:id="55" w:author="Master Repository Process" w:date="2021-08-28T17:55:00Z"/>
                <w:b/>
                <w:sz w:val="19"/>
              </w:rPr>
            </w:pPr>
            <w:del w:id="56" w:author="Master Repository Process" w:date="2021-08-28T17:55:00Z">
              <w:r>
                <w:rPr>
                  <w:b/>
                  <w:sz w:val="19"/>
                </w:rPr>
                <w:delText>Commencement</w:delText>
              </w:r>
            </w:del>
          </w:p>
        </w:tc>
      </w:tr>
      <w:tr>
        <w:tc>
          <w:tcPr>
            <w:tcW w:w="3118" w:type="dxa"/>
            <w:tcBorders>
              <w:bottom w:val="single" w:sz="4" w:space="0" w:color="auto"/>
            </w:tcBorders>
          </w:tcPr>
          <w:p>
            <w:pPr>
              <w:pStyle w:val="nTable"/>
              <w:rPr>
                <w:sz w:val="19"/>
              </w:rPr>
            </w:pPr>
            <w:r>
              <w:rPr>
                <w:i/>
                <w:sz w:val="19"/>
                <w:szCs w:val="19"/>
              </w:rPr>
              <w:t>Hospitals (Services Charges for Compensable Patients) Amendment Determination (No. 2) 2014</w:t>
            </w:r>
            <w:del w:id="57" w:author="Master Repository Process" w:date="2021-08-28T17:55:00Z">
              <w:r>
                <w:rPr>
                  <w:i/>
                  <w:sz w:val="19"/>
                  <w:szCs w:val="19"/>
                </w:rPr>
                <w:delText xml:space="preserve"> </w:delText>
              </w:r>
              <w:r>
                <w:rPr>
                  <w:sz w:val="19"/>
                  <w:szCs w:val="19"/>
                </w:rPr>
                <w:delText>cl. 3 and 4</w:delText>
              </w:r>
              <w:r>
                <w:rPr>
                  <w:i/>
                  <w:sz w:val="19"/>
                  <w:szCs w:val="19"/>
                </w:rPr>
                <w:delText xml:space="preserve"> </w:delText>
              </w:r>
              <w:r>
                <w:rPr>
                  <w:sz w:val="19"/>
                  <w:szCs w:val="19"/>
                  <w:vertAlign w:val="superscript"/>
                </w:rPr>
                <w:delText>2</w:delText>
              </w:r>
            </w:del>
          </w:p>
        </w:tc>
        <w:tc>
          <w:tcPr>
            <w:tcW w:w="1276" w:type="dxa"/>
            <w:tcBorders>
              <w:bottom w:val="single" w:sz="4" w:space="0" w:color="auto"/>
            </w:tcBorders>
          </w:tcPr>
          <w:p>
            <w:pPr>
              <w:pStyle w:val="nTable"/>
              <w:rPr>
                <w:sz w:val="19"/>
              </w:rPr>
            </w:pPr>
            <w:r>
              <w:rPr>
                <w:sz w:val="19"/>
                <w:szCs w:val="19"/>
              </w:rPr>
              <w:t>13 Jun 2014 p. 1896</w:t>
            </w:r>
          </w:p>
        </w:tc>
        <w:tc>
          <w:tcPr>
            <w:tcW w:w="2693" w:type="dxa"/>
            <w:tcBorders>
              <w:bottom w:val="single" w:sz="4" w:space="0" w:color="auto"/>
            </w:tcBorders>
          </w:tcPr>
          <w:p>
            <w:pPr>
              <w:pStyle w:val="nTable"/>
              <w:rPr>
                <w:rFonts w:ascii="Times" w:hAnsi="Times"/>
                <w:bCs/>
                <w:snapToGrid w:val="0"/>
                <w:spacing w:val="-2"/>
                <w:sz w:val="19"/>
              </w:rPr>
            </w:pPr>
            <w:ins w:id="58" w:author="Master Repository Process" w:date="2021-08-28T17:55:00Z">
              <w:r>
                <w:rPr>
                  <w:rFonts w:ascii="Times" w:hAnsi="Times"/>
                  <w:bCs/>
                  <w:snapToGrid w:val="0"/>
                  <w:spacing w:val="-2"/>
                  <w:sz w:val="19"/>
                  <w:szCs w:val="19"/>
                </w:rPr>
                <w:t>cl. 1 and 2: 13 Jun 2014 (see cl. 2(a));</w:t>
              </w:r>
              <w:r>
                <w:rPr>
                  <w:rFonts w:ascii="Times" w:hAnsi="Times"/>
                  <w:bCs/>
                  <w:snapToGrid w:val="0"/>
                  <w:spacing w:val="-2"/>
                  <w:sz w:val="19"/>
                  <w:szCs w:val="19"/>
                </w:rPr>
                <w:br/>
                <w:t xml:space="preserve">Determination other than cl. 1 and 2: </w:t>
              </w:r>
            </w:ins>
            <w:r>
              <w:rPr>
                <w:sz w:val="19"/>
                <w:szCs w:val="19"/>
              </w:rPr>
              <w:t>1 Jul 2014 (see cl. 2(b))</w:t>
            </w:r>
          </w:p>
        </w:tc>
      </w:tr>
    </w:tbl>
    <w:p>
      <w:pPr>
        <w:pStyle w:val="nSubsection"/>
        <w:rPr>
          <w:del w:id="59" w:author="Master Repository Process" w:date="2021-08-28T17:55:00Z"/>
          <w:snapToGrid w:val="0"/>
        </w:rPr>
      </w:pPr>
      <w:del w:id="60" w:author="Master Repository Process" w:date="2021-08-28T17:5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Hospitals (Services Charges for Compensable Patients) Amendment Determination (No. 2) 2014 </w:delText>
        </w:r>
        <w:r>
          <w:rPr>
            <w:sz w:val="19"/>
          </w:rPr>
          <w:delText>cl</w:delText>
        </w:r>
        <w:r>
          <w:rPr>
            <w:snapToGrid w:val="0"/>
          </w:rPr>
          <w:delText>. 3 and 4 had not come into operation.  They read as follows:</w:delText>
        </w:r>
      </w:del>
    </w:p>
    <w:p>
      <w:pPr>
        <w:pStyle w:val="BlankOpen"/>
        <w:rPr>
          <w:del w:id="61" w:author="Master Repository Process" w:date="2021-08-28T17:55:00Z"/>
        </w:rPr>
      </w:pPr>
    </w:p>
    <w:p>
      <w:pPr>
        <w:pStyle w:val="nzHeading5"/>
        <w:rPr>
          <w:del w:id="62" w:author="Master Repository Process" w:date="2021-08-28T17:55:00Z"/>
          <w:snapToGrid w:val="0"/>
        </w:rPr>
      </w:pPr>
      <w:del w:id="63" w:author="Master Repository Process" w:date="2021-08-28T17:55:00Z">
        <w:r>
          <w:rPr>
            <w:rStyle w:val="CharSectno"/>
          </w:rPr>
          <w:delText>3</w:delText>
        </w:r>
        <w:r>
          <w:rPr>
            <w:snapToGrid w:val="0"/>
          </w:rPr>
          <w:delText>.</w:delText>
        </w:r>
        <w:r>
          <w:rPr>
            <w:snapToGrid w:val="0"/>
          </w:rPr>
          <w:tab/>
          <w:delText>Determination amended</w:delText>
        </w:r>
      </w:del>
    </w:p>
    <w:p>
      <w:pPr>
        <w:pStyle w:val="nzSubsection"/>
        <w:rPr>
          <w:del w:id="64" w:author="Master Repository Process" w:date="2021-08-28T17:55:00Z"/>
        </w:rPr>
      </w:pPr>
      <w:del w:id="65" w:author="Master Repository Process" w:date="2021-08-28T17:55:00Z">
        <w:r>
          <w:tab/>
        </w:r>
        <w:r>
          <w:tab/>
        </w:r>
        <w:r>
          <w:rPr>
            <w:spacing w:val="-2"/>
          </w:rPr>
          <w:delText>This</w:delText>
        </w:r>
        <w:r>
          <w:delText xml:space="preserve"> determination amends the </w:delText>
        </w:r>
        <w:r>
          <w:rPr>
            <w:i/>
          </w:rPr>
          <w:delText>Hospitals (Services Charges for Compensable Patients) Determination 2005</w:delText>
        </w:r>
        <w:r>
          <w:delText>.</w:delText>
        </w:r>
      </w:del>
    </w:p>
    <w:p>
      <w:pPr>
        <w:pStyle w:val="nzHeading5"/>
        <w:rPr>
          <w:del w:id="66" w:author="Master Repository Process" w:date="2021-08-28T17:55:00Z"/>
        </w:rPr>
      </w:pPr>
      <w:del w:id="67" w:author="Master Repository Process" w:date="2021-08-28T17:55:00Z">
        <w:r>
          <w:rPr>
            <w:rStyle w:val="CharSectno"/>
          </w:rPr>
          <w:delText>4</w:delText>
        </w:r>
        <w:r>
          <w:delText>.</w:delText>
        </w:r>
        <w:r>
          <w:tab/>
          <w:delText>Schedule 1 amended</w:delText>
        </w:r>
      </w:del>
    </w:p>
    <w:p>
      <w:pPr>
        <w:pStyle w:val="nzSubsection"/>
        <w:rPr>
          <w:del w:id="68" w:author="Master Repository Process" w:date="2021-08-28T17:55:00Z"/>
        </w:rPr>
      </w:pPr>
      <w:del w:id="69" w:author="Master Repository Process" w:date="2021-08-28T17:55:00Z">
        <w:r>
          <w:tab/>
        </w:r>
        <w:r>
          <w:tab/>
          <w:delText>In Schedule 1 amend the provisions listed in the Table as set out in the Table.</w:delText>
        </w:r>
      </w:del>
    </w:p>
    <w:p>
      <w:pPr>
        <w:pStyle w:val="THeadingNAm"/>
        <w:rPr>
          <w:del w:id="70" w:author="Master Repository Process" w:date="2021-08-28T17:55:00Z"/>
        </w:rPr>
      </w:pPr>
      <w:del w:id="71" w:author="Master Repository Process" w:date="2021-08-28T17:55:00Z">
        <w:r>
          <w:delText>Table</w:delText>
        </w:r>
      </w:del>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9"/>
        <w:gridCol w:w="2079"/>
        <w:gridCol w:w="2079"/>
      </w:tblGrid>
      <w:tr>
        <w:trPr>
          <w:tblHeader/>
          <w:del w:id="72" w:author="Master Repository Process" w:date="2021-08-28T17:55:00Z"/>
        </w:trPr>
        <w:tc>
          <w:tcPr>
            <w:tcW w:w="2079" w:type="dxa"/>
          </w:tcPr>
          <w:p>
            <w:pPr>
              <w:pStyle w:val="TableAm"/>
              <w:jc w:val="center"/>
              <w:rPr>
                <w:del w:id="73" w:author="Master Repository Process" w:date="2021-08-28T17:55:00Z"/>
                <w:b/>
              </w:rPr>
            </w:pPr>
            <w:del w:id="74" w:author="Master Repository Process" w:date="2021-08-28T17:55:00Z">
              <w:r>
                <w:rPr>
                  <w:b/>
                </w:rPr>
                <w:delText>Provision</w:delText>
              </w:r>
            </w:del>
          </w:p>
        </w:tc>
        <w:tc>
          <w:tcPr>
            <w:tcW w:w="2079" w:type="dxa"/>
          </w:tcPr>
          <w:p>
            <w:pPr>
              <w:pStyle w:val="TableAm"/>
              <w:jc w:val="center"/>
              <w:rPr>
                <w:del w:id="75" w:author="Master Repository Process" w:date="2021-08-28T17:55:00Z"/>
                <w:b/>
              </w:rPr>
            </w:pPr>
            <w:del w:id="76" w:author="Master Repository Process" w:date="2021-08-28T17:55:00Z">
              <w:r>
                <w:rPr>
                  <w:b/>
                </w:rPr>
                <w:delText>Delete</w:delText>
              </w:r>
            </w:del>
          </w:p>
        </w:tc>
        <w:tc>
          <w:tcPr>
            <w:tcW w:w="2079" w:type="dxa"/>
          </w:tcPr>
          <w:p>
            <w:pPr>
              <w:pStyle w:val="TableAm"/>
              <w:jc w:val="center"/>
              <w:rPr>
                <w:del w:id="77" w:author="Master Repository Process" w:date="2021-08-28T17:55:00Z"/>
                <w:b/>
              </w:rPr>
            </w:pPr>
            <w:del w:id="78" w:author="Master Repository Process" w:date="2021-08-28T17:55:00Z">
              <w:r>
                <w:rPr>
                  <w:b/>
                </w:rPr>
                <w:delText>Insert</w:delText>
              </w:r>
            </w:del>
          </w:p>
        </w:tc>
      </w:tr>
      <w:tr>
        <w:trPr>
          <w:del w:id="79" w:author="Master Repository Process" w:date="2021-08-28T17:55:00Z"/>
        </w:trPr>
        <w:tc>
          <w:tcPr>
            <w:tcW w:w="2079" w:type="dxa"/>
          </w:tcPr>
          <w:p>
            <w:pPr>
              <w:pStyle w:val="TableAm"/>
              <w:rPr>
                <w:del w:id="80" w:author="Master Repository Process" w:date="2021-08-28T17:55:00Z"/>
              </w:rPr>
            </w:pPr>
            <w:del w:id="81" w:author="Master Repository Process" w:date="2021-08-28T17:55:00Z">
              <w:r>
                <w:delText>Sch. 1 it. 1</w:delText>
              </w:r>
            </w:del>
          </w:p>
        </w:tc>
        <w:tc>
          <w:tcPr>
            <w:tcW w:w="2079" w:type="dxa"/>
          </w:tcPr>
          <w:p>
            <w:pPr>
              <w:pStyle w:val="TableAm"/>
              <w:rPr>
                <w:del w:id="82" w:author="Master Repository Process" w:date="2021-08-28T17:55:00Z"/>
                <w:sz w:val="22"/>
                <w:szCs w:val="22"/>
              </w:rPr>
            </w:pPr>
            <w:del w:id="83" w:author="Master Repository Process" w:date="2021-08-28T17:55:00Z">
              <w:r>
                <w:rPr>
                  <w:sz w:val="22"/>
                  <w:szCs w:val="22"/>
                </w:rPr>
                <w:delText>$1 984</w:delText>
              </w:r>
            </w:del>
          </w:p>
        </w:tc>
        <w:tc>
          <w:tcPr>
            <w:tcW w:w="2079" w:type="dxa"/>
          </w:tcPr>
          <w:p>
            <w:pPr>
              <w:pStyle w:val="TableAm"/>
              <w:rPr>
                <w:del w:id="84" w:author="Master Repository Process" w:date="2021-08-28T17:55:00Z"/>
                <w:sz w:val="22"/>
                <w:szCs w:val="22"/>
              </w:rPr>
            </w:pPr>
            <w:del w:id="85" w:author="Master Repository Process" w:date="2021-08-28T17:55:00Z">
              <w:r>
                <w:rPr>
                  <w:sz w:val="22"/>
                  <w:szCs w:val="22"/>
                </w:rPr>
                <w:delText>$2 005</w:delText>
              </w:r>
            </w:del>
          </w:p>
        </w:tc>
      </w:tr>
      <w:tr>
        <w:trPr>
          <w:del w:id="86" w:author="Master Repository Process" w:date="2021-08-28T17:55:00Z"/>
        </w:trPr>
        <w:tc>
          <w:tcPr>
            <w:tcW w:w="2079" w:type="dxa"/>
          </w:tcPr>
          <w:p>
            <w:pPr>
              <w:pStyle w:val="TableAm"/>
              <w:rPr>
                <w:del w:id="87" w:author="Master Repository Process" w:date="2021-08-28T17:55:00Z"/>
              </w:rPr>
            </w:pPr>
            <w:del w:id="88" w:author="Master Repository Process" w:date="2021-08-28T17:55:00Z">
              <w:r>
                <w:delText>Sch. 1 it. 2A</w:delText>
              </w:r>
            </w:del>
          </w:p>
        </w:tc>
        <w:tc>
          <w:tcPr>
            <w:tcW w:w="2079" w:type="dxa"/>
          </w:tcPr>
          <w:p>
            <w:pPr>
              <w:pStyle w:val="TableAm"/>
              <w:rPr>
                <w:del w:id="89" w:author="Master Repository Process" w:date="2021-08-28T17:55:00Z"/>
                <w:sz w:val="22"/>
                <w:szCs w:val="22"/>
              </w:rPr>
            </w:pPr>
            <w:del w:id="90" w:author="Master Repository Process" w:date="2021-08-28T17:55:00Z">
              <w:r>
                <w:rPr>
                  <w:sz w:val="22"/>
                  <w:szCs w:val="22"/>
                </w:rPr>
                <w:delText>$2 127</w:delText>
              </w:r>
            </w:del>
          </w:p>
        </w:tc>
        <w:tc>
          <w:tcPr>
            <w:tcW w:w="2079" w:type="dxa"/>
          </w:tcPr>
          <w:p>
            <w:pPr>
              <w:pStyle w:val="TableAm"/>
              <w:rPr>
                <w:del w:id="91" w:author="Master Repository Process" w:date="2021-08-28T17:55:00Z"/>
                <w:sz w:val="22"/>
                <w:szCs w:val="22"/>
              </w:rPr>
            </w:pPr>
            <w:del w:id="92" w:author="Master Repository Process" w:date="2021-08-28T17:55:00Z">
              <w:r>
                <w:rPr>
                  <w:sz w:val="22"/>
                  <w:szCs w:val="22"/>
                </w:rPr>
                <w:delText>$2 149</w:delText>
              </w:r>
            </w:del>
          </w:p>
        </w:tc>
      </w:tr>
      <w:tr>
        <w:trPr>
          <w:del w:id="93" w:author="Master Repository Process" w:date="2021-08-28T17:55:00Z"/>
        </w:trPr>
        <w:tc>
          <w:tcPr>
            <w:tcW w:w="2079" w:type="dxa"/>
          </w:tcPr>
          <w:p>
            <w:pPr>
              <w:pStyle w:val="TableAm"/>
              <w:rPr>
                <w:del w:id="94" w:author="Master Repository Process" w:date="2021-08-28T17:55:00Z"/>
              </w:rPr>
            </w:pPr>
            <w:del w:id="95" w:author="Master Repository Process" w:date="2021-08-28T17:55:00Z">
              <w:r>
                <w:delText>Sch. 1 it. 3</w:delText>
              </w:r>
            </w:del>
          </w:p>
        </w:tc>
        <w:tc>
          <w:tcPr>
            <w:tcW w:w="2079" w:type="dxa"/>
          </w:tcPr>
          <w:p>
            <w:pPr>
              <w:pStyle w:val="TableAm"/>
              <w:rPr>
                <w:del w:id="96" w:author="Master Repository Process" w:date="2021-08-28T17:55:00Z"/>
                <w:sz w:val="22"/>
                <w:szCs w:val="22"/>
              </w:rPr>
            </w:pPr>
            <w:del w:id="97" w:author="Master Repository Process" w:date="2021-08-28T17:55:00Z">
              <w:r>
                <w:rPr>
                  <w:sz w:val="22"/>
                  <w:szCs w:val="22"/>
                </w:rPr>
                <w:delText>$267</w:delText>
              </w:r>
            </w:del>
          </w:p>
        </w:tc>
        <w:tc>
          <w:tcPr>
            <w:tcW w:w="2079" w:type="dxa"/>
          </w:tcPr>
          <w:p>
            <w:pPr>
              <w:pStyle w:val="TableAm"/>
              <w:rPr>
                <w:del w:id="98" w:author="Master Repository Process" w:date="2021-08-28T17:55:00Z"/>
                <w:sz w:val="22"/>
                <w:szCs w:val="22"/>
              </w:rPr>
            </w:pPr>
            <w:del w:id="99" w:author="Master Repository Process" w:date="2021-08-28T17:55:00Z">
              <w:r>
                <w:rPr>
                  <w:sz w:val="22"/>
                  <w:szCs w:val="22"/>
                </w:rPr>
                <w:delText>$275</w:delText>
              </w:r>
            </w:del>
          </w:p>
        </w:tc>
      </w:tr>
      <w:tr>
        <w:trPr>
          <w:del w:id="100" w:author="Master Repository Process" w:date="2021-08-28T17:55:00Z"/>
        </w:trPr>
        <w:tc>
          <w:tcPr>
            <w:tcW w:w="2079" w:type="dxa"/>
          </w:tcPr>
          <w:p>
            <w:pPr>
              <w:pStyle w:val="TableAm"/>
              <w:rPr>
                <w:del w:id="101" w:author="Master Repository Process" w:date="2021-08-28T17:55:00Z"/>
              </w:rPr>
            </w:pPr>
            <w:del w:id="102" w:author="Master Repository Process" w:date="2021-08-28T17:55:00Z">
              <w:r>
                <w:delText>Sch. 1 it. 4</w:delText>
              </w:r>
            </w:del>
          </w:p>
        </w:tc>
        <w:tc>
          <w:tcPr>
            <w:tcW w:w="2079" w:type="dxa"/>
          </w:tcPr>
          <w:p>
            <w:pPr>
              <w:pStyle w:val="TableAm"/>
              <w:rPr>
                <w:del w:id="103" w:author="Master Repository Process" w:date="2021-08-28T17:55:00Z"/>
                <w:sz w:val="22"/>
                <w:szCs w:val="22"/>
              </w:rPr>
            </w:pPr>
            <w:del w:id="104" w:author="Master Repository Process" w:date="2021-08-28T17:55:00Z">
              <w:r>
                <w:rPr>
                  <w:sz w:val="22"/>
                  <w:szCs w:val="22"/>
                </w:rPr>
                <w:delText>$4 845</w:delText>
              </w:r>
            </w:del>
          </w:p>
        </w:tc>
        <w:tc>
          <w:tcPr>
            <w:tcW w:w="2079" w:type="dxa"/>
          </w:tcPr>
          <w:p>
            <w:pPr>
              <w:pStyle w:val="TableAm"/>
              <w:rPr>
                <w:del w:id="105" w:author="Master Repository Process" w:date="2021-08-28T17:55:00Z"/>
                <w:sz w:val="22"/>
                <w:szCs w:val="22"/>
              </w:rPr>
            </w:pPr>
            <w:del w:id="106" w:author="Master Repository Process" w:date="2021-08-28T17:55:00Z">
              <w:r>
                <w:rPr>
                  <w:sz w:val="22"/>
                  <w:szCs w:val="22"/>
                </w:rPr>
                <w:delText>$5 140</w:delText>
              </w:r>
            </w:del>
          </w:p>
        </w:tc>
      </w:tr>
      <w:tr>
        <w:trPr>
          <w:del w:id="107" w:author="Master Repository Process" w:date="2021-08-28T17:55:00Z"/>
        </w:trPr>
        <w:tc>
          <w:tcPr>
            <w:tcW w:w="2079" w:type="dxa"/>
          </w:tcPr>
          <w:p>
            <w:pPr>
              <w:pStyle w:val="TableAm"/>
              <w:rPr>
                <w:del w:id="108" w:author="Master Repository Process" w:date="2021-08-28T17:55:00Z"/>
              </w:rPr>
            </w:pPr>
            <w:del w:id="109" w:author="Master Repository Process" w:date="2021-08-28T17:55:00Z">
              <w:r>
                <w:delText>Sch. 1 it. 6</w:delText>
              </w:r>
            </w:del>
          </w:p>
        </w:tc>
        <w:tc>
          <w:tcPr>
            <w:tcW w:w="2079" w:type="dxa"/>
          </w:tcPr>
          <w:p>
            <w:pPr>
              <w:pStyle w:val="TableAm"/>
              <w:rPr>
                <w:del w:id="110" w:author="Master Repository Process" w:date="2021-08-28T17:55:00Z"/>
                <w:sz w:val="22"/>
                <w:szCs w:val="22"/>
              </w:rPr>
            </w:pPr>
            <w:del w:id="111" w:author="Master Repository Process" w:date="2021-08-28T17:55:00Z">
              <w:r>
                <w:rPr>
                  <w:sz w:val="22"/>
                  <w:szCs w:val="22"/>
                </w:rPr>
                <w:delText>$203</w:delText>
              </w:r>
            </w:del>
          </w:p>
        </w:tc>
        <w:tc>
          <w:tcPr>
            <w:tcW w:w="2079" w:type="dxa"/>
          </w:tcPr>
          <w:p>
            <w:pPr>
              <w:pStyle w:val="TableAm"/>
              <w:rPr>
                <w:del w:id="112" w:author="Master Repository Process" w:date="2021-08-28T17:55:00Z"/>
                <w:sz w:val="22"/>
                <w:szCs w:val="22"/>
              </w:rPr>
            </w:pPr>
            <w:del w:id="113" w:author="Master Repository Process" w:date="2021-08-28T17:55:00Z">
              <w:r>
                <w:rPr>
                  <w:sz w:val="22"/>
                  <w:szCs w:val="22"/>
                </w:rPr>
                <w:delText>$223</w:delText>
              </w:r>
            </w:del>
          </w:p>
        </w:tc>
      </w:tr>
      <w:tr>
        <w:trPr>
          <w:del w:id="114" w:author="Master Repository Process" w:date="2021-08-28T17:55:00Z"/>
        </w:trPr>
        <w:tc>
          <w:tcPr>
            <w:tcW w:w="2079" w:type="dxa"/>
          </w:tcPr>
          <w:p>
            <w:pPr>
              <w:pStyle w:val="TableAm"/>
              <w:rPr>
                <w:del w:id="115" w:author="Master Repository Process" w:date="2021-08-28T17:55:00Z"/>
              </w:rPr>
            </w:pPr>
            <w:del w:id="116" w:author="Master Repository Process" w:date="2021-08-28T17:55:00Z">
              <w:r>
                <w:delText>Sch. 1 it. 8</w:delText>
              </w:r>
            </w:del>
          </w:p>
        </w:tc>
        <w:tc>
          <w:tcPr>
            <w:tcW w:w="2079" w:type="dxa"/>
          </w:tcPr>
          <w:p>
            <w:pPr>
              <w:pStyle w:val="TableAm"/>
              <w:rPr>
                <w:del w:id="117" w:author="Master Repository Process" w:date="2021-08-28T17:55:00Z"/>
                <w:sz w:val="22"/>
                <w:szCs w:val="22"/>
              </w:rPr>
            </w:pPr>
            <w:del w:id="118" w:author="Master Repository Process" w:date="2021-08-28T17:55:00Z">
              <w:r>
                <w:rPr>
                  <w:sz w:val="22"/>
                  <w:szCs w:val="22"/>
                </w:rPr>
                <w:delText>$203</w:delText>
              </w:r>
            </w:del>
          </w:p>
        </w:tc>
        <w:tc>
          <w:tcPr>
            <w:tcW w:w="2079" w:type="dxa"/>
          </w:tcPr>
          <w:p>
            <w:pPr>
              <w:pStyle w:val="TableAm"/>
              <w:rPr>
                <w:del w:id="119" w:author="Master Repository Process" w:date="2021-08-28T17:55:00Z"/>
                <w:sz w:val="22"/>
                <w:szCs w:val="22"/>
              </w:rPr>
            </w:pPr>
            <w:del w:id="120" w:author="Master Repository Process" w:date="2021-08-28T17:55:00Z">
              <w:r>
                <w:rPr>
                  <w:sz w:val="22"/>
                  <w:szCs w:val="22"/>
                </w:rPr>
                <w:delText>$223</w:delText>
              </w:r>
            </w:del>
          </w:p>
        </w:tc>
      </w:tr>
      <w:tr>
        <w:trPr>
          <w:del w:id="121" w:author="Master Repository Process" w:date="2021-08-28T17:55:00Z"/>
        </w:trPr>
        <w:tc>
          <w:tcPr>
            <w:tcW w:w="2079" w:type="dxa"/>
          </w:tcPr>
          <w:p>
            <w:pPr>
              <w:pStyle w:val="TableAm"/>
              <w:rPr>
                <w:del w:id="122" w:author="Master Repository Process" w:date="2021-08-28T17:55:00Z"/>
              </w:rPr>
            </w:pPr>
            <w:del w:id="123" w:author="Master Repository Process" w:date="2021-08-28T17:55:00Z">
              <w:r>
                <w:delText>Sch. 1 it. 9(aa)</w:delText>
              </w:r>
            </w:del>
          </w:p>
        </w:tc>
        <w:tc>
          <w:tcPr>
            <w:tcW w:w="2079" w:type="dxa"/>
          </w:tcPr>
          <w:p>
            <w:pPr>
              <w:pStyle w:val="TableAm"/>
              <w:rPr>
                <w:del w:id="124" w:author="Master Repository Process" w:date="2021-08-28T17:55:00Z"/>
                <w:sz w:val="22"/>
                <w:szCs w:val="22"/>
              </w:rPr>
            </w:pPr>
            <w:del w:id="125" w:author="Master Repository Process" w:date="2021-08-28T17:55:00Z">
              <w:r>
                <w:rPr>
                  <w:sz w:val="22"/>
                  <w:szCs w:val="22"/>
                </w:rPr>
                <w:delText>$2 050</w:delText>
              </w:r>
            </w:del>
          </w:p>
        </w:tc>
        <w:tc>
          <w:tcPr>
            <w:tcW w:w="2079" w:type="dxa"/>
          </w:tcPr>
          <w:p>
            <w:pPr>
              <w:pStyle w:val="TableAm"/>
              <w:rPr>
                <w:del w:id="126" w:author="Master Repository Process" w:date="2021-08-28T17:55:00Z"/>
                <w:sz w:val="22"/>
                <w:szCs w:val="22"/>
              </w:rPr>
            </w:pPr>
            <w:del w:id="127" w:author="Master Repository Process" w:date="2021-08-28T17:55:00Z">
              <w:r>
                <w:rPr>
                  <w:sz w:val="22"/>
                  <w:szCs w:val="22"/>
                </w:rPr>
                <w:delText>$2 255</w:delText>
              </w:r>
            </w:del>
          </w:p>
        </w:tc>
      </w:tr>
      <w:tr>
        <w:trPr>
          <w:del w:id="128" w:author="Master Repository Process" w:date="2021-08-28T17:55:00Z"/>
        </w:trPr>
        <w:tc>
          <w:tcPr>
            <w:tcW w:w="2079" w:type="dxa"/>
          </w:tcPr>
          <w:p>
            <w:pPr>
              <w:pStyle w:val="TableAm"/>
              <w:rPr>
                <w:del w:id="129" w:author="Master Repository Process" w:date="2021-08-28T17:55:00Z"/>
              </w:rPr>
            </w:pPr>
            <w:del w:id="130" w:author="Master Repository Process" w:date="2021-08-28T17:55:00Z">
              <w:r>
                <w:delText>Sch. 1 it. 9(b)</w:delText>
              </w:r>
            </w:del>
          </w:p>
        </w:tc>
        <w:tc>
          <w:tcPr>
            <w:tcW w:w="2079" w:type="dxa"/>
          </w:tcPr>
          <w:p>
            <w:pPr>
              <w:pStyle w:val="TableAm"/>
              <w:rPr>
                <w:del w:id="131" w:author="Master Repository Process" w:date="2021-08-28T17:55:00Z"/>
                <w:sz w:val="22"/>
                <w:szCs w:val="22"/>
              </w:rPr>
            </w:pPr>
            <w:del w:id="132" w:author="Master Repository Process" w:date="2021-08-28T17:55:00Z">
              <w:r>
                <w:rPr>
                  <w:sz w:val="22"/>
                  <w:szCs w:val="22"/>
                </w:rPr>
                <w:delText>$1 912</w:delText>
              </w:r>
            </w:del>
          </w:p>
        </w:tc>
        <w:tc>
          <w:tcPr>
            <w:tcW w:w="2079" w:type="dxa"/>
          </w:tcPr>
          <w:p>
            <w:pPr>
              <w:pStyle w:val="TableAm"/>
              <w:rPr>
                <w:del w:id="133" w:author="Master Repository Process" w:date="2021-08-28T17:55:00Z"/>
                <w:sz w:val="22"/>
                <w:szCs w:val="22"/>
              </w:rPr>
            </w:pPr>
            <w:del w:id="134" w:author="Master Repository Process" w:date="2021-08-28T17:55:00Z">
              <w:r>
                <w:rPr>
                  <w:sz w:val="22"/>
                  <w:szCs w:val="22"/>
                </w:rPr>
                <w:delText>$2 103</w:delText>
              </w:r>
            </w:del>
          </w:p>
        </w:tc>
      </w:tr>
    </w:tbl>
    <w:p>
      <w:pPr>
        <w:pStyle w:val="BlankClose"/>
        <w:rPr>
          <w:del w:id="135" w:author="Master Repository Process" w:date="2021-08-28T17:55:00Z"/>
        </w:rPr>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00-x0-00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00-x0-00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00-x0-00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for Compensable Patients) Determination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for Compensable Patients) Determination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Hospitals (Services Charges for Compensable Patients) Determination 2005</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Hospitals (Services Charges for Compensable Patients) Determination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Hospitals (Services Charges for Compensable Patients) Determination 2005</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for Compensable Patients) Determination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Right"/>
            <w:ind w:right="17"/>
            <w:jc w:val="left"/>
          </w:pPr>
          <w:r>
            <w:rPr>
              <w:noProof/>
              <w:sz w:val="19"/>
            </w:rPr>
            <w:fldChar w:fldCharType="begin"/>
          </w:r>
          <w:r>
            <w:rPr>
              <w:noProof/>
              <w:sz w:val="19"/>
            </w:rPr>
            <w:instrText xml:space="preserve"> STYLEREF "Name of Act/Reg" \* MERGEFORMAT </w:instrText>
          </w:r>
          <w:r>
            <w:rPr>
              <w:noProof/>
              <w:sz w:val="19"/>
            </w:rPr>
            <w:fldChar w:fldCharType="separate"/>
          </w:r>
          <w:r>
            <w:rPr>
              <w:noProof/>
              <w:sz w:val="19"/>
            </w:rPr>
            <w:t>Hospitals (Services Charges for Compensable Patients) Determination 2005</w:t>
          </w:r>
          <w:r>
            <w:rPr>
              <w:noProof/>
              <w:sz w:val="19"/>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rPr>
              <w:sz w:val="19"/>
            </w:rPr>
          </w:pPr>
          <w:r>
            <w:rPr>
              <w:sz w:val="19"/>
            </w:rPr>
            <w:fldChar w:fldCharType="begin"/>
          </w:r>
          <w:r>
            <w:rPr>
              <w:sz w:val="19"/>
            </w:rPr>
            <w:instrText xml:space="preserve"> STYLEREF "Name of Act/Reg" \* MERGEFORMAT </w:instrText>
          </w:r>
          <w:r>
            <w:rPr>
              <w:sz w:val="19"/>
            </w:rPr>
            <w:fldChar w:fldCharType="separate"/>
          </w:r>
          <w:r>
            <w:rPr>
              <w:noProof/>
              <w:sz w:val="19"/>
            </w:rPr>
            <w:t>Hospitals (Services Charges for Compensable Patients) Determination 2005</w:t>
          </w:r>
          <w:r>
            <w:rPr>
              <w:sz w:val="19"/>
            </w:rPr>
            <w:fldChar w:fldCharType="end"/>
          </w:r>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E41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1449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34AFE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62FE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FE48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644F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6887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B6C3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F024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22B2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1EE3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FB2310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71257"/>
    <w:docVar w:name="WAFER_20140129150455" w:val="RemoveTocBookmarks,RemoveUnusedBookmarks,RemoveLanguageTags,UsedStyles,ResetPageSize,UpdateArrangement"/>
    <w:docVar w:name="WAFER_20140129150455_GUID" w:val="cd3a5c7d-72ac-466d-9356-9d87fddf10c8"/>
    <w:docVar w:name="WAFER_20140129150459" w:val="RemoveTocBookmarks,RunningHeaders"/>
    <w:docVar w:name="WAFER_20140129150459_GUID" w:val="94af54fa-325e-4dd9-9d6f-a5d710f04098"/>
    <w:docVar w:name="WAFER_20140130144855" w:val="RemoveTocBookmarks,RemoveUnusedBookmarks,RemoveLanguageTags,UsedStyles,ResetPageSize,UpdateArrangement"/>
    <w:docVar w:name="WAFER_20140130144855_GUID" w:val="6d33667f-da46-4fda-804f-691dc305807e"/>
    <w:docVar w:name="WAFER_20140130154740" w:val="RemoveTocBookmarks,RunningHeaders"/>
    <w:docVar w:name="WAFER_20140130154740_GUID" w:val="af3c2b76-6a60-404e-9987-0e5c6884be3c"/>
    <w:docVar w:name="WAFER_20140612162648" w:val="RemoveTocBookmarks,RemoveUnusedBookmarks,RemoveLanguageTags,UsedStyles,ResetPageSize,UpdateArrangement"/>
    <w:docVar w:name="WAFER_20140612162648_GUID" w:val="692c0655-c9b1-4a30-8fb4-9b374b5d47e4"/>
    <w:docVar w:name="WAFER_20140618144815" w:val="RemoveTocBookmarks,RemoveUnusedBookmarks,RemoveLanguageTags,UsedStyles,ResetPageSize,UpdateArrangement"/>
    <w:docVar w:name="WAFER_20140618144815_GUID" w:val="d436b9a5-14f1-48cb-9435-f17f05bbd513"/>
    <w:docVar w:name="WAFER_20140630171257" w:val="RemoveTocBookmarks,RunningHeaders"/>
    <w:docVar w:name="WAFER_20140630171257_GUID" w:val="44cfe34d-fc10-47e2-85d1-6a3b0d6117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docId w15:val="{088157D7-8344-4894-A8DC-2ACDDD68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1811</Words>
  <Characters>8770</Characters>
  <Application>Microsoft Office Word</Application>
  <DocSecurity>0</DocSecurity>
  <Lines>461</Lines>
  <Paragraphs>195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Compensable Patients) Determination 2005 00-w0-00 - 00-x0-00</dc:title>
  <dc:subject/>
  <dc:creator/>
  <cp:keywords/>
  <dc:description/>
  <cp:lastModifiedBy>Master Repository Process</cp:lastModifiedBy>
  <cp:revision>2</cp:revision>
  <cp:lastPrinted>2009-06-24T04:28:00Z</cp:lastPrinted>
  <dcterms:created xsi:type="dcterms:W3CDTF">2021-08-28T09:55:00Z</dcterms:created>
  <dcterms:modified xsi:type="dcterms:W3CDTF">2021-08-28T09:55:00Z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2005 p 2922-4</vt:lpwstr>
  </property>
  <property fmtid="{D5CDD505-2E9C-101B-9397-08002B2CF9AE}" pid="3" name="CommencementDate">
    <vt:lpwstr>20140701</vt:lpwstr>
  </property>
  <property fmtid="{D5CDD505-2E9C-101B-9397-08002B2CF9AE}" pid="4" name="OwlsUID">
    <vt:i4>37644</vt:i4>
  </property>
  <property fmtid="{D5CDD505-2E9C-101B-9397-08002B2CF9AE}" pid="5" name="DocumentType">
    <vt:lpwstr>Reg</vt:lpwstr>
  </property>
  <property fmtid="{D5CDD505-2E9C-101B-9397-08002B2CF9AE}" pid="6" name="FromSuffix">
    <vt:lpwstr>00-w0-00</vt:lpwstr>
  </property>
  <property fmtid="{D5CDD505-2E9C-101B-9397-08002B2CF9AE}" pid="7" name="FromAsAtDate">
    <vt:lpwstr>13 Jun 2014</vt:lpwstr>
  </property>
  <property fmtid="{D5CDD505-2E9C-101B-9397-08002B2CF9AE}" pid="8" name="ToSuffix">
    <vt:lpwstr>00-x0-00</vt:lpwstr>
  </property>
  <property fmtid="{D5CDD505-2E9C-101B-9397-08002B2CF9AE}" pid="9" name="ToAsAtDate">
    <vt:lpwstr>01 Jul 2014</vt:lpwstr>
  </property>
</Properties>
</file>