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2013</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1:44:00Z"/>
        </w:trPr>
        <w:tc>
          <w:tcPr>
            <w:tcW w:w="2434" w:type="dxa"/>
            <w:vMerge w:val="restart"/>
          </w:tcPr>
          <w:p>
            <w:pPr>
              <w:rPr>
                <w:del w:id="1" w:author="Master Repository Process" w:date="2021-09-25T01:44:00Z"/>
              </w:rPr>
            </w:pPr>
          </w:p>
        </w:tc>
        <w:tc>
          <w:tcPr>
            <w:tcW w:w="2434" w:type="dxa"/>
            <w:vMerge w:val="restart"/>
          </w:tcPr>
          <w:p>
            <w:pPr>
              <w:jc w:val="center"/>
              <w:rPr>
                <w:del w:id="2" w:author="Master Repository Process" w:date="2021-09-25T01:44:00Z"/>
              </w:rPr>
            </w:pPr>
            <w:del w:id="3" w:author="Master Repository Process" w:date="2021-09-25T01:44:00Z">
              <w:r>
                <w:rPr>
                  <w:noProof/>
                </w:rPr>
                <w:drawing>
                  <wp:inline distT="0" distB="0" distL="0" distR="0">
                    <wp:extent cx="533400" cy="476250"/>
                    <wp:effectExtent l="0" t="0" r="0" b="0"/>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1:44:00Z"/>
              </w:rPr>
            </w:pPr>
            <w:del w:id="5" w:author="Master Repository Process" w:date="2021-09-25T01:4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1:44:00Z"/>
        </w:trPr>
        <w:tc>
          <w:tcPr>
            <w:tcW w:w="2434" w:type="dxa"/>
            <w:vMerge/>
          </w:tcPr>
          <w:p>
            <w:pPr>
              <w:rPr>
                <w:del w:id="7" w:author="Master Repository Process" w:date="2021-09-25T01:44:00Z"/>
              </w:rPr>
            </w:pPr>
          </w:p>
        </w:tc>
        <w:tc>
          <w:tcPr>
            <w:tcW w:w="2434" w:type="dxa"/>
            <w:vMerge/>
          </w:tcPr>
          <w:p>
            <w:pPr>
              <w:jc w:val="center"/>
              <w:rPr>
                <w:del w:id="8" w:author="Master Repository Process" w:date="2021-09-25T01:44:00Z"/>
              </w:rPr>
            </w:pPr>
          </w:p>
        </w:tc>
        <w:tc>
          <w:tcPr>
            <w:tcW w:w="2434" w:type="dxa"/>
          </w:tcPr>
          <w:p>
            <w:pPr>
              <w:keepNext/>
              <w:rPr>
                <w:del w:id="9" w:author="Master Repository Process" w:date="2021-09-25T01:44:00Z"/>
                <w:b/>
                <w:sz w:val="22"/>
              </w:rPr>
            </w:pPr>
            <w:del w:id="10" w:author="Master Repository Process" w:date="2021-09-25T01:44:00Z">
              <w:r>
                <w:rPr>
                  <w:b/>
                  <w:sz w:val="22"/>
                </w:rPr>
                <w:delText>at 15</w:delText>
              </w:r>
              <w:r>
                <w:rPr>
                  <w:b/>
                  <w:snapToGrid w:val="0"/>
                  <w:sz w:val="22"/>
                </w:rPr>
                <w:delText xml:space="preserve"> November 2013</w:delText>
              </w:r>
            </w:del>
          </w:p>
        </w:tc>
      </w:tr>
    </w:tbl>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1" w:name="_Toc377569508"/>
      <w:bookmarkStart w:id="12" w:name="_Toc391976885"/>
      <w:bookmarkStart w:id="13" w:name="_Toc391991670"/>
      <w:r>
        <w:rPr>
          <w:rStyle w:val="CharPartNo"/>
        </w:rPr>
        <w:t>P</w:t>
      </w:r>
      <w:bookmarkStart w:id="14" w:name="_GoBack"/>
      <w:bookmarkEnd w:id="14"/>
      <w:r>
        <w:rPr>
          <w:rStyle w:val="CharPartNo"/>
        </w:rPr>
        <w:t>art I</w:t>
      </w:r>
      <w:r>
        <w:rPr>
          <w:rStyle w:val="CharDivNo"/>
        </w:rPr>
        <w:t> </w:t>
      </w:r>
      <w:r>
        <w:t>—</w:t>
      </w:r>
      <w:r>
        <w:rPr>
          <w:rStyle w:val="CharDivText"/>
        </w:rPr>
        <w:t> </w:t>
      </w:r>
      <w:r>
        <w:rPr>
          <w:rStyle w:val="CharPartText"/>
        </w:rPr>
        <w:t>Preliminary</w:t>
      </w:r>
      <w:bookmarkEnd w:id="11"/>
      <w:bookmarkEnd w:id="12"/>
      <w:bookmarkEnd w:id="13"/>
    </w:p>
    <w:p>
      <w:pPr>
        <w:pStyle w:val="Heading5"/>
        <w:rPr>
          <w:snapToGrid w:val="0"/>
        </w:rPr>
      </w:pPr>
      <w:bookmarkStart w:id="15" w:name="_Toc391991671"/>
      <w:bookmarkStart w:id="16" w:name="_Toc377569509"/>
      <w:r>
        <w:rPr>
          <w:rStyle w:val="CharSectno"/>
        </w:rPr>
        <w:t>1</w:t>
      </w:r>
      <w:r>
        <w:rPr>
          <w:snapToGrid w:val="0"/>
        </w:rPr>
        <w:t>.</w:t>
      </w:r>
      <w:r>
        <w:rPr>
          <w:snapToGrid w:val="0"/>
        </w:rPr>
        <w:tab/>
        <w:t>Citation</w:t>
      </w:r>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17" w:name="_Toc391991672"/>
      <w:bookmarkStart w:id="18" w:name="_Toc377569510"/>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19" w:name="_Toc391991673"/>
      <w:bookmarkStart w:id="20" w:name="_Toc377569511"/>
      <w:r>
        <w:rPr>
          <w:rStyle w:val="CharSectno"/>
        </w:rPr>
        <w:t>3</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21" w:name="_Toc377569512"/>
      <w:bookmarkStart w:id="22" w:name="_Toc391976889"/>
      <w:bookmarkStart w:id="23" w:name="_Toc391991674"/>
      <w:r>
        <w:rPr>
          <w:rStyle w:val="CharPartNo"/>
        </w:rPr>
        <w:t>Part II</w:t>
      </w:r>
      <w:r>
        <w:rPr>
          <w:rStyle w:val="CharDivNo"/>
        </w:rPr>
        <w:t> </w:t>
      </w:r>
      <w:r>
        <w:t>—</w:t>
      </w:r>
      <w:r>
        <w:rPr>
          <w:rStyle w:val="CharDivText"/>
        </w:rPr>
        <w:t> </w:t>
      </w:r>
      <w:r>
        <w:rPr>
          <w:rStyle w:val="CharPartText"/>
        </w:rPr>
        <w:t>Inspectors</w:t>
      </w:r>
      <w:bookmarkEnd w:id="21"/>
      <w:bookmarkEnd w:id="22"/>
      <w:bookmarkEnd w:id="23"/>
    </w:p>
    <w:p>
      <w:pPr>
        <w:pStyle w:val="Heading5"/>
        <w:rPr>
          <w:snapToGrid w:val="0"/>
        </w:rPr>
      </w:pPr>
      <w:bookmarkStart w:id="24" w:name="_Toc391991675"/>
      <w:bookmarkStart w:id="25" w:name="_Toc377569513"/>
      <w:r>
        <w:rPr>
          <w:rStyle w:val="CharSectno"/>
        </w:rPr>
        <w:t>4</w:t>
      </w:r>
      <w:r>
        <w:rPr>
          <w:snapToGrid w:val="0"/>
        </w:rPr>
        <w:t>.</w:t>
      </w:r>
      <w:r>
        <w:rPr>
          <w:snapToGrid w:val="0"/>
        </w:rPr>
        <w:tab/>
        <w:t>Inspectors</w:t>
      </w:r>
      <w:bookmarkEnd w:id="24"/>
      <w:bookmarkEnd w:id="25"/>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26" w:name="_Toc377569514"/>
      <w:bookmarkStart w:id="27" w:name="_Toc391976891"/>
      <w:bookmarkStart w:id="28" w:name="_Toc391991676"/>
      <w:r>
        <w:rPr>
          <w:rStyle w:val="CharPartNo"/>
        </w:rPr>
        <w:t>Part III</w:t>
      </w:r>
      <w:r>
        <w:rPr>
          <w:rStyle w:val="CharDivNo"/>
        </w:rPr>
        <w:t> </w:t>
      </w:r>
      <w:r>
        <w:t>—</w:t>
      </w:r>
      <w:r>
        <w:rPr>
          <w:rStyle w:val="CharDivText"/>
        </w:rPr>
        <w:t> </w:t>
      </w:r>
      <w:r>
        <w:rPr>
          <w:rStyle w:val="CharPartText"/>
        </w:rPr>
        <w:t>Branding of carcases</w:t>
      </w:r>
      <w:bookmarkEnd w:id="26"/>
      <w:bookmarkEnd w:id="27"/>
      <w:bookmarkEnd w:id="28"/>
    </w:p>
    <w:p>
      <w:pPr>
        <w:pStyle w:val="Heading5"/>
        <w:spacing w:before="240"/>
        <w:rPr>
          <w:snapToGrid w:val="0"/>
        </w:rPr>
      </w:pPr>
      <w:bookmarkStart w:id="29" w:name="_Toc391991677"/>
      <w:bookmarkStart w:id="30" w:name="_Toc377569515"/>
      <w:r>
        <w:rPr>
          <w:rStyle w:val="CharSectno"/>
        </w:rPr>
        <w:t>5</w:t>
      </w:r>
      <w:r>
        <w:rPr>
          <w:snapToGrid w:val="0"/>
        </w:rPr>
        <w:t>.</w:t>
      </w:r>
      <w:r>
        <w:rPr>
          <w:snapToGrid w:val="0"/>
        </w:rPr>
        <w:tab/>
        <w:t>Recording of information</w:t>
      </w:r>
      <w:bookmarkEnd w:id="29"/>
      <w:bookmarkEnd w:id="30"/>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31" w:name="_Toc391991678"/>
      <w:bookmarkStart w:id="32" w:name="_Toc377569516"/>
      <w:r>
        <w:rPr>
          <w:rStyle w:val="CharSectno"/>
        </w:rPr>
        <w:t>6</w:t>
      </w:r>
      <w:r>
        <w:rPr>
          <w:snapToGrid w:val="0"/>
        </w:rPr>
        <w:t>.</w:t>
      </w:r>
      <w:r>
        <w:rPr>
          <w:snapToGrid w:val="0"/>
        </w:rPr>
        <w:tab/>
        <w:t>Branding devices</w:t>
      </w:r>
      <w:bookmarkEnd w:id="31"/>
      <w:bookmarkEnd w:id="32"/>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33" w:name="_Toc391991679"/>
      <w:bookmarkStart w:id="34" w:name="_Toc377569517"/>
      <w:r>
        <w:rPr>
          <w:rStyle w:val="CharSectno"/>
        </w:rPr>
        <w:t>7</w:t>
      </w:r>
      <w:r>
        <w:rPr>
          <w:snapToGrid w:val="0"/>
        </w:rPr>
        <w:t>.</w:t>
      </w:r>
      <w:r>
        <w:rPr>
          <w:snapToGrid w:val="0"/>
        </w:rPr>
        <w:tab/>
        <w:t>Application of brand</w:t>
      </w:r>
      <w:bookmarkEnd w:id="33"/>
      <w:bookmarkEnd w:id="34"/>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35" w:name="_Toc391991680"/>
      <w:bookmarkStart w:id="36" w:name="_Toc377569518"/>
      <w:r>
        <w:rPr>
          <w:rStyle w:val="CharSectno"/>
        </w:rPr>
        <w:t>8</w:t>
      </w:r>
      <w:r>
        <w:rPr>
          <w:snapToGrid w:val="0"/>
        </w:rPr>
        <w:t>.</w:t>
      </w:r>
      <w:r>
        <w:rPr>
          <w:snapToGrid w:val="0"/>
        </w:rPr>
        <w:tab/>
        <w:t>Appearance of brand</w:t>
      </w:r>
      <w:bookmarkEnd w:id="35"/>
      <w:bookmarkEnd w:id="36"/>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37" w:name="_Toc391991681"/>
      <w:bookmarkStart w:id="38" w:name="_Toc377569519"/>
      <w:r>
        <w:rPr>
          <w:rStyle w:val="CharSectno"/>
        </w:rPr>
        <w:t>9</w:t>
      </w:r>
      <w:r>
        <w:rPr>
          <w:snapToGrid w:val="0"/>
        </w:rPr>
        <w:t>.</w:t>
      </w:r>
      <w:r>
        <w:rPr>
          <w:snapToGrid w:val="0"/>
        </w:rPr>
        <w:tab/>
        <w:t>Interference with brand</w:t>
      </w:r>
      <w:bookmarkEnd w:id="37"/>
      <w:bookmarkEnd w:id="38"/>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39" w:name="_Toc391991682"/>
      <w:bookmarkStart w:id="40" w:name="_Toc377569520"/>
      <w:r>
        <w:rPr>
          <w:rStyle w:val="CharSectno"/>
        </w:rPr>
        <w:t>10</w:t>
      </w:r>
      <w:r>
        <w:rPr>
          <w:snapToGrid w:val="0"/>
        </w:rPr>
        <w:t>.</w:t>
      </w:r>
      <w:r>
        <w:rPr>
          <w:snapToGrid w:val="0"/>
        </w:rPr>
        <w:tab/>
        <w:t>Inspection of imported carcases</w:t>
      </w:r>
      <w:bookmarkEnd w:id="39"/>
      <w:bookmarkEnd w:id="40"/>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41" w:name="_Toc391991683"/>
      <w:bookmarkStart w:id="42" w:name="_Toc377569521"/>
      <w:r>
        <w:rPr>
          <w:rStyle w:val="CharSectno"/>
        </w:rPr>
        <w:t>11</w:t>
      </w:r>
      <w:r>
        <w:rPr>
          <w:snapToGrid w:val="0"/>
        </w:rPr>
        <w:t>.</w:t>
      </w:r>
      <w:r>
        <w:rPr>
          <w:snapToGrid w:val="0"/>
        </w:rPr>
        <w:tab/>
        <w:t>Lamb — prescribed characteristics and brand</w:t>
      </w:r>
      <w:bookmarkEnd w:id="41"/>
      <w:bookmarkEnd w:id="42"/>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43" w:name="_Toc391991684"/>
      <w:bookmarkStart w:id="44" w:name="_Toc377569522"/>
      <w:r>
        <w:rPr>
          <w:rStyle w:val="CharSectno"/>
        </w:rPr>
        <w:t>12</w:t>
      </w:r>
      <w:r>
        <w:rPr>
          <w:snapToGrid w:val="0"/>
        </w:rPr>
        <w:t>.</w:t>
      </w:r>
      <w:r>
        <w:rPr>
          <w:snapToGrid w:val="0"/>
        </w:rPr>
        <w:tab/>
        <w:t>Lamb slaughtered for export</w:t>
      </w:r>
      <w:bookmarkEnd w:id="43"/>
      <w:bookmarkEnd w:id="44"/>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45" w:name="_Toc391991685"/>
      <w:bookmarkStart w:id="46" w:name="_Toc377569523"/>
      <w:r>
        <w:rPr>
          <w:rStyle w:val="CharSectno"/>
        </w:rPr>
        <w:t>13</w:t>
      </w:r>
      <w:r>
        <w:rPr>
          <w:snapToGrid w:val="0"/>
        </w:rPr>
        <w:t>.</w:t>
      </w:r>
      <w:r>
        <w:rPr>
          <w:snapToGrid w:val="0"/>
        </w:rPr>
        <w:tab/>
        <w:t>Hogget — prescribed characteristics and brand</w:t>
      </w:r>
      <w:bookmarkEnd w:id="45"/>
      <w:bookmarkEnd w:id="46"/>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47" w:name="_Toc391991686"/>
      <w:bookmarkStart w:id="48" w:name="_Toc377569524"/>
      <w:r>
        <w:rPr>
          <w:rStyle w:val="CharSectno"/>
        </w:rPr>
        <w:t>14</w:t>
      </w:r>
      <w:r>
        <w:rPr>
          <w:snapToGrid w:val="0"/>
        </w:rPr>
        <w:t xml:space="preserve">. </w:t>
      </w:r>
      <w:r>
        <w:rPr>
          <w:snapToGrid w:val="0"/>
        </w:rPr>
        <w:tab/>
        <w:t>“Tender Gold” beef — prescribed characteristics and brand</w:t>
      </w:r>
      <w:bookmarkEnd w:id="47"/>
      <w:bookmarkEnd w:id="48"/>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49" w:name="_Toc391991687"/>
      <w:bookmarkStart w:id="50" w:name="_Toc377569525"/>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49"/>
      <w:bookmarkEnd w:id="50"/>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51" w:name="_Toc377569526"/>
      <w:bookmarkStart w:id="52" w:name="_Toc391976903"/>
      <w:bookmarkStart w:id="53" w:name="_Toc391991688"/>
      <w:r>
        <w:rPr>
          <w:rStyle w:val="CharPartNo"/>
        </w:rPr>
        <w:t>Part IV</w:t>
      </w:r>
      <w:r>
        <w:rPr>
          <w:rStyle w:val="CharDivNo"/>
        </w:rPr>
        <w:t> </w:t>
      </w:r>
      <w:r>
        <w:t>—</w:t>
      </w:r>
      <w:r>
        <w:rPr>
          <w:rStyle w:val="CharDivText"/>
        </w:rPr>
        <w:t> </w:t>
      </w:r>
      <w:r>
        <w:rPr>
          <w:rStyle w:val="CharPartText"/>
        </w:rPr>
        <w:t>Standard carcases</w:t>
      </w:r>
      <w:bookmarkEnd w:id="51"/>
      <w:bookmarkEnd w:id="52"/>
      <w:bookmarkEnd w:id="53"/>
    </w:p>
    <w:p>
      <w:pPr>
        <w:pStyle w:val="Heading5"/>
        <w:rPr>
          <w:snapToGrid w:val="0"/>
        </w:rPr>
      </w:pPr>
      <w:bookmarkStart w:id="54" w:name="_Toc391991689"/>
      <w:bookmarkStart w:id="55" w:name="_Toc377569527"/>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54"/>
      <w:bookmarkEnd w:id="55"/>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56" w:name="_Toc391991690"/>
      <w:bookmarkStart w:id="57" w:name="_Toc377569528"/>
      <w:r>
        <w:rPr>
          <w:rStyle w:val="CharSectno"/>
        </w:rPr>
        <w:t>16</w:t>
      </w:r>
      <w:r>
        <w:rPr>
          <w:snapToGrid w:val="0"/>
        </w:rPr>
        <w:t>.</w:t>
      </w:r>
      <w:r>
        <w:rPr>
          <w:snapToGrid w:val="0"/>
        </w:rPr>
        <w:tab/>
        <w:t>Weighing of carcases</w:t>
      </w:r>
      <w:bookmarkEnd w:id="56"/>
      <w:bookmarkEnd w:id="57"/>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58" w:name="_Toc391991691"/>
      <w:bookmarkStart w:id="59" w:name="_Toc377569529"/>
      <w:r>
        <w:rPr>
          <w:rStyle w:val="CharSectno"/>
        </w:rPr>
        <w:t>17</w:t>
      </w:r>
      <w:r>
        <w:rPr>
          <w:snapToGrid w:val="0"/>
        </w:rPr>
        <w:t>.</w:t>
      </w:r>
      <w:r>
        <w:rPr>
          <w:snapToGrid w:val="0"/>
        </w:rPr>
        <w:tab/>
        <w:t>Standard carcase</w:t>
      </w:r>
      <w:bookmarkEnd w:id="58"/>
      <w:bookmarkEnd w:id="59"/>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60" w:name="_Toc377569530"/>
      <w:bookmarkStart w:id="61" w:name="_Toc391976907"/>
      <w:bookmarkStart w:id="62" w:name="_Toc391991692"/>
      <w:r>
        <w:rPr>
          <w:rStyle w:val="CharPartNo"/>
        </w:rPr>
        <w:t>Part V</w:t>
      </w:r>
      <w:r>
        <w:rPr>
          <w:rStyle w:val="CharDivNo"/>
        </w:rPr>
        <w:t> </w:t>
      </w:r>
      <w:r>
        <w:t>—</w:t>
      </w:r>
      <w:r>
        <w:rPr>
          <w:rStyle w:val="CharDivText"/>
        </w:rPr>
        <w:t> </w:t>
      </w:r>
      <w:r>
        <w:rPr>
          <w:rStyle w:val="CharPartText"/>
        </w:rPr>
        <w:t>Abattoirs</w:t>
      </w:r>
      <w:bookmarkEnd w:id="60"/>
      <w:bookmarkEnd w:id="61"/>
      <w:bookmarkEnd w:id="62"/>
    </w:p>
    <w:p>
      <w:pPr>
        <w:pStyle w:val="Footnoteheading"/>
        <w:rPr>
          <w:snapToGrid w:val="0"/>
        </w:rPr>
      </w:pPr>
      <w:r>
        <w:rPr>
          <w:snapToGrid w:val="0"/>
        </w:rPr>
        <w:tab/>
        <w:t>[Heading inserted in Gazette 26 Oct 1990 p. 5361.]</w:t>
      </w:r>
    </w:p>
    <w:p>
      <w:pPr>
        <w:pStyle w:val="Heading5"/>
        <w:rPr>
          <w:snapToGrid w:val="0"/>
        </w:rPr>
      </w:pPr>
      <w:bookmarkStart w:id="63" w:name="_Toc391991693"/>
      <w:bookmarkStart w:id="64" w:name="_Toc377569531"/>
      <w:r>
        <w:rPr>
          <w:rStyle w:val="CharSectno"/>
        </w:rPr>
        <w:t>18</w:t>
      </w:r>
      <w:r>
        <w:rPr>
          <w:snapToGrid w:val="0"/>
        </w:rPr>
        <w:t>.</w:t>
      </w:r>
      <w:r>
        <w:rPr>
          <w:snapToGrid w:val="0"/>
        </w:rPr>
        <w:tab/>
        <w:t>References to forms</w:t>
      </w:r>
      <w:bookmarkEnd w:id="63"/>
      <w:bookmarkEnd w:id="64"/>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65" w:name="_Toc391991694"/>
      <w:bookmarkStart w:id="66" w:name="_Toc377569532"/>
      <w:r>
        <w:rPr>
          <w:rStyle w:val="CharSectno"/>
        </w:rPr>
        <w:t>19</w:t>
      </w:r>
      <w:r>
        <w:rPr>
          <w:snapToGrid w:val="0"/>
        </w:rPr>
        <w:t>.</w:t>
      </w:r>
      <w:r>
        <w:rPr>
          <w:snapToGrid w:val="0"/>
        </w:rPr>
        <w:tab/>
        <w:t>Form of applications for approvals</w:t>
      </w:r>
      <w:bookmarkEnd w:id="65"/>
      <w:bookmarkEnd w:id="66"/>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67" w:name="_Toc391991695"/>
      <w:bookmarkStart w:id="68" w:name="_Toc377569533"/>
      <w:r>
        <w:rPr>
          <w:rStyle w:val="CharSectno"/>
        </w:rPr>
        <w:t>20</w:t>
      </w:r>
      <w:r>
        <w:rPr>
          <w:snapToGrid w:val="0"/>
        </w:rPr>
        <w:t>.</w:t>
      </w:r>
      <w:r>
        <w:rPr>
          <w:snapToGrid w:val="0"/>
        </w:rPr>
        <w:tab/>
        <w:t>Form of approvals</w:t>
      </w:r>
      <w:bookmarkEnd w:id="67"/>
      <w:bookmarkEnd w:id="6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69" w:name="_Toc391991696"/>
      <w:bookmarkStart w:id="70" w:name="_Toc377569534"/>
      <w:r>
        <w:rPr>
          <w:rStyle w:val="CharSectno"/>
        </w:rPr>
        <w:t>21</w:t>
      </w:r>
      <w:r>
        <w:rPr>
          <w:snapToGrid w:val="0"/>
        </w:rPr>
        <w:t>.</w:t>
      </w:r>
      <w:r>
        <w:rPr>
          <w:snapToGrid w:val="0"/>
        </w:rPr>
        <w:tab/>
        <w:t>Matter prescribed under Act s. 19(b)(vi)</w:t>
      </w:r>
      <w:bookmarkEnd w:id="69"/>
      <w:bookmarkEnd w:id="70"/>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71" w:name="_Toc391991697"/>
      <w:bookmarkStart w:id="72" w:name="_Toc377569535"/>
      <w:r>
        <w:rPr>
          <w:rStyle w:val="CharSectno"/>
        </w:rPr>
        <w:t>23</w:t>
      </w:r>
      <w:r>
        <w:rPr>
          <w:snapToGrid w:val="0"/>
        </w:rPr>
        <w:t>.</w:t>
      </w:r>
      <w:r>
        <w:rPr>
          <w:snapToGrid w:val="0"/>
        </w:rPr>
        <w:tab/>
        <w:t>Notification of changes</w:t>
      </w:r>
      <w:bookmarkEnd w:id="71"/>
      <w:bookmarkEnd w:id="72"/>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73" w:name="_Toc391991698"/>
      <w:bookmarkStart w:id="74" w:name="_Toc377569536"/>
      <w:r>
        <w:rPr>
          <w:rStyle w:val="CharSectno"/>
        </w:rPr>
        <w:t>24</w:t>
      </w:r>
      <w:r>
        <w:rPr>
          <w:snapToGrid w:val="0"/>
        </w:rPr>
        <w:t>.</w:t>
      </w:r>
      <w:r>
        <w:rPr>
          <w:snapToGrid w:val="0"/>
        </w:rPr>
        <w:tab/>
        <w:t>Monthly returns</w:t>
      </w:r>
      <w:bookmarkEnd w:id="73"/>
      <w:bookmarkEnd w:id="74"/>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75" w:name="_Toc377569537"/>
      <w:bookmarkStart w:id="76" w:name="_Toc391976914"/>
      <w:bookmarkStart w:id="77" w:name="_Toc391991699"/>
      <w:r>
        <w:rPr>
          <w:rStyle w:val="CharPartNo"/>
        </w:rPr>
        <w:t>Part VI</w:t>
      </w:r>
      <w:r>
        <w:rPr>
          <w:b w:val="0"/>
        </w:rPr>
        <w:t> </w:t>
      </w:r>
      <w:r>
        <w:t>—</w:t>
      </w:r>
      <w:r>
        <w:rPr>
          <w:b w:val="0"/>
        </w:rPr>
        <w:t> </w:t>
      </w:r>
      <w:r>
        <w:rPr>
          <w:rStyle w:val="CharPartText"/>
        </w:rPr>
        <w:t>Muchea Livestock Centre</w:t>
      </w:r>
      <w:bookmarkEnd w:id="75"/>
      <w:bookmarkEnd w:id="76"/>
      <w:bookmarkEnd w:id="77"/>
    </w:p>
    <w:p>
      <w:pPr>
        <w:pStyle w:val="Footnoteheading"/>
      </w:pPr>
      <w:r>
        <w:tab/>
        <w:t>[Heading inserted in Gazette 6 Dec 2011 p. 5157.]</w:t>
      </w:r>
    </w:p>
    <w:p>
      <w:pPr>
        <w:pStyle w:val="Heading3"/>
      </w:pPr>
      <w:bookmarkStart w:id="78" w:name="_Toc377569538"/>
      <w:bookmarkStart w:id="79" w:name="_Toc391976915"/>
      <w:bookmarkStart w:id="80" w:name="_Toc391991700"/>
      <w:r>
        <w:rPr>
          <w:rStyle w:val="CharDivNo"/>
        </w:rPr>
        <w:t>Division 1</w:t>
      </w:r>
      <w:r>
        <w:t> — </w:t>
      </w:r>
      <w:r>
        <w:rPr>
          <w:rStyle w:val="CharDivText"/>
        </w:rPr>
        <w:t>Preliminary</w:t>
      </w:r>
      <w:bookmarkEnd w:id="78"/>
      <w:bookmarkEnd w:id="79"/>
      <w:bookmarkEnd w:id="80"/>
    </w:p>
    <w:p>
      <w:pPr>
        <w:pStyle w:val="Footnoteheading"/>
      </w:pPr>
      <w:r>
        <w:tab/>
        <w:t>[Heading inserted in Gazette 6 Dec 2011 p. 5157.]</w:t>
      </w:r>
    </w:p>
    <w:p>
      <w:pPr>
        <w:pStyle w:val="Heading5"/>
      </w:pPr>
      <w:bookmarkStart w:id="81" w:name="_Toc391991701"/>
      <w:bookmarkStart w:id="82" w:name="_Toc377569539"/>
      <w:r>
        <w:rPr>
          <w:rStyle w:val="CharSectno"/>
        </w:rPr>
        <w:t>25</w:t>
      </w:r>
      <w:r>
        <w:t>.</w:t>
      </w:r>
      <w:r>
        <w:tab/>
        <w:t>Terms used</w:t>
      </w:r>
      <w:bookmarkEnd w:id="81"/>
      <w:bookmarkEnd w:id="82"/>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w:t>
      </w:r>
    </w:p>
    <w:p>
      <w:pPr>
        <w:pStyle w:val="Heading3"/>
      </w:pPr>
      <w:bookmarkStart w:id="83" w:name="_Toc377569540"/>
      <w:bookmarkStart w:id="84" w:name="_Toc391976917"/>
      <w:bookmarkStart w:id="85" w:name="_Toc391991702"/>
      <w:r>
        <w:rPr>
          <w:rStyle w:val="CharDivNo"/>
        </w:rPr>
        <w:t>Division 2</w:t>
      </w:r>
      <w:r>
        <w:t> — </w:t>
      </w:r>
      <w:r>
        <w:rPr>
          <w:rStyle w:val="CharDivText"/>
        </w:rPr>
        <w:t>Stock agents</w:t>
      </w:r>
      <w:bookmarkEnd w:id="83"/>
      <w:bookmarkEnd w:id="84"/>
      <w:bookmarkEnd w:id="85"/>
    </w:p>
    <w:p>
      <w:pPr>
        <w:pStyle w:val="Footnoteheading"/>
      </w:pPr>
      <w:r>
        <w:tab/>
        <w:t>[Heading inserted in Gazette 6 Dec 2011 p. 5159.]</w:t>
      </w:r>
    </w:p>
    <w:p>
      <w:pPr>
        <w:pStyle w:val="Heading5"/>
      </w:pPr>
      <w:bookmarkStart w:id="86" w:name="_Toc391991703"/>
      <w:bookmarkStart w:id="87" w:name="_Toc377569541"/>
      <w:r>
        <w:rPr>
          <w:rStyle w:val="CharSectno"/>
        </w:rPr>
        <w:t>26</w:t>
      </w:r>
      <w:r>
        <w:t>.</w:t>
      </w:r>
      <w:r>
        <w:tab/>
        <w:t>Stock agents must have Authority approval</w:t>
      </w:r>
      <w:bookmarkEnd w:id="86"/>
      <w:bookmarkEnd w:id="87"/>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88" w:name="_Toc391991704"/>
      <w:bookmarkStart w:id="89" w:name="_Toc377569542"/>
      <w:r>
        <w:rPr>
          <w:rStyle w:val="CharSectno"/>
        </w:rPr>
        <w:t>27</w:t>
      </w:r>
      <w:r>
        <w:t>.</w:t>
      </w:r>
      <w:r>
        <w:tab/>
        <w:t>Approval of stock agents</w:t>
      </w:r>
      <w:bookmarkEnd w:id="88"/>
      <w:bookmarkEnd w:id="89"/>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90" w:name="_Toc391991705"/>
      <w:bookmarkStart w:id="91" w:name="_Toc377569543"/>
      <w:r>
        <w:rPr>
          <w:rStyle w:val="CharSectno"/>
        </w:rPr>
        <w:t>28</w:t>
      </w:r>
      <w:r>
        <w:t>.</w:t>
      </w:r>
      <w:r>
        <w:tab/>
        <w:t>Duration of approval as stock agent</w:t>
      </w:r>
      <w:bookmarkEnd w:id="90"/>
      <w:bookmarkEnd w:id="91"/>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92" w:name="_Toc391991706"/>
      <w:bookmarkStart w:id="93" w:name="_Toc377569544"/>
      <w:r>
        <w:rPr>
          <w:rStyle w:val="CharSectno"/>
        </w:rPr>
        <w:t>29</w:t>
      </w:r>
      <w:r>
        <w:t>.</w:t>
      </w:r>
      <w:r>
        <w:tab/>
        <w:t>Renewal of approval as stock agent</w:t>
      </w:r>
      <w:bookmarkEnd w:id="92"/>
      <w:bookmarkEnd w:id="93"/>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94" w:name="_Toc377569545"/>
      <w:bookmarkStart w:id="95" w:name="_Toc391976922"/>
      <w:bookmarkStart w:id="96" w:name="_Toc391991707"/>
      <w:r>
        <w:rPr>
          <w:rStyle w:val="CharDivNo"/>
        </w:rPr>
        <w:t>Division 3</w:t>
      </w:r>
      <w:r>
        <w:t> — </w:t>
      </w:r>
      <w:r>
        <w:rPr>
          <w:rStyle w:val="CharDivText"/>
        </w:rPr>
        <w:t>Delivery and yarding of stock</w:t>
      </w:r>
      <w:bookmarkEnd w:id="94"/>
      <w:bookmarkEnd w:id="95"/>
      <w:bookmarkEnd w:id="96"/>
    </w:p>
    <w:p>
      <w:pPr>
        <w:pStyle w:val="Footnoteheading"/>
      </w:pPr>
      <w:r>
        <w:tab/>
        <w:t>[Heading inserted in Gazette 6 Dec 2011 p. 5161.]</w:t>
      </w:r>
    </w:p>
    <w:p>
      <w:pPr>
        <w:pStyle w:val="Heading5"/>
        <w:spacing w:before="180"/>
      </w:pPr>
      <w:bookmarkStart w:id="97" w:name="_Toc391991708"/>
      <w:bookmarkStart w:id="98" w:name="_Toc377569546"/>
      <w:r>
        <w:rPr>
          <w:rStyle w:val="CharSectno"/>
        </w:rPr>
        <w:t>30</w:t>
      </w:r>
      <w:r>
        <w:t>.</w:t>
      </w:r>
      <w:r>
        <w:tab/>
        <w:t>Times and conditions for delivery of stock</w:t>
      </w:r>
      <w:bookmarkEnd w:id="97"/>
      <w:bookmarkEnd w:id="98"/>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99" w:name="_Toc391991709"/>
      <w:bookmarkStart w:id="100" w:name="_Toc377569547"/>
      <w:r>
        <w:rPr>
          <w:rStyle w:val="CharSectno"/>
        </w:rPr>
        <w:t>31</w:t>
      </w:r>
      <w:r>
        <w:t>.</w:t>
      </w:r>
      <w:r>
        <w:tab/>
        <w:t>Yarding of stock</w:t>
      </w:r>
      <w:bookmarkEnd w:id="99"/>
      <w:bookmarkEnd w:id="100"/>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101" w:name="_Toc391991710"/>
      <w:bookmarkStart w:id="102" w:name="_Toc377569548"/>
      <w:r>
        <w:rPr>
          <w:rStyle w:val="CharSectno"/>
        </w:rPr>
        <w:t>32</w:t>
      </w:r>
      <w:r>
        <w:t>.</w:t>
      </w:r>
      <w:r>
        <w:tab/>
        <w:t>Care of stock</w:t>
      </w:r>
      <w:bookmarkEnd w:id="101"/>
      <w:bookmarkEnd w:id="102"/>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103" w:name="_Toc391991711"/>
      <w:bookmarkStart w:id="104" w:name="_Toc377569549"/>
      <w:r>
        <w:rPr>
          <w:rStyle w:val="CharSectno"/>
        </w:rPr>
        <w:t>33A</w:t>
      </w:r>
      <w:r>
        <w:t>.</w:t>
      </w:r>
      <w:r>
        <w:tab/>
        <w:t>Disposal of ill, injured, disabled or dead stock</w:t>
      </w:r>
      <w:bookmarkEnd w:id="103"/>
      <w:bookmarkEnd w:id="104"/>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105" w:name="_Toc377569550"/>
      <w:bookmarkStart w:id="106" w:name="_Toc391976927"/>
      <w:bookmarkStart w:id="107" w:name="_Toc391991712"/>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105"/>
      <w:bookmarkEnd w:id="106"/>
      <w:bookmarkEnd w:id="107"/>
    </w:p>
    <w:p>
      <w:pPr>
        <w:pStyle w:val="Footnoteheading"/>
      </w:pPr>
      <w:r>
        <w:tab/>
        <w:t>[Heading inserted in Gazette 6 Dec 2011 p. 5165.]</w:t>
      </w:r>
    </w:p>
    <w:p>
      <w:pPr>
        <w:pStyle w:val="Heading5"/>
        <w:keepNext w:val="0"/>
        <w:keepLines w:val="0"/>
        <w:spacing w:before="180"/>
      </w:pPr>
      <w:bookmarkStart w:id="108" w:name="_Toc391991713"/>
      <w:bookmarkStart w:id="109" w:name="_Toc377569551"/>
      <w:r>
        <w:rPr>
          <w:rStyle w:val="CharSectno"/>
        </w:rPr>
        <w:t>33B</w:t>
      </w:r>
      <w:r>
        <w:t>.</w:t>
      </w:r>
      <w:r>
        <w:tab/>
        <w:t>Ill, injured or disabled stock not to be offered for sale</w:t>
      </w:r>
      <w:bookmarkEnd w:id="108"/>
      <w:bookmarkEnd w:id="109"/>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spacing w:before="180"/>
      </w:pPr>
      <w:bookmarkStart w:id="110" w:name="_Toc391991714"/>
      <w:bookmarkStart w:id="111" w:name="_Toc377569552"/>
      <w:r>
        <w:rPr>
          <w:rStyle w:val="CharSectno"/>
        </w:rPr>
        <w:t>33C</w:t>
      </w:r>
      <w:r>
        <w:t>.</w:t>
      </w:r>
      <w:r>
        <w:tab/>
        <w:t>No private sale before auction</w:t>
      </w:r>
      <w:bookmarkEnd w:id="110"/>
      <w:bookmarkEnd w:id="111"/>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r>
        <w:tab/>
        <w:t>[Regulation 33C inserted in Gazette 6 Dec 2011 p. 5165.]</w:t>
      </w:r>
    </w:p>
    <w:p>
      <w:pPr>
        <w:pStyle w:val="Heading5"/>
        <w:spacing w:before="180"/>
      </w:pPr>
      <w:bookmarkStart w:id="112" w:name="_Toc391991715"/>
      <w:bookmarkStart w:id="113" w:name="_Toc377569553"/>
      <w:r>
        <w:rPr>
          <w:rStyle w:val="CharSectno"/>
        </w:rPr>
        <w:t>33D</w:t>
      </w:r>
      <w:r>
        <w:t>.</w:t>
      </w:r>
      <w:r>
        <w:tab/>
        <w:t>When stock have to be removed</w:t>
      </w:r>
      <w:bookmarkEnd w:id="112"/>
      <w:bookmarkEnd w:id="113"/>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114" w:name="_Toc391991716"/>
      <w:bookmarkStart w:id="115" w:name="_Toc377569554"/>
      <w:r>
        <w:rPr>
          <w:rStyle w:val="CharSectno"/>
        </w:rPr>
        <w:t>33E</w:t>
      </w:r>
      <w:r>
        <w:t>.</w:t>
      </w:r>
      <w:r>
        <w:tab/>
        <w:t>Abandoned stock</w:t>
      </w:r>
      <w:bookmarkEnd w:id="114"/>
      <w:bookmarkEnd w:id="115"/>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116" w:name="_Toc377569555"/>
      <w:bookmarkStart w:id="117" w:name="_Toc391976932"/>
      <w:bookmarkStart w:id="118" w:name="_Toc391991717"/>
      <w:r>
        <w:rPr>
          <w:rStyle w:val="CharDivNo"/>
        </w:rPr>
        <w:t>Division 5</w:t>
      </w:r>
      <w:r>
        <w:t> — </w:t>
      </w:r>
      <w:r>
        <w:rPr>
          <w:rStyle w:val="CharDivText"/>
        </w:rPr>
        <w:t>Control of vehicles</w:t>
      </w:r>
      <w:bookmarkEnd w:id="116"/>
      <w:bookmarkEnd w:id="117"/>
      <w:bookmarkEnd w:id="118"/>
    </w:p>
    <w:p>
      <w:pPr>
        <w:pStyle w:val="Footnoteheading"/>
      </w:pPr>
      <w:r>
        <w:tab/>
        <w:t>[Heading inserted in Gazette 6 Dec 2011 p. 5167.]</w:t>
      </w:r>
    </w:p>
    <w:p>
      <w:pPr>
        <w:pStyle w:val="Heading5"/>
        <w:spacing w:before="180"/>
      </w:pPr>
      <w:bookmarkStart w:id="119" w:name="_Toc391991718"/>
      <w:bookmarkStart w:id="120" w:name="_Toc377569556"/>
      <w:r>
        <w:rPr>
          <w:rStyle w:val="CharSectno"/>
        </w:rPr>
        <w:t>33F</w:t>
      </w:r>
      <w:r>
        <w:t>.</w:t>
      </w:r>
      <w:r>
        <w:tab/>
        <w:t>Safe operation of vehicles within Centre</w:t>
      </w:r>
      <w:bookmarkEnd w:id="119"/>
      <w:bookmarkEnd w:id="120"/>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121" w:name="_Toc391991719"/>
      <w:bookmarkStart w:id="122" w:name="_Toc377569557"/>
      <w:r>
        <w:rPr>
          <w:rStyle w:val="CharSectno"/>
        </w:rPr>
        <w:t>33G</w:t>
      </w:r>
      <w:r>
        <w:t>.</w:t>
      </w:r>
      <w:r>
        <w:tab/>
        <w:t>Driving while under the influence prohibited</w:t>
      </w:r>
      <w:bookmarkEnd w:id="121"/>
      <w:bookmarkEnd w:id="122"/>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123" w:name="_Toc391991720"/>
      <w:bookmarkStart w:id="124" w:name="_Toc377569558"/>
      <w:r>
        <w:rPr>
          <w:rStyle w:val="CharSectno"/>
        </w:rPr>
        <w:t>33H</w:t>
      </w:r>
      <w:r>
        <w:t>.</w:t>
      </w:r>
      <w:r>
        <w:tab/>
        <w:t>Drivers to be licensed</w:t>
      </w:r>
      <w:bookmarkEnd w:id="123"/>
      <w:bookmarkEnd w:id="124"/>
    </w:p>
    <w:p>
      <w:pPr>
        <w:pStyle w:val="Subsection"/>
        <w:spacing w:before="120"/>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r>
        <w:tab/>
        <w:t>[Regulation 33H inserted in Gazette 6 Dec 2011 p. 5169.]</w:t>
      </w:r>
    </w:p>
    <w:p>
      <w:pPr>
        <w:pStyle w:val="Heading5"/>
        <w:spacing w:before="240"/>
      </w:pPr>
      <w:bookmarkStart w:id="125" w:name="_Toc391991721"/>
      <w:bookmarkStart w:id="126" w:name="_Toc377569559"/>
      <w:r>
        <w:rPr>
          <w:rStyle w:val="CharSectno"/>
        </w:rPr>
        <w:t>33I</w:t>
      </w:r>
      <w:r>
        <w:t>.</w:t>
      </w:r>
      <w:r>
        <w:tab/>
        <w:t>Driver to produce driver’s licence for inspection</w:t>
      </w:r>
      <w:bookmarkEnd w:id="125"/>
      <w:bookmarkEnd w:id="126"/>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127" w:name="_Toc391991722"/>
      <w:bookmarkStart w:id="128" w:name="_Toc377569560"/>
      <w:r>
        <w:rPr>
          <w:rStyle w:val="CharSectno"/>
        </w:rPr>
        <w:t>33J</w:t>
      </w:r>
      <w:r>
        <w:t>.</w:t>
      </w:r>
      <w:r>
        <w:tab/>
        <w:t>Entry and exit of vehicles</w:t>
      </w:r>
      <w:bookmarkEnd w:id="127"/>
      <w:bookmarkEnd w:id="128"/>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129" w:name="_Toc391991723"/>
      <w:bookmarkStart w:id="130" w:name="_Toc377569561"/>
      <w:r>
        <w:rPr>
          <w:rStyle w:val="CharSectno"/>
        </w:rPr>
        <w:t>33K</w:t>
      </w:r>
      <w:r>
        <w:t>.</w:t>
      </w:r>
      <w:r>
        <w:tab/>
        <w:t>Traffic movement within Centre</w:t>
      </w:r>
      <w:bookmarkEnd w:id="129"/>
      <w:bookmarkEnd w:id="130"/>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131" w:name="_Toc391991724"/>
      <w:bookmarkStart w:id="132" w:name="_Toc377569562"/>
      <w:r>
        <w:rPr>
          <w:rStyle w:val="CharSectno"/>
        </w:rPr>
        <w:t>33L</w:t>
      </w:r>
      <w:r>
        <w:t>.</w:t>
      </w:r>
      <w:r>
        <w:tab/>
        <w:t>Speed limits</w:t>
      </w:r>
      <w:bookmarkEnd w:id="131"/>
      <w:bookmarkEnd w:id="132"/>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133" w:name="_Toc391991725"/>
      <w:bookmarkStart w:id="134" w:name="_Toc377569563"/>
      <w:r>
        <w:rPr>
          <w:rStyle w:val="CharSectno"/>
        </w:rPr>
        <w:t>33M</w:t>
      </w:r>
      <w:r>
        <w:t>.</w:t>
      </w:r>
      <w:r>
        <w:tab/>
        <w:t>Regulation of parking</w:t>
      </w:r>
      <w:bookmarkEnd w:id="133"/>
      <w:bookmarkEnd w:id="134"/>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135" w:name="_Toc391991726"/>
      <w:bookmarkStart w:id="136" w:name="_Toc377569564"/>
      <w:r>
        <w:rPr>
          <w:rStyle w:val="CharSectno"/>
        </w:rPr>
        <w:t>33N</w:t>
      </w:r>
      <w:r>
        <w:t>.</w:t>
      </w:r>
      <w:r>
        <w:tab/>
        <w:t>Parking permits</w:t>
      </w:r>
      <w:bookmarkEnd w:id="135"/>
      <w:bookmarkEnd w:id="136"/>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137" w:name="_Toc391991727"/>
      <w:bookmarkStart w:id="138" w:name="_Toc377569565"/>
      <w:r>
        <w:rPr>
          <w:rStyle w:val="CharSectno"/>
        </w:rPr>
        <w:t>33O</w:t>
      </w:r>
      <w:r>
        <w:t>.</w:t>
      </w:r>
      <w:r>
        <w:tab/>
        <w:t>Parking offences</w:t>
      </w:r>
      <w:bookmarkEnd w:id="137"/>
      <w:bookmarkEnd w:id="138"/>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139" w:name="_Toc391991728"/>
      <w:bookmarkStart w:id="140" w:name="_Toc377569566"/>
      <w:r>
        <w:rPr>
          <w:rStyle w:val="CharSectno"/>
        </w:rPr>
        <w:t>33P</w:t>
      </w:r>
      <w:r>
        <w:t>.</w:t>
      </w:r>
      <w:r>
        <w:tab/>
        <w:t>Directions and permissions given by inspector</w:t>
      </w:r>
      <w:bookmarkEnd w:id="139"/>
      <w:bookmarkEnd w:id="140"/>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141" w:name="_Toc377569567"/>
      <w:bookmarkStart w:id="142" w:name="_Toc391976944"/>
      <w:bookmarkStart w:id="143" w:name="_Toc391991729"/>
      <w:r>
        <w:rPr>
          <w:rStyle w:val="CharDivNo"/>
        </w:rPr>
        <w:t>Division 6</w:t>
      </w:r>
      <w:r>
        <w:t> — </w:t>
      </w:r>
      <w:r>
        <w:rPr>
          <w:rStyle w:val="CharDivText"/>
        </w:rPr>
        <w:t>General provisions</w:t>
      </w:r>
      <w:bookmarkEnd w:id="141"/>
      <w:bookmarkEnd w:id="142"/>
      <w:bookmarkEnd w:id="143"/>
    </w:p>
    <w:p>
      <w:pPr>
        <w:pStyle w:val="Footnoteheading"/>
      </w:pPr>
      <w:r>
        <w:tab/>
        <w:t>[Heading inserted in Gazette 6 Dec 2011 p. 5174.]</w:t>
      </w:r>
    </w:p>
    <w:p>
      <w:pPr>
        <w:pStyle w:val="Heading5"/>
      </w:pPr>
      <w:bookmarkStart w:id="144" w:name="_Toc391991730"/>
      <w:bookmarkStart w:id="145" w:name="_Toc377569568"/>
      <w:r>
        <w:rPr>
          <w:rStyle w:val="CharSectno"/>
        </w:rPr>
        <w:t>33Q</w:t>
      </w:r>
      <w:r>
        <w:t>.</w:t>
      </w:r>
      <w:r>
        <w:tab/>
        <w:t>Restrictions on smoking</w:t>
      </w:r>
      <w:bookmarkEnd w:id="144"/>
      <w:bookmarkEnd w:id="145"/>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146" w:name="_Toc391991731"/>
      <w:bookmarkStart w:id="147" w:name="_Toc377569569"/>
      <w:r>
        <w:rPr>
          <w:rStyle w:val="CharSectno"/>
        </w:rPr>
        <w:t>33R</w:t>
      </w:r>
      <w:r>
        <w:t>.</w:t>
      </w:r>
      <w:r>
        <w:tab/>
        <w:t>Disposal of rubbish and dead stock</w:t>
      </w:r>
      <w:bookmarkEnd w:id="146"/>
      <w:bookmarkEnd w:id="147"/>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148" w:name="_Toc391991732"/>
      <w:bookmarkStart w:id="149" w:name="_Toc377569570"/>
      <w:r>
        <w:rPr>
          <w:rStyle w:val="CharSectno"/>
        </w:rPr>
        <w:t>33S</w:t>
      </w:r>
      <w:r>
        <w:t>.</w:t>
      </w:r>
      <w:r>
        <w:tab/>
        <w:t>Consumption of alcohol prohibited</w:t>
      </w:r>
      <w:bookmarkEnd w:id="148"/>
      <w:bookmarkEnd w:id="14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150" w:name="_Toc391991733"/>
      <w:bookmarkStart w:id="151" w:name="_Toc377569571"/>
      <w:r>
        <w:rPr>
          <w:rStyle w:val="CharSectno"/>
        </w:rPr>
        <w:t>33T</w:t>
      </w:r>
      <w:r>
        <w:t>.</w:t>
      </w:r>
      <w:r>
        <w:tab/>
        <w:t>Spitting, urinating etc. except in toilet prohibited</w:t>
      </w:r>
      <w:bookmarkEnd w:id="150"/>
      <w:bookmarkEnd w:id="151"/>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152" w:name="_Toc391991734"/>
      <w:bookmarkStart w:id="153" w:name="_Toc377569572"/>
      <w:r>
        <w:rPr>
          <w:rStyle w:val="CharSectno"/>
        </w:rPr>
        <w:t>33U</w:t>
      </w:r>
      <w:r>
        <w:t>.</w:t>
      </w:r>
      <w:r>
        <w:tab/>
        <w:t>Dogs restricted</w:t>
      </w:r>
      <w:bookmarkEnd w:id="152"/>
      <w:bookmarkEnd w:id="153"/>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154" w:name="_Toc391991735"/>
      <w:bookmarkStart w:id="155" w:name="_Toc377569573"/>
      <w:r>
        <w:rPr>
          <w:rStyle w:val="CharSectno"/>
        </w:rPr>
        <w:t>33V</w:t>
      </w:r>
      <w:r>
        <w:t>.</w:t>
      </w:r>
      <w:r>
        <w:tab/>
        <w:t>Obstructing movement of vehicles, stock etc. prohibited</w:t>
      </w:r>
      <w:bookmarkEnd w:id="154"/>
      <w:bookmarkEnd w:id="155"/>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156" w:name="_Toc391991736"/>
      <w:bookmarkStart w:id="157" w:name="_Toc377569574"/>
      <w:r>
        <w:rPr>
          <w:rStyle w:val="CharSectno"/>
        </w:rPr>
        <w:t>33W</w:t>
      </w:r>
      <w:r>
        <w:t>.</w:t>
      </w:r>
      <w:r>
        <w:tab/>
        <w:t>Restrictions on signs</w:t>
      </w:r>
      <w:bookmarkEnd w:id="156"/>
      <w:bookmarkEnd w:id="157"/>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158" w:name="_Toc391991737"/>
      <w:bookmarkStart w:id="159" w:name="_Toc377569575"/>
      <w:r>
        <w:rPr>
          <w:rStyle w:val="CharSectno"/>
        </w:rPr>
        <w:t>33X</w:t>
      </w:r>
      <w:r>
        <w:t>.</w:t>
      </w:r>
      <w:r>
        <w:tab/>
        <w:t>Inspectors may direct compliance with this Part</w:t>
      </w:r>
      <w:bookmarkEnd w:id="158"/>
      <w:bookmarkEnd w:id="159"/>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160" w:name="_Toc377569576"/>
      <w:bookmarkStart w:id="161" w:name="_Toc391976953"/>
      <w:bookmarkStart w:id="162" w:name="_Toc391991738"/>
      <w:r>
        <w:rPr>
          <w:rStyle w:val="CharDivNo"/>
        </w:rPr>
        <w:t>Division 7</w:t>
      </w:r>
      <w:r>
        <w:t> — </w:t>
      </w:r>
      <w:r>
        <w:rPr>
          <w:rStyle w:val="CharDivText"/>
        </w:rPr>
        <w:t>Infringement notices</w:t>
      </w:r>
      <w:bookmarkEnd w:id="160"/>
      <w:bookmarkEnd w:id="161"/>
      <w:bookmarkEnd w:id="162"/>
    </w:p>
    <w:p>
      <w:pPr>
        <w:pStyle w:val="Footnoteheading"/>
      </w:pPr>
      <w:r>
        <w:tab/>
        <w:t>[Heading inserted in Gazette 6 Dec 2011 p. 5179.]</w:t>
      </w:r>
    </w:p>
    <w:p>
      <w:pPr>
        <w:pStyle w:val="Heading5"/>
      </w:pPr>
      <w:bookmarkStart w:id="163" w:name="_Toc391991739"/>
      <w:bookmarkStart w:id="164" w:name="_Toc377569577"/>
      <w:r>
        <w:rPr>
          <w:rStyle w:val="CharSectno"/>
        </w:rPr>
        <w:t>33Y</w:t>
      </w:r>
      <w:r>
        <w:t>.</w:t>
      </w:r>
      <w:r>
        <w:tab/>
        <w:t>Prescribed offences and modified penalties</w:t>
      </w:r>
      <w:bookmarkEnd w:id="163"/>
      <w:bookmarkEnd w:id="164"/>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165" w:name="_Toc391991740"/>
      <w:bookmarkStart w:id="166" w:name="_Toc377569578"/>
      <w:r>
        <w:rPr>
          <w:rStyle w:val="CharSectno"/>
        </w:rPr>
        <w:t>33ZA</w:t>
      </w:r>
      <w:r>
        <w:t>.</w:t>
      </w:r>
      <w:r>
        <w:tab/>
        <w:t>Authorised officers and approved officers</w:t>
      </w:r>
      <w:bookmarkEnd w:id="165"/>
      <w:bookmarkEnd w:id="166"/>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67" w:name="_Toc391991741"/>
      <w:bookmarkStart w:id="168" w:name="_Toc377569579"/>
      <w:r>
        <w:rPr>
          <w:rStyle w:val="CharSectno"/>
        </w:rPr>
        <w:t>33ZB</w:t>
      </w:r>
      <w:r>
        <w:t>.</w:t>
      </w:r>
      <w:r>
        <w:tab/>
        <w:t>Forms</w:t>
      </w:r>
      <w:bookmarkEnd w:id="167"/>
      <w:bookmarkEnd w:id="168"/>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69" w:name="_Toc377569580"/>
      <w:bookmarkStart w:id="170" w:name="_Toc391976957"/>
      <w:bookmarkStart w:id="171" w:name="_Toc391991742"/>
      <w:r>
        <w:rPr>
          <w:rStyle w:val="CharPartNo"/>
        </w:rPr>
        <w:t>Part VII</w:t>
      </w:r>
      <w:r>
        <w:rPr>
          <w:rStyle w:val="CharDivNo"/>
        </w:rPr>
        <w:t> </w:t>
      </w:r>
      <w:r>
        <w:t>—</w:t>
      </w:r>
      <w:r>
        <w:rPr>
          <w:rStyle w:val="CharDivText"/>
        </w:rPr>
        <w:t> </w:t>
      </w:r>
      <w:r>
        <w:rPr>
          <w:rStyle w:val="CharPartText"/>
        </w:rPr>
        <w:t>Fees and returns</w:t>
      </w:r>
      <w:bookmarkEnd w:id="169"/>
      <w:bookmarkEnd w:id="170"/>
      <w:bookmarkEnd w:id="171"/>
    </w:p>
    <w:p>
      <w:pPr>
        <w:pStyle w:val="Footnoteheading"/>
        <w:rPr>
          <w:snapToGrid w:val="0"/>
        </w:rPr>
      </w:pPr>
      <w:r>
        <w:rPr>
          <w:snapToGrid w:val="0"/>
        </w:rPr>
        <w:tab/>
        <w:t>[Heading inserted in Gazette 2 Feb 1996 p. 391]</w:t>
      </w:r>
    </w:p>
    <w:p>
      <w:pPr>
        <w:pStyle w:val="Heading5"/>
        <w:rPr>
          <w:snapToGrid w:val="0"/>
        </w:rPr>
      </w:pPr>
      <w:bookmarkStart w:id="172" w:name="_Toc391991743"/>
      <w:bookmarkStart w:id="173" w:name="_Toc377569581"/>
      <w:r>
        <w:rPr>
          <w:rStyle w:val="CharSectno"/>
        </w:rPr>
        <w:t>33</w:t>
      </w:r>
      <w:r>
        <w:rPr>
          <w:snapToGrid w:val="0"/>
        </w:rPr>
        <w:t>.</w:t>
      </w:r>
      <w:r>
        <w:rPr>
          <w:snapToGrid w:val="0"/>
        </w:rPr>
        <w:tab/>
        <w:t>Abattoir fees</w:t>
      </w:r>
      <w:bookmarkEnd w:id="172"/>
      <w:bookmarkEnd w:id="173"/>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174" w:name="_Toc391991744"/>
      <w:bookmarkStart w:id="175" w:name="_Toc377569582"/>
      <w:r>
        <w:rPr>
          <w:rStyle w:val="CharSectno"/>
        </w:rPr>
        <w:t>34A</w:t>
      </w:r>
      <w:r>
        <w:t>.</w:t>
      </w:r>
      <w:r>
        <w:tab/>
        <w:t>Fees for approvals and renewals of approvals as stock agent</w:t>
      </w:r>
      <w:bookmarkEnd w:id="174"/>
      <w:bookmarkEnd w:id="175"/>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176" w:author="Master Repository Process" w:date="2021-09-25T01:44:00Z"/>
        </w:rPr>
      </w:pPr>
      <w:del w:id="177" w:author="Master Repository Process" w:date="2021-09-25T01:4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v:imagedata r:id="rId16" o:title=""/>
            </v:shape>
          </w:pict>
        </w:r>
      </w:del>
    </w:p>
    <w:p>
      <w:pPr>
        <w:pStyle w:val="Equation"/>
        <w:spacing w:before="120" w:after="120"/>
        <w:jc w:val="center"/>
        <w:rPr>
          <w:ins w:id="178" w:author="Master Repository Process" w:date="2021-09-25T01:44:00Z"/>
        </w:rPr>
      </w:pPr>
      <w:ins w:id="179" w:author="Master Repository Process" w:date="2021-09-25T01:44:00Z">
        <w:r>
          <w:rPr>
            <w:position w:val="-24"/>
          </w:rPr>
          <w:pict>
            <v:shape id="_x0000_i1026" type="#_x0000_t75" style="width:52.5pt;height:31.5pt">
              <v:imagedata r:id="rId16"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180" w:name="_Toc391991745"/>
      <w:bookmarkStart w:id="181" w:name="_Toc377569583"/>
      <w:r>
        <w:rPr>
          <w:rStyle w:val="CharSectno"/>
        </w:rPr>
        <w:t>34B</w:t>
      </w:r>
      <w:r>
        <w:t>.</w:t>
      </w:r>
      <w:r>
        <w:tab/>
        <w:t>Fees for parking permits in Muchea Livestock Centre</w:t>
      </w:r>
      <w:bookmarkEnd w:id="180"/>
      <w:bookmarkEnd w:id="181"/>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182" w:name="_Toc391991746"/>
      <w:bookmarkStart w:id="183" w:name="_Toc377569584"/>
      <w:r>
        <w:rPr>
          <w:rStyle w:val="CharSectno"/>
        </w:rPr>
        <w:t>34</w:t>
      </w:r>
      <w:r>
        <w:t>.</w:t>
      </w:r>
      <w:r>
        <w:tab/>
        <w:t>Muchea Livestock Centre fees</w:t>
      </w:r>
      <w:bookmarkEnd w:id="182"/>
      <w:bookmarkEnd w:id="183"/>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184" w:name="_Toc391991747"/>
      <w:bookmarkStart w:id="185" w:name="_Toc377569585"/>
      <w:r>
        <w:rPr>
          <w:rStyle w:val="CharSectno"/>
        </w:rPr>
        <w:t>35A</w:t>
      </w:r>
      <w:r>
        <w:t>.</w:t>
      </w:r>
      <w:r>
        <w:tab/>
        <w:t>Circumstances in which yard fees reduced or not payable</w:t>
      </w:r>
      <w:bookmarkEnd w:id="184"/>
      <w:bookmarkEnd w:id="185"/>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186" w:name="_Toc391991748"/>
      <w:bookmarkStart w:id="187" w:name="_Toc377569586"/>
      <w:r>
        <w:rPr>
          <w:rStyle w:val="CharSectno"/>
        </w:rPr>
        <w:t>35</w:t>
      </w:r>
      <w:r>
        <w:rPr>
          <w:snapToGrid w:val="0"/>
        </w:rPr>
        <w:t>.</w:t>
      </w:r>
      <w:r>
        <w:rPr>
          <w:snapToGrid w:val="0"/>
        </w:rPr>
        <w:tab/>
        <w:t>Returns for yarded stock</w:t>
      </w:r>
      <w:bookmarkEnd w:id="186"/>
      <w:bookmarkEnd w:id="187"/>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188" w:name="_Toc391991749"/>
      <w:bookmarkStart w:id="189" w:name="_Toc377569587"/>
      <w:r>
        <w:rPr>
          <w:rStyle w:val="CharSectno"/>
        </w:rPr>
        <w:t>36A</w:t>
      </w:r>
      <w:r>
        <w:t>.</w:t>
      </w:r>
      <w:r>
        <w:tab/>
        <w:t>Stock treated as yarded for transhipment</w:t>
      </w:r>
      <w:bookmarkEnd w:id="188"/>
      <w:bookmarkEnd w:id="189"/>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90" w:name="_Toc391991750"/>
      <w:bookmarkStart w:id="191" w:name="_Toc377569588"/>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90"/>
      <w:bookmarkEnd w:id="19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92" w:name="_Toc377569589"/>
      <w:bookmarkStart w:id="193" w:name="_Toc391976966"/>
      <w:bookmarkStart w:id="194" w:name="_Toc391991751"/>
      <w:r>
        <w:rPr>
          <w:rStyle w:val="CharSchNo"/>
        </w:rPr>
        <w:t>Schedule 1</w:t>
      </w:r>
      <w:bookmarkEnd w:id="192"/>
      <w:bookmarkEnd w:id="193"/>
      <w:bookmarkEnd w:id="194"/>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95" w:name="_Toc377569590"/>
      <w:bookmarkStart w:id="196" w:name="_Toc391976967"/>
      <w:bookmarkStart w:id="197" w:name="_Toc391991752"/>
      <w:r>
        <w:t>Part</w:t>
      </w:r>
      <w:r>
        <w:rPr>
          <w:rStyle w:val="CharSDivText"/>
        </w:rPr>
        <w:t xml:space="preserve"> </w:t>
      </w:r>
      <w:r>
        <w:t>A</w:t>
      </w:r>
      <w:bookmarkEnd w:id="195"/>
      <w:bookmarkEnd w:id="196"/>
      <w:bookmarkEnd w:id="197"/>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98" w:name="_Toc377569591"/>
      <w:bookmarkStart w:id="199" w:name="_Toc391976968"/>
      <w:bookmarkStart w:id="200" w:name="_Toc391991753"/>
      <w:r>
        <w:t>Part B</w:t>
      </w:r>
      <w:bookmarkEnd w:id="198"/>
      <w:bookmarkEnd w:id="199"/>
      <w:bookmarkEnd w:id="200"/>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201" w:name="_Toc377569592"/>
      <w:bookmarkStart w:id="202" w:name="_Toc391976969"/>
      <w:bookmarkStart w:id="203" w:name="_Toc391991754"/>
      <w:r>
        <w:t>Part C</w:t>
      </w:r>
      <w:bookmarkEnd w:id="201"/>
      <w:bookmarkEnd w:id="202"/>
      <w:bookmarkEnd w:id="203"/>
    </w:p>
    <w:p>
      <w:pPr>
        <w:jc w:val="center"/>
      </w:pPr>
      <w:r>
        <w:pict>
          <v:shape id="_x0000_i1027" type="#_x0000_t75" style="width:91.5pt;height:257.25pt" fillcolor="window">
            <v:imagedata r:id="rId25" o:title=""/>
          </v:shape>
        </w:pict>
      </w:r>
    </w:p>
    <w:p>
      <w:pPr>
        <w:pStyle w:val="yScheduleHeading"/>
      </w:pPr>
      <w:bookmarkStart w:id="204" w:name="_Toc377569593"/>
      <w:bookmarkStart w:id="205" w:name="_Toc391976970"/>
      <w:bookmarkStart w:id="206" w:name="_Toc391991755"/>
      <w:r>
        <w:rPr>
          <w:rStyle w:val="CharSchNo"/>
        </w:rPr>
        <w:t>Schedule 2</w:t>
      </w:r>
      <w:bookmarkEnd w:id="204"/>
      <w:bookmarkEnd w:id="205"/>
      <w:bookmarkEnd w:id="206"/>
    </w:p>
    <w:p>
      <w:pPr>
        <w:pStyle w:val="yShoulderClause"/>
        <w:rPr>
          <w:snapToGrid w:val="0"/>
        </w:rPr>
      </w:pPr>
      <w:r>
        <w:rPr>
          <w:snapToGrid w:val="0"/>
        </w:rPr>
        <w:t>[regulation 13]</w:t>
      </w:r>
    </w:p>
    <w:p>
      <w:pPr>
        <w:pStyle w:val="yHeading2"/>
        <w:spacing w:after="240"/>
      </w:pPr>
      <w:bookmarkStart w:id="207" w:name="_Toc377569594"/>
      <w:bookmarkStart w:id="208" w:name="_Toc391976971"/>
      <w:bookmarkStart w:id="209" w:name="_Toc391991756"/>
      <w:r>
        <w:t>Part A</w:t>
      </w:r>
      <w:bookmarkEnd w:id="207"/>
      <w:bookmarkEnd w:id="208"/>
      <w:bookmarkEnd w:id="209"/>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10" w:name="_Toc377569595"/>
      <w:bookmarkStart w:id="211" w:name="_Toc391976972"/>
      <w:bookmarkStart w:id="212" w:name="_Toc391991757"/>
      <w:r>
        <w:t>Part B</w:t>
      </w:r>
      <w:bookmarkEnd w:id="210"/>
      <w:bookmarkEnd w:id="211"/>
      <w:bookmarkEnd w:id="212"/>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13" w:name="_Toc377569596"/>
      <w:bookmarkStart w:id="214" w:name="_Toc391976973"/>
      <w:bookmarkStart w:id="215" w:name="_Toc391991758"/>
      <w:r>
        <w:rPr>
          <w:rStyle w:val="CharSchNo"/>
        </w:rPr>
        <w:t>Schedule 3</w:t>
      </w:r>
      <w:bookmarkEnd w:id="213"/>
      <w:bookmarkEnd w:id="214"/>
      <w:bookmarkEnd w:id="215"/>
    </w:p>
    <w:p>
      <w:pPr>
        <w:pStyle w:val="yShoulderClause"/>
        <w:rPr>
          <w:snapToGrid w:val="0"/>
        </w:rPr>
      </w:pPr>
      <w:r>
        <w:rPr>
          <w:snapToGrid w:val="0"/>
        </w:rPr>
        <w:t>[regulation 14]</w:t>
      </w:r>
    </w:p>
    <w:p>
      <w:pPr>
        <w:pStyle w:val="yHeading2"/>
        <w:spacing w:after="240"/>
      </w:pPr>
      <w:bookmarkStart w:id="216" w:name="_Toc377569597"/>
      <w:bookmarkStart w:id="217" w:name="_Toc391976974"/>
      <w:bookmarkStart w:id="218" w:name="_Toc391991759"/>
      <w:r>
        <w:t>Part A</w:t>
      </w:r>
      <w:bookmarkEnd w:id="216"/>
      <w:bookmarkEnd w:id="217"/>
      <w:bookmarkEnd w:id="218"/>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219" w:name="_Toc377569598"/>
      <w:bookmarkStart w:id="220" w:name="_Toc391976975"/>
      <w:bookmarkStart w:id="221" w:name="_Toc391991760"/>
      <w:r>
        <w:t>Part B</w:t>
      </w:r>
      <w:bookmarkEnd w:id="219"/>
      <w:bookmarkEnd w:id="220"/>
      <w:bookmarkEnd w:id="221"/>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222" w:name="_Toc377569599"/>
      <w:bookmarkStart w:id="223" w:name="_Toc391976976"/>
      <w:bookmarkStart w:id="224" w:name="_Toc391991761"/>
      <w:r>
        <w:t>Part C</w:t>
      </w:r>
      <w:bookmarkEnd w:id="222"/>
      <w:bookmarkEnd w:id="223"/>
      <w:bookmarkEnd w:id="224"/>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225" w:name="_Toc377569600"/>
      <w:bookmarkStart w:id="226" w:name="_Toc391976977"/>
      <w:bookmarkStart w:id="227" w:name="_Toc391991762"/>
      <w:r>
        <w:t>Part D</w:t>
      </w:r>
      <w:bookmarkEnd w:id="225"/>
      <w:bookmarkEnd w:id="226"/>
      <w:bookmarkEnd w:id="227"/>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yScheduleHeading"/>
      </w:pPr>
      <w:bookmarkStart w:id="228" w:name="_Toc377569601"/>
      <w:bookmarkStart w:id="229" w:name="_Toc391976978"/>
      <w:bookmarkStart w:id="230" w:name="_Toc391991763"/>
      <w:r>
        <w:rPr>
          <w:rStyle w:val="CharSchNo"/>
        </w:rPr>
        <w:t>Schedule 4</w:t>
      </w:r>
      <w:bookmarkEnd w:id="228"/>
      <w:bookmarkEnd w:id="229"/>
      <w:bookmarkEnd w:id="230"/>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231" w:name="_Toc391991764"/>
      <w:bookmarkStart w:id="232" w:name="_Toc377569602"/>
      <w:r>
        <w:rPr>
          <w:rStyle w:val="CharSClsNo"/>
        </w:rPr>
        <w:t>1</w:t>
      </w:r>
      <w:r>
        <w:rPr>
          <w:snapToGrid w:val="0"/>
        </w:rPr>
        <w:t>.</w:t>
      </w:r>
      <w:r>
        <w:rPr>
          <w:snapToGrid w:val="0"/>
        </w:rPr>
        <w:tab/>
        <w:t>Pigs</w:t>
      </w:r>
      <w:bookmarkEnd w:id="231"/>
      <w:bookmarkEnd w:id="23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233" w:name="_Toc391991765"/>
      <w:bookmarkStart w:id="234" w:name="_Toc377569603"/>
      <w:r>
        <w:rPr>
          <w:rStyle w:val="CharSClsNo"/>
        </w:rPr>
        <w:t>2</w:t>
      </w:r>
      <w:r>
        <w:rPr>
          <w:snapToGrid w:val="0"/>
        </w:rPr>
        <w:t>.</w:t>
      </w:r>
      <w:r>
        <w:rPr>
          <w:snapToGrid w:val="0"/>
        </w:rPr>
        <w:tab/>
        <w:t>Cattle</w:t>
      </w:r>
      <w:bookmarkEnd w:id="233"/>
      <w:bookmarkEnd w:id="234"/>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235" w:name="_Toc391991766"/>
      <w:bookmarkStart w:id="236" w:name="_Toc377569604"/>
      <w:r>
        <w:rPr>
          <w:rStyle w:val="CharSClsNo"/>
        </w:rPr>
        <w:t>3</w:t>
      </w:r>
      <w:r>
        <w:rPr>
          <w:snapToGrid w:val="0"/>
        </w:rPr>
        <w:t>.</w:t>
      </w:r>
      <w:r>
        <w:rPr>
          <w:snapToGrid w:val="0"/>
        </w:rPr>
        <w:tab/>
        <w:t>Sheep</w:t>
      </w:r>
      <w:bookmarkEnd w:id="235"/>
      <w:bookmarkEnd w:id="236"/>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237" w:name="_Toc391991767"/>
      <w:bookmarkStart w:id="238" w:name="_Toc377569605"/>
      <w:r>
        <w:rPr>
          <w:rStyle w:val="CharSClsNo"/>
        </w:rPr>
        <w:t>4</w:t>
      </w:r>
      <w:r>
        <w:rPr>
          <w:snapToGrid w:val="0"/>
        </w:rPr>
        <w:t>.</w:t>
      </w:r>
      <w:r>
        <w:rPr>
          <w:snapToGrid w:val="0"/>
        </w:rPr>
        <w:tab/>
        <w:t>Goats</w:t>
      </w:r>
      <w:bookmarkEnd w:id="237"/>
      <w:bookmarkEnd w:id="238"/>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ScheduleHeading"/>
      </w:pPr>
      <w:bookmarkStart w:id="239" w:name="_Toc377569606"/>
      <w:bookmarkStart w:id="240" w:name="_Toc391976983"/>
      <w:bookmarkStart w:id="241" w:name="_Toc391991768"/>
      <w:r>
        <w:rPr>
          <w:rStyle w:val="CharSchNo"/>
        </w:rPr>
        <w:t>Schedule 5</w:t>
      </w:r>
      <w:bookmarkEnd w:id="239"/>
      <w:bookmarkEnd w:id="240"/>
      <w:bookmarkEnd w:id="241"/>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yScheduleHeading"/>
      </w:pPr>
      <w:bookmarkStart w:id="242" w:name="_Toc377569607"/>
      <w:bookmarkStart w:id="243" w:name="_Toc391976984"/>
      <w:bookmarkStart w:id="244" w:name="_Toc391991769"/>
      <w:r>
        <w:rPr>
          <w:rStyle w:val="CharSchNo"/>
        </w:rPr>
        <w:t>Schedule 6A</w:t>
      </w:r>
      <w:r>
        <w:t> — </w:t>
      </w:r>
      <w:r>
        <w:rPr>
          <w:rStyle w:val="CharSchText"/>
        </w:rPr>
        <w:t>Prescribed offences and modified penalties</w:t>
      </w:r>
      <w:bookmarkEnd w:id="242"/>
      <w:bookmarkEnd w:id="243"/>
      <w:bookmarkEnd w:id="244"/>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1276" w:type="dxa"/>
          </w:tcPr>
          <w:p>
            <w:pPr>
              <w:pStyle w:val="yTableNAm"/>
            </w:pPr>
            <w:r>
              <w:br/>
            </w: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w:t>
      </w:r>
    </w:p>
    <w:p>
      <w:pPr>
        <w:sectPr>
          <w:headerReference w:type="even" r:id="rId39"/>
          <w:headerReference w:type="default" r:id="rId40"/>
          <w:pgSz w:w="11906" w:h="16838" w:code="9"/>
          <w:pgMar w:top="2376" w:right="2405" w:bottom="3542" w:left="2405" w:header="706" w:footer="3380" w:gutter="0"/>
          <w:cols w:space="720"/>
          <w:noEndnote/>
          <w:docGrid w:linePitch="326"/>
        </w:sectPr>
      </w:pPr>
    </w:p>
    <w:p>
      <w:pPr>
        <w:pStyle w:val="yScheduleHeading"/>
      </w:pPr>
      <w:bookmarkStart w:id="245" w:name="_Toc377569608"/>
      <w:bookmarkStart w:id="246" w:name="_Toc391976985"/>
      <w:bookmarkStart w:id="247" w:name="_Toc391991770"/>
      <w:r>
        <w:rPr>
          <w:rStyle w:val="CharSchNo"/>
        </w:rPr>
        <w:t>Schedule 6B</w:t>
      </w:r>
      <w:r>
        <w:t> — </w:t>
      </w:r>
      <w:r>
        <w:rPr>
          <w:rStyle w:val="CharSchText"/>
        </w:rPr>
        <w:t>Forms: infringement notices</w:t>
      </w:r>
      <w:bookmarkEnd w:id="245"/>
      <w:bookmarkEnd w:id="246"/>
      <w:bookmarkEnd w:id="247"/>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7"/>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1"/>
          <w:headerReference w:type="default" r:id="rId42"/>
          <w:pgSz w:w="11906" w:h="16838" w:code="9"/>
          <w:pgMar w:top="2376" w:right="2405" w:bottom="3542" w:left="2405" w:header="706" w:footer="3380" w:gutter="0"/>
          <w:cols w:space="720"/>
          <w:noEndnote/>
          <w:docGrid w:linePitch="326"/>
        </w:sectPr>
      </w:pPr>
    </w:p>
    <w:p>
      <w:pPr>
        <w:pStyle w:val="yScheduleHeading"/>
      </w:pPr>
      <w:bookmarkStart w:id="248" w:name="_Toc377569609"/>
      <w:bookmarkStart w:id="249" w:name="_Toc391976986"/>
      <w:bookmarkStart w:id="250" w:name="_Toc391991771"/>
      <w:r>
        <w:rPr>
          <w:rStyle w:val="CharSchNo"/>
        </w:rPr>
        <w:t>Schedule 6</w:t>
      </w:r>
      <w:r>
        <w:t> — </w:t>
      </w:r>
      <w:r>
        <w:rPr>
          <w:rStyle w:val="CharSchText"/>
        </w:rPr>
        <w:t>Fees</w:t>
      </w:r>
      <w:bookmarkEnd w:id="248"/>
      <w:bookmarkEnd w:id="249"/>
      <w:bookmarkEnd w:id="250"/>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251" w:name="_Toc377569610"/>
      <w:bookmarkStart w:id="252" w:name="_Toc391976987"/>
      <w:bookmarkStart w:id="253" w:name="_Toc391991772"/>
      <w:r>
        <w:rPr>
          <w:rStyle w:val="CharSDivNo"/>
          <w:sz w:val="28"/>
          <w:szCs w:val="28"/>
        </w:rPr>
        <w:t>Part 1</w:t>
      </w:r>
      <w:r>
        <w:t> — </w:t>
      </w:r>
      <w:r>
        <w:rPr>
          <w:rStyle w:val="CharSDivText"/>
          <w:sz w:val="28"/>
          <w:szCs w:val="28"/>
        </w:rPr>
        <w:t>Abattoir fees</w:t>
      </w:r>
      <w:bookmarkEnd w:id="251"/>
      <w:bookmarkEnd w:id="252"/>
      <w:bookmarkEnd w:id="253"/>
    </w:p>
    <w:p>
      <w:pPr>
        <w:pStyle w:val="yFootnoteheading"/>
        <w:spacing w:after="120"/>
      </w:pPr>
      <w:r>
        <w:tab/>
        <w:t>[Heading inserted in Gazette 14 Sep 2012 p. 4369.]</w:t>
      </w:r>
    </w:p>
    <w:tbl>
      <w:tblPr>
        <w:tblW w:w="7088" w:type="dxa"/>
        <w:tblInd w:w="108" w:type="dxa"/>
        <w:tblLayout w:type="fixed"/>
        <w:tblLook w:val="0000" w:firstRow="0" w:lastRow="0" w:firstColumn="0" w:lastColumn="0" w:noHBand="0" w:noVBand="0"/>
      </w:tblPr>
      <w:tblGrid>
        <w:gridCol w:w="5400"/>
        <w:gridCol w:w="1688"/>
      </w:tblGrid>
      <w:tr>
        <w:trPr>
          <w:cantSplit/>
        </w:trPr>
        <w:tc>
          <w:tcPr>
            <w:tcW w:w="5400"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688" w:type="dxa"/>
          </w:tcPr>
          <w:p>
            <w:pPr>
              <w:pStyle w:val="yTableNAm"/>
              <w:keepNext/>
            </w:pPr>
          </w:p>
        </w:tc>
      </w:tr>
      <w:tr>
        <w:trPr>
          <w:cantSplit/>
        </w:trPr>
        <w:tc>
          <w:tcPr>
            <w:tcW w:w="5400"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688" w:type="dxa"/>
          </w:tcPr>
          <w:p>
            <w:pPr>
              <w:pStyle w:val="yTableNAm"/>
              <w:keepNext/>
            </w:pPr>
            <w:r>
              <w:t>$794.00</w:t>
            </w:r>
          </w:p>
        </w:tc>
      </w:tr>
      <w:tr>
        <w:trPr>
          <w:cantSplit/>
        </w:trPr>
        <w:tc>
          <w:tcPr>
            <w:tcW w:w="5400"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 ..</w:t>
            </w:r>
          </w:p>
        </w:tc>
        <w:tc>
          <w:tcPr>
            <w:tcW w:w="1688" w:type="dxa"/>
          </w:tcPr>
          <w:p>
            <w:pPr>
              <w:pStyle w:val="yTableNAm"/>
            </w:pPr>
            <w:r>
              <w:t>$1 058.00</w:t>
            </w:r>
          </w:p>
        </w:tc>
      </w:tr>
      <w:tr>
        <w:trPr>
          <w:cantSplit/>
        </w:trPr>
        <w:tc>
          <w:tcPr>
            <w:tcW w:w="5400" w:type="dxa"/>
          </w:tcPr>
          <w:p>
            <w:pPr>
              <w:pStyle w:val="yTableNAm"/>
              <w:tabs>
                <w:tab w:val="clear" w:pos="567"/>
                <w:tab w:val="left" w:pos="470"/>
                <w:tab w:val="left" w:pos="978"/>
                <w:tab w:val="right" w:leader="dot" w:pos="5279"/>
              </w:tabs>
              <w:spacing w:before="160"/>
            </w:pPr>
            <w:r>
              <w:t>2.</w:t>
            </w:r>
            <w:r>
              <w:tab/>
              <w:t xml:space="preserve">Annual fee for approval to operate — </w:t>
            </w:r>
          </w:p>
        </w:tc>
        <w:tc>
          <w:tcPr>
            <w:tcW w:w="1688" w:type="dxa"/>
          </w:tcPr>
          <w:p>
            <w:pPr>
              <w:pStyle w:val="yTableNAm"/>
              <w:spacing w:before="160"/>
            </w:pPr>
          </w:p>
        </w:tc>
      </w:tr>
      <w:tr>
        <w:trPr>
          <w:cantSplit/>
        </w:trPr>
        <w:tc>
          <w:tcPr>
            <w:tcW w:w="5400" w:type="dxa"/>
          </w:tcPr>
          <w:p>
            <w:pPr>
              <w:pStyle w:val="yTableNAm"/>
              <w:tabs>
                <w:tab w:val="clear" w:pos="567"/>
                <w:tab w:val="left" w:pos="470"/>
                <w:tab w:val="left" w:pos="884"/>
                <w:tab w:val="right" w:leader="dot" w:pos="5008"/>
              </w:tabs>
              <w:ind w:left="885" w:hanging="885"/>
            </w:pPr>
            <w:r>
              <w:tab/>
              <w:t>(a)</w:t>
            </w:r>
            <w:r>
              <w:tab/>
              <w:t>an abattoir that is accredited by Aus</w:t>
            </w:r>
            <w:r>
              <w:noBreakHyphen/>
              <w:t xml:space="preserve">Meat </w:t>
            </w:r>
            <w:r>
              <w:tab/>
            </w:r>
          </w:p>
        </w:tc>
        <w:tc>
          <w:tcPr>
            <w:tcW w:w="1688" w:type="dxa"/>
          </w:tcPr>
          <w:p>
            <w:pPr>
              <w:pStyle w:val="yTableNAm"/>
            </w:pPr>
            <w:r>
              <w:rPr>
                <w:szCs w:val="22"/>
              </w:rPr>
              <w:t>$</w:t>
            </w:r>
            <w:del w:id="254" w:author="Master Repository Process" w:date="2021-09-25T01:44:00Z">
              <w:r>
                <w:rPr>
                  <w:szCs w:val="22"/>
                </w:rPr>
                <w:delText>825.22</w:delText>
              </w:r>
            </w:del>
            <w:ins w:id="255" w:author="Master Repository Process" w:date="2021-09-25T01:44:00Z">
              <w:r>
                <w:rPr>
                  <w:szCs w:val="22"/>
                </w:rPr>
                <w:t>847.50</w:t>
              </w:r>
            </w:ins>
            <w:r>
              <w:rPr>
                <w:szCs w:val="22"/>
              </w:rPr>
              <w:t xml:space="preserve"> </w:t>
            </w:r>
            <w:r>
              <w:t>plus throughput fee</w:t>
            </w:r>
          </w:p>
        </w:tc>
      </w:tr>
      <w:tr>
        <w:trPr>
          <w:cantSplit/>
        </w:trPr>
        <w:tc>
          <w:tcPr>
            <w:tcW w:w="5400"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Meat ..</w:t>
            </w:r>
          </w:p>
        </w:tc>
        <w:tc>
          <w:tcPr>
            <w:tcW w:w="1688" w:type="dxa"/>
          </w:tcPr>
          <w:p>
            <w:pPr>
              <w:pStyle w:val="yTableNAm"/>
            </w:pPr>
            <w:r>
              <w:rPr>
                <w:szCs w:val="22"/>
              </w:rPr>
              <w:t>$1 </w:t>
            </w:r>
            <w:del w:id="256" w:author="Master Repository Process" w:date="2021-09-25T01:44:00Z">
              <w:r>
                <w:rPr>
                  <w:szCs w:val="22"/>
                </w:rPr>
                <w:delText>038.21</w:delText>
              </w:r>
            </w:del>
            <w:ins w:id="257" w:author="Master Repository Process" w:date="2021-09-25T01:44:00Z">
              <w:r>
                <w:rPr>
                  <w:szCs w:val="22"/>
                </w:rPr>
                <w:t>066.24</w:t>
              </w:r>
            </w:ins>
            <w:r>
              <w:t xml:space="preserve"> plus throughput fee</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3.</w:t>
            </w:r>
            <w:r>
              <w:tab/>
              <w:t xml:space="preserve">Application to construct an abattoir </w:t>
            </w:r>
            <w:r>
              <w:tab/>
            </w:r>
          </w:p>
        </w:tc>
        <w:tc>
          <w:tcPr>
            <w:tcW w:w="1688" w:type="dxa"/>
          </w:tcPr>
          <w:p>
            <w:pPr>
              <w:pStyle w:val="yTableNAm"/>
              <w:spacing w:before="160"/>
            </w:pPr>
            <w:r>
              <w:rPr>
                <w:szCs w:val="22"/>
              </w:rPr>
              <w:t>$</w:t>
            </w:r>
            <w:del w:id="258" w:author="Master Repository Process" w:date="2021-09-25T01:44:00Z">
              <w:r>
                <w:rPr>
                  <w:szCs w:val="22"/>
                </w:rPr>
                <w:delText>275.00</w:delText>
              </w:r>
            </w:del>
            <w:ins w:id="259" w:author="Master Repository Process" w:date="2021-09-25T01:44:00Z">
              <w:r>
                <w:rPr>
                  <w:szCs w:val="22"/>
                </w:rPr>
                <w:t>282.43</w:t>
              </w:r>
            </w:ins>
          </w:p>
        </w:tc>
      </w:tr>
      <w:tr>
        <w:trPr>
          <w:cantSplit/>
        </w:trPr>
        <w:tc>
          <w:tcPr>
            <w:tcW w:w="5400" w:type="dxa"/>
          </w:tcPr>
          <w:p>
            <w:pPr>
              <w:pStyle w:val="yTableNAm"/>
              <w:tabs>
                <w:tab w:val="clear" w:pos="567"/>
                <w:tab w:val="left" w:pos="470"/>
                <w:tab w:val="left" w:pos="884"/>
                <w:tab w:val="right" w:leader="dot" w:pos="5008"/>
              </w:tabs>
              <w:spacing w:before="160"/>
              <w:ind w:left="882" w:hanging="882"/>
            </w:pPr>
            <w:r>
              <w:t>4.</w:t>
            </w:r>
            <w:r>
              <w:tab/>
              <w:t xml:space="preserve">Notification of a change of ownership </w:t>
            </w:r>
            <w:r>
              <w:tab/>
            </w:r>
          </w:p>
        </w:tc>
        <w:tc>
          <w:tcPr>
            <w:tcW w:w="1688" w:type="dxa"/>
          </w:tcPr>
          <w:p>
            <w:pPr>
              <w:pStyle w:val="yTableNAm"/>
              <w:spacing w:before="160"/>
            </w:pPr>
            <w:r>
              <w:rPr>
                <w:szCs w:val="22"/>
              </w:rPr>
              <w:t>$300.00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5.</w:t>
            </w:r>
            <w:r>
              <w:tab/>
              <w:t xml:space="preserve">Any other notification under regulation 23 </w:t>
            </w:r>
            <w:r>
              <w:tab/>
            </w:r>
          </w:p>
        </w:tc>
        <w:tc>
          <w:tcPr>
            <w:tcW w:w="1688" w:type="dxa"/>
          </w:tcPr>
          <w:p>
            <w:pPr>
              <w:pStyle w:val="yTableNAm"/>
              <w:spacing w:before="160"/>
            </w:pPr>
            <w:r>
              <w:t>$53.00</w:t>
            </w:r>
          </w:p>
        </w:tc>
      </w:tr>
      <w:tr>
        <w:trPr>
          <w:cantSplit/>
        </w:trPr>
        <w:tc>
          <w:tcPr>
            <w:tcW w:w="5400" w:type="dxa"/>
          </w:tcPr>
          <w:p>
            <w:pPr>
              <w:pStyle w:val="yTableNAm"/>
              <w:tabs>
                <w:tab w:val="clear" w:pos="567"/>
                <w:tab w:val="left" w:pos="459"/>
                <w:tab w:val="right" w:leader="dot" w:pos="5008"/>
              </w:tabs>
              <w:spacing w:before="160"/>
              <w:ind w:left="448" w:hanging="448"/>
            </w:pPr>
            <w:r>
              <w:t>6.</w:t>
            </w:r>
            <w:r>
              <w:tab/>
              <w:t>Application for variation of approval of conditions ..</w:t>
            </w:r>
          </w:p>
        </w:tc>
        <w:tc>
          <w:tcPr>
            <w:tcW w:w="1688" w:type="dxa"/>
          </w:tcPr>
          <w:p>
            <w:pPr>
              <w:pStyle w:val="yTableNAm"/>
              <w:spacing w:before="160"/>
            </w:pPr>
            <w:r>
              <w:t>$53.00</w:t>
            </w:r>
          </w:p>
        </w:tc>
      </w:tr>
    </w:tbl>
    <w:p>
      <w:pPr>
        <w:pStyle w:val="yFootnotesection"/>
      </w:pPr>
      <w:r>
        <w:tab/>
        <w:t>[Part 1 inserted in Gazette 14 Sep 2012 p. 4369</w:t>
      </w:r>
      <w:r>
        <w:noBreakHyphen/>
        <w:t>70; amended in Gazette 8 Feb 2013 p. 864; 27 Aug 2013 p. 4052</w:t>
      </w:r>
      <w:ins w:id="260" w:author="Master Repository Process" w:date="2021-09-25T01:44:00Z">
        <w:r>
          <w:t>; 1 Jul 2014 p. 2331</w:t>
        </w:r>
        <w:r>
          <w:noBreakHyphen/>
          <w:t>2</w:t>
        </w:r>
      </w:ins>
      <w:r>
        <w:t>.]</w:t>
      </w:r>
    </w:p>
    <w:p>
      <w:pPr>
        <w:pStyle w:val="yHeading2"/>
        <w:pageBreakBefore/>
      </w:pPr>
      <w:bookmarkStart w:id="261" w:name="_Toc377569611"/>
      <w:bookmarkStart w:id="262" w:name="_Toc391976988"/>
      <w:bookmarkStart w:id="263" w:name="_Toc391991773"/>
      <w:r>
        <w:rPr>
          <w:rStyle w:val="CharSDivNo"/>
          <w:snapToGrid/>
          <w:sz w:val="28"/>
        </w:rPr>
        <w:t>Part 2A</w:t>
      </w:r>
      <w:r>
        <w:rPr>
          <w:b w:val="0"/>
        </w:rPr>
        <w:t> — </w:t>
      </w:r>
      <w:r>
        <w:rPr>
          <w:rStyle w:val="CharSDivText"/>
          <w:snapToGrid/>
          <w:sz w:val="28"/>
        </w:rPr>
        <w:t>Fees for stock agent approvals and renewals</w:t>
      </w:r>
      <w:bookmarkEnd w:id="261"/>
      <w:bookmarkEnd w:id="262"/>
      <w:bookmarkEnd w:id="263"/>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Application for approval to act as stock agent </w:t>
            </w:r>
            <w:r>
              <w:tab/>
            </w:r>
          </w:p>
        </w:tc>
        <w:tc>
          <w:tcPr>
            <w:tcW w:w="1852" w:type="dxa"/>
          </w:tcPr>
          <w:p>
            <w:pPr>
              <w:pStyle w:val="yTableNAm"/>
              <w:spacing w:before="160"/>
              <w:ind w:left="567" w:hanging="567"/>
            </w:pPr>
            <w:r>
              <w:t>$200</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renewal of approval to act as stock agent </w:t>
            </w:r>
            <w:r>
              <w:tab/>
            </w:r>
          </w:p>
        </w:tc>
        <w:tc>
          <w:tcPr>
            <w:tcW w:w="1852" w:type="dxa"/>
          </w:tcPr>
          <w:p>
            <w:pPr>
              <w:pStyle w:val="yTableNAm"/>
              <w:tabs>
                <w:tab w:val="clear" w:pos="567"/>
                <w:tab w:val="left" w:pos="12"/>
              </w:tabs>
              <w:spacing w:before="160"/>
              <w:jc w:val="both"/>
            </w:pPr>
            <w:r>
              <w:br/>
            </w:r>
            <w:r>
              <w:rPr>
                <w:szCs w:val="22"/>
              </w:rPr>
              <w:t>$</w:t>
            </w:r>
            <w:del w:id="264" w:author="Master Repository Process" w:date="2021-09-25T01:44:00Z">
              <w:r>
                <w:rPr>
                  <w:szCs w:val="22"/>
                </w:rPr>
                <w:delText>215.48</w:delText>
              </w:r>
            </w:del>
            <w:ins w:id="265" w:author="Master Repository Process" w:date="2021-09-25T01:44:00Z">
              <w:r>
                <w:rPr>
                  <w:szCs w:val="22"/>
                </w:rPr>
                <w:t>221.30</w:t>
              </w:r>
            </w:ins>
          </w:p>
        </w:tc>
      </w:tr>
      <w:tr>
        <w:trPr>
          <w:cantSplit/>
        </w:trPr>
        <w:tc>
          <w:tcPr>
            <w:tcW w:w="5236" w:type="dxa"/>
          </w:tcPr>
          <w:p>
            <w:pPr>
              <w:pStyle w:val="yTableNAm"/>
              <w:tabs>
                <w:tab w:val="clear" w:pos="567"/>
                <w:tab w:val="left" w:pos="459"/>
                <w:tab w:val="right" w:leader="dot" w:pos="5008"/>
              </w:tabs>
              <w:spacing w:before="160"/>
              <w:ind w:left="448" w:hanging="448"/>
            </w:pPr>
            <w:r>
              <w:t>3.</w:t>
            </w:r>
            <w:r>
              <w:tab/>
              <w:t xml:space="preserve">Late application fee for renewal of approval to act as stock agent </w:t>
            </w:r>
            <w:r>
              <w:tab/>
            </w:r>
          </w:p>
        </w:tc>
        <w:tc>
          <w:tcPr>
            <w:tcW w:w="1852" w:type="dxa"/>
          </w:tcPr>
          <w:p>
            <w:pPr>
              <w:pStyle w:val="yTableNAm"/>
              <w:tabs>
                <w:tab w:val="clear" w:pos="567"/>
                <w:tab w:val="left" w:pos="12"/>
              </w:tabs>
              <w:spacing w:before="160"/>
              <w:jc w:val="both"/>
            </w:pPr>
            <w:r>
              <w:br/>
              <w:t>$20</w:t>
            </w:r>
          </w:p>
        </w:tc>
      </w:tr>
      <w:tr>
        <w:trPr>
          <w:cantSplit/>
        </w:trPr>
        <w:tc>
          <w:tcPr>
            <w:tcW w:w="5236" w:type="dxa"/>
          </w:tcPr>
          <w:p>
            <w:pPr>
              <w:pStyle w:val="yTableNAm"/>
              <w:tabs>
                <w:tab w:val="clear" w:pos="567"/>
                <w:tab w:val="left" w:pos="459"/>
                <w:tab w:val="right" w:leader="dot" w:pos="5008"/>
              </w:tabs>
              <w:spacing w:before="160"/>
              <w:ind w:left="448" w:hanging="448"/>
            </w:pPr>
            <w:r>
              <w:t>4.</w:t>
            </w:r>
            <w:r>
              <w:tab/>
              <w:t xml:space="preserve">Application for approval to act as stock agent, where duration of approval less than one month </w:t>
            </w:r>
            <w:r>
              <w:tab/>
            </w:r>
          </w:p>
        </w:tc>
        <w:tc>
          <w:tcPr>
            <w:tcW w:w="1852" w:type="dxa"/>
          </w:tcPr>
          <w:p>
            <w:pPr>
              <w:pStyle w:val="yTableNAm"/>
              <w:tabs>
                <w:tab w:val="clear" w:pos="567"/>
                <w:tab w:val="left" w:pos="12"/>
              </w:tabs>
              <w:spacing w:before="160"/>
              <w:jc w:val="both"/>
            </w:pPr>
            <w:r>
              <w:br/>
              <w:t>$15</w:t>
            </w:r>
          </w:p>
        </w:tc>
      </w:tr>
    </w:tbl>
    <w:p>
      <w:pPr>
        <w:pStyle w:val="yFootnotesection"/>
      </w:pPr>
      <w:r>
        <w:tab/>
        <w:t>[Part 2A inserted in Gazette 6 Dec 2011 p. 5190; amended in Gazette 27 Aug 2013 p. 4052</w:t>
      </w:r>
      <w:ins w:id="266" w:author="Master Repository Process" w:date="2021-09-25T01:44:00Z">
        <w:r>
          <w:t>; 1 Jul 2014 p. 2332</w:t>
        </w:r>
      </w:ins>
      <w:r>
        <w:t>.]</w:t>
      </w:r>
    </w:p>
    <w:p>
      <w:pPr>
        <w:pStyle w:val="yHeading2"/>
        <w:spacing w:before="300"/>
      </w:pPr>
      <w:bookmarkStart w:id="267" w:name="_Toc377569612"/>
      <w:bookmarkStart w:id="268" w:name="_Toc391976989"/>
      <w:bookmarkStart w:id="269" w:name="_Toc391991774"/>
      <w:r>
        <w:rPr>
          <w:rStyle w:val="CharSDivNo"/>
          <w:snapToGrid/>
          <w:sz w:val="28"/>
        </w:rPr>
        <w:t>Part 2B</w:t>
      </w:r>
      <w:r>
        <w:rPr>
          <w:b w:val="0"/>
        </w:rPr>
        <w:t> — </w:t>
      </w:r>
      <w:r>
        <w:rPr>
          <w:rStyle w:val="CharSDivText"/>
          <w:snapToGrid/>
          <w:sz w:val="28"/>
        </w:rPr>
        <w:t>Muchea Livestock Centre: parking permit fees</w:t>
      </w:r>
      <w:bookmarkEnd w:id="267"/>
      <w:bookmarkEnd w:id="268"/>
      <w:bookmarkEnd w:id="269"/>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Monthly fee for parking permit for heavy vehicle </w:t>
            </w:r>
            <w:r>
              <w:tab/>
            </w:r>
          </w:p>
        </w:tc>
        <w:tc>
          <w:tcPr>
            <w:tcW w:w="1852" w:type="dxa"/>
          </w:tcPr>
          <w:p>
            <w:pPr>
              <w:pStyle w:val="yTableNAm"/>
              <w:spacing w:before="160"/>
            </w:pPr>
            <w:r>
              <w:t>$275</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parking permit for any other type of motor vehicle </w:t>
            </w:r>
            <w:r>
              <w:tab/>
            </w:r>
          </w:p>
        </w:tc>
        <w:tc>
          <w:tcPr>
            <w:tcW w:w="1852" w:type="dxa"/>
          </w:tcPr>
          <w:p>
            <w:pPr>
              <w:pStyle w:val="yTableNAm"/>
              <w:spacing w:before="160"/>
            </w:pPr>
            <w:r>
              <w:br/>
            </w:r>
            <w:r>
              <w:rPr>
                <w:szCs w:val="22"/>
              </w:rPr>
              <w:t>$</w:t>
            </w:r>
            <w:del w:id="270" w:author="Master Repository Process" w:date="2021-09-25T01:44:00Z">
              <w:r>
                <w:rPr>
                  <w:szCs w:val="22"/>
                </w:rPr>
                <w:delText>216.80</w:delText>
              </w:r>
            </w:del>
            <w:ins w:id="271" w:author="Master Repository Process" w:date="2021-09-25T01:44:00Z">
              <w:r>
                <w:rPr>
                  <w:szCs w:val="22"/>
                </w:rPr>
                <w:t>222.65</w:t>
              </w:r>
            </w:ins>
          </w:p>
        </w:tc>
      </w:tr>
    </w:tbl>
    <w:p>
      <w:pPr>
        <w:pStyle w:val="yFootnotesection"/>
        <w:rPr>
          <w:rStyle w:val="CharSDivNo"/>
          <w:snapToGrid/>
          <w:sz w:val="28"/>
        </w:rPr>
      </w:pPr>
      <w:r>
        <w:tab/>
        <w:t>[Part 2B inserted in Gazette 6 Dec 2011 p. 5190; amended in Gazette 27 Aug 2013 p. 4052</w:t>
      </w:r>
      <w:ins w:id="272" w:author="Master Repository Process" w:date="2021-09-25T01:44:00Z">
        <w:r>
          <w:t>; 1 Jul 2014 p. 2332</w:t>
        </w:r>
      </w:ins>
      <w:r>
        <w:t>.]</w:t>
      </w:r>
    </w:p>
    <w:p>
      <w:pPr>
        <w:pStyle w:val="yHeading2"/>
        <w:spacing w:before="300"/>
      </w:pPr>
      <w:bookmarkStart w:id="273" w:name="_Toc377569613"/>
      <w:bookmarkStart w:id="274" w:name="_Toc391976990"/>
      <w:bookmarkStart w:id="275" w:name="_Toc391991775"/>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273"/>
      <w:bookmarkEnd w:id="274"/>
      <w:bookmarkEnd w:id="275"/>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$4.</w:t>
            </w:r>
            <w:del w:id="276" w:author="Master Repository Process" w:date="2021-09-25T01:44:00Z">
              <w:r>
                <w:rPr>
                  <w:szCs w:val="22"/>
                </w:rPr>
                <w:delText>22</w:delText>
              </w:r>
            </w:del>
            <w:ins w:id="277" w:author="Master Repository Process" w:date="2021-09-25T01:44:00Z">
              <w:r>
                <w:rPr>
                  <w:szCs w:val="22"/>
                </w:rPr>
                <w:t>33</w:t>
              </w:r>
            </w:ins>
          </w:p>
        </w:tc>
      </w:tr>
      <w:tr>
        <w:tc>
          <w:tcPr>
            <w:tcW w:w="3544" w:type="dxa"/>
          </w:tcPr>
          <w:p>
            <w:pPr>
              <w:pStyle w:val="yTableNAm"/>
              <w:spacing w:after="40"/>
            </w:pPr>
            <w:r>
              <w:t>Cattle</w:t>
            </w:r>
          </w:p>
        </w:tc>
        <w:tc>
          <w:tcPr>
            <w:tcW w:w="1559" w:type="dxa"/>
          </w:tcPr>
          <w:p>
            <w:pPr>
              <w:pStyle w:val="yTableNAm"/>
              <w:spacing w:after="40"/>
            </w:pPr>
            <w:r>
              <w:rPr>
                <w:szCs w:val="22"/>
              </w:rPr>
              <w:t>$7.</w:t>
            </w:r>
            <w:del w:id="278" w:author="Master Repository Process" w:date="2021-09-25T01:44:00Z">
              <w:r>
                <w:rPr>
                  <w:szCs w:val="22"/>
                </w:rPr>
                <w:delText>40</w:delText>
              </w:r>
            </w:del>
            <w:ins w:id="279" w:author="Master Repository Process" w:date="2021-09-25T01:44:00Z">
              <w:r>
                <w:rPr>
                  <w:szCs w:val="22"/>
                </w:rPr>
                <w:t>60</w:t>
              </w:r>
            </w:ins>
          </w:p>
        </w:tc>
      </w:tr>
      <w:tr>
        <w:tc>
          <w:tcPr>
            <w:tcW w:w="3544" w:type="dxa"/>
            <w:tcBorders>
              <w:bottom w:val="single" w:sz="4" w:space="0" w:color="auto"/>
            </w:tcBorders>
          </w:tcPr>
          <w:p>
            <w:pPr>
              <w:pStyle w:val="yTableNAm"/>
              <w:spacing w:after="40"/>
            </w:pPr>
            <w:r>
              <w:t>Goats</w:t>
            </w:r>
          </w:p>
        </w:tc>
        <w:tc>
          <w:tcPr>
            <w:tcW w:w="1559" w:type="dxa"/>
            <w:tcBorders>
              <w:bottom w:val="single" w:sz="4" w:space="0" w:color="auto"/>
            </w:tcBorders>
          </w:tcPr>
          <w:p>
            <w:pPr>
              <w:pStyle w:val="yTableNAm"/>
              <w:spacing w:after="40"/>
            </w:pPr>
            <w:r>
              <w:rPr>
                <w:szCs w:val="22"/>
              </w:rPr>
              <w:t>$0.</w:t>
            </w:r>
            <w:del w:id="280" w:author="Master Repository Process" w:date="2021-09-25T01:44:00Z">
              <w:r>
                <w:rPr>
                  <w:szCs w:val="22"/>
                </w:rPr>
                <w:delText>80</w:delText>
              </w:r>
            </w:del>
            <w:ins w:id="281" w:author="Master Repository Process" w:date="2021-09-25T01:44:00Z">
              <w:r>
                <w:rPr>
                  <w:szCs w:val="22"/>
                </w:rPr>
                <w:t>82</w:t>
              </w:r>
            </w:ins>
          </w:p>
        </w:tc>
      </w:tr>
      <w:tr>
        <w:tc>
          <w:tcPr>
            <w:tcW w:w="3544" w:type="dxa"/>
            <w:tcBorders>
              <w:top w:val="single" w:sz="4" w:space="0" w:color="auto"/>
            </w:tcBorders>
          </w:tcPr>
          <w:p>
            <w:pPr>
              <w:pStyle w:val="yTableNAm"/>
              <w:spacing w:after="40"/>
            </w:pPr>
            <w:r>
              <w:t xml:space="preserve">Horses </w:t>
            </w:r>
          </w:p>
        </w:tc>
        <w:tc>
          <w:tcPr>
            <w:tcW w:w="1559" w:type="dxa"/>
            <w:tcBorders>
              <w:top w:val="single" w:sz="4" w:space="0" w:color="auto"/>
            </w:tcBorders>
          </w:tcPr>
          <w:p>
            <w:pPr>
              <w:pStyle w:val="yTableNAm"/>
              <w:spacing w:after="40"/>
            </w:pPr>
            <w:r>
              <w:rPr>
                <w:szCs w:val="22"/>
              </w:rPr>
              <w:t>$7.</w:t>
            </w:r>
            <w:del w:id="282" w:author="Master Repository Process" w:date="2021-09-25T01:44:00Z">
              <w:r>
                <w:rPr>
                  <w:szCs w:val="22"/>
                </w:rPr>
                <w:delText>40</w:delText>
              </w:r>
            </w:del>
            <w:ins w:id="283" w:author="Master Repository Process" w:date="2021-09-25T01:44:00Z">
              <w:r>
                <w:rPr>
                  <w:szCs w:val="22"/>
                </w:rPr>
                <w:t>60</w:t>
              </w:r>
            </w:ins>
          </w:p>
        </w:tc>
      </w:tr>
      <w:tr>
        <w:tc>
          <w:tcPr>
            <w:tcW w:w="3544" w:type="dxa"/>
          </w:tcPr>
          <w:p>
            <w:pPr>
              <w:pStyle w:val="yTableNAm"/>
              <w:spacing w:after="40"/>
            </w:pPr>
            <w:r>
              <w:t>Lambs</w:t>
            </w:r>
          </w:p>
        </w:tc>
        <w:tc>
          <w:tcPr>
            <w:tcW w:w="1559" w:type="dxa"/>
          </w:tcPr>
          <w:p>
            <w:pPr>
              <w:pStyle w:val="yTableNAm"/>
              <w:spacing w:after="40"/>
            </w:pPr>
            <w:r>
              <w:rPr>
                <w:szCs w:val="22"/>
              </w:rPr>
              <w:t>$0.</w:t>
            </w:r>
            <w:del w:id="284" w:author="Master Repository Process" w:date="2021-09-25T01:44:00Z">
              <w:r>
                <w:rPr>
                  <w:szCs w:val="22"/>
                </w:rPr>
                <w:delText>80</w:delText>
              </w:r>
            </w:del>
            <w:ins w:id="285" w:author="Master Repository Process" w:date="2021-09-25T01:44:00Z">
              <w:r>
                <w:rPr>
                  <w:szCs w:val="22"/>
                </w:rPr>
                <w:t>82</w:t>
              </w:r>
            </w:ins>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rPr>
                <w:szCs w:val="22"/>
              </w:rPr>
              <w:t>$0.</w:t>
            </w:r>
            <w:del w:id="286" w:author="Master Repository Process" w:date="2021-09-25T01:44:00Z">
              <w:r>
                <w:rPr>
                  <w:szCs w:val="22"/>
                </w:rPr>
                <w:delText>80</w:delText>
              </w:r>
            </w:del>
            <w:ins w:id="287" w:author="Master Repository Process" w:date="2021-09-25T01:44:00Z">
              <w:r>
                <w:rPr>
                  <w:szCs w:val="22"/>
                </w:rPr>
                <w:t>82</w:t>
              </w:r>
            </w:ins>
          </w:p>
        </w:tc>
      </w:tr>
    </w:tbl>
    <w:p>
      <w:pPr>
        <w:pStyle w:val="yFootnotesection"/>
      </w:pPr>
      <w:r>
        <w:tab/>
        <w:t>[Part 2 inserted in Gazette 14 Sep 2012 p. 4370; amended in Gazette 27 Aug 2013 p. 4052</w:t>
      </w:r>
      <w:ins w:id="288" w:author="Master Repository Process" w:date="2021-09-25T01:44:00Z">
        <w:r>
          <w:t>; 1 Jul 2014 p. 2332</w:t>
        </w:r>
      </w:ins>
      <w:r>
        <w:t>.]</w:t>
      </w:r>
    </w:p>
    <w:p>
      <w:pPr>
        <w:pStyle w:val="yHeading2"/>
        <w:spacing w:before="300"/>
      </w:pPr>
      <w:bookmarkStart w:id="289" w:name="_Toc377569614"/>
      <w:bookmarkStart w:id="290" w:name="_Toc391976991"/>
      <w:bookmarkStart w:id="291" w:name="_Toc391991776"/>
      <w:r>
        <w:rPr>
          <w:rStyle w:val="CharSDivNo"/>
          <w:sz w:val="28"/>
          <w:szCs w:val="28"/>
        </w:rPr>
        <w:t>Part 3</w:t>
      </w:r>
      <w:r>
        <w:t> — </w:t>
      </w:r>
      <w:r>
        <w:rPr>
          <w:rStyle w:val="CharSDivText"/>
          <w:sz w:val="28"/>
          <w:szCs w:val="28"/>
        </w:rPr>
        <w:t>Muchea Livestock Centre: transhipment fees</w:t>
      </w:r>
      <w:bookmarkEnd w:id="289"/>
      <w:bookmarkEnd w:id="290"/>
      <w:bookmarkEnd w:id="291"/>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$1.</w:t>
            </w:r>
            <w:del w:id="292" w:author="Master Repository Process" w:date="2021-09-25T01:44:00Z">
              <w:r>
                <w:rPr>
                  <w:szCs w:val="22"/>
                </w:rPr>
                <w:delText>19</w:delText>
              </w:r>
            </w:del>
            <w:ins w:id="293" w:author="Master Repository Process" w:date="2021-09-25T01:44:00Z">
              <w:r>
                <w:rPr>
                  <w:szCs w:val="22"/>
                </w:rPr>
                <w:t>22</w:t>
              </w:r>
            </w:ins>
          </w:p>
        </w:tc>
      </w:tr>
      <w:tr>
        <w:tc>
          <w:tcPr>
            <w:tcW w:w="3544" w:type="dxa"/>
          </w:tcPr>
          <w:p>
            <w:pPr>
              <w:pStyle w:val="yTableNAm"/>
              <w:spacing w:after="40"/>
            </w:pPr>
            <w:r>
              <w:t>Cattle</w:t>
            </w:r>
          </w:p>
        </w:tc>
        <w:tc>
          <w:tcPr>
            <w:tcW w:w="1559" w:type="dxa"/>
          </w:tcPr>
          <w:p>
            <w:pPr>
              <w:pStyle w:val="yTableNAm"/>
              <w:spacing w:after="40"/>
            </w:pPr>
            <w:r>
              <w:rPr>
                <w:szCs w:val="22"/>
              </w:rPr>
              <w:t>$1.</w:t>
            </w:r>
            <w:del w:id="294" w:author="Master Repository Process" w:date="2021-09-25T01:44:00Z">
              <w:r>
                <w:rPr>
                  <w:szCs w:val="22"/>
                </w:rPr>
                <w:delText>19</w:delText>
              </w:r>
            </w:del>
            <w:ins w:id="295" w:author="Master Repository Process" w:date="2021-09-25T01:44:00Z">
              <w:r>
                <w:rPr>
                  <w:szCs w:val="22"/>
                </w:rPr>
                <w:t>22</w:t>
              </w:r>
            </w:ins>
          </w:p>
        </w:tc>
      </w:tr>
      <w:tr>
        <w:tc>
          <w:tcPr>
            <w:tcW w:w="3544" w:type="dxa"/>
          </w:tcPr>
          <w:p>
            <w:pPr>
              <w:pStyle w:val="yTableNAm"/>
              <w:spacing w:after="40"/>
            </w:pPr>
            <w:r>
              <w:t>Goats</w:t>
            </w:r>
          </w:p>
        </w:tc>
        <w:tc>
          <w:tcPr>
            <w:tcW w:w="1559" w:type="dxa"/>
          </w:tcPr>
          <w:p>
            <w:pPr>
              <w:pStyle w:val="yTableNAm"/>
              <w:spacing w:after="40"/>
            </w:pPr>
            <w:r>
              <w:t>$0.11</w:t>
            </w:r>
          </w:p>
        </w:tc>
      </w:tr>
      <w:tr>
        <w:tc>
          <w:tcPr>
            <w:tcW w:w="3544" w:type="dxa"/>
          </w:tcPr>
          <w:p>
            <w:pPr>
              <w:pStyle w:val="yTableNAm"/>
              <w:spacing w:after="40"/>
            </w:pPr>
            <w:r>
              <w:t xml:space="preserve">Horses </w:t>
            </w:r>
          </w:p>
        </w:tc>
        <w:tc>
          <w:tcPr>
            <w:tcW w:w="1559" w:type="dxa"/>
          </w:tcPr>
          <w:p>
            <w:pPr>
              <w:pStyle w:val="yTableNAm"/>
              <w:spacing w:after="40"/>
            </w:pPr>
            <w:r>
              <w:rPr>
                <w:szCs w:val="22"/>
              </w:rPr>
              <w:t>$1.</w:t>
            </w:r>
            <w:del w:id="296" w:author="Master Repository Process" w:date="2021-09-25T01:44:00Z">
              <w:r>
                <w:rPr>
                  <w:szCs w:val="22"/>
                </w:rPr>
                <w:delText>19</w:delText>
              </w:r>
            </w:del>
            <w:ins w:id="297" w:author="Master Repository Process" w:date="2021-09-25T01:44:00Z">
              <w:r>
                <w:rPr>
                  <w:szCs w:val="22"/>
                </w:rPr>
                <w:t>22</w:t>
              </w:r>
            </w:ins>
          </w:p>
        </w:tc>
      </w:tr>
      <w:tr>
        <w:tc>
          <w:tcPr>
            <w:tcW w:w="3544" w:type="dxa"/>
          </w:tcPr>
          <w:p>
            <w:pPr>
              <w:pStyle w:val="yTableNAm"/>
              <w:spacing w:after="40"/>
            </w:pPr>
            <w:r>
              <w:t>Lambs</w:t>
            </w:r>
          </w:p>
        </w:tc>
        <w:tc>
          <w:tcPr>
            <w:tcW w:w="1559" w:type="dxa"/>
          </w:tcPr>
          <w:p>
            <w:pPr>
              <w:pStyle w:val="yTableNAm"/>
              <w:spacing w:after="40"/>
            </w:pPr>
            <w:r>
              <w:t>$0.11</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t>$0.11</w:t>
            </w:r>
          </w:p>
        </w:tc>
      </w:tr>
    </w:tbl>
    <w:p>
      <w:pPr>
        <w:pStyle w:val="yFootnotesection"/>
      </w:pPr>
      <w:r>
        <w:tab/>
        <w:t>[Part 3 inserted in Gazette 14 Sep 2012 p. 4370; amended in Gazette 27 Aug 2013 p. 4053</w:t>
      </w:r>
      <w:ins w:id="298" w:author="Master Repository Process" w:date="2021-09-25T01:44:00Z">
        <w:r>
          <w:t>; 1 Jul 2014 p. 2332</w:t>
        </w:r>
      </w:ins>
      <w:r>
        <w:t>.]</w:t>
      </w:r>
    </w:p>
    <w:p>
      <w:pPr>
        <w:pStyle w:val="yHeading2"/>
        <w:pageBreakBefore/>
        <w:spacing w:before="0" w:after="120"/>
      </w:pPr>
      <w:bookmarkStart w:id="299" w:name="_Toc377569615"/>
      <w:bookmarkStart w:id="300" w:name="_Toc391976992"/>
      <w:bookmarkStart w:id="301" w:name="_Toc391991777"/>
      <w:r>
        <w:rPr>
          <w:rStyle w:val="CharSDivNo"/>
          <w:sz w:val="28"/>
        </w:rPr>
        <w:t>Part 4</w:t>
      </w:r>
      <w:r>
        <w:t> — </w:t>
      </w:r>
      <w:r>
        <w:rPr>
          <w:rStyle w:val="CharSDivText"/>
          <w:sz w:val="28"/>
        </w:rPr>
        <w:t>Interpretation</w:t>
      </w:r>
      <w:bookmarkEnd w:id="299"/>
      <w:bookmarkEnd w:id="300"/>
      <w:bookmarkEnd w:id="301"/>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$0.</w:t>
      </w:r>
      <w:del w:id="302" w:author="Master Repository Process" w:date="2021-09-25T01:44:00Z">
        <w:r>
          <w:rPr>
            <w:sz w:val="22"/>
            <w:szCs w:val="22"/>
          </w:rPr>
          <w:delText>0098</w:delText>
        </w:r>
      </w:del>
      <w:ins w:id="303" w:author="Master Repository Process" w:date="2021-09-25T01:44:00Z">
        <w:r>
          <w:rPr>
            <w:sz w:val="22"/>
            <w:szCs w:val="22"/>
          </w:rPr>
          <w:t>0100</w:t>
        </w:r>
      </w:ins>
      <w:r>
        <w:rPr>
          <w:sz w:val="22"/>
          <w:szCs w:val="22"/>
        </w:rPr>
        <w:t xml:space="preserve">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w:t>
      </w:r>
      <w:ins w:id="304" w:author="Master Repository Process" w:date="2021-09-25T01:44:00Z">
        <w:r>
          <w:t>; 1 Jul 2014 p. 2332</w:t>
        </w:r>
      </w:ins>
      <w:r>
        <w:t>.]</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pP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305" w:name="_Toc377569616"/>
      <w:bookmarkStart w:id="306" w:name="_Toc391976993"/>
      <w:bookmarkStart w:id="307" w:name="_Toc391991778"/>
      <w:r>
        <w:t>Notes</w:t>
      </w:r>
      <w:bookmarkEnd w:id="305"/>
      <w:bookmarkEnd w:id="306"/>
      <w:bookmarkEnd w:id="307"/>
    </w:p>
    <w:p>
      <w:pPr>
        <w:pStyle w:val="nSubsection"/>
        <w:rPr>
          <w:snapToGrid w:val="0"/>
        </w:rPr>
      </w:pPr>
      <w:r>
        <w:rPr>
          <w:snapToGrid w:val="0"/>
          <w:vertAlign w:val="superscript"/>
        </w:rPr>
        <w:t>1</w:t>
      </w:r>
      <w:r>
        <w:rPr>
          <w:snapToGrid w:val="0"/>
        </w:rPr>
        <w:tab/>
        <w:t xml:space="preserve">This </w:t>
      </w:r>
      <w:del w:id="308" w:author="Master Repository Process" w:date="2021-09-25T01:44:00Z">
        <w:r>
          <w:rPr>
            <w:snapToGrid w:val="0"/>
          </w:rPr>
          <w:delText xml:space="preserve">reprint </w:delText>
        </w:r>
      </w:del>
      <w:r>
        <w:rPr>
          <w:snapToGrid w:val="0"/>
        </w:rPr>
        <w:t>is a compilation</w:t>
      </w:r>
      <w:del w:id="309" w:author="Master Repository Process" w:date="2021-09-25T01:44:00Z">
        <w:r>
          <w:rPr>
            <w:snapToGrid w:val="0"/>
          </w:rPr>
          <w:delText xml:space="preserve"> as at 15 November 2013</w:delText>
        </w:r>
      </w:del>
      <w:r>
        <w:rPr>
          <w:snapToGrid w:val="0"/>
        </w:rPr>
        <w:t xml:space="preserve">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310" w:name="_Toc391991779"/>
      <w:bookmarkStart w:id="311" w:name="_Toc377569617"/>
      <w:r>
        <w:t>Compilation table</w:t>
      </w:r>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i/>
                <w:sz w:val="19"/>
                <w:vertAlign w:val="superscript"/>
              </w:rPr>
            </w:pPr>
            <w:r>
              <w:rPr>
                <w:i/>
                <w:sz w:val="19"/>
              </w:rPr>
              <w:t>Western Australian Meat Industry Authority Amendment Regulations 1991</w:t>
            </w:r>
            <w:r>
              <w:rPr>
                <w:sz w:val="19"/>
                <w:vertAlign w:val="superscript"/>
              </w:rPr>
              <w:t> 3</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30 Apr 2010 (see r. 2(a));</w:t>
            </w:r>
            <w:r>
              <w:rPr>
                <w:rFonts w:ascii="Times" w:hAnsi="Times"/>
                <w:snapToGrid w:val="0"/>
                <w:sz w:val="19"/>
              </w:rPr>
              <w:br/>
              <w:t>Regulations other than r. 1 and 2: 2 May 2010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rPr>
            </w:pPr>
            <w:r>
              <w:rPr>
                <w:rFonts w:ascii="Times" w:hAnsi="Times"/>
                <w:snapToGrid w:val="0"/>
                <w:sz w:val="19"/>
              </w:rPr>
              <w:t>r. 1 and 2: 30 Jun 2010 (see r. 2(a));</w:t>
            </w:r>
            <w:r>
              <w:rPr>
                <w:rFonts w:ascii="Times" w:hAnsi="Times"/>
                <w:snapToGrid w:val="0"/>
                <w:sz w:val="19"/>
              </w:rPr>
              <w:br/>
              <w:t>Regulations other than r. 1 and 2: 1 Jul 2010 (see r. 2(b))</w:t>
            </w:r>
          </w:p>
        </w:tc>
      </w:tr>
      <w:tr>
        <w:trPr>
          <w:cantSplit/>
        </w:trPr>
        <w:tc>
          <w:tcPr>
            <w:tcW w:w="7088" w:type="dxa"/>
            <w:gridSpan w:val="3"/>
          </w:tcPr>
          <w:p>
            <w:pPr>
              <w:pStyle w:val="nTable"/>
              <w:spacing w:after="40"/>
              <w:rPr>
                <w:snapToGrid w:val="0"/>
                <w:spacing w:val="-2"/>
                <w:sz w:val="19"/>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30 Jun 2011 (see r. 2(a));</w:t>
            </w:r>
            <w:r>
              <w:rPr>
                <w:rFonts w:ascii="Times" w:hAnsi="Times"/>
                <w:snapToGrid w:val="0"/>
                <w:sz w:val="19"/>
              </w:rPr>
              <w:br/>
              <w:t>Regulations other than r. 1 and 2: 1 Jul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2011</w:t>
            </w:r>
          </w:p>
        </w:tc>
        <w:tc>
          <w:tcPr>
            <w:tcW w:w="1276" w:type="dxa"/>
          </w:tcPr>
          <w:p>
            <w:pPr>
              <w:pStyle w:val="nTable"/>
              <w:spacing w:after="40"/>
              <w:rPr>
                <w:sz w:val="19"/>
              </w:rPr>
            </w:pPr>
            <w:r>
              <w:rPr>
                <w:sz w:val="19"/>
              </w:rPr>
              <w:t>6 Dec 2011 p. 5151</w:t>
            </w:r>
            <w:r>
              <w:rPr>
                <w:sz w:val="19"/>
              </w:rPr>
              <w:noBreakHyphen/>
              <w:t>90</w:t>
            </w:r>
          </w:p>
        </w:tc>
        <w:tc>
          <w:tcPr>
            <w:tcW w:w="2693" w:type="dxa"/>
          </w:tcPr>
          <w:p>
            <w:pPr>
              <w:pStyle w:val="nTable"/>
              <w:spacing w:after="40"/>
              <w:rPr>
                <w:snapToGrid w:val="0"/>
                <w:sz w:val="19"/>
              </w:rPr>
            </w:pPr>
            <w:r>
              <w:rPr>
                <w:snapToGrid w:val="0"/>
                <w:sz w:val="19"/>
              </w:rPr>
              <w:t>r. 1 and 2: 6 Dec 2011 (see r. 2(a));</w:t>
            </w:r>
            <w:r>
              <w:rPr>
                <w:snapToGrid w:val="0"/>
                <w:sz w:val="19"/>
              </w:rPr>
              <w:br/>
              <w:t>Regulations other than r. 1 and 2: 7 Dec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2012</w:t>
            </w:r>
          </w:p>
        </w:tc>
        <w:tc>
          <w:tcPr>
            <w:tcW w:w="1276" w:type="dxa"/>
          </w:tcPr>
          <w:p>
            <w:pPr>
              <w:pStyle w:val="nTable"/>
              <w:spacing w:after="40"/>
              <w:rPr>
                <w:sz w:val="19"/>
              </w:rPr>
            </w:pPr>
            <w:r>
              <w:rPr>
                <w:sz w:val="19"/>
              </w:rPr>
              <w:t>14 Sep 2012 p. 4369</w:t>
            </w:r>
            <w:r>
              <w:rPr>
                <w:sz w:val="19"/>
              </w:rPr>
              <w:noBreakHyphen/>
              <w:t>70</w:t>
            </w:r>
          </w:p>
        </w:tc>
        <w:tc>
          <w:tcPr>
            <w:tcW w:w="2693" w:type="dxa"/>
          </w:tcPr>
          <w:p>
            <w:pPr>
              <w:pStyle w:val="nTable"/>
              <w:spacing w:after="40"/>
              <w:rPr>
                <w:snapToGrid w:val="0"/>
                <w:sz w:val="19"/>
              </w:rPr>
            </w:pPr>
            <w:r>
              <w:rPr>
                <w:snapToGrid w:val="0"/>
                <w:sz w:val="19"/>
              </w:rPr>
              <w:t>r. 1 and 2: 14 Sep 2012 (see r. 2(a));</w:t>
            </w:r>
            <w:r>
              <w:rPr>
                <w:snapToGrid w:val="0"/>
                <w:sz w:val="19"/>
              </w:rPr>
              <w:br/>
              <w:t>Regulations other than r. 1 and 2: 15 Sep 2012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2) 2013</w:t>
            </w:r>
          </w:p>
        </w:tc>
        <w:tc>
          <w:tcPr>
            <w:tcW w:w="1276" w:type="dxa"/>
            <w:shd w:val="clear" w:color="auto" w:fill="auto"/>
          </w:tcPr>
          <w:p>
            <w:pPr>
              <w:pStyle w:val="nTable"/>
              <w:spacing w:after="40"/>
              <w:rPr>
                <w:sz w:val="19"/>
              </w:rPr>
            </w:pPr>
            <w:r>
              <w:rPr>
                <w:sz w:val="19"/>
              </w:rPr>
              <w:t>8 Feb 2013 p. 863</w:t>
            </w:r>
            <w:r>
              <w:rPr>
                <w:sz w:val="19"/>
              </w:rPr>
              <w:noBreakHyphen/>
              <w:t>4</w:t>
            </w:r>
          </w:p>
        </w:tc>
        <w:tc>
          <w:tcPr>
            <w:tcW w:w="2693" w:type="dxa"/>
            <w:shd w:val="clear" w:color="auto" w:fill="auto"/>
          </w:tcPr>
          <w:p>
            <w:pPr>
              <w:pStyle w:val="nTable"/>
              <w:spacing w:after="40"/>
              <w:rPr>
                <w:snapToGrid w:val="0"/>
                <w:sz w:val="19"/>
              </w:rPr>
            </w:pPr>
            <w:r>
              <w:rPr>
                <w:snapToGrid w:val="0"/>
                <w:sz w:val="19"/>
              </w:rPr>
              <w:t>r. 1 and 2: 8 Feb 2013 (see r. 2(a));</w:t>
            </w:r>
            <w:r>
              <w:rPr>
                <w:snapToGrid w:val="0"/>
                <w:sz w:val="19"/>
              </w:rPr>
              <w:br/>
              <w:t>Regulations other than r. 1 and 2: 9 Feb 2013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2013</w:t>
            </w:r>
          </w:p>
        </w:tc>
        <w:tc>
          <w:tcPr>
            <w:tcW w:w="1276" w:type="dxa"/>
            <w:shd w:val="clear" w:color="auto" w:fill="auto"/>
          </w:tcPr>
          <w:p>
            <w:pPr>
              <w:pStyle w:val="nTable"/>
              <w:spacing w:after="40"/>
              <w:rPr>
                <w:b/>
                <w:sz w:val="19"/>
              </w:rPr>
            </w:pPr>
            <w:r>
              <w:rPr>
                <w:sz w:val="19"/>
              </w:rPr>
              <w:t>20 Aug 2013 p. 3854</w:t>
            </w:r>
          </w:p>
        </w:tc>
        <w:tc>
          <w:tcPr>
            <w:tcW w:w="2693" w:type="dxa"/>
            <w:shd w:val="clear" w:color="auto" w:fill="auto"/>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3) 2013</w:t>
            </w:r>
          </w:p>
        </w:tc>
        <w:tc>
          <w:tcPr>
            <w:tcW w:w="1276" w:type="dxa"/>
            <w:shd w:val="clear" w:color="auto" w:fill="auto"/>
          </w:tcPr>
          <w:p>
            <w:pPr>
              <w:pStyle w:val="nTable"/>
              <w:spacing w:after="40"/>
              <w:rPr>
                <w:sz w:val="19"/>
              </w:rPr>
            </w:pPr>
            <w:r>
              <w:rPr>
                <w:sz w:val="19"/>
              </w:rPr>
              <w:t>27 Aug 2013 p. 4052-3</w:t>
            </w:r>
          </w:p>
        </w:tc>
        <w:tc>
          <w:tcPr>
            <w:tcW w:w="2693" w:type="dxa"/>
            <w:shd w:val="clear" w:color="auto" w:fill="auto"/>
          </w:tcPr>
          <w:p>
            <w:pPr>
              <w:pStyle w:val="nTable"/>
              <w:spacing w:after="40"/>
              <w:rPr>
                <w:b/>
                <w:snapToGrid w:val="0"/>
                <w:sz w:val="19"/>
              </w:rPr>
            </w:pPr>
            <w:r>
              <w:rPr>
                <w:snapToGrid w:val="0"/>
                <w:sz w:val="19"/>
              </w:rPr>
              <w:t>r. 1 and 2: 27 Aug 2013 (see r. 2(a));</w:t>
            </w:r>
            <w:r>
              <w:rPr>
                <w:snapToGrid w:val="0"/>
                <w:sz w:val="19"/>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sz w:val="19"/>
              </w:rPr>
            </w:pPr>
            <w:r>
              <w:rPr>
                <w:b/>
                <w:bCs/>
                <w:sz w:val="19"/>
              </w:rPr>
              <w:t xml:space="preserve">Reprint 4: The </w:t>
            </w:r>
            <w:r>
              <w:rPr>
                <w:b/>
                <w:bCs/>
                <w:i/>
                <w:sz w:val="19"/>
              </w:rPr>
              <w:t xml:space="preserve">Western Australian Meat Industry Authority Regulations 1985 </w:t>
            </w:r>
            <w:r>
              <w:rPr>
                <w:b/>
                <w:bCs/>
                <w:iCs/>
                <w:sz w:val="19"/>
              </w:rPr>
              <w:t>as at 15 Nov 2013</w:t>
            </w:r>
            <w:r>
              <w:rPr>
                <w:iCs/>
                <w:sz w:val="19"/>
              </w:rPr>
              <w:t xml:space="preserve"> (includes amendments listed above)</w:t>
            </w:r>
          </w:p>
        </w:tc>
      </w:tr>
      <w:tr>
        <w:trPr>
          <w:cantSplit/>
          <w:ins w:id="312" w:author="Master Repository Process" w:date="2021-09-25T01:44:00Z"/>
        </w:trPr>
        <w:tc>
          <w:tcPr>
            <w:tcW w:w="3119" w:type="dxa"/>
            <w:tcBorders>
              <w:bottom w:val="single" w:sz="4" w:space="0" w:color="auto"/>
            </w:tcBorders>
            <w:shd w:val="clear" w:color="auto" w:fill="auto"/>
          </w:tcPr>
          <w:p>
            <w:pPr>
              <w:pStyle w:val="nTable"/>
              <w:spacing w:after="40"/>
              <w:ind w:right="170"/>
              <w:rPr>
                <w:ins w:id="313" w:author="Master Repository Process" w:date="2021-09-25T01:44:00Z"/>
                <w:i/>
                <w:sz w:val="19"/>
              </w:rPr>
            </w:pPr>
            <w:ins w:id="314" w:author="Master Repository Process" w:date="2021-09-25T01:44:00Z">
              <w:r>
                <w:rPr>
                  <w:i/>
                </w:rPr>
                <w:t>Western Australian Meat Industry Authority Amendment Regulations (No. 2) 2014</w:t>
              </w:r>
            </w:ins>
          </w:p>
        </w:tc>
        <w:tc>
          <w:tcPr>
            <w:tcW w:w="1276" w:type="dxa"/>
            <w:tcBorders>
              <w:bottom w:val="single" w:sz="4" w:space="0" w:color="auto"/>
            </w:tcBorders>
            <w:shd w:val="clear" w:color="auto" w:fill="auto"/>
          </w:tcPr>
          <w:p>
            <w:pPr>
              <w:pStyle w:val="nTable"/>
              <w:spacing w:after="40"/>
              <w:rPr>
                <w:ins w:id="315" w:author="Master Repository Process" w:date="2021-09-25T01:44:00Z"/>
                <w:sz w:val="19"/>
              </w:rPr>
            </w:pPr>
            <w:ins w:id="316" w:author="Master Repository Process" w:date="2021-09-25T01:44:00Z">
              <w:r>
                <w:rPr>
                  <w:sz w:val="19"/>
                </w:rPr>
                <w:t>1 Jul 2014 p. 2331</w:t>
              </w:r>
              <w:r>
                <w:rPr>
                  <w:sz w:val="19"/>
                </w:rPr>
                <w:noBreakHyphen/>
                <w:t>2</w:t>
              </w:r>
            </w:ins>
          </w:p>
        </w:tc>
        <w:tc>
          <w:tcPr>
            <w:tcW w:w="2693" w:type="dxa"/>
            <w:tcBorders>
              <w:bottom w:val="single" w:sz="4" w:space="0" w:color="auto"/>
            </w:tcBorders>
            <w:shd w:val="clear" w:color="auto" w:fill="auto"/>
          </w:tcPr>
          <w:p>
            <w:pPr>
              <w:pStyle w:val="nTable"/>
              <w:spacing w:after="40"/>
              <w:rPr>
                <w:ins w:id="317" w:author="Master Repository Process" w:date="2021-09-25T01:44:00Z"/>
                <w:snapToGrid w:val="0"/>
                <w:sz w:val="19"/>
              </w:rPr>
            </w:pPr>
            <w:ins w:id="318" w:author="Master Repository Process" w:date="2021-09-25T01:44:00Z">
              <w:r>
                <w:rPr>
                  <w:rFonts w:ascii="Times" w:hAnsi="Times"/>
                  <w:bCs/>
                  <w:snapToGrid w:val="0"/>
                  <w:spacing w:val="-2"/>
                  <w:sz w:val="19"/>
                </w:rPr>
                <w:t>r. 1 and 2: 1 Jul 2014 (see r. 2(a));</w:t>
              </w:r>
              <w:r>
                <w:rPr>
                  <w:rFonts w:ascii="Times" w:hAnsi="Times"/>
                  <w:bCs/>
                  <w:snapToGrid w:val="0"/>
                  <w:spacing w:val="-2"/>
                  <w:sz w:val="19"/>
                </w:rPr>
                <w:br/>
                <w:t>Regulations other than r. 1 and 2: 2 Jul 2014 (see r. 2(b)(ii))</w:t>
              </w:r>
            </w:ins>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Pr>
        <w:rPr>
          <w:del w:id="319" w:author="Master Repository Process" w:date="2021-09-25T01:44:00Z"/>
        </w:r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Pr>
        <w:rPr>
          <w:del w:id="320" w:author="Master Repository Process" w:date="2021-09-25T01:44:00Z"/>
        </w:rPr>
      </w:pPr>
    </w:p>
    <w:p>
      <w:pPr>
        <w:rPr>
          <w:del w:id="321" w:author="Master Repository Process" w:date="2021-09-25T01:44:00Z"/>
        </w:rPr>
      </w:pPr>
    </w:p>
    <w:p>
      <w:pPr>
        <w:rPr>
          <w:del w:id="322" w:author="Master Repository Process" w:date="2021-09-25T01:44:00Z"/>
        </w:rPr>
      </w:pPr>
    </w:p>
    <w:p>
      <w:pPr>
        <w:rPr>
          <w:del w:id="323" w:author="Master Repository Process" w:date="2021-09-25T01:44:00Z"/>
        </w:rPr>
      </w:pPr>
    </w:p>
    <w:p>
      <w:pPr>
        <w:rPr>
          <w:del w:id="324" w:author="Master Repository Process" w:date="2021-09-25T01:44:00Z"/>
        </w:rPr>
      </w:pPr>
    </w:p>
    <w:p>
      <w:pPr>
        <w:rPr>
          <w:del w:id="325" w:author="Master Repository Process" w:date="2021-09-25T01:44:00Z"/>
        </w:rPr>
      </w:pPr>
    </w:p>
    <w:p>
      <w:pPr>
        <w:rPr>
          <w:del w:id="326" w:author="Master Repository Process" w:date="2021-09-25T01:44:00Z"/>
        </w:rPr>
      </w:pPr>
    </w:p>
    <w:p>
      <w:pPr>
        <w:rPr>
          <w:ins w:id="327" w:author="Master Repository Process" w:date="2021-09-25T01:44:00Z"/>
        </w:rPr>
      </w:pPr>
    </w:p>
    <w:p>
      <w:pPr>
        <w:rPr>
          <w:ins w:id="328" w:author="Master Repository Process" w:date="2021-09-25T01:44:00Z"/>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sectPr>
      <w:headerReference w:type="even" r:id="rId52"/>
      <w:headerReference w:type="default"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left="522" w:right="-214"/>
            <w:jc w:val="center"/>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5</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w:t>
            </w:r>
          </w:fldSimple>
        </w:p>
      </w:tc>
      <w:tc>
        <w:tcPr>
          <w:tcW w:w="1445" w:type="dxa"/>
        </w:tcPr>
        <w:p>
          <w:pPr>
            <w:pStyle w:val="HeaderNumberRight"/>
            <w:ind w:right="-64"/>
            <w:rPr>
              <w:b w:val="0"/>
            </w:rPr>
          </w:pPr>
          <w:fldSimple w:instr=" styleref CharSchno ">
            <w:r>
              <w:rPr>
                <w:noProof/>
              </w:rPr>
              <w:t>Schedule 5</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6A</w:t>
            </w:r>
          </w:fldSimple>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Prescribed offences and modified penalties</w:t>
            </w:r>
          </w:fldSimple>
        </w:p>
      </w:tc>
      <w:tc>
        <w:tcPr>
          <w:tcW w:w="1445" w:type="dxa"/>
        </w:tcPr>
        <w:p>
          <w:pPr>
            <w:pStyle w:val="HeaderNumberRight"/>
            <w:ind w:right="-64"/>
            <w:rPr>
              <w:b w:val="0"/>
            </w:rPr>
          </w:pPr>
          <w:fldSimple w:instr=" styleref CharSchno ">
            <w:r>
              <w:rPr>
                <w:noProof/>
              </w:rPr>
              <w:t>Schedule 6A</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445" w:type="dxa"/>
        </w:tcPr>
        <w:p>
          <w:pPr>
            <w:pStyle w:val="HeaderNumberRight"/>
            <w:ind w:left="381" w:right="-214"/>
            <w:jc w:val="center"/>
            <w:rPr>
              <w:bCs/>
            </w:rPr>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6B</w:t>
            </w:r>
          </w:fldSimple>
        </w:p>
      </w:tc>
      <w:tc>
        <w:tcPr>
          <w:tcW w:w="5715" w:type="dxa"/>
          <w:vAlign w:val="bottom"/>
        </w:tcPr>
        <w:p>
          <w:pPr>
            <w:pStyle w:val="HeaderTextLeft"/>
          </w:pPr>
          <w:fldSimple w:instr=" styleref CharSchText ">
            <w:r>
              <w:rPr>
                <w:noProof/>
              </w:rPr>
              <w:t>Forms: infringement notices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 infringement notices</w:t>
            </w:r>
          </w:fldSimple>
        </w:p>
      </w:tc>
      <w:tc>
        <w:tcPr>
          <w:tcW w:w="1445" w:type="dxa"/>
        </w:tcPr>
        <w:p>
          <w:pPr>
            <w:pStyle w:val="HeaderNumberRight"/>
            <w:ind w:right="-64"/>
            <w:rPr>
              <w:b w:val="0"/>
            </w:rPr>
          </w:pPr>
          <w:fldSimple w:instr=" styleref CharSchno ">
            <w:r>
              <w:rPr>
                <w:noProof/>
              </w:rPr>
              <w:t>Schedule 6B</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Meat Industry Authority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Meat Industry Authority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287" w:type="dxa"/>
        </w:tcPr>
        <w:p>
          <w:pPr>
            <w:pStyle w:val="HeaderNumberRight"/>
          </w:pPr>
          <w:r>
            <w:fldChar w:fldCharType="begin"/>
          </w:r>
          <w:r>
            <w:instrText xml:space="preserve"> styleref CharDivNo </w:instrText>
          </w:r>
          <w:r>
            <w:rPr>
              <w:noProof/>
            </w:rP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6"/>
  </w:num>
  <w:num w:numId="27">
    <w:abstractNumId w:val="24"/>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71319"/>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23AC0C8-681C-400D-87CD-417C3AB0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7.png"/><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header" Target="header24.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7.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12.png"/><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0.xml"/><Relationship Id="rId43" Type="http://schemas.openxmlformats.org/officeDocument/2006/relationships/image" Target="media/image13.png"/><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header" Target="header8.xml"/><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1.xml"/><Relationship Id="rId4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EAA6-5600-4246-856D-B03105B3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16174</Words>
  <Characters>82655</Characters>
  <Application>Microsoft Office Word</Application>
  <DocSecurity>0</DocSecurity>
  <Lines>2504</Lines>
  <Paragraphs>1497</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04-a0-01 - 04-b0-00</dc:title>
  <dc:subject/>
  <dc:creator/>
  <cp:keywords/>
  <dc:description/>
  <cp:lastModifiedBy>Master Repository Process</cp:lastModifiedBy>
  <cp:revision>2</cp:revision>
  <cp:lastPrinted>2013-11-22T00:47:00Z</cp:lastPrinted>
  <dcterms:created xsi:type="dcterms:W3CDTF">2021-09-24T17:44:00Z</dcterms:created>
  <dcterms:modified xsi:type="dcterms:W3CDTF">2021-09-24T17:44:00Z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20140702</vt:lpwstr>
  </property>
  <property fmtid="{D5CDD505-2E9C-101B-9397-08002B2CF9AE}" pid="4" name="DocumentType">
    <vt:lpwstr>Reg</vt:lpwstr>
  </property>
  <property fmtid="{D5CDD505-2E9C-101B-9397-08002B2CF9AE}" pid="5" name="OwlsUID">
    <vt:i4>4873</vt:i4>
  </property>
  <property fmtid="{D5CDD505-2E9C-101B-9397-08002B2CF9AE}" pid="6" name="ReprintNo">
    <vt:lpwstr>4</vt:lpwstr>
  </property>
  <property fmtid="{D5CDD505-2E9C-101B-9397-08002B2CF9AE}" pid="7" name="ReprintedAsAt">
    <vt:filetime>2013-11-14T16:00:00Z</vt:filetime>
  </property>
  <property fmtid="{D5CDD505-2E9C-101B-9397-08002B2CF9AE}" pid="8" name="FromSuffix">
    <vt:lpwstr>04-a0-01</vt:lpwstr>
  </property>
  <property fmtid="{D5CDD505-2E9C-101B-9397-08002B2CF9AE}" pid="9" name="FromAsAtDate">
    <vt:lpwstr>15 Nov 2013</vt:lpwstr>
  </property>
  <property fmtid="{D5CDD505-2E9C-101B-9397-08002B2CF9AE}" pid="10" name="ToSuffix">
    <vt:lpwstr>04-b0-00</vt:lpwstr>
  </property>
  <property fmtid="{D5CDD505-2E9C-101B-9397-08002B2CF9AE}" pid="11" name="ToAsAtDate">
    <vt:lpwstr>02 Jul 2014</vt:lpwstr>
  </property>
</Properties>
</file>