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Regulations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04-c0-03</w:t>
      </w:r>
      <w:r>
        <w:fldChar w:fldCharType="end"/>
      </w:r>
      <w:r>
        <w:t>] and [</w:t>
      </w:r>
      <w:r>
        <w:fldChar w:fldCharType="begin"/>
      </w:r>
      <w:r>
        <w:instrText xml:space="preserve"> DocProperty ToAsAtDate</w:instrText>
      </w:r>
      <w:r>
        <w:fldChar w:fldCharType="separate"/>
      </w:r>
      <w:r>
        <w:t>28 Apr 2006</w:t>
      </w:r>
      <w:r>
        <w:fldChar w:fldCharType="end"/>
      </w:r>
      <w:r>
        <w:t xml:space="preserve">, </w:t>
      </w:r>
      <w:r>
        <w:fldChar w:fldCharType="begin"/>
      </w:r>
      <w:r>
        <w:instrText xml:space="preserve"> DocProperty ToSuffix</w:instrText>
      </w:r>
      <w:r>
        <w:fldChar w:fldCharType="separate"/>
      </w:r>
      <w:r>
        <w:t>04-d0-03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Betting Control Act 1954</w:t>
      </w:r>
    </w:p>
    <w:p>
      <w:pPr>
        <w:pStyle w:val="NameofActReg"/>
      </w:pPr>
      <w:r>
        <w:t>Betting Control Regulations 1978</w:t>
      </w:r>
    </w:p>
    <w:p>
      <w:pPr>
        <w:pStyle w:val="Heading5"/>
        <w:spacing w:before="260"/>
        <w:rPr>
          <w:snapToGrid w:val="0"/>
        </w:rPr>
      </w:pPr>
      <w:bookmarkStart w:id="0" w:name="_Toc495993552"/>
      <w:bookmarkStart w:id="1" w:name="_Toc511525028"/>
      <w:bookmarkStart w:id="2" w:name="_Toc27803391"/>
      <w:bookmarkStart w:id="3" w:name="_Toc133903502"/>
      <w:bookmarkStart w:id="4" w:name="_Toc133920945"/>
      <w:bookmarkStart w:id="5" w:name="_Toc123708401"/>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r>
        <w:rPr>
          <w:snapToGrid w:val="0"/>
        </w:rPr>
        <w:t xml:space="preserve"> </w:t>
      </w:r>
    </w:p>
    <w:p>
      <w:pPr>
        <w:pStyle w:val="Subsection"/>
        <w:spacing w:before="200"/>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spacing w:before="260"/>
        <w:rPr>
          <w:snapToGrid w:val="0"/>
        </w:rPr>
      </w:pPr>
      <w:bookmarkStart w:id="7" w:name="_Toc495993553"/>
      <w:bookmarkStart w:id="8" w:name="_Toc511525029"/>
      <w:bookmarkStart w:id="9" w:name="_Toc27803392"/>
      <w:bookmarkStart w:id="10" w:name="_Toc133903503"/>
      <w:bookmarkStart w:id="11" w:name="_Toc133920946"/>
      <w:bookmarkStart w:id="12" w:name="_Toc123708402"/>
      <w:r>
        <w:rPr>
          <w:rStyle w:val="CharSectno"/>
        </w:rPr>
        <w:t>2</w:t>
      </w:r>
      <w:r>
        <w:rPr>
          <w:snapToGrid w:val="0"/>
        </w:rPr>
        <w:t>.</w:t>
      </w:r>
      <w:r>
        <w:rPr>
          <w:snapToGrid w:val="0"/>
        </w:rPr>
        <w:tab/>
        <w:t>Transitional provision</w:t>
      </w:r>
      <w:bookmarkEnd w:id="7"/>
      <w:bookmarkEnd w:id="8"/>
      <w:bookmarkEnd w:id="9"/>
      <w:bookmarkEnd w:id="10"/>
      <w:bookmarkEnd w:id="11"/>
      <w:bookmarkEnd w:id="12"/>
      <w:r>
        <w:rPr>
          <w:snapToGrid w:val="0"/>
        </w:rPr>
        <w:t xml:space="preserve"> </w:t>
      </w:r>
    </w:p>
    <w:p>
      <w:pPr>
        <w:pStyle w:val="Subsection"/>
        <w:spacing w:before="200"/>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rPr>
        <w:t xml:space="preserve"> </w:t>
      </w:r>
      <w:r>
        <w:rPr>
          <w:snapToGrid w:val="0"/>
          <w:vertAlign w:val="superscript"/>
        </w:rPr>
        <w:t>1</w:t>
      </w:r>
      <w:r>
        <w:rPr>
          <w:snapToGrid w:val="0"/>
        </w:rPr>
        <w:t xml:space="preserve"> certain responsibilities of the person holding the office of Commissioner of State Taxation were transferred to the Board, where under these regulations any form or activity was approved by the Commissioner of State Taxation that form or activity shall be taken to have been approved by the Commission in the absence of any specific decision by the Commission to the contrary.</w:t>
      </w:r>
    </w:p>
    <w:p>
      <w:pPr>
        <w:pStyle w:val="Footnotesection"/>
      </w:pPr>
      <w:r>
        <w:tab/>
        <w:t xml:space="preserve">[Regulation 2 inserted in Gazette 25 Jun 1996 p. 2975; amended in Gazette 22 Oct 1996 p. 5619; 30 Jan 2004 p. 412.] </w:t>
      </w:r>
    </w:p>
    <w:p>
      <w:pPr>
        <w:pStyle w:val="Heading5"/>
        <w:rPr>
          <w:snapToGrid w:val="0"/>
        </w:rPr>
      </w:pPr>
      <w:bookmarkStart w:id="13" w:name="_Toc495993554"/>
      <w:bookmarkStart w:id="14" w:name="_Toc511525030"/>
      <w:bookmarkStart w:id="15" w:name="_Toc27803393"/>
      <w:bookmarkStart w:id="16" w:name="_Toc133903504"/>
      <w:bookmarkStart w:id="17" w:name="_Toc133920947"/>
      <w:bookmarkStart w:id="18" w:name="_Toc123708403"/>
      <w:r>
        <w:rPr>
          <w:rStyle w:val="CharSectno"/>
        </w:rPr>
        <w:t>3</w:t>
      </w:r>
      <w:r>
        <w:rPr>
          <w:snapToGrid w:val="0"/>
        </w:rPr>
        <w:t>.</w:t>
      </w:r>
      <w:r>
        <w:rPr>
          <w:snapToGrid w:val="0"/>
        </w:rPr>
        <w:tab/>
        <w:t>Interpretation</w:t>
      </w:r>
      <w:bookmarkEnd w:id="13"/>
      <w:bookmarkEnd w:id="14"/>
      <w:bookmarkEnd w:id="15"/>
      <w:bookmarkEnd w:id="16"/>
      <w:bookmarkEnd w:id="17"/>
      <w:bookmarkEnd w:id="18"/>
      <w:r>
        <w:rPr>
          <w:snapToGrid w:val="0"/>
        </w:rPr>
        <w:t xml:space="preserve"> </w:t>
      </w:r>
    </w:p>
    <w:p>
      <w:pPr>
        <w:pStyle w:val="Subsection"/>
        <w:keepNext/>
        <w:rPr>
          <w:snapToGrid w:val="0"/>
        </w:rPr>
      </w:pPr>
      <w:r>
        <w:rPr>
          <w:snapToGrid w:val="0"/>
        </w:rPr>
        <w:tab/>
        <w:t>(1)</w:t>
      </w:r>
      <w:r>
        <w:rPr>
          <w:snapToGrid w:val="0"/>
        </w:rPr>
        <w:tab/>
        <w:t>In these regulations unless the context requires otherwise — </w:t>
      </w:r>
    </w:p>
    <w:p>
      <w:pPr>
        <w:pStyle w:val="Defstart"/>
      </w:pPr>
      <w:r>
        <w:rPr>
          <w:b/>
        </w:rPr>
        <w:tab/>
        <w:t>“</w:t>
      </w:r>
      <w:r>
        <w:rPr>
          <w:rStyle w:val="CharDefText"/>
        </w:rPr>
        <w:t>concession bet</w:t>
      </w:r>
      <w:r>
        <w:rPr>
          <w:b/>
        </w:rPr>
        <w:t>”</w:t>
      </w:r>
      <w:r>
        <w:t xml:space="preserve"> means a bet to win at special odds, the stake being refunded if the runner concerned is placed second or third, subject to the number of starters;</w:t>
      </w:r>
    </w:p>
    <w:p>
      <w:pPr>
        <w:pStyle w:val="Defstart"/>
      </w:pPr>
      <w:r>
        <w:rPr>
          <w:b/>
        </w:rPr>
        <w:tab/>
        <w:t>“</w:t>
      </w:r>
      <w:r>
        <w:rPr>
          <w:rStyle w:val="CharDefText"/>
        </w:rPr>
        <w:t>country</w:t>
      </w:r>
      <w:r>
        <w:rPr>
          <w:b/>
        </w:rPr>
        <w:t>”</w:t>
      </w:r>
      <w:r>
        <w:t xml:space="preserve"> means any part of the State outside the metropolitan area; </w:t>
      </w:r>
    </w:p>
    <w:p>
      <w:pPr>
        <w:pStyle w:val="Defstart"/>
      </w:pPr>
      <w:r>
        <w:rPr>
          <w:b/>
        </w:rPr>
        <w:lastRenderedPageBreak/>
        <w:tab/>
        <w:t>“</w:t>
      </w:r>
      <w:r>
        <w:rPr>
          <w:rStyle w:val="CharDefText"/>
        </w:rPr>
        <w:t>each way bet</w:t>
      </w:r>
      <w:r>
        <w:rPr>
          <w:b/>
        </w:rPr>
        <w:t>”</w:t>
      </w:r>
      <w:r>
        <w:t xml:space="preserve"> means a bet comprising 2 equal amounts, one amount being for a win and one for a place and both being taken or laid on the same runner or other competitor or contingency at the same time, at stated odds for a win;</w:t>
      </w:r>
    </w:p>
    <w:p>
      <w:pPr>
        <w:pStyle w:val="Defstart"/>
      </w:pPr>
      <w:r>
        <w:rPr>
          <w:b/>
        </w:rPr>
        <w:tab/>
        <w:t>“</w:t>
      </w:r>
      <w:r>
        <w:rPr>
          <w:rStyle w:val="CharDefText"/>
        </w:rPr>
        <w:t>grandstand enclosure</w:t>
      </w:r>
      <w:r>
        <w:rPr>
          <w:b/>
        </w:rPr>
        <w:t>”</w:t>
      </w:r>
      <w:r>
        <w:t xml:space="preserve"> means that portion of a racecourse which is set aside as such by the committee or other authority controlling the racecourse, and commonly known as the “grandstand enclosure”;</w:t>
      </w:r>
    </w:p>
    <w:p>
      <w:pPr>
        <w:pStyle w:val="Defstart"/>
      </w:pPr>
      <w:r>
        <w:tab/>
      </w:r>
      <w:r>
        <w:rPr>
          <w:b/>
        </w:rPr>
        <w:t>“</w:t>
      </w:r>
      <w:r>
        <w:rPr>
          <w:rStyle w:val="CharDefText"/>
        </w:rPr>
        <w:t>internet betting</w:t>
      </w:r>
      <w:r>
        <w:rPr>
          <w:b/>
        </w:rPr>
        <w:t>”</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pPr>
      <w:r>
        <w:rPr>
          <w:b/>
        </w:rPr>
        <w:tab/>
        <w:t>“</w:t>
      </w:r>
      <w:r>
        <w:rPr>
          <w:rStyle w:val="CharDefText"/>
        </w:rPr>
        <w:t>leger</w:t>
      </w:r>
      <w:r>
        <w:rPr>
          <w:b/>
        </w:rPr>
        <w:t>”</w:t>
      </w:r>
      <w:r>
        <w:t xml:space="preserve"> means that portion of a racecourse which is set aside as such by the committee or other authority controlling the racecourse, and commonly known as “the leger”;</w:t>
      </w:r>
    </w:p>
    <w:p>
      <w:pPr>
        <w:pStyle w:val="Defstart"/>
      </w:pPr>
      <w:r>
        <w:rPr>
          <w:b/>
        </w:rPr>
        <w:tab/>
        <w:t>“</w:t>
      </w:r>
      <w:r>
        <w:rPr>
          <w:rStyle w:val="CharDefText"/>
        </w:rPr>
        <w:t>rules of racing</w:t>
      </w:r>
      <w:r>
        <w:rPr>
          <w:b/>
        </w:rPr>
        <w:t>”</w:t>
      </w:r>
      <w:r>
        <w:t xml:space="preserve"> means the rules of racing made under, or continued for the purposes of, the RWWA Act;</w:t>
      </w:r>
    </w:p>
    <w:p>
      <w:pPr>
        <w:pStyle w:val="Defstart"/>
      </w:pPr>
      <w:r>
        <w:rPr>
          <w:b/>
        </w:rPr>
        <w:tab/>
        <w:t>“</w:t>
      </w:r>
      <w:r>
        <w:rPr>
          <w:rStyle w:val="CharDefText"/>
        </w:rPr>
        <w:t>rules of wagering</w:t>
      </w:r>
      <w:r>
        <w:rPr>
          <w:b/>
        </w:rPr>
        <w:t>”</w:t>
      </w:r>
      <w:r>
        <w:t xml:space="preserve"> means the rules of wagering made under, or continued for the purposes of, the RWWA Act;</w:t>
      </w:r>
    </w:p>
    <w:p>
      <w:pPr>
        <w:pStyle w:val="Defstart"/>
      </w:pPr>
      <w:r>
        <w:tab/>
      </w:r>
      <w:r>
        <w:rPr>
          <w:b/>
        </w:rPr>
        <w:t>“</w:t>
      </w:r>
      <w:r>
        <w:rPr>
          <w:rStyle w:val="CharDefText"/>
        </w:rPr>
        <w:t>runner</w:t>
      </w:r>
      <w:r>
        <w:rPr>
          <w:b/>
        </w:rPr>
        <w:t>”</w:t>
      </w:r>
      <w:r>
        <w:t xml:space="preserve"> means —</w:t>
      </w:r>
    </w:p>
    <w:p>
      <w:pPr>
        <w:pStyle w:val="Defpara"/>
      </w:pPr>
      <w:r>
        <w:tab/>
        <w:t>(a)</w:t>
      </w:r>
      <w:r>
        <w:tab/>
        <w:t>in the context of a horse race, a horse running in the race;</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b/>
        </w:rPr>
        <w:t>“</w:t>
      </w:r>
      <w:r>
        <w:rPr>
          <w:rStyle w:val="CharDefText"/>
        </w:rPr>
        <w:t>sporting event</w:t>
      </w:r>
      <w:r>
        <w:rPr>
          <w:b/>
        </w:rPr>
        <w: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Footnotesection"/>
      </w:pPr>
      <w:r>
        <w:tab/>
        <w:t>[Regulation 3 amended in Gazette 24 Jun 1988 p. 2003; 14 Feb 1992 p. 857; 10 Jul 1992 p. 3286</w:t>
      </w:r>
      <w:r>
        <w:noBreakHyphen/>
        <w:t xml:space="preserve">7; 21 Jul 1998 p. 3851, 3854, 3855 and 3856; 26 Nov 1999 p. 5908; 30 Jan 2004 p. 403.] </w:t>
      </w:r>
    </w:p>
    <w:p>
      <w:pPr>
        <w:pStyle w:val="Ednotesection"/>
      </w:pPr>
      <w:r>
        <w:t>[</w:t>
      </w:r>
      <w:r>
        <w:rPr>
          <w:b/>
        </w:rPr>
        <w:t>3A</w:t>
      </w:r>
      <w:r>
        <w:rPr>
          <w:b/>
        </w:rPr>
        <w:noBreakHyphen/>
        <w:t>8.</w:t>
      </w:r>
      <w:r>
        <w:rPr>
          <w:b/>
        </w:rPr>
        <w:tab/>
      </w:r>
      <w:r>
        <w:t>Repealed in Gazette 30 Jan 2004 p. 403.]</w:t>
      </w:r>
    </w:p>
    <w:p>
      <w:pPr>
        <w:pStyle w:val="Heading5"/>
        <w:rPr>
          <w:snapToGrid w:val="0"/>
        </w:rPr>
      </w:pPr>
      <w:bookmarkStart w:id="19" w:name="_Toc495993560"/>
      <w:bookmarkStart w:id="20" w:name="_Toc511525036"/>
      <w:bookmarkStart w:id="21" w:name="_Toc27803400"/>
      <w:bookmarkStart w:id="22" w:name="_Toc133903505"/>
      <w:bookmarkStart w:id="23" w:name="_Toc133920948"/>
      <w:bookmarkStart w:id="24" w:name="_Toc123708404"/>
      <w:r>
        <w:rPr>
          <w:rStyle w:val="CharSectno"/>
        </w:rPr>
        <w:t>9</w:t>
      </w:r>
      <w:r>
        <w:rPr>
          <w:snapToGrid w:val="0"/>
        </w:rPr>
        <w:t>.</w:t>
      </w:r>
      <w:r>
        <w:rPr>
          <w:snapToGrid w:val="0"/>
        </w:rPr>
        <w:tab/>
        <w:t>Application for licence</w:t>
      </w:r>
      <w:bookmarkEnd w:id="19"/>
      <w:bookmarkEnd w:id="20"/>
      <w:bookmarkEnd w:id="21"/>
      <w:bookmarkEnd w:id="22"/>
      <w:bookmarkEnd w:id="23"/>
      <w:bookmarkEnd w:id="24"/>
      <w:r>
        <w:rPr>
          <w:snapToGrid w:val="0"/>
        </w:rPr>
        <w:t xml:space="preserve"> </w:t>
      </w:r>
    </w:p>
    <w:p>
      <w:pPr>
        <w:pStyle w:val="Subsection"/>
        <w:spacing w:before="180"/>
        <w:rPr>
          <w:snapToGrid w:val="0"/>
        </w:rPr>
      </w:pPr>
      <w:r>
        <w:rPr>
          <w:snapToGrid w:val="0"/>
        </w:rPr>
        <w:tab/>
        <w:t>(1)</w:t>
      </w:r>
      <w:r>
        <w:rPr>
          <w:snapToGrid w:val="0"/>
        </w:rPr>
        <w:tab/>
        <w:t>A person who desires to make application for a licence shall —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 xml:space="preserve">7; 20 Sep 2002 p. 4698; 30 Jan 2004 p. 404 and 412.] </w:t>
      </w:r>
    </w:p>
    <w:p>
      <w:pPr>
        <w:pStyle w:val="Heading5"/>
      </w:pPr>
      <w:bookmarkStart w:id="25" w:name="_Toc495993561"/>
      <w:bookmarkStart w:id="26" w:name="_Toc511525037"/>
      <w:bookmarkStart w:id="27" w:name="_Toc27803401"/>
      <w:bookmarkStart w:id="28" w:name="_Toc133903506"/>
      <w:bookmarkStart w:id="29" w:name="_Toc133920949"/>
      <w:bookmarkStart w:id="30" w:name="_Toc123708405"/>
      <w:r>
        <w:rPr>
          <w:rStyle w:val="CharSectno"/>
        </w:rPr>
        <w:t>9A</w:t>
      </w:r>
      <w:r>
        <w:t>.</w:t>
      </w:r>
      <w:r>
        <w:tab/>
        <w:t>Application to conduct a designated sporting event</w:t>
      </w:r>
      <w:bookmarkEnd w:id="25"/>
      <w:bookmarkEnd w:id="26"/>
      <w:bookmarkEnd w:id="27"/>
      <w:bookmarkEnd w:id="28"/>
      <w:bookmarkEnd w:id="29"/>
      <w:bookmarkEnd w:id="30"/>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31" w:name="_Toc27803402"/>
      <w:bookmarkStart w:id="32" w:name="_Toc133903507"/>
      <w:bookmarkStart w:id="33" w:name="_Toc133920950"/>
      <w:bookmarkStart w:id="34" w:name="_Toc123708406"/>
      <w:bookmarkStart w:id="35" w:name="_Toc495993562"/>
      <w:bookmarkStart w:id="36" w:name="_Toc511525038"/>
      <w:r>
        <w:rPr>
          <w:rStyle w:val="CharSectno"/>
        </w:rPr>
        <w:t>10</w:t>
      </w:r>
      <w:r>
        <w:t>.</w:t>
      </w:r>
      <w:r>
        <w:tab/>
        <w:t>Application for approval</w:t>
      </w:r>
      <w:bookmarkEnd w:id="31"/>
      <w:bookmarkEnd w:id="32"/>
      <w:bookmarkEnd w:id="33"/>
      <w:bookmarkEnd w:id="34"/>
    </w:p>
    <w:p>
      <w:pPr>
        <w:pStyle w:val="Subsection"/>
      </w:pPr>
      <w:r>
        <w:tab/>
      </w:r>
      <w:r>
        <w:tab/>
        <w:t xml:space="preserve">A person who desires to make application for approval under section 11B(4) or 11C(2) of the Act shall —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37" w:name="_Toc27803403"/>
      <w:bookmarkStart w:id="38" w:name="_Toc133903508"/>
      <w:bookmarkStart w:id="39" w:name="_Toc133920951"/>
      <w:bookmarkStart w:id="40" w:name="_Toc123708407"/>
      <w:r>
        <w:rPr>
          <w:rStyle w:val="CharSectno"/>
        </w:rPr>
        <w:t>11</w:t>
      </w:r>
      <w:r>
        <w:rPr>
          <w:snapToGrid w:val="0"/>
        </w:rPr>
        <w:t>.</w:t>
      </w:r>
      <w:r>
        <w:rPr>
          <w:snapToGrid w:val="0"/>
        </w:rPr>
        <w:tab/>
        <w:t>When a licence may be renewed</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 xml:space="preserve">7; 20 Sep 2002 p. 4698.] </w:t>
      </w:r>
    </w:p>
    <w:p>
      <w:pPr>
        <w:pStyle w:val="Heading5"/>
        <w:rPr>
          <w:snapToGrid w:val="0"/>
        </w:rPr>
      </w:pPr>
      <w:bookmarkStart w:id="41" w:name="_Toc495993563"/>
      <w:bookmarkStart w:id="42" w:name="_Toc511525039"/>
      <w:bookmarkStart w:id="43" w:name="_Toc27803404"/>
      <w:bookmarkStart w:id="44" w:name="_Toc133903509"/>
      <w:bookmarkStart w:id="45" w:name="_Toc133920952"/>
      <w:bookmarkStart w:id="46" w:name="_Toc123708408"/>
      <w:r>
        <w:rPr>
          <w:rStyle w:val="CharSectno"/>
        </w:rPr>
        <w:t>12</w:t>
      </w:r>
      <w:r>
        <w:rPr>
          <w:snapToGrid w:val="0"/>
        </w:rPr>
        <w:t>.</w:t>
      </w:r>
      <w:r>
        <w:rPr>
          <w:snapToGrid w:val="0"/>
        </w:rPr>
        <w:tab/>
        <w:t xml:space="preserve">Grant of a </w:t>
      </w:r>
      <w:bookmarkEnd w:id="41"/>
      <w:r>
        <w:rPr>
          <w:snapToGrid w:val="0"/>
        </w:rPr>
        <w:t>licence</w:t>
      </w:r>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repealed]</w:t>
      </w:r>
    </w:p>
    <w:p>
      <w:pPr>
        <w:pStyle w:val="Footnotesection"/>
      </w:pPr>
      <w:r>
        <w:tab/>
        <w:t>[Regulation 12 amended in Gazette 10 Jul 1992 p. 3286</w:t>
      </w:r>
      <w:r>
        <w:noBreakHyphen/>
        <w:t xml:space="preserve">8; 30 Jan 2004 p. 404 and 412.] </w:t>
      </w:r>
    </w:p>
    <w:p>
      <w:pPr>
        <w:pStyle w:val="Ednotesection"/>
      </w:pPr>
      <w:r>
        <w:t>[</w:t>
      </w:r>
      <w:r>
        <w:rPr>
          <w:b/>
        </w:rPr>
        <w:t>13.</w:t>
      </w:r>
      <w:r>
        <w:tab/>
        <w:t>Repealed in Gazette 20 Sep 2002 p. 4698.]</w:t>
      </w:r>
    </w:p>
    <w:p>
      <w:pPr>
        <w:pStyle w:val="Heading5"/>
        <w:rPr>
          <w:snapToGrid w:val="0"/>
        </w:rPr>
      </w:pPr>
      <w:bookmarkStart w:id="47" w:name="_Toc495993565"/>
      <w:bookmarkStart w:id="48" w:name="_Toc511525041"/>
      <w:bookmarkStart w:id="49" w:name="_Toc27803405"/>
      <w:bookmarkStart w:id="50" w:name="_Toc133903510"/>
      <w:bookmarkStart w:id="51" w:name="_Toc133920953"/>
      <w:bookmarkStart w:id="52" w:name="_Toc123708409"/>
      <w:r>
        <w:rPr>
          <w:rStyle w:val="CharSectno"/>
        </w:rPr>
        <w:t>14</w:t>
      </w:r>
      <w:r>
        <w:rPr>
          <w:snapToGrid w:val="0"/>
        </w:rPr>
        <w:t>.</w:t>
      </w:r>
      <w:r>
        <w:rPr>
          <w:snapToGrid w:val="0"/>
        </w:rPr>
        <w:tab/>
        <w:t xml:space="preserve">Effect of a </w:t>
      </w:r>
      <w:bookmarkEnd w:id="47"/>
      <w:r>
        <w:rPr>
          <w:snapToGrid w:val="0"/>
        </w:rPr>
        <w:t>licence</w:t>
      </w:r>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 xml:space="preserve">9; 20 Sep 2002 p. 4699; 30 Jan 2004 p. 412.] </w:t>
      </w:r>
    </w:p>
    <w:p>
      <w:pPr>
        <w:pStyle w:val="Ednotesection"/>
      </w:pPr>
      <w:r>
        <w:t>[</w:t>
      </w:r>
      <w:r>
        <w:rPr>
          <w:b/>
        </w:rPr>
        <w:t>15.</w:t>
      </w:r>
      <w:r>
        <w:tab/>
        <w:t xml:space="preserve">Repealed in Gazette 10 Jul 1992 p. 3288.] </w:t>
      </w:r>
    </w:p>
    <w:p>
      <w:pPr>
        <w:pStyle w:val="Heading5"/>
        <w:rPr>
          <w:snapToGrid w:val="0"/>
        </w:rPr>
      </w:pPr>
      <w:bookmarkStart w:id="53" w:name="_Toc495993566"/>
      <w:bookmarkStart w:id="54" w:name="_Toc511525042"/>
      <w:bookmarkStart w:id="55" w:name="_Toc27803406"/>
      <w:bookmarkStart w:id="56" w:name="_Toc133903511"/>
      <w:bookmarkStart w:id="57" w:name="_Toc133920954"/>
      <w:bookmarkStart w:id="58" w:name="_Toc123708410"/>
      <w:r>
        <w:rPr>
          <w:rStyle w:val="CharSectno"/>
        </w:rPr>
        <w:t>16</w:t>
      </w:r>
      <w:r>
        <w:rPr>
          <w:snapToGrid w:val="0"/>
        </w:rPr>
        <w:t>.</w:t>
      </w:r>
      <w:r>
        <w:rPr>
          <w:snapToGrid w:val="0"/>
        </w:rPr>
        <w:tab/>
        <w:t>Duplicate licences</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 xml:space="preserve">[Regulation 16 amended in Gazette 10 Jul 1992 p. 3286 and 3288; 30 Jan 2004 p. 412.] </w:t>
      </w:r>
    </w:p>
    <w:p>
      <w:pPr>
        <w:pStyle w:val="Heading5"/>
        <w:rPr>
          <w:snapToGrid w:val="0"/>
        </w:rPr>
      </w:pPr>
      <w:bookmarkStart w:id="59" w:name="_Toc495993567"/>
      <w:bookmarkStart w:id="60" w:name="_Toc511525043"/>
      <w:bookmarkStart w:id="61" w:name="_Toc27803407"/>
      <w:bookmarkStart w:id="62" w:name="_Toc133903512"/>
      <w:bookmarkStart w:id="63" w:name="_Toc133920955"/>
      <w:bookmarkStart w:id="64" w:name="_Toc123708411"/>
      <w:r>
        <w:rPr>
          <w:rStyle w:val="CharSectno"/>
        </w:rPr>
        <w:t>17</w:t>
      </w:r>
      <w:r>
        <w:rPr>
          <w:snapToGrid w:val="0"/>
        </w:rPr>
        <w:t>.</w:t>
      </w:r>
      <w:r>
        <w:rPr>
          <w:snapToGrid w:val="0"/>
        </w:rPr>
        <w:tab/>
        <w:t>Fees</w:t>
      </w:r>
      <w:bookmarkEnd w:id="59"/>
      <w:bookmarkEnd w:id="60"/>
      <w:r>
        <w:rPr>
          <w:snapToGrid w:val="0"/>
        </w:rPr>
        <w:t xml:space="preserve"> and charges</w:t>
      </w:r>
      <w:bookmarkEnd w:id="61"/>
      <w:bookmarkEnd w:id="62"/>
      <w:bookmarkEnd w:id="63"/>
      <w:bookmarkEnd w:id="64"/>
    </w:p>
    <w:p>
      <w:pPr>
        <w:pStyle w:val="Subsection"/>
        <w:rPr>
          <w:snapToGrid w:val="0"/>
        </w:rPr>
      </w:pPr>
      <w:r>
        <w:rPr>
          <w:snapToGrid w:val="0"/>
        </w:rPr>
        <w:tab/>
        <w:t>(1)</w:t>
      </w:r>
      <w:r>
        <w:rPr>
          <w:snapToGrid w:val="0"/>
        </w:rPr>
        <w:tab/>
        <w:t>The Commission shall charge the following fees — </w:t>
      </w:r>
    </w:p>
    <w:p>
      <w:pPr>
        <w:pStyle w:val="Indenta"/>
        <w:rPr>
          <w:snapToGrid w:val="0"/>
        </w:rPr>
      </w:pPr>
      <w:r>
        <w:rPr>
          <w:snapToGrid w:val="0"/>
        </w:rPr>
        <w:tab/>
        <w:t>(aa)</w:t>
      </w:r>
      <w:r>
        <w:rPr>
          <w:snapToGrid w:val="0"/>
        </w:rPr>
        <w:tab/>
        <w:t>On the grant of a permit under section 4A</w:t>
      </w:r>
      <w:r>
        <w:rPr>
          <w:snapToGrid w:val="0"/>
        </w:rPr>
        <w:br/>
        <w:t>for a designated sporting event .................................$35;</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telephone betting .......................................................$55;</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internet betting.........................................................$270;</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betting ledger system.................................................$55;</w:t>
      </w:r>
    </w:p>
    <w:p>
      <w:pPr>
        <w:pStyle w:val="Indenta"/>
        <w:spacing w:before="100"/>
        <w:rPr>
          <w:snapToGrid w:val="0"/>
        </w:rPr>
      </w:pPr>
      <w:r>
        <w:rPr>
          <w:snapToGrid w:val="0"/>
        </w:rPr>
        <w:tab/>
        <w:t>(a)</w:t>
      </w:r>
      <w:r>
        <w:rPr>
          <w:snapToGrid w:val="0"/>
        </w:rPr>
        <w:tab/>
        <w:t>On an application for a bookmaker’s</w:t>
      </w:r>
      <w:r>
        <w:rPr>
          <w:snapToGrid w:val="0"/>
        </w:rPr>
        <w:br/>
        <w:t>licence......................................................................$535;</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licence..........................$25;</w:t>
      </w:r>
    </w:p>
    <w:p>
      <w:pPr>
        <w:pStyle w:val="Indenta"/>
        <w:spacing w:before="100"/>
        <w:rPr>
          <w:snapToGrid w:val="0"/>
        </w:rPr>
      </w:pPr>
      <w:r>
        <w:rPr>
          <w:snapToGrid w:val="0"/>
        </w:rPr>
        <w:tab/>
        <w:t>(ba)</w:t>
      </w:r>
      <w:r>
        <w:rPr>
          <w:snapToGrid w:val="0"/>
        </w:rPr>
        <w:tab/>
        <w:t>On an application for a bookmaker’s</w:t>
      </w:r>
      <w:r>
        <w:rPr>
          <w:snapToGrid w:val="0"/>
        </w:rPr>
        <w:br/>
        <w:t>manager licence.......................................................$130;</w:t>
      </w:r>
    </w:p>
    <w:p>
      <w:pPr>
        <w:pStyle w:val="Indenta"/>
        <w:spacing w:before="100"/>
        <w:rPr>
          <w:snapToGrid w:val="0"/>
        </w:rPr>
      </w:pPr>
      <w:r>
        <w:rPr>
          <w:snapToGrid w:val="0"/>
        </w:rPr>
        <w:tab/>
        <w:t>(bb)</w:t>
      </w:r>
      <w:r>
        <w:rPr>
          <w:snapToGrid w:val="0"/>
        </w:rPr>
        <w:tab/>
        <w:t>On an application for the renewal of a</w:t>
      </w:r>
      <w:r>
        <w:rPr>
          <w:snapToGrid w:val="0"/>
        </w:rPr>
        <w:br/>
        <w:t>bookmaker’s manager licence....................................$70;</w:t>
      </w:r>
    </w:p>
    <w:p>
      <w:pPr>
        <w:pStyle w:val="Indenta"/>
        <w:spacing w:before="100"/>
        <w:rPr>
          <w:snapToGrid w:val="0"/>
        </w:rPr>
      </w:pPr>
      <w:r>
        <w:rPr>
          <w:snapToGrid w:val="0"/>
        </w:rPr>
        <w:tab/>
        <w:t>(c)</w:t>
      </w:r>
      <w:r>
        <w:rPr>
          <w:snapToGrid w:val="0"/>
        </w:rPr>
        <w:tab/>
        <w:t>For an appeal to the Commission in</w:t>
      </w:r>
      <w:r>
        <w:rPr>
          <w:snapToGrid w:val="0"/>
        </w:rPr>
        <w:br/>
        <w:t>connection with a betting dispute............................$125;</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page.............................$3.50;</w:t>
      </w:r>
    </w:p>
    <w:p>
      <w:pPr>
        <w:pStyle w:val="Indenta"/>
        <w:spacing w:before="100"/>
        <w:rPr>
          <w:snapToGrid w:val="0"/>
        </w:rPr>
      </w:pPr>
      <w:r>
        <w:rPr>
          <w:snapToGrid w:val="0"/>
        </w:rPr>
        <w:tab/>
        <w:t>(e)</w:t>
      </w:r>
      <w:r>
        <w:rPr>
          <w:snapToGrid w:val="0"/>
        </w:rPr>
        <w:tab/>
        <w:t>On applying for the issue of a duplicate</w:t>
      </w:r>
      <w:r>
        <w:rPr>
          <w:snapToGrid w:val="0"/>
        </w:rPr>
        <w:br/>
        <w:t>licence........................................................................$25;</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............................................$500.</w:t>
      </w:r>
    </w:p>
    <w:p>
      <w:pPr>
        <w:pStyle w:val="Subsection"/>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$80.</w:t>
      </w:r>
    </w:p>
    <w:p>
      <w:pPr>
        <w:pStyle w:val="Subsection"/>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$80.</w:t>
      </w:r>
    </w:p>
    <w:p>
      <w:pPr>
        <w:pStyle w:val="Footnotesection"/>
      </w:pPr>
      <w:r>
        <w:tab/>
        <w:t xml:space="preserve">[Regulation 17 amended in Gazette 14 Jul 1989 p. 2133; 10 Jul 1992 p. 3288; 21 Jul 1998 p. 3852; 2 Oct 2001 p. 5454; 20 Sep 2002 p. 4699; 26 Sep 2003 p. 4226; 30 Jan 2004 p. 404 and 412; 9 Jul 2004 p. 2781; 14 Oct 2005 p. 4559.] </w:t>
      </w:r>
    </w:p>
    <w:p>
      <w:pPr>
        <w:pStyle w:val="Heading5"/>
        <w:rPr>
          <w:snapToGrid w:val="0"/>
        </w:rPr>
      </w:pPr>
      <w:bookmarkStart w:id="65" w:name="_Toc495993568"/>
      <w:bookmarkStart w:id="66" w:name="_Toc511525044"/>
      <w:bookmarkStart w:id="67" w:name="_Toc27803408"/>
      <w:bookmarkStart w:id="68" w:name="_Toc133903513"/>
      <w:bookmarkStart w:id="69" w:name="_Toc133920956"/>
      <w:bookmarkStart w:id="70" w:name="_Toc123708412"/>
      <w:r>
        <w:rPr>
          <w:rStyle w:val="CharSectno"/>
        </w:rPr>
        <w:t>17A</w:t>
      </w:r>
      <w:r>
        <w:rPr>
          <w:snapToGrid w:val="0"/>
        </w:rPr>
        <w:t>.</w:t>
      </w:r>
      <w:r>
        <w:rPr>
          <w:snapToGrid w:val="0"/>
        </w:rPr>
        <w:tab/>
        <w:t>Bookmakers’ annual licence fee</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bookmakers’ annual licence fee payable under section 13(1)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$250 000.......................................................$295;</w:t>
      </w:r>
    </w:p>
    <w:p>
      <w:pPr>
        <w:pStyle w:val="Indenti"/>
      </w:pPr>
      <w:r>
        <w:tab/>
        <w:t>(ii)</w:t>
      </w:r>
      <w:r>
        <w:tab/>
        <w:t xml:space="preserve">on total turnover greater than </w:t>
      </w:r>
      <w:r>
        <w:br/>
        <w:t>$250 000 but not exceeding</w:t>
      </w:r>
      <w:r>
        <w:br/>
        <w:t>$1 000 000....................................................$595; and</w:t>
      </w:r>
    </w:p>
    <w:p>
      <w:pPr>
        <w:pStyle w:val="Indenti"/>
      </w:pPr>
      <w:r>
        <w:tab/>
        <w:t>(iii)</w:t>
      </w:r>
      <w:r>
        <w:tab/>
        <w:t>on total turnover greater than</w:t>
      </w:r>
      <w:r>
        <w:br/>
        <w:t>$1 000 000....................................................$895,</w:t>
      </w:r>
    </w:p>
    <w:p>
      <w:pPr>
        <w:pStyle w:val="Indenta"/>
        <w:rPr>
          <w:snapToGrid w:val="0"/>
        </w:rPr>
      </w:pPr>
      <w:r>
        <w:rPr>
          <w:snapToGrid w:val="0"/>
        </w:rPr>
        <w:tab/>
      </w:r>
      <w:r>
        <w:rPr>
          <w:snapToGrid w:val="0"/>
        </w:rPr>
        <w:tab/>
        <w:t>for that year; 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w:t>
      </w:r>
    </w:p>
    <w:p>
      <w:pPr>
        <w:pStyle w:val="Heading5"/>
        <w:rPr>
          <w:snapToGrid w:val="0"/>
        </w:rPr>
      </w:pPr>
      <w:bookmarkStart w:id="71" w:name="_Toc495993569"/>
      <w:bookmarkStart w:id="72" w:name="_Toc511525045"/>
      <w:bookmarkStart w:id="73" w:name="_Toc27803409"/>
      <w:bookmarkStart w:id="74" w:name="_Toc133903514"/>
      <w:bookmarkStart w:id="75" w:name="_Toc133920957"/>
      <w:bookmarkStart w:id="76" w:name="_Toc123708413"/>
      <w:r>
        <w:rPr>
          <w:rStyle w:val="CharSectno"/>
        </w:rPr>
        <w:t>17B</w:t>
      </w:r>
      <w:r>
        <w:rPr>
          <w:snapToGrid w:val="0"/>
        </w:rPr>
        <w:t>.</w:t>
      </w:r>
      <w:r>
        <w:rPr>
          <w:snapToGrid w:val="0"/>
        </w:rPr>
        <w:tab/>
        <w:t>On</w:t>
      </w:r>
      <w:r>
        <w:rPr>
          <w:snapToGrid w:val="0"/>
        </w:rPr>
        <w:noBreakHyphen/>
        <w:t>course totalisator annual licence fee</w:t>
      </w:r>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 </w:t>
      </w:r>
    </w:p>
    <w:p>
      <w:pPr>
        <w:pStyle w:val="Indenta"/>
        <w:rPr>
          <w:snapToGrid w:val="0"/>
        </w:rPr>
      </w:pPr>
      <w:r>
        <w:rPr>
          <w:snapToGrid w:val="0"/>
        </w:rPr>
        <w:tab/>
        <w:t>(a)</w:t>
      </w:r>
      <w:r>
        <w:rPr>
          <w:snapToGrid w:val="0"/>
        </w:rPr>
        <w:tab/>
        <w:t>paid, in respect of each assessment year commencing on 1 August and ending on 31 July, at the following rates — </w:t>
      </w:r>
    </w:p>
    <w:p>
      <w:pPr>
        <w:pStyle w:val="Indenti"/>
      </w:pPr>
      <w:r>
        <w:tab/>
        <w:t>(i)</w:t>
      </w:r>
      <w:r>
        <w:tab/>
        <w:t>on total turnover not exceeding</w:t>
      </w:r>
      <w:r>
        <w:br/>
        <w:t>$10 000.......................................................no fee;</w:t>
      </w:r>
    </w:p>
    <w:p>
      <w:pPr>
        <w:pStyle w:val="Indenti"/>
      </w:pPr>
      <w:r>
        <w:tab/>
        <w:t>(ii)</w:t>
      </w:r>
      <w:r>
        <w:tab/>
        <w:t xml:space="preserve">on total turnover greater than $10 000 </w:t>
      </w:r>
      <w:r>
        <w:br/>
        <w:t xml:space="preserve">but not exceeding </w:t>
      </w:r>
      <w:del w:id="77" w:author="Master Repository Process" w:date="2021-07-31T09:10:00Z">
        <w:r>
          <w:delText>100 000.............................$</w:delText>
        </w:r>
      </w:del>
      <w:ins w:id="78" w:author="Master Repository Process" w:date="2021-07-31T09:10:00Z">
        <w:r>
          <w:t>$120 000...........................$</w:t>
        </w:r>
      </w:ins>
      <w:r>
        <w:t>35;</w:t>
      </w:r>
      <w:r>
        <w:br/>
        <w:t>and</w:t>
      </w:r>
    </w:p>
    <w:p>
      <w:pPr>
        <w:pStyle w:val="Indenti"/>
      </w:pPr>
      <w:r>
        <w:tab/>
        <w:t>(iii)</w:t>
      </w:r>
      <w:r>
        <w:tab/>
        <w:t>on total turnover greater than</w:t>
      </w:r>
      <w:r>
        <w:br/>
        <w:t>$</w:t>
      </w:r>
      <w:del w:id="79" w:author="Master Repository Process" w:date="2021-07-31T09:10:00Z">
        <w:r>
          <w:delText>100</w:delText>
        </w:r>
      </w:del>
      <w:ins w:id="80" w:author="Master Repository Process" w:date="2021-07-31T09:10:00Z">
        <w:r>
          <w:t>120</w:t>
        </w:r>
      </w:ins>
      <w:r>
        <w:t> 000...............................................0.030% of</w:t>
      </w:r>
      <w:r>
        <w:br/>
        <w:t xml:space="preserve">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w:t>
      </w:r>
      <w:ins w:id="81" w:author="Master Repository Process" w:date="2021-07-31T09:10:00Z">
        <w:r>
          <w:t>; 28 Apr 2006 p. 1659</w:t>
        </w:r>
      </w:ins>
      <w:r>
        <w:t>.]</w:t>
      </w:r>
    </w:p>
    <w:p>
      <w:pPr>
        <w:pStyle w:val="Heading5"/>
      </w:pPr>
      <w:bookmarkStart w:id="82" w:name="_Toc495993570"/>
      <w:bookmarkStart w:id="83" w:name="_Toc511525046"/>
      <w:bookmarkStart w:id="84" w:name="_Toc27803410"/>
      <w:bookmarkStart w:id="85" w:name="_Toc133903515"/>
      <w:bookmarkStart w:id="86" w:name="_Toc133920958"/>
      <w:bookmarkStart w:id="87" w:name="_Toc123708414"/>
      <w:r>
        <w:rPr>
          <w:rStyle w:val="CharSectno"/>
        </w:rPr>
        <w:t>17C</w:t>
      </w:r>
      <w:r>
        <w:rPr>
          <w:spacing w:val="-2"/>
        </w:rPr>
        <w:t>.</w:t>
      </w:r>
      <w:r>
        <w:rPr>
          <w:spacing w:val="-2"/>
        </w:rPr>
        <w:tab/>
      </w:r>
      <w:r>
        <w:t>Percentage of bets to belong to RWWA</w:t>
      </w:r>
      <w:bookmarkEnd w:id="82"/>
      <w:bookmarkEnd w:id="83"/>
      <w:bookmarkEnd w:id="84"/>
      <w:bookmarkEnd w:id="85"/>
      <w:bookmarkEnd w:id="86"/>
      <w:bookmarkEnd w:id="87"/>
    </w:p>
    <w:p>
      <w:pPr>
        <w:pStyle w:val="Subsection"/>
      </w:pPr>
      <w:r>
        <w:tab/>
      </w:r>
      <w:r>
        <w:tab/>
        <w:t>For the purpose of section 17E(1)(a), the amount prescribed as the commission for a bet is — </w:t>
      </w:r>
    </w:p>
    <w:p>
      <w:pPr>
        <w:pStyle w:val="Indenta"/>
      </w:pPr>
      <w:r>
        <w:tab/>
        <w:t>(a)</w:t>
      </w:r>
      <w:r>
        <w:tab/>
        <w:t>where the totalisator is conducted on the system whereby all winning bets, for a win or a place, are deducted before the commission is deducted — </w:t>
      </w:r>
    </w:p>
    <w:p>
      <w:pPr>
        <w:pStyle w:val="Indenti"/>
      </w:pPr>
      <w:r>
        <w:tab/>
        <w:t>(i)</w:t>
      </w:r>
      <w:r>
        <w:tab/>
        <w:t>for a losing bet for a win..............20%; and</w:t>
      </w:r>
    </w:p>
    <w:p>
      <w:pPr>
        <w:pStyle w:val="Indenti"/>
      </w:pPr>
      <w:r>
        <w:tab/>
        <w:t>(ii)</w:t>
      </w:r>
      <w:r>
        <w:tab/>
        <w:t>for a losing bet for a place...........25%;</w:t>
      </w:r>
    </w:p>
    <w:p>
      <w:pPr>
        <w:pStyle w:val="Indenta"/>
      </w:pPr>
      <w:r>
        <w:tab/>
        <w:t>(b)</w:t>
      </w:r>
      <w:r>
        <w:tab/>
        <w:t xml:space="preserve">for all </w:t>
      </w:r>
      <w:del w:id="88" w:author="Master Repository Process" w:date="2021-07-31T09:10:00Z">
        <w:r>
          <w:delText xml:space="preserve">other </w:delText>
        </w:r>
      </w:del>
      <w:r>
        <w:t xml:space="preserve">win </w:t>
      </w:r>
      <w:del w:id="89" w:author="Master Repository Process" w:date="2021-07-31T09:10:00Z">
        <w:r>
          <w:delText xml:space="preserve">and place </w:delText>
        </w:r>
      </w:del>
      <w:r>
        <w:t>bets</w:t>
      </w:r>
      <w:ins w:id="90" w:author="Master Repository Process" w:date="2021-07-31T09:10:00Z">
        <w:r>
          <w:t xml:space="preserve"> that are not pooled</w:t>
        </w:r>
      </w:ins>
      <w:r>
        <w:t>, 14.</w:t>
      </w:r>
      <w:del w:id="91" w:author="Master Repository Process" w:date="2021-07-31T09:10:00Z">
        <w:r>
          <w:delText>25</w:delText>
        </w:r>
      </w:del>
      <w:ins w:id="92" w:author="Master Repository Process" w:date="2021-07-31T09:10:00Z">
        <w:r>
          <w:t>5</w:t>
        </w:r>
      </w:ins>
      <w:r>
        <w:t xml:space="preserve">% of </w:t>
      </w:r>
      <w:del w:id="93" w:author="Master Repository Process" w:date="2021-07-31T09:10:00Z">
        <w:r>
          <w:delText>the gross takings of the totalisator pool</w:delText>
        </w:r>
      </w:del>
      <w:ins w:id="94" w:author="Master Repository Process" w:date="2021-07-31T09:10:00Z">
        <w:r>
          <w:t>those win bets</w:t>
        </w:r>
      </w:ins>
      <w:r>
        <w:t>;</w:t>
      </w:r>
    </w:p>
    <w:p>
      <w:pPr>
        <w:pStyle w:val="Indenta"/>
        <w:rPr>
          <w:ins w:id="95" w:author="Master Repository Process" w:date="2021-07-31T09:10:00Z"/>
        </w:rPr>
      </w:pPr>
      <w:ins w:id="96" w:author="Master Repository Process" w:date="2021-07-31T09:10:00Z">
        <w:r>
          <w:tab/>
          <w:t>(ba)</w:t>
        </w:r>
        <w:r>
          <w:tab/>
          <w:t>for all place bets that are not pooled, 14.25% of those place bets;</w:t>
        </w:r>
      </w:ins>
    </w:p>
    <w:p>
      <w:pPr>
        <w:pStyle w:val="Indenta"/>
        <w:keepNext/>
        <w:keepLines/>
      </w:pPr>
      <w:r>
        <w:tab/>
        <w:t>(c)</w:t>
      </w:r>
      <w:r>
        <w:tab/>
        <w:t xml:space="preserve">for all novelty bets as described in regulation 38(1) of the </w:t>
      </w:r>
      <w:r>
        <w:rPr>
          <w:i/>
        </w:rPr>
        <w:t>Totalisator Agency Board (Betting) Regulations 1988</w:t>
      </w:r>
      <w:r>
        <w:rPr>
          <w:vertAlign w:val="superscript"/>
        </w:rPr>
        <w:t> 2</w:t>
      </w:r>
      <w:r>
        <w:t>, other than a favourite numbers bet, 20%; and</w:t>
      </w:r>
    </w:p>
    <w:p>
      <w:pPr>
        <w:pStyle w:val="Indenta"/>
        <w:keepNext/>
        <w:keepLines/>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w:t>
      </w:r>
      <w:ins w:id="97" w:author="Master Repository Process" w:date="2021-07-31T09:10:00Z">
        <w:r>
          <w:t>; 28 Apr 2006 p. 1659</w:t>
        </w:r>
      </w:ins>
      <w:r>
        <w:t>.]</w:t>
      </w:r>
    </w:p>
    <w:p>
      <w:pPr>
        <w:pStyle w:val="Heading5"/>
      </w:pPr>
      <w:bookmarkStart w:id="98" w:name="_Toc495993571"/>
      <w:bookmarkStart w:id="99" w:name="_Toc511525047"/>
      <w:bookmarkStart w:id="100" w:name="_Toc27803411"/>
      <w:bookmarkStart w:id="101" w:name="_Toc133903516"/>
      <w:bookmarkStart w:id="102" w:name="_Toc133920959"/>
      <w:bookmarkStart w:id="103" w:name="_Toc123708415"/>
      <w:r>
        <w:rPr>
          <w:rStyle w:val="CharSectno"/>
        </w:rPr>
        <w:t>17D</w:t>
      </w:r>
      <w:r>
        <w:t>.</w:t>
      </w:r>
      <w:r>
        <w:tab/>
        <w:t>Percentage of bets to belong to racing club</w:t>
      </w:r>
      <w:bookmarkEnd w:id="98"/>
      <w:bookmarkEnd w:id="99"/>
      <w:bookmarkEnd w:id="100"/>
      <w:bookmarkEnd w:id="101"/>
      <w:bookmarkEnd w:id="102"/>
      <w:bookmarkEnd w:id="103"/>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5"/>
      </w:pPr>
      <w:bookmarkStart w:id="104" w:name="_Toc495993572"/>
      <w:bookmarkStart w:id="105" w:name="_Toc511525048"/>
      <w:bookmarkStart w:id="106" w:name="_Toc27803412"/>
      <w:bookmarkStart w:id="107" w:name="_Toc133903517"/>
      <w:bookmarkStart w:id="108" w:name="_Toc133920960"/>
      <w:bookmarkStart w:id="109" w:name="_Toc123708416"/>
      <w:r>
        <w:rPr>
          <w:rStyle w:val="CharSectno"/>
        </w:rPr>
        <w:t>17E</w:t>
      </w:r>
      <w:r>
        <w:t>.</w:t>
      </w:r>
      <w:r>
        <w:tab/>
        <w:t>Levy which may be retained</w:t>
      </w:r>
      <w:bookmarkEnd w:id="104"/>
      <w:bookmarkEnd w:id="105"/>
      <w:bookmarkEnd w:id="106"/>
      <w:bookmarkEnd w:id="107"/>
      <w:bookmarkEnd w:id="108"/>
      <w:bookmarkEnd w:id="109"/>
    </w:p>
    <w:p>
      <w:pPr>
        <w:pStyle w:val="Subsection"/>
      </w:pPr>
      <w:r>
        <w:tab/>
      </w:r>
      <w:r>
        <w:tab/>
        <w:t>For the purpose of section 15(5)(a), a racing club may retain out of the sum of bookmakers’ betting levy received by that club in respect of — </w:t>
      </w:r>
    </w:p>
    <w:p>
      <w:pPr>
        <w:pStyle w:val="Indenta"/>
      </w:pPr>
      <w:r>
        <w:tab/>
        <w:t>(a)</w:t>
      </w:r>
      <w:r>
        <w:tab/>
        <w:t>sports betting to which section 4A applies, no percentage;</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110" w:name="_Toc495993573"/>
      <w:bookmarkStart w:id="111" w:name="_Toc511525049"/>
      <w:bookmarkStart w:id="112" w:name="_Toc27803413"/>
      <w:bookmarkStart w:id="113" w:name="_Toc133903518"/>
      <w:bookmarkStart w:id="114" w:name="_Toc133920961"/>
      <w:bookmarkStart w:id="115" w:name="_Toc123708417"/>
      <w:r>
        <w:rPr>
          <w:rStyle w:val="CharSectno"/>
        </w:rPr>
        <w:t>18</w:t>
      </w:r>
      <w:r>
        <w:t>.</w:t>
      </w:r>
      <w:r>
        <w:tab/>
        <w:t>Security to be given</w:t>
      </w:r>
      <w:bookmarkEnd w:id="110"/>
      <w:bookmarkEnd w:id="111"/>
      <w:bookmarkEnd w:id="112"/>
      <w:bookmarkEnd w:id="113"/>
      <w:bookmarkEnd w:id="114"/>
      <w:bookmarkEnd w:id="115"/>
    </w:p>
    <w:p>
      <w:pPr>
        <w:pStyle w:val="Subsection"/>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p>
      <w:pPr>
        <w:pStyle w:val="MiscellaneousHeading"/>
        <w:rPr>
          <w:b/>
          <w:bCs/>
        </w:rPr>
      </w:pPr>
    </w:p>
    <w:tbl>
      <w:tblPr>
        <w:tblW w:w="0" w:type="auto"/>
        <w:tblInd w:w="71" w:type="dxa"/>
        <w:tblLayout w:type="fixed"/>
        <w:tblCellMar>
          <w:left w:w="71" w:type="dxa"/>
          <w:right w:w="71" w:type="dxa"/>
        </w:tblCellMar>
        <w:tblLook w:val="0000" w:firstRow="0" w:lastRow="0" w:firstColumn="0" w:lastColumn="0" w:noHBand="0" w:noVBand="0"/>
      </w:tblPr>
      <w:tblGrid>
        <w:gridCol w:w="5954"/>
        <w:gridCol w:w="1417"/>
      </w:tblGrid>
      <w:tr>
        <w:tc>
          <w:tcPr>
            <w:tcW w:w="5954" w:type="dxa"/>
          </w:tcPr>
          <w:p>
            <w:pPr>
              <w:pStyle w:val="Table"/>
              <w:tabs>
                <w:tab w:val="right" w:pos="1327"/>
                <w:tab w:val="left" w:pos="1610"/>
                <w:tab w:val="left" w:leader="dot" w:pos="5741"/>
              </w:tabs>
              <w:spacing w:before="80"/>
              <w:ind w:left="1610" w:hanging="1610"/>
              <w:rPr>
                <w:sz w:val="24"/>
              </w:rPr>
            </w:pPr>
            <w:r>
              <w:rPr>
                <w:sz w:val="24"/>
              </w:rPr>
              <w:tab/>
              <w:t>(a)</w:t>
            </w:r>
            <w:r>
              <w:rPr>
                <w:sz w:val="24"/>
              </w:rPr>
              <w:tab/>
              <w:t>for a licence endorsed for metropolitan grandstand enclosure operations with The Western Australian Turf Club......................</w:t>
            </w:r>
          </w:p>
        </w:tc>
        <w:tc>
          <w:tcPr>
            <w:tcW w:w="1417" w:type="dxa"/>
          </w:tcPr>
          <w:p>
            <w:pPr>
              <w:pStyle w:val="Table"/>
              <w:tabs>
                <w:tab w:val="right" w:pos="1327"/>
                <w:tab w:val="left" w:pos="1610"/>
              </w:tabs>
              <w:spacing w:before="8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$100 000</w:t>
            </w:r>
            <w:r>
              <w:rPr>
                <w:sz w:val="24"/>
              </w:rPr>
              <w:t>;</w:t>
            </w:r>
          </w:p>
        </w:tc>
      </w:tr>
      <w:tr>
        <w:tc>
          <w:tcPr>
            <w:tcW w:w="5954" w:type="dxa"/>
          </w:tcPr>
          <w:p>
            <w:pPr>
              <w:pStyle w:val="Table"/>
              <w:keepLines/>
              <w:tabs>
                <w:tab w:val="right" w:pos="1327"/>
                <w:tab w:val="left" w:pos="1610"/>
                <w:tab w:val="left" w:leader="dot" w:pos="5741"/>
              </w:tabs>
              <w:spacing w:before="0"/>
              <w:ind w:left="1610" w:hanging="1610"/>
              <w:rPr>
                <w:sz w:val="24"/>
              </w:rPr>
            </w:pPr>
            <w:r>
              <w:rPr>
                <w:sz w:val="24"/>
              </w:rPr>
              <w:tab/>
              <w:t>(b)</w:t>
            </w:r>
            <w:r>
              <w:rPr>
                <w:sz w:val="24"/>
              </w:rPr>
              <w:tab/>
              <w:t>for a licence endorsed for metropolitan grandstand enclosure operations with the Western Australian Trotting Association.....</w:t>
            </w:r>
          </w:p>
        </w:tc>
        <w:tc>
          <w:tcPr>
            <w:tcW w:w="1417" w:type="dxa"/>
          </w:tcPr>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p>
          <w:p>
            <w:pPr>
              <w:pStyle w:val="Table"/>
              <w:keepLines/>
              <w:tabs>
                <w:tab w:val="right" w:pos="1327"/>
                <w:tab w:val="left" w:pos="1610"/>
              </w:tabs>
              <w:spacing w:before="0"/>
              <w:jc w:val="center"/>
              <w:rPr>
                <w:sz w:val="24"/>
              </w:rPr>
            </w:pPr>
            <w:r>
              <w:t>$40 000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(c)</w:t>
            </w:r>
            <w:r>
              <w:rPr>
                <w:sz w:val="24"/>
              </w:rPr>
              <w:tab/>
              <w:t>for a licence endorsed for metropolitan grandstand enclosure operations with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tabs>
                <w:tab w:val="right" w:pos="1327"/>
                <w:tab w:val="left" w:pos="1610"/>
                <w:tab w:val="left" w:leader="dot" w:pos="5741"/>
              </w:tabs>
              <w:spacing w:before="0"/>
              <w:ind w:left="1610" w:hanging="1610"/>
              <w:rPr>
                <w:sz w:val="24"/>
              </w:rPr>
            </w:pPr>
            <w:r>
              <w:rPr>
                <w:sz w:val="24"/>
              </w:rPr>
              <w:tab/>
              <w:t>(d)</w:t>
            </w:r>
            <w:r>
              <w:rPr>
                <w:sz w:val="24"/>
              </w:rPr>
              <w:tab/>
              <w:t>for a licence endorsed for metropolitan leger or country racecourse operations with The Western Australian Turf Club, the Western Australian Trotting Association, or the Western Australian Greyhound Racing Association......................................</w:t>
            </w:r>
          </w:p>
        </w:tc>
        <w:tc>
          <w:tcPr>
            <w:tcW w:w="1417" w:type="dxa"/>
          </w:tcPr>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p>
          <w:p>
            <w:pPr>
              <w:pStyle w:val="Table"/>
              <w:tabs>
                <w:tab w:val="right" w:pos="1327"/>
                <w:tab w:val="left" w:pos="1610"/>
              </w:tabs>
              <w:spacing w:before="0"/>
              <w:jc w:val="center"/>
              <w:rPr>
                <w:sz w:val="24"/>
              </w:rPr>
            </w:pPr>
            <w:r>
              <w:t>$25 000</w:t>
            </w:r>
            <w:r>
              <w:rPr>
                <w:sz w:val="24"/>
              </w:rPr>
              <w:t>;</w:t>
            </w:r>
          </w:p>
        </w:tc>
      </w:tr>
      <w:tr>
        <w:tc>
          <w:tcPr>
            <w:tcW w:w="5954" w:type="dxa"/>
          </w:tcPr>
          <w:p>
            <w:pPr>
              <w:pStyle w:val="Table"/>
              <w:keepNext/>
              <w:keepLines/>
              <w:tabs>
                <w:tab w:val="right" w:pos="1327"/>
                <w:tab w:val="left" w:pos="1610"/>
                <w:tab w:val="left" w:leader="dot" w:pos="5741"/>
              </w:tabs>
              <w:spacing w:before="0"/>
              <w:ind w:left="1610" w:hanging="1610"/>
              <w:rPr>
                <w:sz w:val="24"/>
              </w:rPr>
            </w:pPr>
            <w:r>
              <w:rPr>
                <w:sz w:val="24"/>
              </w:rPr>
              <w:tab/>
              <w:t>(e)</w:t>
            </w:r>
            <w:r>
              <w:rPr>
                <w:sz w:val="24"/>
              </w:rPr>
              <w:tab/>
              <w:t>for a licence endorsed to authorise the conduct of sports betting or double event betting, or both.............................................</w:t>
            </w:r>
          </w:p>
        </w:tc>
        <w:tc>
          <w:tcPr>
            <w:tcW w:w="1417" w:type="dxa"/>
          </w:tcPr>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p>
          <w:p>
            <w:pPr>
              <w:pStyle w:val="Table"/>
              <w:keepNext/>
              <w:keepLines/>
              <w:tabs>
                <w:tab w:val="right" w:pos="1327"/>
                <w:tab w:val="left" w:pos="1610"/>
              </w:tabs>
              <w:spacing w:before="0"/>
              <w:jc w:val="center"/>
              <w:rPr>
                <w:sz w:val="24"/>
              </w:rPr>
            </w:pPr>
            <w:r>
              <w:rPr>
                <w:sz w:val="24"/>
              </w:rP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 xml:space="preserve">Omitted under the Reprints Act 1984 s. 7(4)(e).] </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 xml:space="preserve">4; 30 Jan 2004 p. 412.] </w:t>
      </w:r>
    </w:p>
    <w:p>
      <w:pPr>
        <w:pStyle w:val="Ednotesection"/>
      </w:pPr>
      <w:r>
        <w:t>[</w:t>
      </w:r>
      <w:r>
        <w:rPr>
          <w:b/>
        </w:rPr>
        <w:t>19</w:t>
      </w:r>
      <w:r>
        <w:rPr>
          <w:b/>
        </w:rPr>
        <w:noBreakHyphen/>
        <w:t>24.</w:t>
      </w:r>
      <w:r>
        <w:tab/>
        <w:t>Repealed in Gazette 10 Jul 1992 p. 3289.]</w:t>
      </w:r>
    </w:p>
    <w:p>
      <w:pPr>
        <w:pStyle w:val="Heading5"/>
        <w:rPr>
          <w:snapToGrid w:val="0"/>
        </w:rPr>
      </w:pPr>
      <w:bookmarkStart w:id="116" w:name="_Toc495993574"/>
      <w:bookmarkStart w:id="117" w:name="_Toc511525050"/>
      <w:bookmarkStart w:id="118" w:name="_Toc27803414"/>
      <w:bookmarkStart w:id="119" w:name="_Toc133903519"/>
      <w:bookmarkStart w:id="120" w:name="_Toc133920962"/>
      <w:bookmarkStart w:id="121" w:name="_Toc123708418"/>
      <w:r>
        <w:rPr>
          <w:rStyle w:val="CharSectno"/>
        </w:rPr>
        <w:t>25</w:t>
      </w:r>
      <w:r>
        <w:rPr>
          <w:snapToGrid w:val="0"/>
        </w:rPr>
        <w:t>.</w:t>
      </w:r>
      <w:r>
        <w:rPr>
          <w:snapToGrid w:val="0"/>
        </w:rPr>
        <w:tab/>
        <w:t>Register</w:t>
      </w:r>
      <w:bookmarkEnd w:id="116"/>
      <w:bookmarkEnd w:id="117"/>
      <w:bookmarkEnd w:id="118"/>
      <w:bookmarkEnd w:id="119"/>
      <w:bookmarkEnd w:id="120"/>
      <w:bookmarkEnd w:id="121"/>
      <w:r>
        <w:rPr>
          <w:snapToGrid w:val="0"/>
        </w:rPr>
        <w:t xml:space="preserve"> </w:t>
      </w:r>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 xml:space="preserve">Repealed in Gazette 10 Jul 1992 p. 3289.] </w:t>
      </w:r>
    </w:p>
    <w:p>
      <w:pPr>
        <w:pStyle w:val="Heading5"/>
        <w:rPr>
          <w:snapToGrid w:val="0"/>
        </w:rPr>
      </w:pPr>
      <w:bookmarkStart w:id="122" w:name="_Toc495993575"/>
      <w:bookmarkStart w:id="123" w:name="_Toc511525051"/>
      <w:bookmarkStart w:id="124" w:name="_Toc27803415"/>
      <w:bookmarkStart w:id="125" w:name="_Toc133903520"/>
      <w:bookmarkStart w:id="126" w:name="_Toc133920963"/>
      <w:bookmarkStart w:id="127" w:name="_Toc123708419"/>
      <w:r>
        <w:rPr>
          <w:rStyle w:val="CharSectno"/>
        </w:rPr>
        <w:t>27</w:t>
      </w:r>
      <w:r>
        <w:rPr>
          <w:snapToGrid w:val="0"/>
        </w:rPr>
        <w:t>.</w:t>
      </w:r>
      <w:r>
        <w:rPr>
          <w:snapToGrid w:val="0"/>
        </w:rPr>
        <w:tab/>
        <w:t>Change of address</w:t>
      </w:r>
      <w:bookmarkEnd w:id="122"/>
      <w:bookmarkEnd w:id="123"/>
      <w:bookmarkEnd w:id="124"/>
      <w:bookmarkEnd w:id="125"/>
      <w:bookmarkEnd w:id="126"/>
      <w:bookmarkEnd w:id="127"/>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 xml:space="preserve">[Regulation 27 amended in Gazette 24 Jun 1988 p. 2004; 10 Jul 1992 p. 3286 and 3289; 25 Jun 1996 p. 2977; 20 Sep 2002 p. 4700; 30 Jan 2004 p. 412.] </w:t>
      </w:r>
    </w:p>
    <w:p>
      <w:pPr>
        <w:pStyle w:val="Heading5"/>
        <w:rPr>
          <w:snapToGrid w:val="0"/>
        </w:rPr>
      </w:pPr>
      <w:bookmarkStart w:id="128" w:name="_Toc495993576"/>
      <w:bookmarkStart w:id="129" w:name="_Toc511525052"/>
      <w:bookmarkStart w:id="130" w:name="_Toc27803416"/>
      <w:bookmarkStart w:id="131" w:name="_Toc133903521"/>
      <w:bookmarkStart w:id="132" w:name="_Toc133920964"/>
      <w:bookmarkStart w:id="133" w:name="_Toc123708420"/>
      <w:r>
        <w:rPr>
          <w:rStyle w:val="CharSectno"/>
        </w:rPr>
        <w:t>28</w:t>
      </w:r>
      <w:r>
        <w:rPr>
          <w:snapToGrid w:val="0"/>
        </w:rPr>
        <w:t>.</w:t>
      </w:r>
      <w:r>
        <w:rPr>
          <w:snapToGrid w:val="0"/>
        </w:rPr>
        <w:tab/>
        <w:t xml:space="preserve">Return of </w:t>
      </w:r>
      <w:bookmarkEnd w:id="128"/>
      <w:r>
        <w:rPr>
          <w:snapToGrid w:val="0"/>
        </w:rPr>
        <w:t>licence</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 xml:space="preserve">1; 30 Jan 2004 p. 404 and 412.] </w:t>
      </w:r>
    </w:p>
    <w:p>
      <w:pPr>
        <w:pStyle w:val="Heading5"/>
        <w:rPr>
          <w:snapToGrid w:val="0"/>
        </w:rPr>
      </w:pPr>
      <w:bookmarkStart w:id="134" w:name="_Toc495993577"/>
      <w:bookmarkStart w:id="135" w:name="_Toc511525053"/>
      <w:bookmarkStart w:id="136" w:name="_Toc27803417"/>
      <w:bookmarkStart w:id="137" w:name="_Toc133903522"/>
      <w:bookmarkStart w:id="138" w:name="_Toc133920965"/>
      <w:bookmarkStart w:id="139" w:name="_Toc123708421"/>
      <w:r>
        <w:rPr>
          <w:rStyle w:val="CharSectno"/>
        </w:rPr>
        <w:t>29</w:t>
      </w:r>
      <w:r>
        <w:rPr>
          <w:snapToGrid w:val="0"/>
        </w:rPr>
        <w:t>.</w:t>
      </w:r>
      <w:r>
        <w:rPr>
          <w:snapToGrid w:val="0"/>
        </w:rPr>
        <w:tab/>
        <w:t xml:space="preserve">Production of a </w:t>
      </w:r>
      <w:bookmarkEnd w:id="134"/>
      <w:r>
        <w:rPr>
          <w:snapToGrid w:val="0"/>
        </w:rPr>
        <w:t>licence</w:t>
      </w:r>
      <w:bookmarkEnd w:id="135"/>
      <w:bookmarkEnd w:id="136"/>
      <w:bookmarkEnd w:id="137"/>
      <w:bookmarkEnd w:id="138"/>
      <w:bookmarkEnd w:id="139"/>
      <w:r>
        <w:rPr>
          <w:snapToGrid w:val="0"/>
        </w:rPr>
        <w:t xml:space="preserve"> </w:t>
      </w:r>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 xml:space="preserve">[Regulation 29 amended in Gazette 24 Jun 1988 p. 2004; 10 Jul 1992 p. 3286 and 3289; 20 Sep 2002 p. 4701; 30 Jan 2004 p. 405 and 412.] </w:t>
      </w:r>
    </w:p>
    <w:p>
      <w:pPr>
        <w:pStyle w:val="Heading5"/>
        <w:rPr>
          <w:snapToGrid w:val="0"/>
        </w:rPr>
      </w:pPr>
      <w:bookmarkStart w:id="140" w:name="_Toc495993578"/>
      <w:bookmarkStart w:id="141" w:name="_Toc511525054"/>
      <w:bookmarkStart w:id="142" w:name="_Toc27803418"/>
      <w:bookmarkStart w:id="143" w:name="_Toc133903523"/>
      <w:bookmarkStart w:id="144" w:name="_Toc133920966"/>
      <w:bookmarkStart w:id="145" w:name="_Toc123708422"/>
      <w:r>
        <w:rPr>
          <w:rStyle w:val="CharSectno"/>
        </w:rPr>
        <w:t>30</w:t>
      </w:r>
      <w:r>
        <w:rPr>
          <w:snapToGrid w:val="0"/>
        </w:rPr>
        <w:t>.</w:t>
      </w:r>
      <w:r>
        <w:rPr>
          <w:snapToGrid w:val="0"/>
        </w:rPr>
        <w:tab/>
        <w:t>Advertising</w:t>
      </w:r>
      <w:bookmarkEnd w:id="140"/>
      <w:bookmarkEnd w:id="141"/>
      <w:bookmarkEnd w:id="142"/>
      <w:bookmarkEnd w:id="143"/>
      <w:bookmarkEnd w:id="144"/>
      <w:bookmarkEnd w:id="145"/>
      <w:r>
        <w:rPr>
          <w:snapToGrid w:val="0"/>
        </w:rPr>
        <w:t xml:space="preserve"> </w:t>
      </w:r>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 xml:space="preserve">[Regulation 30 inserted in Gazette 12 Aug 1983 p. 2918; amended in Gazette 10 Jul 1992 p. 3289; 13 Oct 2000 p. 5726; 20 Sep 2002 p. 4701.] </w:t>
      </w:r>
    </w:p>
    <w:p>
      <w:pPr>
        <w:pStyle w:val="Ednotesection"/>
      </w:pPr>
      <w:r>
        <w:t>[</w:t>
      </w:r>
      <w:r>
        <w:rPr>
          <w:b/>
        </w:rPr>
        <w:t>31</w:t>
      </w:r>
      <w:r>
        <w:rPr>
          <w:b/>
        </w:rPr>
        <w:noBreakHyphen/>
        <w:t>35.</w:t>
      </w:r>
      <w:r>
        <w:tab/>
        <w:t xml:space="preserve">Repealed in Gazette 10 Jul 1992 p. 3289.] </w:t>
      </w:r>
    </w:p>
    <w:p>
      <w:pPr>
        <w:pStyle w:val="Heading5"/>
        <w:rPr>
          <w:snapToGrid w:val="0"/>
        </w:rPr>
      </w:pPr>
      <w:bookmarkStart w:id="146" w:name="_Toc495993579"/>
      <w:bookmarkStart w:id="147" w:name="_Toc511525055"/>
      <w:bookmarkStart w:id="148" w:name="_Toc27803419"/>
      <w:bookmarkStart w:id="149" w:name="_Toc133903524"/>
      <w:bookmarkStart w:id="150" w:name="_Toc133920967"/>
      <w:bookmarkStart w:id="151" w:name="_Toc123708423"/>
      <w:r>
        <w:rPr>
          <w:rStyle w:val="CharSectno"/>
        </w:rPr>
        <w:t>36</w:t>
      </w:r>
      <w:r>
        <w:rPr>
          <w:snapToGrid w:val="0"/>
        </w:rPr>
        <w:t>.</w:t>
      </w:r>
      <w:r>
        <w:rPr>
          <w:snapToGrid w:val="0"/>
        </w:rPr>
        <w:tab/>
        <w:t>Betting tickets</w:t>
      </w:r>
      <w:bookmarkEnd w:id="146"/>
      <w:bookmarkEnd w:id="147"/>
      <w:bookmarkEnd w:id="148"/>
      <w:bookmarkEnd w:id="149"/>
      <w:bookmarkEnd w:id="150"/>
      <w:bookmarkEnd w:id="151"/>
      <w:r>
        <w:rPr>
          <w:snapToGrid w:val="0"/>
        </w:rPr>
        <w:t xml:space="preserve"> </w:t>
      </w:r>
    </w:p>
    <w:p>
      <w:pPr>
        <w:pStyle w:val="Subsection"/>
        <w:spacing w:before="140"/>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spacing w:before="140"/>
      </w:pPr>
      <w:r>
        <w:tab/>
        <w:t>[(2)</w:t>
      </w:r>
      <w:r>
        <w:tab/>
        <w:t>repealed]</w:t>
      </w:r>
    </w:p>
    <w:p>
      <w:pPr>
        <w:pStyle w:val="Subsection"/>
        <w:spacing w:before="140"/>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spacing w:before="140"/>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spacing w:before="140"/>
        <w:rPr>
          <w:snapToGrid w:val="0"/>
        </w:rPr>
      </w:pPr>
      <w:r>
        <w:rPr>
          <w:snapToGrid w:val="0"/>
        </w:rPr>
        <w:tab/>
        <w:t>(5)</w:t>
      </w:r>
      <w:r>
        <w:rPr>
          <w:snapToGrid w:val="0"/>
        </w:rPr>
        <w:tab/>
        <w:t>Betting tickets shall — </w:t>
      </w:r>
    </w:p>
    <w:p>
      <w:pPr>
        <w:pStyle w:val="Indenta"/>
        <w:rPr>
          <w:snapToGrid w:val="0"/>
        </w:rPr>
      </w:pPr>
      <w:r>
        <w:rPr>
          <w:snapToGrid w:val="0"/>
        </w:rPr>
        <w:tab/>
        <w:t>(a)</w:t>
      </w:r>
      <w:r>
        <w:rPr>
          <w:snapToGrid w:val="0"/>
        </w:rPr>
        <w:tab/>
        <w:t>bear consecutive numbers, and be issued in consecutive order;</w:t>
      </w:r>
    </w:p>
    <w:p>
      <w:pPr>
        <w:pStyle w:val="Indenta"/>
        <w:rPr>
          <w:snapToGrid w:val="0"/>
        </w:rPr>
      </w:pPr>
      <w:r>
        <w:rPr>
          <w:snapToGrid w:val="0"/>
        </w:rPr>
        <w:tab/>
        <w:t>(b)</w:t>
      </w:r>
      <w:r>
        <w:rPr>
          <w:snapToGrid w:val="0"/>
        </w:rPr>
        <w:tab/>
        <w:t>be provided for the use of a bookmaker —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 xml:space="preserve">if the record of betting is to be made using a computer, by that bookmaker in a form, size and colour approved by the Commission;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rPr>
          <w:snapToGrid w:val="0"/>
        </w:rPr>
      </w:pPr>
      <w:r>
        <w:rPr>
          <w:snapToGrid w:val="0"/>
        </w:rPr>
        <w:tab/>
        <w:t>(6)</w:t>
      </w:r>
      <w:r>
        <w:rPr>
          <w:snapToGrid w:val="0"/>
        </w:rPr>
        <w:tab/>
        <w:t>A bookmaker who —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 xml:space="preserve">This regulation applies to a partnership that is a bookmaker as if the partnership were a person, but it applies with the following changes —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 xml:space="preserve">2; 30 Jan 2004 p. 412.] </w:t>
      </w:r>
    </w:p>
    <w:p>
      <w:pPr>
        <w:pStyle w:val="Heading5"/>
        <w:rPr>
          <w:snapToGrid w:val="0"/>
        </w:rPr>
      </w:pPr>
      <w:bookmarkStart w:id="152" w:name="_Toc495993580"/>
      <w:bookmarkStart w:id="153" w:name="_Toc511525056"/>
      <w:bookmarkStart w:id="154" w:name="_Toc27803420"/>
      <w:bookmarkStart w:id="155" w:name="_Toc133903525"/>
      <w:bookmarkStart w:id="156" w:name="_Toc133920968"/>
      <w:bookmarkStart w:id="157" w:name="_Toc123708424"/>
      <w:r>
        <w:rPr>
          <w:rStyle w:val="CharSectno"/>
        </w:rPr>
        <w:t>37</w:t>
      </w:r>
      <w:r>
        <w:rPr>
          <w:snapToGrid w:val="0"/>
        </w:rPr>
        <w:t>.</w:t>
      </w:r>
      <w:r>
        <w:rPr>
          <w:snapToGrid w:val="0"/>
        </w:rPr>
        <w:tab/>
        <w:t>The written record</w:t>
      </w:r>
      <w:bookmarkEnd w:id="152"/>
      <w:r>
        <w:rPr>
          <w:snapToGrid w:val="0"/>
        </w:rPr>
        <w:t xml:space="preserve"> of betting transactions</w:t>
      </w:r>
      <w:bookmarkEnd w:id="153"/>
      <w:bookmarkEnd w:id="154"/>
      <w:bookmarkEnd w:id="155"/>
      <w:bookmarkEnd w:id="156"/>
      <w:bookmarkEnd w:id="157"/>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 </w:t>
      </w:r>
    </w:p>
    <w:p>
      <w:pPr>
        <w:pStyle w:val="Indenta"/>
        <w:rPr>
          <w:snapToGrid w:val="0"/>
        </w:rPr>
      </w:pPr>
      <w:r>
        <w:rPr>
          <w:snapToGrid w:val="0"/>
        </w:rPr>
        <w:tab/>
        <w:t>(a)</w:t>
      </w:r>
      <w:r>
        <w:rPr>
          <w:snapToGrid w:val="0"/>
        </w:rPr>
        <w:tab/>
        <w:t>the name of the bookmaker;</w:t>
      </w:r>
    </w:p>
    <w:p>
      <w:pPr>
        <w:pStyle w:val="Indenta"/>
        <w:rPr>
          <w:snapToGrid w:val="0"/>
        </w:rPr>
      </w:pPr>
      <w:r>
        <w:rPr>
          <w:snapToGrid w:val="0"/>
        </w:rPr>
        <w:tab/>
        <w:t>(b)</w:t>
      </w:r>
      <w:r>
        <w:rPr>
          <w:snapToGrid w:val="0"/>
        </w:rPr>
        <w:tab/>
        <w:t>the name of the racecourse;</w:t>
      </w:r>
    </w:p>
    <w:p>
      <w:pPr>
        <w:pStyle w:val="Indenta"/>
        <w:rPr>
          <w:snapToGrid w:val="0"/>
        </w:rPr>
      </w:pPr>
      <w:r>
        <w:rPr>
          <w:snapToGrid w:val="0"/>
        </w:rPr>
        <w:tab/>
        <w:t>(c)</w:t>
      </w:r>
      <w:r>
        <w:rPr>
          <w:snapToGrid w:val="0"/>
        </w:rPr>
        <w:tab/>
        <w:t>the date of the meeting;</w:t>
      </w:r>
    </w:p>
    <w:p>
      <w:pPr>
        <w:pStyle w:val="Indenta"/>
        <w:rPr>
          <w:snapToGrid w:val="0"/>
        </w:rPr>
      </w:pPr>
      <w:r>
        <w:rPr>
          <w:snapToGrid w:val="0"/>
        </w:rPr>
        <w:tab/>
        <w:t>(d)</w:t>
      </w:r>
      <w:r>
        <w:rPr>
          <w:snapToGrid w:val="0"/>
        </w:rPr>
        <w:tab/>
        <w:t>where appropriate, the race number;</w:t>
      </w:r>
    </w:p>
    <w:p>
      <w:pPr>
        <w:pStyle w:val="Indenta"/>
        <w:rPr>
          <w:snapToGrid w:val="0"/>
        </w:rPr>
      </w:pPr>
      <w:r>
        <w:rPr>
          <w:snapToGrid w:val="0"/>
        </w:rPr>
        <w:tab/>
        <w:t>(e)</w:t>
      </w:r>
      <w:r>
        <w:rPr>
          <w:snapToGrid w:val="0"/>
        </w:rPr>
        <w:tab/>
        <w:t>the number of the betting ticket;</w:t>
      </w:r>
    </w:p>
    <w:p>
      <w:pPr>
        <w:pStyle w:val="Indenta"/>
        <w:rPr>
          <w:snapToGrid w:val="0"/>
        </w:rPr>
      </w:pPr>
      <w:r>
        <w:rPr>
          <w:snapToGrid w:val="0"/>
        </w:rPr>
        <w:tab/>
        <w:t>(f)</w:t>
      </w:r>
      <w:r>
        <w:rPr>
          <w:snapToGrid w:val="0"/>
        </w:rPr>
        <w:tab/>
        <w:t>the name of the runner, or the nature of the event or contingency, on which the bet is made;</w:t>
      </w:r>
    </w:p>
    <w:p>
      <w:pPr>
        <w:pStyle w:val="Indenta"/>
        <w:rPr>
          <w:snapToGrid w:val="0"/>
        </w:rPr>
      </w:pPr>
      <w:r>
        <w:rPr>
          <w:snapToGrid w:val="0"/>
        </w:rPr>
        <w:tab/>
        <w:t>(g)</w:t>
      </w:r>
      <w:r>
        <w:rPr>
          <w:snapToGrid w:val="0"/>
        </w:rPr>
        <w:tab/>
        <w:t>the kind of bet made, in sufficient detail to identify the bet;</w:t>
      </w:r>
    </w:p>
    <w:p>
      <w:pPr>
        <w:pStyle w:val="Indenta"/>
        <w:rPr>
          <w:snapToGrid w:val="0"/>
        </w:rPr>
      </w:pPr>
      <w:r>
        <w:rPr>
          <w:snapToGrid w:val="0"/>
        </w:rPr>
        <w:tab/>
        <w:t>(h)</w:t>
      </w:r>
      <w:r>
        <w:rPr>
          <w:snapToGrid w:val="0"/>
        </w:rPr>
        <w:tab/>
        <w:t>the amount of the bet and the odds at which it was made;</w:t>
      </w:r>
    </w:p>
    <w:p>
      <w:pPr>
        <w:pStyle w:val="Indenta"/>
        <w:rPr>
          <w:snapToGrid w:val="0"/>
        </w:rPr>
      </w:pPr>
      <w:r>
        <w:rPr>
          <w:snapToGrid w:val="0"/>
        </w:rPr>
        <w:tab/>
        <w:t>(j)</w:t>
      </w:r>
      <w:r>
        <w:rPr>
          <w:snapToGrid w:val="0"/>
        </w:rPr>
        <w:tab/>
        <w:t>where the bet is not made for cash, the name of the person with whom the bet is made;</w:t>
      </w:r>
    </w:p>
    <w:p>
      <w:pPr>
        <w:pStyle w:val="Indenta"/>
        <w:rPr>
          <w:snapToGrid w:val="0"/>
        </w:rPr>
      </w:pPr>
      <w:r>
        <w:rPr>
          <w:snapToGrid w:val="0"/>
        </w:rPr>
        <w:tab/>
        <w:t>(k)</w:t>
      </w:r>
      <w:r>
        <w:rPr>
          <w:snapToGrid w:val="0"/>
        </w:rPr>
        <w:tab/>
        <w:t>where the bet is on a sporting event, such other particulars as are specified in an approval under section 4B approving the conduct of betting; and</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keepNext/>
        <w:rPr>
          <w:snapToGrid w:val="0"/>
        </w:rPr>
      </w:pPr>
      <w:r>
        <w:rPr>
          <w:snapToGrid w:val="0"/>
        </w:rPr>
        <w:tab/>
        <w:t>(2)</w:t>
      </w:r>
      <w:r>
        <w:rPr>
          <w:snapToGrid w:val="0"/>
        </w:rPr>
        <w:tab/>
        <w:t>The details of the amount of the bet may be shown in either of the following ways —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 </w:t>
      </w:r>
    </w:p>
    <w:p>
      <w:pPr>
        <w:pStyle w:val="Indenta"/>
        <w:rPr>
          <w:snapToGrid w:val="0"/>
        </w:rPr>
      </w:pPr>
      <w:r>
        <w:rPr>
          <w:snapToGrid w:val="0"/>
        </w:rPr>
        <w:tab/>
        <w:t>(a)</w:t>
      </w:r>
      <w:r>
        <w:rPr>
          <w:snapToGrid w:val="0"/>
        </w:rPr>
        <w:tab/>
        <w:t>be made using a book of forms provided by the Commission; and</w:t>
      </w:r>
    </w:p>
    <w:p>
      <w:pPr>
        <w:pStyle w:val="Indenta"/>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 </w:t>
      </w:r>
    </w:p>
    <w:p>
      <w:pPr>
        <w:pStyle w:val="Indenta"/>
        <w:rPr>
          <w:snapToGrid w:val="0"/>
        </w:rPr>
      </w:pPr>
      <w:r>
        <w:rPr>
          <w:snapToGrid w:val="0"/>
        </w:rPr>
        <w:tab/>
        <w:t>(a)</w:t>
      </w:r>
      <w:r>
        <w:rPr>
          <w:snapToGrid w:val="0"/>
        </w:rPr>
        <w:tab/>
        <w:t>to facilitate the recording of bets;</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 </w:t>
      </w:r>
    </w:p>
    <w:p>
      <w:pPr>
        <w:pStyle w:val="Indenta"/>
        <w:rPr>
          <w:snapToGrid w:val="0"/>
        </w:rPr>
      </w:pPr>
      <w:r>
        <w:rPr>
          <w:snapToGrid w:val="0"/>
        </w:rPr>
        <w:tab/>
        <w:t>(a)</w:t>
      </w:r>
      <w:r>
        <w:rPr>
          <w:snapToGrid w:val="0"/>
        </w:rPr>
        <w:tab/>
        <w:t>such conditions as to — </w:t>
      </w:r>
    </w:p>
    <w:p>
      <w:pPr>
        <w:pStyle w:val="Indenti"/>
        <w:rPr>
          <w:snapToGrid w:val="0"/>
        </w:rPr>
      </w:pPr>
      <w:r>
        <w:rPr>
          <w:snapToGrid w:val="0"/>
        </w:rPr>
        <w:tab/>
        <w:t>(i)</w:t>
      </w:r>
      <w:r>
        <w:rPr>
          <w:snapToGrid w:val="0"/>
        </w:rPr>
        <w:tab/>
        <w:t>the use of;</w:t>
      </w:r>
    </w:p>
    <w:p>
      <w:pPr>
        <w:pStyle w:val="Indenti"/>
        <w:rPr>
          <w:snapToGrid w:val="0"/>
        </w:rPr>
      </w:pPr>
      <w:r>
        <w:rPr>
          <w:snapToGrid w:val="0"/>
        </w:rPr>
        <w:tab/>
        <w:t>(ii)</w:t>
      </w:r>
      <w:r>
        <w:rPr>
          <w:snapToGrid w:val="0"/>
        </w:rPr>
        <w:tab/>
        <w:t>the time or circumstances of the use of;</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keepNext/>
        <w:rPr>
          <w:snapToGrid w:val="0"/>
        </w:rPr>
      </w:pPr>
      <w:r>
        <w:rPr>
          <w:snapToGrid w:val="0"/>
        </w:rPr>
        <w:tab/>
      </w:r>
      <w:r>
        <w:rPr>
          <w:snapToGrid w:val="0"/>
        </w:rPr>
        <w:tab/>
        <w:t>that computer as the Commission specifies in that approval may be imposed; and</w:t>
      </w:r>
    </w:p>
    <w:p>
      <w:pPr>
        <w:pStyle w:val="Indenta"/>
        <w:rPr>
          <w:snapToGrid w:val="0"/>
        </w:rPr>
      </w:pPr>
      <w:r>
        <w:rPr>
          <w:snapToGrid w:val="0"/>
        </w:rPr>
        <w:tab/>
        <w:t>(b)</w:t>
      </w:r>
      <w:r>
        <w:rPr>
          <w:snapToGrid w:val="0"/>
        </w:rPr>
        <w:tab/>
        <w:t>the Commission, at any time by notice in writing given to the bookmaker, may — </w:t>
      </w:r>
    </w:p>
    <w:p>
      <w:pPr>
        <w:pStyle w:val="Indenti"/>
        <w:rPr>
          <w:snapToGrid w:val="0"/>
        </w:rPr>
      </w:pPr>
      <w:r>
        <w:rPr>
          <w:snapToGrid w:val="0"/>
        </w:rPr>
        <w:tab/>
        <w:t>(i)</w:t>
      </w:r>
      <w:r>
        <w:rPr>
          <w:snapToGrid w:val="0"/>
        </w:rPr>
        <w:tab/>
        <w:t>cancel or vary a condition imposed; or</w:t>
      </w:r>
    </w:p>
    <w:p>
      <w:pPr>
        <w:pStyle w:val="Indenti"/>
        <w:rPr>
          <w:snapToGrid w:val="0"/>
        </w:rPr>
      </w:pPr>
      <w:r>
        <w:rPr>
          <w:snapToGrid w:val="0"/>
        </w:rPr>
        <w:tab/>
        <w:t>(ii)</w:t>
      </w:r>
      <w:r>
        <w:rPr>
          <w:snapToGrid w:val="0"/>
        </w:rPr>
        <w:tab/>
        <w:t>withdraw the approval.</w:t>
      </w:r>
    </w:p>
    <w:p>
      <w:pPr>
        <w:pStyle w:val="Footnotesection"/>
      </w:pPr>
      <w:r>
        <w:tab/>
        <w:t>[Regulation 37 inserted in Gazette 14 Feb 1992 p. 860</w:t>
      </w:r>
      <w:r>
        <w:noBreakHyphen/>
        <w:t xml:space="preserve">1; amended in Gazette 25 Jun 1996 p. 2977; 21 Jul 1998 p. 3853 and 3855; 2 Oct 2001 p. 5455; 30 Jan 2004 p. 412.] </w:t>
      </w:r>
    </w:p>
    <w:p>
      <w:pPr>
        <w:pStyle w:val="Heading5"/>
        <w:rPr>
          <w:snapToGrid w:val="0"/>
        </w:rPr>
      </w:pPr>
      <w:bookmarkStart w:id="158" w:name="_Toc495993581"/>
      <w:bookmarkStart w:id="159" w:name="_Toc511525057"/>
      <w:bookmarkStart w:id="160" w:name="_Toc27803421"/>
      <w:bookmarkStart w:id="161" w:name="_Toc133903526"/>
      <w:bookmarkStart w:id="162" w:name="_Toc133920969"/>
      <w:bookmarkStart w:id="163" w:name="_Toc123708425"/>
      <w:r>
        <w:rPr>
          <w:rStyle w:val="CharSectno"/>
        </w:rPr>
        <w:t>38</w:t>
      </w:r>
      <w:r>
        <w:rPr>
          <w:snapToGrid w:val="0"/>
        </w:rPr>
        <w:t>.</w:t>
      </w:r>
      <w:r>
        <w:rPr>
          <w:snapToGrid w:val="0"/>
        </w:rPr>
        <w:tab/>
        <w:t>Supply of books</w:t>
      </w:r>
      <w:bookmarkEnd w:id="158"/>
      <w:bookmarkEnd w:id="159"/>
      <w:bookmarkEnd w:id="160"/>
      <w:bookmarkEnd w:id="161"/>
      <w:bookmarkEnd w:id="162"/>
      <w:bookmarkEnd w:id="163"/>
      <w:r>
        <w:rPr>
          <w:snapToGrid w:val="0"/>
        </w:rPr>
        <w:t xml:space="preserve"> </w:t>
      </w:r>
    </w:p>
    <w:p>
      <w:pPr>
        <w:pStyle w:val="Subsection"/>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pPr>
      <w:r>
        <w:tab/>
        <w:t xml:space="preserve">[Regulation 38 amended in Gazette 10 Jul 1992 p. 3290; 25 Jun 1996 p. 2977; 30 Jan 2004 p. 412.] </w:t>
      </w:r>
    </w:p>
    <w:p>
      <w:pPr>
        <w:pStyle w:val="Heading5"/>
        <w:rPr>
          <w:snapToGrid w:val="0"/>
        </w:rPr>
      </w:pPr>
      <w:bookmarkStart w:id="164" w:name="_Toc495993582"/>
      <w:bookmarkStart w:id="165" w:name="_Toc511525058"/>
      <w:bookmarkStart w:id="166" w:name="_Toc27803422"/>
      <w:bookmarkStart w:id="167" w:name="_Toc133903527"/>
      <w:bookmarkStart w:id="168" w:name="_Toc133920970"/>
      <w:bookmarkStart w:id="169" w:name="_Toc123708426"/>
      <w:r>
        <w:rPr>
          <w:rStyle w:val="CharSectno"/>
        </w:rPr>
        <w:t>39</w:t>
      </w:r>
      <w:r>
        <w:rPr>
          <w:snapToGrid w:val="0"/>
        </w:rPr>
        <w:t>.</w:t>
      </w:r>
      <w:r>
        <w:rPr>
          <w:snapToGrid w:val="0"/>
        </w:rPr>
        <w:tab/>
        <w:t>Loss of books etc.</w:t>
      </w:r>
      <w:bookmarkEnd w:id="164"/>
      <w:bookmarkEnd w:id="165"/>
      <w:bookmarkEnd w:id="166"/>
      <w:bookmarkEnd w:id="167"/>
      <w:bookmarkEnd w:id="168"/>
      <w:bookmarkEnd w:id="169"/>
      <w:r>
        <w:rPr>
          <w:snapToGrid w:val="0"/>
        </w:rPr>
        <w:t xml:space="preserve"> </w:t>
      </w:r>
    </w:p>
    <w:p>
      <w:pPr>
        <w:pStyle w:val="Subsection"/>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pPr>
      <w:r>
        <w:tab/>
        <w:t xml:space="preserve">[Regulation 39 amended in Gazette 14 Feb 1992 p. 861; 25 Jun 1996 p. 2977; 30 Jan 2004 p. 412.] </w:t>
      </w:r>
    </w:p>
    <w:p>
      <w:pPr>
        <w:pStyle w:val="Ednotesection"/>
      </w:pPr>
      <w:r>
        <w:t>[</w:t>
      </w:r>
      <w:r>
        <w:rPr>
          <w:b/>
        </w:rPr>
        <w:t>40</w:t>
      </w:r>
      <w:r>
        <w:rPr>
          <w:b/>
        </w:rPr>
        <w:noBreakHyphen/>
        <w:t>42.</w:t>
      </w:r>
      <w:r>
        <w:tab/>
        <w:t xml:space="preserve">Repealed in Gazette 10 Jul 1992 p. 3290.] </w:t>
      </w:r>
    </w:p>
    <w:p>
      <w:pPr>
        <w:pStyle w:val="Heading5"/>
        <w:rPr>
          <w:snapToGrid w:val="0"/>
        </w:rPr>
      </w:pPr>
      <w:bookmarkStart w:id="170" w:name="_Toc495993583"/>
      <w:bookmarkStart w:id="171" w:name="_Toc511525059"/>
      <w:bookmarkStart w:id="172" w:name="_Toc27803423"/>
      <w:bookmarkStart w:id="173" w:name="_Toc133903528"/>
      <w:bookmarkStart w:id="174" w:name="_Toc133920971"/>
      <w:bookmarkStart w:id="175" w:name="_Toc123708427"/>
      <w:r>
        <w:rPr>
          <w:rStyle w:val="CharSectno"/>
        </w:rPr>
        <w:t>43</w:t>
      </w:r>
      <w:r>
        <w:rPr>
          <w:snapToGrid w:val="0"/>
        </w:rPr>
        <w:t>.</w:t>
      </w:r>
      <w:r>
        <w:rPr>
          <w:snapToGrid w:val="0"/>
        </w:rPr>
        <w:tab/>
        <w:t>Betting material</w:t>
      </w:r>
      <w:bookmarkEnd w:id="170"/>
      <w:bookmarkEnd w:id="171"/>
      <w:bookmarkEnd w:id="172"/>
      <w:bookmarkEnd w:id="173"/>
      <w:bookmarkEnd w:id="174"/>
      <w:bookmarkEnd w:id="175"/>
      <w:r>
        <w:rPr>
          <w:snapToGrid w:val="0"/>
        </w:rPr>
        <w:t xml:space="preserve"> </w:t>
      </w:r>
    </w:p>
    <w:p>
      <w:pPr>
        <w:pStyle w:val="Ednotesubsection"/>
        <w:spacing w:before="140"/>
      </w:pPr>
      <w:r>
        <w:tab/>
        <w:t>[(1)</w:t>
      </w:r>
      <w:r>
        <w:tab/>
        <w:t>repealed]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 xml:space="preserve">[Regulation 43 amended in Gazette 10 Jul 1992 p. 3290; 20 Sep 2002 p. 4702; 30 Jan 2004 p. 412.] </w:t>
      </w:r>
    </w:p>
    <w:p>
      <w:pPr>
        <w:pStyle w:val="Ednotesection"/>
      </w:pPr>
      <w:r>
        <w:t>[</w:t>
      </w:r>
      <w:r>
        <w:rPr>
          <w:b/>
        </w:rPr>
        <w:t>44</w:t>
      </w:r>
      <w:r>
        <w:rPr>
          <w:b/>
        </w:rPr>
        <w:noBreakHyphen/>
        <w:t>47.</w:t>
      </w:r>
      <w:r>
        <w:tab/>
        <w:t xml:space="preserve">Repealed in Gazette 10 Jul 1992 p. 3290.] </w:t>
      </w:r>
    </w:p>
    <w:p>
      <w:pPr>
        <w:pStyle w:val="Heading5"/>
        <w:rPr>
          <w:snapToGrid w:val="0"/>
        </w:rPr>
      </w:pPr>
      <w:bookmarkStart w:id="176" w:name="_Toc495993584"/>
      <w:bookmarkStart w:id="177" w:name="_Toc511525060"/>
      <w:bookmarkStart w:id="178" w:name="_Toc27803424"/>
      <w:bookmarkStart w:id="179" w:name="_Toc133903529"/>
      <w:bookmarkStart w:id="180" w:name="_Toc133920972"/>
      <w:bookmarkStart w:id="181" w:name="_Toc123708428"/>
      <w:r>
        <w:rPr>
          <w:rStyle w:val="CharSectno"/>
        </w:rPr>
        <w:t>48</w:t>
      </w:r>
      <w:r>
        <w:rPr>
          <w:snapToGrid w:val="0"/>
        </w:rPr>
        <w:t>.</w:t>
      </w:r>
      <w:r>
        <w:rPr>
          <w:snapToGrid w:val="0"/>
        </w:rPr>
        <w:tab/>
        <w:t>Rules of Betting</w:t>
      </w:r>
      <w:bookmarkEnd w:id="176"/>
      <w:bookmarkEnd w:id="177"/>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pPr>
      <w:r>
        <w:tab/>
        <w:t>[Regulation 48 amended in Gazette 30 Jan 2004 p. 405.]</w:t>
      </w:r>
    </w:p>
    <w:p>
      <w:pPr>
        <w:pStyle w:val="Heading5"/>
      </w:pPr>
      <w:bookmarkStart w:id="182" w:name="_Toc133903530"/>
      <w:bookmarkStart w:id="183" w:name="_Toc133920973"/>
      <w:bookmarkStart w:id="184" w:name="_Toc123708429"/>
      <w:bookmarkStart w:id="185" w:name="_Toc495993585"/>
      <w:bookmarkStart w:id="186" w:name="_Toc511525061"/>
      <w:bookmarkStart w:id="187" w:name="_Toc27803425"/>
      <w:r>
        <w:rPr>
          <w:rStyle w:val="CharSectno"/>
        </w:rPr>
        <w:t>48A</w:t>
      </w:r>
      <w:r>
        <w:t>.</w:t>
      </w:r>
      <w:r>
        <w:tab/>
        <w:t>Minimum bet obligations</w:t>
      </w:r>
      <w:bookmarkEnd w:id="182"/>
      <w:bookmarkEnd w:id="183"/>
      <w:bookmarkEnd w:id="184"/>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188" w:name="_Toc133903531"/>
      <w:bookmarkStart w:id="189" w:name="_Toc133920974"/>
      <w:bookmarkStart w:id="190" w:name="_Toc123708430"/>
      <w:r>
        <w:rPr>
          <w:rStyle w:val="CharSectno"/>
        </w:rPr>
        <w:t>49</w:t>
      </w:r>
      <w:r>
        <w:t>.</w:t>
      </w:r>
      <w:r>
        <w:tab/>
        <w:t>Bets on more than one result</w:t>
      </w:r>
      <w:bookmarkEnd w:id="185"/>
      <w:bookmarkEnd w:id="186"/>
      <w:bookmarkEnd w:id="187"/>
      <w:bookmarkEnd w:id="188"/>
      <w:bookmarkEnd w:id="189"/>
      <w:bookmarkEnd w:id="190"/>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191" w:name="_Toc495993586"/>
      <w:bookmarkStart w:id="192" w:name="_Toc511525062"/>
      <w:bookmarkStart w:id="193" w:name="_Toc27803426"/>
      <w:bookmarkStart w:id="194" w:name="_Toc133903532"/>
      <w:bookmarkStart w:id="195" w:name="_Toc133920975"/>
      <w:bookmarkStart w:id="196" w:name="_Toc123708431"/>
      <w:r>
        <w:rPr>
          <w:rStyle w:val="CharSectno"/>
        </w:rPr>
        <w:t>50</w:t>
      </w:r>
      <w:r>
        <w:t>.</w:t>
      </w:r>
      <w:r>
        <w:tab/>
        <w:t>Permitted bets</w:t>
      </w:r>
      <w:bookmarkEnd w:id="191"/>
      <w:bookmarkEnd w:id="192"/>
      <w:bookmarkEnd w:id="193"/>
      <w:bookmarkEnd w:id="194"/>
      <w:bookmarkEnd w:id="195"/>
      <w:bookmarkEnd w:id="196"/>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197" w:name="_Toc495993587"/>
      <w:bookmarkStart w:id="198" w:name="_Toc511525063"/>
      <w:bookmarkStart w:id="199" w:name="_Toc27803427"/>
      <w:bookmarkStart w:id="200" w:name="_Toc133903533"/>
      <w:bookmarkStart w:id="201" w:name="_Toc133920976"/>
      <w:bookmarkStart w:id="202" w:name="_Toc123708432"/>
      <w:r>
        <w:rPr>
          <w:rStyle w:val="CharSectno"/>
        </w:rPr>
        <w:t>51</w:t>
      </w:r>
      <w:r>
        <w:rPr>
          <w:snapToGrid w:val="0"/>
        </w:rPr>
        <w:t>.</w:t>
      </w:r>
      <w:r>
        <w:rPr>
          <w:snapToGrid w:val="0"/>
        </w:rPr>
        <w:tab/>
        <w:t>Place betting</w:t>
      </w:r>
      <w:bookmarkEnd w:id="197"/>
      <w:bookmarkEnd w:id="198"/>
      <w:bookmarkEnd w:id="199"/>
      <w:bookmarkEnd w:id="200"/>
      <w:bookmarkEnd w:id="201"/>
      <w:bookmarkEnd w:id="202"/>
      <w:r>
        <w:rPr>
          <w:snapToGrid w:val="0"/>
        </w:rPr>
        <w:t xml:space="preserve"> </w:t>
      </w:r>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repealed]</w:t>
      </w:r>
    </w:p>
    <w:p>
      <w:pPr>
        <w:pStyle w:val="Subsection"/>
        <w:spacing w:before="200"/>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 xml:space="preserve">[Regulation 51 amended in Gazette 24 Jun 1988 p. 2005; 14 Sep 1990 p. 4863; 10 Jul 1992 p. 3291; 21 Jul 1998 p. 3854 and 3855; 20 Sep 2002 p. 4702.] </w:t>
      </w:r>
    </w:p>
    <w:p>
      <w:pPr>
        <w:pStyle w:val="Heading5"/>
        <w:spacing w:before="260"/>
        <w:rPr>
          <w:snapToGrid w:val="0"/>
        </w:rPr>
      </w:pPr>
      <w:bookmarkStart w:id="203" w:name="_Toc495993588"/>
      <w:bookmarkStart w:id="204" w:name="_Toc511525064"/>
      <w:bookmarkStart w:id="205" w:name="_Toc27803428"/>
      <w:bookmarkStart w:id="206" w:name="_Toc133903534"/>
      <w:bookmarkStart w:id="207" w:name="_Toc133920977"/>
      <w:bookmarkStart w:id="208" w:name="_Toc123708433"/>
      <w:r>
        <w:rPr>
          <w:rStyle w:val="CharSectno"/>
        </w:rPr>
        <w:t>52</w:t>
      </w:r>
      <w:r>
        <w:rPr>
          <w:snapToGrid w:val="0"/>
        </w:rPr>
        <w:t>.</w:t>
      </w:r>
      <w:r>
        <w:rPr>
          <w:snapToGrid w:val="0"/>
        </w:rPr>
        <w:tab/>
        <w:t>Concession betting</w:t>
      </w:r>
      <w:bookmarkEnd w:id="203"/>
      <w:bookmarkEnd w:id="204"/>
      <w:bookmarkEnd w:id="205"/>
      <w:bookmarkEnd w:id="206"/>
      <w:bookmarkEnd w:id="207"/>
      <w:bookmarkEnd w:id="208"/>
      <w:r>
        <w:rPr>
          <w:snapToGrid w:val="0"/>
        </w:rPr>
        <w:t xml:space="preserve"> </w:t>
      </w:r>
    </w:p>
    <w:p>
      <w:pPr>
        <w:pStyle w:val="Subsection"/>
        <w:spacing w:before="20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 xml:space="preserve">[Regulation 52 amended in Gazette 24 Jun 1988 p. 2005; 10 Jul 1992 p. 3291.] </w:t>
      </w:r>
    </w:p>
    <w:p>
      <w:pPr>
        <w:pStyle w:val="Heading5"/>
        <w:spacing w:before="260"/>
        <w:rPr>
          <w:snapToGrid w:val="0"/>
        </w:rPr>
      </w:pPr>
      <w:bookmarkStart w:id="209" w:name="_Toc495993589"/>
      <w:bookmarkStart w:id="210" w:name="_Toc511525065"/>
      <w:bookmarkStart w:id="211" w:name="_Toc27803429"/>
      <w:bookmarkStart w:id="212" w:name="_Toc133903535"/>
      <w:bookmarkStart w:id="213" w:name="_Toc133920978"/>
      <w:bookmarkStart w:id="214" w:name="_Toc123708434"/>
      <w:r>
        <w:rPr>
          <w:snapToGrid w:val="0"/>
        </w:rPr>
        <w:t>53.</w:t>
      </w:r>
      <w:r>
        <w:rPr>
          <w:snapToGrid w:val="0"/>
        </w:rPr>
        <w:tab/>
        <w:t>Doubles other than multiple doubles</w:t>
      </w:r>
      <w:bookmarkEnd w:id="209"/>
      <w:bookmarkEnd w:id="210"/>
      <w:bookmarkEnd w:id="211"/>
      <w:bookmarkEnd w:id="212"/>
      <w:bookmarkEnd w:id="213"/>
      <w:bookmarkEnd w:id="214"/>
      <w:r>
        <w:rPr>
          <w:snapToGrid w:val="0"/>
        </w:rPr>
        <w:t xml:space="preserve"> </w:t>
      </w:r>
    </w:p>
    <w:p>
      <w:pPr>
        <w:pStyle w:val="Subsection"/>
        <w:spacing w:before="20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53 amended in Gazette 24 Jun 1988 p. 2005; 30 Jan 2004 p. 412.] </w:t>
      </w:r>
    </w:p>
    <w:p>
      <w:pPr>
        <w:pStyle w:val="Heading5"/>
        <w:spacing w:before="260"/>
        <w:rPr>
          <w:snapToGrid w:val="0"/>
        </w:rPr>
      </w:pPr>
      <w:bookmarkStart w:id="215" w:name="_Toc495993590"/>
      <w:bookmarkStart w:id="216" w:name="_Toc511525066"/>
      <w:bookmarkStart w:id="217" w:name="_Toc27803430"/>
      <w:bookmarkStart w:id="218" w:name="_Toc133903536"/>
      <w:bookmarkStart w:id="219" w:name="_Toc133920979"/>
      <w:bookmarkStart w:id="220" w:name="_Toc123708435"/>
      <w:r>
        <w:rPr>
          <w:snapToGrid w:val="0"/>
        </w:rPr>
        <w:t>54.</w:t>
      </w:r>
      <w:r>
        <w:rPr>
          <w:snapToGrid w:val="0"/>
        </w:rPr>
        <w:tab/>
        <w:t>Trebles</w:t>
      </w:r>
      <w:bookmarkEnd w:id="215"/>
      <w:bookmarkEnd w:id="216"/>
      <w:bookmarkEnd w:id="217"/>
      <w:bookmarkEnd w:id="218"/>
      <w:bookmarkEnd w:id="219"/>
      <w:bookmarkEnd w:id="220"/>
      <w:r>
        <w:rPr>
          <w:snapToGrid w:val="0"/>
        </w:rPr>
        <w:t xml:space="preserve"> </w:t>
      </w:r>
    </w:p>
    <w:p>
      <w:pPr>
        <w:pStyle w:val="Subsection"/>
        <w:spacing w:before="20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 xml:space="preserve">[Regulation 54 amended in Gazette 24 Jun 1988 p. 2005; 30 Jan 2004 p. 412.] </w:t>
      </w:r>
    </w:p>
    <w:p>
      <w:pPr>
        <w:pStyle w:val="Heading5"/>
        <w:spacing w:before="260"/>
        <w:rPr>
          <w:snapToGrid w:val="0"/>
        </w:rPr>
      </w:pPr>
      <w:bookmarkStart w:id="221" w:name="_Toc495993591"/>
      <w:bookmarkStart w:id="222" w:name="_Toc511525067"/>
      <w:bookmarkStart w:id="223" w:name="_Toc27803431"/>
      <w:bookmarkStart w:id="224" w:name="_Toc133903537"/>
      <w:bookmarkStart w:id="225" w:name="_Toc133920980"/>
      <w:bookmarkStart w:id="226" w:name="_Toc123708436"/>
      <w:r>
        <w:rPr>
          <w:rStyle w:val="CharSectno"/>
        </w:rPr>
        <w:t>55</w:t>
      </w:r>
      <w:r>
        <w:rPr>
          <w:snapToGrid w:val="0"/>
        </w:rPr>
        <w:t>.</w:t>
      </w:r>
      <w:r>
        <w:rPr>
          <w:snapToGrid w:val="0"/>
        </w:rPr>
        <w:tab/>
        <w:t>All</w:t>
      </w:r>
      <w:r>
        <w:rPr>
          <w:snapToGrid w:val="0"/>
        </w:rPr>
        <w:noBreakHyphen/>
        <w:t>up</w:t>
      </w:r>
      <w:bookmarkEnd w:id="221"/>
      <w:bookmarkEnd w:id="222"/>
      <w:bookmarkEnd w:id="223"/>
      <w:bookmarkEnd w:id="224"/>
      <w:bookmarkEnd w:id="225"/>
      <w:bookmarkEnd w:id="226"/>
      <w:r>
        <w:rPr>
          <w:snapToGrid w:val="0"/>
        </w:rPr>
        <w:t xml:space="preserve"> </w:t>
      </w:r>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 xml:space="preserve">[Regulation 55 amended in Gazette 24 Jun 1988 p. 2005.] </w:t>
      </w:r>
    </w:p>
    <w:p>
      <w:pPr>
        <w:pStyle w:val="Ednotesection"/>
      </w:pPr>
      <w:r>
        <w:t>[</w:t>
      </w:r>
      <w:r>
        <w:rPr>
          <w:rStyle w:val="CharSectno"/>
          <w:b/>
        </w:rPr>
        <w:t>56</w:t>
      </w:r>
      <w:r>
        <w:rPr>
          <w:b/>
        </w:rPr>
        <w:t>.</w:t>
      </w:r>
      <w:r>
        <w:tab/>
        <w:t>Repealed in Gazette 13 Oct 2000 p. 5726.]</w:t>
      </w:r>
    </w:p>
    <w:p>
      <w:pPr>
        <w:pStyle w:val="Heading5"/>
        <w:spacing w:before="260"/>
        <w:rPr>
          <w:snapToGrid w:val="0"/>
        </w:rPr>
      </w:pPr>
      <w:bookmarkStart w:id="227" w:name="_Toc495993592"/>
      <w:bookmarkStart w:id="228" w:name="_Toc511525068"/>
      <w:bookmarkStart w:id="229" w:name="_Toc27803432"/>
      <w:bookmarkStart w:id="230" w:name="_Toc133903538"/>
      <w:bookmarkStart w:id="231" w:name="_Toc133920981"/>
      <w:bookmarkStart w:id="232" w:name="_Toc123708437"/>
      <w:r>
        <w:rPr>
          <w:rStyle w:val="CharSectno"/>
        </w:rPr>
        <w:t>57</w:t>
      </w:r>
      <w:r>
        <w:rPr>
          <w:snapToGrid w:val="0"/>
        </w:rPr>
        <w:t>.</w:t>
      </w:r>
      <w:r>
        <w:rPr>
          <w:snapToGrid w:val="0"/>
        </w:rPr>
        <w:tab/>
        <w:t>Stand</w:t>
      </w:r>
      <w:bookmarkEnd w:id="227"/>
      <w:bookmarkEnd w:id="228"/>
      <w:bookmarkEnd w:id="229"/>
      <w:bookmarkEnd w:id="230"/>
      <w:bookmarkEnd w:id="231"/>
      <w:bookmarkEnd w:id="232"/>
      <w:r>
        <w:rPr>
          <w:snapToGrid w:val="0"/>
        </w:rPr>
        <w:t xml:space="preserve"> </w:t>
      </w:r>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pPr>
      <w:r>
        <w:tab/>
        <w:t xml:space="preserve">[Regulation 57 amended in Gazette 24 Jun 1988 p. 2005; 10 Jul 1992 p. 3291; 21 Jul 1998 p. 3854.] </w:t>
      </w:r>
    </w:p>
    <w:p>
      <w:pPr>
        <w:pStyle w:val="Heading5"/>
        <w:spacing w:before="260"/>
        <w:rPr>
          <w:snapToGrid w:val="0"/>
        </w:rPr>
      </w:pPr>
      <w:bookmarkStart w:id="233" w:name="_Toc495993593"/>
      <w:bookmarkStart w:id="234" w:name="_Toc511525069"/>
      <w:bookmarkStart w:id="235" w:name="_Toc27803433"/>
      <w:bookmarkStart w:id="236" w:name="_Toc133903539"/>
      <w:bookmarkStart w:id="237" w:name="_Toc133920982"/>
      <w:bookmarkStart w:id="238" w:name="_Toc123708438"/>
      <w:r>
        <w:rPr>
          <w:rStyle w:val="CharSectno"/>
        </w:rPr>
        <w:t>58</w:t>
      </w:r>
      <w:r>
        <w:rPr>
          <w:snapToGrid w:val="0"/>
        </w:rPr>
        <w:t>.</w:t>
      </w:r>
      <w:r>
        <w:rPr>
          <w:snapToGrid w:val="0"/>
        </w:rPr>
        <w:tab/>
        <w:t>Use of stand</w:t>
      </w:r>
      <w:bookmarkEnd w:id="233"/>
      <w:bookmarkEnd w:id="234"/>
      <w:bookmarkEnd w:id="235"/>
      <w:bookmarkEnd w:id="236"/>
      <w:bookmarkEnd w:id="237"/>
      <w:bookmarkEnd w:id="238"/>
      <w:r>
        <w:rPr>
          <w:snapToGrid w:val="0"/>
        </w:rPr>
        <w:t xml:space="preserve"> </w:t>
      </w:r>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 xml:space="preserve">[Regulation 58 amended in Gazette 24 Jun 1988 p. 2005; 10 Jul 1992 p. 3291; 20 Sep 2002 p. 4702.] </w:t>
      </w:r>
    </w:p>
    <w:p>
      <w:pPr>
        <w:pStyle w:val="Heading5"/>
      </w:pPr>
      <w:bookmarkStart w:id="239" w:name="_Toc133903540"/>
      <w:bookmarkStart w:id="240" w:name="_Toc133920983"/>
      <w:bookmarkStart w:id="241" w:name="_Toc123708439"/>
      <w:bookmarkStart w:id="242" w:name="_Toc495993595"/>
      <w:bookmarkStart w:id="243" w:name="_Toc511525071"/>
      <w:bookmarkStart w:id="244" w:name="_Toc27803435"/>
      <w:r>
        <w:rPr>
          <w:rStyle w:val="CharSectno"/>
        </w:rPr>
        <w:t>59</w:t>
      </w:r>
      <w:r>
        <w:t>.</w:t>
      </w:r>
      <w:r>
        <w:tab/>
        <w:t>Name of bookmaker to be shown</w:t>
      </w:r>
      <w:bookmarkEnd w:id="239"/>
      <w:bookmarkEnd w:id="240"/>
      <w:bookmarkEnd w:id="241"/>
    </w:p>
    <w:p>
      <w:pPr>
        <w:pStyle w:val="Subsection"/>
      </w:pPr>
      <w:r>
        <w:tab/>
        <w:t>(1)</w:t>
      </w:r>
      <w:r>
        <w:tab/>
        <w:t xml:space="preserve">A bookmaker shall not carry on business as a bookmaker at a race meeting unless there is displayed on the betting stand of that bookmaker a tablet or sign showing —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rPr>
          <w:snapToGrid w:val="0"/>
        </w:rPr>
      </w:pPr>
      <w:bookmarkStart w:id="245" w:name="_Toc133903541"/>
      <w:bookmarkStart w:id="246" w:name="_Toc133920984"/>
      <w:bookmarkStart w:id="247" w:name="_Toc123708440"/>
      <w:r>
        <w:rPr>
          <w:rStyle w:val="CharSectno"/>
        </w:rPr>
        <w:t>60</w:t>
      </w:r>
      <w:r>
        <w:rPr>
          <w:snapToGrid w:val="0"/>
        </w:rPr>
        <w:t>.</w:t>
      </w:r>
      <w:r>
        <w:rPr>
          <w:snapToGrid w:val="0"/>
        </w:rPr>
        <w:tab/>
        <w:t>Betting boards, etc., to be approved</w:t>
      </w:r>
      <w:bookmarkEnd w:id="242"/>
      <w:bookmarkEnd w:id="243"/>
      <w:bookmarkEnd w:id="244"/>
      <w:bookmarkEnd w:id="245"/>
      <w:bookmarkEnd w:id="246"/>
      <w:bookmarkEnd w:id="247"/>
      <w:r>
        <w:rPr>
          <w:snapToGrid w:val="0"/>
        </w:rPr>
        <w:t xml:space="preserve"> </w:t>
      </w:r>
    </w:p>
    <w:p>
      <w:pPr>
        <w:pStyle w:val="Subsection"/>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 xml:space="preserve">[Regulation 60 amended in Gazette 24 Jun 1988 p. 2005; 10 Jul 1992 p. 3291; 21 Jul 1998 p. 3856.] </w:t>
      </w:r>
    </w:p>
    <w:p>
      <w:pPr>
        <w:pStyle w:val="Heading5"/>
        <w:rPr>
          <w:snapToGrid w:val="0"/>
        </w:rPr>
      </w:pPr>
      <w:bookmarkStart w:id="248" w:name="_Toc495993596"/>
      <w:bookmarkStart w:id="249" w:name="_Toc511525072"/>
      <w:bookmarkStart w:id="250" w:name="_Toc27803436"/>
      <w:bookmarkStart w:id="251" w:name="_Toc133903542"/>
      <w:bookmarkStart w:id="252" w:name="_Toc133920985"/>
      <w:bookmarkStart w:id="253" w:name="_Toc123708441"/>
      <w:r>
        <w:rPr>
          <w:rStyle w:val="CharSectno"/>
        </w:rPr>
        <w:t>61</w:t>
      </w:r>
      <w:r>
        <w:rPr>
          <w:snapToGrid w:val="0"/>
        </w:rPr>
        <w:t>.</w:t>
      </w:r>
      <w:r>
        <w:rPr>
          <w:snapToGrid w:val="0"/>
        </w:rPr>
        <w:tab/>
        <w:t>Betting boards</w:t>
      </w:r>
      <w:bookmarkEnd w:id="248"/>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 xml:space="preserve">[Regulation 61 amended in Gazette 24 Jun 1988 p. 2005; 10 Jul 1992 p. 3292; 21 Jul 1998 p. 3855 and 3856; 20 Sep 2002 p. 4703; 30 Jan 2004 p. 405.] </w:t>
      </w:r>
    </w:p>
    <w:p>
      <w:pPr>
        <w:pStyle w:val="Heading5"/>
        <w:rPr>
          <w:snapToGrid w:val="0"/>
        </w:rPr>
      </w:pPr>
      <w:bookmarkStart w:id="254" w:name="_Toc495993597"/>
      <w:bookmarkStart w:id="255" w:name="_Toc511525073"/>
      <w:bookmarkStart w:id="256" w:name="_Toc27803437"/>
      <w:bookmarkStart w:id="257" w:name="_Toc133903543"/>
      <w:bookmarkStart w:id="258" w:name="_Toc133920986"/>
      <w:bookmarkStart w:id="259" w:name="_Toc123708442"/>
      <w:r>
        <w:rPr>
          <w:rStyle w:val="CharSectno"/>
        </w:rPr>
        <w:t>62</w:t>
      </w:r>
      <w:r>
        <w:rPr>
          <w:snapToGrid w:val="0"/>
        </w:rPr>
        <w:t>.</w:t>
      </w:r>
      <w:r>
        <w:rPr>
          <w:snapToGrid w:val="0"/>
        </w:rPr>
        <w:tab/>
        <w:t>Omissions from betting board, etc.</w:t>
      </w:r>
      <w:bookmarkEnd w:id="254"/>
      <w:bookmarkEnd w:id="255"/>
      <w:bookmarkEnd w:id="256"/>
      <w:bookmarkEnd w:id="257"/>
      <w:bookmarkEnd w:id="258"/>
      <w:bookmarkEnd w:id="259"/>
      <w:r>
        <w:rPr>
          <w:snapToGrid w:val="0"/>
        </w:rPr>
        <w:t xml:space="preserve"> </w:t>
      </w:r>
    </w:p>
    <w:p>
      <w:pPr>
        <w:pStyle w:val="Subsection"/>
        <w:rPr>
          <w:snapToGrid w:val="0"/>
        </w:rPr>
      </w:pPr>
      <w:r>
        <w:rPr>
          <w:snapToGrid w:val="0"/>
        </w:rPr>
        <w:tab/>
        <w:t>(1)</w:t>
      </w:r>
      <w:r>
        <w:rPr>
          <w:snapToGrid w:val="0"/>
        </w:rPr>
        <w:tab/>
      </w:r>
      <w:r>
        <w:t>A bookmaker or a manager of a bookmaker who</w:t>
      </w:r>
      <w:r>
        <w:rPr>
          <w:snapToGrid w:val="0"/>
        </w:rPr>
        <w:t> —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spacing w:before="80"/>
        <w:rPr>
          <w:snapToGrid w:val="0"/>
        </w:rPr>
      </w:pPr>
      <w:r>
        <w:rPr>
          <w:snapToGrid w:val="0"/>
        </w:rPr>
        <w:tab/>
      </w:r>
      <w:r>
        <w:rPr>
          <w:snapToGrid w:val="0"/>
        </w:rPr>
        <w:tab/>
        <w:t>commits an offence.</w:t>
      </w:r>
    </w:p>
    <w:p>
      <w:pPr>
        <w:pStyle w:val="Subsection"/>
        <w:spacing w:before="140"/>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 xml:space="preserve">[Regulation 62 amended in Gazette 10 Jul 1992 p. 3292; 21 Jul 1998 p. 3855; 20 Sep 2002 p. 4703.] </w:t>
      </w:r>
    </w:p>
    <w:p>
      <w:pPr>
        <w:pStyle w:val="Heading5"/>
        <w:rPr>
          <w:snapToGrid w:val="0"/>
        </w:rPr>
      </w:pPr>
      <w:bookmarkStart w:id="260" w:name="_Toc495993598"/>
      <w:bookmarkStart w:id="261" w:name="_Toc511525074"/>
      <w:bookmarkStart w:id="262" w:name="_Toc27803438"/>
      <w:bookmarkStart w:id="263" w:name="_Toc133903544"/>
      <w:bookmarkStart w:id="264" w:name="_Toc133920987"/>
      <w:bookmarkStart w:id="265" w:name="_Toc123708443"/>
      <w:r>
        <w:rPr>
          <w:rStyle w:val="CharSectno"/>
        </w:rPr>
        <w:t>63</w:t>
      </w:r>
      <w:r>
        <w:rPr>
          <w:snapToGrid w:val="0"/>
        </w:rPr>
        <w:t>.</w:t>
      </w:r>
      <w:r>
        <w:rPr>
          <w:snapToGrid w:val="0"/>
        </w:rPr>
        <w:tab/>
        <w:t>Bets with other bookmakers</w:t>
      </w:r>
      <w:bookmarkEnd w:id="260"/>
      <w:bookmarkEnd w:id="261"/>
      <w:bookmarkEnd w:id="262"/>
      <w:bookmarkEnd w:id="263"/>
      <w:bookmarkEnd w:id="264"/>
      <w:bookmarkEnd w:id="265"/>
      <w:r>
        <w:rPr>
          <w:snapToGrid w:val="0"/>
        </w:rPr>
        <w:t xml:space="preserve"> </w:t>
      </w:r>
    </w:p>
    <w:p>
      <w:pPr>
        <w:pStyle w:val="Subsection"/>
        <w:spacing w:before="140"/>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w:t>
      </w:r>
      <w:r>
        <w:tab/>
        <w:t>repealed]</w:t>
      </w:r>
    </w:p>
    <w:p>
      <w:pPr>
        <w:pStyle w:val="Subsection"/>
        <w:rPr>
          <w:snapToGrid w:val="0"/>
        </w:rPr>
      </w:pPr>
      <w:r>
        <w:rPr>
          <w:snapToGrid w:val="0"/>
        </w:rPr>
        <w:tab/>
        <w:t>(3)</w:t>
      </w:r>
      <w:r>
        <w:rPr>
          <w:snapToGrid w:val="0"/>
        </w:rPr>
        <w:tab/>
        <w:t>Where a bookmaker or a person on behalf of a bookmaker backs a runner, or in the context of a sporting event a competitor or contingency, for the purpose of reducing the bookmaker’s liability for bets already accepted by the bookmaker against that particular runner, competitor or contingency, the bet shall be regarded for the purpose of these regulations as a “bet back”.</w:t>
      </w:r>
    </w:p>
    <w:p>
      <w:pPr>
        <w:pStyle w:val="Subsection"/>
        <w:rPr>
          <w:snapToGrid w:val="0"/>
        </w:rPr>
      </w:pPr>
      <w:r>
        <w:rPr>
          <w:snapToGrid w:val="0"/>
        </w:rPr>
        <w:tab/>
        <w:t>(4)</w:t>
      </w:r>
      <w:r>
        <w:rPr>
          <w:snapToGrid w:val="0"/>
        </w:rPr>
        <w:tab/>
        <w:t>Where a bet is made by or on behalf of a bookmaker with another bookmaker — </w:t>
      </w:r>
    </w:p>
    <w:p>
      <w:pPr>
        <w:pStyle w:val="Indenta"/>
        <w:rPr>
          <w:snapToGrid w:val="0"/>
        </w:rPr>
      </w:pPr>
      <w:r>
        <w:rPr>
          <w:snapToGrid w:val="0"/>
        </w:rPr>
        <w:tab/>
        <w:t>(a)</w:t>
      </w:r>
      <w:r>
        <w:rPr>
          <w:snapToGrid w:val="0"/>
        </w:rPr>
        <w:tab/>
        <w:t>the bookmaker receiving the bet shall record the name of the bookmaker making the bet, or on whose behalf the bet is made, alongside the record of the bet whether or not the bet is made in cash; and</w:t>
      </w:r>
    </w:p>
    <w:p>
      <w:pPr>
        <w:pStyle w:val="Indenta"/>
      </w:pPr>
      <w:r>
        <w:tab/>
        <w:t>(b)</w:t>
      </w:r>
      <w:r>
        <w:tab/>
        <w:t xml:space="preserve">if the bet is a “bet back”, the bookmaker who makes the bet or on whose behalf the bet is made shall record — </w:t>
      </w:r>
    </w:p>
    <w:p>
      <w:pPr>
        <w:pStyle w:val="Indenti"/>
      </w:pPr>
      <w:r>
        <w:tab/>
        <w:t>(i)</w:t>
      </w:r>
      <w:r>
        <w:tab/>
        <w:t>the details of the bet;</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Where a bet by way of a “bet back” is made by a bookmaker or by any person on behalf of a bookmaker on any totalisator, the bookmaker who makes the bet or on whose behalf the bet is made shall record the transaction as a “bet back” on the totalisator and shall retain the totalisator ticket or tickets of all losing bets for a period of one month.</w:t>
      </w:r>
    </w:p>
    <w:p>
      <w:pPr>
        <w:pStyle w:val="Subsection"/>
        <w:rPr>
          <w:snapToGrid w:val="0"/>
        </w:rPr>
      </w:pPr>
      <w:r>
        <w:rPr>
          <w:snapToGrid w:val="0"/>
        </w:rPr>
        <w:tab/>
        <w:t>(6)</w:t>
      </w:r>
      <w:r>
        <w:rPr>
          <w:snapToGrid w:val="0"/>
        </w:rPr>
        <w:tab/>
        <w:t>A bookmaker who makes a “bet back” with another bookmaker or the totalisator is not permitted to deduct the amount of the “bet back” from the total of the bets the bookmaker has received for the race or race meeting to which the bet relates or from the total of any other races or race meetings on which the bookmaker has accepted bets.</w:t>
      </w:r>
    </w:p>
    <w:p>
      <w:pPr>
        <w:pStyle w:val="Footnotesection"/>
      </w:pPr>
      <w:r>
        <w:tab/>
        <w:t xml:space="preserve">[Regulation 63 amended in Gazette 24 Jun 1988 p. 2005; 10 Jul 1992 p. 3293; 21 Jul 1998 p. 3855 and 3856; 17 Dec 2002 p. 5924.] </w:t>
      </w:r>
    </w:p>
    <w:p>
      <w:pPr>
        <w:pStyle w:val="Ednotesection"/>
      </w:pPr>
      <w:r>
        <w:t>[</w:t>
      </w:r>
      <w:r>
        <w:rPr>
          <w:b/>
        </w:rPr>
        <w:t>64</w:t>
      </w:r>
      <w:r>
        <w:noBreakHyphen/>
      </w:r>
      <w:r>
        <w:rPr>
          <w:b/>
        </w:rPr>
        <w:t>65.</w:t>
      </w:r>
      <w:r>
        <w:tab/>
        <w:t>Repealed in Gazette 13 Oct 2000 p. 5726.]</w:t>
      </w:r>
    </w:p>
    <w:p>
      <w:pPr>
        <w:pStyle w:val="Ednotesection"/>
      </w:pPr>
      <w:r>
        <w:t>[</w:t>
      </w:r>
      <w:r>
        <w:rPr>
          <w:b/>
        </w:rPr>
        <w:t>66</w:t>
      </w:r>
      <w:r>
        <w:rPr>
          <w:b/>
        </w:rPr>
        <w:noBreakHyphen/>
        <w:t>67.</w:t>
      </w:r>
      <w:r>
        <w:rPr>
          <w:b/>
        </w:rPr>
        <w:tab/>
      </w:r>
      <w:r>
        <w:t xml:space="preserve">Repealed in Gazette 10 Jul 1992 p. 3293.] </w:t>
      </w:r>
    </w:p>
    <w:p>
      <w:pPr>
        <w:pStyle w:val="Heading5"/>
        <w:rPr>
          <w:snapToGrid w:val="0"/>
        </w:rPr>
      </w:pPr>
      <w:bookmarkStart w:id="266" w:name="_Toc495993599"/>
      <w:bookmarkStart w:id="267" w:name="_Toc511525075"/>
      <w:bookmarkStart w:id="268" w:name="_Toc27803439"/>
      <w:bookmarkStart w:id="269" w:name="_Toc133903545"/>
      <w:bookmarkStart w:id="270" w:name="_Toc133920988"/>
      <w:bookmarkStart w:id="271" w:name="_Toc123708444"/>
      <w:r>
        <w:rPr>
          <w:rStyle w:val="CharSectno"/>
        </w:rPr>
        <w:t>68</w:t>
      </w:r>
      <w:r>
        <w:rPr>
          <w:snapToGrid w:val="0"/>
        </w:rPr>
        <w:t>.</w:t>
      </w:r>
      <w:r>
        <w:rPr>
          <w:snapToGrid w:val="0"/>
        </w:rPr>
        <w:tab/>
        <w:t xml:space="preserve">Cooperation with the </w:t>
      </w:r>
      <w:r>
        <w:t>Commission</w:t>
      </w:r>
      <w:r>
        <w:rPr>
          <w:snapToGrid w:val="0"/>
        </w:rPr>
        <w:t xml:space="preserve"> in matters relating to betting disputes</w:t>
      </w:r>
      <w:bookmarkEnd w:id="266"/>
      <w:bookmarkEnd w:id="267"/>
      <w:bookmarkEnd w:id="268"/>
      <w:bookmarkEnd w:id="269"/>
      <w:bookmarkEnd w:id="270"/>
      <w:bookmarkEnd w:id="271"/>
      <w:r>
        <w:rPr>
          <w:snapToGrid w:val="0"/>
        </w:rPr>
        <w:t xml:space="preserve"> </w:t>
      </w:r>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pPr>
      <w:r>
        <w:tab/>
        <w:t>[Regulation 68 amended in Gazette 30 Jan 2004 p. 405; 1 Jul 2004 p. 2625.]</w:t>
      </w:r>
    </w:p>
    <w:p>
      <w:pPr>
        <w:pStyle w:val="Ednotesection"/>
      </w:pPr>
      <w:r>
        <w:t>[</w:t>
      </w:r>
      <w:r>
        <w:rPr>
          <w:b/>
        </w:rPr>
        <w:t>69.</w:t>
      </w:r>
      <w:r>
        <w:tab/>
        <w:t xml:space="preserve">Repealed in Gazette 21 Jul 1998 p. 3854.] </w:t>
      </w:r>
    </w:p>
    <w:p>
      <w:pPr>
        <w:pStyle w:val="Heading5"/>
        <w:rPr>
          <w:snapToGrid w:val="0"/>
        </w:rPr>
      </w:pPr>
      <w:bookmarkStart w:id="272" w:name="_Toc495993600"/>
      <w:bookmarkStart w:id="273" w:name="_Toc511525076"/>
      <w:bookmarkStart w:id="274" w:name="_Toc27803440"/>
      <w:bookmarkStart w:id="275" w:name="_Toc133903546"/>
      <w:bookmarkStart w:id="276" w:name="_Toc133920989"/>
      <w:bookmarkStart w:id="277" w:name="_Toc123708445"/>
      <w:r>
        <w:rPr>
          <w:rStyle w:val="CharSectno"/>
        </w:rPr>
        <w:t>70</w:t>
      </w:r>
      <w:r>
        <w:rPr>
          <w:snapToGrid w:val="0"/>
        </w:rPr>
        <w:t>.</w:t>
      </w:r>
      <w:r>
        <w:rPr>
          <w:snapToGrid w:val="0"/>
        </w:rPr>
        <w:tab/>
        <w:t>Totalisator operation by a racing club</w:t>
      </w:r>
      <w:bookmarkEnd w:id="272"/>
      <w:bookmarkEnd w:id="273"/>
      <w:bookmarkEnd w:id="274"/>
      <w:bookmarkEnd w:id="275"/>
      <w:bookmarkEnd w:id="276"/>
      <w:bookmarkEnd w:id="277"/>
      <w:r>
        <w:rPr>
          <w:snapToGrid w:val="0"/>
        </w:rPr>
        <w:t xml:space="preserve"> </w:t>
      </w:r>
    </w:p>
    <w:p>
      <w:pPr>
        <w:pStyle w:val="Subsection"/>
        <w:spacing w:before="140"/>
        <w:rPr>
          <w:snapToGrid w:val="0"/>
        </w:rPr>
      </w:pPr>
      <w:r>
        <w:rPr>
          <w:snapToGrid w:val="0"/>
        </w:rPr>
        <w:tab/>
        <w:t>(1)</w:t>
      </w:r>
      <w:r>
        <w:rPr>
          <w:snapToGrid w:val="0"/>
        </w:rPr>
        <w:tab/>
        <w:t>In this regulation a reference to a club is a reference to a committee or another authority controlling a racecourse that operates a totalisator under an authorisation to which section 17B for the time being applies.</w:t>
      </w:r>
    </w:p>
    <w:p>
      <w:pPr>
        <w:pStyle w:val="Ednotesubsection"/>
        <w:spacing w:before="140"/>
      </w:pPr>
      <w:r>
        <w:tab/>
        <w:t>[(2)</w:t>
      </w:r>
      <w:r>
        <w:noBreakHyphen/>
        <w:t>(4)</w:t>
      </w:r>
      <w:r>
        <w:tab/>
        <w:t>repealed]</w:t>
      </w:r>
    </w:p>
    <w:p>
      <w:pPr>
        <w:pStyle w:val="Subsection"/>
      </w:pPr>
      <w:r>
        <w:tab/>
        <w:t>(5)</w:t>
      </w:r>
      <w:r>
        <w:tab/>
        <w:t>A bet received by a club may be transmitted by that club to a totalisator pool operated by RWWA under the RWWA Act if RWWA has authorised the club to so transmit the bet and that authorisation has not been withdrawn.</w:t>
      </w:r>
    </w:p>
    <w:p>
      <w:pPr>
        <w:pStyle w:val="Subsection"/>
        <w:rPr>
          <w:snapToGrid w:val="0"/>
        </w:rPr>
      </w:pPr>
      <w:r>
        <w:rPr>
          <w:snapToGrid w:val="0"/>
        </w:rPr>
        <w:tab/>
        <w:t>(6)</w:t>
      </w:r>
      <w:r>
        <w:rPr>
          <w:snapToGrid w:val="0"/>
        </w:rPr>
        <w:tab/>
        <w:t>Bets transmitted under section 17B and registered on a totalisator shall form part of the total amount invested on the totalisator in respect of the race, sporting event or contingency for which the bets were transmitted, and shall be taken into account in the calculation of the dividends to be declared payable on the result of that race, sporting event or contingency.</w:t>
      </w:r>
    </w:p>
    <w:p>
      <w:pPr>
        <w:pStyle w:val="Subsection"/>
        <w:rPr>
          <w:snapToGrid w:val="0"/>
        </w:rPr>
      </w:pPr>
      <w:r>
        <w:rPr>
          <w:snapToGrid w:val="0"/>
        </w:rPr>
        <w:tab/>
        <w:t>(7)</w:t>
      </w:r>
      <w:r>
        <w:rPr>
          <w:snapToGrid w:val="0"/>
        </w:rPr>
        <w:tab/>
        <w:t>Notwithstanding subregulation (6), bets that are transmitted and received under section 17B form part of the gross amount of the takings of the totalisator of the club with whom the bet was initially placed and the dividends declared payable on those bets shall be payable by that club.</w:t>
      </w:r>
    </w:p>
    <w:p>
      <w:pPr>
        <w:pStyle w:val="Ednotesubsection"/>
      </w:pPr>
      <w:r>
        <w:tab/>
        <w:t>[(8)</w:t>
      </w:r>
      <w:r>
        <w:tab/>
        <w:t>repealed]</w:t>
      </w:r>
    </w:p>
    <w:p>
      <w:pPr>
        <w:pStyle w:val="Subsection"/>
        <w:rPr>
          <w:snapToGrid w:val="0"/>
        </w:rPr>
      </w:pPr>
      <w:r>
        <w:rPr>
          <w:snapToGrid w:val="0"/>
        </w:rPr>
        <w:tab/>
        <w:t>(9)</w:t>
      </w:r>
      <w:r>
        <w:rPr>
          <w:snapToGrid w:val="0"/>
        </w:rPr>
        <w:tab/>
        <w:t xml:space="preserve">Where a combined totalisator pool scheme of a kind to which </w:t>
      </w:r>
      <w:r>
        <w:t>section 59 of the RWWA Act</w:t>
      </w:r>
      <w:r>
        <w:rPr>
          <w:snapToGrid w:val="0"/>
        </w:rPr>
        <w:t xml:space="preserve"> refers is being operated, whether or not by the TAB, a bet received by a club may be transmitted or further transmitted in accordance with the regulations or rules controlling the conduct of that pool for any of the purposes of that pool.</w:t>
      </w:r>
    </w:p>
    <w:p>
      <w:pPr>
        <w:pStyle w:val="Footnotesection"/>
      </w:pPr>
      <w:r>
        <w:tab/>
        <w:t>[Regulation 70 inserted in Gazette 10 Jul 1992 p. 3293</w:t>
      </w:r>
      <w:r>
        <w:noBreakHyphen/>
        <w:t>4; amended in Gazette 31 Jul 1992 p. 3796; 21 Jul 1998 p. 3854; 13 Oct 2000 p. 5726</w:t>
      </w:r>
      <w:r>
        <w:noBreakHyphen/>
        <w:t xml:space="preserve">7; 30 Jan 2004 p. 406.] </w:t>
      </w:r>
    </w:p>
    <w:p>
      <w:pPr>
        <w:pStyle w:val="Heading5"/>
        <w:rPr>
          <w:snapToGrid w:val="0"/>
        </w:rPr>
      </w:pPr>
      <w:bookmarkStart w:id="278" w:name="_Toc495993601"/>
      <w:bookmarkStart w:id="279" w:name="_Toc511525077"/>
      <w:bookmarkStart w:id="280" w:name="_Toc27803441"/>
      <w:bookmarkStart w:id="281" w:name="_Toc133903547"/>
      <w:bookmarkStart w:id="282" w:name="_Toc133920990"/>
      <w:bookmarkStart w:id="283" w:name="_Toc123708446"/>
      <w:r>
        <w:rPr>
          <w:rStyle w:val="CharSectno"/>
        </w:rPr>
        <w:t>71</w:t>
      </w:r>
      <w:r>
        <w:rPr>
          <w:snapToGrid w:val="0"/>
        </w:rPr>
        <w:t>.</w:t>
      </w:r>
      <w:r>
        <w:rPr>
          <w:snapToGrid w:val="0"/>
        </w:rPr>
        <w:tab/>
        <w:t>Telephone betting on sporting events</w:t>
      </w:r>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 </w:t>
      </w:r>
    </w:p>
    <w:p>
      <w:pPr>
        <w:pStyle w:val="Indenta"/>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 </w:t>
      </w:r>
    </w:p>
    <w:p>
      <w:pPr>
        <w:pStyle w:val="Indenta"/>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keepNext/>
        <w:keepLines/>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together with the duplicate sports betting sheets;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 xml:space="preserve">[Regulation 71 inserted in Gazette 31 Aug 1993 p. 4677; amended in Gazette 24 Dec 1993 p. 6839; 21 Jul 1998 p. 3854; 20 Sep 2002 p. 4703; 30 Jan 2004 p. 412.] </w:t>
      </w:r>
    </w:p>
    <w:p>
      <w:pPr>
        <w:pStyle w:val="Heading5"/>
        <w:spacing w:before="140"/>
        <w:rPr>
          <w:snapToGrid w:val="0"/>
        </w:rPr>
      </w:pPr>
      <w:bookmarkStart w:id="284" w:name="_Toc495993602"/>
      <w:bookmarkStart w:id="285" w:name="_Toc511525078"/>
      <w:bookmarkStart w:id="286" w:name="_Toc27803442"/>
      <w:bookmarkStart w:id="287" w:name="_Toc133903548"/>
      <w:bookmarkStart w:id="288" w:name="_Toc133920991"/>
      <w:bookmarkStart w:id="289" w:name="_Toc123708447"/>
      <w:r>
        <w:rPr>
          <w:rStyle w:val="CharSectno"/>
        </w:rPr>
        <w:t>72</w:t>
      </w:r>
      <w:r>
        <w:rPr>
          <w:snapToGrid w:val="0"/>
        </w:rPr>
        <w:t>.</w:t>
      </w:r>
      <w:r>
        <w:rPr>
          <w:snapToGrid w:val="0"/>
        </w:rPr>
        <w:tab/>
        <w:t>Telephone betting on racing</w:t>
      </w:r>
      <w:bookmarkEnd w:id="284"/>
      <w:bookmarkEnd w:id="285"/>
      <w:bookmarkEnd w:id="286"/>
      <w:bookmarkEnd w:id="287"/>
      <w:bookmarkEnd w:id="288"/>
      <w:bookmarkEnd w:id="289"/>
      <w:r>
        <w:rPr>
          <w:snapToGrid w:val="0"/>
        </w:rPr>
        <w:t xml:space="preserve"> </w:t>
      </w:r>
    </w:p>
    <w:p>
      <w:pPr>
        <w:pStyle w:val="Subsection"/>
        <w:spacing w:before="90"/>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 </w:t>
      </w:r>
    </w:p>
    <w:p>
      <w:pPr>
        <w:pStyle w:val="Indenta"/>
        <w:spacing w:before="50"/>
        <w:rPr>
          <w:snapToGrid w:val="0"/>
        </w:rPr>
      </w:pPr>
      <w:r>
        <w:rPr>
          <w:snapToGrid w:val="0"/>
        </w:rPr>
        <w:tab/>
        <w:t>(a)</w:t>
      </w:r>
      <w:r>
        <w:rPr>
          <w:snapToGrid w:val="0"/>
        </w:rPr>
        <w:tab/>
        <w:t>in accordance with the procedures established and approved by the Commission for the conduct of such betting;</w:t>
      </w:r>
    </w:p>
    <w:p>
      <w:pPr>
        <w:pStyle w:val="Indenta"/>
        <w:spacing w:before="50"/>
        <w:rPr>
          <w:snapToGrid w:val="0"/>
        </w:rPr>
      </w:pPr>
      <w:r>
        <w:rPr>
          <w:snapToGrid w:val="0"/>
        </w:rPr>
        <w:tab/>
        <w:t>(b)</w:t>
      </w:r>
      <w:r>
        <w:rPr>
          <w:snapToGrid w:val="0"/>
        </w:rPr>
        <w:tab/>
        <w:t>if the committee or other authority controlling the racecourse so permits;</w:t>
      </w:r>
    </w:p>
    <w:p>
      <w:pPr>
        <w:pStyle w:val="Indenta"/>
        <w:keepNext/>
        <w:keepLines/>
        <w:spacing w:before="50"/>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spacing w:before="50"/>
        <w:rPr>
          <w:snapToGrid w:val="0"/>
        </w:rPr>
      </w:pPr>
      <w:r>
        <w:rPr>
          <w:snapToGrid w:val="0"/>
        </w:rPr>
        <w:tab/>
      </w:r>
      <w:r>
        <w:rPr>
          <w:snapToGrid w:val="0"/>
        </w:rPr>
        <w:tab/>
        <w:t>and not otherwise.</w:t>
      </w:r>
    </w:p>
    <w:p>
      <w:pPr>
        <w:pStyle w:val="Subsection"/>
        <w:spacing w:before="90"/>
        <w:rPr>
          <w:snapToGrid w:val="0"/>
        </w:rPr>
      </w:pPr>
      <w:r>
        <w:rPr>
          <w:snapToGrid w:val="0"/>
        </w:rPr>
        <w:tab/>
        <w:t>(2)</w:t>
      </w:r>
      <w:r>
        <w:rPr>
          <w:snapToGrid w:val="0"/>
        </w:rPr>
        <w:tab/>
        <w:t>For the purposes of subregulation (1) the Commission has established and approved the following procedures — </w:t>
      </w:r>
    </w:p>
    <w:p>
      <w:pPr>
        <w:pStyle w:val="Indenta"/>
        <w:spacing w:before="60"/>
        <w:rPr>
          <w:snapToGrid w:val="0"/>
        </w:rPr>
      </w:pPr>
      <w:r>
        <w:rPr>
          <w:snapToGrid w:val="0"/>
        </w:rPr>
        <w:tab/>
        <w:t>(a)</w:t>
      </w:r>
      <w:r>
        <w:rPr>
          <w:snapToGrid w:val="0"/>
        </w:rPr>
        <w:tab/>
        <w:t>the telephone system to be used shall be of a type approved by the Commission;</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w:t>
      </w:r>
    </w:p>
    <w:p>
      <w:pPr>
        <w:pStyle w:val="Indenta"/>
        <w:rPr>
          <w:snapToGrid w:val="0"/>
        </w:rPr>
      </w:pPr>
      <w:r>
        <w:rPr>
          <w:snapToGrid w:val="0"/>
        </w:rPr>
        <w:tab/>
        <w:t>(c)</w:t>
      </w:r>
      <w:r>
        <w:rPr>
          <w:snapToGrid w:val="0"/>
        </w:rPr>
        <w:tab/>
        <w:t>consent to the voice logging of the betting transactions is to be obtained from all telephone bettors;</w:t>
      </w:r>
    </w:p>
    <w:p>
      <w:pPr>
        <w:pStyle w:val="Indenta"/>
        <w:rPr>
          <w:snapToGrid w:val="0"/>
        </w:rPr>
      </w:pPr>
      <w:r>
        <w:rPr>
          <w:snapToGrid w:val="0"/>
        </w:rPr>
        <w:tab/>
        <w:t>(d)</w:t>
      </w:r>
      <w:r>
        <w:rPr>
          <w:snapToGrid w:val="0"/>
        </w:rPr>
        <w:tab/>
        <w:t>all betting transactions by telephone shall be recorded through the voice logging equipment;</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w:t>
      </w:r>
    </w:p>
    <w:p>
      <w:pPr>
        <w:pStyle w:val="Indenta"/>
        <w:rPr>
          <w:snapToGrid w:val="0"/>
        </w:rPr>
      </w:pPr>
      <w:r>
        <w:rPr>
          <w:snapToGrid w:val="0"/>
        </w:rPr>
        <w:tab/>
        <w:t>(f)</w:t>
      </w:r>
      <w:r>
        <w:rPr>
          <w:snapToGrid w:val="0"/>
        </w:rPr>
        <w:tab/>
        <w:t>tapes, when used to record betting transactions, shall — </w:t>
      </w:r>
    </w:p>
    <w:p>
      <w:pPr>
        <w:pStyle w:val="Indenti"/>
        <w:rPr>
          <w:snapToGrid w:val="0"/>
        </w:rPr>
      </w:pPr>
      <w:r>
        <w:rPr>
          <w:snapToGrid w:val="0"/>
        </w:rPr>
        <w:tab/>
        <w:t>(i)</w:t>
      </w:r>
      <w:r>
        <w:rPr>
          <w:snapToGrid w:val="0"/>
        </w:rPr>
        <w:tab/>
        <w:t>be held and distributed by stewards;</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 xml:space="preserve">be maintained as betting records for inspection or audit by any authorised person; </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spacing w:before="200"/>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 xml:space="preserve">6.] </w:t>
      </w:r>
    </w:p>
    <w:p>
      <w:pPr>
        <w:pStyle w:val="Heading5"/>
        <w:spacing w:before="260"/>
      </w:pPr>
      <w:bookmarkStart w:id="290" w:name="_Toc495993603"/>
      <w:bookmarkStart w:id="291" w:name="_Toc511525079"/>
      <w:bookmarkStart w:id="292" w:name="_Toc27803443"/>
      <w:bookmarkStart w:id="293" w:name="_Toc133903549"/>
      <w:bookmarkStart w:id="294" w:name="_Toc133920992"/>
      <w:bookmarkStart w:id="295" w:name="_Toc123708448"/>
      <w:r>
        <w:rPr>
          <w:rStyle w:val="CharSectno"/>
        </w:rPr>
        <w:t>73</w:t>
      </w:r>
      <w:r>
        <w:t>.</w:t>
      </w:r>
      <w:r>
        <w:tab/>
        <w:t>Credit betting other than by telephone</w:t>
      </w:r>
      <w:bookmarkEnd w:id="290"/>
      <w:bookmarkEnd w:id="291"/>
      <w:bookmarkEnd w:id="292"/>
      <w:bookmarkEnd w:id="293"/>
      <w:bookmarkEnd w:id="294"/>
      <w:bookmarkEnd w:id="295"/>
    </w:p>
    <w:p>
      <w:pPr>
        <w:pStyle w:val="Subsection"/>
        <w:spacing w:before="200"/>
        <w:rPr>
          <w:spacing w:val="-4"/>
        </w:rPr>
      </w:pPr>
      <w:r>
        <w:tab/>
        <w:t>(1)</w:t>
      </w:r>
      <w:r>
        <w:tab/>
      </w:r>
      <w:r>
        <w:rPr>
          <w:spacing w:val="-4"/>
        </w:rPr>
        <w:t>For the purposes of section 31(1)(b)(iii) where a bet is made on credit the bookmaker may, instead of delivering the betting ticket to the bettor, make the ticket available for collection by the bettor.</w:t>
      </w:r>
    </w:p>
    <w:p>
      <w:pPr>
        <w:pStyle w:val="Subsection"/>
        <w:spacing w:before="200"/>
      </w:pPr>
      <w:r>
        <w:tab/>
        <w:t>(2)</w:t>
      </w:r>
      <w:r>
        <w:tab/>
        <w:t>Subregulation (1) does not apply to a “bet back” within the meaning of regulation 63(3).</w:t>
      </w:r>
    </w:p>
    <w:p>
      <w:pPr>
        <w:pStyle w:val="NotesPerm"/>
        <w:tabs>
          <w:tab w:val="clear" w:pos="879"/>
          <w:tab w:val="left" w:pos="993"/>
        </w:tabs>
        <w:ind w:left="1418" w:hanging="709"/>
      </w:pPr>
      <w:r>
        <w:t>Note:</w:t>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w:t>
      </w:r>
    </w:p>
    <w:p>
      <w:pPr>
        <w:pStyle w:val="Heading5"/>
        <w:spacing w:before="260"/>
      </w:pPr>
      <w:bookmarkStart w:id="296" w:name="_Toc495993604"/>
      <w:bookmarkStart w:id="297" w:name="_Toc511525080"/>
      <w:bookmarkStart w:id="298" w:name="_Toc27803444"/>
      <w:bookmarkStart w:id="299" w:name="_Toc133903550"/>
      <w:bookmarkStart w:id="300" w:name="_Toc133920993"/>
      <w:bookmarkStart w:id="301" w:name="_Toc123708449"/>
      <w:r>
        <w:rPr>
          <w:rStyle w:val="CharSectno"/>
        </w:rPr>
        <w:t>74</w:t>
      </w:r>
      <w:r>
        <w:t>.</w:t>
      </w:r>
      <w:r>
        <w:tab/>
        <w:t>Internet betting (sporting events)</w:t>
      </w:r>
      <w:bookmarkEnd w:id="296"/>
      <w:bookmarkEnd w:id="297"/>
      <w:bookmarkEnd w:id="298"/>
      <w:bookmarkEnd w:id="299"/>
      <w:bookmarkEnd w:id="300"/>
      <w:bookmarkEnd w:id="301"/>
    </w:p>
    <w:p>
      <w:pPr>
        <w:pStyle w:val="Subsection"/>
        <w:spacing w:before="200"/>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200"/>
      </w:pPr>
      <w:r>
        <w:tab/>
      </w:r>
      <w:r>
        <w:tab/>
        <w:t>and not otherwise.</w:t>
      </w:r>
    </w:p>
    <w:p>
      <w:pPr>
        <w:pStyle w:val="Footnotesection"/>
        <w:keepLines w:val="0"/>
      </w:pPr>
      <w:r>
        <w:tab/>
        <w:t>[Regulation 74 inserted in Gazette 26 Nov 1999 p. 5909; amended in Gazette 30 Jan 2004 p. 412.]</w:t>
      </w:r>
    </w:p>
    <w:p>
      <w:pPr>
        <w:pStyle w:val="Heading5"/>
      </w:pPr>
      <w:bookmarkStart w:id="302" w:name="_Toc495993605"/>
      <w:bookmarkStart w:id="303" w:name="_Toc511525081"/>
      <w:bookmarkStart w:id="304" w:name="_Toc27803445"/>
      <w:bookmarkStart w:id="305" w:name="_Toc133903551"/>
      <w:bookmarkStart w:id="306" w:name="_Toc133920994"/>
      <w:bookmarkStart w:id="307" w:name="_Toc123708450"/>
      <w:r>
        <w:rPr>
          <w:rStyle w:val="CharSectno"/>
        </w:rPr>
        <w:t>75</w:t>
      </w:r>
      <w:r>
        <w:t>.</w:t>
      </w:r>
      <w:r>
        <w:tab/>
        <w:t>Internet betting (racing)</w:t>
      </w:r>
      <w:bookmarkEnd w:id="302"/>
      <w:bookmarkEnd w:id="303"/>
      <w:bookmarkEnd w:id="304"/>
      <w:bookmarkEnd w:id="305"/>
      <w:bookmarkEnd w:id="306"/>
      <w:bookmarkEnd w:id="307"/>
    </w:p>
    <w:p>
      <w:pPr>
        <w:pStyle w:val="Subsection"/>
        <w:spacing w:before="140"/>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 xml:space="preserve">if the committee or other authority controlling the racecourse so permits; </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308" w:name="_Toc495993606"/>
      <w:bookmarkStart w:id="309" w:name="_Toc511525082"/>
      <w:bookmarkStart w:id="310" w:name="_Toc27803446"/>
      <w:bookmarkStart w:id="311" w:name="_Toc133903552"/>
      <w:bookmarkStart w:id="312" w:name="_Toc133920995"/>
      <w:bookmarkStart w:id="313" w:name="_Toc123708451"/>
      <w:r>
        <w:rPr>
          <w:rStyle w:val="CharSectno"/>
        </w:rPr>
        <w:t>76</w:t>
      </w:r>
      <w:r>
        <w:t>.</w:t>
      </w:r>
      <w:r>
        <w:tab/>
        <w:t>Procedures for internet betting</w:t>
      </w:r>
      <w:bookmarkEnd w:id="308"/>
      <w:bookmarkEnd w:id="309"/>
      <w:bookmarkEnd w:id="310"/>
      <w:bookmarkEnd w:id="311"/>
      <w:bookmarkEnd w:id="312"/>
      <w:bookmarkEnd w:id="313"/>
    </w:p>
    <w:p>
      <w:pPr>
        <w:pStyle w:val="Subsection"/>
      </w:pPr>
      <w:r>
        <w:tab/>
        <w:t>(1)</w:t>
      </w:r>
      <w:r>
        <w:tab/>
        <w:t xml:space="preserve">For the purposes of regulations 74 and 75 the </w:t>
      </w:r>
      <w:r>
        <w:rPr>
          <w:snapToGrid w:val="0"/>
        </w:rPr>
        <w:t>Commission</w:t>
      </w:r>
      <w:r>
        <w:t xml:space="preserve"> has established the following procedures —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 xml:space="preserve">notwithstanding section 31(1)(b)(iii), is to be delivered (or not delivered) in a manner, </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314" w:name="_Toc133903553"/>
      <w:bookmarkStart w:id="315" w:name="_Toc133920996"/>
      <w:bookmarkStart w:id="316" w:name="_Toc123708452"/>
      <w:r>
        <w:rPr>
          <w:rStyle w:val="CharSectno"/>
        </w:rPr>
        <w:t>77</w:t>
      </w:r>
      <w:r>
        <w:t>.</w:t>
      </w:r>
      <w:r>
        <w:tab/>
        <w:t>Form of search warrant</w:t>
      </w:r>
      <w:bookmarkEnd w:id="314"/>
      <w:bookmarkEnd w:id="315"/>
      <w:bookmarkEnd w:id="316"/>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317" w:name="_Toc512675332"/>
      <w:bookmarkStart w:id="318" w:name="_Toc512918151"/>
      <w:bookmarkStart w:id="319" w:name="_Toc27803447"/>
      <w:bookmarkStart w:id="320" w:name="_Toc100975099"/>
      <w:bookmarkStart w:id="321" w:name="_Toc100977233"/>
      <w:bookmarkStart w:id="322" w:name="_Toc101081016"/>
      <w:bookmarkStart w:id="323" w:name="_Toc101774531"/>
      <w:bookmarkStart w:id="324" w:name="_Toc101774607"/>
      <w:bookmarkStart w:id="325" w:name="_Toc101774710"/>
      <w:bookmarkStart w:id="326" w:name="_Toc105391559"/>
      <w:bookmarkStart w:id="327" w:name="_Toc116986501"/>
      <w:bookmarkStart w:id="328" w:name="_Toc133903554"/>
      <w:bookmarkStart w:id="329" w:name="_Toc133903648"/>
      <w:bookmarkStart w:id="330" w:name="_Toc133920997"/>
      <w:bookmarkStart w:id="331" w:name="_Toc123708453"/>
      <w:r>
        <w:rPr>
          <w:rStyle w:val="CharSchNo"/>
        </w:rPr>
        <w:t>Appendix</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t xml:space="preserve"> </w:t>
      </w:r>
    </w:p>
    <w:p>
      <w:pPr>
        <w:pStyle w:val="yHeading2"/>
        <w:rPr>
          <w:snapToGrid/>
        </w:rPr>
      </w:pPr>
      <w:bookmarkStart w:id="332" w:name="_Toc27803448"/>
      <w:bookmarkStart w:id="333" w:name="_Toc101774532"/>
      <w:bookmarkStart w:id="334" w:name="_Toc101774608"/>
      <w:bookmarkStart w:id="335" w:name="_Toc101774711"/>
      <w:bookmarkStart w:id="336" w:name="_Toc133903555"/>
      <w:bookmarkStart w:id="337" w:name="_Toc133903649"/>
      <w:bookmarkStart w:id="338" w:name="_Toc133920998"/>
      <w:bookmarkStart w:id="339" w:name="_Toc123708454"/>
      <w:r>
        <w:rPr>
          <w:rStyle w:val="CharSchText"/>
        </w:rPr>
        <w:t>Rules of Betting</w:t>
      </w:r>
      <w:bookmarkEnd w:id="332"/>
      <w:bookmarkEnd w:id="333"/>
      <w:bookmarkEnd w:id="334"/>
      <w:bookmarkEnd w:id="335"/>
      <w:bookmarkEnd w:id="336"/>
      <w:bookmarkEnd w:id="337"/>
      <w:bookmarkEnd w:id="338"/>
      <w:bookmarkEnd w:id="339"/>
      <w:r>
        <w:t> </w:t>
      </w:r>
    </w:p>
    <w:p>
      <w:pPr>
        <w:pStyle w:val="yFootnoteheading"/>
      </w:pPr>
      <w:r>
        <w:rPr>
          <w:snapToGrid w:val="0"/>
        </w:rPr>
        <w:tab/>
        <w:t>[Heading inserted in Gazette 14 Sep 1990 p. 4864.]</w:t>
      </w:r>
    </w:p>
    <w:p>
      <w:pPr>
        <w:pStyle w:val="yHeading2"/>
        <w:rPr>
          <w:sz w:val="22"/>
        </w:rPr>
      </w:pPr>
      <w:bookmarkStart w:id="340" w:name="_Toc27803449"/>
      <w:bookmarkStart w:id="341" w:name="_Toc101774533"/>
      <w:bookmarkStart w:id="342" w:name="_Toc101774609"/>
      <w:bookmarkStart w:id="343" w:name="_Toc101774712"/>
      <w:bookmarkStart w:id="344" w:name="_Toc133903556"/>
      <w:bookmarkStart w:id="345" w:name="_Toc133903650"/>
      <w:bookmarkStart w:id="346" w:name="_Toc133920999"/>
      <w:bookmarkStart w:id="347" w:name="_Toc123708455"/>
      <w:r>
        <w:rPr>
          <w:rStyle w:val="CharDivNo"/>
          <w:sz w:val="22"/>
        </w:rPr>
        <w:t>Part 1</w:t>
      </w:r>
      <w:r>
        <w:rPr>
          <w:sz w:val="22"/>
        </w:rPr>
        <w:t> — </w:t>
      </w:r>
      <w:r>
        <w:rPr>
          <w:rStyle w:val="CharDivText"/>
          <w:sz w:val="22"/>
        </w:rPr>
        <w:t>Betting under the rules of racing</w:t>
      </w:r>
      <w:bookmarkEnd w:id="340"/>
      <w:bookmarkEnd w:id="341"/>
      <w:bookmarkEnd w:id="342"/>
      <w:bookmarkEnd w:id="343"/>
      <w:bookmarkEnd w:id="344"/>
      <w:bookmarkEnd w:id="345"/>
      <w:bookmarkEnd w:id="346"/>
      <w:bookmarkEnd w:id="347"/>
    </w:p>
    <w:p>
      <w:pPr>
        <w:pStyle w:val="yFootnoteheading"/>
        <w:rPr>
          <w:snapToGrid w:val="0"/>
        </w:rPr>
      </w:pPr>
      <w:r>
        <w:rPr>
          <w:snapToGrid w:val="0"/>
        </w:rPr>
        <w:tab/>
        <w:t>[Heading inserted in Gazette 21 Jul 1998 p. 3856.]</w:t>
      </w:r>
    </w:p>
    <w:p>
      <w:pPr>
        <w:pStyle w:val="yHeading5"/>
        <w:spacing w:before="260"/>
        <w:rPr>
          <w:snapToGrid w:val="0"/>
        </w:rPr>
      </w:pPr>
      <w:bookmarkStart w:id="348" w:name="_Toc511525083"/>
      <w:bookmarkStart w:id="349" w:name="_Toc27803450"/>
      <w:bookmarkStart w:id="350" w:name="_Toc133903557"/>
      <w:bookmarkStart w:id="351" w:name="_Toc133921000"/>
      <w:bookmarkStart w:id="352" w:name="_Toc123708456"/>
      <w:r>
        <w:rPr>
          <w:rStyle w:val="CharSClsNo"/>
        </w:rPr>
        <w:t>1</w:t>
      </w:r>
      <w:r>
        <w:rPr>
          <w:snapToGrid w:val="0"/>
        </w:rPr>
        <w:t>.</w:t>
      </w:r>
      <w:r>
        <w:rPr>
          <w:snapToGrid w:val="0"/>
        </w:rPr>
        <w:tab/>
        <w:t>Interpretation</w:t>
      </w:r>
      <w:bookmarkEnd w:id="348"/>
      <w:bookmarkEnd w:id="349"/>
      <w:bookmarkEnd w:id="350"/>
      <w:bookmarkEnd w:id="351"/>
      <w:bookmarkEnd w:id="352"/>
      <w:r>
        <w:rPr>
          <w:snapToGrid w:val="0"/>
        </w:rPr>
        <w:t xml:space="preserve"> </w:t>
      </w:r>
    </w:p>
    <w:p>
      <w:pPr>
        <w:pStyle w:val="ySubsection"/>
        <w:spacing w:before="200"/>
        <w:rPr>
          <w:snapToGrid w:val="0"/>
        </w:rPr>
      </w:pPr>
      <w:r>
        <w:rPr>
          <w:snapToGrid w:val="0"/>
        </w:rPr>
        <w:tab/>
        <w:t>(1)</w:t>
      </w:r>
      <w:r>
        <w:rPr>
          <w:snapToGrid w:val="0"/>
        </w:rPr>
        <w:tab/>
        <w:t>In these rules, unless the contrary intention appears — </w:t>
      </w:r>
    </w:p>
    <w:p>
      <w:pPr>
        <w:pStyle w:val="yDefstart"/>
        <w:spacing w:before="120"/>
      </w:pPr>
      <w:r>
        <w:rPr>
          <w:b/>
        </w:rPr>
        <w:tab/>
        <w:t>“</w:t>
      </w:r>
      <w:r>
        <w:rPr>
          <w:rStyle w:val="CharDefText"/>
        </w:rPr>
        <w:t>all up bet</w:t>
      </w:r>
      <w:r>
        <w:rPr>
          <w:b/>
        </w:rPr>
        <w:t>”</w:t>
      </w:r>
      <w:r>
        <w:t xml:space="preserve"> means a bet in which the original stake and any subsequent winnings are wagered on the runners named until the contract is completed;</w:t>
      </w:r>
    </w:p>
    <w:p>
      <w:pPr>
        <w:pStyle w:val="yDefstart"/>
        <w:spacing w:before="120"/>
      </w:pPr>
      <w:r>
        <w:rPr>
          <w:b/>
        </w:rPr>
        <w:tab/>
        <w:t>“</w:t>
      </w:r>
      <w:r>
        <w:rPr>
          <w:rStyle w:val="CharDefText"/>
        </w:rPr>
        <w:t>barrier</w:t>
      </w:r>
      <w:r>
        <w:rPr>
          <w:b/>
        </w:rPr>
        <w:t>”</w:t>
      </w:r>
      <w:r>
        <w:t xml:space="preserve"> includes starting box or starting gate;</w:t>
      </w:r>
    </w:p>
    <w:p>
      <w:pPr>
        <w:pStyle w:val="yDefstart"/>
        <w:spacing w:before="120"/>
      </w:pPr>
      <w:r>
        <w:rPr>
          <w:b/>
        </w:rPr>
        <w:tab/>
        <w:t>“</w:t>
      </w:r>
      <w:r>
        <w:rPr>
          <w:rStyle w:val="CharDefText"/>
        </w:rPr>
        <w:t>betting sheet</w:t>
      </w:r>
      <w:r>
        <w:rPr>
          <w:b/>
        </w:rPr>
        <w:t>”</w:t>
      </w:r>
      <w:r>
        <w:t xml:space="preserve"> means the written record of a bookmaker’s bets on the several runners in a race as required by the Act and regulations;</w:t>
      </w:r>
    </w:p>
    <w:p>
      <w:pPr>
        <w:pStyle w:val="yDefstart"/>
        <w:spacing w:before="120"/>
      </w:pPr>
      <w:r>
        <w:rPr>
          <w:b/>
        </w:rPr>
        <w:tab/>
        <w:t>“</w:t>
      </w:r>
      <w:r>
        <w:rPr>
          <w:rStyle w:val="CharDefText"/>
        </w:rPr>
        <w:t>committee</w:t>
      </w:r>
      <w:r>
        <w:rPr>
          <w:b/>
        </w:rPr>
        <w:t>”</w:t>
      </w:r>
      <w:r>
        <w:t xml:space="preserve"> means the committee of the racing club holding the race meeting;</w:t>
      </w:r>
    </w:p>
    <w:p>
      <w:pPr>
        <w:pStyle w:val="yDefstart"/>
        <w:spacing w:before="120"/>
      </w:pPr>
      <w:r>
        <w:rPr>
          <w:b/>
        </w:rPr>
        <w:tab/>
        <w:t>“</w:t>
      </w:r>
      <w:r>
        <w:rPr>
          <w:rStyle w:val="CharDefText"/>
        </w:rPr>
        <w:t>double</w:t>
      </w:r>
      <w:r>
        <w:rPr>
          <w:b/>
        </w:rPr>
        <w:t>”</w:t>
      </w:r>
      <w:r>
        <w:t xml:space="preserve"> means a bet on the contingency of 2 races;</w:t>
      </w:r>
    </w:p>
    <w:p>
      <w:pPr>
        <w:pStyle w:val="yDefstart"/>
        <w:spacing w:before="120"/>
      </w:pPr>
      <w:r>
        <w:rPr>
          <w:b/>
        </w:rPr>
        <w:tab/>
        <w:t>“</w:t>
      </w:r>
      <w:r>
        <w:rPr>
          <w:rStyle w:val="CharDefText"/>
        </w:rPr>
        <w:t>objection</w:t>
      </w:r>
      <w:r>
        <w:rPr>
          <w:b/>
        </w:rPr>
        <w:t>”</w:t>
      </w:r>
      <w:r>
        <w:t xml:space="preserve"> includes protest;</w:t>
      </w:r>
    </w:p>
    <w:p>
      <w:pPr>
        <w:pStyle w:val="yDefstart"/>
        <w:spacing w:before="120"/>
      </w:pPr>
      <w:r>
        <w:rPr>
          <w:b/>
        </w:rPr>
        <w:tab/>
        <w:t>“</w:t>
      </w:r>
      <w:r>
        <w:rPr>
          <w:rStyle w:val="CharDefText"/>
        </w:rPr>
        <w:t>play or pay</w:t>
      </w:r>
      <w:r>
        <w:rPr>
          <w:b/>
        </w:rPr>
        <w:t>”</w:t>
      </w:r>
      <w:r>
        <w:t xml:space="preserve"> used in relation to a bet, means a bet that holds good whether the runner to which the bet relates runs in the race in respect of which the bet is made or not;</w:t>
      </w:r>
    </w:p>
    <w:p>
      <w:pPr>
        <w:pStyle w:val="yDefstart"/>
        <w:spacing w:before="120"/>
      </w:pPr>
      <w:r>
        <w:rPr>
          <w:b/>
        </w:rPr>
        <w:tab/>
        <w:t>“</w:t>
      </w:r>
      <w:r>
        <w:rPr>
          <w:rStyle w:val="CharDefText"/>
        </w:rPr>
        <w:t>Scale of Deduction Table</w:t>
      </w:r>
      <w:r>
        <w:rPr>
          <w:b/>
        </w:rPr>
        <w:t>”</w:t>
      </w:r>
      <w:r>
        <w:t xml:space="preserve"> means the Table set out at the end of these rules;</w:t>
      </w:r>
    </w:p>
    <w:p>
      <w:pPr>
        <w:pStyle w:val="yDefstart"/>
        <w:spacing w:before="120"/>
      </w:pPr>
      <w:r>
        <w:rPr>
          <w:b/>
        </w:rPr>
        <w:tab/>
        <w:t>“</w:t>
      </w:r>
      <w:r>
        <w:rPr>
          <w:rStyle w:val="CharDefText"/>
        </w:rPr>
        <w:t>treble</w:t>
      </w:r>
      <w:r>
        <w:rPr>
          <w:b/>
        </w:rPr>
        <w:t>”</w:t>
      </w:r>
      <w:r>
        <w:t xml:space="preserve"> means a bet on the contingency of 3 races;</w:t>
      </w:r>
    </w:p>
    <w:p>
      <w:pPr>
        <w:pStyle w:val="yDefstart"/>
        <w:spacing w:before="120"/>
      </w:pPr>
      <w:r>
        <w:rPr>
          <w:b/>
        </w:rPr>
        <w:tab/>
        <w:t>“</w:t>
      </w:r>
      <w:r>
        <w:rPr>
          <w:rStyle w:val="CharDefText"/>
        </w:rPr>
        <w:t>walk</w:t>
      </w:r>
      <w:r>
        <w:rPr>
          <w:rStyle w:val="CharDefText"/>
        </w:rPr>
        <w:noBreakHyphen/>
        <w:t>over</w:t>
      </w:r>
      <w:r>
        <w:rPr>
          <w:b/>
        </w:rPr>
        <w:t>”</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spacing w:before="260"/>
        <w:rPr>
          <w:snapToGrid w:val="0"/>
        </w:rPr>
      </w:pPr>
      <w:bookmarkStart w:id="353" w:name="_Toc511525084"/>
      <w:bookmarkStart w:id="354" w:name="_Toc27803451"/>
      <w:bookmarkStart w:id="355" w:name="_Toc133903558"/>
      <w:bookmarkStart w:id="356" w:name="_Toc133921001"/>
      <w:bookmarkStart w:id="357" w:name="_Toc123708457"/>
      <w:r>
        <w:rPr>
          <w:rStyle w:val="CharSClsNo"/>
        </w:rPr>
        <w:t>2</w:t>
      </w:r>
      <w:r>
        <w:rPr>
          <w:snapToGrid w:val="0"/>
        </w:rPr>
        <w:t>.</w:t>
      </w:r>
      <w:r>
        <w:rPr>
          <w:snapToGrid w:val="0"/>
        </w:rPr>
        <w:tab/>
        <w:t>Bets void in certain circumstances</w:t>
      </w:r>
      <w:bookmarkEnd w:id="353"/>
      <w:bookmarkEnd w:id="354"/>
      <w:bookmarkEnd w:id="355"/>
      <w:bookmarkEnd w:id="356"/>
      <w:bookmarkEnd w:id="357"/>
      <w:r>
        <w:rPr>
          <w:snapToGrid w:val="0"/>
        </w:rPr>
        <w:t xml:space="preserve"> </w:t>
      </w:r>
    </w:p>
    <w:p>
      <w:pPr>
        <w:pStyle w:val="ySubsection"/>
        <w:spacing w:before="200"/>
        <w:rPr>
          <w:snapToGrid w:val="0"/>
        </w:rPr>
      </w:pPr>
      <w:r>
        <w:rPr>
          <w:snapToGrid w:val="0"/>
        </w:rPr>
        <w:tab/>
        <w:t>(1)</w:t>
      </w:r>
      <w:r>
        <w:rPr>
          <w:snapToGrid w:val="0"/>
        </w:rPr>
        <w:tab/>
        <w:t>A bet is void — </w:t>
      </w:r>
    </w:p>
    <w:p>
      <w:pPr>
        <w:pStyle w:val="yIndenta"/>
        <w:spacing w:before="100"/>
        <w:rPr>
          <w:snapToGrid w:val="0"/>
        </w:rPr>
      </w:pPr>
      <w:r>
        <w:rPr>
          <w:snapToGrid w:val="0"/>
        </w:rPr>
        <w:tab/>
        <w:t>(a)</w:t>
      </w:r>
      <w:r>
        <w:rPr>
          <w:snapToGrid w:val="0"/>
        </w:rPr>
        <w:tab/>
        <w:t>if, when it is made, it is not possible for the backer to win;</w:t>
      </w:r>
    </w:p>
    <w:p>
      <w:pPr>
        <w:pStyle w:val="yIndenta"/>
        <w:spacing w:before="10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w:t>
      </w:r>
    </w:p>
    <w:p>
      <w:pPr>
        <w:pStyle w:val="yIndenta"/>
        <w:spacing w:before="100"/>
        <w:rPr>
          <w:snapToGrid w:val="0"/>
        </w:rPr>
      </w:pPr>
      <w:r>
        <w:rPr>
          <w:snapToGrid w:val="0"/>
        </w:rPr>
        <w:tab/>
        <w:t>(c)</w:t>
      </w:r>
      <w:r>
        <w:rPr>
          <w:snapToGrid w:val="0"/>
        </w:rPr>
        <w:tab/>
        <w:t>if it is made on a runner in running;</w:t>
      </w:r>
    </w:p>
    <w:p>
      <w:pPr>
        <w:pStyle w:val="yIndenta"/>
        <w:spacing w:before="10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w:t>
      </w:r>
    </w:p>
    <w:p>
      <w:pPr>
        <w:pStyle w:val="yIndenta"/>
        <w:spacing w:before="100"/>
        <w:rPr>
          <w:snapToGrid w:val="0"/>
        </w:rPr>
      </w:pPr>
      <w:r>
        <w:rPr>
          <w:snapToGrid w:val="0"/>
        </w:rPr>
        <w:tab/>
        <w:t>(e)</w:t>
      </w:r>
      <w:r>
        <w:rPr>
          <w:snapToGrid w:val="0"/>
        </w:rPr>
        <w:tab/>
        <w:t>if, being made on a match between 2 runners the match results in a dead heat;</w:t>
      </w:r>
    </w:p>
    <w:p>
      <w:pPr>
        <w:pStyle w:val="yIndenta"/>
        <w:spacing w:before="100"/>
        <w:rPr>
          <w:snapToGrid w:val="0"/>
        </w:rPr>
      </w:pPr>
      <w:r>
        <w:rPr>
          <w:snapToGrid w:val="0"/>
        </w:rPr>
        <w:tab/>
        <w:t>(f)</w:t>
      </w:r>
      <w:r>
        <w:rPr>
          <w:snapToGrid w:val="0"/>
        </w:rPr>
        <w:tab/>
        <w:t>if it is made after the determination of the race to which it relates;</w:t>
      </w:r>
    </w:p>
    <w:p>
      <w:pPr>
        <w:pStyle w:val="yIndenta"/>
        <w:spacing w:before="100"/>
        <w:rPr>
          <w:snapToGrid w:val="0"/>
        </w:rPr>
      </w:pPr>
      <w:r>
        <w:rPr>
          <w:snapToGrid w:val="0"/>
        </w:rPr>
        <w:tab/>
        <w:t>(g)</w:t>
      </w:r>
      <w:r>
        <w:rPr>
          <w:snapToGrid w:val="0"/>
        </w:rPr>
        <w:tab/>
        <w:t>if it is so declared by</w:t>
      </w:r>
      <w:r>
        <w:t xml:space="preserve"> the rules of racing or wagering</w:t>
      </w:r>
      <w:r>
        <w:rPr>
          <w:snapToGrid w:val="0"/>
        </w:rPr>
        <w:t>;</w:t>
      </w:r>
    </w:p>
    <w:p>
      <w:pPr>
        <w:pStyle w:val="yIndenta"/>
        <w:spacing w:before="100"/>
        <w:rPr>
          <w:snapToGrid w:val="0"/>
        </w:rPr>
      </w:pPr>
      <w:r>
        <w:rPr>
          <w:snapToGrid w:val="0"/>
        </w:rPr>
        <w:tab/>
        <w:t>(h)</w:t>
      </w:r>
      <w:r>
        <w:rPr>
          <w:snapToGrid w:val="0"/>
        </w:rPr>
        <w:tab/>
        <w:t>if it is declared to be void by the Commission pursuant to subrule (2); or</w:t>
      </w:r>
    </w:p>
    <w:p>
      <w:pPr>
        <w:pStyle w:val="yIndenta"/>
        <w:spacing w:before="100"/>
        <w:rPr>
          <w:snapToGrid w:val="0"/>
        </w:rPr>
      </w:pPr>
      <w:r>
        <w:rPr>
          <w:snapToGrid w:val="0"/>
        </w:rPr>
        <w:tab/>
        <w:t>(i)</w:t>
      </w:r>
      <w:r>
        <w:rPr>
          <w:snapToGrid w:val="0"/>
        </w:rPr>
        <w:tab/>
        <w:t>if it becomes void in the manner provided in rule 12.</w:t>
      </w:r>
    </w:p>
    <w:p>
      <w:pPr>
        <w:pStyle w:val="ySubsection"/>
        <w:spacing w:before="20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pPr>
      <w:bookmarkStart w:id="358" w:name="_Toc511525085"/>
      <w:bookmarkStart w:id="359" w:name="_Toc27803452"/>
      <w:r>
        <w:tab/>
        <w:t>[Rule 2 amended in Gazette 21 Jul 1998 p. 3855 and 3856; 18 Jan 2002 p. 284; 20 Sep 2002 p. 4704; 30 Jan 2004 p. 406 and 412.]</w:t>
      </w:r>
    </w:p>
    <w:p>
      <w:pPr>
        <w:pStyle w:val="yHeading5"/>
        <w:keepLines w:val="0"/>
        <w:rPr>
          <w:snapToGrid w:val="0"/>
        </w:rPr>
      </w:pPr>
      <w:bookmarkStart w:id="360" w:name="_Toc133903559"/>
      <w:bookmarkStart w:id="361" w:name="_Toc133921002"/>
      <w:bookmarkStart w:id="362" w:name="_Toc123708458"/>
      <w:r>
        <w:rPr>
          <w:rStyle w:val="CharSClsNo"/>
        </w:rPr>
        <w:t>3</w:t>
      </w:r>
      <w:r>
        <w:rPr>
          <w:snapToGrid w:val="0"/>
        </w:rPr>
        <w:t>.</w:t>
      </w:r>
      <w:r>
        <w:rPr>
          <w:snapToGrid w:val="0"/>
        </w:rPr>
        <w:tab/>
        <w:t>When bets are off</w:t>
      </w:r>
      <w:bookmarkEnd w:id="358"/>
      <w:bookmarkEnd w:id="359"/>
      <w:bookmarkEnd w:id="360"/>
      <w:bookmarkEnd w:id="361"/>
      <w:bookmarkEnd w:id="362"/>
      <w:r>
        <w:rPr>
          <w:snapToGrid w:val="0"/>
        </w:rPr>
        <w:t xml:space="preserve"> </w:t>
      </w:r>
    </w:p>
    <w:p>
      <w:pPr>
        <w:pStyle w:val="ySubsection"/>
        <w:keepNext/>
        <w:rPr>
          <w:snapToGrid w:val="0"/>
        </w:rPr>
      </w:pPr>
      <w:r>
        <w:rPr>
          <w:snapToGrid w:val="0"/>
        </w:rPr>
        <w:tab/>
        <w:t>(1)</w:t>
      </w:r>
      <w:r>
        <w:rPr>
          <w:snapToGrid w:val="0"/>
        </w:rPr>
        <w:tab/>
        <w:t>No bet can be declared off except by mutual consent or as hereinafter provided, that is to say — </w:t>
      </w:r>
    </w:p>
    <w:p>
      <w:pPr>
        <w:pStyle w:val="yIndenta"/>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spacing w:before="70"/>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spacing w:before="70"/>
        <w:rPr>
          <w:snapToGrid w:val="0"/>
        </w:rPr>
      </w:pPr>
      <w:r>
        <w:rPr>
          <w:snapToGrid w:val="0"/>
        </w:rPr>
        <w:tab/>
        <w:t>(c)</w:t>
      </w:r>
      <w:r>
        <w:rPr>
          <w:snapToGrid w:val="0"/>
        </w:rPr>
        <w:tab/>
        <w:t>all wagers with any person who after the making of the wagers has been declared a defaulter, are off;</w:t>
      </w:r>
    </w:p>
    <w:p>
      <w:pPr>
        <w:pStyle w:val="yIndenta"/>
        <w:spacing w:before="70"/>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Subsection"/>
      </w:pPr>
      <w:r>
        <w:tab/>
        <w:t>(1a)</w:t>
      </w:r>
      <w:r>
        <w:tab/>
        <w:t>In the event of the stewards permitting or ordering a runner to be withdrawn from a race either after the time for scratching or after the starters have been semaphored for the race or after declaring it a non</w:t>
      </w:r>
      <w:r>
        <w:noBreakHyphen/>
        <w:t>starter, bets made prior to the withdrawal shall be settled in accordance with the Scale of Deduction Table.</w:t>
      </w:r>
    </w:p>
    <w:p>
      <w:pPr>
        <w:pStyle w:val="ySubsection"/>
      </w:pPr>
      <w:r>
        <w:tab/>
        <w:t>(1b)</w:t>
      </w:r>
      <w:r>
        <w:tab/>
        <w:t>With regard to all successful win only, each way, place only, concession, multiples, doubles and trebles, bets are to be paid the face value of the ticket less the number of cents in the dollar deduction applicable on the scale of deductions in the Scale of Deduction Table for the dividends of the runner at the time of its withdrawal.</w:t>
      </w:r>
    </w:p>
    <w:p>
      <w:pPr>
        <w:pStyle w:val="ySubsection"/>
      </w:pPr>
      <w:r>
        <w:tab/>
        <w:t>(1c)</w:t>
      </w:r>
      <w:r>
        <w:tab/>
        <w:t>Where 2 or more withdrawals occur simultaneously during betting, successful bets made prior to the time of withdrawal are to be paid the face value of the ticket less a deduction determined by adding together the rates of deduction applicable to each of the runners withdrawn.</w:t>
      </w:r>
    </w:p>
    <w:p>
      <w:pPr>
        <w:pStyle w:val="ySubsection"/>
      </w:pPr>
      <w:r>
        <w:tab/>
        <w:t>(1d)</w:t>
      </w:r>
      <w:r>
        <w:tab/>
        <w:t xml:space="preserve">Where withdrawals occur at different times during betting on a race, successful bets placed prior to the last withdrawal are to be paid the face value of the ticket, less deductions determined as follows — </w:t>
      </w:r>
    </w:p>
    <w:p>
      <w:pPr>
        <w:pStyle w:val="yIndenta"/>
      </w:pPr>
      <w:r>
        <w:tab/>
        <w:t>(a)</w:t>
      </w:r>
      <w:r>
        <w:tab/>
        <w:t>for bets placed prior to the first withdrawal, the rate of deduction is to be determined by adding together the rates of deduction applicable to the dividends of all withdrawn runners;</w:t>
      </w:r>
    </w:p>
    <w:p>
      <w:pPr>
        <w:pStyle w:val="yIndenta"/>
      </w:pPr>
      <w:r>
        <w:tab/>
        <w:t>(b)</w:t>
      </w:r>
      <w:r>
        <w:tab/>
        <w:t>for bets placed after the time of the first withdrawal, and prior to the time of the second withdrawal, the rate of deduction is to be determined by the deduction applicable on the scale of deductions in the Scale of Deduction Table to the dividends of the second withdrawal.</w:t>
      </w:r>
    </w:p>
    <w:p>
      <w:pPr>
        <w:pStyle w:val="ySubsection"/>
      </w:pPr>
      <w:r>
        <w:tab/>
        <w:t>(1e)</w:t>
      </w:r>
      <w:r>
        <w:tab/>
        <w:t xml:space="preserve">Despite subrules (1c) and (1d) — </w:t>
      </w:r>
    </w:p>
    <w:p>
      <w:pPr>
        <w:pStyle w:val="yIndenta"/>
      </w:pPr>
      <w:r>
        <w:tab/>
        <w:t>(a)</w:t>
      </w:r>
      <w:r>
        <w:tab/>
        <w:t>in circumstances they deem appropriate, and when there is sufficient time, the stewards may declare off all bets on the remaining runners and order that betting on the race be re</w:t>
      </w:r>
      <w:r>
        <w:noBreakHyphen/>
        <w:t>opened, or they may order all bets be paid at totalisator dividends;</w:t>
      </w:r>
    </w:p>
    <w:p>
      <w:pPr>
        <w:pStyle w:val="yIndenta"/>
      </w:pPr>
      <w:r>
        <w:tab/>
        <w:t>(b)</w:t>
      </w:r>
      <w:r>
        <w:tab/>
        <w:t>except in the case of a dead heat, no order is to be made the effect of which would oblige a backer to receive less than his or her stake.</w:t>
      </w:r>
    </w:p>
    <w:p>
      <w:pPr>
        <w:pStyle w:val="ySubsection"/>
      </w:pPr>
      <w:r>
        <w:tab/>
        <w:t>(1f)</w:t>
      </w:r>
      <w:r>
        <w:tab/>
        <w:t>Where the runner ordered or permitted to be withdrawn, or declared a non</w:t>
      </w:r>
      <w:r>
        <w:noBreakHyphen/>
        <w:t xml:space="preserve">starter is shorter than the range of dividends set out in the Scale of Deduction Table, the stewards may — </w:t>
      </w:r>
    </w:p>
    <w:p>
      <w:pPr>
        <w:pStyle w:val="yIndenta"/>
      </w:pPr>
      <w:r>
        <w:tab/>
        <w:t>(a)</w:t>
      </w:r>
      <w:r>
        <w:tab/>
        <w:t>if there is sufficient time, declare off all bets made on the remaining runners and order that betting on the race be re</w:t>
      </w:r>
      <w:r>
        <w:noBreakHyphen/>
        <w:t>opened; or</w:t>
      </w:r>
    </w:p>
    <w:p>
      <w:pPr>
        <w:pStyle w:val="yIndenta"/>
      </w:pPr>
      <w:r>
        <w:tab/>
        <w:t>(b)</w:t>
      </w:r>
      <w:r>
        <w:tab/>
        <w:t>if there is insufficient time to re</w:t>
      </w:r>
      <w:r>
        <w:noBreakHyphen/>
        <w:t>open betting, declare a deduction assessed from the Scale of Deduction Table.</w:t>
      </w:r>
    </w:p>
    <w:p>
      <w:pPr>
        <w:pStyle w:val="ySubsection"/>
        <w:keepNext/>
        <w:keepLines/>
        <w:rPr>
          <w:snapToGrid w:val="0"/>
        </w:rPr>
      </w:pPr>
      <w:r>
        <w:rPr>
          <w:snapToGrid w:val="0"/>
        </w:rPr>
        <w:tab/>
        <w:t>(2)</w:t>
      </w:r>
      <w:r>
        <w:rPr>
          <w:snapToGrid w:val="0"/>
        </w:rPr>
        <w:tab/>
        <w:t>No provision of</w:t>
      </w:r>
      <w:r>
        <w:t xml:space="preserve"> subrules (1a) to (1f)</w:t>
      </w:r>
      <w:r>
        <w:rPr>
          <w:snapToGrid w:val="0"/>
        </w:rPr>
        <w:t> — </w:t>
      </w:r>
    </w:p>
    <w:p>
      <w:pPr>
        <w:pStyle w:val="yIndenta"/>
        <w:spacing w:before="60"/>
        <w:rPr>
          <w:snapToGrid w:val="0"/>
        </w:rPr>
      </w:pPr>
      <w:r>
        <w:rPr>
          <w:snapToGrid w:val="0"/>
        </w:rPr>
        <w:tab/>
        <w:t>(a)</w:t>
      </w:r>
      <w:r>
        <w:rPr>
          <w:snapToGrid w:val="0"/>
        </w:rPr>
        <w:tab/>
        <w:t>affects the discretion of the stewards to declare all bets off in special circumstances or direct that all bets be paid at totalisator odds; or</w:t>
      </w:r>
    </w:p>
    <w:p>
      <w:pPr>
        <w:pStyle w:val="yIndenta"/>
        <w:spacing w:before="60"/>
        <w:rPr>
          <w:snapToGrid w:val="0"/>
        </w:rPr>
      </w:pPr>
      <w:r>
        <w:rPr>
          <w:snapToGrid w:val="0"/>
        </w:rPr>
        <w:tab/>
        <w:t>(b)</w:t>
      </w:r>
      <w:r>
        <w:rPr>
          <w:snapToGrid w:val="0"/>
        </w:rPr>
        <w:tab/>
        <w:t>prevents a bookmaker from laying odds against a runner in a race after the stewards order or permit the withdrawal from that race of any other runner.</w:t>
      </w:r>
    </w:p>
    <w:p>
      <w:pPr>
        <w:pStyle w:val="ySubsection"/>
        <w:rPr>
          <w:snapToGrid w:val="0"/>
        </w:rPr>
      </w:pPr>
      <w:r>
        <w:rPr>
          <w:snapToGrid w:val="0"/>
        </w:rPr>
        <w:tab/>
        <w:t>(3)</w:t>
      </w:r>
      <w:r>
        <w:rPr>
          <w:snapToGrid w:val="0"/>
        </w:rPr>
        <w:tab/>
        <w:t xml:space="preserve">The provisions of </w:t>
      </w:r>
      <w:r>
        <w:t xml:space="preserve">subrules (1a) to (1f) </w:t>
      </w:r>
      <w:r>
        <w:rPr>
          <w:snapToGrid w:val="0"/>
        </w:rPr>
        <w:t>do not apply to bets made before the day of the race.</w:t>
      </w:r>
    </w:p>
    <w:p>
      <w:pPr>
        <w:pStyle w:val="yFootnotesection"/>
      </w:pPr>
      <w:bookmarkStart w:id="363" w:name="_Toc511525086"/>
      <w:bookmarkStart w:id="364" w:name="_Toc27803453"/>
      <w:r>
        <w:tab/>
        <w:t>[Rule 3 amended in Gazette 21 Jul 1998 p. 3855; 20 Sep 2002 p. 4704; 30 Jan 2004 p. 407</w:t>
      </w:r>
      <w:r>
        <w:noBreakHyphen/>
        <w:t>8 and 412.]</w:t>
      </w:r>
    </w:p>
    <w:p>
      <w:pPr>
        <w:pStyle w:val="yHeading5"/>
        <w:rPr>
          <w:snapToGrid w:val="0"/>
        </w:rPr>
      </w:pPr>
      <w:bookmarkStart w:id="365" w:name="_Toc133903560"/>
      <w:bookmarkStart w:id="366" w:name="_Toc133921003"/>
      <w:bookmarkStart w:id="367" w:name="_Toc123708459"/>
      <w:r>
        <w:rPr>
          <w:rStyle w:val="CharSClsNo"/>
        </w:rPr>
        <w:t>4</w:t>
      </w:r>
      <w:r>
        <w:rPr>
          <w:snapToGrid w:val="0"/>
        </w:rPr>
        <w:t>.</w:t>
      </w:r>
      <w:r>
        <w:rPr>
          <w:snapToGrid w:val="0"/>
        </w:rPr>
        <w:tab/>
        <w:t>Determination and settlement of bets</w:t>
      </w:r>
      <w:bookmarkEnd w:id="363"/>
      <w:bookmarkEnd w:id="364"/>
      <w:bookmarkEnd w:id="365"/>
      <w:bookmarkEnd w:id="366"/>
      <w:bookmarkEnd w:id="367"/>
      <w:r>
        <w:rPr>
          <w:snapToGrid w:val="0"/>
        </w:rPr>
        <w:t xml:space="preserve"> </w:t>
      </w:r>
    </w:p>
    <w:p>
      <w:pPr>
        <w:pStyle w:val="ySubsection"/>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rPr>
          <w:snapToGrid w:val="0"/>
        </w:rPr>
      </w:pPr>
      <w:r>
        <w:rPr>
          <w:snapToGrid w:val="0"/>
        </w:rPr>
        <w:tab/>
        <w:t>(2)</w:t>
      </w:r>
      <w:r>
        <w:rPr>
          <w:snapToGrid w:val="0"/>
        </w:rPr>
        <w:tab/>
        <w:t>Settlement of bets shall be made in accordance with the provisions of these rules.</w:t>
      </w:r>
    </w:p>
    <w:p>
      <w:pPr>
        <w:pStyle w:val="ySubsection"/>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pPr>
      <w:bookmarkStart w:id="368" w:name="_Toc511525087"/>
      <w:bookmarkStart w:id="369" w:name="_Toc27803454"/>
      <w:r>
        <w:tab/>
        <w:t>[Rule 4 amended in Gazette 21 Jul 1998 p 3856 and 3857; 18 Jan 2002 p. 284; 20 Sep 2002 p. 4704; 30 Jan 2004 p. 408.]</w:t>
      </w:r>
    </w:p>
    <w:p>
      <w:pPr>
        <w:pStyle w:val="yHeading5"/>
        <w:rPr>
          <w:snapToGrid w:val="0"/>
        </w:rPr>
      </w:pPr>
      <w:bookmarkStart w:id="370" w:name="_Toc133903561"/>
      <w:bookmarkStart w:id="371" w:name="_Toc133921004"/>
      <w:bookmarkStart w:id="372" w:name="_Toc123708460"/>
      <w:r>
        <w:rPr>
          <w:rStyle w:val="CharSClsNo"/>
        </w:rPr>
        <w:t>5</w:t>
      </w:r>
      <w:r>
        <w:rPr>
          <w:snapToGrid w:val="0"/>
        </w:rPr>
        <w:t>.</w:t>
      </w:r>
      <w:r>
        <w:rPr>
          <w:snapToGrid w:val="0"/>
        </w:rPr>
        <w:tab/>
        <w:t>Bets in respect of postponed race or race meeting</w:t>
      </w:r>
      <w:bookmarkEnd w:id="368"/>
      <w:bookmarkEnd w:id="369"/>
      <w:bookmarkEnd w:id="370"/>
      <w:bookmarkEnd w:id="371"/>
      <w:bookmarkEnd w:id="372"/>
      <w:r>
        <w:rPr>
          <w:snapToGrid w:val="0"/>
        </w:rPr>
        <w:t xml:space="preserve"> </w:t>
      </w:r>
    </w:p>
    <w:p>
      <w:pPr>
        <w:pStyle w:val="ySubsection"/>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rPr>
          <w:snapToGrid w:val="0"/>
        </w:rPr>
      </w:pPr>
      <w:bookmarkStart w:id="373" w:name="_Toc511525088"/>
      <w:bookmarkStart w:id="374" w:name="_Toc27803455"/>
      <w:bookmarkStart w:id="375" w:name="_Toc133903562"/>
      <w:bookmarkStart w:id="376" w:name="_Toc133921005"/>
      <w:bookmarkStart w:id="377" w:name="_Toc123708461"/>
      <w:r>
        <w:rPr>
          <w:rStyle w:val="CharSClsNo"/>
        </w:rPr>
        <w:t>6</w:t>
      </w:r>
      <w:r>
        <w:rPr>
          <w:snapToGrid w:val="0"/>
        </w:rPr>
        <w:t>.</w:t>
      </w:r>
      <w:r>
        <w:rPr>
          <w:snapToGrid w:val="0"/>
        </w:rPr>
        <w:tab/>
        <w:t>Each way bets</w:t>
      </w:r>
      <w:bookmarkEnd w:id="373"/>
      <w:bookmarkEnd w:id="374"/>
      <w:bookmarkEnd w:id="375"/>
      <w:bookmarkEnd w:id="376"/>
      <w:bookmarkEnd w:id="377"/>
      <w:r>
        <w:rPr>
          <w:snapToGrid w:val="0"/>
        </w:rPr>
        <w:t xml:space="preserve"> </w:t>
      </w:r>
    </w:p>
    <w:p>
      <w:pPr>
        <w:pStyle w:val="ySubsection"/>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378" w:name="_Toc511525089"/>
      <w:bookmarkStart w:id="379" w:name="_Toc27803456"/>
      <w:bookmarkStart w:id="380" w:name="_Toc133903563"/>
      <w:bookmarkStart w:id="381" w:name="_Toc133921006"/>
      <w:bookmarkStart w:id="382" w:name="_Toc123708462"/>
      <w:r>
        <w:rPr>
          <w:rStyle w:val="CharSClsNo"/>
        </w:rPr>
        <w:t>7</w:t>
      </w:r>
      <w:r>
        <w:rPr>
          <w:snapToGrid w:val="0"/>
        </w:rPr>
        <w:t>.</w:t>
      </w:r>
      <w:r>
        <w:rPr>
          <w:snapToGrid w:val="0"/>
        </w:rPr>
        <w:tab/>
        <w:t>All bets to be “play or pay” except in certain circumstances</w:t>
      </w:r>
      <w:bookmarkEnd w:id="378"/>
      <w:bookmarkEnd w:id="379"/>
      <w:bookmarkEnd w:id="380"/>
      <w:bookmarkEnd w:id="381"/>
      <w:bookmarkEnd w:id="382"/>
      <w:r>
        <w:rPr>
          <w:snapToGrid w:val="0"/>
        </w:rPr>
        <w:t xml:space="preserve"> </w:t>
      </w:r>
    </w:p>
    <w:p>
      <w:pPr>
        <w:pStyle w:val="ySubsection"/>
        <w:rPr>
          <w:snapToGrid w:val="0"/>
        </w:rPr>
      </w:pPr>
      <w:r>
        <w:rPr>
          <w:snapToGrid w:val="0"/>
        </w:rPr>
        <w:tab/>
      </w:r>
      <w:r>
        <w:rPr>
          <w:snapToGrid w:val="0"/>
        </w:rPr>
        <w:tab/>
        <w:t>All bets shall be play or pay, unless the parties thereto mutually agree to the contrary, with the following exceptions — </w:t>
      </w:r>
    </w:p>
    <w:p>
      <w:pPr>
        <w:pStyle w:val="yIndenta"/>
        <w:rPr>
          <w:snapToGrid w:val="0"/>
        </w:rPr>
      </w:pPr>
      <w:r>
        <w:rPr>
          <w:snapToGrid w:val="0"/>
        </w:rPr>
        <w:tab/>
        <w:t>(a)</w:t>
      </w:r>
      <w:r>
        <w:rPr>
          <w:snapToGrid w:val="0"/>
        </w:rPr>
        <w:tab/>
        <w:t>bets made on the day of the race to which they relate;</w:t>
      </w:r>
    </w:p>
    <w:p>
      <w:pPr>
        <w:pStyle w:val="yIndenta"/>
        <w:rPr>
          <w:snapToGrid w:val="0"/>
        </w:rPr>
      </w:pPr>
      <w:r>
        <w:rPr>
          <w:snapToGrid w:val="0"/>
        </w:rPr>
        <w:tab/>
        <w:t>(b)</w:t>
      </w:r>
      <w:r>
        <w:rPr>
          <w:snapToGrid w:val="0"/>
        </w:rPr>
        <w:tab/>
        <w:t>bets on matches;</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w:t>
      </w:r>
    </w:p>
    <w:p>
      <w:pPr>
        <w:pStyle w:val="yIndenta"/>
        <w:rPr>
          <w:snapToGrid w:val="0"/>
        </w:rPr>
      </w:pPr>
      <w:r>
        <w:rPr>
          <w:snapToGrid w:val="0"/>
        </w:rPr>
        <w:tab/>
        <w:t>(d)</w:t>
      </w:r>
      <w:r>
        <w:rPr>
          <w:snapToGrid w:val="0"/>
        </w:rPr>
        <w:tab/>
        <w:t>bets that are declared off by the stewards;</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383" w:name="_Toc511525090"/>
      <w:bookmarkStart w:id="384" w:name="_Toc27803457"/>
      <w:bookmarkStart w:id="385" w:name="_Toc133903564"/>
      <w:bookmarkStart w:id="386" w:name="_Toc133921007"/>
      <w:bookmarkStart w:id="387" w:name="_Toc123708463"/>
      <w:r>
        <w:rPr>
          <w:rStyle w:val="CharSClsNo"/>
        </w:rPr>
        <w:t>8</w:t>
      </w:r>
      <w:r>
        <w:rPr>
          <w:snapToGrid w:val="0"/>
        </w:rPr>
        <w:t>.</w:t>
      </w:r>
      <w:r>
        <w:rPr>
          <w:snapToGrid w:val="0"/>
        </w:rPr>
        <w:tab/>
        <w:t>Provisions as to settlement of bets following a dead heat</w:t>
      </w:r>
      <w:bookmarkEnd w:id="383"/>
      <w:bookmarkEnd w:id="384"/>
      <w:bookmarkEnd w:id="385"/>
      <w:bookmarkEnd w:id="386"/>
      <w:bookmarkEnd w:id="387"/>
      <w:r>
        <w:rPr>
          <w:snapToGrid w:val="0"/>
        </w:rPr>
        <w:t xml:space="preserve"> </w:t>
      </w:r>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keepNext/>
        <w:keepLines/>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388" w:name="_Toc511525091"/>
      <w:bookmarkStart w:id="389" w:name="_Toc27803458"/>
      <w:bookmarkStart w:id="390" w:name="_Toc133903565"/>
      <w:bookmarkStart w:id="391" w:name="_Toc133921008"/>
      <w:bookmarkStart w:id="392" w:name="_Toc123708464"/>
      <w:r>
        <w:rPr>
          <w:rStyle w:val="CharSClsNo"/>
        </w:rPr>
        <w:t>9</w:t>
      </w:r>
      <w:r>
        <w:rPr>
          <w:snapToGrid w:val="0"/>
        </w:rPr>
        <w:t>.</w:t>
      </w:r>
      <w:r>
        <w:rPr>
          <w:snapToGrid w:val="0"/>
        </w:rPr>
        <w:tab/>
        <w:t>Doubles</w:t>
      </w:r>
      <w:bookmarkEnd w:id="388"/>
      <w:bookmarkEnd w:id="389"/>
      <w:bookmarkEnd w:id="390"/>
      <w:bookmarkEnd w:id="391"/>
      <w:bookmarkEnd w:id="392"/>
      <w:r>
        <w:rPr>
          <w:snapToGrid w:val="0"/>
        </w:rPr>
        <w:t xml:space="preserve"> </w:t>
      </w:r>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 </w:t>
      </w:r>
    </w:p>
    <w:p>
      <w:pPr>
        <w:pStyle w:val="yIndenti0"/>
        <w:rPr>
          <w:snapToGrid w:val="0"/>
        </w:rPr>
      </w:pPr>
      <w:r>
        <w:rPr>
          <w:snapToGrid w:val="0"/>
        </w:rPr>
        <w:tab/>
        <w:t>(i)</w:t>
      </w:r>
      <w:r>
        <w:rPr>
          <w:snapToGrid w:val="0"/>
        </w:rPr>
        <w:tab/>
        <w:t>the runner chosen for the first race does not run in that race;</w:t>
      </w:r>
    </w:p>
    <w:p>
      <w:pPr>
        <w:pStyle w:val="yIndenti0"/>
        <w:rPr>
          <w:snapToGrid w:val="0"/>
        </w:rPr>
      </w:pPr>
      <w:r>
        <w:rPr>
          <w:snapToGrid w:val="0"/>
        </w:rPr>
        <w:tab/>
        <w:t>(ii)</w:t>
      </w:r>
      <w:r>
        <w:rPr>
          <w:snapToGrid w:val="0"/>
        </w:rPr>
        <w:tab/>
        <w:t>the runner chosen for the second race is scratched not later than the time of scratching for the first race;</w:t>
      </w:r>
    </w:p>
    <w:p>
      <w:pPr>
        <w:pStyle w:val="yIndenti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bookmarkStart w:id="393" w:name="_Toc511525092"/>
      <w:bookmarkStart w:id="394" w:name="_Toc27803459"/>
      <w:r>
        <w:tab/>
        <w:t>[Rule 9 amended in Gazette 21 Jul 1998 p. 3855 and 3856; 30 Jan 2004 p. 408.]</w:t>
      </w:r>
    </w:p>
    <w:p>
      <w:pPr>
        <w:pStyle w:val="yHeading5"/>
        <w:rPr>
          <w:snapToGrid w:val="0"/>
        </w:rPr>
      </w:pPr>
      <w:bookmarkStart w:id="395" w:name="_Toc133903566"/>
      <w:bookmarkStart w:id="396" w:name="_Toc133921009"/>
      <w:bookmarkStart w:id="397" w:name="_Toc123708465"/>
      <w:r>
        <w:rPr>
          <w:rStyle w:val="CharSClsNo"/>
        </w:rPr>
        <w:t>10</w:t>
      </w:r>
      <w:r>
        <w:rPr>
          <w:snapToGrid w:val="0"/>
        </w:rPr>
        <w:t>.</w:t>
      </w:r>
      <w:r>
        <w:rPr>
          <w:snapToGrid w:val="0"/>
        </w:rPr>
        <w:tab/>
        <w:t>Multiple doubles</w:t>
      </w:r>
      <w:bookmarkEnd w:id="393"/>
      <w:bookmarkEnd w:id="394"/>
      <w:bookmarkEnd w:id="395"/>
      <w:bookmarkEnd w:id="396"/>
      <w:bookmarkEnd w:id="397"/>
      <w:r>
        <w:rPr>
          <w:snapToGrid w:val="0"/>
        </w:rPr>
        <w:t xml:space="preserve"> </w:t>
      </w:r>
    </w:p>
    <w:p>
      <w:pPr>
        <w:pStyle w:val="ySubsection"/>
        <w:rPr>
          <w:snapToGrid w:val="0"/>
        </w:rPr>
      </w:pPr>
      <w:r>
        <w:rPr>
          <w:snapToGrid w:val="0"/>
        </w:rPr>
        <w:tab/>
        <w:t>(1)</w:t>
      </w:r>
      <w:r>
        <w:rPr>
          <w:snapToGrid w:val="0"/>
        </w:rPr>
        <w:tab/>
        <w:t>The following provisions apply to bets of the kind commonly known as multiple doubles, namely — </w:t>
      </w:r>
    </w:p>
    <w:p>
      <w:pPr>
        <w:pStyle w:val="yIndenta"/>
        <w:rPr>
          <w:snapToGrid w:val="0"/>
        </w:rPr>
      </w:pPr>
      <w:r>
        <w:rPr>
          <w:snapToGrid w:val="0"/>
        </w:rPr>
        <w:tab/>
        <w:t>(a)</w:t>
      </w:r>
      <w:r>
        <w:rPr>
          <w:snapToGrid w:val="0"/>
        </w:rPr>
        <w:tab/>
        <w:t>bets are determined when a race to which the double relates is lost;</w:t>
      </w:r>
    </w:p>
    <w:p>
      <w:pPr>
        <w:pStyle w:val="yIndenta"/>
        <w:spacing w:before="10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b/>
          <w:snapToGrid w:val="0"/>
        </w:rPr>
        <w:t>“</w:t>
      </w:r>
      <w:r>
        <w:rPr>
          <w:rStyle w:val="CharDefText"/>
        </w:rPr>
        <w:t>multiple double</w:t>
      </w:r>
      <w:r>
        <w:rPr>
          <w:b/>
          <w:snapToGrid w:val="0"/>
        </w:rPr>
        <w:t>”</w:t>
      </w:r>
      <w:r>
        <w:rPr>
          <w:snapToGrid w:val="0"/>
        </w:rPr>
        <w:t xml:space="preserve"> means a double on 2 races scheduled at the time the bet is made to be run on the same day.</w:t>
      </w:r>
    </w:p>
    <w:p>
      <w:pPr>
        <w:pStyle w:val="yFootnotesection"/>
      </w:pPr>
      <w:bookmarkStart w:id="398" w:name="_Toc511525093"/>
      <w:bookmarkStart w:id="399" w:name="_Toc27803460"/>
      <w:r>
        <w:tab/>
        <w:t>[Rule 10 amended in Gazette 21 Jul 1998 p. 3856; 30 Jan 2004 p. 408.]</w:t>
      </w:r>
    </w:p>
    <w:p>
      <w:pPr>
        <w:pStyle w:val="yHeading5"/>
        <w:rPr>
          <w:snapToGrid w:val="0"/>
        </w:rPr>
      </w:pPr>
      <w:bookmarkStart w:id="400" w:name="_Toc133903567"/>
      <w:bookmarkStart w:id="401" w:name="_Toc133921010"/>
      <w:bookmarkStart w:id="402" w:name="_Toc123708466"/>
      <w:r>
        <w:rPr>
          <w:rStyle w:val="CharSClsNo"/>
        </w:rPr>
        <w:t>11</w:t>
      </w:r>
      <w:r>
        <w:rPr>
          <w:snapToGrid w:val="0"/>
        </w:rPr>
        <w:t>.</w:t>
      </w:r>
      <w:r>
        <w:rPr>
          <w:snapToGrid w:val="0"/>
        </w:rPr>
        <w:tab/>
        <w:t>“All up” bets</w:t>
      </w:r>
      <w:bookmarkEnd w:id="398"/>
      <w:bookmarkEnd w:id="399"/>
      <w:bookmarkEnd w:id="400"/>
      <w:bookmarkEnd w:id="401"/>
      <w:bookmarkEnd w:id="402"/>
      <w:r>
        <w:rPr>
          <w:snapToGrid w:val="0"/>
        </w:rPr>
        <w:t xml:space="preserve"> </w:t>
      </w:r>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403" w:name="_Toc511525094"/>
      <w:bookmarkStart w:id="404" w:name="_Toc27803461"/>
      <w:bookmarkStart w:id="405" w:name="_Toc133903568"/>
      <w:bookmarkStart w:id="406" w:name="_Toc133921011"/>
      <w:bookmarkStart w:id="407" w:name="_Toc123708467"/>
      <w:r>
        <w:rPr>
          <w:rStyle w:val="CharSClsNo"/>
        </w:rPr>
        <w:t>12</w:t>
      </w:r>
      <w:r>
        <w:rPr>
          <w:snapToGrid w:val="0"/>
        </w:rPr>
        <w:t>.</w:t>
      </w:r>
      <w:r>
        <w:rPr>
          <w:snapToGrid w:val="0"/>
        </w:rPr>
        <w:tab/>
        <w:t>Provisions as to races that are re</w:t>
      </w:r>
      <w:r>
        <w:rPr>
          <w:snapToGrid w:val="0"/>
        </w:rPr>
        <w:noBreakHyphen/>
        <w:t>run</w:t>
      </w:r>
      <w:bookmarkEnd w:id="403"/>
      <w:bookmarkEnd w:id="404"/>
      <w:bookmarkEnd w:id="405"/>
      <w:bookmarkEnd w:id="406"/>
      <w:bookmarkEnd w:id="407"/>
      <w:r>
        <w:rPr>
          <w:snapToGrid w:val="0"/>
        </w:rPr>
        <w:t xml:space="preserve"> </w:t>
      </w:r>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r>
      <w:r>
        <w:tab/>
        <w:t>[Rule 12 amended in Gazette 21 Jul 1998 p 3855.]</w:t>
      </w:r>
    </w:p>
    <w:p>
      <w:pPr>
        <w:pStyle w:val="yHeading5"/>
        <w:rPr>
          <w:snapToGrid w:val="0"/>
        </w:rPr>
      </w:pPr>
      <w:bookmarkStart w:id="408" w:name="_Toc511525095"/>
      <w:bookmarkStart w:id="409" w:name="_Toc27803462"/>
      <w:bookmarkStart w:id="410" w:name="_Toc133903569"/>
      <w:bookmarkStart w:id="411" w:name="_Toc133921012"/>
      <w:bookmarkStart w:id="412" w:name="_Toc123708468"/>
      <w:r>
        <w:rPr>
          <w:rStyle w:val="CharSClsNo"/>
        </w:rPr>
        <w:t>13</w:t>
      </w:r>
      <w:r>
        <w:rPr>
          <w:snapToGrid w:val="0"/>
        </w:rPr>
        <w:t>.</w:t>
      </w:r>
      <w:r>
        <w:rPr>
          <w:snapToGrid w:val="0"/>
        </w:rPr>
        <w:tab/>
        <w:t>Provisions as to bets on runners that are entered for 2 or more races on the same day</w:t>
      </w:r>
      <w:bookmarkEnd w:id="408"/>
      <w:bookmarkEnd w:id="409"/>
      <w:bookmarkEnd w:id="410"/>
      <w:bookmarkEnd w:id="411"/>
      <w:bookmarkEnd w:id="412"/>
      <w:r>
        <w:rPr>
          <w:snapToGrid w:val="0"/>
        </w:rPr>
        <w:t xml:space="preserve"> </w:t>
      </w:r>
    </w:p>
    <w:p>
      <w:pPr>
        <w:pStyle w:val="ySubsection"/>
        <w:keepNext/>
        <w:keepLines/>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spacing w:before="200"/>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spacing w:before="200"/>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413" w:name="_Toc511525096"/>
      <w:bookmarkStart w:id="414" w:name="_Toc27803463"/>
      <w:bookmarkStart w:id="415" w:name="_Toc133903570"/>
      <w:bookmarkStart w:id="416" w:name="_Toc133921013"/>
      <w:bookmarkStart w:id="417" w:name="_Toc123708469"/>
      <w:r>
        <w:rPr>
          <w:rStyle w:val="CharSClsNo"/>
        </w:rPr>
        <w:t>14</w:t>
      </w:r>
      <w:r>
        <w:rPr>
          <w:snapToGrid w:val="0"/>
        </w:rPr>
        <w:t>.</w:t>
      </w:r>
      <w:r>
        <w:rPr>
          <w:snapToGrid w:val="0"/>
        </w:rPr>
        <w:tab/>
        <w:t>Prohibition on betting after race</w:t>
      </w:r>
      <w:bookmarkEnd w:id="413"/>
      <w:bookmarkEnd w:id="414"/>
      <w:bookmarkEnd w:id="415"/>
      <w:bookmarkEnd w:id="416"/>
      <w:bookmarkEnd w:id="417"/>
      <w:r>
        <w:rPr>
          <w:snapToGrid w:val="0"/>
        </w:rPr>
        <w:t xml:space="preserve"> </w:t>
      </w:r>
    </w:p>
    <w:p>
      <w:pPr>
        <w:pStyle w:val="ySubsection"/>
        <w:spacing w:before="200"/>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spacing w:before="200"/>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bookmarkStart w:id="418" w:name="_Toc511525097"/>
      <w:bookmarkStart w:id="419" w:name="_Toc27803464"/>
      <w:r>
        <w:tab/>
        <w:t>[Rule 14 amended in Gazette21 Jul 1998 p. 3855; 30 Jan 2004 p. 408.]</w:t>
      </w:r>
    </w:p>
    <w:p>
      <w:pPr>
        <w:pStyle w:val="yHeading5"/>
        <w:spacing w:before="260"/>
        <w:rPr>
          <w:snapToGrid w:val="0"/>
        </w:rPr>
      </w:pPr>
      <w:bookmarkStart w:id="420" w:name="_Toc133903571"/>
      <w:bookmarkStart w:id="421" w:name="_Toc133921014"/>
      <w:bookmarkStart w:id="422" w:name="_Toc123708470"/>
      <w:r>
        <w:rPr>
          <w:rStyle w:val="CharSClsNo"/>
        </w:rPr>
        <w:t>15</w:t>
      </w:r>
      <w:r>
        <w:rPr>
          <w:snapToGrid w:val="0"/>
        </w:rPr>
        <w:t>.</w:t>
      </w:r>
      <w:r>
        <w:rPr>
          <w:snapToGrid w:val="0"/>
        </w:rPr>
        <w:tab/>
        <w:t>Settlement of bets on deaths of parties thereto</w:t>
      </w:r>
      <w:bookmarkEnd w:id="418"/>
      <w:bookmarkEnd w:id="419"/>
      <w:bookmarkEnd w:id="420"/>
      <w:bookmarkEnd w:id="421"/>
      <w:bookmarkEnd w:id="422"/>
      <w:r>
        <w:rPr>
          <w:snapToGrid w:val="0"/>
        </w:rPr>
        <w:t xml:space="preserve"> </w:t>
      </w:r>
    </w:p>
    <w:p>
      <w:pPr>
        <w:pStyle w:val="ySubsection"/>
        <w:spacing w:before="200"/>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423" w:name="_Toc511525098"/>
      <w:bookmarkStart w:id="424" w:name="_Toc27803465"/>
      <w:bookmarkStart w:id="425" w:name="_Toc133903572"/>
      <w:bookmarkStart w:id="426" w:name="_Toc133921015"/>
      <w:bookmarkStart w:id="427" w:name="_Toc123708471"/>
      <w:r>
        <w:rPr>
          <w:rStyle w:val="CharSClsNo"/>
        </w:rPr>
        <w:t>16</w:t>
      </w:r>
      <w:r>
        <w:rPr>
          <w:snapToGrid w:val="0"/>
        </w:rPr>
        <w:t>.</w:t>
      </w:r>
      <w:r>
        <w:rPr>
          <w:snapToGrid w:val="0"/>
        </w:rPr>
        <w:tab/>
        <w:t>Settlement of bets on suspension or cancellation of licence of a bookmaker</w:t>
      </w:r>
      <w:bookmarkEnd w:id="423"/>
      <w:bookmarkEnd w:id="424"/>
      <w:bookmarkEnd w:id="425"/>
      <w:bookmarkEnd w:id="426"/>
      <w:bookmarkEnd w:id="427"/>
      <w:r>
        <w:rPr>
          <w:snapToGrid w:val="0"/>
        </w:rPr>
        <w:t xml:space="preserve"> </w:t>
      </w:r>
    </w:p>
    <w:p>
      <w:pPr>
        <w:pStyle w:val="ySubsection"/>
        <w:spacing w:before="200"/>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bookmarkStart w:id="428" w:name="_Toc511525099"/>
      <w:bookmarkStart w:id="429" w:name="_Toc27803466"/>
      <w:r>
        <w:tab/>
        <w:t>[Rule 16 amended in Gazette 20 Sep 2002 p. 4704; 30 Jan 2004 p. 412.]</w:t>
      </w:r>
    </w:p>
    <w:p>
      <w:pPr>
        <w:pStyle w:val="yHeading5"/>
        <w:rPr>
          <w:snapToGrid w:val="0"/>
        </w:rPr>
      </w:pPr>
      <w:bookmarkStart w:id="430" w:name="_Toc133903573"/>
      <w:bookmarkStart w:id="431" w:name="_Toc133921016"/>
      <w:bookmarkStart w:id="432" w:name="_Toc123708472"/>
      <w:r>
        <w:rPr>
          <w:rStyle w:val="CharSClsNo"/>
        </w:rPr>
        <w:t>17</w:t>
      </w:r>
      <w:r>
        <w:rPr>
          <w:snapToGrid w:val="0"/>
        </w:rPr>
        <w:t>.</w:t>
      </w:r>
      <w:r>
        <w:rPr>
          <w:snapToGrid w:val="0"/>
        </w:rPr>
        <w:tab/>
        <w:t>Settling</w:t>
      </w:r>
      <w:bookmarkEnd w:id="428"/>
      <w:bookmarkEnd w:id="429"/>
      <w:bookmarkEnd w:id="430"/>
      <w:bookmarkEnd w:id="431"/>
      <w:bookmarkEnd w:id="432"/>
      <w:r>
        <w:rPr>
          <w:snapToGrid w:val="0"/>
        </w:rPr>
        <w:t xml:space="preserve"> </w:t>
      </w:r>
    </w:p>
    <w:p>
      <w:pPr>
        <w:pStyle w:val="ySubsection"/>
      </w:pPr>
      <w:r>
        <w:rPr>
          <w:snapToGrid w:val="0"/>
        </w:rPr>
        <w:tab/>
      </w:r>
      <w:r>
        <w:rPr>
          <w:snapToGrid w:val="0"/>
        </w:rPr>
        <w:tab/>
        <w:t>Settling in terms of these rules shall not be disturbed except in cases of fraud.</w:t>
      </w:r>
    </w:p>
    <w:p>
      <w:pPr>
        <w:pStyle w:val="yHeading2"/>
        <w:ind w:left="567" w:right="567"/>
        <w:rPr>
          <w:sz w:val="22"/>
        </w:rPr>
      </w:pPr>
      <w:bookmarkStart w:id="433" w:name="_Toc27803467"/>
      <w:bookmarkStart w:id="434" w:name="_Toc133903574"/>
      <w:bookmarkStart w:id="435" w:name="_Toc133903668"/>
      <w:bookmarkStart w:id="436" w:name="_Toc133921017"/>
      <w:bookmarkStart w:id="437" w:name="_Toc123708473"/>
      <w:r>
        <w:rPr>
          <w:rStyle w:val="CharDivNo"/>
          <w:sz w:val="22"/>
        </w:rPr>
        <w:t>Part 2</w:t>
      </w:r>
      <w:r>
        <w:rPr>
          <w:sz w:val="22"/>
        </w:rPr>
        <w:t> — </w:t>
      </w:r>
      <w:r>
        <w:rPr>
          <w:rStyle w:val="CharDivText"/>
          <w:sz w:val="22"/>
        </w:rPr>
        <w:t>Betting on a sporting event, or a contingency, approved under section 4B</w:t>
      </w:r>
      <w:bookmarkEnd w:id="433"/>
      <w:bookmarkEnd w:id="434"/>
      <w:bookmarkEnd w:id="435"/>
      <w:bookmarkEnd w:id="436"/>
      <w:bookmarkEnd w:id="437"/>
      <w:r>
        <w:rPr>
          <w:sz w:val="22"/>
        </w:rPr>
        <w:t xml:space="preserve"> </w:t>
      </w:r>
    </w:p>
    <w:p>
      <w:pPr>
        <w:pStyle w:val="yFootnoteheading"/>
        <w:tabs>
          <w:tab w:val="clear" w:pos="879"/>
          <w:tab w:val="left" w:pos="720"/>
        </w:tabs>
        <w:rPr>
          <w:snapToGrid w:val="0"/>
        </w:rPr>
      </w:pPr>
      <w:r>
        <w:rPr>
          <w:snapToGrid w:val="0"/>
        </w:rPr>
        <w:tab/>
        <w:t xml:space="preserve">[Heading inserted in Gazette 10 Jul 1992 p. 3294.] </w:t>
      </w:r>
    </w:p>
    <w:p>
      <w:pPr>
        <w:pStyle w:val="yHeading5"/>
        <w:rPr>
          <w:snapToGrid w:val="0"/>
        </w:rPr>
      </w:pPr>
      <w:bookmarkStart w:id="438" w:name="_Toc133903575"/>
      <w:bookmarkStart w:id="439" w:name="_Toc133903669"/>
      <w:bookmarkStart w:id="440" w:name="_Toc133921018"/>
      <w:r>
        <w:rPr>
          <w:rStyle w:val="CharSClsNo"/>
        </w:rPr>
        <w:t>1</w:t>
      </w:r>
      <w:r>
        <w:rPr>
          <w:snapToGrid w:val="0"/>
        </w:rPr>
        <w:t>.</w:t>
      </w:r>
      <w:bookmarkEnd w:id="438"/>
      <w:bookmarkEnd w:id="439"/>
      <w:bookmarkEnd w:id="440"/>
    </w:p>
    <w:p>
      <w:pPr>
        <w:pStyle w:val="ySubsection"/>
        <w:rPr>
          <w:snapToGrid w:val="0"/>
        </w:rPr>
      </w:pPr>
      <w:r>
        <w:rPr>
          <w:snapToGrid w:val="0"/>
        </w:rPr>
        <w:tab/>
      </w:r>
      <w:r>
        <w:rPr>
          <w:snapToGrid w:val="0"/>
        </w:rPr>
        <w:tab/>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Heading5"/>
        <w:rPr>
          <w:snapToGrid w:val="0"/>
        </w:rPr>
      </w:pPr>
      <w:bookmarkStart w:id="441" w:name="_Toc133903576"/>
      <w:bookmarkStart w:id="442" w:name="_Toc133903670"/>
      <w:bookmarkStart w:id="443" w:name="_Toc133921019"/>
      <w:r>
        <w:rPr>
          <w:rStyle w:val="CharSClsNo"/>
        </w:rPr>
        <w:t>2</w:t>
      </w:r>
      <w:r>
        <w:rPr>
          <w:snapToGrid w:val="0"/>
        </w:rPr>
        <w:t>.</w:t>
      </w:r>
      <w:bookmarkEnd w:id="441"/>
      <w:bookmarkEnd w:id="442"/>
      <w:bookmarkEnd w:id="443"/>
    </w:p>
    <w:p>
      <w:pPr>
        <w:pStyle w:val="ySubsection"/>
        <w:rPr>
          <w:snapToGrid w:val="0"/>
        </w:rPr>
      </w:pPr>
      <w:r>
        <w:rPr>
          <w:snapToGrid w:val="0"/>
        </w:rPr>
        <w:tab/>
      </w:r>
      <w:r>
        <w:rPr>
          <w:snapToGrid w:val="0"/>
        </w:rPr>
        <w:tab/>
        <w:t>Any outcome not covered by these rules shall be determined by the stewards acting at the race meeting where the bet was laid.</w:t>
      </w:r>
    </w:p>
    <w:p>
      <w:pPr>
        <w:pStyle w:val="yFootnotesection"/>
      </w:pPr>
      <w:r>
        <w:tab/>
        <w:t>[Rule 2 inserted in Gazette 10 Jul 1992 p. 3294.]</w:t>
      </w:r>
    </w:p>
    <w:p>
      <w:pPr>
        <w:pStyle w:val="yHeading5"/>
        <w:rPr>
          <w:snapToGrid w:val="0"/>
        </w:rPr>
      </w:pPr>
      <w:bookmarkStart w:id="444" w:name="_Toc133903577"/>
      <w:bookmarkStart w:id="445" w:name="_Toc133903671"/>
      <w:bookmarkStart w:id="446" w:name="_Toc133921020"/>
      <w:r>
        <w:rPr>
          <w:rStyle w:val="CharSClsNo"/>
        </w:rPr>
        <w:t>3</w:t>
      </w:r>
      <w:r>
        <w:rPr>
          <w:snapToGrid w:val="0"/>
        </w:rPr>
        <w:t>.</w:t>
      </w:r>
      <w:bookmarkEnd w:id="444"/>
      <w:bookmarkEnd w:id="445"/>
      <w:bookmarkEnd w:id="446"/>
    </w:p>
    <w:p>
      <w:pPr>
        <w:pStyle w:val="ySubsection"/>
        <w:rPr>
          <w:snapToGrid w:val="0"/>
        </w:rPr>
      </w:pPr>
      <w:r>
        <w:rPr>
          <w:snapToGrid w:val="0"/>
        </w:rPr>
        <w:tab/>
      </w:r>
      <w:r>
        <w:rPr>
          <w:snapToGrid w:val="0"/>
        </w:rPr>
        <w:tab/>
        <w:t>Where betting on the outcome of a sporting contingency involves a points margin, such a points margin shall be declared to half a point in every case.</w:t>
      </w:r>
    </w:p>
    <w:p>
      <w:pPr>
        <w:pStyle w:val="yFootnotesection"/>
      </w:pPr>
      <w:r>
        <w:tab/>
        <w:t>[Rule 3 inserted in Gazette 10 Jul 1992 p. 3294.]</w:t>
      </w:r>
    </w:p>
    <w:p>
      <w:pPr>
        <w:pStyle w:val="yHeading5"/>
        <w:rPr>
          <w:snapToGrid w:val="0"/>
        </w:rPr>
      </w:pPr>
      <w:bookmarkStart w:id="447" w:name="_Toc133903578"/>
      <w:bookmarkStart w:id="448" w:name="_Toc133903672"/>
      <w:bookmarkStart w:id="449" w:name="_Toc133921021"/>
      <w:r>
        <w:rPr>
          <w:rStyle w:val="CharSClsNo"/>
        </w:rPr>
        <w:t>4</w:t>
      </w:r>
      <w:r>
        <w:rPr>
          <w:snapToGrid w:val="0"/>
        </w:rPr>
        <w:t>.</w:t>
      </w:r>
      <w:bookmarkEnd w:id="447"/>
      <w:bookmarkEnd w:id="448"/>
      <w:bookmarkEnd w:id="449"/>
    </w:p>
    <w:p>
      <w:pPr>
        <w:pStyle w:val="ySubsection"/>
        <w:rPr>
          <w:snapToGrid w:val="0"/>
        </w:rPr>
      </w:pPr>
      <w:r>
        <w:rPr>
          <w:snapToGrid w:val="0"/>
        </w:rPr>
        <w:tab/>
      </w:r>
      <w:r>
        <w:rPr>
          <w:snapToGrid w:val="0"/>
        </w:rPr>
        <w:tab/>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Heading5"/>
        <w:rPr>
          <w:snapToGrid w:val="0"/>
        </w:rPr>
      </w:pPr>
      <w:bookmarkStart w:id="450" w:name="_Toc133903579"/>
      <w:bookmarkStart w:id="451" w:name="_Toc133903673"/>
      <w:bookmarkStart w:id="452" w:name="_Toc133921022"/>
      <w:r>
        <w:rPr>
          <w:rStyle w:val="CharSClsNo"/>
        </w:rPr>
        <w:t>5</w:t>
      </w:r>
      <w:r>
        <w:rPr>
          <w:snapToGrid w:val="0"/>
        </w:rPr>
        <w:t>.</w:t>
      </w:r>
      <w:bookmarkEnd w:id="450"/>
      <w:bookmarkEnd w:id="451"/>
      <w:bookmarkEnd w:id="452"/>
    </w:p>
    <w:p>
      <w:pPr>
        <w:pStyle w:val="ySubsection"/>
        <w:rPr>
          <w:snapToGrid w:val="0"/>
        </w:rPr>
      </w:pPr>
      <w:r>
        <w:rPr>
          <w:snapToGrid w:val="0"/>
        </w:rPr>
        <w:tab/>
      </w:r>
      <w:r>
        <w:rPr>
          <w:snapToGrid w:val="0"/>
        </w:rPr>
        <w:tab/>
        <w:t>If no odds are offered for a tie, draw or dead heat and the event or contingency results in a tie, draw or dead heat between 2 teams or 2 competitors, then any bet for a win shall be determined in the following manner —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w:t>
      </w:r>
    </w:p>
    <w:p>
      <w:pPr>
        <w:pStyle w:val="yHeading5"/>
        <w:rPr>
          <w:snapToGrid w:val="0"/>
        </w:rPr>
      </w:pPr>
      <w:bookmarkStart w:id="453" w:name="_Toc133903580"/>
      <w:bookmarkStart w:id="454" w:name="_Toc133903674"/>
      <w:bookmarkStart w:id="455" w:name="_Toc133921023"/>
      <w:r>
        <w:rPr>
          <w:rStyle w:val="CharSClsNo"/>
        </w:rPr>
        <w:t>6</w:t>
      </w:r>
      <w:r>
        <w:rPr>
          <w:snapToGrid w:val="0"/>
        </w:rPr>
        <w:t>.</w:t>
      </w:r>
      <w:bookmarkEnd w:id="453"/>
      <w:bookmarkEnd w:id="454"/>
      <w:bookmarkEnd w:id="455"/>
    </w:p>
    <w:p>
      <w:pPr>
        <w:pStyle w:val="ySubsection"/>
        <w:rPr>
          <w:snapToGrid w:val="0"/>
        </w:rPr>
      </w:pPr>
      <w:r>
        <w:rPr>
          <w:snapToGrid w:val="0"/>
        </w:rPr>
        <w:tab/>
      </w:r>
      <w:r>
        <w:rPr>
          <w:snapToGrid w:val="0"/>
        </w:rPr>
        <w:tab/>
        <w:t>In bets involving more than one contingency of, or relating to, the same sporting event — </w:t>
      </w:r>
    </w:p>
    <w:p>
      <w:pPr>
        <w:pStyle w:val="yIndenta"/>
        <w:rPr>
          <w:snapToGrid w:val="0"/>
        </w:rPr>
      </w:pPr>
      <w:r>
        <w:rPr>
          <w:snapToGrid w:val="0"/>
        </w:rPr>
        <w:tab/>
        <w:t>(a)</w:t>
      </w:r>
      <w:r>
        <w:rPr>
          <w:snapToGrid w:val="0"/>
        </w:rPr>
        <w:tab/>
        <w:t>if the first contingency is not decided in the backer’s favour, the bet is lost;</w:t>
      </w:r>
    </w:p>
    <w:p>
      <w:pPr>
        <w:pStyle w:val="yIndenta"/>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w:t>
      </w:r>
    </w:p>
    <w:p>
      <w:pPr>
        <w:pStyle w:val="yIndenta"/>
        <w:rPr>
          <w:snapToGrid w:val="0"/>
        </w:rPr>
      </w:pPr>
      <w:r>
        <w:rPr>
          <w:snapToGrid w:val="0"/>
        </w:rPr>
        <w:tab/>
        <w:t>(c)</w:t>
      </w:r>
      <w:r>
        <w:rPr>
          <w:snapToGrid w:val="0"/>
        </w:rPr>
        <w:tab/>
        <w:t>where the bet covers 2 contingencies and both are tied, the backer shall receive one fourth of the amount receivable had the bet been a winning bet;</w:t>
      </w:r>
    </w:p>
    <w:p>
      <w:pPr>
        <w:pStyle w:val="yIndenta"/>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w:t>
      </w:r>
    </w:p>
    <w:p>
      <w:pPr>
        <w:pStyle w:val="yIndenta"/>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pPr>
      <w:r>
        <w:tab/>
        <w:t>[Rule 6 inserted in Gazette 10 Jul 1992 p. 3294.]</w:t>
      </w:r>
    </w:p>
    <w:p>
      <w:pPr>
        <w:pStyle w:val="yHeading5"/>
        <w:rPr>
          <w:snapToGrid w:val="0"/>
        </w:rPr>
      </w:pPr>
      <w:bookmarkStart w:id="456" w:name="_Toc133903581"/>
      <w:bookmarkStart w:id="457" w:name="_Toc133903675"/>
      <w:bookmarkStart w:id="458" w:name="_Toc133921024"/>
      <w:r>
        <w:rPr>
          <w:rStyle w:val="CharSClsNo"/>
        </w:rPr>
        <w:t>7</w:t>
      </w:r>
      <w:r>
        <w:rPr>
          <w:snapToGrid w:val="0"/>
        </w:rPr>
        <w:t>.</w:t>
      </w:r>
      <w:bookmarkEnd w:id="456"/>
      <w:bookmarkEnd w:id="457"/>
      <w:bookmarkEnd w:id="458"/>
    </w:p>
    <w:p>
      <w:pPr>
        <w:pStyle w:val="ySubsection"/>
        <w:rPr>
          <w:snapToGrid w:val="0"/>
        </w:rPr>
      </w:pPr>
      <w:r>
        <w:rPr>
          <w:snapToGrid w:val="0"/>
        </w:rPr>
        <w:tab/>
      </w:r>
      <w:r>
        <w:rPr>
          <w:snapToGrid w:val="0"/>
        </w:rPr>
        <w:tab/>
        <w:t>Where a sporting event is abandoned, all bets are to be refunded except those laid in respect of contingencies that have been decided totally or in part.</w:t>
      </w:r>
    </w:p>
    <w:p>
      <w:pPr>
        <w:pStyle w:val="yFootnotesection"/>
      </w:pPr>
      <w:r>
        <w:tab/>
        <w:t>[Rule 7 inserted in Gazette 10 Jul 1992 p. 3295.]</w:t>
      </w:r>
    </w:p>
    <w:p>
      <w:pPr>
        <w:pStyle w:val="yHeading5"/>
        <w:rPr>
          <w:snapToGrid w:val="0"/>
        </w:rPr>
      </w:pPr>
      <w:bookmarkStart w:id="459" w:name="_Toc133903582"/>
      <w:bookmarkStart w:id="460" w:name="_Toc133903676"/>
      <w:bookmarkStart w:id="461" w:name="_Toc133921025"/>
      <w:r>
        <w:rPr>
          <w:rStyle w:val="CharSClsNo"/>
        </w:rPr>
        <w:t>8</w:t>
      </w:r>
      <w:r>
        <w:rPr>
          <w:snapToGrid w:val="0"/>
        </w:rPr>
        <w:t>.</w:t>
      </w:r>
      <w:bookmarkEnd w:id="459"/>
      <w:bookmarkEnd w:id="460"/>
      <w:bookmarkEnd w:id="461"/>
    </w:p>
    <w:p>
      <w:pPr>
        <w:pStyle w:val="ySubsection"/>
        <w:rPr>
          <w:snapToGrid w:val="0"/>
        </w:rPr>
      </w:pPr>
      <w:r>
        <w:rPr>
          <w:snapToGrid w:val="0"/>
        </w:rPr>
        <w:tab/>
      </w:r>
      <w:r>
        <w:rPr>
          <w:snapToGrid w:val="0"/>
        </w:rPr>
        <w:tab/>
        <w:t>Where a sporting event is postponed to a later date, all bets on the event or contingent on the event shall stand.</w:t>
      </w:r>
    </w:p>
    <w:p>
      <w:pPr>
        <w:pStyle w:val="yFootnotesection"/>
      </w:pPr>
      <w:r>
        <w:tab/>
        <w:t>[Rule 8 inserted in Gazette 10 Jul 1992 p. 3295.]</w:t>
      </w:r>
    </w:p>
    <w:p>
      <w:pPr>
        <w:pStyle w:val="yHeading5"/>
        <w:rPr>
          <w:snapToGrid w:val="0"/>
        </w:rPr>
      </w:pPr>
      <w:bookmarkStart w:id="462" w:name="_Toc133903583"/>
      <w:bookmarkStart w:id="463" w:name="_Toc133903677"/>
      <w:bookmarkStart w:id="464" w:name="_Toc133921026"/>
      <w:r>
        <w:rPr>
          <w:rStyle w:val="CharSClsNo"/>
        </w:rPr>
        <w:t>9</w:t>
      </w:r>
      <w:r>
        <w:rPr>
          <w:snapToGrid w:val="0"/>
        </w:rPr>
        <w:t>.</w:t>
      </w:r>
      <w:bookmarkEnd w:id="462"/>
      <w:bookmarkEnd w:id="463"/>
      <w:bookmarkEnd w:id="464"/>
    </w:p>
    <w:p>
      <w:pPr>
        <w:pStyle w:val="ySubsection"/>
        <w:rPr>
          <w:snapToGrid w:val="0"/>
        </w:rPr>
      </w:pPr>
      <w:r>
        <w:rPr>
          <w:snapToGrid w:val="0"/>
        </w:rPr>
        <w:tab/>
      </w:r>
      <w:r>
        <w:rPr>
          <w:snapToGrid w:val="0"/>
        </w:rPr>
        <w:tab/>
        <w:t>All bets in relation to sporting contingencies shall be “play or pay”, unless the parties mutually agree to the contrary.</w:t>
      </w:r>
    </w:p>
    <w:p>
      <w:pPr>
        <w:pStyle w:val="yFootnotesection"/>
      </w:pPr>
      <w:r>
        <w:tab/>
        <w:t>[Rule 9 inserted in Gazette 10 Jul 1992 p. 3295; amended in Gazette 30 Jan 2004 p. 408</w:t>
      </w:r>
      <w:r>
        <w:noBreakHyphen/>
        <w:t>11.]</w:t>
      </w:r>
    </w:p>
    <w:p>
      <w:pPr>
        <w:pStyle w:val="yMiscellaneousHeading"/>
        <w:rPr>
          <w:b/>
        </w:rPr>
      </w:pPr>
      <w:r>
        <w:rPr>
          <w:b/>
        </w:rPr>
        <w:t>Scale of Deduction Table</w:t>
      </w:r>
    </w:p>
    <w:p>
      <w:pPr>
        <w:pStyle w:val="yMiscellaneousBody"/>
        <w:spacing w:after="160"/>
      </w:pPr>
      <w:r>
        <w:t>This Table is to be used to determine the rate % of deduction in respect of win, place, concession, double and treble bets. Rate % of deduction (cents in $) from the face value of the ticket.</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
              <w:jc w:val="center"/>
              <w:rPr>
                <w:b/>
              </w:rPr>
            </w:pPr>
            <w:r>
              <w:rPr>
                <w:b/>
              </w:rPr>
              <w:t>Dividend of Withdrawn Runner (for bet of $1)</w:t>
            </w:r>
          </w:p>
        </w:tc>
        <w:tc>
          <w:tcPr>
            <w:tcW w:w="1418" w:type="dxa"/>
            <w:tcBorders>
              <w:top w:val="single" w:sz="4" w:space="0" w:color="auto"/>
              <w:bottom w:val="single" w:sz="4" w:space="0" w:color="auto"/>
            </w:tcBorders>
          </w:tcPr>
          <w:p>
            <w:pPr>
              <w:pStyle w:val="yTable"/>
              <w:jc w:val="center"/>
              <w:rPr>
                <w:b/>
              </w:rPr>
            </w:pPr>
            <w:r>
              <w:rPr>
                <w:b/>
              </w:rPr>
              <w:t xml:space="preserve">Win </w:t>
            </w:r>
            <w:r>
              <w:rPr>
                <w:b/>
              </w:rPr>
              <w:br/>
              <w:t>Doubles</w:t>
            </w:r>
            <w:r>
              <w:rPr>
                <w:b/>
              </w:rPr>
              <w:br/>
              <w:t>Treble Deduction</w:t>
            </w:r>
          </w:p>
          <w:p>
            <w:pPr>
              <w:pStyle w:val="yTable"/>
              <w:jc w:val="center"/>
              <w:rPr>
                <w:b/>
              </w:rPr>
            </w:pPr>
          </w:p>
          <w:p>
            <w:pPr>
              <w:pStyle w:val="yTable"/>
              <w:jc w:val="center"/>
              <w:rPr>
                <w:b/>
              </w:rPr>
            </w:pPr>
            <w:r>
              <w:rPr>
                <w:b/>
              </w:rPr>
              <w:t>Cents</w:t>
            </w:r>
          </w:p>
        </w:tc>
        <w:tc>
          <w:tcPr>
            <w:tcW w:w="1417" w:type="dxa"/>
            <w:tcBorders>
              <w:top w:val="single" w:sz="4" w:space="0" w:color="auto"/>
              <w:bottom w:val="single" w:sz="4" w:space="0" w:color="auto"/>
            </w:tcBorders>
          </w:tcPr>
          <w:p>
            <w:pPr>
              <w:pStyle w:val="yTable"/>
              <w:jc w:val="center"/>
              <w:rPr>
                <w:b/>
              </w:rPr>
            </w:pPr>
            <w:r>
              <w:rPr>
                <w:b/>
              </w:rPr>
              <w:t>Place Deduction where 8 or more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Place Deduction where less than 8 Runners</w:t>
            </w:r>
          </w:p>
          <w:p>
            <w:pPr>
              <w:pStyle w:val="yTable"/>
              <w:spacing w:before="120"/>
              <w:jc w:val="center"/>
              <w:rPr>
                <w:b/>
              </w:rPr>
            </w:pPr>
            <w:r>
              <w:rPr>
                <w:b/>
              </w:rPr>
              <w:t>Cents</w:t>
            </w:r>
          </w:p>
        </w:tc>
        <w:tc>
          <w:tcPr>
            <w:tcW w:w="1418" w:type="dxa"/>
            <w:tcBorders>
              <w:top w:val="single" w:sz="4" w:space="0" w:color="auto"/>
              <w:bottom w:val="single" w:sz="4" w:space="0" w:color="auto"/>
            </w:tcBorders>
          </w:tcPr>
          <w:p>
            <w:pPr>
              <w:pStyle w:val="yTable"/>
              <w:jc w:val="center"/>
              <w:rPr>
                <w:b/>
              </w:rPr>
            </w:pPr>
            <w:r>
              <w:rPr>
                <w:b/>
              </w:rPr>
              <w:t>Concession Deduction</w:t>
            </w:r>
            <w:r>
              <w:rPr>
                <w:b/>
              </w:rPr>
              <w:br/>
            </w:r>
            <w:r>
              <w:rPr>
                <w:b/>
              </w:rPr>
              <w:br/>
            </w:r>
          </w:p>
          <w:p>
            <w:pPr>
              <w:pStyle w:val="yTable"/>
              <w:jc w:val="center"/>
              <w:rPr>
                <w:b/>
              </w:rPr>
            </w:pPr>
          </w:p>
          <w:p>
            <w:pPr>
              <w:pStyle w:val="yTable"/>
              <w:jc w:val="center"/>
              <w:rPr>
                <w:b/>
              </w:rPr>
            </w:pPr>
            <w:r>
              <w:rPr>
                <w:b/>
              </w:rPr>
              <w:t>Cents</w:t>
            </w:r>
          </w:p>
        </w:tc>
      </w:tr>
      <w:tr>
        <w:tc>
          <w:tcPr>
            <w:tcW w:w="1417" w:type="dxa"/>
          </w:tcPr>
          <w:p>
            <w:pPr>
              <w:pStyle w:val="yTable"/>
              <w:jc w:val="center"/>
            </w:pPr>
          </w:p>
        </w:tc>
        <w:tc>
          <w:tcPr>
            <w:tcW w:w="1418" w:type="dxa"/>
          </w:tcPr>
          <w:p>
            <w:pPr>
              <w:pStyle w:val="yTable"/>
              <w:jc w:val="center"/>
            </w:pPr>
          </w:p>
        </w:tc>
        <w:tc>
          <w:tcPr>
            <w:tcW w:w="1417" w:type="dxa"/>
          </w:tcPr>
          <w:p>
            <w:pPr>
              <w:pStyle w:val="yTable"/>
              <w:jc w:val="center"/>
            </w:pPr>
          </w:p>
        </w:tc>
        <w:tc>
          <w:tcPr>
            <w:tcW w:w="1418" w:type="dxa"/>
          </w:tcPr>
          <w:p>
            <w:pPr>
              <w:pStyle w:val="yTable"/>
              <w:jc w:val="center"/>
            </w:pPr>
          </w:p>
        </w:tc>
        <w:tc>
          <w:tcPr>
            <w:tcW w:w="1418" w:type="dxa"/>
          </w:tcPr>
          <w:p>
            <w:pPr>
              <w:pStyle w:val="yTable"/>
              <w:jc w:val="center"/>
            </w:pPr>
          </w:p>
        </w:tc>
      </w:tr>
      <w:tr>
        <w:tc>
          <w:tcPr>
            <w:tcW w:w="1417" w:type="dxa"/>
          </w:tcPr>
          <w:p>
            <w:pPr>
              <w:pStyle w:val="yTable"/>
              <w:jc w:val="center"/>
            </w:pPr>
            <w:r>
              <w:t>1.05</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1.07</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1.08</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1.09</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1.10</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1.12</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1.14</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1.16</w:t>
            </w:r>
          </w:p>
        </w:tc>
        <w:tc>
          <w:tcPr>
            <w:tcW w:w="1418" w:type="dxa"/>
          </w:tcPr>
          <w:p>
            <w:pPr>
              <w:pStyle w:val="yTable"/>
              <w:jc w:val="center"/>
            </w:pPr>
            <w:r>
              <w:t>80</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1.18</w:t>
            </w:r>
          </w:p>
        </w:tc>
        <w:tc>
          <w:tcPr>
            <w:tcW w:w="1418" w:type="dxa"/>
          </w:tcPr>
          <w:p>
            <w:pPr>
              <w:pStyle w:val="yTable"/>
              <w:jc w:val="center"/>
            </w:pPr>
            <w:r>
              <w:t>79</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1.20</w:t>
            </w:r>
          </w:p>
        </w:tc>
        <w:tc>
          <w:tcPr>
            <w:tcW w:w="1418" w:type="dxa"/>
          </w:tcPr>
          <w:p>
            <w:pPr>
              <w:pStyle w:val="yTable"/>
              <w:jc w:val="center"/>
            </w:pPr>
            <w:r>
              <w:t>78</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1.22</w:t>
            </w:r>
          </w:p>
        </w:tc>
        <w:tc>
          <w:tcPr>
            <w:tcW w:w="1418" w:type="dxa"/>
          </w:tcPr>
          <w:p>
            <w:pPr>
              <w:pStyle w:val="yTable"/>
              <w:jc w:val="center"/>
            </w:pPr>
            <w:r>
              <w:t>77</w:t>
            </w:r>
          </w:p>
        </w:tc>
        <w:tc>
          <w:tcPr>
            <w:tcW w:w="1417" w:type="dxa"/>
          </w:tcPr>
          <w:p>
            <w:pPr>
              <w:pStyle w:val="yTable"/>
              <w:jc w:val="center"/>
            </w:pPr>
            <w:r>
              <w:t>30</w:t>
            </w:r>
          </w:p>
        </w:tc>
        <w:tc>
          <w:tcPr>
            <w:tcW w:w="1418" w:type="dxa"/>
          </w:tcPr>
          <w:p>
            <w:pPr>
              <w:pStyle w:val="yTable"/>
              <w:jc w:val="center"/>
            </w:pPr>
            <w:r>
              <w:t>44</w:t>
            </w:r>
          </w:p>
        </w:tc>
        <w:tc>
          <w:tcPr>
            <w:tcW w:w="1418" w:type="dxa"/>
          </w:tcPr>
          <w:p>
            <w:pPr>
              <w:pStyle w:val="yTable"/>
              <w:jc w:val="center"/>
            </w:pPr>
            <w:r>
              <w:t>70</w:t>
            </w:r>
          </w:p>
        </w:tc>
      </w:tr>
      <w:tr>
        <w:tc>
          <w:tcPr>
            <w:tcW w:w="1417" w:type="dxa"/>
          </w:tcPr>
          <w:p>
            <w:pPr>
              <w:pStyle w:val="yTable"/>
              <w:jc w:val="center"/>
            </w:pPr>
            <w:r>
              <w:t>1.24</w:t>
            </w:r>
          </w:p>
        </w:tc>
        <w:tc>
          <w:tcPr>
            <w:tcW w:w="1418" w:type="dxa"/>
          </w:tcPr>
          <w:p>
            <w:pPr>
              <w:pStyle w:val="yTable"/>
              <w:jc w:val="center"/>
            </w:pPr>
            <w:r>
              <w:t>75</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1.26</w:t>
            </w:r>
          </w:p>
        </w:tc>
        <w:tc>
          <w:tcPr>
            <w:tcW w:w="1418" w:type="dxa"/>
          </w:tcPr>
          <w:p>
            <w:pPr>
              <w:pStyle w:val="yTable"/>
              <w:jc w:val="center"/>
            </w:pPr>
            <w:r>
              <w:t>74</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1.28</w:t>
            </w:r>
          </w:p>
        </w:tc>
        <w:tc>
          <w:tcPr>
            <w:tcW w:w="1418" w:type="dxa"/>
          </w:tcPr>
          <w:p>
            <w:pPr>
              <w:pStyle w:val="yTable"/>
              <w:jc w:val="center"/>
            </w:pPr>
            <w:r>
              <w:t>73</w:t>
            </w:r>
          </w:p>
        </w:tc>
        <w:tc>
          <w:tcPr>
            <w:tcW w:w="1417" w:type="dxa"/>
          </w:tcPr>
          <w:p>
            <w:pPr>
              <w:pStyle w:val="yTable"/>
              <w:jc w:val="center"/>
            </w:pPr>
            <w:r>
              <w:t>29</w:t>
            </w:r>
          </w:p>
        </w:tc>
        <w:tc>
          <w:tcPr>
            <w:tcW w:w="1418" w:type="dxa"/>
          </w:tcPr>
          <w:p>
            <w:pPr>
              <w:pStyle w:val="yTable"/>
              <w:jc w:val="center"/>
            </w:pPr>
            <w:r>
              <w:t>43</w:t>
            </w:r>
          </w:p>
        </w:tc>
        <w:tc>
          <w:tcPr>
            <w:tcW w:w="1418" w:type="dxa"/>
          </w:tcPr>
          <w:p>
            <w:pPr>
              <w:pStyle w:val="yTable"/>
              <w:jc w:val="center"/>
            </w:pPr>
            <w:r>
              <w:t>67</w:t>
            </w:r>
          </w:p>
        </w:tc>
      </w:tr>
      <w:tr>
        <w:tc>
          <w:tcPr>
            <w:tcW w:w="1417" w:type="dxa"/>
          </w:tcPr>
          <w:p>
            <w:pPr>
              <w:pStyle w:val="yTable"/>
              <w:jc w:val="center"/>
            </w:pPr>
            <w:r>
              <w:t>1.30</w:t>
            </w:r>
          </w:p>
        </w:tc>
        <w:tc>
          <w:tcPr>
            <w:tcW w:w="1418" w:type="dxa"/>
          </w:tcPr>
          <w:p>
            <w:pPr>
              <w:pStyle w:val="yTable"/>
              <w:jc w:val="center"/>
            </w:pPr>
            <w:r>
              <w:t>72</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67</w:t>
            </w:r>
          </w:p>
        </w:tc>
      </w:tr>
      <w:tr>
        <w:tc>
          <w:tcPr>
            <w:tcW w:w="1417" w:type="dxa"/>
          </w:tcPr>
          <w:p>
            <w:pPr>
              <w:pStyle w:val="yTable"/>
              <w:jc w:val="center"/>
            </w:pPr>
            <w:r>
              <w:t>1.35</w:t>
            </w:r>
          </w:p>
        </w:tc>
        <w:tc>
          <w:tcPr>
            <w:tcW w:w="1418" w:type="dxa"/>
          </w:tcPr>
          <w:p>
            <w:pPr>
              <w:pStyle w:val="yTable"/>
              <w:jc w:val="center"/>
            </w:pPr>
            <w:r>
              <w:t>69</w:t>
            </w:r>
          </w:p>
        </w:tc>
        <w:tc>
          <w:tcPr>
            <w:tcW w:w="1417" w:type="dxa"/>
          </w:tcPr>
          <w:p>
            <w:pPr>
              <w:pStyle w:val="yTable"/>
              <w:jc w:val="center"/>
            </w:pPr>
            <w:r>
              <w:t>29</w:t>
            </w:r>
          </w:p>
        </w:tc>
        <w:tc>
          <w:tcPr>
            <w:tcW w:w="1418" w:type="dxa"/>
          </w:tcPr>
          <w:p>
            <w:pPr>
              <w:pStyle w:val="yTable"/>
              <w:jc w:val="center"/>
            </w:pPr>
            <w:r>
              <w:t>42</w:t>
            </w:r>
          </w:p>
        </w:tc>
        <w:tc>
          <w:tcPr>
            <w:tcW w:w="1418" w:type="dxa"/>
          </w:tcPr>
          <w:p>
            <w:pPr>
              <w:pStyle w:val="yTable"/>
              <w:jc w:val="center"/>
            </w:pPr>
            <w:r>
              <w:t>64</w:t>
            </w:r>
          </w:p>
        </w:tc>
      </w:tr>
      <w:tr>
        <w:tc>
          <w:tcPr>
            <w:tcW w:w="1417" w:type="dxa"/>
          </w:tcPr>
          <w:p>
            <w:pPr>
              <w:pStyle w:val="yTable"/>
              <w:jc w:val="center"/>
            </w:pPr>
            <w:r>
              <w:t>1.40</w:t>
            </w:r>
          </w:p>
        </w:tc>
        <w:tc>
          <w:tcPr>
            <w:tcW w:w="1418" w:type="dxa"/>
          </w:tcPr>
          <w:p>
            <w:pPr>
              <w:pStyle w:val="yTable"/>
              <w:jc w:val="center"/>
            </w:pPr>
            <w:r>
              <w:t>67</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62</w:t>
            </w:r>
          </w:p>
        </w:tc>
      </w:tr>
      <w:tr>
        <w:tc>
          <w:tcPr>
            <w:tcW w:w="1417" w:type="dxa"/>
          </w:tcPr>
          <w:p>
            <w:pPr>
              <w:pStyle w:val="yTable"/>
              <w:jc w:val="center"/>
            </w:pPr>
            <w:r>
              <w:t>1.45</w:t>
            </w:r>
          </w:p>
        </w:tc>
        <w:tc>
          <w:tcPr>
            <w:tcW w:w="1418" w:type="dxa"/>
          </w:tcPr>
          <w:p>
            <w:pPr>
              <w:pStyle w:val="yTable"/>
              <w:jc w:val="center"/>
            </w:pPr>
            <w:r>
              <w:t>64</w:t>
            </w:r>
          </w:p>
        </w:tc>
        <w:tc>
          <w:tcPr>
            <w:tcW w:w="1417" w:type="dxa"/>
          </w:tcPr>
          <w:p>
            <w:pPr>
              <w:pStyle w:val="yTable"/>
              <w:jc w:val="center"/>
            </w:pPr>
            <w:r>
              <w:t>28</w:t>
            </w:r>
          </w:p>
        </w:tc>
        <w:tc>
          <w:tcPr>
            <w:tcW w:w="1418" w:type="dxa"/>
          </w:tcPr>
          <w:p>
            <w:pPr>
              <w:pStyle w:val="yTable"/>
              <w:jc w:val="center"/>
            </w:pPr>
            <w:r>
              <w:t>41</w:t>
            </w:r>
          </w:p>
        </w:tc>
        <w:tc>
          <w:tcPr>
            <w:tcW w:w="1418" w:type="dxa"/>
          </w:tcPr>
          <w:p>
            <w:pPr>
              <w:pStyle w:val="yTable"/>
              <w:jc w:val="center"/>
            </w:pPr>
            <w:r>
              <w:t>59</w:t>
            </w:r>
          </w:p>
        </w:tc>
      </w:tr>
      <w:tr>
        <w:tc>
          <w:tcPr>
            <w:tcW w:w="1417" w:type="dxa"/>
          </w:tcPr>
          <w:p>
            <w:pPr>
              <w:pStyle w:val="yTable"/>
              <w:jc w:val="center"/>
            </w:pPr>
            <w:r>
              <w:t>1.50</w:t>
            </w:r>
          </w:p>
        </w:tc>
        <w:tc>
          <w:tcPr>
            <w:tcW w:w="1418" w:type="dxa"/>
          </w:tcPr>
          <w:p>
            <w:pPr>
              <w:pStyle w:val="yTable"/>
              <w:jc w:val="center"/>
            </w:pPr>
            <w:r>
              <w:t>62</w:t>
            </w:r>
          </w:p>
        </w:tc>
        <w:tc>
          <w:tcPr>
            <w:tcW w:w="1417" w:type="dxa"/>
          </w:tcPr>
          <w:p>
            <w:pPr>
              <w:pStyle w:val="yTable"/>
              <w:jc w:val="center"/>
            </w:pPr>
            <w:r>
              <w:t>28</w:t>
            </w:r>
          </w:p>
        </w:tc>
        <w:tc>
          <w:tcPr>
            <w:tcW w:w="1418" w:type="dxa"/>
          </w:tcPr>
          <w:p>
            <w:pPr>
              <w:pStyle w:val="yTable"/>
              <w:jc w:val="center"/>
            </w:pPr>
            <w:r>
              <w:t>40</w:t>
            </w:r>
          </w:p>
        </w:tc>
        <w:tc>
          <w:tcPr>
            <w:tcW w:w="1418" w:type="dxa"/>
          </w:tcPr>
          <w:p>
            <w:pPr>
              <w:pStyle w:val="yTable"/>
              <w:jc w:val="center"/>
            </w:pPr>
            <w:r>
              <w:t>57</w:t>
            </w:r>
          </w:p>
        </w:tc>
      </w:tr>
      <w:tr>
        <w:tc>
          <w:tcPr>
            <w:tcW w:w="1417" w:type="dxa"/>
          </w:tcPr>
          <w:p>
            <w:pPr>
              <w:pStyle w:val="yTable"/>
              <w:jc w:val="center"/>
            </w:pPr>
            <w:r>
              <w:t>1.55</w:t>
            </w:r>
          </w:p>
        </w:tc>
        <w:tc>
          <w:tcPr>
            <w:tcW w:w="1418" w:type="dxa"/>
          </w:tcPr>
          <w:p>
            <w:pPr>
              <w:pStyle w:val="yTable"/>
              <w:jc w:val="center"/>
            </w:pPr>
            <w:r>
              <w:t>60</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55</w:t>
            </w:r>
          </w:p>
        </w:tc>
      </w:tr>
      <w:tr>
        <w:tc>
          <w:tcPr>
            <w:tcW w:w="1417" w:type="dxa"/>
          </w:tcPr>
          <w:p>
            <w:pPr>
              <w:pStyle w:val="yTable"/>
              <w:jc w:val="center"/>
            </w:pPr>
            <w:r>
              <w:t>1.60</w:t>
            </w:r>
          </w:p>
        </w:tc>
        <w:tc>
          <w:tcPr>
            <w:tcW w:w="1418" w:type="dxa"/>
          </w:tcPr>
          <w:p>
            <w:pPr>
              <w:pStyle w:val="yTable"/>
              <w:jc w:val="center"/>
            </w:pPr>
            <w:r>
              <w:t>58</w:t>
            </w:r>
          </w:p>
        </w:tc>
        <w:tc>
          <w:tcPr>
            <w:tcW w:w="1417" w:type="dxa"/>
          </w:tcPr>
          <w:p>
            <w:pPr>
              <w:pStyle w:val="yTable"/>
              <w:jc w:val="center"/>
            </w:pPr>
            <w:r>
              <w:t>27</w:t>
            </w:r>
          </w:p>
        </w:tc>
        <w:tc>
          <w:tcPr>
            <w:tcW w:w="1418" w:type="dxa"/>
          </w:tcPr>
          <w:p>
            <w:pPr>
              <w:pStyle w:val="yTable"/>
              <w:jc w:val="center"/>
            </w:pPr>
            <w:r>
              <w:t>39</w:t>
            </w:r>
          </w:p>
        </w:tc>
        <w:tc>
          <w:tcPr>
            <w:tcW w:w="1418" w:type="dxa"/>
          </w:tcPr>
          <w:p>
            <w:pPr>
              <w:pStyle w:val="yTable"/>
              <w:jc w:val="center"/>
            </w:pPr>
            <w:r>
              <w:t>53</w:t>
            </w:r>
          </w:p>
        </w:tc>
      </w:tr>
      <w:tr>
        <w:tc>
          <w:tcPr>
            <w:tcW w:w="1417" w:type="dxa"/>
          </w:tcPr>
          <w:p>
            <w:pPr>
              <w:pStyle w:val="yTable"/>
              <w:jc w:val="center"/>
            </w:pPr>
            <w:r>
              <w:t>1.65</w:t>
            </w:r>
          </w:p>
        </w:tc>
        <w:tc>
          <w:tcPr>
            <w:tcW w:w="1418" w:type="dxa"/>
          </w:tcPr>
          <w:p>
            <w:pPr>
              <w:pStyle w:val="yTable"/>
              <w:jc w:val="center"/>
            </w:pPr>
            <w:r>
              <w:t>57</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53</w:t>
            </w:r>
          </w:p>
        </w:tc>
      </w:tr>
      <w:tr>
        <w:tc>
          <w:tcPr>
            <w:tcW w:w="1417" w:type="dxa"/>
          </w:tcPr>
          <w:p>
            <w:pPr>
              <w:pStyle w:val="yTable"/>
              <w:jc w:val="center"/>
            </w:pPr>
            <w:r>
              <w:t>1.70</w:t>
            </w:r>
          </w:p>
        </w:tc>
        <w:tc>
          <w:tcPr>
            <w:tcW w:w="1418" w:type="dxa"/>
          </w:tcPr>
          <w:p>
            <w:pPr>
              <w:pStyle w:val="yTable"/>
              <w:jc w:val="center"/>
            </w:pPr>
            <w:r>
              <w:t>55</w:t>
            </w:r>
          </w:p>
        </w:tc>
        <w:tc>
          <w:tcPr>
            <w:tcW w:w="1417" w:type="dxa"/>
          </w:tcPr>
          <w:p>
            <w:pPr>
              <w:pStyle w:val="yTable"/>
              <w:jc w:val="center"/>
            </w:pPr>
            <w:r>
              <w:t>27</w:t>
            </w:r>
          </w:p>
        </w:tc>
        <w:tc>
          <w:tcPr>
            <w:tcW w:w="1418" w:type="dxa"/>
          </w:tcPr>
          <w:p>
            <w:pPr>
              <w:pStyle w:val="yTable"/>
              <w:jc w:val="center"/>
            </w:pPr>
            <w:r>
              <w:t>38</w:t>
            </w:r>
          </w:p>
        </w:tc>
        <w:tc>
          <w:tcPr>
            <w:tcW w:w="1418" w:type="dxa"/>
          </w:tcPr>
          <w:p>
            <w:pPr>
              <w:pStyle w:val="yTable"/>
              <w:jc w:val="center"/>
            </w:pPr>
            <w:r>
              <w:t>51</w:t>
            </w:r>
          </w:p>
        </w:tc>
      </w:tr>
      <w:tr>
        <w:tc>
          <w:tcPr>
            <w:tcW w:w="1417" w:type="dxa"/>
          </w:tcPr>
          <w:p>
            <w:pPr>
              <w:pStyle w:val="yTable"/>
              <w:jc w:val="center"/>
            </w:pPr>
            <w:r>
              <w:t>1.75</w:t>
            </w:r>
          </w:p>
        </w:tc>
        <w:tc>
          <w:tcPr>
            <w:tcW w:w="1418" w:type="dxa"/>
          </w:tcPr>
          <w:p>
            <w:pPr>
              <w:pStyle w:val="yTable"/>
              <w:jc w:val="center"/>
            </w:pPr>
            <w:r>
              <w:t>53</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49</w:t>
            </w:r>
          </w:p>
        </w:tc>
      </w:tr>
      <w:tr>
        <w:tc>
          <w:tcPr>
            <w:tcW w:w="1417" w:type="dxa"/>
          </w:tcPr>
          <w:p>
            <w:pPr>
              <w:pStyle w:val="yTable"/>
              <w:jc w:val="center"/>
            </w:pPr>
            <w:r>
              <w:t>1.80</w:t>
            </w:r>
          </w:p>
        </w:tc>
        <w:tc>
          <w:tcPr>
            <w:tcW w:w="1418" w:type="dxa"/>
          </w:tcPr>
          <w:p>
            <w:pPr>
              <w:pStyle w:val="yTable"/>
              <w:jc w:val="center"/>
            </w:pPr>
            <w:r>
              <w:t>52</w:t>
            </w:r>
          </w:p>
        </w:tc>
        <w:tc>
          <w:tcPr>
            <w:tcW w:w="1417" w:type="dxa"/>
          </w:tcPr>
          <w:p>
            <w:pPr>
              <w:pStyle w:val="yTable"/>
              <w:jc w:val="center"/>
            </w:pPr>
            <w:r>
              <w:t>26</w:t>
            </w:r>
          </w:p>
        </w:tc>
        <w:tc>
          <w:tcPr>
            <w:tcW w:w="1418" w:type="dxa"/>
          </w:tcPr>
          <w:p>
            <w:pPr>
              <w:pStyle w:val="yTable"/>
              <w:jc w:val="center"/>
            </w:pPr>
            <w:r>
              <w:t>37</w:t>
            </w:r>
          </w:p>
        </w:tc>
        <w:tc>
          <w:tcPr>
            <w:tcW w:w="1418" w:type="dxa"/>
          </w:tcPr>
          <w:p>
            <w:pPr>
              <w:pStyle w:val="yTable"/>
              <w:jc w:val="center"/>
            </w:pPr>
            <w:r>
              <w:t>48</w:t>
            </w:r>
          </w:p>
        </w:tc>
      </w:tr>
      <w:tr>
        <w:tc>
          <w:tcPr>
            <w:tcW w:w="1417" w:type="dxa"/>
          </w:tcPr>
          <w:p>
            <w:pPr>
              <w:pStyle w:val="yTable"/>
              <w:jc w:val="center"/>
            </w:pPr>
            <w:r>
              <w:t>1.85</w:t>
            </w:r>
          </w:p>
        </w:tc>
        <w:tc>
          <w:tcPr>
            <w:tcW w:w="1418" w:type="dxa"/>
          </w:tcPr>
          <w:p>
            <w:pPr>
              <w:pStyle w:val="yTable"/>
              <w:jc w:val="center"/>
            </w:pPr>
            <w:r>
              <w:t>51</w:t>
            </w:r>
          </w:p>
        </w:tc>
        <w:tc>
          <w:tcPr>
            <w:tcW w:w="1417" w:type="dxa"/>
          </w:tcPr>
          <w:p>
            <w:pPr>
              <w:pStyle w:val="yTable"/>
              <w:jc w:val="center"/>
            </w:pPr>
            <w:r>
              <w:t>26</w:t>
            </w:r>
          </w:p>
        </w:tc>
        <w:tc>
          <w:tcPr>
            <w:tcW w:w="1418" w:type="dxa"/>
          </w:tcPr>
          <w:p>
            <w:pPr>
              <w:pStyle w:val="yTable"/>
              <w:jc w:val="center"/>
            </w:pPr>
            <w:r>
              <w:t>36</w:t>
            </w:r>
          </w:p>
        </w:tc>
        <w:tc>
          <w:tcPr>
            <w:tcW w:w="1418" w:type="dxa"/>
          </w:tcPr>
          <w:p>
            <w:pPr>
              <w:pStyle w:val="yTable"/>
              <w:jc w:val="center"/>
            </w:pPr>
            <w:r>
              <w:t>47</w:t>
            </w:r>
          </w:p>
        </w:tc>
      </w:tr>
      <w:tr>
        <w:tc>
          <w:tcPr>
            <w:tcW w:w="1417" w:type="dxa"/>
          </w:tcPr>
          <w:p>
            <w:pPr>
              <w:pStyle w:val="yTable"/>
              <w:jc w:val="center"/>
            </w:pPr>
            <w:r>
              <w:t>1.90</w:t>
            </w:r>
          </w:p>
        </w:tc>
        <w:tc>
          <w:tcPr>
            <w:tcW w:w="1418" w:type="dxa"/>
          </w:tcPr>
          <w:p>
            <w:pPr>
              <w:pStyle w:val="yTable"/>
              <w:jc w:val="center"/>
            </w:pPr>
            <w:r>
              <w:t>49</w:t>
            </w:r>
          </w:p>
        </w:tc>
        <w:tc>
          <w:tcPr>
            <w:tcW w:w="1417" w:type="dxa"/>
          </w:tcPr>
          <w:p>
            <w:pPr>
              <w:pStyle w:val="yTable"/>
              <w:jc w:val="center"/>
            </w:pPr>
            <w:r>
              <w:t>25</w:t>
            </w:r>
          </w:p>
        </w:tc>
        <w:tc>
          <w:tcPr>
            <w:tcW w:w="1418" w:type="dxa"/>
          </w:tcPr>
          <w:p>
            <w:pPr>
              <w:pStyle w:val="yTable"/>
              <w:jc w:val="center"/>
            </w:pPr>
            <w:r>
              <w:t>36</w:t>
            </w:r>
          </w:p>
        </w:tc>
        <w:tc>
          <w:tcPr>
            <w:tcW w:w="1418" w:type="dxa"/>
          </w:tcPr>
          <w:p>
            <w:pPr>
              <w:pStyle w:val="yTable"/>
              <w:jc w:val="center"/>
            </w:pPr>
            <w:r>
              <w:t>45</w:t>
            </w:r>
          </w:p>
        </w:tc>
      </w:tr>
      <w:tr>
        <w:tc>
          <w:tcPr>
            <w:tcW w:w="1417" w:type="dxa"/>
          </w:tcPr>
          <w:p>
            <w:pPr>
              <w:pStyle w:val="yTable"/>
              <w:jc w:val="center"/>
            </w:pPr>
            <w:r>
              <w:t>1.95</w:t>
            </w:r>
          </w:p>
        </w:tc>
        <w:tc>
          <w:tcPr>
            <w:tcW w:w="1418" w:type="dxa"/>
          </w:tcPr>
          <w:p>
            <w:pPr>
              <w:pStyle w:val="yTable"/>
              <w:jc w:val="center"/>
            </w:pPr>
            <w:r>
              <w:t>48</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44</w:t>
            </w:r>
          </w:p>
        </w:tc>
      </w:tr>
      <w:tr>
        <w:tc>
          <w:tcPr>
            <w:tcW w:w="1417" w:type="dxa"/>
          </w:tcPr>
          <w:p>
            <w:pPr>
              <w:pStyle w:val="yTable"/>
              <w:jc w:val="center"/>
            </w:pPr>
            <w:r>
              <w:t>2.00</w:t>
            </w:r>
          </w:p>
        </w:tc>
        <w:tc>
          <w:tcPr>
            <w:tcW w:w="1418" w:type="dxa"/>
          </w:tcPr>
          <w:p>
            <w:pPr>
              <w:pStyle w:val="yTable"/>
              <w:jc w:val="center"/>
            </w:pPr>
            <w:r>
              <w:t>47</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43</w:t>
            </w:r>
          </w:p>
        </w:tc>
      </w:tr>
      <w:tr>
        <w:tc>
          <w:tcPr>
            <w:tcW w:w="1417" w:type="dxa"/>
          </w:tcPr>
          <w:p>
            <w:pPr>
              <w:pStyle w:val="yTable"/>
              <w:jc w:val="center"/>
            </w:pPr>
            <w:r>
              <w:t>2.05</w:t>
            </w:r>
          </w:p>
        </w:tc>
        <w:tc>
          <w:tcPr>
            <w:tcW w:w="1418" w:type="dxa"/>
          </w:tcPr>
          <w:p>
            <w:pPr>
              <w:pStyle w:val="yTable"/>
              <w:jc w:val="center"/>
            </w:pPr>
            <w:r>
              <w:t>46</w:t>
            </w:r>
          </w:p>
        </w:tc>
        <w:tc>
          <w:tcPr>
            <w:tcW w:w="1417" w:type="dxa"/>
          </w:tcPr>
          <w:p>
            <w:pPr>
              <w:pStyle w:val="yTable"/>
              <w:jc w:val="center"/>
            </w:pPr>
            <w:r>
              <w:t>25</w:t>
            </w:r>
          </w:p>
        </w:tc>
        <w:tc>
          <w:tcPr>
            <w:tcW w:w="1418" w:type="dxa"/>
          </w:tcPr>
          <w:p>
            <w:pPr>
              <w:pStyle w:val="yTable"/>
              <w:jc w:val="center"/>
            </w:pPr>
            <w:r>
              <w:t>35</w:t>
            </w:r>
          </w:p>
        </w:tc>
        <w:tc>
          <w:tcPr>
            <w:tcW w:w="1418" w:type="dxa"/>
          </w:tcPr>
          <w:p>
            <w:pPr>
              <w:pStyle w:val="yTable"/>
              <w:jc w:val="center"/>
            </w:pPr>
            <w:r>
              <w:t>42</w:t>
            </w:r>
          </w:p>
        </w:tc>
      </w:tr>
      <w:tr>
        <w:tc>
          <w:tcPr>
            <w:tcW w:w="1417" w:type="dxa"/>
          </w:tcPr>
          <w:p>
            <w:pPr>
              <w:pStyle w:val="yTable"/>
              <w:jc w:val="center"/>
            </w:pPr>
            <w:r>
              <w:t>2.10</w:t>
            </w:r>
          </w:p>
        </w:tc>
        <w:tc>
          <w:tcPr>
            <w:tcW w:w="1418" w:type="dxa"/>
          </w:tcPr>
          <w:p>
            <w:pPr>
              <w:pStyle w:val="yTable"/>
              <w:jc w:val="center"/>
            </w:pPr>
            <w:r>
              <w:t>45</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41</w:t>
            </w:r>
          </w:p>
        </w:tc>
      </w:tr>
      <w:tr>
        <w:tc>
          <w:tcPr>
            <w:tcW w:w="1417" w:type="dxa"/>
          </w:tcPr>
          <w:p>
            <w:pPr>
              <w:pStyle w:val="yTable"/>
              <w:jc w:val="center"/>
            </w:pPr>
            <w:r>
              <w:t>2.15</w:t>
            </w:r>
          </w:p>
        </w:tc>
        <w:tc>
          <w:tcPr>
            <w:tcW w:w="1418" w:type="dxa"/>
          </w:tcPr>
          <w:p>
            <w:pPr>
              <w:pStyle w:val="yTable"/>
              <w:jc w:val="center"/>
            </w:pPr>
            <w:r>
              <w:t>43</w:t>
            </w:r>
          </w:p>
        </w:tc>
        <w:tc>
          <w:tcPr>
            <w:tcW w:w="1417" w:type="dxa"/>
          </w:tcPr>
          <w:p>
            <w:pPr>
              <w:pStyle w:val="yTable"/>
              <w:jc w:val="center"/>
            </w:pPr>
            <w:r>
              <w:t>24</w:t>
            </w:r>
          </w:p>
        </w:tc>
        <w:tc>
          <w:tcPr>
            <w:tcW w:w="1418" w:type="dxa"/>
          </w:tcPr>
          <w:p>
            <w:pPr>
              <w:pStyle w:val="yTable"/>
              <w:jc w:val="center"/>
            </w:pPr>
            <w:r>
              <w:t>34</w:t>
            </w:r>
          </w:p>
        </w:tc>
        <w:tc>
          <w:tcPr>
            <w:tcW w:w="1418" w:type="dxa"/>
          </w:tcPr>
          <w:p>
            <w:pPr>
              <w:pStyle w:val="yTable"/>
              <w:jc w:val="center"/>
            </w:pPr>
            <w:r>
              <w:t>40</w:t>
            </w:r>
          </w:p>
        </w:tc>
      </w:tr>
      <w:tr>
        <w:tc>
          <w:tcPr>
            <w:tcW w:w="1417" w:type="dxa"/>
          </w:tcPr>
          <w:p>
            <w:pPr>
              <w:pStyle w:val="yTable"/>
              <w:jc w:val="center"/>
            </w:pPr>
            <w:r>
              <w:t>2.20</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2.25</w:t>
            </w:r>
          </w:p>
        </w:tc>
        <w:tc>
          <w:tcPr>
            <w:tcW w:w="1418" w:type="dxa"/>
          </w:tcPr>
          <w:p>
            <w:pPr>
              <w:pStyle w:val="yTable"/>
              <w:jc w:val="center"/>
            </w:pPr>
            <w:r>
              <w:t>42</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2.30</w:t>
            </w:r>
          </w:p>
        </w:tc>
        <w:tc>
          <w:tcPr>
            <w:tcW w:w="1418" w:type="dxa"/>
          </w:tcPr>
          <w:p>
            <w:pPr>
              <w:pStyle w:val="yTable"/>
              <w:jc w:val="center"/>
            </w:pPr>
            <w:r>
              <w:t>41</w:t>
            </w:r>
          </w:p>
        </w:tc>
        <w:tc>
          <w:tcPr>
            <w:tcW w:w="1417" w:type="dxa"/>
          </w:tcPr>
          <w:p>
            <w:pPr>
              <w:pStyle w:val="yTable"/>
              <w:jc w:val="center"/>
            </w:pPr>
            <w:r>
              <w:t>24</w:t>
            </w:r>
          </w:p>
        </w:tc>
        <w:tc>
          <w:tcPr>
            <w:tcW w:w="1418" w:type="dxa"/>
          </w:tcPr>
          <w:p>
            <w:pPr>
              <w:pStyle w:val="yTable"/>
              <w:jc w:val="center"/>
            </w:pPr>
            <w:r>
              <w:t>33</w:t>
            </w:r>
          </w:p>
        </w:tc>
        <w:tc>
          <w:tcPr>
            <w:tcW w:w="1418" w:type="dxa"/>
          </w:tcPr>
          <w:p>
            <w:pPr>
              <w:pStyle w:val="yTable"/>
              <w:jc w:val="center"/>
            </w:pPr>
            <w:r>
              <w:t>39</w:t>
            </w:r>
          </w:p>
        </w:tc>
      </w:tr>
      <w:tr>
        <w:tc>
          <w:tcPr>
            <w:tcW w:w="1417" w:type="dxa"/>
          </w:tcPr>
          <w:p>
            <w:pPr>
              <w:pStyle w:val="yTable"/>
              <w:jc w:val="center"/>
            </w:pPr>
            <w:r>
              <w:t>2.35</w:t>
            </w:r>
          </w:p>
        </w:tc>
        <w:tc>
          <w:tcPr>
            <w:tcW w:w="1418" w:type="dxa"/>
          </w:tcPr>
          <w:p>
            <w:pPr>
              <w:pStyle w:val="yTable"/>
              <w:jc w:val="center"/>
            </w:pPr>
            <w:r>
              <w:t>40</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38</w:t>
            </w:r>
          </w:p>
        </w:tc>
      </w:tr>
      <w:tr>
        <w:tc>
          <w:tcPr>
            <w:tcW w:w="1417" w:type="dxa"/>
          </w:tcPr>
          <w:p>
            <w:pPr>
              <w:pStyle w:val="yTable"/>
              <w:jc w:val="center"/>
            </w:pPr>
            <w:r>
              <w:t>2.40</w:t>
            </w:r>
          </w:p>
        </w:tc>
        <w:tc>
          <w:tcPr>
            <w:tcW w:w="1418" w:type="dxa"/>
          </w:tcPr>
          <w:p>
            <w:pPr>
              <w:pStyle w:val="yTable"/>
              <w:jc w:val="center"/>
            </w:pPr>
            <w:r>
              <w:t>39</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37</w:t>
            </w:r>
          </w:p>
        </w:tc>
      </w:tr>
      <w:tr>
        <w:tc>
          <w:tcPr>
            <w:tcW w:w="1417" w:type="dxa"/>
          </w:tcPr>
          <w:p>
            <w:pPr>
              <w:pStyle w:val="yTable"/>
              <w:jc w:val="center"/>
            </w:pPr>
            <w:r>
              <w:t>2.45</w:t>
            </w:r>
          </w:p>
        </w:tc>
        <w:tc>
          <w:tcPr>
            <w:tcW w:w="1418" w:type="dxa"/>
          </w:tcPr>
          <w:p>
            <w:pPr>
              <w:pStyle w:val="yTable"/>
              <w:jc w:val="center"/>
            </w:pPr>
            <w:r>
              <w:t>38</w:t>
            </w:r>
          </w:p>
        </w:tc>
        <w:tc>
          <w:tcPr>
            <w:tcW w:w="1417" w:type="dxa"/>
          </w:tcPr>
          <w:p>
            <w:pPr>
              <w:pStyle w:val="yTable"/>
              <w:jc w:val="center"/>
            </w:pPr>
            <w:r>
              <w:t>23</w:t>
            </w:r>
          </w:p>
        </w:tc>
        <w:tc>
          <w:tcPr>
            <w:tcW w:w="1418" w:type="dxa"/>
          </w:tcPr>
          <w:p>
            <w:pPr>
              <w:pStyle w:val="yTable"/>
              <w:jc w:val="center"/>
            </w:pPr>
            <w:r>
              <w:t>32</w:t>
            </w:r>
          </w:p>
        </w:tc>
        <w:tc>
          <w:tcPr>
            <w:tcW w:w="1418" w:type="dxa"/>
          </w:tcPr>
          <w:p>
            <w:pPr>
              <w:pStyle w:val="yTable"/>
              <w:jc w:val="center"/>
            </w:pPr>
            <w:r>
              <w:t>36</w:t>
            </w:r>
          </w:p>
        </w:tc>
      </w:tr>
      <w:tr>
        <w:tc>
          <w:tcPr>
            <w:tcW w:w="1417" w:type="dxa"/>
          </w:tcPr>
          <w:p>
            <w:pPr>
              <w:pStyle w:val="yTable"/>
              <w:jc w:val="center"/>
            </w:pPr>
            <w:r>
              <w:t>2.50</w:t>
            </w:r>
          </w:p>
        </w:tc>
        <w:tc>
          <w:tcPr>
            <w:tcW w:w="1418" w:type="dxa"/>
          </w:tcPr>
          <w:p>
            <w:pPr>
              <w:pStyle w:val="yTable"/>
              <w:jc w:val="center"/>
            </w:pPr>
            <w:r>
              <w:t>37</w:t>
            </w:r>
          </w:p>
        </w:tc>
        <w:tc>
          <w:tcPr>
            <w:tcW w:w="1417" w:type="dxa"/>
          </w:tcPr>
          <w:p>
            <w:pPr>
              <w:pStyle w:val="yTable"/>
              <w:jc w:val="center"/>
            </w:pPr>
            <w:r>
              <w:t>23</w:t>
            </w:r>
          </w:p>
        </w:tc>
        <w:tc>
          <w:tcPr>
            <w:tcW w:w="1418" w:type="dxa"/>
          </w:tcPr>
          <w:p>
            <w:pPr>
              <w:pStyle w:val="yTable"/>
              <w:jc w:val="center"/>
            </w:pPr>
            <w:r>
              <w:t>31</w:t>
            </w:r>
          </w:p>
        </w:tc>
        <w:tc>
          <w:tcPr>
            <w:tcW w:w="1418" w:type="dxa"/>
          </w:tcPr>
          <w:p>
            <w:pPr>
              <w:pStyle w:val="yTable"/>
              <w:jc w:val="center"/>
            </w:pPr>
            <w:r>
              <w:t>35</w:t>
            </w:r>
          </w:p>
        </w:tc>
      </w:tr>
      <w:tr>
        <w:tc>
          <w:tcPr>
            <w:tcW w:w="1417" w:type="dxa"/>
          </w:tcPr>
          <w:p>
            <w:pPr>
              <w:pStyle w:val="yTable"/>
              <w:jc w:val="center"/>
            </w:pPr>
            <w:r>
              <w:t>2.60</w:t>
            </w:r>
          </w:p>
        </w:tc>
        <w:tc>
          <w:tcPr>
            <w:tcW w:w="1418" w:type="dxa"/>
          </w:tcPr>
          <w:p>
            <w:pPr>
              <w:pStyle w:val="yTable"/>
              <w:jc w:val="center"/>
            </w:pPr>
            <w:r>
              <w:t>36</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34</w:t>
            </w:r>
          </w:p>
        </w:tc>
      </w:tr>
      <w:tr>
        <w:tc>
          <w:tcPr>
            <w:tcW w:w="1417" w:type="dxa"/>
          </w:tcPr>
          <w:p>
            <w:pPr>
              <w:pStyle w:val="yTable"/>
              <w:jc w:val="center"/>
            </w:pPr>
            <w:r>
              <w:t>2.70</w:t>
            </w:r>
          </w:p>
        </w:tc>
        <w:tc>
          <w:tcPr>
            <w:tcW w:w="1418" w:type="dxa"/>
          </w:tcPr>
          <w:p>
            <w:pPr>
              <w:pStyle w:val="yTable"/>
              <w:jc w:val="center"/>
            </w:pPr>
            <w:r>
              <w:t>35</w:t>
            </w:r>
          </w:p>
        </w:tc>
        <w:tc>
          <w:tcPr>
            <w:tcW w:w="1417" w:type="dxa"/>
          </w:tcPr>
          <w:p>
            <w:pPr>
              <w:pStyle w:val="yTable"/>
              <w:jc w:val="center"/>
            </w:pPr>
            <w:r>
              <w:t>22</w:t>
            </w:r>
          </w:p>
        </w:tc>
        <w:tc>
          <w:tcPr>
            <w:tcW w:w="1418" w:type="dxa"/>
          </w:tcPr>
          <w:p>
            <w:pPr>
              <w:pStyle w:val="yTable"/>
              <w:jc w:val="center"/>
            </w:pPr>
            <w:r>
              <w:t>30</w:t>
            </w:r>
          </w:p>
        </w:tc>
        <w:tc>
          <w:tcPr>
            <w:tcW w:w="1418" w:type="dxa"/>
          </w:tcPr>
          <w:p>
            <w:pPr>
              <w:pStyle w:val="yTable"/>
              <w:jc w:val="center"/>
            </w:pPr>
            <w:r>
              <w:t>33</w:t>
            </w:r>
          </w:p>
        </w:tc>
      </w:tr>
      <w:tr>
        <w:tc>
          <w:tcPr>
            <w:tcW w:w="1417" w:type="dxa"/>
          </w:tcPr>
          <w:p>
            <w:pPr>
              <w:pStyle w:val="yTable"/>
              <w:jc w:val="center"/>
            </w:pPr>
            <w:r>
              <w:t>2.80</w:t>
            </w:r>
          </w:p>
        </w:tc>
        <w:tc>
          <w:tcPr>
            <w:tcW w:w="1418" w:type="dxa"/>
          </w:tcPr>
          <w:p>
            <w:pPr>
              <w:pStyle w:val="yTable"/>
              <w:jc w:val="center"/>
            </w:pPr>
            <w:r>
              <w:t>33</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31</w:t>
            </w:r>
          </w:p>
        </w:tc>
      </w:tr>
      <w:tr>
        <w:tc>
          <w:tcPr>
            <w:tcW w:w="1417" w:type="dxa"/>
          </w:tcPr>
          <w:p>
            <w:pPr>
              <w:pStyle w:val="yTable"/>
              <w:jc w:val="center"/>
            </w:pPr>
            <w:r>
              <w:t>2.90</w:t>
            </w:r>
          </w:p>
        </w:tc>
        <w:tc>
          <w:tcPr>
            <w:tcW w:w="1418" w:type="dxa"/>
          </w:tcPr>
          <w:p>
            <w:pPr>
              <w:pStyle w:val="yTable"/>
              <w:jc w:val="center"/>
            </w:pPr>
            <w:r>
              <w:t>32</w:t>
            </w:r>
          </w:p>
        </w:tc>
        <w:tc>
          <w:tcPr>
            <w:tcW w:w="1417" w:type="dxa"/>
          </w:tcPr>
          <w:p>
            <w:pPr>
              <w:pStyle w:val="yTable"/>
              <w:jc w:val="center"/>
            </w:pPr>
            <w:r>
              <w:t>21</w:t>
            </w:r>
          </w:p>
        </w:tc>
        <w:tc>
          <w:tcPr>
            <w:tcW w:w="1418" w:type="dxa"/>
          </w:tcPr>
          <w:p>
            <w:pPr>
              <w:pStyle w:val="yTable"/>
              <w:jc w:val="center"/>
            </w:pPr>
            <w:r>
              <w:t>29</w:t>
            </w:r>
          </w:p>
        </w:tc>
        <w:tc>
          <w:tcPr>
            <w:tcW w:w="1418" w:type="dxa"/>
          </w:tcPr>
          <w:p>
            <w:pPr>
              <w:pStyle w:val="yTable"/>
              <w:jc w:val="center"/>
            </w:pPr>
            <w:r>
              <w:t>30</w:t>
            </w:r>
          </w:p>
        </w:tc>
      </w:tr>
      <w:tr>
        <w:tc>
          <w:tcPr>
            <w:tcW w:w="1417" w:type="dxa"/>
          </w:tcPr>
          <w:p>
            <w:pPr>
              <w:pStyle w:val="yTable"/>
              <w:jc w:val="center"/>
            </w:pPr>
            <w:r>
              <w:t>3.00</w:t>
            </w:r>
          </w:p>
        </w:tc>
        <w:tc>
          <w:tcPr>
            <w:tcW w:w="1418" w:type="dxa"/>
          </w:tcPr>
          <w:p>
            <w:pPr>
              <w:pStyle w:val="yTable"/>
              <w:jc w:val="center"/>
            </w:pPr>
            <w:r>
              <w:t>31</w:t>
            </w:r>
          </w:p>
        </w:tc>
        <w:tc>
          <w:tcPr>
            <w:tcW w:w="1417" w:type="dxa"/>
          </w:tcPr>
          <w:p>
            <w:pPr>
              <w:pStyle w:val="yTable"/>
              <w:jc w:val="center"/>
            </w:pPr>
            <w:r>
              <w:t>21</w:t>
            </w:r>
          </w:p>
        </w:tc>
        <w:tc>
          <w:tcPr>
            <w:tcW w:w="1418" w:type="dxa"/>
          </w:tcPr>
          <w:p>
            <w:pPr>
              <w:pStyle w:val="yTable"/>
              <w:jc w:val="center"/>
            </w:pPr>
            <w:r>
              <w:t>28</w:t>
            </w:r>
          </w:p>
        </w:tc>
        <w:tc>
          <w:tcPr>
            <w:tcW w:w="1418" w:type="dxa"/>
          </w:tcPr>
          <w:p>
            <w:pPr>
              <w:pStyle w:val="yTable"/>
              <w:jc w:val="center"/>
            </w:pPr>
            <w:r>
              <w:t>29</w:t>
            </w:r>
          </w:p>
        </w:tc>
      </w:tr>
      <w:tr>
        <w:tc>
          <w:tcPr>
            <w:tcW w:w="1417" w:type="dxa"/>
          </w:tcPr>
          <w:p>
            <w:pPr>
              <w:pStyle w:val="yTable"/>
              <w:jc w:val="center"/>
            </w:pPr>
            <w:r>
              <w:t>3.10</w:t>
            </w:r>
          </w:p>
        </w:tc>
        <w:tc>
          <w:tcPr>
            <w:tcW w:w="1418" w:type="dxa"/>
          </w:tcPr>
          <w:p>
            <w:pPr>
              <w:pStyle w:val="yTable"/>
              <w:jc w:val="center"/>
            </w:pPr>
            <w:r>
              <w:t>30</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28</w:t>
            </w:r>
          </w:p>
        </w:tc>
      </w:tr>
      <w:tr>
        <w:tc>
          <w:tcPr>
            <w:tcW w:w="1417" w:type="dxa"/>
          </w:tcPr>
          <w:p>
            <w:pPr>
              <w:pStyle w:val="yTable"/>
              <w:jc w:val="center"/>
            </w:pPr>
            <w:r>
              <w:t>3.20</w:t>
            </w:r>
          </w:p>
        </w:tc>
        <w:tc>
          <w:tcPr>
            <w:tcW w:w="1418" w:type="dxa"/>
          </w:tcPr>
          <w:p>
            <w:pPr>
              <w:pStyle w:val="yTable"/>
              <w:jc w:val="center"/>
            </w:pPr>
            <w:r>
              <w:t>29</w:t>
            </w:r>
          </w:p>
        </w:tc>
        <w:tc>
          <w:tcPr>
            <w:tcW w:w="1417" w:type="dxa"/>
          </w:tcPr>
          <w:p>
            <w:pPr>
              <w:pStyle w:val="yTable"/>
              <w:jc w:val="center"/>
            </w:pPr>
            <w:r>
              <w:t>20</w:t>
            </w:r>
          </w:p>
        </w:tc>
        <w:tc>
          <w:tcPr>
            <w:tcW w:w="1418" w:type="dxa"/>
          </w:tcPr>
          <w:p>
            <w:pPr>
              <w:pStyle w:val="yTable"/>
              <w:jc w:val="center"/>
            </w:pPr>
            <w:r>
              <w:t>27</w:t>
            </w:r>
          </w:p>
        </w:tc>
        <w:tc>
          <w:tcPr>
            <w:tcW w:w="1418" w:type="dxa"/>
          </w:tcPr>
          <w:p>
            <w:pPr>
              <w:pStyle w:val="yTable"/>
              <w:jc w:val="center"/>
            </w:pPr>
            <w:r>
              <w:t>27</w:t>
            </w:r>
          </w:p>
        </w:tc>
      </w:tr>
      <w:tr>
        <w:tc>
          <w:tcPr>
            <w:tcW w:w="1417" w:type="dxa"/>
          </w:tcPr>
          <w:p>
            <w:pPr>
              <w:pStyle w:val="yTable"/>
              <w:jc w:val="center"/>
            </w:pPr>
            <w:r>
              <w:t>3.30</w:t>
            </w:r>
          </w:p>
        </w:tc>
        <w:tc>
          <w:tcPr>
            <w:tcW w:w="1418" w:type="dxa"/>
          </w:tcPr>
          <w:p>
            <w:pPr>
              <w:pStyle w:val="yTable"/>
              <w:jc w:val="center"/>
            </w:pPr>
            <w:r>
              <w:t>28</w:t>
            </w:r>
          </w:p>
        </w:tc>
        <w:tc>
          <w:tcPr>
            <w:tcW w:w="1417" w:type="dxa"/>
          </w:tcPr>
          <w:p>
            <w:pPr>
              <w:pStyle w:val="yTable"/>
              <w:jc w:val="center"/>
            </w:pPr>
            <w:r>
              <w:t>20</w:t>
            </w:r>
          </w:p>
        </w:tc>
        <w:tc>
          <w:tcPr>
            <w:tcW w:w="1418" w:type="dxa"/>
          </w:tcPr>
          <w:p>
            <w:pPr>
              <w:pStyle w:val="yTable"/>
              <w:jc w:val="center"/>
            </w:pPr>
            <w:r>
              <w:t>26</w:t>
            </w:r>
          </w:p>
        </w:tc>
        <w:tc>
          <w:tcPr>
            <w:tcW w:w="1418" w:type="dxa"/>
          </w:tcPr>
          <w:p>
            <w:pPr>
              <w:pStyle w:val="yTable"/>
              <w:jc w:val="center"/>
            </w:pPr>
            <w:r>
              <w:t>26</w:t>
            </w:r>
          </w:p>
        </w:tc>
      </w:tr>
      <w:tr>
        <w:tc>
          <w:tcPr>
            <w:tcW w:w="1417" w:type="dxa"/>
          </w:tcPr>
          <w:p>
            <w:pPr>
              <w:pStyle w:val="yTable"/>
              <w:jc w:val="center"/>
            </w:pPr>
            <w:r>
              <w:t>3.40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26</w:t>
            </w:r>
          </w:p>
        </w:tc>
        <w:tc>
          <w:tcPr>
            <w:tcW w:w="1418" w:type="dxa"/>
          </w:tcPr>
          <w:p>
            <w:pPr>
              <w:pStyle w:val="yTable"/>
              <w:jc w:val="center"/>
            </w:pPr>
            <w:r>
              <w:t>25</w:t>
            </w:r>
          </w:p>
        </w:tc>
      </w:tr>
      <w:tr>
        <w:tc>
          <w:tcPr>
            <w:tcW w:w="1417" w:type="dxa"/>
          </w:tcPr>
          <w:p>
            <w:pPr>
              <w:pStyle w:val="yTable"/>
              <w:jc w:val="center"/>
            </w:pPr>
            <w:r>
              <w:t>3.50</w:t>
            </w:r>
          </w:p>
        </w:tc>
        <w:tc>
          <w:tcPr>
            <w:tcW w:w="1418" w:type="dxa"/>
          </w:tcPr>
          <w:p>
            <w:pPr>
              <w:pStyle w:val="yTable"/>
              <w:jc w:val="center"/>
            </w:pPr>
            <w:r>
              <w:t>27</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25</w:t>
            </w:r>
          </w:p>
        </w:tc>
      </w:tr>
      <w:tr>
        <w:tc>
          <w:tcPr>
            <w:tcW w:w="1417" w:type="dxa"/>
          </w:tcPr>
          <w:p>
            <w:pPr>
              <w:pStyle w:val="yTable"/>
              <w:jc w:val="center"/>
            </w:pPr>
            <w:r>
              <w:t>3.60</w:t>
            </w:r>
          </w:p>
        </w:tc>
        <w:tc>
          <w:tcPr>
            <w:tcW w:w="1418" w:type="dxa"/>
          </w:tcPr>
          <w:p>
            <w:pPr>
              <w:pStyle w:val="yTable"/>
              <w:jc w:val="center"/>
            </w:pPr>
            <w:r>
              <w:t>26</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3.70</w:t>
            </w:r>
          </w:p>
        </w:tc>
        <w:tc>
          <w:tcPr>
            <w:tcW w:w="1418" w:type="dxa"/>
          </w:tcPr>
          <w:p>
            <w:pPr>
              <w:pStyle w:val="yTable"/>
              <w:jc w:val="center"/>
            </w:pPr>
            <w:r>
              <w:t>25</w:t>
            </w:r>
          </w:p>
        </w:tc>
        <w:tc>
          <w:tcPr>
            <w:tcW w:w="1417" w:type="dxa"/>
          </w:tcPr>
          <w:p>
            <w:pPr>
              <w:pStyle w:val="yTable"/>
              <w:jc w:val="center"/>
            </w:pPr>
            <w:r>
              <w:t>19</w:t>
            </w:r>
          </w:p>
        </w:tc>
        <w:tc>
          <w:tcPr>
            <w:tcW w:w="1418" w:type="dxa"/>
          </w:tcPr>
          <w:p>
            <w:pPr>
              <w:pStyle w:val="yTable"/>
              <w:jc w:val="center"/>
            </w:pPr>
            <w:r>
              <w:t>25</w:t>
            </w:r>
          </w:p>
        </w:tc>
        <w:tc>
          <w:tcPr>
            <w:tcW w:w="1418" w:type="dxa"/>
          </w:tcPr>
          <w:p>
            <w:pPr>
              <w:pStyle w:val="yTable"/>
              <w:jc w:val="center"/>
            </w:pPr>
            <w:r>
              <w:t>24</w:t>
            </w:r>
          </w:p>
        </w:tc>
      </w:tr>
      <w:tr>
        <w:tc>
          <w:tcPr>
            <w:tcW w:w="1417" w:type="dxa"/>
          </w:tcPr>
          <w:p>
            <w:pPr>
              <w:pStyle w:val="yTable"/>
              <w:jc w:val="center"/>
            </w:pPr>
            <w:r>
              <w:t>3.80</w:t>
            </w:r>
          </w:p>
        </w:tc>
        <w:tc>
          <w:tcPr>
            <w:tcW w:w="1418" w:type="dxa"/>
          </w:tcPr>
          <w:p>
            <w:pPr>
              <w:pStyle w:val="yTable"/>
              <w:jc w:val="center"/>
            </w:pPr>
            <w:r>
              <w:t>25</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24</w:t>
            </w:r>
          </w:p>
        </w:tc>
      </w:tr>
      <w:tr>
        <w:tc>
          <w:tcPr>
            <w:tcW w:w="1417" w:type="dxa"/>
          </w:tcPr>
          <w:p>
            <w:pPr>
              <w:pStyle w:val="yTable"/>
              <w:jc w:val="center"/>
            </w:pPr>
            <w:r>
              <w:t>3.90</w:t>
            </w:r>
          </w:p>
        </w:tc>
        <w:tc>
          <w:tcPr>
            <w:tcW w:w="1418" w:type="dxa"/>
          </w:tcPr>
          <w:p>
            <w:pPr>
              <w:pStyle w:val="yTable"/>
              <w:jc w:val="center"/>
            </w:pPr>
            <w:r>
              <w:t>24</w:t>
            </w:r>
          </w:p>
        </w:tc>
        <w:tc>
          <w:tcPr>
            <w:tcW w:w="1417" w:type="dxa"/>
          </w:tcPr>
          <w:p>
            <w:pPr>
              <w:pStyle w:val="yTable"/>
              <w:jc w:val="center"/>
            </w:pPr>
            <w:r>
              <w:t>18</w:t>
            </w:r>
          </w:p>
        </w:tc>
        <w:tc>
          <w:tcPr>
            <w:tcW w:w="1418" w:type="dxa"/>
          </w:tcPr>
          <w:p>
            <w:pPr>
              <w:pStyle w:val="yTable"/>
              <w:jc w:val="center"/>
            </w:pPr>
            <w:r>
              <w:t>24</w:t>
            </w:r>
          </w:p>
        </w:tc>
        <w:tc>
          <w:tcPr>
            <w:tcW w:w="1418" w:type="dxa"/>
          </w:tcPr>
          <w:p>
            <w:pPr>
              <w:pStyle w:val="yTable"/>
              <w:jc w:val="center"/>
            </w:pPr>
            <w:r>
              <w:t>23</w:t>
            </w:r>
          </w:p>
        </w:tc>
      </w:tr>
      <w:tr>
        <w:tc>
          <w:tcPr>
            <w:tcW w:w="1417" w:type="dxa"/>
          </w:tcPr>
          <w:p>
            <w:pPr>
              <w:pStyle w:val="yTable"/>
              <w:jc w:val="center"/>
            </w:pPr>
            <w:r>
              <w:t>4.00</w:t>
            </w:r>
          </w:p>
        </w:tc>
        <w:tc>
          <w:tcPr>
            <w:tcW w:w="1418" w:type="dxa"/>
          </w:tcPr>
          <w:p>
            <w:pPr>
              <w:pStyle w:val="yTable"/>
              <w:jc w:val="center"/>
            </w:pPr>
            <w:r>
              <w:t>23</w:t>
            </w:r>
          </w:p>
        </w:tc>
        <w:tc>
          <w:tcPr>
            <w:tcW w:w="1417" w:type="dxa"/>
          </w:tcPr>
          <w:p>
            <w:pPr>
              <w:pStyle w:val="yTable"/>
              <w:jc w:val="center"/>
            </w:pPr>
            <w:r>
              <w:t>18</w:t>
            </w:r>
          </w:p>
        </w:tc>
        <w:tc>
          <w:tcPr>
            <w:tcW w:w="1418" w:type="dxa"/>
          </w:tcPr>
          <w:p>
            <w:pPr>
              <w:pStyle w:val="yTable"/>
              <w:jc w:val="center"/>
            </w:pPr>
            <w:r>
              <w:t>23</w:t>
            </w:r>
          </w:p>
        </w:tc>
        <w:tc>
          <w:tcPr>
            <w:tcW w:w="1418" w:type="dxa"/>
          </w:tcPr>
          <w:p>
            <w:pPr>
              <w:pStyle w:val="yTable"/>
              <w:jc w:val="center"/>
            </w:pPr>
            <w:r>
              <w:t>22</w:t>
            </w:r>
          </w:p>
        </w:tc>
      </w:tr>
      <w:tr>
        <w:tc>
          <w:tcPr>
            <w:tcW w:w="1417" w:type="dxa"/>
          </w:tcPr>
          <w:p>
            <w:pPr>
              <w:pStyle w:val="yTable"/>
              <w:jc w:val="center"/>
            </w:pPr>
            <w:r>
              <w:t>4.20</w:t>
            </w:r>
          </w:p>
        </w:tc>
        <w:tc>
          <w:tcPr>
            <w:tcW w:w="1418" w:type="dxa"/>
          </w:tcPr>
          <w:p>
            <w:pPr>
              <w:pStyle w:val="yTable"/>
              <w:jc w:val="center"/>
            </w:pPr>
            <w:r>
              <w:t>22</w:t>
            </w:r>
          </w:p>
        </w:tc>
        <w:tc>
          <w:tcPr>
            <w:tcW w:w="1417" w:type="dxa"/>
          </w:tcPr>
          <w:p>
            <w:pPr>
              <w:pStyle w:val="yTable"/>
              <w:jc w:val="center"/>
            </w:pPr>
            <w:r>
              <w:t>17</w:t>
            </w:r>
          </w:p>
        </w:tc>
        <w:tc>
          <w:tcPr>
            <w:tcW w:w="1418" w:type="dxa"/>
          </w:tcPr>
          <w:p>
            <w:pPr>
              <w:pStyle w:val="yTable"/>
              <w:jc w:val="center"/>
            </w:pPr>
            <w:r>
              <w:t>23</w:t>
            </w:r>
          </w:p>
        </w:tc>
        <w:tc>
          <w:tcPr>
            <w:tcW w:w="1418" w:type="dxa"/>
          </w:tcPr>
          <w:p>
            <w:pPr>
              <w:pStyle w:val="yTable"/>
              <w:jc w:val="center"/>
            </w:pPr>
            <w:r>
              <w:t>21</w:t>
            </w:r>
          </w:p>
        </w:tc>
      </w:tr>
      <w:tr>
        <w:tc>
          <w:tcPr>
            <w:tcW w:w="1417" w:type="dxa"/>
          </w:tcPr>
          <w:p>
            <w:pPr>
              <w:pStyle w:val="yTable"/>
              <w:jc w:val="center"/>
            </w:pPr>
            <w:r>
              <w:t>4.40</w:t>
            </w:r>
          </w:p>
        </w:tc>
        <w:tc>
          <w:tcPr>
            <w:tcW w:w="1418" w:type="dxa"/>
          </w:tcPr>
          <w:p>
            <w:pPr>
              <w:pStyle w:val="yTable"/>
              <w:jc w:val="center"/>
            </w:pPr>
            <w:r>
              <w:t>21</w:t>
            </w:r>
          </w:p>
        </w:tc>
        <w:tc>
          <w:tcPr>
            <w:tcW w:w="1417" w:type="dxa"/>
          </w:tcPr>
          <w:p>
            <w:pPr>
              <w:pStyle w:val="yTable"/>
              <w:jc w:val="center"/>
            </w:pPr>
            <w:r>
              <w:t>17</w:t>
            </w:r>
          </w:p>
        </w:tc>
        <w:tc>
          <w:tcPr>
            <w:tcW w:w="1418" w:type="dxa"/>
          </w:tcPr>
          <w:p>
            <w:pPr>
              <w:pStyle w:val="yTable"/>
              <w:jc w:val="center"/>
            </w:pPr>
            <w:r>
              <w:t>22</w:t>
            </w:r>
          </w:p>
        </w:tc>
        <w:tc>
          <w:tcPr>
            <w:tcW w:w="1418" w:type="dxa"/>
          </w:tcPr>
          <w:p>
            <w:pPr>
              <w:pStyle w:val="yTable"/>
              <w:jc w:val="center"/>
            </w:pPr>
            <w:r>
              <w:t>20</w:t>
            </w:r>
          </w:p>
        </w:tc>
      </w:tr>
      <w:tr>
        <w:tc>
          <w:tcPr>
            <w:tcW w:w="1417" w:type="dxa"/>
          </w:tcPr>
          <w:p>
            <w:pPr>
              <w:pStyle w:val="yTable"/>
              <w:jc w:val="center"/>
            </w:pPr>
            <w:r>
              <w:t>4.60</w:t>
            </w:r>
          </w:p>
        </w:tc>
        <w:tc>
          <w:tcPr>
            <w:tcW w:w="1418" w:type="dxa"/>
          </w:tcPr>
          <w:p>
            <w:pPr>
              <w:pStyle w:val="yTable"/>
              <w:jc w:val="center"/>
            </w:pPr>
            <w:r>
              <w:t>20</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19</w:t>
            </w:r>
          </w:p>
        </w:tc>
      </w:tr>
      <w:tr>
        <w:tc>
          <w:tcPr>
            <w:tcW w:w="1417" w:type="dxa"/>
          </w:tcPr>
          <w:p>
            <w:pPr>
              <w:pStyle w:val="yTable"/>
              <w:jc w:val="center"/>
            </w:pPr>
            <w:r>
              <w:t>4.80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21</w:t>
            </w:r>
          </w:p>
        </w:tc>
        <w:tc>
          <w:tcPr>
            <w:tcW w:w="1418" w:type="dxa"/>
          </w:tcPr>
          <w:p>
            <w:pPr>
              <w:pStyle w:val="yTable"/>
              <w:jc w:val="center"/>
            </w:pPr>
            <w:r>
              <w:t>18</w:t>
            </w:r>
          </w:p>
        </w:tc>
      </w:tr>
      <w:tr>
        <w:tc>
          <w:tcPr>
            <w:tcW w:w="1417" w:type="dxa"/>
          </w:tcPr>
          <w:p>
            <w:pPr>
              <w:pStyle w:val="yTable"/>
              <w:jc w:val="center"/>
            </w:pPr>
            <w:r>
              <w:t>5.00</w:t>
            </w:r>
          </w:p>
        </w:tc>
        <w:tc>
          <w:tcPr>
            <w:tcW w:w="1418" w:type="dxa"/>
          </w:tcPr>
          <w:p>
            <w:pPr>
              <w:pStyle w:val="yTable"/>
              <w:jc w:val="center"/>
            </w:pPr>
            <w:r>
              <w:t>19</w:t>
            </w:r>
          </w:p>
        </w:tc>
        <w:tc>
          <w:tcPr>
            <w:tcW w:w="1417" w:type="dxa"/>
          </w:tcPr>
          <w:p>
            <w:pPr>
              <w:pStyle w:val="yTable"/>
              <w:jc w:val="center"/>
            </w:pPr>
            <w:r>
              <w:t>16</w:t>
            </w:r>
          </w:p>
        </w:tc>
        <w:tc>
          <w:tcPr>
            <w:tcW w:w="1418" w:type="dxa"/>
          </w:tcPr>
          <w:p>
            <w:pPr>
              <w:pStyle w:val="yTable"/>
              <w:jc w:val="center"/>
            </w:pPr>
            <w:r>
              <w:t>20</w:t>
            </w:r>
          </w:p>
        </w:tc>
        <w:tc>
          <w:tcPr>
            <w:tcW w:w="1418" w:type="dxa"/>
          </w:tcPr>
          <w:p>
            <w:pPr>
              <w:pStyle w:val="yTable"/>
              <w:jc w:val="center"/>
            </w:pPr>
            <w:r>
              <w:t>18</w:t>
            </w:r>
          </w:p>
        </w:tc>
      </w:tr>
      <w:tr>
        <w:tc>
          <w:tcPr>
            <w:tcW w:w="1417" w:type="dxa"/>
          </w:tcPr>
          <w:p>
            <w:pPr>
              <w:pStyle w:val="yTable"/>
              <w:jc w:val="center"/>
            </w:pPr>
            <w:r>
              <w:t>5.50</w:t>
            </w:r>
          </w:p>
        </w:tc>
        <w:tc>
          <w:tcPr>
            <w:tcW w:w="1418" w:type="dxa"/>
          </w:tcPr>
          <w:p>
            <w:pPr>
              <w:pStyle w:val="yTable"/>
              <w:jc w:val="center"/>
            </w:pPr>
            <w:r>
              <w:t>17</w:t>
            </w:r>
          </w:p>
        </w:tc>
        <w:tc>
          <w:tcPr>
            <w:tcW w:w="1417" w:type="dxa"/>
          </w:tcPr>
          <w:p>
            <w:pPr>
              <w:pStyle w:val="yTable"/>
              <w:jc w:val="center"/>
            </w:pPr>
            <w:r>
              <w:t>15</w:t>
            </w:r>
          </w:p>
        </w:tc>
        <w:tc>
          <w:tcPr>
            <w:tcW w:w="1418" w:type="dxa"/>
          </w:tcPr>
          <w:p>
            <w:pPr>
              <w:pStyle w:val="yTable"/>
              <w:jc w:val="center"/>
            </w:pPr>
            <w:r>
              <w:t>19</w:t>
            </w:r>
          </w:p>
        </w:tc>
        <w:tc>
          <w:tcPr>
            <w:tcW w:w="1418" w:type="dxa"/>
          </w:tcPr>
          <w:p>
            <w:pPr>
              <w:pStyle w:val="yTable"/>
              <w:jc w:val="center"/>
            </w:pPr>
            <w:r>
              <w:t>17</w:t>
            </w:r>
          </w:p>
        </w:tc>
      </w:tr>
      <w:tr>
        <w:tc>
          <w:tcPr>
            <w:tcW w:w="1417" w:type="dxa"/>
          </w:tcPr>
          <w:p>
            <w:pPr>
              <w:pStyle w:val="yTable"/>
              <w:jc w:val="center"/>
            </w:pPr>
            <w:r>
              <w:t>6.00</w:t>
            </w:r>
          </w:p>
        </w:tc>
        <w:tc>
          <w:tcPr>
            <w:tcW w:w="1418" w:type="dxa"/>
          </w:tcPr>
          <w:p>
            <w:pPr>
              <w:pStyle w:val="yTable"/>
              <w:jc w:val="center"/>
            </w:pPr>
            <w:r>
              <w:t>16</w:t>
            </w:r>
          </w:p>
        </w:tc>
        <w:tc>
          <w:tcPr>
            <w:tcW w:w="1417" w:type="dxa"/>
          </w:tcPr>
          <w:p>
            <w:pPr>
              <w:pStyle w:val="yTable"/>
              <w:jc w:val="center"/>
            </w:pPr>
            <w:r>
              <w:t>14</w:t>
            </w:r>
          </w:p>
        </w:tc>
        <w:tc>
          <w:tcPr>
            <w:tcW w:w="1418" w:type="dxa"/>
          </w:tcPr>
          <w:p>
            <w:pPr>
              <w:pStyle w:val="yTable"/>
              <w:jc w:val="center"/>
            </w:pPr>
            <w:r>
              <w:t>18</w:t>
            </w:r>
          </w:p>
        </w:tc>
        <w:tc>
          <w:tcPr>
            <w:tcW w:w="1418" w:type="dxa"/>
          </w:tcPr>
          <w:p>
            <w:pPr>
              <w:pStyle w:val="yTable"/>
              <w:jc w:val="center"/>
            </w:pPr>
            <w:r>
              <w:t>16</w:t>
            </w:r>
          </w:p>
        </w:tc>
      </w:tr>
      <w:tr>
        <w:tc>
          <w:tcPr>
            <w:tcW w:w="1417" w:type="dxa"/>
          </w:tcPr>
          <w:p>
            <w:pPr>
              <w:pStyle w:val="yTable"/>
              <w:jc w:val="center"/>
            </w:pPr>
            <w:r>
              <w:t>6.50</w:t>
            </w:r>
          </w:p>
        </w:tc>
        <w:tc>
          <w:tcPr>
            <w:tcW w:w="1418" w:type="dxa"/>
          </w:tcPr>
          <w:p>
            <w:pPr>
              <w:pStyle w:val="yTable"/>
              <w:jc w:val="center"/>
            </w:pPr>
            <w:r>
              <w:t>14</w:t>
            </w:r>
          </w:p>
        </w:tc>
        <w:tc>
          <w:tcPr>
            <w:tcW w:w="1417" w:type="dxa"/>
          </w:tcPr>
          <w:p>
            <w:pPr>
              <w:pStyle w:val="yTable"/>
              <w:jc w:val="center"/>
            </w:pPr>
            <w:r>
              <w:t>13</w:t>
            </w:r>
          </w:p>
        </w:tc>
        <w:tc>
          <w:tcPr>
            <w:tcW w:w="1418" w:type="dxa"/>
          </w:tcPr>
          <w:p>
            <w:pPr>
              <w:pStyle w:val="yTable"/>
              <w:jc w:val="center"/>
            </w:pPr>
            <w:r>
              <w:t>16</w:t>
            </w:r>
          </w:p>
        </w:tc>
        <w:tc>
          <w:tcPr>
            <w:tcW w:w="1418" w:type="dxa"/>
          </w:tcPr>
          <w:p>
            <w:pPr>
              <w:pStyle w:val="yTable"/>
              <w:jc w:val="center"/>
            </w:pPr>
            <w:r>
              <w:t>14</w:t>
            </w:r>
          </w:p>
        </w:tc>
      </w:tr>
      <w:tr>
        <w:tc>
          <w:tcPr>
            <w:tcW w:w="1417" w:type="dxa"/>
          </w:tcPr>
          <w:p>
            <w:pPr>
              <w:pStyle w:val="yTable"/>
              <w:jc w:val="center"/>
            </w:pPr>
            <w:r>
              <w:t>7.00</w:t>
            </w:r>
          </w:p>
        </w:tc>
        <w:tc>
          <w:tcPr>
            <w:tcW w:w="1418" w:type="dxa"/>
          </w:tcPr>
          <w:p>
            <w:pPr>
              <w:pStyle w:val="yTable"/>
              <w:jc w:val="center"/>
            </w:pPr>
            <w:r>
              <w:t>13</w:t>
            </w:r>
          </w:p>
        </w:tc>
        <w:tc>
          <w:tcPr>
            <w:tcW w:w="1417" w:type="dxa"/>
          </w:tcPr>
          <w:p>
            <w:pPr>
              <w:pStyle w:val="yTable"/>
              <w:jc w:val="center"/>
            </w:pPr>
            <w:r>
              <w:t>12</w:t>
            </w:r>
          </w:p>
        </w:tc>
        <w:tc>
          <w:tcPr>
            <w:tcW w:w="1418" w:type="dxa"/>
          </w:tcPr>
          <w:p>
            <w:pPr>
              <w:pStyle w:val="yTable"/>
              <w:jc w:val="center"/>
            </w:pPr>
            <w:r>
              <w:t>16</w:t>
            </w:r>
          </w:p>
        </w:tc>
        <w:tc>
          <w:tcPr>
            <w:tcW w:w="1418" w:type="dxa"/>
          </w:tcPr>
          <w:p>
            <w:pPr>
              <w:pStyle w:val="yTable"/>
              <w:jc w:val="center"/>
            </w:pPr>
            <w:r>
              <w:t>13</w:t>
            </w:r>
          </w:p>
        </w:tc>
      </w:tr>
      <w:tr>
        <w:tc>
          <w:tcPr>
            <w:tcW w:w="1417" w:type="dxa"/>
          </w:tcPr>
          <w:p>
            <w:pPr>
              <w:pStyle w:val="yTable"/>
              <w:jc w:val="center"/>
            </w:pPr>
            <w:r>
              <w:t>7.50</w:t>
            </w:r>
          </w:p>
        </w:tc>
        <w:tc>
          <w:tcPr>
            <w:tcW w:w="1418" w:type="dxa"/>
          </w:tcPr>
          <w:p>
            <w:pPr>
              <w:pStyle w:val="yTable"/>
              <w:jc w:val="center"/>
            </w:pPr>
            <w:r>
              <w:t>12</w:t>
            </w:r>
          </w:p>
        </w:tc>
        <w:tc>
          <w:tcPr>
            <w:tcW w:w="1417" w:type="dxa"/>
          </w:tcPr>
          <w:p>
            <w:pPr>
              <w:pStyle w:val="yTable"/>
              <w:jc w:val="center"/>
            </w:pPr>
            <w:r>
              <w:t>12</w:t>
            </w:r>
          </w:p>
        </w:tc>
        <w:tc>
          <w:tcPr>
            <w:tcW w:w="1418" w:type="dxa"/>
          </w:tcPr>
          <w:p>
            <w:pPr>
              <w:pStyle w:val="yTable"/>
              <w:jc w:val="center"/>
            </w:pPr>
            <w:r>
              <w:t>15</w:t>
            </w:r>
          </w:p>
        </w:tc>
        <w:tc>
          <w:tcPr>
            <w:tcW w:w="1418" w:type="dxa"/>
          </w:tcPr>
          <w:p>
            <w:pPr>
              <w:pStyle w:val="yTable"/>
              <w:jc w:val="center"/>
            </w:pPr>
            <w:r>
              <w:t>12</w:t>
            </w:r>
          </w:p>
        </w:tc>
      </w:tr>
      <w:tr>
        <w:tc>
          <w:tcPr>
            <w:tcW w:w="1417" w:type="dxa"/>
          </w:tcPr>
          <w:p>
            <w:pPr>
              <w:pStyle w:val="yTable"/>
              <w:jc w:val="center"/>
            </w:pPr>
            <w:r>
              <w:t>8.00</w:t>
            </w:r>
          </w:p>
        </w:tc>
        <w:tc>
          <w:tcPr>
            <w:tcW w:w="1418" w:type="dxa"/>
          </w:tcPr>
          <w:p>
            <w:pPr>
              <w:pStyle w:val="yTable"/>
              <w:jc w:val="center"/>
            </w:pPr>
            <w:r>
              <w:t>12</w:t>
            </w:r>
          </w:p>
        </w:tc>
        <w:tc>
          <w:tcPr>
            <w:tcW w:w="1417" w:type="dxa"/>
          </w:tcPr>
          <w:p>
            <w:pPr>
              <w:pStyle w:val="yTable"/>
              <w:jc w:val="center"/>
            </w:pPr>
            <w:r>
              <w:t>11</w:t>
            </w:r>
          </w:p>
        </w:tc>
        <w:tc>
          <w:tcPr>
            <w:tcW w:w="1418" w:type="dxa"/>
          </w:tcPr>
          <w:p>
            <w:pPr>
              <w:pStyle w:val="yTable"/>
              <w:jc w:val="center"/>
            </w:pPr>
            <w:r>
              <w:t>14</w:t>
            </w:r>
          </w:p>
        </w:tc>
        <w:tc>
          <w:tcPr>
            <w:tcW w:w="1418" w:type="dxa"/>
          </w:tcPr>
          <w:p>
            <w:pPr>
              <w:pStyle w:val="yTable"/>
              <w:jc w:val="center"/>
            </w:pPr>
            <w:r>
              <w:t>12</w:t>
            </w:r>
          </w:p>
        </w:tc>
      </w:tr>
      <w:tr>
        <w:tc>
          <w:tcPr>
            <w:tcW w:w="1417" w:type="dxa"/>
          </w:tcPr>
          <w:p>
            <w:pPr>
              <w:pStyle w:val="yTable"/>
              <w:jc w:val="center"/>
            </w:pPr>
            <w:r>
              <w:t>8.50</w:t>
            </w:r>
          </w:p>
        </w:tc>
        <w:tc>
          <w:tcPr>
            <w:tcW w:w="1418" w:type="dxa"/>
          </w:tcPr>
          <w:p>
            <w:pPr>
              <w:pStyle w:val="yTable"/>
              <w:jc w:val="center"/>
            </w:pPr>
            <w:r>
              <w:t>11</w:t>
            </w:r>
          </w:p>
        </w:tc>
        <w:tc>
          <w:tcPr>
            <w:tcW w:w="1417" w:type="dxa"/>
          </w:tcPr>
          <w:p>
            <w:pPr>
              <w:pStyle w:val="yTable"/>
              <w:jc w:val="center"/>
            </w:pPr>
            <w:r>
              <w:t>11</w:t>
            </w:r>
          </w:p>
        </w:tc>
        <w:tc>
          <w:tcPr>
            <w:tcW w:w="1418" w:type="dxa"/>
          </w:tcPr>
          <w:p>
            <w:pPr>
              <w:pStyle w:val="yTable"/>
              <w:jc w:val="center"/>
            </w:pPr>
            <w:r>
              <w:t>13</w:t>
            </w:r>
          </w:p>
        </w:tc>
        <w:tc>
          <w:tcPr>
            <w:tcW w:w="1418" w:type="dxa"/>
          </w:tcPr>
          <w:p>
            <w:pPr>
              <w:pStyle w:val="yTable"/>
              <w:jc w:val="center"/>
            </w:pPr>
            <w:r>
              <w:t>11</w:t>
            </w:r>
          </w:p>
        </w:tc>
      </w:tr>
      <w:tr>
        <w:tc>
          <w:tcPr>
            <w:tcW w:w="1417" w:type="dxa"/>
          </w:tcPr>
          <w:p>
            <w:pPr>
              <w:pStyle w:val="yTable"/>
              <w:jc w:val="center"/>
            </w:pPr>
            <w:r>
              <w:t>9.00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13</w:t>
            </w:r>
          </w:p>
        </w:tc>
        <w:tc>
          <w:tcPr>
            <w:tcW w:w="1418" w:type="dxa"/>
          </w:tcPr>
          <w:p>
            <w:pPr>
              <w:pStyle w:val="yTable"/>
              <w:jc w:val="center"/>
            </w:pPr>
            <w:r>
              <w:t>10</w:t>
            </w:r>
          </w:p>
        </w:tc>
      </w:tr>
      <w:tr>
        <w:tc>
          <w:tcPr>
            <w:tcW w:w="1417" w:type="dxa"/>
          </w:tcPr>
          <w:p>
            <w:pPr>
              <w:pStyle w:val="yTable"/>
              <w:jc w:val="center"/>
            </w:pPr>
            <w:r>
              <w:t>9.50</w:t>
            </w:r>
          </w:p>
        </w:tc>
        <w:tc>
          <w:tcPr>
            <w:tcW w:w="1418" w:type="dxa"/>
          </w:tcPr>
          <w:p>
            <w:pPr>
              <w:pStyle w:val="yTable"/>
              <w:jc w:val="center"/>
            </w:pPr>
            <w:r>
              <w:t>10</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10</w:t>
            </w:r>
          </w:p>
        </w:tc>
      </w:tr>
      <w:tr>
        <w:tc>
          <w:tcPr>
            <w:tcW w:w="1417" w:type="dxa"/>
          </w:tcPr>
          <w:p>
            <w:pPr>
              <w:pStyle w:val="yTable"/>
              <w:jc w:val="center"/>
            </w:pPr>
            <w:r>
              <w:t>10.00</w:t>
            </w:r>
          </w:p>
        </w:tc>
        <w:tc>
          <w:tcPr>
            <w:tcW w:w="1418" w:type="dxa"/>
          </w:tcPr>
          <w:p>
            <w:pPr>
              <w:pStyle w:val="yTable"/>
              <w:jc w:val="center"/>
            </w:pPr>
            <w:r>
              <w:t>9</w:t>
            </w:r>
          </w:p>
        </w:tc>
        <w:tc>
          <w:tcPr>
            <w:tcW w:w="1417" w:type="dxa"/>
          </w:tcPr>
          <w:p>
            <w:pPr>
              <w:pStyle w:val="yTable"/>
              <w:jc w:val="center"/>
            </w:pPr>
            <w:r>
              <w:t>10</w:t>
            </w:r>
          </w:p>
        </w:tc>
        <w:tc>
          <w:tcPr>
            <w:tcW w:w="1418" w:type="dxa"/>
          </w:tcPr>
          <w:p>
            <w:pPr>
              <w:pStyle w:val="yTable"/>
              <w:jc w:val="center"/>
            </w:pPr>
            <w:r>
              <w:t>12</w:t>
            </w:r>
          </w:p>
        </w:tc>
        <w:tc>
          <w:tcPr>
            <w:tcW w:w="1418" w:type="dxa"/>
          </w:tcPr>
          <w:p>
            <w:pPr>
              <w:pStyle w:val="yTable"/>
              <w:jc w:val="center"/>
            </w:pPr>
            <w:r>
              <w:t>9</w:t>
            </w:r>
          </w:p>
        </w:tc>
      </w:tr>
      <w:tr>
        <w:tc>
          <w:tcPr>
            <w:tcW w:w="1417" w:type="dxa"/>
          </w:tcPr>
          <w:p>
            <w:pPr>
              <w:pStyle w:val="yTable"/>
              <w:jc w:val="center"/>
            </w:pPr>
            <w:r>
              <w:t>11.00</w:t>
            </w:r>
          </w:p>
        </w:tc>
        <w:tc>
          <w:tcPr>
            <w:tcW w:w="1418" w:type="dxa"/>
          </w:tcPr>
          <w:p>
            <w:pPr>
              <w:pStyle w:val="yTable"/>
              <w:jc w:val="center"/>
            </w:pPr>
            <w:r>
              <w:t>8</w:t>
            </w:r>
          </w:p>
        </w:tc>
        <w:tc>
          <w:tcPr>
            <w:tcW w:w="1417" w:type="dxa"/>
          </w:tcPr>
          <w:p>
            <w:pPr>
              <w:pStyle w:val="yTable"/>
              <w:jc w:val="center"/>
            </w:pPr>
            <w:r>
              <w:t>9</w:t>
            </w:r>
          </w:p>
        </w:tc>
        <w:tc>
          <w:tcPr>
            <w:tcW w:w="1418" w:type="dxa"/>
          </w:tcPr>
          <w:p>
            <w:pPr>
              <w:pStyle w:val="yTable"/>
              <w:jc w:val="center"/>
            </w:pPr>
            <w:r>
              <w:t>11</w:t>
            </w:r>
          </w:p>
        </w:tc>
        <w:tc>
          <w:tcPr>
            <w:tcW w:w="1418" w:type="dxa"/>
          </w:tcPr>
          <w:p>
            <w:pPr>
              <w:pStyle w:val="yTable"/>
              <w:jc w:val="center"/>
            </w:pPr>
            <w:r>
              <w:t>8</w:t>
            </w:r>
          </w:p>
        </w:tc>
      </w:tr>
      <w:tr>
        <w:tc>
          <w:tcPr>
            <w:tcW w:w="1417" w:type="dxa"/>
          </w:tcPr>
          <w:p>
            <w:pPr>
              <w:pStyle w:val="yTable"/>
              <w:jc w:val="center"/>
            </w:pPr>
            <w:r>
              <w:t>12.00</w:t>
            </w:r>
          </w:p>
        </w:tc>
        <w:tc>
          <w:tcPr>
            <w:tcW w:w="1418" w:type="dxa"/>
          </w:tcPr>
          <w:p>
            <w:pPr>
              <w:pStyle w:val="yTable"/>
              <w:jc w:val="center"/>
            </w:pPr>
            <w:r>
              <w:t>8</w:t>
            </w:r>
          </w:p>
        </w:tc>
        <w:tc>
          <w:tcPr>
            <w:tcW w:w="1417" w:type="dxa"/>
          </w:tcPr>
          <w:p>
            <w:pPr>
              <w:pStyle w:val="yTable"/>
              <w:jc w:val="center"/>
            </w:pPr>
            <w:r>
              <w:t>8</w:t>
            </w:r>
          </w:p>
        </w:tc>
        <w:tc>
          <w:tcPr>
            <w:tcW w:w="1418" w:type="dxa"/>
          </w:tcPr>
          <w:p>
            <w:pPr>
              <w:pStyle w:val="yTable"/>
              <w:jc w:val="center"/>
            </w:pPr>
            <w:r>
              <w:t>10</w:t>
            </w:r>
          </w:p>
        </w:tc>
        <w:tc>
          <w:tcPr>
            <w:tcW w:w="1418" w:type="dxa"/>
          </w:tcPr>
          <w:p>
            <w:pPr>
              <w:pStyle w:val="yTable"/>
              <w:jc w:val="center"/>
            </w:pPr>
            <w:r>
              <w:t>8</w:t>
            </w:r>
          </w:p>
        </w:tc>
      </w:tr>
      <w:tr>
        <w:tc>
          <w:tcPr>
            <w:tcW w:w="1417" w:type="dxa"/>
          </w:tcPr>
          <w:p>
            <w:pPr>
              <w:pStyle w:val="yTable"/>
              <w:jc w:val="center"/>
            </w:pPr>
            <w:r>
              <w:t>13.00</w:t>
            </w:r>
          </w:p>
        </w:tc>
        <w:tc>
          <w:tcPr>
            <w:tcW w:w="1418" w:type="dxa"/>
          </w:tcPr>
          <w:p>
            <w:pPr>
              <w:pStyle w:val="yTable"/>
              <w:jc w:val="center"/>
            </w:pPr>
            <w:r>
              <w:t>7</w:t>
            </w:r>
          </w:p>
        </w:tc>
        <w:tc>
          <w:tcPr>
            <w:tcW w:w="1417" w:type="dxa"/>
          </w:tcPr>
          <w:p>
            <w:pPr>
              <w:pStyle w:val="yTable"/>
              <w:jc w:val="center"/>
            </w:pPr>
            <w:r>
              <w:t>8</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14.00</w:t>
            </w:r>
          </w:p>
        </w:tc>
        <w:tc>
          <w:tcPr>
            <w:tcW w:w="1418" w:type="dxa"/>
          </w:tcPr>
          <w:p>
            <w:pPr>
              <w:pStyle w:val="yTable"/>
              <w:jc w:val="center"/>
            </w:pPr>
            <w:r>
              <w:t>7</w:t>
            </w:r>
          </w:p>
        </w:tc>
        <w:tc>
          <w:tcPr>
            <w:tcW w:w="1417" w:type="dxa"/>
          </w:tcPr>
          <w:p>
            <w:pPr>
              <w:pStyle w:val="yTable"/>
              <w:jc w:val="center"/>
            </w:pPr>
            <w:r>
              <w:t>7</w:t>
            </w:r>
          </w:p>
        </w:tc>
        <w:tc>
          <w:tcPr>
            <w:tcW w:w="1418" w:type="dxa"/>
          </w:tcPr>
          <w:p>
            <w:pPr>
              <w:pStyle w:val="yTable"/>
              <w:jc w:val="center"/>
            </w:pPr>
            <w:r>
              <w:t>9</w:t>
            </w:r>
          </w:p>
        </w:tc>
        <w:tc>
          <w:tcPr>
            <w:tcW w:w="1418" w:type="dxa"/>
          </w:tcPr>
          <w:p>
            <w:pPr>
              <w:pStyle w:val="yTable"/>
              <w:jc w:val="center"/>
            </w:pPr>
            <w:r>
              <w:t>7</w:t>
            </w:r>
          </w:p>
        </w:tc>
      </w:tr>
      <w:tr>
        <w:tc>
          <w:tcPr>
            <w:tcW w:w="1417" w:type="dxa"/>
          </w:tcPr>
          <w:p>
            <w:pPr>
              <w:pStyle w:val="yTable"/>
              <w:jc w:val="center"/>
            </w:pPr>
            <w:r>
              <w:t>15.00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16.00</w:t>
            </w:r>
          </w:p>
        </w:tc>
        <w:tc>
          <w:tcPr>
            <w:tcW w:w="1418" w:type="dxa"/>
          </w:tcPr>
          <w:p>
            <w:pPr>
              <w:pStyle w:val="yTable"/>
              <w:jc w:val="center"/>
            </w:pPr>
            <w:r>
              <w:t>6</w:t>
            </w:r>
          </w:p>
        </w:tc>
        <w:tc>
          <w:tcPr>
            <w:tcW w:w="1417" w:type="dxa"/>
          </w:tcPr>
          <w:p>
            <w:pPr>
              <w:pStyle w:val="yTable"/>
              <w:jc w:val="center"/>
            </w:pPr>
            <w:r>
              <w:t>7</w:t>
            </w:r>
          </w:p>
        </w:tc>
        <w:tc>
          <w:tcPr>
            <w:tcW w:w="1418" w:type="dxa"/>
          </w:tcPr>
          <w:p>
            <w:pPr>
              <w:pStyle w:val="yTable"/>
              <w:jc w:val="center"/>
            </w:pPr>
            <w:r>
              <w:t>8</w:t>
            </w:r>
          </w:p>
        </w:tc>
        <w:tc>
          <w:tcPr>
            <w:tcW w:w="1418" w:type="dxa"/>
          </w:tcPr>
          <w:p>
            <w:pPr>
              <w:pStyle w:val="yTable"/>
              <w:jc w:val="center"/>
            </w:pPr>
            <w:r>
              <w:t>6</w:t>
            </w:r>
          </w:p>
        </w:tc>
      </w:tr>
      <w:tr>
        <w:tc>
          <w:tcPr>
            <w:tcW w:w="1417" w:type="dxa"/>
          </w:tcPr>
          <w:p>
            <w:pPr>
              <w:pStyle w:val="yTable"/>
              <w:jc w:val="center"/>
            </w:pPr>
            <w:r>
              <w:t>17.00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18.00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19.00</w:t>
            </w:r>
          </w:p>
        </w:tc>
        <w:tc>
          <w:tcPr>
            <w:tcW w:w="1418" w:type="dxa"/>
          </w:tcPr>
          <w:p>
            <w:pPr>
              <w:pStyle w:val="yTable"/>
              <w:jc w:val="center"/>
            </w:pPr>
            <w:r>
              <w:t>5</w:t>
            </w:r>
          </w:p>
        </w:tc>
        <w:tc>
          <w:tcPr>
            <w:tcW w:w="1417" w:type="dxa"/>
          </w:tcPr>
          <w:p>
            <w:pPr>
              <w:pStyle w:val="yTable"/>
              <w:jc w:val="center"/>
            </w:pPr>
            <w:r>
              <w:t>6</w:t>
            </w:r>
          </w:p>
        </w:tc>
        <w:tc>
          <w:tcPr>
            <w:tcW w:w="1418" w:type="dxa"/>
          </w:tcPr>
          <w:p>
            <w:pPr>
              <w:pStyle w:val="yTable"/>
              <w:jc w:val="center"/>
            </w:pPr>
            <w:r>
              <w:t>7</w:t>
            </w:r>
          </w:p>
        </w:tc>
        <w:tc>
          <w:tcPr>
            <w:tcW w:w="1418" w:type="dxa"/>
          </w:tcPr>
          <w:p>
            <w:pPr>
              <w:pStyle w:val="yTable"/>
              <w:jc w:val="center"/>
            </w:pPr>
            <w:r>
              <w:t>5</w:t>
            </w:r>
          </w:p>
        </w:tc>
      </w:tr>
      <w:tr>
        <w:tc>
          <w:tcPr>
            <w:tcW w:w="1417" w:type="dxa"/>
          </w:tcPr>
          <w:p>
            <w:pPr>
              <w:pStyle w:val="yTable"/>
              <w:jc w:val="center"/>
            </w:pPr>
            <w:r>
              <w:t>20.00</w:t>
            </w:r>
          </w:p>
        </w:tc>
        <w:tc>
          <w:tcPr>
            <w:tcW w:w="1418" w:type="dxa"/>
          </w:tcPr>
          <w:p>
            <w:pPr>
              <w:pStyle w:val="yTable"/>
              <w:jc w:val="center"/>
            </w:pPr>
            <w:r>
              <w:t>5</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5</w:t>
            </w:r>
          </w:p>
        </w:tc>
      </w:tr>
      <w:tr>
        <w:tc>
          <w:tcPr>
            <w:tcW w:w="1417" w:type="dxa"/>
          </w:tcPr>
          <w:p>
            <w:pPr>
              <w:pStyle w:val="yTable"/>
              <w:jc w:val="center"/>
            </w:pPr>
            <w:r>
              <w:t>21.00</w:t>
            </w:r>
          </w:p>
        </w:tc>
        <w:tc>
          <w:tcPr>
            <w:tcW w:w="1418" w:type="dxa"/>
          </w:tcPr>
          <w:p>
            <w:pPr>
              <w:pStyle w:val="yTable"/>
              <w:jc w:val="center"/>
            </w:pPr>
            <w:r>
              <w:t>4</w:t>
            </w:r>
          </w:p>
        </w:tc>
        <w:tc>
          <w:tcPr>
            <w:tcW w:w="1417" w:type="dxa"/>
          </w:tcPr>
          <w:p>
            <w:pPr>
              <w:pStyle w:val="yTable"/>
              <w:jc w:val="center"/>
            </w:pPr>
            <w:r>
              <w:t>5</w:t>
            </w:r>
          </w:p>
        </w:tc>
        <w:tc>
          <w:tcPr>
            <w:tcW w:w="1418" w:type="dxa"/>
          </w:tcPr>
          <w:p>
            <w:pPr>
              <w:pStyle w:val="yTable"/>
              <w:jc w:val="center"/>
            </w:pPr>
            <w:r>
              <w:t>6</w:t>
            </w:r>
          </w:p>
        </w:tc>
        <w:tc>
          <w:tcPr>
            <w:tcW w:w="1418" w:type="dxa"/>
          </w:tcPr>
          <w:p>
            <w:pPr>
              <w:pStyle w:val="yTable"/>
              <w:jc w:val="center"/>
            </w:pPr>
            <w:r>
              <w:t>4</w:t>
            </w:r>
          </w:p>
        </w:tc>
      </w:tr>
      <w:tr>
        <w:tc>
          <w:tcPr>
            <w:tcW w:w="1417" w:type="dxa"/>
          </w:tcPr>
          <w:p>
            <w:pPr>
              <w:pStyle w:val="yTable"/>
              <w:jc w:val="center"/>
            </w:pPr>
            <w:r>
              <w:t>26.00</w:t>
            </w:r>
          </w:p>
        </w:tc>
        <w:tc>
          <w:tcPr>
            <w:tcW w:w="1418" w:type="dxa"/>
          </w:tcPr>
          <w:p>
            <w:pPr>
              <w:pStyle w:val="yTable"/>
              <w:jc w:val="center"/>
            </w:pPr>
            <w:r>
              <w:t>3</w:t>
            </w:r>
          </w:p>
        </w:tc>
        <w:tc>
          <w:tcPr>
            <w:tcW w:w="1417" w:type="dxa"/>
          </w:tcPr>
          <w:p>
            <w:pPr>
              <w:pStyle w:val="yTable"/>
              <w:jc w:val="center"/>
            </w:pPr>
            <w:r>
              <w:t>4</w:t>
            </w:r>
          </w:p>
        </w:tc>
        <w:tc>
          <w:tcPr>
            <w:tcW w:w="1418" w:type="dxa"/>
          </w:tcPr>
          <w:p>
            <w:pPr>
              <w:pStyle w:val="yTable"/>
              <w:jc w:val="center"/>
            </w:pPr>
            <w:r>
              <w:t>5</w:t>
            </w:r>
          </w:p>
        </w:tc>
        <w:tc>
          <w:tcPr>
            <w:tcW w:w="1418" w:type="dxa"/>
          </w:tcPr>
          <w:p>
            <w:pPr>
              <w:pStyle w:val="yTable"/>
              <w:jc w:val="center"/>
            </w:pPr>
            <w:r>
              <w:t>3</w:t>
            </w:r>
          </w:p>
        </w:tc>
      </w:tr>
      <w:tr>
        <w:tc>
          <w:tcPr>
            <w:tcW w:w="1417" w:type="dxa"/>
          </w:tcPr>
          <w:p>
            <w:pPr>
              <w:pStyle w:val="yTable"/>
              <w:jc w:val="center"/>
            </w:pPr>
            <w:r>
              <w:t>31.00</w:t>
            </w:r>
          </w:p>
        </w:tc>
        <w:tc>
          <w:tcPr>
            <w:tcW w:w="1418" w:type="dxa"/>
          </w:tcPr>
          <w:p>
            <w:pPr>
              <w:pStyle w:val="yTable"/>
              <w:jc w:val="center"/>
            </w:pPr>
            <w:r>
              <w:t>3</w:t>
            </w:r>
          </w:p>
        </w:tc>
        <w:tc>
          <w:tcPr>
            <w:tcW w:w="1417" w:type="dxa"/>
          </w:tcPr>
          <w:p>
            <w:pPr>
              <w:pStyle w:val="yTable"/>
              <w:jc w:val="center"/>
            </w:pPr>
            <w:r>
              <w:t>3</w:t>
            </w:r>
          </w:p>
        </w:tc>
        <w:tc>
          <w:tcPr>
            <w:tcW w:w="1418" w:type="dxa"/>
          </w:tcPr>
          <w:p>
            <w:pPr>
              <w:pStyle w:val="yTable"/>
              <w:jc w:val="center"/>
            </w:pPr>
            <w:r>
              <w:t>4</w:t>
            </w:r>
          </w:p>
        </w:tc>
        <w:tc>
          <w:tcPr>
            <w:tcW w:w="1418" w:type="dxa"/>
          </w:tcPr>
          <w:p>
            <w:pPr>
              <w:pStyle w:val="yTable"/>
              <w:jc w:val="center"/>
            </w:pPr>
            <w:r>
              <w:t>3</w:t>
            </w:r>
          </w:p>
        </w:tc>
      </w:tr>
      <w:tr>
        <w:tc>
          <w:tcPr>
            <w:tcW w:w="1417" w:type="dxa"/>
          </w:tcPr>
          <w:p>
            <w:pPr>
              <w:pStyle w:val="yTable"/>
              <w:jc w:val="center"/>
            </w:pPr>
            <w:r>
              <w:t>41.00</w:t>
            </w:r>
          </w:p>
        </w:tc>
        <w:tc>
          <w:tcPr>
            <w:tcW w:w="1418" w:type="dxa"/>
          </w:tcPr>
          <w:p>
            <w:pPr>
              <w:pStyle w:val="yTable"/>
              <w:jc w:val="center"/>
            </w:pPr>
            <w:r>
              <w:t>2</w:t>
            </w:r>
          </w:p>
        </w:tc>
        <w:tc>
          <w:tcPr>
            <w:tcW w:w="1417" w:type="dxa"/>
          </w:tcPr>
          <w:p>
            <w:pPr>
              <w:pStyle w:val="yTable"/>
              <w:jc w:val="center"/>
            </w:pPr>
            <w:r>
              <w:t>3</w:t>
            </w:r>
          </w:p>
        </w:tc>
        <w:tc>
          <w:tcPr>
            <w:tcW w:w="1418" w:type="dxa"/>
          </w:tcPr>
          <w:p>
            <w:pPr>
              <w:pStyle w:val="yTable"/>
              <w:jc w:val="center"/>
            </w:pPr>
            <w:r>
              <w:t>3</w:t>
            </w:r>
          </w:p>
        </w:tc>
        <w:tc>
          <w:tcPr>
            <w:tcW w:w="1418" w:type="dxa"/>
          </w:tcPr>
          <w:p>
            <w:pPr>
              <w:pStyle w:val="yTable"/>
              <w:jc w:val="center"/>
            </w:pPr>
            <w:r>
              <w:t>2</w:t>
            </w:r>
          </w:p>
        </w:tc>
      </w:tr>
      <w:tr>
        <w:tc>
          <w:tcPr>
            <w:tcW w:w="1417" w:type="dxa"/>
            <w:tcBorders>
              <w:bottom w:val="single" w:sz="4" w:space="0" w:color="auto"/>
            </w:tcBorders>
          </w:tcPr>
          <w:p>
            <w:pPr>
              <w:pStyle w:val="yTable"/>
              <w:jc w:val="center"/>
            </w:pPr>
            <w:r>
              <w:t>51.00</w:t>
            </w:r>
          </w:p>
        </w:tc>
        <w:tc>
          <w:tcPr>
            <w:tcW w:w="1418" w:type="dxa"/>
            <w:tcBorders>
              <w:bottom w:val="single" w:sz="4" w:space="0" w:color="auto"/>
            </w:tcBorders>
          </w:tcPr>
          <w:p>
            <w:pPr>
              <w:pStyle w:val="yTable"/>
              <w:jc w:val="center"/>
            </w:pPr>
            <w:r>
              <w:t>2</w:t>
            </w:r>
          </w:p>
        </w:tc>
        <w:tc>
          <w:tcPr>
            <w:tcW w:w="1417"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c>
          <w:tcPr>
            <w:tcW w:w="1418" w:type="dxa"/>
            <w:tcBorders>
              <w:bottom w:val="single" w:sz="4" w:space="0" w:color="auto"/>
            </w:tcBorders>
          </w:tcPr>
          <w:p>
            <w:pPr>
              <w:pStyle w:val="yTable"/>
              <w:jc w:val="center"/>
            </w:pPr>
            <w:r>
              <w:t>2</w:t>
            </w:r>
          </w:p>
        </w:tc>
      </w:tr>
    </w:tbl>
    <w:p>
      <w:pPr>
        <w:pStyle w:val="yScheduleHeading"/>
        <w:rPr>
          <w:ins w:id="465" w:author="Master Repository Process" w:date="2021-07-31T09:10:00Z"/>
        </w:r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bookmarkStart w:id="466" w:name="_Toc116986522"/>
      <w:bookmarkStart w:id="467" w:name="_Toc133903584"/>
      <w:bookmarkStart w:id="468" w:name="_Toc133903678"/>
    </w:p>
    <w:p>
      <w:pPr>
        <w:pStyle w:val="yScheduleHeading"/>
      </w:pPr>
      <w:bookmarkStart w:id="469" w:name="_Toc133921027"/>
      <w:bookmarkStart w:id="470" w:name="_Toc123708474"/>
      <w:r>
        <w:rPr>
          <w:rStyle w:val="CharSchNo"/>
        </w:rPr>
        <w:t>Schedule 1</w:t>
      </w:r>
      <w:r>
        <w:t> — </w:t>
      </w:r>
      <w:r>
        <w:rPr>
          <w:rStyle w:val="CharSchText"/>
        </w:rPr>
        <w:t>Forms</w:t>
      </w:r>
      <w:bookmarkEnd w:id="466"/>
      <w:bookmarkEnd w:id="467"/>
      <w:bookmarkEnd w:id="468"/>
      <w:bookmarkEnd w:id="469"/>
      <w:bookmarkEnd w:id="470"/>
    </w:p>
    <w:p>
      <w:pPr>
        <w:pStyle w:val="yFootnoteheading"/>
      </w:pPr>
      <w:r>
        <w:tab/>
        <w:t>[Heading inserted in Gazette 30 Jan 2004 p. 411.]</w:t>
      </w:r>
    </w:p>
    <w:p>
      <w:pPr>
        <w:pStyle w:val="yShoulderClause"/>
      </w:pPr>
      <w:r>
        <w:t>[r. 77]</w:t>
      </w:r>
    </w:p>
    <w:p>
      <w:pPr>
        <w:pStyle w:val="yTable"/>
        <w:tabs>
          <w:tab w:val="right" w:leader="dot" w:pos="7088"/>
        </w:tabs>
        <w:spacing w:before="0"/>
        <w:jc w:val="center"/>
        <w:rPr>
          <w:b/>
          <w:snapToGrid w:val="0"/>
        </w:rPr>
      </w:pPr>
      <w:r>
        <w:rPr>
          <w:b/>
          <w:snapToGrid w:val="0"/>
        </w:rPr>
        <w:t>Form 1</w:t>
      </w:r>
    </w:p>
    <w:p>
      <w:pPr>
        <w:pStyle w:val="yTable"/>
        <w:tabs>
          <w:tab w:val="right" w:leader="dot" w:pos="7088"/>
        </w:tabs>
        <w:jc w:val="center"/>
        <w:rPr>
          <w:i/>
          <w:snapToGrid w:val="0"/>
        </w:rPr>
      </w:pPr>
      <w:r>
        <w:rPr>
          <w:i/>
          <w:snapToGrid w:val="0"/>
        </w:rPr>
        <w:t>Betting Control Act 1954</w:t>
      </w:r>
    </w:p>
    <w:p>
      <w:pPr>
        <w:pStyle w:val="yTable"/>
        <w:tabs>
          <w:tab w:val="right" w:leader="dot" w:pos="7088"/>
        </w:tabs>
        <w:jc w:val="right"/>
        <w:rPr>
          <w:snapToGrid w:val="0"/>
        </w:rPr>
      </w:pPr>
      <w:r>
        <w:rPr>
          <w:snapToGrid w:val="0"/>
        </w:rPr>
        <w:t>[s. 28A]</w:t>
      </w:r>
    </w:p>
    <w:p>
      <w:pPr>
        <w:pStyle w:val="yTable"/>
        <w:tabs>
          <w:tab w:val="right" w:leader="dot" w:pos="7088"/>
        </w:tabs>
        <w:jc w:val="center"/>
        <w:rPr>
          <w:b/>
          <w:snapToGrid w:val="0"/>
        </w:rPr>
      </w:pPr>
      <w:r>
        <w:rPr>
          <w:b/>
          <w:snapToGrid w:val="0"/>
        </w:rPr>
        <w:t>WARRANT</w:t>
      </w:r>
    </w:p>
    <w:p>
      <w:pPr>
        <w:pStyle w:val="yTable"/>
        <w:tabs>
          <w:tab w:val="right" w:leader="dot" w:pos="7088"/>
        </w:tabs>
        <w:rPr>
          <w:snapToGrid w:val="0"/>
        </w:rPr>
      </w:pPr>
      <w:r>
        <w:rPr>
          <w:snapToGrid w:val="0"/>
        </w:rPr>
        <w:t xml:space="preserve">I, [insert name of Justice of the Peace granting the warrant], of .........................................................., being a JUSTICE OF THE PEACE and being satisfied upon complaint by [insert name of complainant] that there is reason to suspect that unlawful betting within the meaning of section 28A of the </w:t>
      </w:r>
      <w:r>
        <w:rPr>
          <w:i/>
          <w:snapToGrid w:val="0"/>
        </w:rPr>
        <w:t>Betting Control Act 1954</w:t>
      </w:r>
      <w:r>
        <w:rPr>
          <w:snapToGrid w:val="0"/>
        </w:rPr>
        <w:t xml:space="preserve"> is or is about to be carried on at (1)..............................</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before="0"/>
        <w:rPr>
          <w:snapToGrid w:val="0"/>
        </w:rPr>
      </w:pPr>
      <w:r>
        <w:rPr>
          <w:snapToGrid w:val="0"/>
        </w:rPr>
        <w:t>GRANT to (2) ........................................................................................................</w:t>
      </w:r>
    </w:p>
    <w:p>
      <w:pPr>
        <w:pStyle w:val="yTable"/>
        <w:tabs>
          <w:tab w:val="right" w:leader="dot" w:pos="7088"/>
        </w:tabs>
        <w:spacing w:before="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Table"/>
        <w:tabs>
          <w:tab w:val="right" w:leader="dot" w:pos="7088"/>
        </w:tabs>
        <w:rPr>
          <w:snapToGrid w:val="0"/>
        </w:rPr>
      </w:pPr>
      <w:r>
        <w:rPr>
          <w:snapToGrid w:val="0"/>
        </w:rPr>
        <w:t>Granted on .............................................................................................................</w:t>
      </w:r>
    </w:p>
    <w:p>
      <w:pPr>
        <w:pStyle w:val="yTable"/>
        <w:tabs>
          <w:tab w:val="right" w:leader="dot" w:pos="7088"/>
        </w:tabs>
        <w:spacing w:before="0"/>
        <w:rPr>
          <w:snapToGrid w:val="0"/>
        </w:rPr>
      </w:pPr>
      <w:r>
        <w:rPr>
          <w:snapToGrid w:val="0"/>
        </w:rPr>
        <w:t>at ............................................................................................................................</w:t>
      </w:r>
    </w:p>
    <w:p>
      <w:pPr>
        <w:pStyle w:val="yTable"/>
        <w:tabs>
          <w:tab w:val="right" w:leader="dot" w:pos="7088"/>
        </w:tabs>
        <w:ind w:left="4253"/>
        <w:rPr>
          <w:snapToGrid w:val="0"/>
        </w:rPr>
      </w:pPr>
      <w:r>
        <w:rPr>
          <w:snapToGrid w:val="0"/>
        </w:rPr>
        <w:t>...................................................</w:t>
      </w:r>
    </w:p>
    <w:p>
      <w:pPr>
        <w:pStyle w:val="yTable"/>
        <w:tabs>
          <w:tab w:val="right" w:leader="dot" w:pos="7088"/>
        </w:tabs>
        <w:spacing w:before="0"/>
        <w:ind w:left="4253"/>
        <w:jc w:val="right"/>
        <w:rPr>
          <w:snapToGrid w:val="0"/>
        </w:rPr>
      </w:pPr>
      <w:r>
        <w:rPr>
          <w:snapToGrid w:val="0"/>
        </w:rPr>
        <w:t xml:space="preserve">Signature of Justice of the </w:t>
      </w:r>
    </w:p>
    <w:p>
      <w:pPr>
        <w:pStyle w:val="yTable"/>
        <w:tabs>
          <w:tab w:val="right" w:leader="dot" w:pos="7088"/>
        </w:tabs>
        <w:spacing w:before="0"/>
        <w:ind w:left="4253"/>
        <w:jc w:val="right"/>
        <w:rPr>
          <w:snapToGrid w:val="0"/>
        </w:rPr>
      </w:pPr>
      <w:r>
        <w:rPr>
          <w:snapToGrid w:val="0"/>
        </w:rPr>
        <w:t xml:space="preserve">Peace granting the warrant. </w:t>
      </w:r>
    </w:p>
    <w:p>
      <w:pPr>
        <w:pStyle w:val="yTable"/>
        <w:tabs>
          <w:tab w:val="left" w:pos="426"/>
          <w:tab w:val="right" w:leader="dot" w:pos="7088"/>
        </w:tabs>
        <w:spacing w:before="0"/>
        <w:ind w:left="425" w:hanging="425"/>
        <w:rPr>
          <w:snapToGrid w:val="0"/>
        </w:rPr>
      </w:pPr>
      <w:r>
        <w:rPr>
          <w:snapToGrid w:val="0"/>
        </w:rPr>
        <w:t>(1)</w:t>
      </w:r>
      <w:r>
        <w:rPr>
          <w:snapToGrid w:val="0"/>
        </w:rPr>
        <w:tab/>
        <w:t>Insert particulars of place.</w:t>
      </w:r>
    </w:p>
    <w:p>
      <w:pPr>
        <w:pStyle w:val="yTable"/>
        <w:tabs>
          <w:tab w:val="left" w:pos="426"/>
          <w:tab w:val="right" w:leader="dot" w:pos="7088"/>
        </w:tabs>
        <w:ind w:left="426" w:hanging="426"/>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w:t>
      </w:r>
    </w:p>
    <w:p>
      <w:pPr>
        <w:sectPr>
          <w:headerReference w:type="even" r:id="rId23"/>
          <w:pgSz w:w="11906" w:h="16838" w:code="9"/>
          <w:pgMar w:top="2381" w:right="2409" w:bottom="3543" w:left="2409" w:header="720" w:footer="3380" w:gutter="0"/>
          <w:cols w:space="720"/>
          <w:noEndnote/>
          <w:docGrid w:linePitch="326"/>
        </w:sectPr>
      </w:pPr>
    </w:p>
    <w:p>
      <w:pPr>
        <w:pStyle w:val="nHeading2"/>
      </w:pPr>
      <w:bookmarkStart w:id="471" w:name="_Toc77066848"/>
      <w:bookmarkStart w:id="472" w:name="_Toc91479281"/>
      <w:bookmarkStart w:id="473" w:name="_Toc92427346"/>
      <w:bookmarkStart w:id="474" w:name="_Toc100974800"/>
      <w:bookmarkStart w:id="475" w:name="_Toc100975120"/>
      <w:bookmarkStart w:id="476" w:name="_Toc100977254"/>
      <w:bookmarkStart w:id="477" w:name="_Toc101064678"/>
      <w:bookmarkStart w:id="478" w:name="_Toc101081038"/>
      <w:bookmarkStart w:id="479" w:name="_Toc101774553"/>
      <w:bookmarkStart w:id="480" w:name="_Toc101774629"/>
      <w:bookmarkStart w:id="481" w:name="_Toc101774732"/>
      <w:bookmarkStart w:id="482" w:name="_Toc105391581"/>
      <w:bookmarkStart w:id="483" w:name="_Toc105577865"/>
      <w:bookmarkStart w:id="484" w:name="_Toc116984351"/>
      <w:bookmarkStart w:id="485" w:name="_Toc116986523"/>
      <w:bookmarkStart w:id="486" w:name="_Toc123708475"/>
      <w:bookmarkStart w:id="487" w:name="_Toc133903585"/>
      <w:bookmarkStart w:id="488" w:name="_Toc133903679"/>
      <w:bookmarkStart w:id="489" w:name="_Toc133921028"/>
      <w:r>
        <w:t>Notes</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490" w:name="_Toc133903586"/>
      <w:bookmarkStart w:id="491" w:name="_Toc133921029"/>
      <w:bookmarkStart w:id="492" w:name="_Toc123708476"/>
      <w:r>
        <w:t>Compilation table</w:t>
      </w:r>
      <w:bookmarkEnd w:id="490"/>
      <w:bookmarkEnd w:id="491"/>
      <w:bookmarkEnd w:id="492"/>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sz w:val="19"/>
              </w:rPr>
            </w:pPr>
            <w:r>
              <w:rPr>
                <w:i/>
                <w:sz w:val="19"/>
              </w:rPr>
              <w:t>Betting Control Regulations 1978</w:t>
            </w:r>
          </w:p>
        </w:tc>
        <w:tc>
          <w:tcPr>
            <w:tcW w:w="1276" w:type="dxa"/>
          </w:tcPr>
          <w:p>
            <w:pPr>
              <w:pStyle w:val="nTable"/>
              <w:spacing w:after="40"/>
              <w:rPr>
                <w:sz w:val="19"/>
              </w:rPr>
            </w:pPr>
            <w:r>
              <w:rPr>
                <w:sz w:val="19"/>
              </w:rPr>
              <w:t>22 Jun 1978 p. 1991</w:t>
            </w:r>
            <w:r>
              <w:rPr>
                <w:sz w:val="19"/>
              </w:rPr>
              <w:noBreakHyphen/>
              <w:t>2014</w:t>
            </w:r>
          </w:p>
        </w:tc>
        <w:tc>
          <w:tcPr>
            <w:tcW w:w="2693" w:type="dxa"/>
          </w:tcPr>
          <w:p>
            <w:pPr>
              <w:pStyle w:val="nTable"/>
              <w:spacing w:after="40"/>
              <w:rPr>
                <w:sz w:val="19"/>
              </w:rPr>
            </w:pPr>
            <w:r>
              <w:rPr>
                <w:sz w:val="19"/>
              </w:rPr>
              <w:t>22 Jun 1978</w:t>
            </w:r>
          </w:p>
        </w:tc>
      </w:tr>
      <w:tr>
        <w:trPr>
          <w:cantSplit/>
        </w:trPr>
        <w:tc>
          <w:tcPr>
            <w:tcW w:w="3119" w:type="dxa"/>
          </w:tcPr>
          <w:p>
            <w:pPr>
              <w:pStyle w:val="nTable"/>
              <w:spacing w:after="40"/>
              <w:ind w:right="113"/>
              <w:rPr>
                <w:i/>
                <w:sz w:val="19"/>
              </w:rPr>
            </w:pPr>
            <w:r>
              <w:rPr>
                <w:i/>
                <w:sz w:val="19"/>
              </w:rPr>
              <w:t>Betting Control Amendment Regulations 1983</w:t>
            </w:r>
          </w:p>
        </w:tc>
        <w:tc>
          <w:tcPr>
            <w:tcW w:w="1276" w:type="dxa"/>
          </w:tcPr>
          <w:p>
            <w:pPr>
              <w:pStyle w:val="nTable"/>
              <w:spacing w:after="40"/>
              <w:rPr>
                <w:sz w:val="19"/>
              </w:rPr>
            </w:pPr>
            <w:r>
              <w:rPr>
                <w:sz w:val="19"/>
              </w:rPr>
              <w:t>12 Aug 1983 p. 2918</w:t>
            </w:r>
          </w:p>
        </w:tc>
        <w:tc>
          <w:tcPr>
            <w:tcW w:w="2693" w:type="dxa"/>
          </w:tcPr>
          <w:p>
            <w:pPr>
              <w:pStyle w:val="nTable"/>
              <w:spacing w:after="40"/>
              <w:rPr>
                <w:sz w:val="19"/>
              </w:rPr>
            </w:pPr>
            <w:r>
              <w:rPr>
                <w:sz w:val="19"/>
              </w:rPr>
              <w:t>12 Aug 1983</w:t>
            </w:r>
          </w:p>
        </w:tc>
      </w:tr>
      <w:tr>
        <w:trPr>
          <w:cantSplit/>
        </w:trPr>
        <w:tc>
          <w:tcPr>
            <w:tcW w:w="3119" w:type="dxa"/>
          </w:tcPr>
          <w:p>
            <w:pPr>
              <w:pStyle w:val="nTable"/>
              <w:spacing w:after="40"/>
              <w:ind w:right="113"/>
              <w:rPr>
                <w:i/>
                <w:sz w:val="19"/>
              </w:rPr>
            </w:pPr>
            <w:r>
              <w:rPr>
                <w:i/>
                <w:sz w:val="19"/>
              </w:rPr>
              <w:t>Betting Control Amendment Regulations 1988</w:t>
            </w:r>
          </w:p>
        </w:tc>
        <w:tc>
          <w:tcPr>
            <w:tcW w:w="1276" w:type="dxa"/>
          </w:tcPr>
          <w:p>
            <w:pPr>
              <w:pStyle w:val="nTable"/>
              <w:spacing w:after="40"/>
              <w:rPr>
                <w:sz w:val="19"/>
              </w:rPr>
            </w:pPr>
            <w:r>
              <w:rPr>
                <w:sz w:val="19"/>
              </w:rPr>
              <w:t>4 Mar 1988 p. 667</w:t>
            </w:r>
            <w:r>
              <w:rPr>
                <w:sz w:val="19"/>
              </w:rPr>
              <w:noBreakHyphen/>
              <w:t>8</w:t>
            </w:r>
          </w:p>
        </w:tc>
        <w:tc>
          <w:tcPr>
            <w:tcW w:w="2693" w:type="dxa"/>
          </w:tcPr>
          <w:p>
            <w:pPr>
              <w:pStyle w:val="nTable"/>
              <w:spacing w:after="40"/>
              <w:rPr>
                <w:sz w:val="19"/>
              </w:rPr>
            </w:pPr>
            <w:r>
              <w:rPr>
                <w:sz w:val="19"/>
              </w:rPr>
              <w:t>4 Mar 1988 (see r. 2)</w:t>
            </w:r>
          </w:p>
        </w:tc>
      </w:tr>
      <w:tr>
        <w:trPr>
          <w:cantSplit/>
        </w:trPr>
        <w:tc>
          <w:tcPr>
            <w:tcW w:w="3119" w:type="dxa"/>
          </w:tcPr>
          <w:p>
            <w:pPr>
              <w:pStyle w:val="nTable"/>
              <w:spacing w:after="40"/>
              <w:ind w:right="113"/>
              <w:rPr>
                <w:i/>
                <w:sz w:val="19"/>
              </w:rPr>
            </w:pPr>
            <w:r>
              <w:rPr>
                <w:i/>
                <w:sz w:val="19"/>
              </w:rPr>
              <w:t>Betting Control Amendment Regulations (No. 2) 1988</w:t>
            </w:r>
          </w:p>
        </w:tc>
        <w:tc>
          <w:tcPr>
            <w:tcW w:w="1276" w:type="dxa"/>
          </w:tcPr>
          <w:p>
            <w:pPr>
              <w:pStyle w:val="nTable"/>
              <w:spacing w:after="40"/>
              <w:rPr>
                <w:sz w:val="19"/>
              </w:rPr>
            </w:pPr>
            <w:r>
              <w:rPr>
                <w:sz w:val="19"/>
              </w:rPr>
              <w:t>24 Jun 1988 p. 2003</w:t>
            </w:r>
            <w:r>
              <w:rPr>
                <w:sz w:val="19"/>
              </w:rPr>
              <w:noBreakHyphen/>
              <w:t>5</w:t>
            </w:r>
          </w:p>
        </w:tc>
        <w:tc>
          <w:tcPr>
            <w:tcW w:w="2693" w:type="dxa"/>
          </w:tcPr>
          <w:p>
            <w:pPr>
              <w:pStyle w:val="nTable"/>
              <w:spacing w:after="40"/>
              <w:rPr>
                <w:sz w:val="19"/>
              </w:rPr>
            </w:pPr>
            <w:r>
              <w:rPr>
                <w:sz w:val="19"/>
              </w:rPr>
              <w:t>24 Jun 1988</w:t>
            </w:r>
          </w:p>
        </w:tc>
      </w:tr>
      <w:tr>
        <w:trPr>
          <w:cantSplit/>
        </w:trPr>
        <w:tc>
          <w:tcPr>
            <w:tcW w:w="3119" w:type="dxa"/>
          </w:tcPr>
          <w:p>
            <w:pPr>
              <w:pStyle w:val="nTable"/>
              <w:spacing w:after="40"/>
              <w:ind w:right="113"/>
              <w:rPr>
                <w:i/>
                <w:sz w:val="19"/>
              </w:rPr>
            </w:pPr>
            <w:r>
              <w:rPr>
                <w:i/>
                <w:sz w:val="19"/>
              </w:rPr>
              <w:t>Betting Control (Amendment) Regulations 1989</w:t>
            </w:r>
          </w:p>
        </w:tc>
        <w:tc>
          <w:tcPr>
            <w:tcW w:w="1276" w:type="dxa"/>
          </w:tcPr>
          <w:p>
            <w:pPr>
              <w:pStyle w:val="nTable"/>
              <w:spacing w:after="40"/>
              <w:rPr>
                <w:sz w:val="19"/>
              </w:rPr>
            </w:pPr>
            <w:r>
              <w:rPr>
                <w:sz w:val="19"/>
              </w:rPr>
              <w:t>14 Jul 1989 p. 2133</w:t>
            </w:r>
          </w:p>
        </w:tc>
        <w:tc>
          <w:tcPr>
            <w:tcW w:w="2693" w:type="dxa"/>
          </w:tcPr>
          <w:p>
            <w:pPr>
              <w:pStyle w:val="nTable"/>
              <w:spacing w:after="40"/>
              <w:rPr>
                <w:sz w:val="19"/>
              </w:rPr>
            </w:pPr>
            <w:r>
              <w:rPr>
                <w:sz w:val="19"/>
              </w:rPr>
              <w:t>14 Jul 1989</w:t>
            </w:r>
          </w:p>
        </w:tc>
      </w:tr>
      <w:tr>
        <w:trPr>
          <w:cantSplit/>
        </w:trPr>
        <w:tc>
          <w:tcPr>
            <w:tcW w:w="3119" w:type="dxa"/>
          </w:tcPr>
          <w:p>
            <w:pPr>
              <w:pStyle w:val="nTable"/>
              <w:spacing w:after="40"/>
              <w:ind w:right="113"/>
              <w:rPr>
                <w:i/>
                <w:sz w:val="19"/>
              </w:rPr>
            </w:pPr>
            <w:r>
              <w:rPr>
                <w:i/>
                <w:sz w:val="19"/>
              </w:rPr>
              <w:t>Betting Control Amendment Regulations 1990</w:t>
            </w:r>
          </w:p>
        </w:tc>
        <w:tc>
          <w:tcPr>
            <w:tcW w:w="1276" w:type="dxa"/>
          </w:tcPr>
          <w:p>
            <w:pPr>
              <w:pStyle w:val="nTable"/>
              <w:spacing w:after="40"/>
              <w:rPr>
                <w:sz w:val="19"/>
              </w:rPr>
            </w:pPr>
            <w:r>
              <w:rPr>
                <w:sz w:val="19"/>
              </w:rPr>
              <w:t>14 Sep 1990 p. 4863</w:t>
            </w:r>
            <w:r>
              <w:rPr>
                <w:sz w:val="19"/>
              </w:rPr>
              <w:noBreakHyphen/>
              <w:t>4</w:t>
            </w:r>
          </w:p>
        </w:tc>
        <w:tc>
          <w:tcPr>
            <w:tcW w:w="2693" w:type="dxa"/>
          </w:tcPr>
          <w:p>
            <w:pPr>
              <w:pStyle w:val="nTable"/>
              <w:spacing w:after="40"/>
              <w:rPr>
                <w:sz w:val="19"/>
              </w:rPr>
            </w:pPr>
            <w:r>
              <w:rPr>
                <w:sz w:val="19"/>
              </w:rPr>
              <w:t>14 Sep 1990</w:t>
            </w:r>
          </w:p>
        </w:tc>
      </w:tr>
      <w:tr>
        <w:trPr>
          <w:cantSplit/>
        </w:trPr>
        <w:tc>
          <w:tcPr>
            <w:tcW w:w="3119" w:type="dxa"/>
          </w:tcPr>
          <w:p>
            <w:pPr>
              <w:pStyle w:val="nTable"/>
              <w:spacing w:after="40"/>
              <w:ind w:right="113"/>
              <w:rPr>
                <w:i/>
                <w:sz w:val="19"/>
              </w:rPr>
            </w:pPr>
            <w:r>
              <w:rPr>
                <w:i/>
                <w:sz w:val="19"/>
              </w:rPr>
              <w:t>Betting Control Amendment Regulations 1991</w:t>
            </w:r>
          </w:p>
        </w:tc>
        <w:tc>
          <w:tcPr>
            <w:tcW w:w="1276" w:type="dxa"/>
          </w:tcPr>
          <w:p>
            <w:pPr>
              <w:pStyle w:val="nTable"/>
              <w:spacing w:after="40"/>
              <w:rPr>
                <w:sz w:val="19"/>
              </w:rPr>
            </w:pPr>
            <w:r>
              <w:rPr>
                <w:sz w:val="19"/>
              </w:rPr>
              <w:t>14 Feb 1992 p. 857</w:t>
            </w:r>
            <w:r>
              <w:rPr>
                <w:sz w:val="19"/>
              </w:rPr>
              <w:noBreakHyphen/>
              <w:t>62</w:t>
            </w:r>
          </w:p>
        </w:tc>
        <w:tc>
          <w:tcPr>
            <w:tcW w:w="2693" w:type="dxa"/>
          </w:tcPr>
          <w:p>
            <w:pPr>
              <w:pStyle w:val="nTable"/>
              <w:spacing w:after="40"/>
              <w:rPr>
                <w:sz w:val="19"/>
              </w:rPr>
            </w:pPr>
            <w:r>
              <w:rPr>
                <w:sz w:val="19"/>
              </w:rPr>
              <w:t>14 Feb 1992</w:t>
            </w:r>
          </w:p>
        </w:tc>
      </w:tr>
      <w:tr>
        <w:trPr>
          <w:cantSplit/>
        </w:trPr>
        <w:tc>
          <w:tcPr>
            <w:tcW w:w="3119" w:type="dxa"/>
          </w:tcPr>
          <w:p>
            <w:pPr>
              <w:pStyle w:val="nTable"/>
              <w:spacing w:after="40"/>
              <w:ind w:right="113"/>
              <w:rPr>
                <w:i/>
                <w:sz w:val="19"/>
              </w:rPr>
            </w:pPr>
            <w:r>
              <w:rPr>
                <w:i/>
                <w:sz w:val="19"/>
              </w:rPr>
              <w:t>Betting Control Amendment Regulations 1992</w:t>
            </w:r>
          </w:p>
        </w:tc>
        <w:tc>
          <w:tcPr>
            <w:tcW w:w="1276" w:type="dxa"/>
          </w:tcPr>
          <w:p>
            <w:pPr>
              <w:pStyle w:val="nTable"/>
              <w:spacing w:after="40"/>
              <w:rPr>
                <w:sz w:val="19"/>
              </w:rPr>
            </w:pPr>
            <w:r>
              <w:rPr>
                <w:sz w:val="19"/>
              </w:rPr>
              <w:t>10 Jul 1992 p. 3286</w:t>
            </w:r>
            <w:r>
              <w:rPr>
                <w:sz w:val="19"/>
              </w:rPr>
              <w:noBreakHyphen/>
              <w:t>95</w:t>
            </w:r>
          </w:p>
        </w:tc>
        <w:tc>
          <w:tcPr>
            <w:tcW w:w="2693" w:type="dxa"/>
          </w:tcPr>
          <w:p>
            <w:pPr>
              <w:pStyle w:val="nTable"/>
              <w:spacing w:after="40"/>
              <w:rPr>
                <w:sz w:val="19"/>
              </w:rPr>
            </w:pPr>
            <w:r>
              <w:rPr>
                <w:sz w:val="19"/>
              </w:rPr>
              <w:t>10 Jul 1992</w:t>
            </w:r>
          </w:p>
        </w:tc>
      </w:tr>
      <w:tr>
        <w:trPr>
          <w:cantSplit/>
        </w:trPr>
        <w:tc>
          <w:tcPr>
            <w:tcW w:w="3119" w:type="dxa"/>
          </w:tcPr>
          <w:p>
            <w:pPr>
              <w:pStyle w:val="nTable"/>
              <w:spacing w:after="40"/>
              <w:ind w:right="113"/>
              <w:rPr>
                <w:i/>
                <w:sz w:val="19"/>
              </w:rPr>
            </w:pPr>
            <w:r>
              <w:rPr>
                <w:i/>
                <w:sz w:val="19"/>
              </w:rPr>
              <w:t>Betting Control Amendment Regulations (No. 2) 1992</w:t>
            </w:r>
          </w:p>
        </w:tc>
        <w:tc>
          <w:tcPr>
            <w:tcW w:w="1276" w:type="dxa"/>
          </w:tcPr>
          <w:p>
            <w:pPr>
              <w:pStyle w:val="nTable"/>
              <w:spacing w:after="40"/>
              <w:rPr>
                <w:sz w:val="19"/>
              </w:rPr>
            </w:pPr>
            <w:r>
              <w:rPr>
                <w:sz w:val="19"/>
              </w:rPr>
              <w:t>31 Jul 1992 p. 3796</w:t>
            </w:r>
          </w:p>
        </w:tc>
        <w:tc>
          <w:tcPr>
            <w:tcW w:w="2693" w:type="dxa"/>
          </w:tcPr>
          <w:p>
            <w:pPr>
              <w:pStyle w:val="nTable"/>
              <w:spacing w:after="40"/>
              <w:rPr>
                <w:sz w:val="19"/>
              </w:rPr>
            </w:pPr>
            <w:r>
              <w:rPr>
                <w:sz w:val="19"/>
              </w:rPr>
              <w:t>31 Jul 1992</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20 Aug 1992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1993</w:t>
            </w:r>
          </w:p>
        </w:tc>
        <w:tc>
          <w:tcPr>
            <w:tcW w:w="1276" w:type="dxa"/>
          </w:tcPr>
          <w:p>
            <w:pPr>
              <w:pStyle w:val="nTable"/>
              <w:spacing w:after="40"/>
              <w:rPr>
                <w:sz w:val="19"/>
              </w:rPr>
            </w:pPr>
            <w:r>
              <w:rPr>
                <w:sz w:val="19"/>
              </w:rPr>
              <w:t>31 Aug 1993 p. 4677 (correction 10 Sep 1993 p. 4975)</w:t>
            </w:r>
          </w:p>
        </w:tc>
        <w:tc>
          <w:tcPr>
            <w:tcW w:w="2693" w:type="dxa"/>
          </w:tcPr>
          <w:p>
            <w:pPr>
              <w:pStyle w:val="nTable"/>
              <w:spacing w:after="40"/>
              <w:rPr>
                <w:sz w:val="19"/>
              </w:rPr>
            </w:pPr>
            <w:r>
              <w:rPr>
                <w:sz w:val="19"/>
              </w:rPr>
              <w:t>31 Aug 1993</w:t>
            </w:r>
          </w:p>
        </w:tc>
      </w:tr>
      <w:tr>
        <w:trPr>
          <w:cantSplit/>
        </w:trPr>
        <w:tc>
          <w:tcPr>
            <w:tcW w:w="3119" w:type="dxa"/>
          </w:tcPr>
          <w:p>
            <w:pPr>
              <w:pStyle w:val="nTable"/>
              <w:spacing w:after="40"/>
              <w:ind w:right="113"/>
              <w:rPr>
                <w:sz w:val="19"/>
              </w:rPr>
            </w:pPr>
            <w:r>
              <w:rPr>
                <w:i/>
                <w:sz w:val="19"/>
              </w:rPr>
              <w:t>Betting Control Amendment Regulations (No. 2) 1993</w:t>
            </w:r>
          </w:p>
        </w:tc>
        <w:tc>
          <w:tcPr>
            <w:tcW w:w="1276" w:type="dxa"/>
          </w:tcPr>
          <w:p>
            <w:pPr>
              <w:pStyle w:val="nTable"/>
              <w:spacing w:after="40"/>
              <w:rPr>
                <w:sz w:val="19"/>
              </w:rPr>
            </w:pPr>
            <w:r>
              <w:rPr>
                <w:sz w:val="19"/>
              </w:rPr>
              <w:t>24 Dec 1993 p. 6839</w:t>
            </w:r>
            <w:r>
              <w:rPr>
                <w:sz w:val="19"/>
              </w:rPr>
              <w:noBreakHyphen/>
              <w:t>40</w:t>
            </w:r>
          </w:p>
        </w:tc>
        <w:tc>
          <w:tcPr>
            <w:tcW w:w="2693" w:type="dxa"/>
          </w:tcPr>
          <w:p>
            <w:pPr>
              <w:pStyle w:val="nTable"/>
              <w:spacing w:after="40"/>
              <w:rPr>
                <w:sz w:val="19"/>
              </w:rPr>
            </w:pPr>
            <w:r>
              <w:rPr>
                <w:sz w:val="19"/>
              </w:rPr>
              <w:t>24 Dec 1993</w:t>
            </w:r>
          </w:p>
        </w:tc>
      </w:tr>
      <w:tr>
        <w:trPr>
          <w:cantSplit/>
        </w:trPr>
        <w:tc>
          <w:tcPr>
            <w:tcW w:w="3119" w:type="dxa"/>
          </w:tcPr>
          <w:p>
            <w:pPr>
              <w:pStyle w:val="nTable"/>
              <w:spacing w:after="40"/>
              <w:ind w:right="113"/>
              <w:rPr>
                <w:sz w:val="19"/>
              </w:rPr>
            </w:pPr>
            <w:r>
              <w:rPr>
                <w:i/>
                <w:sz w:val="19"/>
              </w:rPr>
              <w:t>Betting Control Amendment Regulations 1994</w:t>
            </w:r>
          </w:p>
        </w:tc>
        <w:tc>
          <w:tcPr>
            <w:tcW w:w="1276" w:type="dxa"/>
          </w:tcPr>
          <w:p>
            <w:pPr>
              <w:pStyle w:val="nTable"/>
              <w:spacing w:after="40"/>
              <w:rPr>
                <w:sz w:val="19"/>
              </w:rPr>
            </w:pPr>
            <w:r>
              <w:rPr>
                <w:sz w:val="19"/>
              </w:rPr>
              <w:t>2 Dec 1994 p. 6383</w:t>
            </w:r>
          </w:p>
        </w:tc>
        <w:tc>
          <w:tcPr>
            <w:tcW w:w="2693" w:type="dxa"/>
          </w:tcPr>
          <w:p>
            <w:pPr>
              <w:pStyle w:val="nTable"/>
              <w:spacing w:after="40"/>
              <w:rPr>
                <w:sz w:val="19"/>
              </w:rPr>
            </w:pPr>
            <w:r>
              <w:rPr>
                <w:sz w:val="19"/>
              </w:rPr>
              <w:t>2 Dec 1994</w:t>
            </w:r>
          </w:p>
        </w:tc>
      </w:tr>
      <w:tr>
        <w:trPr>
          <w:cantSplit/>
        </w:trPr>
        <w:tc>
          <w:tcPr>
            <w:tcW w:w="3119" w:type="dxa"/>
          </w:tcPr>
          <w:p>
            <w:pPr>
              <w:pStyle w:val="nTable"/>
              <w:spacing w:after="40"/>
              <w:ind w:right="113"/>
              <w:rPr>
                <w:sz w:val="19"/>
              </w:rPr>
            </w:pPr>
            <w:r>
              <w:rPr>
                <w:i/>
                <w:sz w:val="19"/>
              </w:rPr>
              <w:t>Betting Control Amendment Regulations 1996</w:t>
            </w:r>
          </w:p>
        </w:tc>
        <w:tc>
          <w:tcPr>
            <w:tcW w:w="1276" w:type="dxa"/>
          </w:tcPr>
          <w:p>
            <w:pPr>
              <w:pStyle w:val="nTable"/>
              <w:spacing w:after="40"/>
              <w:rPr>
                <w:sz w:val="19"/>
              </w:rPr>
            </w:pPr>
            <w:r>
              <w:rPr>
                <w:sz w:val="19"/>
              </w:rPr>
              <w:t>25 Jun 1996 p. 2974</w:t>
            </w:r>
            <w:r>
              <w:rPr>
                <w:sz w:val="19"/>
              </w:rPr>
              <w:noBreakHyphen/>
              <w:t>8</w:t>
            </w:r>
          </w:p>
        </w:tc>
        <w:tc>
          <w:tcPr>
            <w:tcW w:w="2693" w:type="dxa"/>
          </w:tcPr>
          <w:p>
            <w:pPr>
              <w:pStyle w:val="nTable"/>
              <w:spacing w:after="40"/>
              <w:rPr>
                <w:sz w:val="19"/>
              </w:rPr>
            </w:pPr>
            <w:r>
              <w:rPr>
                <w:sz w:val="19"/>
              </w:rPr>
              <w:t xml:space="preserve">28 Jun 1996 (see r. 2 and </w:t>
            </w:r>
            <w:r>
              <w:rPr>
                <w:i/>
                <w:sz w:val="19"/>
              </w:rPr>
              <w:t>Gazette</w:t>
            </w:r>
            <w:r>
              <w:rPr>
                <w:sz w:val="19"/>
              </w:rPr>
              <w:t xml:space="preserve"> 25 Jun 1996 p. 2901)</w:t>
            </w:r>
          </w:p>
        </w:tc>
      </w:tr>
      <w:tr>
        <w:trPr>
          <w:cantSplit/>
        </w:trPr>
        <w:tc>
          <w:tcPr>
            <w:tcW w:w="3119" w:type="dxa"/>
          </w:tcPr>
          <w:p>
            <w:pPr>
              <w:pStyle w:val="nTable"/>
              <w:spacing w:after="40"/>
              <w:ind w:right="113"/>
              <w:rPr>
                <w:sz w:val="19"/>
              </w:rPr>
            </w:pPr>
            <w:r>
              <w:rPr>
                <w:i/>
                <w:sz w:val="19"/>
              </w:rPr>
              <w:t>Betting Control Amendment Regulations (No. 2) 1996</w:t>
            </w:r>
          </w:p>
        </w:tc>
        <w:tc>
          <w:tcPr>
            <w:tcW w:w="1276" w:type="dxa"/>
          </w:tcPr>
          <w:p>
            <w:pPr>
              <w:pStyle w:val="nTable"/>
              <w:spacing w:after="40"/>
              <w:rPr>
                <w:sz w:val="19"/>
              </w:rPr>
            </w:pPr>
            <w:r>
              <w:rPr>
                <w:sz w:val="19"/>
              </w:rPr>
              <w:t>22 Oct 1996 p. 5619</w:t>
            </w:r>
          </w:p>
        </w:tc>
        <w:tc>
          <w:tcPr>
            <w:tcW w:w="2693" w:type="dxa"/>
          </w:tcPr>
          <w:p>
            <w:pPr>
              <w:pStyle w:val="nTable"/>
              <w:spacing w:after="40"/>
              <w:rPr>
                <w:sz w:val="19"/>
              </w:rPr>
            </w:pPr>
            <w:r>
              <w:rPr>
                <w:sz w:val="19"/>
              </w:rPr>
              <w:t>22 Oct 1996</w:t>
            </w:r>
          </w:p>
        </w:tc>
      </w:tr>
      <w:tr>
        <w:trPr>
          <w:cantSplit/>
        </w:trPr>
        <w:tc>
          <w:tcPr>
            <w:tcW w:w="3119" w:type="dxa"/>
          </w:tcPr>
          <w:p>
            <w:pPr>
              <w:pStyle w:val="nTable"/>
              <w:spacing w:after="40"/>
              <w:ind w:right="113"/>
              <w:rPr>
                <w:sz w:val="19"/>
              </w:rPr>
            </w:pPr>
            <w:r>
              <w:rPr>
                <w:i/>
                <w:sz w:val="19"/>
              </w:rPr>
              <w:t>Betting Control Amendment Regulations 1997</w:t>
            </w:r>
          </w:p>
        </w:tc>
        <w:tc>
          <w:tcPr>
            <w:tcW w:w="1276" w:type="dxa"/>
          </w:tcPr>
          <w:p>
            <w:pPr>
              <w:pStyle w:val="nTable"/>
              <w:spacing w:after="40"/>
              <w:rPr>
                <w:sz w:val="19"/>
              </w:rPr>
            </w:pPr>
            <w:r>
              <w:rPr>
                <w:sz w:val="19"/>
              </w:rPr>
              <w:t>4 Mar 1997</w:t>
            </w:r>
            <w:r>
              <w:rPr>
                <w:sz w:val="19"/>
              </w:rPr>
              <w:br/>
              <w:t>p. 1395</w:t>
            </w:r>
          </w:p>
        </w:tc>
        <w:tc>
          <w:tcPr>
            <w:tcW w:w="2693" w:type="dxa"/>
          </w:tcPr>
          <w:p>
            <w:pPr>
              <w:pStyle w:val="nTable"/>
              <w:spacing w:after="40"/>
              <w:rPr>
                <w:sz w:val="19"/>
              </w:rPr>
            </w:pPr>
            <w:r>
              <w:rPr>
                <w:sz w:val="19"/>
              </w:rPr>
              <w:t>4 Mar 1997</w:t>
            </w:r>
          </w:p>
        </w:tc>
      </w:tr>
      <w:tr>
        <w:trPr>
          <w:cantSplit/>
        </w:trPr>
        <w:tc>
          <w:tcPr>
            <w:tcW w:w="3119" w:type="dxa"/>
          </w:tcPr>
          <w:p>
            <w:pPr>
              <w:pStyle w:val="nTable"/>
              <w:keepNext/>
              <w:spacing w:after="40"/>
              <w:ind w:right="113"/>
              <w:rPr>
                <w:sz w:val="19"/>
              </w:rPr>
            </w:pPr>
            <w:r>
              <w:rPr>
                <w:i/>
                <w:sz w:val="19"/>
              </w:rPr>
              <w:t>Betting Control Amendment Regulations (No. 2) 1997</w:t>
            </w:r>
          </w:p>
        </w:tc>
        <w:tc>
          <w:tcPr>
            <w:tcW w:w="1276" w:type="dxa"/>
          </w:tcPr>
          <w:p>
            <w:pPr>
              <w:pStyle w:val="nTable"/>
              <w:keepNext/>
              <w:spacing w:after="40"/>
              <w:rPr>
                <w:sz w:val="19"/>
              </w:rPr>
            </w:pPr>
            <w:r>
              <w:rPr>
                <w:sz w:val="19"/>
              </w:rPr>
              <w:t>4 Mar 1997 p. 1396 (as amended 24 Jun 1997 p. 3014)</w:t>
            </w:r>
          </w:p>
        </w:tc>
        <w:tc>
          <w:tcPr>
            <w:tcW w:w="2693" w:type="dxa"/>
          </w:tcPr>
          <w:p>
            <w:pPr>
              <w:pStyle w:val="nTable"/>
              <w:keepNext/>
              <w:spacing w:after="40"/>
              <w:rPr>
                <w:sz w:val="19"/>
              </w:rPr>
            </w:pPr>
            <w:r>
              <w:rPr>
                <w:sz w:val="19"/>
              </w:rPr>
              <w:t>1 Aug 1997 (see r. 2)</w:t>
            </w:r>
          </w:p>
        </w:tc>
      </w:tr>
      <w:tr>
        <w:trPr>
          <w:cantSplit/>
        </w:trPr>
        <w:tc>
          <w:tcPr>
            <w:tcW w:w="3119" w:type="dxa"/>
          </w:tcPr>
          <w:p>
            <w:pPr>
              <w:pStyle w:val="nTable"/>
              <w:spacing w:after="40"/>
              <w:ind w:right="113"/>
              <w:rPr>
                <w:sz w:val="19"/>
              </w:rPr>
            </w:pPr>
            <w:r>
              <w:rPr>
                <w:i/>
                <w:sz w:val="19"/>
              </w:rPr>
              <w:t>Betting Control Amendment Regulations (No. 3) 1997</w:t>
            </w:r>
          </w:p>
        </w:tc>
        <w:tc>
          <w:tcPr>
            <w:tcW w:w="1276" w:type="dxa"/>
          </w:tcPr>
          <w:p>
            <w:pPr>
              <w:pStyle w:val="nTable"/>
              <w:spacing w:after="40"/>
              <w:rPr>
                <w:sz w:val="19"/>
              </w:rPr>
            </w:pPr>
            <w:r>
              <w:rPr>
                <w:sz w:val="19"/>
              </w:rPr>
              <w:t>24 Jun 1997 p. 3014</w:t>
            </w:r>
          </w:p>
        </w:tc>
        <w:tc>
          <w:tcPr>
            <w:tcW w:w="2693" w:type="dxa"/>
          </w:tcPr>
          <w:p>
            <w:pPr>
              <w:pStyle w:val="nTable"/>
              <w:spacing w:after="40"/>
              <w:rPr>
                <w:sz w:val="19"/>
              </w:rPr>
            </w:pPr>
            <w:r>
              <w:rPr>
                <w:sz w:val="19"/>
              </w:rPr>
              <w:t>24 Jun 1997</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30 Sep 1997 </w:t>
            </w:r>
            <w:r>
              <w:rPr>
                <w:sz w:val="19"/>
              </w:rPr>
              <w:t>(includes amendments listed above)</w:t>
            </w:r>
          </w:p>
        </w:tc>
      </w:tr>
      <w:tr>
        <w:trPr>
          <w:cantSplit/>
        </w:trPr>
        <w:tc>
          <w:tcPr>
            <w:tcW w:w="3119" w:type="dxa"/>
          </w:tcPr>
          <w:p>
            <w:pPr>
              <w:pStyle w:val="nTable"/>
              <w:spacing w:after="40"/>
              <w:ind w:right="113"/>
              <w:rPr>
                <w:sz w:val="19"/>
              </w:rPr>
            </w:pPr>
            <w:r>
              <w:rPr>
                <w:i/>
                <w:sz w:val="19"/>
              </w:rPr>
              <w:t>Betting Control Amendment Regulations 1998</w:t>
            </w:r>
          </w:p>
        </w:tc>
        <w:tc>
          <w:tcPr>
            <w:tcW w:w="1276" w:type="dxa"/>
          </w:tcPr>
          <w:p>
            <w:pPr>
              <w:pStyle w:val="nTable"/>
              <w:spacing w:after="40"/>
              <w:rPr>
                <w:sz w:val="19"/>
              </w:rPr>
            </w:pPr>
            <w:r>
              <w:rPr>
                <w:sz w:val="19"/>
              </w:rPr>
              <w:t>13 Mar 1998 p. 1394</w:t>
            </w:r>
          </w:p>
        </w:tc>
        <w:tc>
          <w:tcPr>
            <w:tcW w:w="2693" w:type="dxa"/>
          </w:tcPr>
          <w:p>
            <w:pPr>
              <w:pStyle w:val="nTable"/>
              <w:spacing w:after="40"/>
              <w:rPr>
                <w:sz w:val="19"/>
              </w:rPr>
            </w:pPr>
            <w:r>
              <w:rPr>
                <w:sz w:val="19"/>
              </w:rPr>
              <w:t>13 Mar 1998</w:t>
            </w:r>
          </w:p>
        </w:tc>
      </w:tr>
      <w:tr>
        <w:trPr>
          <w:cantSplit/>
        </w:trPr>
        <w:tc>
          <w:tcPr>
            <w:tcW w:w="3119" w:type="dxa"/>
          </w:tcPr>
          <w:p>
            <w:pPr>
              <w:pStyle w:val="nTable"/>
              <w:spacing w:after="40"/>
              <w:ind w:right="113"/>
              <w:rPr>
                <w:i/>
                <w:sz w:val="19"/>
              </w:rPr>
            </w:pPr>
            <w:r>
              <w:rPr>
                <w:i/>
                <w:sz w:val="19"/>
              </w:rPr>
              <w:t>Betting Control Amendment Regulations (No. 3) 1998</w:t>
            </w:r>
          </w:p>
        </w:tc>
        <w:tc>
          <w:tcPr>
            <w:tcW w:w="1276" w:type="dxa"/>
          </w:tcPr>
          <w:p>
            <w:pPr>
              <w:pStyle w:val="nTable"/>
              <w:spacing w:after="40"/>
              <w:rPr>
                <w:sz w:val="19"/>
              </w:rPr>
            </w:pPr>
            <w:r>
              <w:rPr>
                <w:sz w:val="19"/>
              </w:rPr>
              <w:t>10 Jul 1998 p. 3647</w:t>
            </w:r>
          </w:p>
        </w:tc>
        <w:tc>
          <w:tcPr>
            <w:tcW w:w="2693" w:type="dxa"/>
          </w:tcPr>
          <w:p>
            <w:pPr>
              <w:pStyle w:val="nTable"/>
              <w:spacing w:after="40"/>
              <w:rPr>
                <w:sz w:val="19"/>
              </w:rPr>
            </w:pPr>
            <w:r>
              <w:rPr>
                <w:sz w:val="19"/>
              </w:rPr>
              <w:t>1 Aug 1998 (see r. 2)</w:t>
            </w:r>
          </w:p>
        </w:tc>
      </w:tr>
      <w:tr>
        <w:trPr>
          <w:cantSplit/>
        </w:trPr>
        <w:tc>
          <w:tcPr>
            <w:tcW w:w="3119" w:type="dxa"/>
          </w:tcPr>
          <w:p>
            <w:pPr>
              <w:pStyle w:val="nTable"/>
              <w:spacing w:after="40"/>
              <w:ind w:right="113"/>
              <w:rPr>
                <w:i/>
                <w:sz w:val="19"/>
              </w:rPr>
            </w:pPr>
            <w:r>
              <w:rPr>
                <w:i/>
                <w:sz w:val="19"/>
              </w:rPr>
              <w:t>Betting Control Amendment Regulations (No. 2) 1998</w:t>
            </w:r>
          </w:p>
        </w:tc>
        <w:tc>
          <w:tcPr>
            <w:tcW w:w="1276" w:type="dxa"/>
          </w:tcPr>
          <w:p>
            <w:pPr>
              <w:pStyle w:val="nTable"/>
              <w:spacing w:after="40"/>
              <w:rPr>
                <w:sz w:val="19"/>
              </w:rPr>
            </w:pPr>
            <w:r>
              <w:rPr>
                <w:sz w:val="19"/>
              </w:rPr>
              <w:t>21 Jul 1998 p. 3850</w:t>
            </w:r>
            <w:r>
              <w:rPr>
                <w:sz w:val="19"/>
              </w:rPr>
              <w:noBreakHyphen/>
              <w:t>60</w:t>
            </w:r>
          </w:p>
        </w:tc>
        <w:tc>
          <w:tcPr>
            <w:tcW w:w="2693" w:type="dxa"/>
          </w:tcPr>
          <w:p>
            <w:pPr>
              <w:pStyle w:val="nTable"/>
              <w:spacing w:after="40"/>
              <w:rPr>
                <w:sz w:val="19"/>
              </w:rPr>
            </w:pPr>
            <w:r>
              <w:rPr>
                <w:sz w:val="19"/>
              </w:rPr>
              <w:t>1 Aug 1998 (see r. 2 and </w:t>
            </w:r>
            <w:r>
              <w:rPr>
                <w:i/>
                <w:sz w:val="19"/>
              </w:rPr>
              <w:t xml:space="preserve">Gazette </w:t>
            </w:r>
            <w:r>
              <w:rPr>
                <w:sz w:val="19"/>
              </w:rPr>
              <w:t>21 Jul 1998 p. 3825)</w:t>
            </w:r>
          </w:p>
        </w:tc>
      </w:tr>
      <w:tr>
        <w:trPr>
          <w:cantSplit/>
        </w:trPr>
        <w:tc>
          <w:tcPr>
            <w:tcW w:w="3119" w:type="dxa"/>
          </w:tcPr>
          <w:p>
            <w:pPr>
              <w:pStyle w:val="nTable"/>
              <w:spacing w:after="40"/>
              <w:ind w:right="113"/>
              <w:rPr>
                <w:i/>
                <w:sz w:val="19"/>
              </w:rPr>
            </w:pPr>
            <w:r>
              <w:rPr>
                <w:i/>
                <w:sz w:val="19"/>
              </w:rPr>
              <w:t>Betting Control Amendment Regulations (No. 3) 1999</w:t>
            </w:r>
          </w:p>
        </w:tc>
        <w:tc>
          <w:tcPr>
            <w:tcW w:w="1276" w:type="dxa"/>
          </w:tcPr>
          <w:p>
            <w:pPr>
              <w:pStyle w:val="nTable"/>
              <w:spacing w:after="40"/>
              <w:rPr>
                <w:sz w:val="19"/>
              </w:rPr>
            </w:pPr>
            <w:r>
              <w:rPr>
                <w:sz w:val="19"/>
              </w:rPr>
              <w:t>26 Nov 1999 p. 5908</w:t>
            </w:r>
            <w:r>
              <w:rPr>
                <w:sz w:val="19"/>
              </w:rPr>
              <w:noBreakHyphen/>
              <w:t>10</w:t>
            </w:r>
          </w:p>
        </w:tc>
        <w:tc>
          <w:tcPr>
            <w:tcW w:w="2693" w:type="dxa"/>
          </w:tcPr>
          <w:p>
            <w:pPr>
              <w:pStyle w:val="nTable"/>
              <w:spacing w:after="40"/>
              <w:rPr>
                <w:sz w:val="19"/>
              </w:rPr>
            </w:pPr>
            <w:r>
              <w:rPr>
                <w:sz w:val="19"/>
              </w:rPr>
              <w:t>26 Nov 1999</w:t>
            </w:r>
          </w:p>
        </w:tc>
      </w:tr>
      <w:tr>
        <w:trPr>
          <w:cantSplit/>
        </w:trPr>
        <w:tc>
          <w:tcPr>
            <w:tcW w:w="3119" w:type="dxa"/>
          </w:tcPr>
          <w:p>
            <w:pPr>
              <w:pStyle w:val="nTable"/>
              <w:spacing w:after="40"/>
              <w:ind w:right="113"/>
              <w:rPr>
                <w:i/>
                <w:sz w:val="19"/>
              </w:rPr>
            </w:pPr>
            <w:r>
              <w:rPr>
                <w:i/>
                <w:sz w:val="19"/>
              </w:rPr>
              <w:t xml:space="preserve">Betting Control Amendment Regulations 2000 </w:t>
            </w:r>
          </w:p>
        </w:tc>
        <w:tc>
          <w:tcPr>
            <w:tcW w:w="1276" w:type="dxa"/>
          </w:tcPr>
          <w:p>
            <w:pPr>
              <w:pStyle w:val="nTable"/>
              <w:spacing w:after="40"/>
              <w:rPr>
                <w:sz w:val="19"/>
              </w:rPr>
            </w:pPr>
            <w:r>
              <w:rPr>
                <w:sz w:val="19"/>
              </w:rPr>
              <w:t>13 Oct 2000 p. 5726</w:t>
            </w:r>
            <w:r>
              <w:rPr>
                <w:sz w:val="19"/>
              </w:rPr>
              <w:noBreakHyphen/>
              <w:t>7</w:t>
            </w:r>
          </w:p>
        </w:tc>
        <w:tc>
          <w:tcPr>
            <w:tcW w:w="2693" w:type="dxa"/>
          </w:tcPr>
          <w:p>
            <w:pPr>
              <w:pStyle w:val="nTable"/>
              <w:spacing w:after="40"/>
              <w:rPr>
                <w:sz w:val="19"/>
              </w:rPr>
            </w:pPr>
            <w:r>
              <w:rPr>
                <w:sz w:val="19"/>
              </w:rPr>
              <w:t xml:space="preserve">13 Oct 2000 </w:t>
            </w:r>
          </w:p>
        </w:tc>
      </w:tr>
      <w:tr>
        <w:trPr>
          <w:cantSplit/>
        </w:trPr>
        <w:tc>
          <w:tcPr>
            <w:tcW w:w="7088" w:type="dxa"/>
            <w:gridSpan w:val="3"/>
          </w:tcPr>
          <w:p>
            <w:pPr>
              <w:pStyle w:val="nTable"/>
              <w:spacing w:after="40"/>
              <w:rPr>
                <w:sz w:val="19"/>
              </w:rPr>
            </w:pPr>
            <w:r>
              <w:rPr>
                <w:b/>
                <w:sz w:val="19"/>
              </w:rPr>
              <w:t xml:space="preserve">Reprint of the </w:t>
            </w:r>
            <w:r>
              <w:rPr>
                <w:b/>
                <w:i/>
                <w:sz w:val="19"/>
              </w:rPr>
              <w:t>Betting Control Regulations 1978</w:t>
            </w:r>
            <w:r>
              <w:rPr>
                <w:b/>
                <w:sz w:val="19"/>
              </w:rPr>
              <w:t xml:space="preserve"> as at 6 Apr 2001 </w:t>
            </w:r>
            <w:r>
              <w:rPr>
                <w:sz w:val="19"/>
              </w:rPr>
              <w:t>(includes amendments listed above)</w:t>
            </w:r>
          </w:p>
        </w:tc>
      </w:tr>
      <w:tr>
        <w:trPr>
          <w:cantSplit/>
        </w:trPr>
        <w:tc>
          <w:tcPr>
            <w:tcW w:w="3119" w:type="dxa"/>
          </w:tcPr>
          <w:p>
            <w:pPr>
              <w:pStyle w:val="nTable"/>
              <w:spacing w:after="40"/>
              <w:ind w:right="113"/>
              <w:rPr>
                <w:i/>
                <w:sz w:val="19"/>
              </w:rPr>
            </w:pPr>
            <w:r>
              <w:rPr>
                <w:i/>
                <w:sz w:val="19"/>
              </w:rPr>
              <w:t>Betting Control Amendment Regulations 2001</w:t>
            </w:r>
          </w:p>
        </w:tc>
        <w:tc>
          <w:tcPr>
            <w:tcW w:w="1276" w:type="dxa"/>
          </w:tcPr>
          <w:p>
            <w:pPr>
              <w:pStyle w:val="nTable"/>
              <w:spacing w:after="40"/>
              <w:rPr>
                <w:sz w:val="19"/>
              </w:rPr>
            </w:pPr>
            <w:r>
              <w:rPr>
                <w:sz w:val="19"/>
              </w:rPr>
              <w:t>11 Sep 2001 p. 5001</w:t>
            </w:r>
          </w:p>
        </w:tc>
        <w:tc>
          <w:tcPr>
            <w:tcW w:w="2693" w:type="dxa"/>
          </w:tcPr>
          <w:p>
            <w:pPr>
              <w:pStyle w:val="nTable"/>
              <w:spacing w:after="40"/>
              <w:rPr>
                <w:sz w:val="19"/>
              </w:rPr>
            </w:pPr>
            <w:r>
              <w:rPr>
                <w:sz w:val="19"/>
              </w:rPr>
              <w:t>11 Sep 2001</w:t>
            </w:r>
          </w:p>
        </w:tc>
      </w:tr>
      <w:tr>
        <w:trPr>
          <w:cantSplit/>
        </w:trPr>
        <w:tc>
          <w:tcPr>
            <w:tcW w:w="3119" w:type="dxa"/>
          </w:tcPr>
          <w:p>
            <w:pPr>
              <w:pStyle w:val="nTable"/>
              <w:spacing w:after="40"/>
              <w:ind w:right="113"/>
              <w:rPr>
                <w:i/>
                <w:sz w:val="19"/>
              </w:rPr>
            </w:pPr>
            <w:r>
              <w:rPr>
                <w:i/>
                <w:sz w:val="19"/>
              </w:rPr>
              <w:t>Betting Control Amendment Regulations (No. 2) 2001</w:t>
            </w:r>
          </w:p>
        </w:tc>
        <w:tc>
          <w:tcPr>
            <w:tcW w:w="1276" w:type="dxa"/>
          </w:tcPr>
          <w:p>
            <w:pPr>
              <w:pStyle w:val="nTable"/>
              <w:spacing w:after="40"/>
              <w:rPr>
                <w:sz w:val="19"/>
              </w:rPr>
            </w:pPr>
            <w:r>
              <w:rPr>
                <w:sz w:val="19"/>
              </w:rPr>
              <w:t>2 Oct 2001 p. 5454</w:t>
            </w:r>
            <w:r>
              <w:rPr>
                <w:sz w:val="19"/>
              </w:rPr>
              <w:noBreakHyphen/>
              <w:t>5</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Betting Control Amendment Regulations (No. 3) 2001</w:t>
            </w:r>
          </w:p>
        </w:tc>
        <w:tc>
          <w:tcPr>
            <w:tcW w:w="1276" w:type="dxa"/>
          </w:tcPr>
          <w:p>
            <w:pPr>
              <w:pStyle w:val="nTable"/>
              <w:spacing w:after="40"/>
              <w:rPr>
                <w:sz w:val="19"/>
              </w:rPr>
            </w:pPr>
            <w:r>
              <w:rPr>
                <w:sz w:val="19"/>
              </w:rPr>
              <w:t>18 Jan 2002 p. 284</w:t>
            </w:r>
          </w:p>
        </w:tc>
        <w:tc>
          <w:tcPr>
            <w:tcW w:w="2693" w:type="dxa"/>
          </w:tcPr>
          <w:p>
            <w:pPr>
              <w:pStyle w:val="nTable"/>
              <w:spacing w:after="40"/>
              <w:rPr>
                <w:sz w:val="19"/>
              </w:rPr>
            </w:pPr>
            <w:r>
              <w:rPr>
                <w:sz w:val="19"/>
              </w:rPr>
              <w:t>21 Jan 2002 (see r. 2)</w:t>
            </w:r>
          </w:p>
        </w:tc>
      </w:tr>
      <w:tr>
        <w:trPr>
          <w:cantSplit/>
        </w:trPr>
        <w:tc>
          <w:tcPr>
            <w:tcW w:w="3119" w:type="dxa"/>
          </w:tcPr>
          <w:p>
            <w:pPr>
              <w:pStyle w:val="nTable"/>
              <w:spacing w:after="40"/>
              <w:ind w:right="113"/>
              <w:rPr>
                <w:i/>
                <w:sz w:val="19"/>
              </w:rPr>
            </w:pPr>
            <w:r>
              <w:rPr>
                <w:i/>
                <w:sz w:val="19"/>
              </w:rPr>
              <w:t>Betting Control Amendment Regulations 2002</w:t>
            </w:r>
          </w:p>
        </w:tc>
        <w:tc>
          <w:tcPr>
            <w:tcW w:w="1276" w:type="dxa"/>
          </w:tcPr>
          <w:p>
            <w:pPr>
              <w:pStyle w:val="nTable"/>
              <w:spacing w:after="40"/>
              <w:rPr>
                <w:sz w:val="19"/>
              </w:rPr>
            </w:pPr>
            <w:r>
              <w:rPr>
                <w:sz w:val="19"/>
              </w:rPr>
              <w:t>20 Sep 2002 p. 4697</w:t>
            </w:r>
            <w:r>
              <w:rPr>
                <w:sz w:val="19"/>
              </w:rPr>
              <w:noBreakHyphen/>
              <w:t>704</w:t>
            </w:r>
          </w:p>
        </w:tc>
        <w:tc>
          <w:tcPr>
            <w:tcW w:w="2693" w:type="dxa"/>
          </w:tcPr>
          <w:p>
            <w:pPr>
              <w:pStyle w:val="nTable"/>
              <w:spacing w:after="40"/>
              <w:rPr>
                <w:sz w:val="19"/>
              </w:rPr>
            </w:pPr>
            <w:r>
              <w:rPr>
                <w:sz w:val="19"/>
              </w:rPr>
              <w:t xml:space="preserve">21 Sep 2002 (see r. 2 and </w:t>
            </w:r>
            <w:r>
              <w:rPr>
                <w:i/>
                <w:sz w:val="19"/>
              </w:rPr>
              <w:t>Gazette</w:t>
            </w:r>
            <w:r>
              <w:rPr>
                <w:sz w:val="19"/>
              </w:rPr>
              <w:t xml:space="preserve"> 20 Sep 2002 p. 4693)</w:t>
            </w:r>
          </w:p>
        </w:tc>
      </w:tr>
      <w:tr>
        <w:trPr>
          <w:cantSplit/>
        </w:trPr>
        <w:tc>
          <w:tcPr>
            <w:tcW w:w="3119" w:type="dxa"/>
          </w:tcPr>
          <w:p>
            <w:pPr>
              <w:pStyle w:val="nTable"/>
              <w:spacing w:after="40"/>
              <w:ind w:right="113"/>
              <w:rPr>
                <w:i/>
                <w:sz w:val="19"/>
              </w:rPr>
            </w:pPr>
            <w:r>
              <w:rPr>
                <w:i/>
                <w:sz w:val="19"/>
              </w:rPr>
              <w:t>Betting Control Amendment Regulations (No. 2) 2002</w:t>
            </w:r>
          </w:p>
        </w:tc>
        <w:tc>
          <w:tcPr>
            <w:tcW w:w="1276" w:type="dxa"/>
          </w:tcPr>
          <w:p>
            <w:pPr>
              <w:pStyle w:val="nTable"/>
              <w:spacing w:after="40"/>
              <w:rPr>
                <w:sz w:val="19"/>
              </w:rPr>
            </w:pPr>
            <w:r>
              <w:rPr>
                <w:sz w:val="19"/>
              </w:rPr>
              <w:t>17 Dec 2002 p. 5923</w:t>
            </w:r>
            <w:r>
              <w:rPr>
                <w:sz w:val="19"/>
              </w:rPr>
              <w:noBreakHyphen/>
              <w:t>4</w:t>
            </w:r>
          </w:p>
        </w:tc>
        <w:tc>
          <w:tcPr>
            <w:tcW w:w="2693" w:type="dxa"/>
          </w:tcPr>
          <w:p>
            <w:pPr>
              <w:pStyle w:val="nTable"/>
              <w:spacing w:after="40"/>
              <w:rPr>
                <w:sz w:val="19"/>
              </w:rPr>
            </w:pPr>
            <w:r>
              <w:rPr>
                <w:sz w:val="19"/>
              </w:rPr>
              <w:t>17 Dec 2002</w:t>
            </w:r>
          </w:p>
        </w:tc>
      </w:tr>
      <w:tr>
        <w:trPr>
          <w:cantSplit/>
        </w:trPr>
        <w:tc>
          <w:tcPr>
            <w:tcW w:w="3119" w:type="dxa"/>
          </w:tcPr>
          <w:p>
            <w:pPr>
              <w:pStyle w:val="nTable"/>
              <w:spacing w:after="40"/>
              <w:ind w:right="113"/>
              <w:rPr>
                <w:i/>
                <w:sz w:val="19"/>
              </w:rPr>
            </w:pPr>
            <w:r>
              <w:rPr>
                <w:i/>
                <w:sz w:val="19"/>
              </w:rPr>
              <w:t>Betting Control Amendment Regulations 2003</w:t>
            </w:r>
          </w:p>
        </w:tc>
        <w:tc>
          <w:tcPr>
            <w:tcW w:w="1276" w:type="dxa"/>
          </w:tcPr>
          <w:p>
            <w:pPr>
              <w:pStyle w:val="nTable"/>
              <w:spacing w:after="40"/>
              <w:rPr>
                <w:sz w:val="19"/>
              </w:rPr>
            </w:pPr>
            <w:r>
              <w:rPr>
                <w:sz w:val="19"/>
              </w:rPr>
              <w:t>25 Mar 2003 p. 921</w:t>
            </w:r>
            <w:r>
              <w:rPr>
                <w:sz w:val="19"/>
              </w:rPr>
              <w:noBreakHyphen/>
              <w:t>2</w:t>
            </w:r>
          </w:p>
        </w:tc>
        <w:tc>
          <w:tcPr>
            <w:tcW w:w="2693" w:type="dxa"/>
          </w:tcPr>
          <w:p>
            <w:pPr>
              <w:pStyle w:val="nTable"/>
              <w:spacing w:after="40"/>
              <w:rPr>
                <w:sz w:val="19"/>
              </w:rPr>
            </w:pPr>
            <w:r>
              <w:rPr>
                <w:sz w:val="19"/>
              </w:rPr>
              <w:t>1 Apr 2003 (see r. 2)</w:t>
            </w:r>
          </w:p>
        </w:tc>
      </w:tr>
      <w:tr>
        <w:trPr>
          <w:cantSplit/>
        </w:trPr>
        <w:tc>
          <w:tcPr>
            <w:tcW w:w="3119" w:type="dxa"/>
          </w:tcPr>
          <w:p>
            <w:pPr>
              <w:pStyle w:val="nTable"/>
              <w:spacing w:after="40"/>
              <w:ind w:right="113"/>
              <w:rPr>
                <w:i/>
                <w:sz w:val="19"/>
              </w:rPr>
            </w:pPr>
            <w:r>
              <w:rPr>
                <w:i/>
                <w:sz w:val="19"/>
              </w:rPr>
              <w:t>Betting Control Amendment Regulations (No. 2) 2003</w:t>
            </w:r>
          </w:p>
        </w:tc>
        <w:tc>
          <w:tcPr>
            <w:tcW w:w="1276" w:type="dxa"/>
          </w:tcPr>
          <w:p>
            <w:pPr>
              <w:pStyle w:val="nTable"/>
              <w:spacing w:after="40"/>
              <w:rPr>
                <w:sz w:val="19"/>
              </w:rPr>
            </w:pPr>
            <w:r>
              <w:rPr>
                <w:sz w:val="19"/>
              </w:rPr>
              <w:t>20 Jun 2003 p. 2250</w:t>
            </w:r>
            <w:r>
              <w:rPr>
                <w:sz w:val="19"/>
              </w:rPr>
              <w:noBreakHyphen/>
              <w:t>1</w:t>
            </w:r>
          </w:p>
        </w:tc>
        <w:tc>
          <w:tcPr>
            <w:tcW w:w="2693" w:type="dxa"/>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Betting Control Amendment Regulations (No. 3) 2003</w:t>
            </w:r>
          </w:p>
        </w:tc>
        <w:tc>
          <w:tcPr>
            <w:tcW w:w="1276" w:type="dxa"/>
          </w:tcPr>
          <w:p>
            <w:pPr>
              <w:pStyle w:val="nTable"/>
              <w:spacing w:after="40"/>
              <w:rPr>
                <w:sz w:val="19"/>
              </w:rPr>
            </w:pPr>
            <w:r>
              <w:rPr>
                <w:sz w:val="19"/>
              </w:rPr>
              <w:t>26 Sep 2003 p. 4225</w:t>
            </w:r>
            <w:r>
              <w:rPr>
                <w:sz w:val="19"/>
              </w:rPr>
              <w:noBreakHyphen/>
              <w:t>6</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ind w:right="113"/>
              <w:rPr>
                <w:i/>
                <w:sz w:val="19"/>
              </w:rPr>
            </w:pPr>
            <w:r>
              <w:rPr>
                <w:i/>
                <w:sz w:val="19"/>
              </w:rPr>
              <w:t>Betting Control Amendment Regulations (No. 4) 2003</w:t>
            </w:r>
          </w:p>
        </w:tc>
        <w:tc>
          <w:tcPr>
            <w:tcW w:w="1276" w:type="dxa"/>
          </w:tcPr>
          <w:p>
            <w:pPr>
              <w:pStyle w:val="nTable"/>
              <w:spacing w:after="40"/>
              <w:rPr>
                <w:sz w:val="19"/>
              </w:rPr>
            </w:pPr>
            <w:r>
              <w:rPr>
                <w:sz w:val="19"/>
              </w:rPr>
              <w:t>11 Nov 2003 p. 4673</w:t>
            </w:r>
            <w:r>
              <w:rPr>
                <w:sz w:val="19"/>
              </w:rPr>
              <w:noBreakHyphen/>
              <w:t>4</w:t>
            </w:r>
          </w:p>
        </w:tc>
        <w:tc>
          <w:tcPr>
            <w:tcW w:w="2693" w:type="dxa"/>
          </w:tcPr>
          <w:p>
            <w:pPr>
              <w:pStyle w:val="nTable"/>
              <w:spacing w:after="40"/>
              <w:rPr>
                <w:sz w:val="19"/>
              </w:rPr>
            </w:pPr>
            <w:r>
              <w:rPr>
                <w:sz w:val="19"/>
              </w:rPr>
              <w:t>11 Nov 2003</w:t>
            </w:r>
          </w:p>
        </w:tc>
      </w:tr>
      <w:tr>
        <w:trPr>
          <w:cantSplit/>
        </w:trPr>
        <w:tc>
          <w:tcPr>
            <w:tcW w:w="3119" w:type="dxa"/>
          </w:tcPr>
          <w:p>
            <w:pPr>
              <w:pStyle w:val="nTable"/>
              <w:spacing w:after="40"/>
              <w:ind w:right="113"/>
              <w:rPr>
                <w:i/>
                <w:sz w:val="19"/>
              </w:rPr>
            </w:pPr>
            <w:r>
              <w:rPr>
                <w:i/>
                <w:sz w:val="19"/>
              </w:rPr>
              <w:t>Betting Control Amendment Regulations 2004</w:t>
            </w:r>
          </w:p>
        </w:tc>
        <w:tc>
          <w:tcPr>
            <w:tcW w:w="1276" w:type="dxa"/>
          </w:tcPr>
          <w:p>
            <w:pPr>
              <w:pStyle w:val="nTable"/>
              <w:spacing w:after="40"/>
              <w:rPr>
                <w:sz w:val="19"/>
              </w:rPr>
            </w:pPr>
            <w:r>
              <w:rPr>
                <w:sz w:val="19"/>
              </w:rPr>
              <w:t>30 Jan 2004 p. 403</w:t>
            </w:r>
            <w:r>
              <w:rPr>
                <w:sz w:val="19"/>
              </w:rPr>
              <w:noBreakHyphen/>
              <w:t>12</w:t>
            </w:r>
          </w:p>
        </w:tc>
        <w:tc>
          <w:tcPr>
            <w:tcW w:w="2693" w:type="dxa"/>
          </w:tcPr>
          <w:p>
            <w:pPr>
              <w:pStyle w:val="nTable"/>
              <w:spacing w:after="40"/>
              <w:rPr>
                <w:sz w:val="19"/>
              </w:rPr>
            </w:pPr>
            <w:r>
              <w:rPr>
                <w:sz w:val="19"/>
              </w:rPr>
              <w:t>30 Jan 2004 (see r. 2)</w:t>
            </w:r>
          </w:p>
        </w:tc>
      </w:tr>
      <w:tr>
        <w:trPr>
          <w:cantSplit/>
        </w:trPr>
        <w:tc>
          <w:tcPr>
            <w:tcW w:w="3119" w:type="dxa"/>
          </w:tcPr>
          <w:p>
            <w:pPr>
              <w:pStyle w:val="nTable"/>
              <w:spacing w:after="40"/>
              <w:ind w:right="113"/>
              <w:rPr>
                <w:i/>
                <w:sz w:val="19"/>
              </w:rPr>
            </w:pPr>
            <w:r>
              <w:rPr>
                <w:i/>
                <w:sz w:val="19"/>
              </w:rPr>
              <w:t>Betting Control Amendment Regulations (No. 2) 2004</w:t>
            </w:r>
          </w:p>
        </w:tc>
        <w:tc>
          <w:tcPr>
            <w:tcW w:w="1276" w:type="dxa"/>
          </w:tcPr>
          <w:p>
            <w:pPr>
              <w:pStyle w:val="nTable"/>
              <w:spacing w:after="40"/>
              <w:rPr>
                <w:sz w:val="19"/>
              </w:rPr>
            </w:pPr>
            <w:r>
              <w:rPr>
                <w:sz w:val="19"/>
              </w:rPr>
              <w:t>1 Jul 2004 p. 2625</w:t>
            </w:r>
            <w:r>
              <w:rPr>
                <w:sz w:val="19"/>
              </w:rPr>
              <w:noBreakHyphen/>
              <w:t>6</w:t>
            </w:r>
          </w:p>
        </w:tc>
        <w:tc>
          <w:tcPr>
            <w:tcW w:w="2693" w:type="dxa"/>
          </w:tcPr>
          <w:p>
            <w:pPr>
              <w:pStyle w:val="nTable"/>
              <w:spacing w:after="40"/>
              <w:rPr>
                <w:sz w:val="19"/>
              </w:rPr>
            </w:pPr>
            <w:r>
              <w:rPr>
                <w:sz w:val="19"/>
              </w:rPr>
              <w:t>1 Jul 2004</w:t>
            </w:r>
          </w:p>
        </w:tc>
      </w:tr>
      <w:tr>
        <w:trPr>
          <w:cantSplit/>
        </w:trPr>
        <w:tc>
          <w:tcPr>
            <w:tcW w:w="3119" w:type="dxa"/>
          </w:tcPr>
          <w:p>
            <w:pPr>
              <w:pStyle w:val="nTable"/>
              <w:spacing w:after="40"/>
              <w:ind w:right="113"/>
              <w:rPr>
                <w:i/>
                <w:sz w:val="19"/>
              </w:rPr>
            </w:pPr>
            <w:r>
              <w:rPr>
                <w:i/>
                <w:sz w:val="19"/>
              </w:rPr>
              <w:t>Betting Control Amendment Regulations (No. 3) 2004</w:t>
            </w:r>
            <w:r>
              <w:rPr>
                <w:sz w:val="19"/>
              </w:rPr>
              <w:t xml:space="preserve"> </w:t>
            </w:r>
          </w:p>
        </w:tc>
        <w:tc>
          <w:tcPr>
            <w:tcW w:w="1276" w:type="dxa"/>
          </w:tcPr>
          <w:p>
            <w:pPr>
              <w:pStyle w:val="nTable"/>
              <w:spacing w:after="40"/>
              <w:rPr>
                <w:sz w:val="19"/>
              </w:rPr>
            </w:pPr>
            <w:r>
              <w:rPr>
                <w:sz w:val="19"/>
              </w:rPr>
              <w:t>9 Jul 2004 p. 2780</w:t>
            </w:r>
            <w:r>
              <w:rPr>
                <w:sz w:val="19"/>
              </w:rPr>
              <w:noBreakHyphen/>
              <w:t>1</w:t>
            </w:r>
          </w:p>
        </w:tc>
        <w:tc>
          <w:tcPr>
            <w:tcW w:w="2693" w:type="dxa"/>
          </w:tcPr>
          <w:p>
            <w:pPr>
              <w:pStyle w:val="nTable"/>
              <w:spacing w:after="40"/>
              <w:rPr>
                <w:sz w:val="19"/>
              </w:rPr>
            </w:pPr>
            <w:r>
              <w:rPr>
                <w:sz w:val="19"/>
              </w:rPr>
              <w:t>1 Jan 2005 (see r. 2)</w:t>
            </w:r>
          </w:p>
        </w:tc>
      </w:tr>
      <w:tr>
        <w:trPr>
          <w:cantSplit/>
        </w:trPr>
        <w:tc>
          <w:tcPr>
            <w:tcW w:w="7088" w:type="dxa"/>
            <w:gridSpan w:val="3"/>
          </w:tcPr>
          <w:p>
            <w:pPr>
              <w:pStyle w:val="nTable"/>
              <w:spacing w:after="40"/>
              <w:rPr>
                <w:sz w:val="19"/>
              </w:rPr>
            </w:pPr>
            <w:r>
              <w:rPr>
                <w:b/>
                <w:sz w:val="19"/>
              </w:rPr>
              <w:t xml:space="preserve">Reprint 4: The </w:t>
            </w:r>
            <w:r>
              <w:rPr>
                <w:b/>
                <w:i/>
                <w:sz w:val="19"/>
              </w:rPr>
              <w:t xml:space="preserve">Betting Control Regulations 1978 </w:t>
            </w:r>
            <w:r>
              <w:rPr>
                <w:b/>
                <w:sz w:val="19"/>
              </w:rPr>
              <w:t>as at 6 May 2005</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Betting Control Amendment Regulations (No. 2) 2005</w:t>
            </w:r>
          </w:p>
        </w:tc>
        <w:tc>
          <w:tcPr>
            <w:tcW w:w="1276" w:type="dxa"/>
          </w:tcPr>
          <w:p>
            <w:pPr>
              <w:pStyle w:val="nTable"/>
              <w:spacing w:after="40"/>
              <w:rPr>
                <w:sz w:val="19"/>
              </w:rPr>
            </w:pPr>
            <w:r>
              <w:rPr>
                <w:sz w:val="19"/>
              </w:rPr>
              <w:t>14 Oct 2005 p. 4558-9</w:t>
            </w:r>
          </w:p>
        </w:tc>
        <w:tc>
          <w:tcPr>
            <w:tcW w:w="2693" w:type="dxa"/>
          </w:tcPr>
          <w:p>
            <w:pPr>
              <w:pStyle w:val="nTable"/>
              <w:spacing w:after="40"/>
              <w:rPr>
                <w:sz w:val="19"/>
              </w:rPr>
            </w:pPr>
            <w:r>
              <w:rPr>
                <w:sz w:val="19"/>
              </w:rPr>
              <w:t>1 Jan 2006 (see r. 2)</w:t>
            </w:r>
          </w:p>
        </w:tc>
      </w:tr>
      <w:tr>
        <w:trPr>
          <w:cantSplit/>
          <w:ins w:id="493" w:author="Master Repository Process" w:date="2021-07-31T09:10:00Z"/>
        </w:trPr>
        <w:tc>
          <w:tcPr>
            <w:tcW w:w="3119" w:type="dxa"/>
            <w:tcBorders>
              <w:bottom w:val="single" w:sz="4" w:space="0" w:color="auto"/>
            </w:tcBorders>
          </w:tcPr>
          <w:p>
            <w:pPr>
              <w:pStyle w:val="nTable"/>
              <w:spacing w:after="40"/>
              <w:ind w:right="113"/>
              <w:rPr>
                <w:ins w:id="494" w:author="Master Repository Process" w:date="2021-07-31T09:10:00Z"/>
                <w:i/>
                <w:sz w:val="19"/>
              </w:rPr>
            </w:pPr>
            <w:ins w:id="495" w:author="Master Repository Process" w:date="2021-07-31T09:10:00Z">
              <w:r>
                <w:rPr>
                  <w:i/>
                  <w:sz w:val="19"/>
                </w:rPr>
                <w:t>Betting Control Amendment Regulations (No. 2) 2006</w:t>
              </w:r>
            </w:ins>
          </w:p>
        </w:tc>
        <w:tc>
          <w:tcPr>
            <w:tcW w:w="1276" w:type="dxa"/>
            <w:tcBorders>
              <w:bottom w:val="single" w:sz="4" w:space="0" w:color="auto"/>
            </w:tcBorders>
          </w:tcPr>
          <w:p>
            <w:pPr>
              <w:pStyle w:val="nTable"/>
              <w:spacing w:after="40"/>
              <w:rPr>
                <w:ins w:id="496" w:author="Master Repository Process" w:date="2021-07-31T09:10:00Z"/>
                <w:sz w:val="19"/>
              </w:rPr>
            </w:pPr>
            <w:ins w:id="497" w:author="Master Repository Process" w:date="2021-07-31T09:10:00Z">
              <w:r>
                <w:rPr>
                  <w:sz w:val="19"/>
                </w:rPr>
                <w:t>28 Apr 2006 p. 1659</w:t>
              </w:r>
            </w:ins>
          </w:p>
        </w:tc>
        <w:tc>
          <w:tcPr>
            <w:tcW w:w="2693" w:type="dxa"/>
            <w:tcBorders>
              <w:bottom w:val="single" w:sz="4" w:space="0" w:color="auto"/>
            </w:tcBorders>
          </w:tcPr>
          <w:p>
            <w:pPr>
              <w:pStyle w:val="nTable"/>
              <w:spacing w:after="40"/>
              <w:rPr>
                <w:ins w:id="498" w:author="Master Repository Process" w:date="2021-07-31T09:10:00Z"/>
                <w:sz w:val="19"/>
              </w:rPr>
            </w:pPr>
            <w:ins w:id="499" w:author="Master Repository Process" w:date="2021-07-31T09:10:00Z">
              <w:r>
                <w:rPr>
                  <w:sz w:val="19"/>
                </w:rPr>
                <w:t>28 Apr 2006</w:t>
              </w:r>
            </w:ins>
          </w:p>
        </w:tc>
      </w:tr>
    </w:tbl>
    <w:p>
      <w:pPr>
        <w:pStyle w:val="nSubsection"/>
        <w:tabs>
          <w:tab w:val="clear" w:pos="454"/>
          <w:tab w:val="left" w:pos="567"/>
        </w:tabs>
        <w:spacing w:before="120"/>
        <w:ind w:left="567" w:hanging="567"/>
        <w:rPr>
          <w:spacing w:val="-2"/>
        </w:rPr>
      </w:pPr>
      <w:r>
        <w:rPr>
          <w:snapToGrid w:val="0"/>
          <w:vertAlign w:val="superscript"/>
        </w:rPr>
        <w:t>2</w:t>
      </w:r>
      <w:r>
        <w:rPr>
          <w:color w:val="FF0000"/>
          <w:spacing w:val="-2"/>
        </w:rPr>
        <w:tab/>
      </w:r>
      <w:r>
        <w:rPr>
          <w:spacing w:val="-2"/>
        </w:rPr>
        <w:t xml:space="preserve">Expired on 30 Jan 2005 (see </w:t>
      </w:r>
      <w:r>
        <w:rPr>
          <w:i/>
          <w:spacing w:val="-2"/>
        </w:rPr>
        <w:t>Racing and Gambling Legislation Amendment and Repeal Act 2003</w:t>
      </w:r>
      <w:r>
        <w:rPr>
          <w:spacing w:val="-2"/>
        </w:rPr>
        <w:t xml:space="preserve"> s. 48 &amp; 120).</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headerReference w:type="default" r:id="rId28"/>
      <w:headerReference w:type="firs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04-c0-03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Apr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04-d0-03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fldSimple w:instr=" styleref CharSchno ">
            <w:r>
              <w:rPr>
                <w:noProof/>
              </w:rPr>
              <w:t>Appendix</w:t>
            </w:r>
          </w:fldSimple>
        </w:p>
      </w:tc>
      <w:tc>
        <w:tcPr>
          <w:tcW w:w="5715" w:type="dxa"/>
        </w:tcPr>
        <w:p>
          <w:pPr>
            <w:pStyle w:val="HeaderTextLeft"/>
          </w:pPr>
          <w:fldSimple w:instr=" styleref CharSchText ">
            <w:r>
              <w:rPr>
                <w:noProof/>
              </w:rPr>
              <w:t>Rules of Betting</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zyDefitem"/>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Regulations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Regulations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Regulations 1978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zyDefitem"/>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Regulations 1978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8E6556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3A83F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36E82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51AE1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220D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CDADD3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A0F75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0278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148B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7808E2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8ADA39F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4F46BEE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E6E2F1A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BC8F25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6415120-B7E6-46F7-94AC-FEAC65749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zyShoulderClause">
    <w:name w:val="zyShoulderClause"/>
    <w:basedOn w:val="yShoulderClause"/>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14837</Words>
  <Characters>68105</Characters>
  <Application>Microsoft Office Word</Application>
  <DocSecurity>0</DocSecurity>
  <Lines>2270</Lines>
  <Paragraphs>1481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04-c0-03 - 04-d0-03</dc:title>
  <dc:subject/>
  <dc:creator/>
  <cp:keywords/>
  <dc:description/>
  <cp:lastModifiedBy>Master Repository Process</cp:lastModifiedBy>
  <cp:revision>2</cp:revision>
  <cp:lastPrinted>2005-06-01T04:18:00Z</cp:lastPrinted>
  <dcterms:created xsi:type="dcterms:W3CDTF">2021-07-31T01:10:00Z</dcterms:created>
  <dcterms:modified xsi:type="dcterms:W3CDTF">2021-07-31T01:10:00Z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CommencementDate">
    <vt:lpwstr>20060428</vt:lpwstr>
  </property>
  <property fmtid="{D5CDD505-2E9C-101B-9397-08002B2CF9AE}" pid="4" name="DocumentType">
    <vt:lpwstr>Reg</vt:lpwstr>
  </property>
  <property fmtid="{D5CDD505-2E9C-101B-9397-08002B2CF9AE}" pid="5" name="OwlsUID">
    <vt:i4>4296</vt:i4>
  </property>
  <property fmtid="{D5CDD505-2E9C-101B-9397-08002B2CF9AE}" pid="6" name="FromSuffix">
    <vt:lpwstr>04-c0-03</vt:lpwstr>
  </property>
  <property fmtid="{D5CDD505-2E9C-101B-9397-08002B2CF9AE}" pid="7" name="FromAsAtDate">
    <vt:lpwstr>01 Jan 2006</vt:lpwstr>
  </property>
  <property fmtid="{D5CDD505-2E9C-101B-9397-08002B2CF9AE}" pid="8" name="ToSuffix">
    <vt:lpwstr>04-d0-03</vt:lpwstr>
  </property>
  <property fmtid="{D5CDD505-2E9C-101B-9397-08002B2CF9AE}" pid="9" name="ToAsAtDate">
    <vt:lpwstr>28 Apr 2006</vt:lpwstr>
  </property>
</Properties>
</file>