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09-b0-01</w:t>
      </w:r>
      <w:r>
        <w:fldChar w:fldCharType="end"/>
      </w:r>
      <w:r>
        <w:t>] and [</w:t>
      </w:r>
      <w:r>
        <w:fldChar w:fldCharType="begin"/>
      </w:r>
      <w:r>
        <w:instrText xml:space="preserve"> DocProperty ToAsAtDate</w:instrText>
      </w:r>
      <w:r>
        <w:fldChar w:fldCharType="separate"/>
      </w:r>
      <w:r>
        <w:t>06 Sep 2014</w:t>
      </w:r>
      <w:r>
        <w:fldChar w:fldCharType="end"/>
      </w:r>
      <w:r>
        <w:t xml:space="preserve">, </w:t>
      </w:r>
      <w:r>
        <w:fldChar w:fldCharType="begin"/>
      </w:r>
      <w:r>
        <w:instrText xml:space="preserve"> DocProperty ToSuffix</w:instrText>
      </w:r>
      <w:r>
        <w:fldChar w:fldCharType="separate"/>
      </w:r>
      <w:r>
        <w:t>09-c0-02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8-20T23:31:00Z"/>
        </w:trPr>
        <w:tc>
          <w:tcPr>
            <w:tcW w:w="2434" w:type="dxa"/>
            <w:vMerge w:val="restart"/>
          </w:tcPr>
          <w:p>
            <w:pPr>
              <w:rPr>
                <w:del w:id="2" w:author="svcMRProcess" w:date="2018-08-20T23:31:00Z"/>
              </w:rPr>
            </w:pPr>
          </w:p>
        </w:tc>
        <w:tc>
          <w:tcPr>
            <w:tcW w:w="2434" w:type="dxa"/>
            <w:vMerge w:val="restart"/>
          </w:tcPr>
          <w:p>
            <w:pPr>
              <w:jc w:val="center"/>
              <w:rPr>
                <w:del w:id="3" w:author="svcMRProcess" w:date="2018-08-20T23:31:00Z"/>
              </w:rPr>
            </w:pPr>
            <w:del w:id="4" w:author="svcMRProcess" w:date="2018-08-20T23:31: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8-20T23:31:00Z"/>
              </w:rPr>
            </w:pPr>
            <w:del w:id="6" w:author="svcMRProcess" w:date="2018-08-20T23:31: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8-20T23:31:00Z"/>
        </w:trPr>
        <w:tc>
          <w:tcPr>
            <w:tcW w:w="2434" w:type="dxa"/>
            <w:vMerge/>
          </w:tcPr>
          <w:p>
            <w:pPr>
              <w:rPr>
                <w:del w:id="8" w:author="svcMRProcess" w:date="2018-08-20T23:31:00Z"/>
              </w:rPr>
            </w:pPr>
          </w:p>
        </w:tc>
        <w:tc>
          <w:tcPr>
            <w:tcW w:w="2434" w:type="dxa"/>
            <w:vMerge/>
          </w:tcPr>
          <w:p>
            <w:pPr>
              <w:jc w:val="center"/>
              <w:rPr>
                <w:del w:id="9" w:author="svcMRProcess" w:date="2018-08-20T23:31:00Z"/>
              </w:rPr>
            </w:pPr>
          </w:p>
        </w:tc>
        <w:tc>
          <w:tcPr>
            <w:tcW w:w="2434" w:type="dxa"/>
          </w:tcPr>
          <w:p>
            <w:pPr>
              <w:keepNext/>
              <w:rPr>
                <w:del w:id="10" w:author="svcMRProcess" w:date="2018-08-20T23:31:00Z"/>
                <w:b/>
                <w:sz w:val="22"/>
              </w:rPr>
            </w:pPr>
            <w:del w:id="11" w:author="svcMRProcess" w:date="2018-08-20T23:31:00Z">
              <w:r>
                <w:rPr>
                  <w:b/>
                  <w:sz w:val="22"/>
                </w:rPr>
                <w:delText>at 11</w:delText>
              </w:r>
              <w:r>
                <w:rPr>
                  <w:b/>
                  <w:snapToGrid w:val="0"/>
                  <w:sz w:val="22"/>
                </w:rPr>
                <w:delText xml:space="preserve"> October 2013</w:delText>
              </w:r>
            </w:del>
          </w:p>
        </w:tc>
      </w:tr>
    </w:tbl>
    <w:p>
      <w:pPr>
        <w:pStyle w:val="WA"/>
        <w:spacing w:before="120"/>
      </w:pPr>
      <w:r>
        <w:t>Western Australia</w:t>
      </w:r>
    </w:p>
    <w:p>
      <w:pPr>
        <w:pStyle w:val="NameofActReg"/>
        <w:spacing w:before="840" w:after="960"/>
      </w:pPr>
      <w:r>
        <w:t>Bush Fires Act 1954</w:t>
      </w:r>
    </w:p>
    <w:p>
      <w:pPr>
        <w:pStyle w:val="LongTitle"/>
        <w:rPr>
          <w:snapToGrid w:val="0"/>
        </w:rPr>
      </w:pPr>
      <w:r>
        <w:rPr>
          <w:snapToGrid w:val="0"/>
        </w:rPr>
        <w:t>A</w:t>
      </w:r>
      <w:bookmarkStart w:id="12" w:name="_GoBack"/>
      <w:bookmarkEnd w:id="12"/>
      <w:r>
        <w:rPr>
          <w:snapToGrid w:val="0"/>
        </w:rPr>
        <w:t xml:space="preserve">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w:t>
      </w:r>
    </w:p>
    <w:p>
      <w:pPr>
        <w:pStyle w:val="Heading2"/>
        <w:rPr>
          <w:rStyle w:val="CharPartText"/>
        </w:rPr>
      </w:pPr>
      <w:bookmarkStart w:id="13" w:name="_Toc381872683"/>
      <w:bookmarkStart w:id="14" w:name="_Toc381873751"/>
      <w:bookmarkStart w:id="15" w:name="_Toc392495335"/>
      <w:bookmarkStart w:id="16" w:name="_Toc397946393"/>
      <w:bookmarkStart w:id="17" w:name="_Toc397946529"/>
      <w:bookmarkStart w:id="18" w:name="_Toc397946811"/>
      <w:bookmarkStart w:id="19" w:name="_Toc415060588"/>
      <w:bookmarkStart w:id="20" w:name="_Toc415060684"/>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p>
    <w:p>
      <w:pPr>
        <w:pStyle w:val="Footnoteheading"/>
      </w:pPr>
      <w:r>
        <w:tab/>
        <w:t>[Heading inserted by No. 19 of 2010 s. 43(3)(a).]</w:t>
      </w:r>
    </w:p>
    <w:p>
      <w:pPr>
        <w:pStyle w:val="Heading5"/>
        <w:rPr>
          <w:snapToGrid w:val="0"/>
        </w:rPr>
      </w:pPr>
      <w:bookmarkStart w:id="21" w:name="_Toc397946812"/>
      <w:bookmarkStart w:id="22" w:name="_Toc415060685"/>
      <w:bookmarkStart w:id="23" w:name="_Toc392495336"/>
      <w:r>
        <w:rPr>
          <w:rStyle w:val="CharSectno"/>
        </w:rPr>
        <w:t>1</w:t>
      </w:r>
      <w:r>
        <w:rPr>
          <w:snapToGrid w:val="0"/>
        </w:rPr>
        <w:t>.</w:t>
      </w:r>
      <w:r>
        <w:rPr>
          <w:snapToGrid w:val="0"/>
        </w:rPr>
        <w:tab/>
        <w:t>Short title</w:t>
      </w:r>
      <w:bookmarkEnd w:id="21"/>
      <w:bookmarkEnd w:id="22"/>
      <w:bookmarkEnd w:id="23"/>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Deleted by No. 8 of 1987 s. 3.]</w:t>
      </w:r>
    </w:p>
    <w:p>
      <w:pPr>
        <w:pStyle w:val="Ednotepart"/>
      </w:pPr>
      <w:r>
        <w:t>[Heading deleted by No. 19 of 2010 s. 43(3)(b).]</w:t>
      </w:r>
    </w:p>
    <w:p>
      <w:pPr>
        <w:pStyle w:val="Heading5"/>
        <w:spacing w:before="180"/>
        <w:rPr>
          <w:snapToGrid w:val="0"/>
        </w:rPr>
      </w:pPr>
      <w:bookmarkStart w:id="24" w:name="_Toc397946813"/>
      <w:bookmarkStart w:id="25" w:name="_Toc415060686"/>
      <w:bookmarkStart w:id="26" w:name="_Toc392495337"/>
      <w:r>
        <w:rPr>
          <w:rStyle w:val="CharSectno"/>
        </w:rPr>
        <w:t>3</w:t>
      </w:r>
      <w:r>
        <w:rPr>
          <w:snapToGrid w:val="0"/>
        </w:rPr>
        <w:t>.</w:t>
      </w:r>
      <w:r>
        <w:rPr>
          <w:snapToGrid w:val="0"/>
        </w:rPr>
        <w:tab/>
        <w:t>Commencement</w:t>
      </w:r>
      <w:bookmarkEnd w:id="24"/>
      <w:bookmarkEnd w:id="25"/>
      <w:bookmarkEnd w:id="26"/>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27" w:name="_Toc397946814"/>
      <w:bookmarkStart w:id="28" w:name="_Toc415060687"/>
      <w:bookmarkStart w:id="29" w:name="_Toc392495338"/>
      <w:r>
        <w:rPr>
          <w:rStyle w:val="CharSectno"/>
        </w:rPr>
        <w:t>4</w:t>
      </w:r>
      <w:r>
        <w:rPr>
          <w:snapToGrid w:val="0"/>
        </w:rPr>
        <w:t>.</w:t>
      </w:r>
      <w:r>
        <w:rPr>
          <w:snapToGrid w:val="0"/>
        </w:rPr>
        <w:tab/>
        <w:t>Saving provisions</w:t>
      </w:r>
      <w:bookmarkEnd w:id="27"/>
      <w:bookmarkEnd w:id="28"/>
      <w:bookmarkEnd w:id="29"/>
    </w:p>
    <w:p>
      <w:pPr>
        <w:pStyle w:val="Subsection"/>
        <w:rPr>
          <w:snapToGrid w:val="0"/>
        </w:rPr>
      </w:pPr>
      <w:r>
        <w:rPr>
          <w:snapToGrid w:val="0"/>
        </w:rPr>
        <w:tab/>
        <w:t>(1)</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(2)</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 No. 19 of 2010 s. 52(4).]</w:t>
      </w:r>
    </w:p>
    <w:p>
      <w:pPr>
        <w:pStyle w:val="Ednotesection"/>
        <w:spacing w:before="180"/>
        <w:ind w:left="890" w:hanging="890"/>
      </w:pPr>
      <w:r>
        <w:t>[</w:t>
      </w:r>
      <w:r>
        <w:rPr>
          <w:b/>
        </w:rPr>
        <w:t>5.</w:t>
      </w:r>
      <w:r>
        <w:tab/>
        <w:t>Omitted under the Reprints Act 1984 s. 7(4)(f).]</w:t>
      </w:r>
    </w:p>
    <w:p>
      <w:pPr>
        <w:pStyle w:val="Ednotesection"/>
        <w:spacing w:before="180"/>
        <w:ind w:left="890" w:hanging="890"/>
        <w:rPr>
          <w:b/>
        </w:rPr>
      </w:pPr>
      <w:r>
        <w:t>[</w:t>
      </w:r>
      <w:r>
        <w:rPr>
          <w:b/>
        </w:rPr>
        <w:t>6.</w:t>
      </w:r>
      <w:r>
        <w:rPr>
          <w:b/>
        </w:rPr>
        <w:tab/>
      </w:r>
      <w:r>
        <w:t>Deleted by No. 38 of 2002 s. 17.]</w:t>
      </w:r>
    </w:p>
    <w:p>
      <w:pPr>
        <w:pStyle w:val="Heading5"/>
        <w:spacing w:before="180"/>
        <w:rPr>
          <w:snapToGrid w:val="0"/>
        </w:rPr>
      </w:pPr>
      <w:bookmarkStart w:id="30" w:name="_Toc397946815"/>
      <w:bookmarkStart w:id="31" w:name="_Toc415060688"/>
      <w:bookmarkStart w:id="32" w:name="_Toc392495339"/>
      <w:r>
        <w:rPr>
          <w:rStyle w:val="CharSectno"/>
        </w:rPr>
        <w:t>7</w:t>
      </w:r>
      <w:r>
        <w:rPr>
          <w:snapToGrid w:val="0"/>
        </w:rPr>
        <w:t>.</w:t>
      </w:r>
      <w:r>
        <w:rPr>
          <w:snapToGrid w:val="0"/>
        </w:rPr>
        <w:tab/>
        <w:t>Terms used</w:t>
      </w:r>
      <w:bookmarkEnd w:id="30"/>
      <w:bookmarkEnd w:id="31"/>
      <w:bookmarkEnd w:id="32"/>
    </w:p>
    <w:p>
      <w:pPr>
        <w:pStyle w:val="Subsection"/>
        <w:rPr>
          <w:snapToGrid w:val="0"/>
        </w:rPr>
      </w:pPr>
      <w:r>
        <w:rPr>
          <w:snapToGrid w:val="0"/>
        </w:rPr>
        <w:tab/>
        <w:t>(1)</w:t>
      </w:r>
      <w:r>
        <w:rPr>
          <w:snapToGrid w:val="0"/>
        </w:rPr>
        <w:tab/>
        <w:t>In this Act unless the context otherwise indicates or requires —</w:t>
      </w:r>
    </w:p>
    <w:p>
      <w:pPr>
        <w:pStyle w:val="Defstart"/>
      </w:pPr>
      <w:r>
        <w:rPr>
          <w:b/>
        </w:rPr>
        <w:tab/>
      </w:r>
      <w:r>
        <w:rPr>
          <w:rStyle w:val="CharDefText"/>
        </w:rPr>
        <w:t>adjoining</w:t>
      </w:r>
      <w:r>
        <w:t>, when used with respect to 2 or more pieces of land, extends to pieces of land which are separated only by a road or roads or by a railway or by a watercourse;</w:t>
      </w:r>
    </w:p>
    <w:p>
      <w:pPr>
        <w:pStyle w:val="Defstart"/>
        <w:keepLines/>
      </w:pPr>
      <w:r>
        <w:tab/>
      </w:r>
      <w:r>
        <w:rPr>
          <w:rStyle w:val="CharDefText"/>
        </w:rPr>
        <w:t>authorised CALM Act officer</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w:t>
      </w:r>
      <w:r>
        <w:rPr>
          <w:b/>
          <w:bCs/>
          <w:i/>
          <w:iCs/>
        </w:rPr>
        <w:t>CEO</w:t>
      </w:r>
      <w:r>
        <w:t xml:space="preserve"> by section 3 of the </w:t>
      </w:r>
      <w:r>
        <w:rPr>
          <w:i/>
        </w:rPr>
        <w:t>Conservation and Land Management Act 1984</w:t>
      </w:r>
      <w:r>
        <w:t>;</w:t>
      </w:r>
    </w:p>
    <w:p>
      <w:pPr>
        <w:pStyle w:val="Defstart"/>
      </w:pPr>
      <w:r>
        <w:tab/>
      </w:r>
      <w:r>
        <w:rPr>
          <w:rStyle w:val="CharDefText"/>
        </w:rPr>
        <w:t>CALM Act Department</w:t>
      </w:r>
      <w:r>
        <w:t xml:space="preserve"> has the meaning given to </w:t>
      </w:r>
      <w:r>
        <w:rPr>
          <w:b/>
          <w:bCs/>
          <w:i/>
          <w:iCs/>
        </w:rPr>
        <w:t>Department</w:t>
      </w:r>
      <w:r>
        <w:t xml:space="preserve"> by section 3 of the </w:t>
      </w:r>
      <w:r>
        <w:rPr>
          <w:i/>
        </w:rPr>
        <w:t>Conservation and Land Management Act 1984</w:t>
      </w:r>
      <w:r>
        <w:t>;</w:t>
      </w:r>
    </w:p>
    <w:p>
      <w:pPr>
        <w:pStyle w:val="Defstart"/>
      </w:pPr>
      <w:r>
        <w:tab/>
      </w:r>
      <w:r>
        <w:rPr>
          <w:rStyle w:val="CharDefText"/>
        </w:rPr>
        <w:t>Department</w:t>
      </w:r>
      <w:r>
        <w:t xml:space="preserve"> has the meaning given in the FES Act section 3;</w:t>
      </w:r>
    </w:p>
    <w:p>
      <w:pPr>
        <w:pStyle w:val="Defstart"/>
      </w:pPr>
      <w:r>
        <w:tab/>
      </w:r>
      <w:r>
        <w:rPr>
          <w:rStyle w:val="CharDefText"/>
        </w:rPr>
        <w:t>employed in the Department</w:t>
      </w:r>
      <w:r>
        <w:t xml:space="preserve"> means employed or engaged in the Department in accordance with the FES Act section 20(1); </w:t>
      </w:r>
    </w:p>
    <w:p>
      <w:pPr>
        <w:pStyle w:val="Defstart"/>
      </w:pPr>
      <w:r>
        <w:tab/>
      </w:r>
      <w:r>
        <w:rPr>
          <w:rStyle w:val="CharDefText"/>
        </w:rPr>
        <w:t>FES Act</w:t>
      </w:r>
      <w:r>
        <w:t xml:space="preserve"> means the </w:t>
      </w:r>
      <w:r>
        <w:rPr>
          <w:i/>
          <w:iCs/>
        </w:rPr>
        <w:t>Fire and Emergency Services Act 1998</w:t>
      </w:r>
      <w:r>
        <w:t>;</w:t>
      </w:r>
    </w:p>
    <w:p>
      <w:pPr>
        <w:pStyle w:val="Defstart"/>
      </w:pPr>
      <w:r>
        <w:tab/>
      </w:r>
      <w:r>
        <w:rPr>
          <w:rStyle w:val="CharDefText"/>
        </w:rPr>
        <w:t>FES Commissioner</w:t>
      </w:r>
      <w:r>
        <w:t xml:space="preserve"> has the meaning given in the FES Act section 3;</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FES Commissioner under section 18 to be unlawful to set fire to the bush within a zone of the State except in accordance with a permit obtained under that section and with the conditions prescribed for the purposes of that section and, in relation to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[Section 7 amended by No. 11 of 1963 s. 3; No. 65 of 1977 s. 4; No. 112 of 1984 s. 22; No. 60 of 1992 s. 4; No. 14 of 1996 s. 4; No. 42 of 1998 s. 4 and 16; No. 38 of 2002 s. 18; No. 70 of 2003 s. 6; No. 28 of 2006 s. 387; No. 22 of 2012 s. 46 and 69.]</w:t>
      </w:r>
    </w:p>
    <w:p>
      <w:pPr>
        <w:pStyle w:val="Heading2"/>
      </w:pPr>
      <w:bookmarkStart w:id="33" w:name="_Toc381872688"/>
      <w:bookmarkStart w:id="34" w:name="_Toc381873756"/>
      <w:bookmarkStart w:id="35" w:name="_Toc392495340"/>
      <w:bookmarkStart w:id="36" w:name="_Toc397946398"/>
      <w:bookmarkStart w:id="37" w:name="_Toc397946534"/>
      <w:bookmarkStart w:id="38" w:name="_Toc397946816"/>
      <w:bookmarkStart w:id="39" w:name="_Toc415060593"/>
      <w:bookmarkStart w:id="40" w:name="_Toc415060689"/>
      <w:r>
        <w:rPr>
          <w:rStyle w:val="CharPartNo"/>
        </w:rPr>
        <w:t>Part II</w:t>
      </w:r>
      <w:r>
        <w:rPr>
          <w:rStyle w:val="CharDivNo"/>
        </w:rPr>
        <w:t> </w:t>
      </w:r>
      <w:r>
        <w:t>—</w:t>
      </w:r>
      <w:r>
        <w:rPr>
          <w:rStyle w:val="CharDivText"/>
        </w:rPr>
        <w:t> </w:t>
      </w:r>
      <w:r>
        <w:rPr>
          <w:rStyle w:val="CharPartText"/>
        </w:rPr>
        <w:t>Administration</w:t>
      </w:r>
      <w:bookmarkEnd w:id="33"/>
      <w:bookmarkEnd w:id="34"/>
      <w:bookmarkEnd w:id="35"/>
      <w:bookmarkEnd w:id="36"/>
      <w:bookmarkEnd w:id="37"/>
      <w:bookmarkEnd w:id="38"/>
      <w:bookmarkEnd w:id="39"/>
      <w:bookmarkEnd w:id="40"/>
    </w:p>
    <w:p>
      <w:pPr>
        <w:pStyle w:val="Ednotedivision"/>
      </w:pPr>
      <w:r>
        <w:t>[Division 1 heading deleted by No. 42 of 1998 s. 5.]</w:t>
      </w:r>
    </w:p>
    <w:p>
      <w:pPr>
        <w:pStyle w:val="Ednotesection"/>
        <w:ind w:left="890" w:hanging="890"/>
      </w:pPr>
      <w:r>
        <w:t>[</w:t>
      </w:r>
      <w:r>
        <w:rPr>
          <w:b/>
        </w:rPr>
        <w:t>8.</w:t>
      </w:r>
      <w:r>
        <w:tab/>
        <w:t>Deleted by No. 42 of 1998 s. 6.]</w:t>
      </w:r>
    </w:p>
    <w:p>
      <w:pPr>
        <w:pStyle w:val="Heading5"/>
      </w:pPr>
      <w:bookmarkStart w:id="41" w:name="_Toc397946817"/>
      <w:bookmarkStart w:id="42" w:name="_Toc415060690"/>
      <w:bookmarkStart w:id="43" w:name="_Toc392495341"/>
      <w:r>
        <w:rPr>
          <w:rStyle w:val="CharSectno"/>
        </w:rPr>
        <w:t>9</w:t>
      </w:r>
      <w:r>
        <w:t>.</w:t>
      </w:r>
      <w:r>
        <w:tab/>
        <w:t>Terms used</w:t>
      </w:r>
      <w:bookmarkEnd w:id="41"/>
      <w:bookmarkEnd w:id="42"/>
      <w:bookmarkEnd w:id="43"/>
    </w:p>
    <w:p>
      <w:pPr>
        <w:pStyle w:val="Subsection"/>
      </w:pPr>
      <w:r>
        <w:tab/>
      </w:r>
      <w:r>
        <w:tab/>
        <w:t>In this Part —</w:t>
      </w:r>
    </w:p>
    <w:p>
      <w:pPr>
        <w:pStyle w:val="Defstart"/>
      </w:pPr>
      <w:r>
        <w:tab/>
      </w:r>
      <w:r>
        <w:rPr>
          <w:rStyle w:val="CharDefText"/>
        </w:rPr>
        <w:t>conservation land</w:t>
      </w:r>
      <w:r>
        <w:t xml:space="preserve"> has the meaning given in section 45(1);</w:t>
      </w:r>
    </w:p>
    <w:p>
      <w:pPr>
        <w:pStyle w:val="Defstart"/>
      </w:pPr>
      <w:r>
        <w:tab/>
      </w:r>
      <w:r>
        <w:rPr>
          <w:rStyle w:val="CharDefText"/>
        </w:rPr>
        <w:t>land other than conservation land</w:t>
      </w:r>
      <w:r>
        <w:t xml:space="preserve"> has the meaning given in section 45(1).</w:t>
      </w:r>
    </w:p>
    <w:p>
      <w:pPr>
        <w:pStyle w:val="Footnotesection"/>
      </w:pPr>
      <w:r>
        <w:tab/>
        <w:t>[Section 9 inserted by No. 25 of 2009 s. 4.]</w:t>
      </w:r>
    </w:p>
    <w:p>
      <w:pPr>
        <w:pStyle w:val="Ednotedivision"/>
      </w:pPr>
      <w:r>
        <w:t>[Division 2 heading deleted by No. 42 of 1998 s. 7.]</w:t>
      </w:r>
    </w:p>
    <w:p>
      <w:pPr>
        <w:pStyle w:val="Heading5"/>
        <w:rPr>
          <w:snapToGrid w:val="0"/>
        </w:rPr>
      </w:pPr>
      <w:bookmarkStart w:id="44" w:name="_Toc397946818"/>
      <w:bookmarkStart w:id="45" w:name="_Toc415060691"/>
      <w:bookmarkStart w:id="46" w:name="_Toc392495342"/>
      <w:r>
        <w:rPr>
          <w:rStyle w:val="CharSectno"/>
        </w:rPr>
        <w:t>10</w:t>
      </w:r>
      <w:r>
        <w:rPr>
          <w:snapToGrid w:val="0"/>
        </w:rPr>
        <w:t>.</w:t>
      </w:r>
      <w:r>
        <w:rPr>
          <w:snapToGrid w:val="0"/>
        </w:rPr>
        <w:tab/>
        <w:t xml:space="preserve">Powers of </w:t>
      </w:r>
      <w:smartTag w:uri="urn:schemas-microsoft-com:office:smarttags" w:element="place">
        <w:r>
          <w:rPr>
            <w:snapToGrid w:val="0"/>
          </w:rPr>
          <w:t>FES</w:t>
        </w:r>
      </w:smartTag>
      <w:r>
        <w:rPr>
          <w:snapToGrid w:val="0"/>
        </w:rPr>
        <w:t xml:space="preserve"> Commissioner</w:t>
      </w:r>
      <w:bookmarkEnd w:id="44"/>
      <w:bookmarkEnd w:id="45"/>
      <w:bookmarkEnd w:id="46"/>
    </w:p>
    <w:p>
      <w:pPr>
        <w:pStyle w:val="Subsection"/>
        <w:rPr>
          <w:snapToGrid w:val="0"/>
        </w:rPr>
      </w:pPr>
      <w:r>
        <w:rPr>
          <w:snapToGrid w:val="0"/>
        </w:rPr>
        <w:tab/>
        <w:t>(1)</w:t>
      </w:r>
      <w:r>
        <w:rPr>
          <w:snapToGrid w:val="0"/>
        </w:rPr>
        <w:tab/>
        <w:t xml:space="preserve">The </w:t>
      </w:r>
      <w:r>
        <w:t xml:space="preserve">FES Commissioner </w:t>
      </w:r>
      <w:r>
        <w:rPr>
          <w:snapToGrid w:val="0"/>
        </w:rPr>
        <w:t>shall —</w:t>
      </w:r>
    </w:p>
    <w:p>
      <w:pPr>
        <w:pStyle w:val="Indenta"/>
        <w:rPr>
          <w:snapToGrid w:val="0"/>
        </w:rPr>
      </w:pPr>
      <w:r>
        <w:rPr>
          <w:snapToGrid w:val="0"/>
        </w:rPr>
        <w:tab/>
        <w:t>(a)</w:t>
      </w:r>
      <w:r>
        <w:rPr>
          <w:snapToGrid w:val="0"/>
        </w:rPr>
        <w:tab/>
        <w:t xml:space="preserve">report to the Minister as often as </w:t>
      </w:r>
      <w:r>
        <w:t>the FES Commissioner</w:t>
      </w:r>
      <w:r>
        <w:rPr>
          <w:snapToGrid w:val="0"/>
        </w:rPr>
        <w:t xml:space="preserve"> thinks expedient so to do on the best means to be taken for preventing or extinguishing bush fires;</w:t>
      </w:r>
    </w:p>
    <w:p>
      <w:pPr>
        <w:pStyle w:val="Indenta"/>
        <w:rPr>
          <w:snapToGrid w:val="0"/>
        </w:rPr>
      </w:pPr>
      <w:r>
        <w:rPr>
          <w:snapToGrid w:val="0"/>
        </w:rPr>
        <w:tab/>
        <w:t>(b)</w:t>
      </w:r>
      <w:r>
        <w:rPr>
          <w:snapToGrid w:val="0"/>
        </w:rPr>
        <w:tab/>
        <w:t xml:space="preserve">perform and undertake such powers and duties as may be entrusted to </w:t>
      </w:r>
      <w:r>
        <w:t>the FES Commissioner</w:t>
      </w:r>
      <w:r>
        <w:rPr>
          <w:snapToGrid w:val="0"/>
        </w:rPr>
        <w:t xml:space="preserve">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 xml:space="preserve">carry out such fire prevention measures as </w:t>
      </w:r>
      <w:r>
        <w:t>the FES Commissioner</w:t>
      </w:r>
      <w:r>
        <w:rPr>
          <w:snapToGrid w:val="0"/>
        </w:rPr>
        <w:t xml:space="preserve">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FES Commissioner </w:t>
      </w:r>
      <w:r>
        <w:rPr>
          <w:snapToGrid w:val="0"/>
        </w:rPr>
        <w:t>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[Section 10 amended by No. 65 of 1977 s. 7; No. 42 of 1998 s. 8 and 16; No. 22 of 2012 s. 47 and 69.]</w:t>
      </w:r>
    </w:p>
    <w:p>
      <w:pPr>
        <w:pStyle w:val="Ednotesection"/>
        <w:spacing w:before="180"/>
      </w:pPr>
      <w:r>
        <w:t>[</w:t>
      </w:r>
      <w:r>
        <w:rPr>
          <w:b/>
        </w:rPr>
        <w:t>11, 11A.</w:t>
      </w:r>
      <w:r>
        <w:rPr>
          <w:b/>
        </w:rPr>
        <w:tab/>
      </w:r>
      <w:r>
        <w:t>Deleted by No. 42 of 1998 s. 9.]</w:t>
      </w:r>
    </w:p>
    <w:p>
      <w:pPr>
        <w:pStyle w:val="Heading5"/>
      </w:pPr>
      <w:bookmarkStart w:id="47" w:name="_Toc397946819"/>
      <w:bookmarkStart w:id="48" w:name="_Toc415060692"/>
      <w:bookmarkStart w:id="49" w:name="_Toc392495343"/>
      <w:r>
        <w:rPr>
          <w:rStyle w:val="CharSectno"/>
        </w:rPr>
        <w:t>12</w:t>
      </w:r>
      <w:r>
        <w:t>.</w:t>
      </w:r>
      <w:r>
        <w:tab/>
        <w:t>Bush fire liaison officers</w:t>
      </w:r>
      <w:bookmarkEnd w:id="47"/>
      <w:bookmarkEnd w:id="48"/>
      <w:bookmarkEnd w:id="49"/>
    </w:p>
    <w:p>
      <w:pPr>
        <w:pStyle w:val="Subsection"/>
      </w:pPr>
      <w:r>
        <w:tab/>
        <w:t>(1)</w:t>
      </w:r>
      <w:r>
        <w:tab/>
        <w:t xml:space="preserve">In this section — </w:t>
      </w:r>
    </w:p>
    <w:p>
      <w:pPr>
        <w:pStyle w:val="Defstart"/>
      </w:pPr>
      <w:r>
        <w:tab/>
      </w:r>
      <w:r>
        <w:rPr>
          <w:rStyle w:val="CharDefText"/>
        </w:rPr>
        <w:t>departmental officer</w:t>
      </w:r>
      <w:r>
        <w:t xml:space="preserve"> means a person employed in the Department;</w:t>
      </w:r>
    </w:p>
    <w:p>
      <w:pPr>
        <w:pStyle w:val="Defstart"/>
      </w:pPr>
      <w:r>
        <w:tab/>
      </w:r>
      <w:r>
        <w:rPr>
          <w:rStyle w:val="CharDefText"/>
        </w:rPr>
        <w:t>designation</w:t>
      </w:r>
      <w:r>
        <w:t xml:space="preserve"> means a designation under subsection (2).</w:t>
      </w:r>
    </w:p>
    <w:p>
      <w:pPr>
        <w:pStyle w:val="Subsection"/>
        <w:rPr>
          <w:snapToGrid w:val="0"/>
        </w:rPr>
      </w:pPr>
      <w:r>
        <w:tab/>
        <w:t>(2)</w:t>
      </w:r>
      <w:r>
        <w:tab/>
        <w:t>The</w:t>
      </w:r>
      <w:r>
        <w:rPr>
          <w:snapToGrid w:val="0"/>
        </w:rPr>
        <w:t xml:space="preserve"> FES Commissioner may designate a departmental officer to be a bush fire liaison officer.</w:t>
      </w:r>
    </w:p>
    <w:p>
      <w:pPr>
        <w:pStyle w:val="Subsection"/>
        <w:rPr>
          <w:snapToGrid w:val="0"/>
        </w:rPr>
      </w:pPr>
      <w:r>
        <w:tab/>
        <w:t>(3)</w:t>
      </w:r>
      <w:r>
        <w:tab/>
        <w:t>T</w:t>
      </w:r>
      <w:r>
        <w:rPr>
          <w:snapToGrid w:val="0"/>
        </w:rPr>
        <w:t>here are to be as many bush fire liaison officers as are necessary to perform the functions conferred on bush fire liaison officers by this Act or any other written law.</w:t>
      </w:r>
    </w:p>
    <w:p>
      <w:pPr>
        <w:pStyle w:val="Subsection"/>
        <w:rPr>
          <w:snapToGrid w:val="0"/>
        </w:rPr>
      </w:pPr>
      <w:r>
        <w:tab/>
        <w:t>(4)</w:t>
      </w:r>
      <w:r>
        <w:tab/>
        <w:t>A</w:t>
      </w:r>
      <w:r>
        <w:rPr>
          <w:snapToGrid w:val="0"/>
        </w:rPr>
        <w:t xml:space="preserve"> person ceases to be a bush fire liaison officer if the designation of the person is revoked or ceases to have effect.</w:t>
      </w:r>
    </w:p>
    <w:p>
      <w:pPr>
        <w:pStyle w:val="Subsection"/>
        <w:rPr>
          <w:snapToGrid w:val="0"/>
        </w:rPr>
      </w:pPr>
      <w:r>
        <w:tab/>
        <w:t>(5)</w:t>
      </w:r>
      <w:r>
        <w:tab/>
        <w:t>The</w:t>
      </w:r>
      <w:r>
        <w:rPr>
          <w:snapToGrid w:val="0"/>
        </w:rPr>
        <w:t xml:space="preserv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rPr>
          <w:snapToGrid w:val="0"/>
        </w:rPr>
      </w:pPr>
      <w:r>
        <w:tab/>
        <w:t>(7)</w:t>
      </w:r>
      <w:r>
        <w:tab/>
        <w:t xml:space="preserve">These </w:t>
      </w:r>
      <w:r>
        <w:rPr>
          <w:snapToGrid w:val="0"/>
        </w:rPr>
        <w:t xml:space="preserve">are to be in writing — </w:t>
      </w:r>
    </w:p>
    <w:p>
      <w:pPr>
        <w:pStyle w:val="Indenta"/>
      </w:pPr>
      <w:r>
        <w:tab/>
        <w:t>(a)</w:t>
      </w:r>
      <w:r>
        <w:tab/>
        <w:t>a designation;</w:t>
      </w:r>
    </w:p>
    <w:p>
      <w:pPr>
        <w:pStyle w:val="Indenta"/>
      </w:pPr>
      <w:r>
        <w:tab/>
        <w:t>(b)</w:t>
      </w:r>
      <w:r>
        <w:tab/>
        <w:t>a revocation of a designation.</w:t>
      </w:r>
    </w:p>
    <w:p>
      <w:pPr>
        <w:pStyle w:val="Footnotesection"/>
        <w:spacing w:before="100"/>
        <w:ind w:left="890" w:hanging="890"/>
      </w:pPr>
      <w:r>
        <w:tab/>
        <w:t>[Section 12 inserted by No. 22 of 2012 s. 48.]</w:t>
      </w:r>
    </w:p>
    <w:p>
      <w:pPr>
        <w:pStyle w:val="Heading5"/>
        <w:spacing w:before="180"/>
        <w:rPr>
          <w:snapToGrid w:val="0"/>
        </w:rPr>
      </w:pPr>
      <w:bookmarkStart w:id="50" w:name="_Toc397946820"/>
      <w:bookmarkStart w:id="51" w:name="_Toc415060693"/>
      <w:bookmarkStart w:id="52" w:name="_Toc392495344"/>
      <w:r>
        <w:rPr>
          <w:rStyle w:val="CharSectno"/>
        </w:rPr>
        <w:t>13</w:t>
      </w:r>
      <w:r>
        <w:rPr>
          <w:snapToGrid w:val="0"/>
        </w:rPr>
        <w:t>.</w:t>
      </w:r>
      <w:r>
        <w:rPr>
          <w:snapToGrid w:val="0"/>
        </w:rPr>
        <w:tab/>
        <w:t>Duties and powers of bush fire liaison officers</w:t>
      </w:r>
      <w:bookmarkEnd w:id="50"/>
      <w:bookmarkEnd w:id="51"/>
      <w:bookmarkEnd w:id="52"/>
    </w:p>
    <w:p>
      <w:pPr>
        <w:pStyle w:val="Subsection"/>
        <w:spacing w:before="120"/>
        <w:rPr>
          <w:snapToGrid w:val="0"/>
        </w:rPr>
      </w:pPr>
      <w:r>
        <w:rPr>
          <w:snapToGrid w:val="0"/>
        </w:rPr>
        <w:tab/>
        <w:t>(1)</w:t>
      </w:r>
      <w:r>
        <w:rPr>
          <w:snapToGrid w:val="0"/>
        </w:rPr>
        <w:tab/>
        <w:t xml:space="preserve">A bush fire liaison officer shall exercise such powers and perform such duties as the </w:t>
      </w:r>
      <w:r>
        <w:t xml:space="preserve">FES Commissioner </w:t>
      </w:r>
      <w:r>
        <w:rPr>
          <w:snapToGrid w:val="0"/>
        </w:rPr>
        <w:t>may direct and may, in addition, exercise all the powers that may be exercised by a bush fire control officer under this Act.</w:t>
      </w:r>
    </w:p>
    <w:p>
      <w:pPr>
        <w:pStyle w:val="Subsection"/>
        <w:spacing w:before="120"/>
        <w:rPr>
          <w:snapToGrid w:val="0"/>
        </w:rPr>
      </w:pPr>
      <w:r>
        <w:rPr>
          <w:snapToGrid w:val="0"/>
        </w:rPr>
        <w:tab/>
        <w:t>(2)</w:t>
      </w:r>
      <w:r>
        <w:rPr>
          <w:snapToGrid w:val="0"/>
        </w:rPr>
        <w:tab/>
        <w:t>A bush fire liaison officer shall exercise his powers and perform his duties —</w:t>
      </w:r>
    </w:p>
    <w:p>
      <w:pPr>
        <w:pStyle w:val="Indenta"/>
        <w:rPr>
          <w:snapToGrid w:val="0"/>
        </w:rPr>
      </w:pPr>
      <w:r>
        <w:rPr>
          <w:snapToGrid w:val="0"/>
        </w:rPr>
        <w:tab/>
        <w:t>(a)</w:t>
      </w:r>
      <w:r>
        <w:rPr>
          <w:snapToGrid w:val="0"/>
        </w:rPr>
        <w:tab/>
        <w:t>subject to such directions as may be given by the</w:t>
      </w:r>
      <w:r>
        <w:t xml:space="preserve"> FES Commissioner</w:t>
      </w:r>
      <w:r>
        <w:rPr>
          <w:snapToGrid w:val="0"/>
        </w:rPr>
        <w:t>;</w:t>
      </w:r>
    </w:p>
    <w:p>
      <w:pPr>
        <w:pStyle w:val="Indenta"/>
        <w:rPr>
          <w:snapToGrid w:val="0"/>
        </w:rPr>
      </w:pPr>
      <w:r>
        <w:rPr>
          <w:snapToGrid w:val="0"/>
        </w:rPr>
        <w:tab/>
        <w:t>(b)</w:t>
      </w:r>
      <w:r>
        <w:rPr>
          <w:snapToGrid w:val="0"/>
        </w:rPr>
        <w:tab/>
        <w:t xml:space="preserve">in such part or parts of the State as the </w:t>
      </w:r>
      <w:r>
        <w:t xml:space="preserve">FES Commissioner </w:t>
      </w:r>
      <w:r>
        <w:rPr>
          <w:snapToGrid w:val="0"/>
        </w:rPr>
        <w:t>may direct.</w:t>
      </w:r>
    </w:p>
    <w:p>
      <w:pPr>
        <w:pStyle w:val="Subsection"/>
        <w:spacing w:before="120"/>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spacing w:before="120"/>
      </w:pPr>
      <w:r>
        <w:tab/>
        <w:t>(4)</w:t>
      </w:r>
      <w:r>
        <w:tab/>
        <w:t>If a bush fire is burning in the district of a local government on land other than conservation land, the FES Commissioner may, in writing, authorise a bush fire liaison officer or another person to take control of all operations in relation to that fire —</w:t>
      </w:r>
    </w:p>
    <w:p>
      <w:pPr>
        <w:pStyle w:val="Indenta"/>
      </w:pPr>
      <w:r>
        <w:tab/>
        <w:t>(a)</w:t>
      </w:r>
      <w:r>
        <w:tab/>
        <w:t>at the request of the local government; or</w:t>
      </w:r>
    </w:p>
    <w:p>
      <w:pPr>
        <w:pStyle w:val="Indenta"/>
      </w:pPr>
      <w:r>
        <w:tab/>
        <w:t>(b)</w:t>
      </w:r>
      <w:r>
        <w:tab/>
        <w:t>if, because of the nature or extent of the bush fire, the FES Commissioner considers that it is appropriate to do so.</w:t>
      </w:r>
    </w:p>
    <w:p>
      <w:pPr>
        <w:pStyle w:val="Subsection"/>
        <w:keepLines/>
        <w:spacing w:before="120"/>
      </w:pPr>
      <w:r>
        <w:tab/>
        <w:t>(5)</w:t>
      </w:r>
      <w:r>
        <w:tab/>
        <w:t>If a bush fire is burning on conservation land, the FES Commissioner may, in writing, authorise a bush fire liaison officer or another person to take control of all operations in relation to that fire —</w:t>
      </w:r>
    </w:p>
    <w:p>
      <w:pPr>
        <w:pStyle w:val="Indenta"/>
      </w:pPr>
      <w:r>
        <w:tab/>
        <w:t>(a)</w:t>
      </w:r>
      <w:r>
        <w:tab/>
        <w:t>at the request of the CALM Act CEO; or</w:t>
      </w:r>
    </w:p>
    <w:p>
      <w:pPr>
        <w:pStyle w:val="Indenta"/>
      </w:pPr>
      <w:r>
        <w:tab/>
        <w:t>(b)</w:t>
      </w:r>
      <w:r>
        <w:tab/>
        <w:t>if, because of the nature or extent of the bush fire, the FES Commissioner considers that it is appropriate to do so.</w:t>
      </w:r>
    </w:p>
    <w:p>
      <w:pPr>
        <w:pStyle w:val="Subsection"/>
      </w:pPr>
      <w:r>
        <w:tab/>
        <w:t>(6)</w:t>
      </w:r>
      <w:r>
        <w:tab/>
        <w:t xml:space="preserve">If, under subsection (4) or (5), a bush fire liaison officer or another person (an </w:t>
      </w:r>
      <w:r>
        <w:rPr>
          <w:rStyle w:val="CharDefText"/>
        </w:rPr>
        <w:t>authorised person</w:t>
      </w:r>
      <w:r>
        <w:t>) is authorised to take control of all operations in relation to a fire, all —</w:t>
      </w:r>
    </w:p>
    <w:p>
      <w:pPr>
        <w:pStyle w:val="Indenta"/>
      </w:pPr>
      <w:r>
        <w:tab/>
        <w:t>(a)</w:t>
      </w:r>
      <w:r>
        <w:tab/>
        <w:t>bush fire control officers; and</w:t>
      </w:r>
    </w:p>
    <w:p>
      <w:pPr>
        <w:pStyle w:val="Indenta"/>
      </w:pPr>
      <w:r>
        <w:tab/>
        <w:t>(b)</w:t>
      </w:r>
      <w:r>
        <w:tab/>
        <w:t>bush fire liaison officers; and</w:t>
      </w:r>
    </w:p>
    <w:p>
      <w:pPr>
        <w:pStyle w:val="Indenta"/>
      </w:pPr>
      <w:r>
        <w:tab/>
        <w:t>(c)</w:t>
      </w:r>
      <w:r>
        <w:tab/>
        <w:t>authorised CALM Act officers; and</w:t>
      </w:r>
    </w:p>
    <w:p>
      <w:pPr>
        <w:pStyle w:val="Indenta"/>
      </w:pPr>
      <w:r>
        <w:tab/>
        <w:t>(d)</w:t>
      </w:r>
      <w:r>
        <w:tab/>
        <w:t>officers and members of a bush fire brigade,</w:t>
      </w:r>
    </w:p>
    <w:p>
      <w:pPr>
        <w:pStyle w:val="Subsection"/>
      </w:pPr>
      <w:r>
        <w:tab/>
      </w:r>
      <w:r>
        <w:tab/>
        <w:t>who are present at the fire are in all respects subject to, and are to act under, the authorised person’s orders and directions.</w:t>
      </w:r>
    </w:p>
    <w:p>
      <w:pPr>
        <w:pStyle w:val="Subsection"/>
      </w:pPr>
      <w:r>
        <w:tab/>
        <w:t>(7)</w:t>
      </w:r>
      <w:r>
        <w:tab/>
        <w:t>If a person other than a bush fire liaison officer is authorised under subsection (4) or (5), the person is to be taken to be a bush fire liaison officer during the period that the authorisation has effect.</w:t>
      </w:r>
    </w:p>
    <w:p>
      <w:pPr>
        <w:pStyle w:val="Footnotesection"/>
        <w:ind w:left="890" w:hanging="890"/>
      </w:pPr>
      <w:r>
        <w:tab/>
        <w:t>[Section 13 inserted by No. 65 of 1977 s. 10; amended by No. 42 of 1998 s. 16; No. 38 of 2002 s. 19; No. 25 of 2009 s. 5; No. 22 of 2012 s. 69.]</w:t>
      </w:r>
    </w:p>
    <w:p>
      <w:pPr>
        <w:pStyle w:val="Heading5"/>
      </w:pPr>
      <w:bookmarkStart w:id="53" w:name="_Toc397946821"/>
      <w:bookmarkStart w:id="54" w:name="_Toc415060694"/>
      <w:bookmarkStart w:id="55" w:name="_Toc392495345"/>
      <w:r>
        <w:rPr>
          <w:rStyle w:val="CharSectno"/>
        </w:rPr>
        <w:t>14A</w:t>
      </w:r>
      <w:r>
        <w:t>.</w:t>
      </w:r>
      <w:r>
        <w:tab/>
        <w:t xml:space="preserve">Powers and duties under section 13 not affected by certain powers under </w:t>
      </w:r>
      <w:r>
        <w:rPr>
          <w:i/>
          <w:iCs/>
        </w:rPr>
        <w:t>Emergency Management Act 2005</w:t>
      </w:r>
      <w:bookmarkEnd w:id="53"/>
      <w:bookmarkEnd w:id="54"/>
      <w:bookmarkEnd w:id="55"/>
    </w:p>
    <w:p>
      <w:pPr>
        <w:pStyle w:val="Subsection"/>
      </w:pPr>
      <w:r>
        <w:tab/>
        <w:t>(1)</w:t>
      </w:r>
      <w:r>
        <w:tab/>
        <w:t xml:space="preserve">This section has effect despite the </w:t>
      </w:r>
      <w:r>
        <w:rPr>
          <w:i/>
        </w:rPr>
        <w:t>Emergency Management Act 2005</w:t>
      </w:r>
      <w:r>
        <w:t xml:space="preserve"> section 8(1).</w:t>
      </w:r>
    </w:p>
    <w:p>
      <w:pPr>
        <w:pStyle w:val="Subsection"/>
      </w:pPr>
      <w:r>
        <w:tab/>
        <w:t>(2)</w:t>
      </w:r>
      <w:r>
        <w:tab/>
        <w:t>The exercise of powers and the performance of duties by a bush fire liaison officer or another person on being authorised to take control of all operations in relation to a bush fire under section 13(4) or (5) are not limited or otherwise affected by —</w:t>
      </w:r>
    </w:p>
    <w:p>
      <w:pPr>
        <w:pStyle w:val="Indenta"/>
      </w:pPr>
      <w:r>
        <w:tab/>
        <w:t>(a)</w:t>
      </w:r>
      <w:r>
        <w:tab/>
        <w:t xml:space="preserve">a hazard management agency being prescribed in relation to fire under the </w:t>
      </w:r>
      <w:r>
        <w:rPr>
          <w:i/>
        </w:rPr>
        <w:t>Emergency Management Act 2005</w:t>
      </w:r>
      <w:r>
        <w:rPr>
          <w:iCs/>
        </w:rPr>
        <w:t>; or</w:t>
      </w:r>
    </w:p>
    <w:p>
      <w:pPr>
        <w:pStyle w:val="Indenta"/>
      </w:pPr>
      <w:r>
        <w:tab/>
        <w:t>(b)</w:t>
      </w:r>
      <w:r>
        <w:tab/>
        <w:t>the powers that may be exercised under that Act by the hazard management agency’s hazard management officers as the result of the declaration of an emergency situation under that Act.</w:t>
      </w:r>
    </w:p>
    <w:p>
      <w:pPr>
        <w:pStyle w:val="Footnotesection"/>
      </w:pPr>
      <w:r>
        <w:tab/>
        <w:t>[Section 14A inserted by No. 25 of 2009 s. 6.]</w:t>
      </w:r>
    </w:p>
    <w:p>
      <w:pPr>
        <w:pStyle w:val="Heading5"/>
      </w:pPr>
      <w:bookmarkStart w:id="56" w:name="_Toc397946822"/>
      <w:bookmarkStart w:id="57" w:name="_Toc415060695"/>
      <w:bookmarkStart w:id="58" w:name="_Toc392495346"/>
      <w:r>
        <w:rPr>
          <w:rStyle w:val="CharSectno"/>
        </w:rPr>
        <w:t>14B</w:t>
      </w:r>
      <w:r>
        <w:t>.</w:t>
      </w:r>
      <w:r>
        <w:tab/>
        <w:t>Powers of authorised persons and police officers during authorised periods</w:t>
      </w:r>
      <w:bookmarkEnd w:id="56"/>
      <w:bookmarkEnd w:id="57"/>
      <w:bookmarkEnd w:id="58"/>
    </w:p>
    <w:p>
      <w:pPr>
        <w:pStyle w:val="Subsection"/>
      </w:pPr>
      <w:r>
        <w:tab/>
        <w:t>(1)</w:t>
      </w:r>
      <w:r>
        <w:tab/>
        <w:t>In this section —</w:t>
      </w:r>
    </w:p>
    <w:p>
      <w:pPr>
        <w:pStyle w:val="Defstart"/>
      </w:pPr>
      <w:r>
        <w:tab/>
      </w:r>
      <w:r>
        <w:rPr>
          <w:rStyle w:val="CharDefText"/>
        </w:rPr>
        <w:t>affected area</w:t>
      </w:r>
      <w:r>
        <w:t xml:space="preserve"> means the area specified in an authorisation as the area affected by the relevant bush fire;</w:t>
      </w:r>
    </w:p>
    <w:p>
      <w:pPr>
        <w:pStyle w:val="Defstart"/>
      </w:pPr>
      <w:r>
        <w:tab/>
      </w:r>
      <w:r>
        <w:rPr>
          <w:rStyle w:val="CharDefText"/>
        </w:rPr>
        <w:t>authorisation</w:t>
      </w:r>
      <w:r>
        <w:t xml:space="preserve"> means an authorisation to take control of all operations in relation to a bush fire given by the FES Commissioner under section 13(4) or (5);</w:t>
      </w:r>
    </w:p>
    <w:p>
      <w:pPr>
        <w:pStyle w:val="Defstart"/>
      </w:pPr>
      <w:r>
        <w:tab/>
      </w:r>
      <w:r>
        <w:rPr>
          <w:rStyle w:val="CharDefText"/>
        </w:rPr>
        <w:t>authorised period</w:t>
      </w:r>
      <w:r>
        <w:t xml:space="preserve"> means the period specified in an authorisation as the period during which the authorisation has effect;</w:t>
      </w:r>
    </w:p>
    <w:p>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Defstart"/>
      </w:pPr>
      <w:r>
        <w:tab/>
      </w:r>
      <w:r>
        <w:rPr>
          <w:rStyle w:val="CharDefText"/>
        </w:rPr>
        <w:t>relevant bush fire</w:t>
      </w:r>
      <w:r>
        <w:t xml:space="preserve"> means the bush fire in relation to which an authorisation is given.</w:t>
      </w:r>
    </w:p>
    <w:p>
      <w:pPr>
        <w:pStyle w:val="Subsection"/>
      </w:pPr>
      <w:r>
        <w:tab/>
        <w:t>(2)</w:t>
      </w:r>
      <w:r>
        <w:tab/>
        <w:t>During the authorised period, an authorised person or a member of the Police Force may do all or any of the following —</w:t>
      </w:r>
    </w:p>
    <w:p>
      <w:pPr>
        <w:pStyle w:val="Indenta"/>
      </w:pPr>
      <w:r>
        <w:tab/>
        <w:t>(a)</w:t>
      </w:r>
      <w:r>
        <w:tab/>
        <w:t>direct, or by direction prohibit, the movement of persons, animals and vehicles within, into, out of or around the affected area or any part of the affected area;</w:t>
      </w:r>
    </w:p>
    <w:p>
      <w:pPr>
        <w:pStyle w:val="Indenta"/>
      </w:pPr>
      <w:r>
        <w:tab/>
        <w:t>(b)</w:t>
      </w:r>
      <w:r>
        <w:tab/>
        <w:t>direct the evacuation and removal of persons or animals from the affected area or any part of the affected area;</w:t>
      </w:r>
    </w:p>
    <w:p>
      <w:pPr>
        <w:pStyle w:val="Indenta"/>
      </w:pPr>
      <w:r>
        <w:tab/>
        <w:t>(c)</w:t>
      </w:r>
      <w:r>
        <w:tab/>
        <w:t>close any road, access route or area of water in or leading to the affected area.</w:t>
      </w:r>
    </w:p>
    <w:p>
      <w:pPr>
        <w:pStyle w:val="Subsection"/>
      </w:pPr>
      <w:r>
        <w:tab/>
        <w:t>(3)</w:t>
      </w:r>
      <w:r>
        <w:tab/>
        <w:t xml:space="preserve">During the authorised period and for the purposes of controlling or extinguishing the relevant bush fire, an authorised person may use a vehicle in any place and in any circumstance despite any provision of the </w:t>
      </w:r>
      <w:r>
        <w:rPr>
          <w:i/>
          <w:iCs/>
        </w:rPr>
        <w:t xml:space="preserve">Road Traffic Act 1974 </w:t>
      </w:r>
      <w:r>
        <w:t>that requires a permit for the use of that vehicle or for the use of that vehicle in that place or in that circumstance.</w:t>
      </w:r>
    </w:p>
    <w:p>
      <w:pPr>
        <w:pStyle w:val="Subsection"/>
      </w:pPr>
      <w:r>
        <w:tab/>
        <w:t>(4)</w:t>
      </w:r>
      <w:r>
        <w:tab/>
        <w:t>This section does not limit the powers of a bush fire liaison officer, a member of the Police Force or another person under another provision of this Act or any other written law.</w:t>
      </w:r>
    </w:p>
    <w:p>
      <w:pPr>
        <w:pStyle w:val="Footnotesection"/>
      </w:pPr>
      <w:r>
        <w:tab/>
        <w:t>[Section 14B inserted by No. 25 of 2009 s. 6; amended by No. 22 of 2012 s. 49 and 69.]</w:t>
      </w:r>
    </w:p>
    <w:p>
      <w:pPr>
        <w:pStyle w:val="Heading5"/>
      </w:pPr>
      <w:bookmarkStart w:id="59" w:name="_Toc397946823"/>
      <w:bookmarkStart w:id="60" w:name="_Toc415060696"/>
      <w:bookmarkStart w:id="61" w:name="_Toc392495347"/>
      <w:r>
        <w:rPr>
          <w:rStyle w:val="CharSectno"/>
        </w:rPr>
        <w:t>14C</w:t>
      </w:r>
      <w:r>
        <w:t>.</w:t>
      </w:r>
      <w:r>
        <w:tab/>
        <w:t>Failure to comply with directions</w:t>
      </w:r>
      <w:bookmarkEnd w:id="59"/>
      <w:bookmarkEnd w:id="60"/>
      <w:bookmarkEnd w:id="61"/>
    </w:p>
    <w:p>
      <w:pPr>
        <w:pStyle w:val="Subsection"/>
      </w:pPr>
      <w:r>
        <w:tab/>
        <w:t>(1)</w:t>
      </w:r>
      <w:r>
        <w:tab/>
        <w:t>A person given a direction under section 14B(2) must comply with the direction.</w:t>
      </w:r>
    </w:p>
    <w:p>
      <w:pPr>
        <w:pStyle w:val="Penstart"/>
      </w:pPr>
      <w:r>
        <w:tab/>
        <w:t>Penalty: a fine of $25 000.</w:t>
      </w:r>
    </w:p>
    <w:p>
      <w:pPr>
        <w:pStyle w:val="Subsection"/>
        <w:keepNext/>
        <w:keepLines/>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FES Commissioner to be a true copy of the original.</w:t>
      </w:r>
    </w:p>
    <w:p>
      <w:pPr>
        <w:pStyle w:val="Footnotesection"/>
      </w:pPr>
      <w:r>
        <w:tab/>
        <w:t>[Section 14C inserted by No. 25 of 2009 s. 6; amended by No. 22 of 2012 s. 69.]</w:t>
      </w:r>
    </w:p>
    <w:p>
      <w:pPr>
        <w:pStyle w:val="Heading5"/>
        <w:rPr>
          <w:snapToGrid w:val="0"/>
        </w:rPr>
      </w:pPr>
      <w:bookmarkStart w:id="62" w:name="_Toc397946824"/>
      <w:bookmarkStart w:id="63" w:name="_Toc415060697"/>
      <w:bookmarkStart w:id="64" w:name="_Toc392495348"/>
      <w:r>
        <w:rPr>
          <w:rStyle w:val="CharSectno"/>
        </w:rPr>
        <w:t>14</w:t>
      </w:r>
      <w:r>
        <w:rPr>
          <w:snapToGrid w:val="0"/>
        </w:rPr>
        <w:t>.</w:t>
      </w:r>
      <w:r>
        <w:rPr>
          <w:snapToGrid w:val="0"/>
        </w:rPr>
        <w:tab/>
        <w:t>Certain persons may enter land or building for purposes of Act</w:t>
      </w:r>
      <w:bookmarkEnd w:id="62"/>
      <w:bookmarkEnd w:id="63"/>
      <w:bookmarkEnd w:id="64"/>
    </w:p>
    <w:p>
      <w:pPr>
        <w:pStyle w:val="Subsection"/>
        <w:rPr>
          <w:snapToGrid w:val="0"/>
        </w:rPr>
      </w:pPr>
      <w:r>
        <w:rPr>
          <w:snapToGrid w:val="0"/>
        </w:rPr>
        <w:tab/>
        <w:t>(1)</w:t>
      </w:r>
      <w:r>
        <w:rPr>
          <w:snapToGrid w:val="0"/>
        </w:rPr>
        <w:tab/>
      </w:r>
      <w:r>
        <w:t>A person employed in the Department who is authorised by the FES Commissioner</w:t>
      </w:r>
      <w:r>
        <w:rPr>
          <w:snapToGrid w:val="0"/>
        </w:rPr>
        <w:t xml:space="preserve"> so to do, a bush fire liaison officer and a bush fire control officer, </w:t>
      </w:r>
      <w:r>
        <w:t>designated or</w:t>
      </w:r>
      <w:r>
        <w:rPr>
          <w:snapToGrid w:val="0"/>
        </w:rPr>
        <w:t xml:space="preserve"> appointed in accordance with the provisions of this Act, and, subject to </w:t>
      </w:r>
      <w:r>
        <w:t xml:space="preserve">subsection (1A), </w:t>
      </w:r>
      <w:r>
        <w:rPr>
          <w:snapToGrid w:val="0"/>
        </w:rPr>
        <w:t>a member of the Police Force, is empowered to enter any land or building at any time to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t>(1A)</w:t>
      </w:r>
      <w:r>
        <w:rPr>
          <w:snapToGrid w:val="0"/>
        </w:rPr>
        <w:tab/>
      </w:r>
      <w:r>
        <w:t>Despite subsection (1), a</w:t>
      </w:r>
      <w:r>
        <w:rPr>
          <w:snapToGrid w:val="0"/>
        </w:rPr>
        <w:t xml:space="preserve"> member of the Police Force is not empowered under this section to enter any land or building for any purpose other than those specified in </w:t>
      </w:r>
      <w:r>
        <w:t>subsection (1)(a),</w:t>
      </w:r>
      <w:r>
        <w:rPr>
          <w:snapToGrid w:val="0"/>
        </w:rPr>
        <w:t xml:space="preserve">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[Section 14 amended by No. 11 of 1963 s. 5; No. 65 of 1977 s. 11 and 47; No. 60 of 1992 s. 8; No. 42 of 1998 s. 16; No. 38 of 2002 s. 20; No. 19 of 2010 s. 52(4); No. 22 of 2012 s. 50.]</w:t>
      </w:r>
    </w:p>
    <w:p>
      <w:pPr>
        <w:pStyle w:val="Ednotedivision"/>
      </w:pPr>
      <w:r>
        <w:t>[Divisions 3 and 4 (s. 15</w:t>
      </w:r>
      <w:r>
        <w:noBreakHyphen/>
        <w:t>16E) deleted by No. 42 of 1998 s. 11(1).]</w:t>
      </w:r>
    </w:p>
    <w:p>
      <w:pPr>
        <w:pStyle w:val="Heading2"/>
      </w:pPr>
      <w:bookmarkStart w:id="65" w:name="_Toc381872697"/>
      <w:bookmarkStart w:id="66" w:name="_Toc381873765"/>
      <w:bookmarkStart w:id="67" w:name="_Toc392495349"/>
      <w:bookmarkStart w:id="68" w:name="_Toc397946407"/>
      <w:bookmarkStart w:id="69" w:name="_Toc397946543"/>
      <w:bookmarkStart w:id="70" w:name="_Toc397946825"/>
      <w:bookmarkStart w:id="71" w:name="_Toc415060602"/>
      <w:bookmarkStart w:id="72" w:name="_Toc415060698"/>
      <w:r>
        <w:rPr>
          <w:rStyle w:val="CharPartNo"/>
        </w:rPr>
        <w:t>Part III</w:t>
      </w:r>
      <w:r>
        <w:t> — </w:t>
      </w:r>
      <w:r>
        <w:rPr>
          <w:rStyle w:val="CharPartText"/>
        </w:rPr>
        <w:t>Prevention of bush fires</w:t>
      </w:r>
      <w:bookmarkEnd w:id="65"/>
      <w:bookmarkEnd w:id="66"/>
      <w:bookmarkEnd w:id="67"/>
      <w:bookmarkEnd w:id="68"/>
      <w:bookmarkEnd w:id="69"/>
      <w:bookmarkEnd w:id="70"/>
      <w:bookmarkEnd w:id="71"/>
      <w:bookmarkEnd w:id="72"/>
    </w:p>
    <w:p>
      <w:pPr>
        <w:pStyle w:val="Ednotedivision"/>
        <w:rPr>
          <w:highlight w:val="cyan"/>
        </w:rPr>
      </w:pPr>
      <w:r>
        <w:t>[Division 1 deleted by No. 65 of 1977 s. 12.]</w:t>
      </w:r>
    </w:p>
    <w:p>
      <w:pPr>
        <w:pStyle w:val="Heading3"/>
      </w:pPr>
      <w:bookmarkStart w:id="73" w:name="_Toc381872698"/>
      <w:bookmarkStart w:id="74" w:name="_Toc381873766"/>
      <w:bookmarkStart w:id="75" w:name="_Toc392495350"/>
      <w:bookmarkStart w:id="76" w:name="_Toc397946408"/>
      <w:bookmarkStart w:id="77" w:name="_Toc397946544"/>
      <w:bookmarkStart w:id="78" w:name="_Toc397946826"/>
      <w:bookmarkStart w:id="79" w:name="_Toc415060603"/>
      <w:bookmarkStart w:id="80" w:name="_Toc415060699"/>
      <w:r>
        <w:rPr>
          <w:rStyle w:val="CharDivNo"/>
        </w:rPr>
        <w:t>Division 2</w:t>
      </w:r>
      <w:r>
        <w:rPr>
          <w:snapToGrid w:val="0"/>
        </w:rPr>
        <w:t> — </w:t>
      </w:r>
      <w:r>
        <w:rPr>
          <w:rStyle w:val="CharDivText"/>
        </w:rPr>
        <w:t>Prohibited burning times</w:t>
      </w:r>
      <w:bookmarkEnd w:id="73"/>
      <w:bookmarkEnd w:id="74"/>
      <w:bookmarkEnd w:id="75"/>
      <w:bookmarkEnd w:id="76"/>
      <w:bookmarkEnd w:id="77"/>
      <w:bookmarkEnd w:id="78"/>
      <w:bookmarkEnd w:id="79"/>
      <w:bookmarkEnd w:id="80"/>
    </w:p>
    <w:p>
      <w:pPr>
        <w:pStyle w:val="Heading5"/>
        <w:rPr>
          <w:snapToGrid w:val="0"/>
        </w:rPr>
      </w:pPr>
      <w:bookmarkStart w:id="81" w:name="_Toc397946827"/>
      <w:bookmarkStart w:id="82" w:name="_Toc415060700"/>
      <w:bookmarkStart w:id="83" w:name="_Toc392495351"/>
      <w:r>
        <w:rPr>
          <w:rStyle w:val="CharSectno"/>
        </w:rPr>
        <w:t>17</w:t>
      </w:r>
      <w:r>
        <w:rPr>
          <w:snapToGrid w:val="0"/>
        </w:rPr>
        <w:t>.</w:t>
      </w:r>
      <w:r>
        <w:rPr>
          <w:snapToGrid w:val="0"/>
        </w:rPr>
        <w:tab/>
        <w:t>Prohibited burning times may be declared by Minister</w:t>
      </w:r>
      <w:bookmarkEnd w:id="81"/>
      <w:bookmarkEnd w:id="82"/>
      <w:bookmarkEnd w:id="83"/>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FES Commissioner </w:t>
      </w:r>
      <w:r>
        <w:rPr>
          <w:snapToGrid w:val="0"/>
        </w:rPr>
        <w:t xml:space="preserve">considers that burning should be carried out on any land, the </w:t>
      </w:r>
      <w:r>
        <w:t xml:space="preserve">FES Commissioner </w:t>
      </w:r>
      <w:r>
        <w:rPr>
          <w:snapToGrid w:val="0"/>
        </w:rPr>
        <w:t xml:space="preserve">may suspend the operation of a declaration made under subsection (1), so far as the declaration extends to that land, for such period as </w:t>
      </w:r>
      <w:r>
        <w:t>the FES Commissioner thinks</w:t>
      </w:r>
      <w:r>
        <w:rPr>
          <w:snapToGrid w:val="0"/>
        </w:rPr>
        <w:t xml:space="preserve"> fit and specifies and subject to such conditions as may be prescribed or as </w:t>
      </w:r>
      <w:r>
        <w:t>the FES Commissioner thinks</w:t>
      </w:r>
      <w:r>
        <w:rPr>
          <w:snapToGrid w:val="0"/>
        </w:rPr>
        <w:t xml:space="preserve"> fit and specifies.</w:t>
      </w:r>
    </w:p>
    <w:p>
      <w:pPr>
        <w:pStyle w:val="Subsection"/>
        <w:rPr>
          <w:snapToGrid w:val="0"/>
        </w:rPr>
      </w:pPr>
      <w:r>
        <w:rPr>
          <w:snapToGrid w:val="0"/>
        </w:rPr>
        <w:tab/>
        <w:t>(5)</w:t>
      </w:r>
      <w:r>
        <w:rPr>
          <w:snapToGrid w:val="0"/>
        </w:rPr>
        <w:tab/>
        <w:t xml:space="preserve">The </w:t>
      </w:r>
      <w:r>
        <w:t xml:space="preserve">FES Commissioner </w:t>
      </w:r>
      <w:r>
        <w:rPr>
          <w:snapToGrid w:val="0"/>
        </w:rPr>
        <w:t xml:space="preserve">may authorise a person </w:t>
      </w:r>
      <w:r>
        <w:t>employed in the Department</w:t>
      </w:r>
      <w:r>
        <w:rPr>
          <w:snapToGrid w:val="0"/>
        </w:rPr>
        <w:t xml:space="preserve">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FES Commissioner </w:t>
      </w:r>
      <w:r>
        <w:rPr>
          <w:snapToGrid w:val="0"/>
        </w:rPr>
        <w:t xml:space="preserve">considers that seasonal conditions warrant a variation of the prohibited burning times in a zone of the State the </w:t>
      </w:r>
      <w:r>
        <w:t xml:space="preserve">FES Commissioner </w:t>
      </w:r>
      <w:r>
        <w:rPr>
          <w:snapToGrid w:val="0"/>
        </w:rPr>
        <w:t xml:space="preserve">may, by notice published in the </w:t>
      </w:r>
      <w:r>
        <w:rPr>
          <w:i/>
          <w:snapToGrid w:val="0"/>
        </w:rPr>
        <w:t>Gazette</w:t>
      </w:r>
      <w:r>
        <w:rPr>
          <w:snapToGrid w:val="0"/>
        </w:rPr>
        <w:t>, vary the prohibited burning times in respect of that year in the zone or a part of the zone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w:t>
      </w:r>
      <w:r>
        <w:rPr>
          <w:snapToGrid w:val="0"/>
        </w:rPr>
        <w:tab/>
        <w:t>Subject to subsection (7B),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(7B)</w:t>
      </w:r>
      <w:r>
        <w:rPr>
          <w:snapToGrid w:val="0"/>
        </w:rPr>
        <w:tab/>
        <w:t>A variation of prohibited burning times shall not be made under subsection (7) if that variation would have the effect of shortening or suspending those prohibited burning times by, or for, more than 14 successive days.</w:t>
      </w:r>
    </w:p>
    <w:p>
      <w:pPr>
        <w:pStyle w:val="Subsection"/>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w:t>
      </w:r>
    </w:p>
    <w:p>
      <w:pPr>
        <w:pStyle w:val="Indenta"/>
        <w:rPr>
          <w:snapToGrid w:val="0"/>
        </w:rPr>
      </w:pPr>
      <w:r>
        <w:rPr>
          <w:snapToGrid w:val="0"/>
        </w:rPr>
        <w:tab/>
        <w:t>(a)</w:t>
      </w:r>
      <w:r>
        <w:rPr>
          <w:snapToGrid w:val="0"/>
        </w:rPr>
        <w:tab/>
        <w:t>the local government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FES Commissioner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FES Commissioner</w:t>
      </w:r>
      <w:r>
        <w:rPr>
          <w:snapToGrid w:val="0"/>
        </w:rPr>
        <w:t>, may give notice in writing to the local government directing it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pPr>
      <w:r>
        <w:rPr>
          <w:snapToGrid w:val="0"/>
        </w:rPr>
        <w:tab/>
        <w:t>(9)</w:t>
      </w:r>
      <w:r>
        <w:rPr>
          <w:snapToGrid w:val="0"/>
        </w:rPr>
        <w:tab/>
        <w:t xml:space="preserve">For the purposes of </w:t>
      </w:r>
      <w:r>
        <w:t>subsection (8) — </w:t>
      </w:r>
    </w:p>
    <w:p>
      <w:pPr>
        <w:pStyle w:val="Defstart"/>
      </w:pPr>
      <w:r>
        <w:tab/>
      </w:r>
      <w:r>
        <w:rPr>
          <w:rStyle w:val="CharDefText"/>
        </w:rPr>
        <w:t>publish</w:t>
      </w:r>
      <w: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FES Commissioner may specify in writing.</w:t>
      </w:r>
    </w:p>
    <w:p>
      <w:pPr>
        <w:pStyle w:val="Subsection"/>
        <w:spacing w:before="140"/>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spacing w:before="140"/>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[Section 17 inserted by No. 65 of 1977 s. 13; amended by No. 8 of 1987 s. 8; No. 14 of 1996 s. 4; No. 42 of 1998 s. 16; No. 38 of 2002 s. 21 and 40(1); No. 19 of 2010 s. 52(4); No. 22 of 2012 s. 51 and 69.]</w:t>
      </w:r>
    </w:p>
    <w:p>
      <w:pPr>
        <w:pStyle w:val="Heading3"/>
      </w:pPr>
      <w:bookmarkStart w:id="84" w:name="_Toc381872700"/>
      <w:bookmarkStart w:id="85" w:name="_Toc381873768"/>
      <w:bookmarkStart w:id="86" w:name="_Toc392495352"/>
      <w:bookmarkStart w:id="87" w:name="_Toc397946410"/>
      <w:bookmarkStart w:id="88" w:name="_Toc397946546"/>
      <w:bookmarkStart w:id="89" w:name="_Toc397946828"/>
      <w:bookmarkStart w:id="90" w:name="_Toc415060605"/>
      <w:bookmarkStart w:id="91" w:name="_Toc415060701"/>
      <w:r>
        <w:rPr>
          <w:rStyle w:val="CharDivNo"/>
        </w:rPr>
        <w:t>Division 3</w:t>
      </w:r>
      <w:r>
        <w:rPr>
          <w:snapToGrid w:val="0"/>
        </w:rPr>
        <w:t> — </w:t>
      </w:r>
      <w:r>
        <w:rPr>
          <w:rStyle w:val="CharDivText"/>
        </w:rPr>
        <w:t>Restricted burning times</w:t>
      </w:r>
      <w:bookmarkEnd w:id="84"/>
      <w:bookmarkEnd w:id="85"/>
      <w:bookmarkEnd w:id="86"/>
      <w:bookmarkEnd w:id="87"/>
      <w:bookmarkEnd w:id="88"/>
      <w:bookmarkEnd w:id="89"/>
      <w:bookmarkEnd w:id="90"/>
      <w:bookmarkEnd w:id="91"/>
    </w:p>
    <w:p>
      <w:pPr>
        <w:pStyle w:val="Heading5"/>
        <w:rPr>
          <w:snapToGrid w:val="0"/>
        </w:rPr>
      </w:pPr>
      <w:bookmarkStart w:id="92" w:name="_Toc397946829"/>
      <w:bookmarkStart w:id="93" w:name="_Toc415060702"/>
      <w:bookmarkStart w:id="94" w:name="_Toc392495353"/>
      <w:r>
        <w:rPr>
          <w:rStyle w:val="CharSectno"/>
        </w:rPr>
        <w:t>18</w:t>
      </w:r>
      <w:r>
        <w:rPr>
          <w:snapToGrid w:val="0"/>
        </w:rPr>
        <w:t>.</w:t>
      </w:r>
      <w:r>
        <w:rPr>
          <w:snapToGrid w:val="0"/>
        </w:rPr>
        <w:tab/>
        <w:t xml:space="preserve">Restricted burning times may be declared by </w:t>
      </w:r>
      <w:smartTag w:uri="urn:schemas-microsoft-com:office:smarttags" w:element="place">
        <w:r>
          <w:rPr>
            <w:snapToGrid w:val="0"/>
          </w:rPr>
          <w:t>FES</w:t>
        </w:r>
      </w:smartTag>
      <w:r>
        <w:rPr>
          <w:snapToGrid w:val="0"/>
        </w:rPr>
        <w:t xml:space="preserve"> Commissioner</w:t>
      </w:r>
      <w:bookmarkEnd w:id="92"/>
      <w:bookmarkEnd w:id="93"/>
      <w:bookmarkEnd w:id="94"/>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w:t>
      </w:r>
      <w:r>
        <w:t>FES Commissioner</w:t>
      </w:r>
      <w:r>
        <w:rPr>
          <w:snapToGrid w:val="0"/>
        </w:rPr>
        <w:t xml:space="preserve">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FES Commissioner considers that seasonal conditions warrant a variation of the restricted burning times in a zone, or part of a zone, of the State the FES Commissioner may, by notice published in the </w:t>
      </w:r>
      <w:r>
        <w:rPr>
          <w:i/>
        </w:rPr>
        <w:t>Gazette</w:t>
      </w:r>
      <w:r>
        <w:t>, vary the restricted burning times in respect of that year in the zone or part of the zone by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w:t>
      </w:r>
      <w:r>
        <w:tab/>
        <w:t>Subject to subsection (5B) in any year in which a local government considers that seasonal conditions so warrant the local government may, after consultation with an authorised CALM Act officer if forest land is situated in its district —</w:t>
      </w:r>
    </w:p>
    <w:p>
      <w:pPr>
        <w:pStyle w:val="Indenta"/>
        <w:spacing w:before="100"/>
      </w:pPr>
      <w:r>
        <w:tab/>
        <w:t>(a)</w:t>
      </w:r>
      <w:r>
        <w:tab/>
        <w:t>vary the restricted burning times in respect of that year in the district or a part of the district by —</w:t>
      </w:r>
    </w:p>
    <w:p>
      <w:pPr>
        <w:pStyle w:val="Indenti"/>
        <w:spacing w:before="100"/>
        <w:rPr>
          <w:snapToGrid w:val="0"/>
        </w:rPr>
      </w:pPr>
      <w:r>
        <w:rPr>
          <w:snapToGrid w:val="0"/>
        </w:rPr>
        <w:tab/>
        <w:t>(i)</w:t>
      </w:r>
      <w:r>
        <w:rPr>
          <w:snapToGrid w:val="0"/>
        </w:rPr>
        <w:tab/>
        <w:t>shortening, extending, suspending or reimposing a period of restricted burning times; or</w:t>
      </w:r>
    </w:p>
    <w:p>
      <w:pPr>
        <w:pStyle w:val="Indenti"/>
        <w:spacing w:before="100"/>
        <w:rPr>
          <w:snapToGrid w:val="0"/>
        </w:rPr>
      </w:pPr>
      <w:r>
        <w:rPr>
          <w:snapToGrid w:val="0"/>
        </w:rPr>
        <w:tab/>
        <w:t>(ii)</w:t>
      </w:r>
      <w:r>
        <w:rPr>
          <w:snapToGrid w:val="0"/>
        </w:rPr>
        <w:tab/>
        <w:t>imposing a further period of restricted burning times;</w:t>
      </w:r>
    </w:p>
    <w:p>
      <w:pPr>
        <w:pStyle w:val="Indenta"/>
        <w:spacing w:before="120"/>
      </w:pPr>
      <w:r>
        <w:tab/>
      </w:r>
      <w:r>
        <w:tab/>
        <w:t>or</w:t>
      </w:r>
    </w:p>
    <w:p>
      <w:pPr>
        <w:pStyle w:val="Indenta"/>
        <w:spacing w:before="100"/>
      </w:pPr>
      <w:r>
        <w:tab/>
        <w:t>(b)</w:t>
      </w:r>
      <w:r>
        <w:tab/>
        <w:t>vary the prescribed conditions by modifying or suspending all or any of those conditions.</w:t>
      </w:r>
    </w:p>
    <w:p>
      <w:pPr>
        <w:pStyle w:val="Subsection"/>
        <w:spacing w:before="180"/>
      </w:pPr>
      <w:r>
        <w:tab/>
        <w:t>(5B)</w:t>
      </w:r>
      <w:r>
        <w:tab/>
        <w:t>A variation shall not be made under subsection (5) if that variation would have the effect of —</w:t>
      </w:r>
    </w:p>
    <w:p>
      <w:pPr>
        <w:pStyle w:val="Indenta"/>
        <w:spacing w:before="100"/>
        <w:rPr>
          <w:snapToGrid w:val="0"/>
        </w:rPr>
      </w:pPr>
      <w:r>
        <w:rPr>
          <w:snapToGrid w:val="0"/>
        </w:rPr>
        <w:tab/>
        <w:t>(a)</w:t>
      </w:r>
      <w:r>
        <w:rPr>
          <w:snapToGrid w:val="0"/>
        </w:rPr>
        <w:tab/>
        <w:t>shortening the restricted burning times by; or</w:t>
      </w:r>
    </w:p>
    <w:p>
      <w:pPr>
        <w:pStyle w:val="Indenta"/>
        <w:spacing w:before="100"/>
        <w:rPr>
          <w:snapToGrid w:val="0"/>
        </w:rPr>
      </w:pPr>
      <w:r>
        <w:rPr>
          <w:snapToGrid w:val="0"/>
        </w:rPr>
        <w:tab/>
        <w:t>(b)</w:t>
      </w:r>
      <w:r>
        <w:rPr>
          <w:snapToGrid w:val="0"/>
        </w:rPr>
        <w:tab/>
        <w:t>suspending the restricted burning times, or any prescribed condition, for,</w:t>
      </w:r>
    </w:p>
    <w:p>
      <w:pPr>
        <w:pStyle w:val="Subsection"/>
      </w:pPr>
      <w:r>
        <w:tab/>
      </w:r>
      <w:r>
        <w:tab/>
        <w:t>more than 14 successive days during a period that would, in the absence of the variation under subsection (5), be part of the restricted burning times for that zone in that year.</w:t>
      </w:r>
    </w:p>
    <w:p>
      <w:pPr>
        <w:pStyle w:val="Subsection"/>
        <w:keepLines/>
      </w:pPr>
      <w:r>
        <w:tab/>
        <w:t>(5C)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rPr>
          <w:snapToGrid w:val="0"/>
        </w:rPr>
      </w:pPr>
      <w:r>
        <w:rPr>
          <w:snapToGrid w:val="0"/>
        </w:rPr>
        <w:tab/>
        <w:t>(5D)</w:t>
      </w:r>
      <w:r>
        <w:rPr>
          <w:snapToGrid w:val="0"/>
        </w:rPr>
        <w:tab/>
        <w:t>In subsections (5) and (5C) —</w:t>
      </w:r>
    </w:p>
    <w:p>
      <w:pPr>
        <w:pStyle w:val="Defstart"/>
      </w:pPr>
      <w:r>
        <w:tab/>
      </w:r>
      <w:r>
        <w:rPr>
          <w:rStyle w:val="CharDefText"/>
        </w:rPr>
        <w:t>prescribed condition</w:t>
      </w:r>
      <w:r>
        <w:t xml:space="preserve"> includes the requirement of subsection (6)(a).</w:t>
      </w:r>
    </w:p>
    <w:p>
      <w:pPr>
        <w:pStyle w:val="Subsection"/>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rPr>
          <w:snapToGrid w:val="0"/>
        </w:rPr>
      </w:pPr>
      <w:r>
        <w:rPr>
          <w:snapToGrid w:val="0"/>
        </w:rPr>
        <w:tab/>
        <w:t>(7)</w:t>
      </w:r>
      <w:r>
        <w:rPr>
          <w:snapToGrid w:val="0"/>
        </w:rPr>
        <w:tab/>
        <w:t>The person issuing a permit to burn under this section may, by endorsement on the permit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rPr>
          <w:snapToGrid w:val="0"/>
        </w:rPr>
      </w:pPr>
      <w:r>
        <w:rPr>
          <w:snapToGrid w:val="0"/>
        </w:rPr>
        <w:tab/>
        <w:t>(8)</w:t>
      </w:r>
      <w:r>
        <w:rPr>
          <w:snapToGrid w:val="0"/>
        </w:rPr>
        <w:tab/>
        <w:t>The holder of a permit to burn under this section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(10B)</w:t>
      </w:r>
      <w:r>
        <w:rPr>
          <w:snapToGrid w:val="0"/>
        </w:rPr>
        <w:tab/>
        <w:t xml:space="preserve">A person desiring to set fire to bush within the district of the local government that has </w:t>
      </w:r>
      <w:r>
        <w:t xml:space="preserve">made a declaration under subsection (10A) </w:t>
      </w:r>
      <w:r>
        <w:rPr>
          <w:snapToGrid w:val="0"/>
        </w:rPr>
        <w:t>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(10C)</w:t>
      </w:r>
      <w:r>
        <w:rPr>
          <w:snapToGrid w:val="0"/>
        </w:rPr>
        <w:tab/>
        <w:t>Any burning permitted under subsection (10B)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2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2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[Section 18 inserted by No. 65 of 1977 s. 14; amended by No. 8 of 1987 s. 8; No. 14 of 1996 s. 4; No. 42 of 1998 s. 16; No. 38 of 2002 s. 22, 39 and 40(1); No. 19 of 2010 s. 52(4); No. 22 of 2012 s. 69.]</w:t>
      </w:r>
    </w:p>
    <w:p>
      <w:pPr>
        <w:pStyle w:val="Ednotesection"/>
        <w:spacing w:before="180"/>
      </w:pPr>
      <w:r>
        <w:t>[</w:t>
      </w:r>
      <w:r>
        <w:rPr>
          <w:b/>
        </w:rPr>
        <w:t>19.</w:t>
      </w:r>
      <w:r>
        <w:tab/>
        <w:t>Deleted by No. 65 of 1977 s. 15.]</w:t>
      </w:r>
    </w:p>
    <w:p>
      <w:pPr>
        <w:pStyle w:val="Heading5"/>
        <w:spacing w:before="180"/>
        <w:rPr>
          <w:snapToGrid w:val="0"/>
        </w:rPr>
      </w:pPr>
      <w:bookmarkStart w:id="95" w:name="_Toc397946830"/>
      <w:bookmarkStart w:id="96" w:name="_Toc415060703"/>
      <w:bookmarkStart w:id="97" w:name="_Toc392495354"/>
      <w:r>
        <w:rPr>
          <w:rStyle w:val="CharSectno"/>
        </w:rPr>
        <w:t>20</w:t>
      </w:r>
      <w:r>
        <w:rPr>
          <w:snapToGrid w:val="0"/>
        </w:rPr>
        <w:t>.</w:t>
      </w:r>
      <w:r>
        <w:rPr>
          <w:snapToGrid w:val="0"/>
        </w:rPr>
        <w:tab/>
        <w:t>Regulations as to restricted burning times</w:t>
      </w:r>
      <w:bookmarkEnd w:id="95"/>
      <w:bookmarkEnd w:id="96"/>
      <w:bookmarkEnd w:id="97"/>
    </w:p>
    <w:p>
      <w:pPr>
        <w:pStyle w:val="Subsection"/>
        <w:spacing w:before="120"/>
        <w:rPr>
          <w:snapToGrid w:val="0"/>
        </w:rPr>
      </w:pPr>
      <w:r>
        <w:rPr>
          <w:snapToGrid w:val="0"/>
        </w:rPr>
        <w:tab/>
        <w:t>(1)</w:t>
      </w:r>
      <w:r>
        <w:rPr>
          <w:snapToGrid w:val="0"/>
        </w:rPr>
        <w:tab/>
        <w:t>The Governor may make regulations prescribing the conditions under which bush may be burnt under section 18.</w:t>
      </w:r>
    </w:p>
    <w:p>
      <w:pPr>
        <w:pStyle w:val="Subsection"/>
        <w:spacing w:before="120"/>
        <w:rPr>
          <w:snapToGrid w:val="0"/>
        </w:rPr>
      </w:pPr>
      <w:r>
        <w:rPr>
          <w:snapToGrid w:val="0"/>
        </w:rPr>
        <w:tab/>
        <w:t>(2)</w:t>
      </w:r>
      <w:r>
        <w:rPr>
          <w:snapToGrid w:val="0"/>
        </w:rPr>
        <w:tab/>
        <w:t>Without limiting the generality of subsection (1), regulations may be made —</w:t>
      </w:r>
    </w:p>
    <w:p>
      <w:pPr>
        <w:pStyle w:val="Indenta"/>
        <w:spacing w:before="60"/>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spacing w:before="60"/>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spacing w:before="60"/>
        <w:rPr>
          <w:snapToGrid w:val="0"/>
        </w:rPr>
      </w:pPr>
      <w:r>
        <w:rPr>
          <w:snapToGrid w:val="0"/>
        </w:rPr>
        <w:tab/>
        <w:t>(c)</w:t>
      </w:r>
      <w:r>
        <w:rPr>
          <w:snapToGrid w:val="0"/>
        </w:rPr>
        <w:tab/>
        <w:t xml:space="preserve">prescribing, by reference to fire danger forecasts issued by the Bureau of Meteorology in </w:t>
      </w:r>
      <w:smartTag w:uri="urn:schemas-microsoft-com:office:smarttags" w:element="place">
        <w:smartTag w:uri="urn:schemas-microsoft-com:office:smarttags" w:element="City">
          <w:r>
            <w:rPr>
              <w:snapToGrid w:val="0"/>
            </w:rPr>
            <w:t>Perth</w:t>
          </w:r>
        </w:smartTag>
      </w:smartTag>
      <w:r>
        <w:rPr>
          <w:snapToGrid w:val="0"/>
        </w:rPr>
        <w:t>, the days on which a person may set fire to the bush.</w:t>
      </w:r>
    </w:p>
    <w:p>
      <w:pPr>
        <w:pStyle w:val="Subsection"/>
        <w:spacing w:before="120"/>
        <w:rPr>
          <w:snapToGrid w:val="0"/>
        </w:rPr>
      </w:pPr>
      <w:r>
        <w:rPr>
          <w:snapToGrid w:val="0"/>
        </w:rPr>
        <w:tab/>
        <w:t>(3)</w:t>
      </w:r>
      <w:r>
        <w:rPr>
          <w:snapToGrid w:val="0"/>
        </w:rPr>
        <w:tab/>
        <w:t>Regulations may be made under this section —</w:t>
      </w:r>
    </w:p>
    <w:p>
      <w:pPr>
        <w:pStyle w:val="Indenta"/>
        <w:spacing w:before="60"/>
        <w:rPr>
          <w:snapToGrid w:val="0"/>
        </w:rPr>
      </w:pPr>
      <w:r>
        <w:rPr>
          <w:snapToGrid w:val="0"/>
        </w:rPr>
        <w:tab/>
        <w:t>(a)</w:t>
      </w:r>
      <w:r>
        <w:rPr>
          <w:snapToGrid w:val="0"/>
        </w:rPr>
        <w:tab/>
        <w:t>so as to apply throughout the State or in any specified part or parts of the State;</w:t>
      </w:r>
    </w:p>
    <w:p>
      <w:pPr>
        <w:pStyle w:val="Indenta"/>
        <w:rPr>
          <w:snapToGrid w:val="0"/>
        </w:rPr>
      </w:pPr>
      <w:r>
        <w:rPr>
          <w:snapToGrid w:val="0"/>
        </w:rPr>
        <w:tab/>
        <w:t>(b)</w:t>
      </w:r>
      <w:r>
        <w:rPr>
          <w:snapToGrid w:val="0"/>
        </w:rPr>
        <w:tab/>
        <w:t>so that different regulations apply to different parts of the State.</w:t>
      </w:r>
    </w:p>
    <w:p>
      <w:pPr>
        <w:pStyle w:val="Footnotesection"/>
        <w:spacing w:before="100"/>
        <w:ind w:left="890" w:hanging="890"/>
      </w:pPr>
      <w:r>
        <w:tab/>
        <w:t>[Section 20 inserted by No. 65 of 1977 s. 16.]</w:t>
      </w:r>
    </w:p>
    <w:p>
      <w:pPr>
        <w:pStyle w:val="Heading3"/>
      </w:pPr>
      <w:bookmarkStart w:id="98" w:name="_Toc381872703"/>
      <w:bookmarkStart w:id="99" w:name="_Toc381873771"/>
      <w:bookmarkStart w:id="100" w:name="_Toc392495355"/>
      <w:bookmarkStart w:id="101" w:name="_Toc397946413"/>
      <w:bookmarkStart w:id="102" w:name="_Toc397946549"/>
      <w:bookmarkStart w:id="103" w:name="_Toc397946831"/>
      <w:bookmarkStart w:id="104" w:name="_Toc415060608"/>
      <w:bookmarkStart w:id="105" w:name="_Toc415060704"/>
      <w:r>
        <w:rPr>
          <w:rStyle w:val="CharDivNo"/>
        </w:rPr>
        <w:t>Division 4</w:t>
      </w:r>
      <w:r>
        <w:t> — </w:t>
      </w:r>
      <w:r>
        <w:rPr>
          <w:rStyle w:val="CharDivText"/>
        </w:rPr>
        <w:t>Total fire ban</w:t>
      </w:r>
      <w:bookmarkEnd w:id="98"/>
      <w:bookmarkEnd w:id="99"/>
      <w:bookmarkEnd w:id="100"/>
      <w:bookmarkEnd w:id="101"/>
      <w:bookmarkEnd w:id="102"/>
      <w:bookmarkEnd w:id="103"/>
      <w:bookmarkEnd w:id="104"/>
      <w:bookmarkEnd w:id="105"/>
    </w:p>
    <w:p>
      <w:pPr>
        <w:pStyle w:val="Footnoteheading"/>
        <w:spacing w:before="100"/>
      </w:pPr>
      <w:r>
        <w:tab/>
        <w:t>[Heading inserted by No. 25 of 2009 s. 7.]</w:t>
      </w:r>
    </w:p>
    <w:p>
      <w:pPr>
        <w:pStyle w:val="Heading5"/>
      </w:pPr>
      <w:bookmarkStart w:id="106" w:name="_Toc397946832"/>
      <w:bookmarkStart w:id="107" w:name="_Toc415060705"/>
      <w:bookmarkStart w:id="108" w:name="_Toc392495356"/>
      <w:r>
        <w:rPr>
          <w:rStyle w:val="CharSectno"/>
        </w:rPr>
        <w:t>21</w:t>
      </w:r>
      <w:r>
        <w:t>.</w:t>
      </w:r>
      <w:r>
        <w:tab/>
        <w:t>Terms used</w:t>
      </w:r>
      <w:bookmarkEnd w:id="106"/>
      <w:bookmarkEnd w:id="107"/>
      <w:bookmarkEnd w:id="108"/>
    </w:p>
    <w:p>
      <w:pPr>
        <w:pStyle w:val="Subsection"/>
        <w:spacing w:before="140"/>
      </w:pPr>
      <w:r>
        <w:tab/>
      </w:r>
      <w:r>
        <w:tab/>
        <w:t>In this Division —</w:t>
      </w:r>
    </w:p>
    <w:p>
      <w:pPr>
        <w:pStyle w:val="Defstart"/>
      </w:pPr>
      <w:r>
        <w:tab/>
      </w:r>
      <w:r>
        <w:rPr>
          <w:rStyle w:val="CharDefText"/>
        </w:rPr>
        <w:t>area of the State</w:t>
      </w:r>
      <w:r>
        <w:t xml:space="preserve"> includes the whole of the State;</w:t>
      </w:r>
    </w:p>
    <w:p>
      <w:pPr>
        <w:pStyle w:val="Defstart"/>
      </w:pPr>
      <w:r>
        <w:tab/>
      </w:r>
      <w:r>
        <w:rPr>
          <w:rStyle w:val="CharDefText"/>
        </w:rPr>
        <w:t>total fire ban</w:t>
      </w:r>
      <w:r>
        <w:t xml:space="preserve"> means a total fire ban declared under section 22A(1).</w:t>
      </w:r>
    </w:p>
    <w:p>
      <w:pPr>
        <w:pStyle w:val="Footnotesection"/>
        <w:spacing w:before="100"/>
        <w:ind w:left="890" w:hanging="890"/>
      </w:pPr>
      <w:r>
        <w:tab/>
        <w:t>[Section 21 inserted by No. 25 of 2009 s. 7.]</w:t>
      </w:r>
    </w:p>
    <w:p>
      <w:pPr>
        <w:pStyle w:val="Heading5"/>
      </w:pPr>
      <w:bookmarkStart w:id="109" w:name="_Toc397946833"/>
      <w:bookmarkStart w:id="110" w:name="_Toc415060706"/>
      <w:bookmarkStart w:id="111" w:name="_Toc392495357"/>
      <w:r>
        <w:rPr>
          <w:rStyle w:val="CharSectno"/>
        </w:rPr>
        <w:t>22A</w:t>
      </w:r>
      <w:r>
        <w:t>.</w:t>
      </w:r>
      <w:r>
        <w:tab/>
        <w:t>Minister may declare total fire ban</w:t>
      </w:r>
      <w:bookmarkEnd w:id="109"/>
      <w:bookmarkEnd w:id="110"/>
      <w:bookmarkEnd w:id="111"/>
    </w:p>
    <w:p>
      <w:pPr>
        <w:pStyle w:val="Subsection"/>
      </w:pPr>
      <w:r>
        <w:tab/>
        <w:t>(1)</w:t>
      </w:r>
      <w:r>
        <w:tab/>
        <w:t>If the Minister is of the opinion that —</w:t>
      </w:r>
    </w:p>
    <w:p>
      <w:pPr>
        <w:pStyle w:val="Indenta"/>
      </w:pPr>
      <w:r>
        <w:tab/>
        <w:t>(a)</w:t>
      </w:r>
      <w:r>
        <w:tab/>
        <w:t>the existing weather conditions in an area of the State are conducive to the outbreak or spread of bush fires; or</w:t>
      </w:r>
    </w:p>
    <w:p>
      <w:pPr>
        <w:pStyle w:val="Indenta"/>
      </w:pPr>
      <w:r>
        <w:tab/>
        <w:t>(b)</w:t>
      </w:r>
      <w:r>
        <w:tab/>
        <w:t>such weather conditions in an area of the State are imminent; or</w:t>
      </w:r>
    </w:p>
    <w:p>
      <w:pPr>
        <w:pStyle w:val="Indenta"/>
      </w:pPr>
      <w:r>
        <w:tab/>
        <w:t>(c)</w:t>
      </w:r>
      <w:r>
        <w:tab/>
        <w:t>it is otherwise necessary to declare a total fire ban in respect of an area of the State,</w:t>
      </w:r>
    </w:p>
    <w:p>
      <w:pPr>
        <w:pStyle w:val="Subsection"/>
      </w:pPr>
      <w:r>
        <w:tab/>
      </w:r>
      <w:r>
        <w:tab/>
        <w:t>the Minister may declare a total fire ban in respect of that area.</w:t>
      </w:r>
    </w:p>
    <w:p>
      <w:pPr>
        <w:pStyle w:val="Subsection"/>
      </w:pPr>
      <w:r>
        <w:tab/>
        <w:t>(2)</w:t>
      </w:r>
      <w:r>
        <w:tab/>
        <w:t>A declaration of a total fire ban may be made by radio broadcast, television or other electronic means or in another manner that the Minister considers appropriate.</w:t>
      </w:r>
    </w:p>
    <w:p>
      <w:pPr>
        <w:pStyle w:val="Subsection"/>
      </w:pPr>
      <w:r>
        <w:tab/>
        <w:t>(3)</w:t>
      </w:r>
      <w:r>
        <w:tab/>
        <w:t>The declaration of a total fire ban is to specify —</w:t>
      </w:r>
    </w:p>
    <w:p>
      <w:pPr>
        <w:pStyle w:val="Indenta"/>
      </w:pPr>
      <w:r>
        <w:tab/>
        <w:t>(a)</w:t>
      </w:r>
      <w:r>
        <w:tab/>
        <w:t>the period during which; and</w:t>
      </w:r>
    </w:p>
    <w:p>
      <w:pPr>
        <w:pStyle w:val="Indenta"/>
        <w:keepNext/>
      </w:pPr>
      <w:r>
        <w:tab/>
        <w:t>(b)</w:t>
      </w:r>
      <w:r>
        <w:tab/>
        <w:t>the area of the State in respect of which,</w:t>
      </w:r>
    </w:p>
    <w:p>
      <w:pPr>
        <w:pStyle w:val="Subsection"/>
      </w:pPr>
      <w:r>
        <w:tab/>
      </w:r>
      <w:r>
        <w:tab/>
        <w:t>the total fire ban is to have effect, and the total fire ban has effect accordingly.</w:t>
      </w:r>
    </w:p>
    <w:p>
      <w:pPr>
        <w:pStyle w:val="Subsection"/>
      </w:pPr>
      <w:r>
        <w:tab/>
        <w:t>(4)</w:t>
      </w:r>
      <w:r>
        <w:tab/>
        <w:t>The Minister may amend or revoke the declaration of a total fire ban by a declaration made in the manner in which the declaration of the total fire ban was made.</w:t>
      </w:r>
    </w:p>
    <w:p>
      <w:pPr>
        <w:pStyle w:val="Subsection"/>
      </w:pPr>
      <w:r>
        <w:tab/>
        <w:t>(5)</w:t>
      </w:r>
      <w:r>
        <w:tab/>
        <w:t xml:space="preserve">The Minister is to publish a declaration under this section in the </w:t>
      </w:r>
      <w:r>
        <w:rPr>
          <w:i/>
          <w:iCs/>
        </w:rPr>
        <w:t>Gazette</w:t>
      </w:r>
      <w:r>
        <w:t>.</w:t>
      </w:r>
    </w:p>
    <w:p>
      <w:pPr>
        <w:pStyle w:val="Subsection"/>
      </w:pPr>
      <w:r>
        <w:tab/>
        <w:t>(6)</w:t>
      </w:r>
      <w:r>
        <w:tab/>
        <w:t>A failure to comply with subsection (5) in relation to a declaration does not invalidate the declaration.</w:t>
      </w:r>
    </w:p>
    <w:p>
      <w:pPr>
        <w:pStyle w:val="Footnotesection"/>
      </w:pPr>
      <w:r>
        <w:tab/>
        <w:t>[Section 22A inserted by No. 25 of 2009 s. 7.]</w:t>
      </w:r>
    </w:p>
    <w:p>
      <w:pPr>
        <w:pStyle w:val="Heading5"/>
      </w:pPr>
      <w:bookmarkStart w:id="112" w:name="_Toc397946834"/>
      <w:bookmarkStart w:id="113" w:name="_Toc415060707"/>
      <w:bookmarkStart w:id="114" w:name="_Toc392495358"/>
      <w:r>
        <w:rPr>
          <w:rStyle w:val="CharSectno"/>
        </w:rPr>
        <w:t>22B</w:t>
      </w:r>
      <w:r>
        <w:t>.</w:t>
      </w:r>
      <w:r>
        <w:tab/>
        <w:t>Lighting of fires prohibited during total fire ban</w:t>
      </w:r>
      <w:bookmarkEnd w:id="112"/>
      <w:bookmarkEnd w:id="113"/>
      <w:bookmarkEnd w:id="114"/>
    </w:p>
    <w:p>
      <w:pPr>
        <w:pStyle w:val="Subsection"/>
      </w:pPr>
      <w:r>
        <w:tab/>
        <w:t>(1)</w:t>
      </w:r>
      <w:r>
        <w:tab/>
        <w:t>Subsection (2) —</w:t>
      </w:r>
    </w:p>
    <w:p>
      <w:pPr>
        <w:pStyle w:val="Indenta"/>
      </w:pPr>
      <w:r>
        <w:tab/>
        <w:t>(a)</w:t>
      </w:r>
      <w:r>
        <w:tab/>
        <w:t>has effect subject to subsection (4) and sections 22C and 64 and any exemption provided for in the regulations but despite any other provision of this Act; and</w:t>
      </w:r>
    </w:p>
    <w:p>
      <w:pPr>
        <w:pStyle w:val="Indenta"/>
      </w:pPr>
      <w:r>
        <w:tab/>
        <w:t>(b)</w:t>
      </w:r>
      <w:r>
        <w:tab/>
        <w:t>applies —</w:t>
      </w:r>
    </w:p>
    <w:p>
      <w:pPr>
        <w:pStyle w:val="Indenti"/>
      </w:pPr>
      <w:r>
        <w:tab/>
        <w:t>(i)</w:t>
      </w:r>
      <w:r>
        <w:tab/>
        <w:t>in the period during which; and</w:t>
      </w:r>
    </w:p>
    <w:p>
      <w:pPr>
        <w:pStyle w:val="Indenti"/>
      </w:pPr>
      <w:r>
        <w:tab/>
        <w:t>(ii)</w:t>
      </w:r>
      <w:r>
        <w:tab/>
        <w:t>in the area of the State in respect of which,</w:t>
      </w:r>
    </w:p>
    <w:p>
      <w:pPr>
        <w:pStyle w:val="Indenta"/>
      </w:pPr>
      <w:r>
        <w:tab/>
      </w:r>
      <w:r>
        <w:tab/>
        <w:t>a total fire ban has effect.</w:t>
      </w:r>
    </w:p>
    <w:p>
      <w:pPr>
        <w:pStyle w:val="Subsection"/>
      </w:pPr>
      <w:r>
        <w:tab/>
        <w:t>(2)</w:t>
      </w:r>
      <w:r>
        <w:tab/>
        <w:t>A person must not —</w:t>
      </w:r>
    </w:p>
    <w:p>
      <w:pPr>
        <w:pStyle w:val="Indenta"/>
      </w:pPr>
      <w:r>
        <w:tab/>
        <w:t>(a)</w:t>
      </w:r>
      <w:r>
        <w:tab/>
        <w:t>light, maintain or use a fire in the open air; or</w:t>
      </w:r>
    </w:p>
    <w:p>
      <w:pPr>
        <w:pStyle w:val="Indenta"/>
      </w:pPr>
      <w:r>
        <w:tab/>
        <w:t>(b)</w:t>
      </w:r>
      <w:r>
        <w:tab/>
        <w:t>carry out an activity in the open air that causes, or is likely to cause, a fire.</w:t>
      </w:r>
    </w:p>
    <w:p>
      <w:pPr>
        <w:pStyle w:val="Penstart"/>
      </w:pPr>
      <w:r>
        <w:tab/>
        <w:t>Penalty: a fine of $25 000 or imprisonment for 12 months, or both.</w:t>
      </w:r>
    </w:p>
    <w:p>
      <w:pPr>
        <w:pStyle w:val="Subsection"/>
      </w:pPr>
      <w:r>
        <w:tab/>
        <w:t>(3)</w:t>
      </w:r>
      <w:r>
        <w:tab/>
        <w:t>Without limiting subsection (2), a person commits an offence under that provision if the person —</w:t>
      </w:r>
    </w:p>
    <w:p>
      <w:pPr>
        <w:pStyle w:val="Indenta"/>
      </w:pPr>
      <w:r>
        <w:tab/>
        <w:t>(a)</w:t>
      </w:r>
      <w:r>
        <w:tab/>
        <w:t>uses in the open air an appliance that consumes solid fuel; or</w:t>
      </w:r>
    </w:p>
    <w:p>
      <w:pPr>
        <w:pStyle w:val="Indenta"/>
        <w:keepLines/>
      </w:pPr>
      <w:r>
        <w:tab/>
        <w:t>(b)</w:t>
      </w:r>
      <w:r>
        <w:tab/>
        <w:t>carries out in the open air any process or operation that is specified in regulations made under section 27A(1)(a)(ii) as being a process or operation likely to create a bush fire danger; or</w:t>
      </w:r>
    </w:p>
    <w:p>
      <w:pPr>
        <w:pStyle w:val="Indenta"/>
      </w:pPr>
      <w:r>
        <w:tab/>
        <w:t>(c)</w:t>
      </w:r>
      <w:r>
        <w:tab/>
        <w:t>carries out in the open air an activity that is prescribed by the regulations for the purposes of this subsection.</w:t>
      </w:r>
    </w:p>
    <w:p>
      <w:pPr>
        <w:pStyle w:val="Subsection"/>
      </w:pPr>
      <w:r>
        <w:tab/>
        <w:t>(4)</w:t>
      </w:r>
      <w:r>
        <w:tab/>
        <w:t>Subsection (2) —</w:t>
      </w:r>
    </w:p>
    <w:p>
      <w:pPr>
        <w:pStyle w:val="Indenta"/>
      </w:pPr>
      <w:r>
        <w:tab/>
        <w:t>(a)</w:t>
      </w:r>
      <w:r>
        <w:tab/>
        <w:t>does not prohibit the use of a gas appliance as authorised under section 25(1aa); and</w:t>
      </w:r>
    </w:p>
    <w:p>
      <w:pPr>
        <w:pStyle w:val="Indenta"/>
      </w:pPr>
      <w:r>
        <w:tab/>
        <w:t>(b)</w:t>
      </w:r>
      <w:r>
        <w:tab/>
        <w:t>does not apply to an activity, or in circumstances, prescribed by the regulations for the purposes of this subsection.</w:t>
      </w:r>
    </w:p>
    <w:p>
      <w:pPr>
        <w:pStyle w:val="Footnotesection"/>
      </w:pPr>
      <w:r>
        <w:tab/>
        <w:t>[Section 22B inserted by No. 25 of 2009 s. 7.]</w:t>
      </w:r>
    </w:p>
    <w:p>
      <w:pPr>
        <w:pStyle w:val="Heading5"/>
      </w:pPr>
      <w:bookmarkStart w:id="115" w:name="_Toc397946835"/>
      <w:bookmarkStart w:id="116" w:name="_Toc415060708"/>
      <w:bookmarkStart w:id="117" w:name="_Toc392495359"/>
      <w:r>
        <w:rPr>
          <w:rStyle w:val="CharSectno"/>
        </w:rPr>
        <w:t>22C</w:t>
      </w:r>
      <w:r>
        <w:t>.</w:t>
      </w:r>
      <w:r>
        <w:tab/>
        <w:t>Power of Minister to exempt from provisions of section 22B</w:t>
      </w:r>
      <w:bookmarkEnd w:id="115"/>
      <w:bookmarkEnd w:id="116"/>
      <w:bookmarkEnd w:id="117"/>
    </w:p>
    <w:p>
      <w:pPr>
        <w:pStyle w:val="Subsection"/>
      </w:pPr>
      <w:r>
        <w:tab/>
        <w:t>(1)</w:t>
      </w:r>
      <w:r>
        <w:tab/>
        <w:t>Subsection (2) has effect if the Minister is advised in writing by the FES Commissioner that, in the opinion of the FES Commissioner, a person has taken adequate precautions for the —</w:t>
      </w:r>
    </w:p>
    <w:p>
      <w:pPr>
        <w:pStyle w:val="Indenta"/>
      </w:pPr>
      <w:r>
        <w:tab/>
        <w:t>(a)</w:t>
      </w:r>
      <w:r>
        <w:tab/>
        <w:t>prevention of the spread or extension; and</w:t>
      </w:r>
    </w:p>
    <w:p>
      <w:pPr>
        <w:pStyle w:val="Indenta"/>
      </w:pPr>
      <w:r>
        <w:tab/>
        <w:t>(b)</w:t>
      </w:r>
      <w:r>
        <w:tab/>
        <w:t>control; and</w:t>
      </w:r>
    </w:p>
    <w:p>
      <w:pPr>
        <w:pStyle w:val="Indenta"/>
      </w:pPr>
      <w:r>
        <w:tab/>
        <w:t>(c)</w:t>
      </w:r>
      <w:r>
        <w:tab/>
        <w:t>extinguishment, if necessary,</w:t>
      </w:r>
    </w:p>
    <w:p>
      <w:pPr>
        <w:pStyle w:val="Subsection"/>
      </w:pPr>
      <w:r>
        <w:tab/>
      </w:r>
      <w:r>
        <w:tab/>
        <w:t>of any fire that is to be lit, or that may be caused by the carrying out of an activity in the open air, in the period during which, and in the area in respect of which, a total fire ban has effect.</w:t>
      </w:r>
    </w:p>
    <w:p>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Subsection"/>
      </w:pPr>
      <w:r>
        <w:tab/>
        <w:t>(3)</w:t>
      </w:r>
      <w:r>
        <w:tab/>
        <w:t>An exemption granted by the Minister under this section —</w:t>
      </w:r>
    </w:p>
    <w:p>
      <w:pPr>
        <w:pStyle w:val="Indenta"/>
      </w:pPr>
      <w:r>
        <w:tab/>
        <w:t>(a)</w:t>
      </w:r>
      <w:r>
        <w:tab/>
        <w:t>is to be in writing signed by the Minister; and</w:t>
      </w:r>
    </w:p>
    <w:p>
      <w:pPr>
        <w:pStyle w:val="Indenta"/>
      </w:pPr>
      <w:r>
        <w:tab/>
        <w:t>(b)</w:t>
      </w:r>
      <w:r>
        <w:tab/>
        <w:t>may be revoked or varied at any time by the Minister by notice in writing signed by the Minister and served on the person to whom the exemption was granted; and</w:t>
      </w:r>
    </w:p>
    <w:p>
      <w:pPr>
        <w:pStyle w:val="Indenta"/>
      </w:pPr>
      <w:r>
        <w:tab/>
        <w:t>(c)</w:t>
      </w:r>
      <w:r>
        <w:tab/>
        <w:t>unless sooner revoked, has effect for the period specified in the exemption; and</w:t>
      </w:r>
    </w:p>
    <w:p>
      <w:pPr>
        <w:pStyle w:val="Indenta"/>
      </w:pPr>
      <w:r>
        <w:tab/>
        <w:t>(d)</w:t>
      </w:r>
      <w:r>
        <w:tab/>
        <w:t>is subject to such conditions as the Minister thinks fit to impose and specifies in the exemption; and</w:t>
      </w:r>
    </w:p>
    <w:p>
      <w:pPr>
        <w:pStyle w:val="Indenta"/>
      </w:pPr>
      <w:r>
        <w:tab/>
        <w:t>(e)</w:t>
      </w:r>
      <w:r>
        <w:tab/>
        <w:t>authorises the person to whom it is granted, and any person acting under that person’s instructions, subject only to any conditions specified in the exemption —</w:t>
      </w:r>
    </w:p>
    <w:p>
      <w:pPr>
        <w:pStyle w:val="Indenti"/>
      </w:pPr>
      <w:r>
        <w:tab/>
        <w:t>(i)</w:t>
      </w:r>
      <w:r>
        <w:tab/>
        <w:t>to light, maintain or use in the open air any fire authorised to be lit, maintained or used under the authority of the exemption; or</w:t>
      </w:r>
    </w:p>
    <w:p>
      <w:pPr>
        <w:pStyle w:val="Indenti"/>
      </w:pPr>
      <w:r>
        <w:tab/>
        <w:t>(ii)</w:t>
      </w:r>
      <w:r>
        <w:tab/>
        <w:t>to carry out in the open air any activity authorised to be carried out under the authority of the exemption;</w:t>
      </w:r>
    </w:p>
    <w:p>
      <w:pPr>
        <w:pStyle w:val="Indenta"/>
      </w:pPr>
      <w:r>
        <w:tab/>
      </w:r>
      <w:r>
        <w:tab/>
        <w:t>and</w:t>
      </w:r>
    </w:p>
    <w:p>
      <w:pPr>
        <w:pStyle w:val="Indenta"/>
      </w:pPr>
      <w:r>
        <w:tab/>
        <w:t>(f)</w:t>
      </w:r>
      <w:r>
        <w:tab/>
        <w:t>if paragraph (e)(i) applies — exempts any fire to which the exemption relates from the operation of section 46.</w:t>
      </w:r>
    </w:p>
    <w:p>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Subsection"/>
      </w:pPr>
      <w:r>
        <w:tab/>
        <w:t>(5)</w:t>
      </w:r>
      <w:r>
        <w:tab/>
        <w:t>A person to whom an exemption is granted under this section must observe and carry out any conditions specified in the exemption.</w:t>
      </w:r>
    </w:p>
    <w:p>
      <w:pPr>
        <w:pStyle w:val="Penstart"/>
      </w:pPr>
      <w:r>
        <w:tab/>
        <w:t>Penalty: a fine of $25 000 or imprisonment for 12 months, or both.</w:t>
      </w:r>
    </w:p>
    <w:p>
      <w:pPr>
        <w:pStyle w:val="Footnotesection"/>
      </w:pPr>
      <w:r>
        <w:tab/>
        <w:t>[Section 22C inserted by No. 25 of 2009 s. 7; amended by No. 22 of 2012 s. 52.]</w:t>
      </w:r>
    </w:p>
    <w:p>
      <w:pPr>
        <w:pStyle w:val="Heading3"/>
        <w:keepLines/>
        <w:spacing w:before="220"/>
      </w:pPr>
      <w:bookmarkStart w:id="118" w:name="_Toc381872708"/>
      <w:bookmarkStart w:id="119" w:name="_Toc381873776"/>
      <w:bookmarkStart w:id="120" w:name="_Toc392495360"/>
      <w:bookmarkStart w:id="121" w:name="_Toc397946418"/>
      <w:bookmarkStart w:id="122" w:name="_Toc397946554"/>
      <w:bookmarkStart w:id="123" w:name="_Toc397946836"/>
      <w:bookmarkStart w:id="124" w:name="_Toc415060613"/>
      <w:bookmarkStart w:id="125" w:name="_Toc415060709"/>
      <w:r>
        <w:rPr>
          <w:rStyle w:val="CharDivNo"/>
        </w:rPr>
        <w:t>Division 5</w:t>
      </w:r>
      <w:r>
        <w:rPr>
          <w:snapToGrid w:val="0"/>
        </w:rPr>
        <w:t> — </w:t>
      </w:r>
      <w:r>
        <w:rPr>
          <w:rStyle w:val="CharDivText"/>
        </w:rPr>
        <w:t>Burning during prohibited times and restricted times</w:t>
      </w:r>
      <w:bookmarkEnd w:id="118"/>
      <w:bookmarkEnd w:id="119"/>
      <w:bookmarkEnd w:id="120"/>
      <w:bookmarkEnd w:id="121"/>
      <w:bookmarkEnd w:id="122"/>
      <w:bookmarkEnd w:id="123"/>
      <w:bookmarkEnd w:id="124"/>
      <w:bookmarkEnd w:id="125"/>
    </w:p>
    <w:p>
      <w:pPr>
        <w:pStyle w:val="Heading5"/>
        <w:spacing w:before="160"/>
        <w:rPr>
          <w:snapToGrid w:val="0"/>
        </w:rPr>
      </w:pPr>
      <w:bookmarkStart w:id="126" w:name="_Toc397946837"/>
      <w:bookmarkStart w:id="127" w:name="_Toc415060710"/>
      <w:bookmarkStart w:id="128" w:name="_Toc392495361"/>
      <w:r>
        <w:rPr>
          <w:rStyle w:val="CharSectno"/>
        </w:rPr>
        <w:t>22</w:t>
      </w:r>
      <w:r>
        <w:rPr>
          <w:snapToGrid w:val="0"/>
        </w:rPr>
        <w:t>.</w:t>
      </w:r>
      <w:r>
        <w:rPr>
          <w:snapToGrid w:val="0"/>
        </w:rPr>
        <w:tab/>
        <w:t>Burning on exempt land and land adjoining exempt land</w:t>
      </w:r>
      <w:bookmarkEnd w:id="126"/>
      <w:bookmarkEnd w:id="127"/>
      <w:bookmarkEnd w:id="128"/>
    </w:p>
    <w:p>
      <w:pPr>
        <w:pStyle w:val="Subsection"/>
        <w:spacing w:before="140"/>
        <w:rPr>
          <w:snapToGrid w:val="0"/>
        </w:rPr>
      </w:pPr>
      <w:r>
        <w:rPr>
          <w:snapToGrid w:val="0"/>
        </w:rPr>
        <w:tab/>
        <w:t>(1)</w:t>
      </w:r>
      <w:r>
        <w:rPr>
          <w:snapToGrid w:val="0"/>
        </w:rPr>
        <w:tab/>
        <w:t>For the purpose of this section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 and the boundary of which nearer to and parallel or approximately parallel with the boundary of the exempt land is not at any point, of a greater distance than 60 m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spacing w:before="120"/>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spacing w:before="120"/>
        <w:rPr>
          <w:snapToGrid w:val="0"/>
        </w:rPr>
      </w:pPr>
      <w:r>
        <w:rPr>
          <w:snapToGrid w:val="0"/>
        </w:rPr>
        <w:tab/>
        <w:t>(6)</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spacing w:before="120"/>
        <w:rPr>
          <w:snapToGrid w:val="0"/>
        </w:rPr>
      </w:pPr>
      <w:r>
        <w:rPr>
          <w:snapToGrid w:val="0"/>
        </w:rPr>
        <w:tab/>
        <w:t>(7)</w:t>
      </w:r>
      <w:r>
        <w:rPr>
          <w:snapToGrid w:val="0"/>
        </w:rPr>
        <w:tab/>
        <w:t xml:space="preserve">Where an arrangement is made in pursuance </w:t>
      </w:r>
      <w:r>
        <w:t xml:space="preserve">of subsection (6) </w:t>
      </w:r>
      <w:r>
        <w:rPr>
          <w:snapToGrid w:val="0"/>
        </w:rPr>
        <w:t>the local government shall notify the occupier of the adjoining land of the date the burning is to take place and require him to provide by that date ploughed or cleared fire</w:t>
      </w:r>
      <w:r>
        <w:rPr>
          <w:snapToGrid w:val="0"/>
        </w:rPr>
        <w:noBreakHyphen/>
        <w:t>breaks parallel to the common boundary and of a distance therefrom of not more than 60 m and as specified by the local government.</w:t>
      </w:r>
    </w:p>
    <w:p>
      <w:pPr>
        <w:pStyle w:val="Subsection"/>
        <w:keepNext/>
        <w:spacing w:before="120"/>
        <w:rPr>
          <w:snapToGrid w:val="0"/>
        </w:rPr>
      </w:pPr>
      <w:r>
        <w:rPr>
          <w:snapToGrid w:val="0"/>
        </w:rPr>
        <w:tab/>
        <w:t>(8)</w:t>
      </w:r>
      <w:r>
        <w:rPr>
          <w:snapToGrid w:val="0"/>
        </w:rPr>
        <w:tab/>
        <w:t>Where the occupier of exempt land and a bush fire brigade are burning bush on exempt land in pursuance of an arrangement made under</w:t>
      </w:r>
      <w:r>
        <w:t xml:space="preserve"> subsection (6) —</w:t>
      </w:r>
    </w:p>
    <w:p>
      <w:pPr>
        <w:pStyle w:val="Indenta"/>
        <w:rPr>
          <w:snapToGrid w:val="0"/>
        </w:rPr>
      </w:pPr>
      <w:r>
        <w:rPr>
          <w:snapToGrid w:val="0"/>
        </w:rPr>
        <w:tab/>
        <w:t>(a)</w:t>
      </w:r>
      <w:r>
        <w:rPr>
          <w:snapToGrid w:val="0"/>
        </w:rPr>
        <w:tab/>
        <w:t>the occupier of the land adjoining the exempt land shall assist in the burning of the bush;</w:t>
      </w:r>
    </w:p>
    <w:p>
      <w:pPr>
        <w:pStyle w:val="Indenta"/>
        <w:rPr>
          <w:snapToGrid w:val="0"/>
        </w:rPr>
      </w:pPr>
      <w:r>
        <w:rPr>
          <w:snapToGrid w:val="0"/>
        </w:rPr>
        <w:tab/>
        <w:t>(b)</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[Section 22 amended by No. 11 of 1963 s. 9; No. 94 of 1972 s. 4 (as amended by No. 83 of 1973 s. 3); No. 65 of 1977 s. 17; No. 51 of 1979 s. 5; No. 14 of 1996 s. 4; No. 19 of 2010 s. 52(4).]</w:t>
      </w:r>
    </w:p>
    <w:p>
      <w:pPr>
        <w:pStyle w:val="Heading5"/>
        <w:spacing w:before="180"/>
        <w:rPr>
          <w:snapToGrid w:val="0"/>
        </w:rPr>
      </w:pPr>
      <w:bookmarkStart w:id="129" w:name="_Toc397946838"/>
      <w:bookmarkStart w:id="130" w:name="_Toc415060711"/>
      <w:bookmarkStart w:id="131" w:name="_Toc392495362"/>
      <w:r>
        <w:rPr>
          <w:rStyle w:val="CharSectno"/>
        </w:rPr>
        <w:t>23</w:t>
      </w:r>
      <w:r>
        <w:rPr>
          <w:snapToGrid w:val="0"/>
        </w:rPr>
        <w:t>.</w:t>
      </w:r>
      <w:r>
        <w:rPr>
          <w:snapToGrid w:val="0"/>
        </w:rPr>
        <w:tab/>
        <w:t>Burning during prohibited burning times</w:t>
      </w:r>
      <w:bookmarkEnd w:id="129"/>
      <w:bookmarkEnd w:id="130"/>
      <w:bookmarkEnd w:id="131"/>
    </w:p>
    <w:p>
      <w:pPr>
        <w:pStyle w:val="Subsection"/>
        <w:spacing w:before="120"/>
        <w:rPr>
          <w:snapToGrid w:val="0"/>
        </w:rPr>
      </w:pPr>
      <w:r>
        <w:rPr>
          <w:snapToGrid w:val="0"/>
        </w:rPr>
        <w:tab/>
        <w:t>(1)</w:t>
      </w:r>
      <w:r>
        <w:rPr>
          <w:snapToGrid w:val="0"/>
        </w:rPr>
        <w:tab/>
        <w:t>Subject to this section the owner or occupier of land may during the prohibited burning times for the zone of the State in which his land is situated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rPr>
          <w:snapToGrid w:val="0"/>
        </w:rPr>
      </w:pPr>
      <w:r>
        <w:rPr>
          <w:snapToGrid w:val="0"/>
        </w:rPr>
        <w:tab/>
        <w:t>(2)</w:t>
      </w:r>
      <w:r>
        <w:rPr>
          <w:snapToGrid w:val="0"/>
        </w:rPr>
        <w:tab/>
        <w:t>The burning of bush under this section is subject to the owner or occupier of land complying with —</w:t>
      </w:r>
    </w:p>
    <w:p>
      <w:pPr>
        <w:pStyle w:val="Indenta"/>
        <w:rPr>
          <w:snapToGrid w:val="0"/>
        </w:rPr>
      </w:pPr>
      <w:r>
        <w:rPr>
          <w:snapToGrid w:val="0"/>
        </w:rPr>
        <w:tab/>
        <w:t>(a)</w:t>
      </w:r>
      <w:r>
        <w:rPr>
          <w:snapToGrid w:val="0"/>
        </w:rPr>
        <w:tab/>
        <w:t>the following conditions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 and</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 and</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 from the property to be protected; and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 apart and each of which is not less than 2 m in width;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[Section 23 inserted by No. 65 of 1977 s. 18; amended by No. 14 of 1996 s. 4.]</w:t>
      </w:r>
    </w:p>
    <w:p>
      <w:pPr>
        <w:pStyle w:val="Heading5"/>
        <w:rPr>
          <w:snapToGrid w:val="0"/>
        </w:rPr>
      </w:pPr>
      <w:bookmarkStart w:id="132" w:name="_Toc397946839"/>
      <w:bookmarkStart w:id="133" w:name="_Toc415060712"/>
      <w:bookmarkStart w:id="134" w:name="_Toc392495363"/>
      <w:r>
        <w:rPr>
          <w:rStyle w:val="CharSectno"/>
        </w:rPr>
        <w:t>24</w:t>
      </w:r>
      <w:r>
        <w:rPr>
          <w:snapToGrid w:val="0"/>
        </w:rPr>
        <w:t>.</w:t>
      </w:r>
      <w:r>
        <w:rPr>
          <w:snapToGrid w:val="0"/>
        </w:rPr>
        <w:tab/>
        <w:t>Bush on land growing subterranean clover may be burnt during prohibited burning times</w:t>
      </w:r>
      <w:bookmarkEnd w:id="132"/>
      <w:bookmarkEnd w:id="133"/>
      <w:bookmarkEnd w:id="134"/>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 from the base of each standing tree.</w:t>
      </w:r>
    </w:p>
    <w:p>
      <w:pPr>
        <w:pStyle w:val="Footnotesection"/>
        <w:ind w:left="890" w:hanging="890"/>
      </w:pPr>
      <w:r>
        <w:tab/>
        <w:t>[Section 24 amended by No. 94 of 1972 s. 4 (as amended by No. 83 of 1973 s. 3); No. 65 of 1977 s. 19; No. 51 of 1979 s. 5; No. 14 of 1996 s. 4.]</w:t>
      </w:r>
    </w:p>
    <w:p>
      <w:pPr>
        <w:pStyle w:val="Heading5"/>
        <w:rPr>
          <w:snapToGrid w:val="0"/>
        </w:rPr>
      </w:pPr>
      <w:bookmarkStart w:id="135" w:name="_Toc397946840"/>
      <w:bookmarkStart w:id="136" w:name="_Toc415060713"/>
      <w:bookmarkStart w:id="137" w:name="_Toc392495364"/>
      <w:r>
        <w:rPr>
          <w:rStyle w:val="CharSectno"/>
        </w:rPr>
        <w:t>24A</w:t>
      </w:r>
      <w:r>
        <w:rPr>
          <w:snapToGrid w:val="0"/>
        </w:rPr>
        <w:t>.</w:t>
      </w:r>
      <w:r>
        <w:rPr>
          <w:snapToGrid w:val="0"/>
        </w:rPr>
        <w:tab/>
        <w:t>Bush on land in prescribed irrigation areas may be burnt during prohibited times for purpose of germinating clover</w:t>
      </w:r>
      <w:bookmarkEnd w:id="135"/>
      <w:bookmarkEnd w:id="136"/>
      <w:bookmarkEnd w:id="137"/>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w:t>
      </w:r>
      <w:r>
        <w:t xml:space="preserve"> subsection (4).</w:t>
      </w:r>
    </w:p>
    <w:p>
      <w:pPr>
        <w:pStyle w:val="Subsection"/>
        <w:rPr>
          <w:snapToGrid w:val="0"/>
        </w:rPr>
      </w:pPr>
      <w:r>
        <w:rPr>
          <w:snapToGrid w:val="0"/>
        </w:rPr>
        <w:tab/>
        <w:t>(3)</w:t>
      </w:r>
      <w:r>
        <w:rPr>
          <w:snapToGrid w:val="0"/>
        </w:rPr>
        <w:tab/>
        <w:t xml:space="preserve">A fee is not payable for a permit required under this section unless regulations made under </w:t>
      </w:r>
      <w:r>
        <w:t xml:space="preserve">subsection (4) </w:t>
      </w:r>
      <w:r>
        <w:rPr>
          <w:snapToGrid w:val="0"/>
        </w:rPr>
        <w:t>prescribe otherwise.</w:t>
      </w:r>
    </w:p>
    <w:p>
      <w:pPr>
        <w:pStyle w:val="Subsection"/>
        <w:rPr>
          <w:snapToGrid w:val="0"/>
        </w:rPr>
      </w:pPr>
      <w:r>
        <w:rPr>
          <w:snapToGrid w:val="0"/>
        </w:rPr>
        <w:tab/>
        <w:t>(4)</w:t>
      </w:r>
      <w:r>
        <w:rPr>
          <w:snapToGrid w:val="0"/>
        </w:rPr>
        <w:tab/>
        <w:t xml:space="preserve">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w:t>
      </w:r>
      <w:r>
        <w:t xml:space="preserve">subsection (3), </w:t>
      </w:r>
      <w:r>
        <w:rPr>
          <w:snapToGrid w:val="0"/>
        </w:rPr>
        <w:t>to burning under this section.</w:t>
      </w:r>
    </w:p>
    <w:p>
      <w:pPr>
        <w:pStyle w:val="Footnotesection"/>
        <w:keepLines w:val="0"/>
        <w:ind w:left="890" w:hanging="890"/>
      </w:pPr>
      <w:r>
        <w:tab/>
        <w:t>[Section 24A inserted by No. 35 of 1957 s. 4; amended by No. 11 of 1963 s. 10; No. 19 of 2010 s. 52(4).]</w:t>
      </w:r>
    </w:p>
    <w:p>
      <w:pPr>
        <w:pStyle w:val="Heading5"/>
        <w:rPr>
          <w:snapToGrid w:val="0"/>
        </w:rPr>
      </w:pPr>
      <w:bookmarkStart w:id="138" w:name="_Toc397946841"/>
      <w:bookmarkStart w:id="139" w:name="_Toc415060714"/>
      <w:bookmarkStart w:id="140" w:name="_Toc392495365"/>
      <w:r>
        <w:rPr>
          <w:rStyle w:val="CharSectno"/>
        </w:rPr>
        <w:t>24B</w:t>
      </w:r>
      <w:r>
        <w:rPr>
          <w:snapToGrid w:val="0"/>
        </w:rPr>
        <w:t>.</w:t>
      </w:r>
      <w:r>
        <w:rPr>
          <w:snapToGrid w:val="0"/>
        </w:rPr>
        <w:tab/>
        <w:t>Production of permit to burn may be required</w:t>
      </w:r>
      <w:bookmarkEnd w:id="138"/>
      <w:bookmarkEnd w:id="139"/>
      <w:bookmarkEnd w:id="140"/>
    </w:p>
    <w:p>
      <w:pPr>
        <w:pStyle w:val="Subsection"/>
        <w:rPr>
          <w:snapToGrid w:val="0"/>
        </w:rPr>
      </w:pPr>
      <w:r>
        <w:rPr>
          <w:snapToGrid w:val="0"/>
        </w:rPr>
        <w:tab/>
        <w:t>(1)</w:t>
      </w:r>
      <w:r>
        <w:rPr>
          <w:snapToGrid w:val="0"/>
        </w:rPr>
        <w:tab/>
      </w:r>
      <w:r>
        <w:t>A person employed in the Department authorised by the FES Commissioner</w:t>
      </w:r>
      <w:r>
        <w:rPr>
          <w:snapToGrid w:val="0"/>
        </w:rPr>
        <w:t xml:space="preserve">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spacing w:before="120"/>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spacing w:before="120"/>
        <w:rPr>
          <w:snapToGrid w:val="0"/>
        </w:rPr>
      </w:pPr>
      <w:r>
        <w:rPr>
          <w:snapToGrid w:val="0"/>
        </w:rPr>
        <w:tab/>
        <w:t>(3)</w:t>
      </w:r>
      <w:r>
        <w:rPr>
          <w:snapToGrid w:val="0"/>
        </w:rPr>
        <w:tab/>
        <w:t>A person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[Section 24B inserted by No. 11 of 1963 s. 11; amended by No. 113 of 1965 s. 8(1); No. 65 of 1977 s. 20 and 47; No. 51 of 1979 s. 5; No. 8 of 1987 s. 8; No. 14 of 1996 s. 4; No. 42 of 1998 s. 16; No. 22 of 2012 s. 53.]</w:t>
      </w:r>
    </w:p>
    <w:p>
      <w:pPr>
        <w:pStyle w:val="Heading5"/>
        <w:spacing w:before="180"/>
      </w:pPr>
      <w:bookmarkStart w:id="141" w:name="_Toc397946842"/>
      <w:bookmarkStart w:id="142" w:name="_Toc415060715"/>
      <w:bookmarkStart w:id="143" w:name="_Toc392495366"/>
      <w:r>
        <w:rPr>
          <w:rStyle w:val="CharSectno"/>
        </w:rPr>
        <w:t>24C</w:t>
      </w:r>
      <w:r>
        <w:t>.</w:t>
      </w:r>
      <w:r>
        <w:tab/>
        <w:t>Terms used</w:t>
      </w:r>
      <w:bookmarkEnd w:id="141"/>
      <w:bookmarkEnd w:id="142"/>
      <w:bookmarkEnd w:id="143"/>
    </w:p>
    <w:p>
      <w:pPr>
        <w:pStyle w:val="Subsection"/>
        <w:spacing w:before="120"/>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“catastrophic”, “extreme”, “severe” or “very high”;</w:t>
      </w:r>
    </w:p>
    <w:p>
      <w:pPr>
        <w:pStyle w:val="Defstart"/>
      </w:pPr>
      <w:r>
        <w:rPr>
          <w:b/>
        </w:rPr>
        <w:tab/>
      </w:r>
      <w:r>
        <w:rPr>
          <w:rStyle w:val="CharDefText"/>
        </w:rPr>
        <w:t>rubbish tip</w:t>
      </w:r>
      <w:r>
        <w:t xml:space="preserve"> means a landfill site of a kind that is prescribed for the purposes of Part V of the </w:t>
      </w:r>
      <w:r>
        <w:rPr>
          <w:i/>
        </w:rPr>
        <w:t>Environmental Protection Act 1986</w:t>
      </w:r>
      <w:r>
        <w:t>;</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by No. 38 of 2002 s. 24; amended by No. 25 of 2009 s. 8.]</w:t>
      </w:r>
    </w:p>
    <w:p>
      <w:pPr>
        <w:pStyle w:val="Heading5"/>
        <w:spacing w:before="180"/>
      </w:pPr>
      <w:bookmarkStart w:id="144" w:name="_Toc397946843"/>
      <w:bookmarkStart w:id="145" w:name="_Toc415060716"/>
      <w:bookmarkStart w:id="146" w:name="_Toc392495367"/>
      <w:r>
        <w:rPr>
          <w:rStyle w:val="CharSectno"/>
        </w:rPr>
        <w:t>24D</w:t>
      </w:r>
      <w:r>
        <w:t>.</w:t>
      </w:r>
      <w:r>
        <w:tab/>
        <w:t>Burning garden refuse prohibited if fire danger very high to catastrophic</w:t>
      </w:r>
      <w:bookmarkEnd w:id="144"/>
      <w:bookmarkEnd w:id="145"/>
      <w:bookmarkEnd w:id="146"/>
    </w:p>
    <w:p>
      <w:pPr>
        <w:pStyle w:val="Subsection"/>
      </w:pPr>
      <w:r>
        <w:tab/>
      </w:r>
      <w:r>
        <w:tab/>
        <w:t>A person must not burn garden refuse at any place at any time when there is in force a fire danger forecast issued for that place by the Bureau of Meteorology in Perth of “catastrophic”, “extreme”, “severe” or “very high”.</w:t>
      </w:r>
    </w:p>
    <w:p>
      <w:pPr>
        <w:pStyle w:val="Penstart"/>
      </w:pPr>
      <w:r>
        <w:tab/>
        <w:t>Penalty: $3 000.</w:t>
      </w:r>
    </w:p>
    <w:p>
      <w:pPr>
        <w:pStyle w:val="Footnotesection"/>
      </w:pPr>
      <w:r>
        <w:tab/>
        <w:t>[Section 24D inserted by No. 38 of 2002 s. 24; amended by No. 25 of 2009 s. 9.]</w:t>
      </w:r>
    </w:p>
    <w:p>
      <w:pPr>
        <w:pStyle w:val="Heading5"/>
        <w:spacing w:before="180"/>
      </w:pPr>
      <w:bookmarkStart w:id="147" w:name="_Toc397946844"/>
      <w:bookmarkStart w:id="148" w:name="_Toc415060717"/>
      <w:bookmarkStart w:id="149" w:name="_Toc392495368"/>
      <w:r>
        <w:rPr>
          <w:rStyle w:val="CharSectno"/>
        </w:rPr>
        <w:t>24E</w:t>
      </w:r>
      <w:r>
        <w:t>.</w:t>
      </w:r>
      <w:r>
        <w:tab/>
        <w:t>Burning of garden refuse at rubbish tips</w:t>
      </w:r>
      <w:bookmarkEnd w:id="147"/>
      <w:bookmarkEnd w:id="148"/>
      <w:bookmarkEnd w:id="149"/>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keepLines/>
      </w:pPr>
      <w:r>
        <w:tab/>
        <w:t>(2)</w:t>
      </w:r>
      <w:r>
        <w:tab/>
        <w:t xml:space="preserve">On the recommendation of the FES Commissioner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must specify —</w:t>
      </w:r>
    </w:p>
    <w:p>
      <w:pPr>
        <w:pStyle w:val="Indenti"/>
      </w:pPr>
      <w:r>
        <w:tab/>
        <w:t>(i)</w:t>
      </w:r>
      <w:r>
        <w:tab/>
        <w:t>the person or class of persons to whom; and</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 amended by No. 22 of 2012 s. 54.]</w:t>
      </w:r>
    </w:p>
    <w:p>
      <w:pPr>
        <w:pStyle w:val="Heading5"/>
      </w:pPr>
      <w:bookmarkStart w:id="150" w:name="_Toc397946845"/>
      <w:bookmarkStart w:id="151" w:name="_Toc415060718"/>
      <w:bookmarkStart w:id="152" w:name="_Toc392495369"/>
      <w:r>
        <w:rPr>
          <w:rStyle w:val="CharSectno"/>
        </w:rPr>
        <w:t>24F</w:t>
      </w:r>
      <w:r>
        <w:t>.</w:t>
      </w:r>
      <w:r>
        <w:tab/>
        <w:t>Burning garden refuse during limited burning times</w:t>
      </w:r>
      <w:bookmarkEnd w:id="150"/>
      <w:bookmarkEnd w:id="151"/>
      <w:bookmarkEnd w:id="152"/>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on the ground in accordance with subsection (3).</w:t>
      </w:r>
    </w:p>
    <w:p>
      <w:pPr>
        <w:pStyle w:val="Penstart"/>
      </w:pPr>
      <w:r>
        <w:tab/>
        <w:t>Penalty: $3 000.</w:t>
      </w:r>
    </w:p>
    <w:p>
      <w:pPr>
        <w:pStyle w:val="Subsection"/>
        <w:spacing w:before="200"/>
      </w:pPr>
      <w:r>
        <w:tab/>
        <w:t>(2)</w:t>
      </w:r>
      <w:r>
        <w:tab/>
        <w:t>Garden refuse burned in an incinerator is burned in accordance with this subsection if —</w:t>
      </w:r>
    </w:p>
    <w:p>
      <w:pPr>
        <w:pStyle w:val="Indenta"/>
      </w:pPr>
      <w:r>
        <w:tab/>
        <w:t>(a)</w:t>
      </w:r>
      <w:r>
        <w:tab/>
        <w:t>the incinerator is designed and constructed so as to prevent the escape of sparks or burning material; and</w:t>
      </w:r>
    </w:p>
    <w:p>
      <w:pPr>
        <w:pStyle w:val="Indenta"/>
        <w:keepNext/>
        <w:keepLines/>
      </w:pPr>
      <w:r>
        <w:tab/>
        <w:t>(b)</w:t>
      </w:r>
      <w:r>
        <w:tab/>
        <w:t>either —</w:t>
      </w:r>
    </w:p>
    <w:p>
      <w:pPr>
        <w:pStyle w:val="Indenti"/>
        <w:keepNext/>
        <w:keepLines/>
      </w:pPr>
      <w:r>
        <w:tab/>
        <w:t>(i)</w:t>
      </w:r>
      <w:r>
        <w:tab/>
        <w:t>the incinerator is situated 2 m or more away from any building or fence; or</w:t>
      </w:r>
    </w:p>
    <w:p>
      <w:pPr>
        <w:pStyle w:val="Indenti"/>
      </w:pPr>
      <w:r>
        <w:tab/>
        <w:t>(ii)</w:t>
      </w:r>
      <w:r>
        <w:tab/>
        <w:t>if the incinerator is within 2 m of a building or fence, the local government has given written permission for the incinerator to be used;</w:t>
      </w:r>
    </w:p>
    <w:p>
      <w:pPr>
        <w:pStyle w:val="Indenta"/>
      </w:pPr>
      <w:r>
        <w:tab/>
      </w:r>
      <w:r>
        <w:tab/>
        <w:t>and</w:t>
      </w:r>
    </w:p>
    <w:p>
      <w:pPr>
        <w:pStyle w:val="Indenta"/>
      </w:pPr>
      <w:r>
        <w:tab/>
        <w:t>(c)</w:t>
      </w:r>
      <w:r>
        <w:tab/>
        <w:t>there is no inflammable material within 2 m of the incinerator while it is in use; and</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 of the fire at any time while the fire is burning; and</w:t>
      </w:r>
    </w:p>
    <w:p>
      <w:pPr>
        <w:pStyle w:val="Indenta"/>
      </w:pPr>
      <w:r>
        <w:tab/>
        <w:t>(b)</w:t>
      </w:r>
      <w:r>
        <w:tab/>
        <w:t>the fire is lit between 6 p.m. and 11 p.m. and is completely extinguished before midnight on the same day; and</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153" w:name="_Toc397946846"/>
      <w:bookmarkStart w:id="154" w:name="_Toc415060719"/>
      <w:bookmarkStart w:id="155" w:name="_Toc392495370"/>
      <w:r>
        <w:rPr>
          <w:rStyle w:val="CharSectno"/>
        </w:rPr>
        <w:t>24G</w:t>
      </w:r>
      <w:r>
        <w:t>.</w:t>
      </w:r>
      <w:r>
        <w:tab/>
        <w:t>Minister or local government may further restrict burning of garden refuse</w:t>
      </w:r>
      <w:bookmarkEnd w:id="153"/>
      <w:bookmarkEnd w:id="154"/>
      <w:bookmarkEnd w:id="155"/>
    </w:p>
    <w:p>
      <w:pPr>
        <w:pStyle w:val="Subsection"/>
        <w:spacing w:before="180"/>
      </w:pPr>
      <w:r>
        <w:tab/>
        <w:t>(1)</w:t>
      </w:r>
      <w:r>
        <w:tab/>
        <w:t xml:space="preserve">On the recommendation of the FES Commissioner the Minister may, by notice published in the </w:t>
      </w:r>
      <w:r>
        <w:rPr>
          <w:i/>
        </w:rPr>
        <w:t>Gazette</w:t>
      </w:r>
      <w:r>
        <w:t>, prohibit or impose restrictions on the burning of garden refuse that is otherwise permitted under section 24F.</w:t>
      </w:r>
    </w:p>
    <w:p>
      <w:pPr>
        <w:pStyle w:val="Subsection"/>
        <w:spacing w:before="180"/>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spacing w:before="180"/>
      </w:pPr>
      <w:r>
        <w:tab/>
        <w:t>(3)</w:t>
      </w:r>
      <w:r>
        <w:tab/>
        <w:t>A person must not burn garden refuse contrary to a prohibition or restriction imposed under this section.</w:t>
      </w:r>
    </w:p>
    <w:p>
      <w:pPr>
        <w:pStyle w:val="Penstart"/>
      </w:pPr>
      <w:r>
        <w:tab/>
        <w:t>Penalty: $3 000.</w:t>
      </w:r>
    </w:p>
    <w:p>
      <w:pPr>
        <w:pStyle w:val="Subsection"/>
        <w:spacing w:before="180"/>
      </w:pPr>
      <w:r>
        <w:tab/>
        <w:t>(4)</w:t>
      </w:r>
      <w:r>
        <w:tab/>
        <w:t>In a notice under this section the Minister or a local government must specify —</w:t>
      </w:r>
    </w:p>
    <w:p>
      <w:pPr>
        <w:pStyle w:val="Indenta"/>
      </w:pPr>
      <w:r>
        <w:tab/>
        <w:t>(a)</w:t>
      </w:r>
      <w:r>
        <w:tab/>
        <w:t>the person or class of persons to whom; and</w:t>
      </w:r>
    </w:p>
    <w:p>
      <w:pPr>
        <w:pStyle w:val="Indenta"/>
      </w:pPr>
      <w:r>
        <w:tab/>
        <w:t>(b)</w:t>
      </w:r>
      <w:r>
        <w:tab/>
        <w:t>the area in which; and</w:t>
      </w:r>
    </w:p>
    <w:p>
      <w:pPr>
        <w:pStyle w:val="Indenta"/>
      </w:pPr>
      <w:r>
        <w:tab/>
        <w:t>(c)</w:t>
      </w:r>
      <w:r>
        <w:tab/>
        <w:t>the period during which,</w:t>
      </w:r>
    </w:p>
    <w:p>
      <w:pPr>
        <w:pStyle w:val="Subsection"/>
        <w:spacing w:before="180"/>
      </w:pPr>
      <w:r>
        <w:tab/>
      </w:r>
      <w:r>
        <w:tab/>
        <w:t>the notice applies.</w:t>
      </w:r>
    </w:p>
    <w:p>
      <w:pPr>
        <w:pStyle w:val="Subsection"/>
        <w:spacing w:before="180"/>
      </w:pPr>
      <w:r>
        <w:tab/>
        <w:t>(5)</w:t>
      </w:r>
      <w:r>
        <w:tab/>
        <w:t>The Minister or a local government may vary or cancel a notice under subsection (1) or (2) by publishing a further notice under the relevant subsection.</w:t>
      </w:r>
    </w:p>
    <w:p>
      <w:pPr>
        <w:pStyle w:val="Footnotesection"/>
        <w:ind w:left="890" w:hanging="890"/>
      </w:pPr>
      <w:r>
        <w:tab/>
        <w:t>[Section 24G inserted by No. 38 of 2002 s. 24; amended by No. 22 of 2012 s. 55.]</w:t>
      </w:r>
    </w:p>
    <w:p>
      <w:pPr>
        <w:pStyle w:val="Heading5"/>
        <w:spacing w:before="240"/>
        <w:rPr>
          <w:snapToGrid w:val="0"/>
        </w:rPr>
      </w:pPr>
      <w:bookmarkStart w:id="156" w:name="_Toc397946847"/>
      <w:bookmarkStart w:id="157" w:name="_Toc415060720"/>
      <w:bookmarkStart w:id="158" w:name="_Toc392495371"/>
      <w:r>
        <w:rPr>
          <w:rStyle w:val="CharSectno"/>
        </w:rPr>
        <w:t>25</w:t>
      </w:r>
      <w:r>
        <w:rPr>
          <w:snapToGrid w:val="0"/>
        </w:rPr>
        <w:t>.</w:t>
      </w:r>
      <w:r>
        <w:rPr>
          <w:snapToGrid w:val="0"/>
        </w:rPr>
        <w:tab/>
        <w:t>No fire to be lit in open air unless certain precautions taken</w:t>
      </w:r>
      <w:bookmarkEnd w:id="156"/>
      <w:bookmarkEnd w:id="157"/>
      <w:bookmarkEnd w:id="158"/>
    </w:p>
    <w:p>
      <w:pPr>
        <w:pStyle w:val="Subsection"/>
        <w:spacing w:before="18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w:t>
      </w:r>
    </w:p>
    <w:p>
      <w:pPr>
        <w:pStyle w:val="Indenta"/>
        <w:rPr>
          <w:snapToGrid w:val="0"/>
        </w:rPr>
      </w:pPr>
      <w:r>
        <w:rPr>
          <w:snapToGrid w:val="0"/>
        </w:rPr>
        <w:tab/>
        <w:t>(a)</w:t>
      </w:r>
      <w:r>
        <w:rPr>
          <w:snapToGrid w:val="0"/>
        </w:rPr>
        <w:tab/>
        <w:t xml:space="preserve">a fire for the purpose of camping or cooking shall not be lit within 3 m of a log or stump and unless and until a space of ground around the site of the fire having a radius of at least 3 m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w:t>
      </w:r>
      <w:r>
        <w:t xml:space="preserve">“catastrophic”, “extreme”, “severe” or “very 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pPr>
      <w:r>
        <w:rPr>
          <w:snapToGrid w:val="0"/>
        </w:rPr>
        <w:tab/>
        <w:t>(c)</w:t>
      </w:r>
      <w:r>
        <w:rPr>
          <w:snapToGrid w:val="0"/>
        </w:rPr>
        <w:tab/>
      </w:r>
      <w:r>
        <w:t>a fire for the purpose of disposing of the carcass of a dead animal, or a part of the carcass, shall not be lit —</w:t>
      </w:r>
    </w:p>
    <w:p>
      <w:pPr>
        <w:pStyle w:val="Indenti"/>
        <w:rPr>
          <w:snapToGrid w:val="0"/>
        </w:rPr>
      </w:pPr>
      <w:r>
        <w:tab/>
        <w:t>(i)</w:t>
      </w:r>
      <w:r>
        <w:tab/>
        <w:t>unless</w:t>
      </w:r>
      <w:r>
        <w:rPr>
          <w:snapToGrid w:val="0"/>
        </w:rPr>
        <w:t xml:space="preserve"> and until a space of ground around the perimeter of the fire and the carcass or part to be burnt is cleared of all bush and other inflammable material for a distance of at least 6 m;</w:t>
      </w:r>
    </w:p>
    <w:p>
      <w:pPr>
        <w:pStyle w:val="Indenti"/>
        <w:rPr>
          <w:snapToGrid w:val="0"/>
        </w:rPr>
      </w:pPr>
      <w:r>
        <w:rPr>
          <w:snapToGrid w:val="0"/>
        </w:rPr>
        <w:tab/>
        <w:t>(ii)</w:t>
      </w:r>
      <w:r>
        <w:rPr>
          <w:snapToGrid w:val="0"/>
        </w:rPr>
        <w:tab/>
      </w:r>
      <w:r>
        <w:t>within</w:t>
      </w:r>
      <w:r>
        <w:rPr>
          <w:snapToGrid w:val="0"/>
        </w:rPr>
        <w:t xml:space="preserve"> a distance of 6 m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i"/>
        <w:rPr>
          <w:snapToGrid w:val="0"/>
        </w:rPr>
      </w:pPr>
      <w:r>
        <w:rPr>
          <w:snapToGrid w:val="0"/>
        </w:rPr>
        <w:tab/>
        <w:t>(iii)</w:t>
      </w:r>
      <w:r>
        <w:rPr>
          <w:snapToGrid w:val="0"/>
        </w:rPr>
        <w:tab/>
        <w:t>except between the hours of 6 p.m. and 11 p.m.;</w:t>
      </w:r>
    </w:p>
    <w:p>
      <w:pPr>
        <w:pStyle w:val="Indenti"/>
        <w:rPr>
          <w:snapToGrid w:val="0"/>
        </w:rPr>
      </w:pPr>
      <w:r>
        <w:rPr>
          <w:snapToGrid w:val="0"/>
        </w:rPr>
        <w:tab/>
        <w:t>(iv)</w:t>
      </w:r>
      <w:r>
        <w:rPr>
          <w:snapToGrid w:val="0"/>
        </w:rPr>
        <w:tab/>
        <w:t>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No. 25 of 2009 s. 10; No. 19 of 2010 s. 52(4).]</w:t>
      </w:r>
    </w:p>
    <w:p>
      <w:pPr>
        <w:pStyle w:val="Heading5"/>
        <w:rPr>
          <w:snapToGrid w:val="0"/>
        </w:rPr>
      </w:pPr>
      <w:bookmarkStart w:id="159" w:name="_Toc397946848"/>
      <w:bookmarkStart w:id="160" w:name="_Toc415060721"/>
      <w:bookmarkStart w:id="161" w:name="_Toc392495372"/>
      <w:r>
        <w:rPr>
          <w:rStyle w:val="CharSectno"/>
        </w:rPr>
        <w:t>25A</w:t>
      </w:r>
      <w:r>
        <w:rPr>
          <w:snapToGrid w:val="0"/>
        </w:rPr>
        <w:t>.</w:t>
      </w:r>
      <w:r>
        <w:rPr>
          <w:snapToGrid w:val="0"/>
        </w:rPr>
        <w:tab/>
        <w:t>Power of Minister to exempt from provisions of section 25</w:t>
      </w:r>
      <w:bookmarkEnd w:id="159"/>
      <w:bookmarkEnd w:id="160"/>
      <w:bookmarkEnd w:id="161"/>
    </w:p>
    <w:p>
      <w:pPr>
        <w:pStyle w:val="Subsection"/>
        <w:rPr>
          <w:snapToGrid w:val="0"/>
        </w:rPr>
      </w:pPr>
      <w:r>
        <w:rPr>
          <w:snapToGrid w:val="0"/>
        </w:rPr>
        <w:tab/>
        <w:t>(1)</w:t>
      </w:r>
      <w:r>
        <w:rPr>
          <w:snapToGrid w:val="0"/>
        </w:rPr>
        <w:tab/>
        <w:t xml:space="preserve">Where the Minister is advised in writing by the </w:t>
      </w:r>
      <w:r>
        <w:t xml:space="preserve">FES Commissioner that, </w:t>
      </w:r>
      <w:r>
        <w:rPr>
          <w:snapToGrid w:val="0"/>
        </w:rPr>
        <w:t xml:space="preserve">in the opinion of the </w:t>
      </w:r>
      <w:r>
        <w:t xml:space="preserve">FES Commissioner, </w:t>
      </w:r>
      <w:r>
        <w:rPr>
          <w:snapToGrid w:val="0"/>
        </w:rPr>
        <w:t>a person has taken adequate precautions for the —</w:t>
      </w:r>
    </w:p>
    <w:p>
      <w:pPr>
        <w:pStyle w:val="Indenta"/>
        <w:rPr>
          <w:snapToGrid w:val="0"/>
        </w:rPr>
      </w:pPr>
      <w:r>
        <w:rPr>
          <w:snapToGrid w:val="0"/>
        </w:rPr>
        <w:tab/>
        <w:t>(a)</w:t>
      </w:r>
      <w:r>
        <w:rPr>
          <w:snapToGrid w:val="0"/>
        </w:rPr>
        <w:tab/>
        <w:t>prevention of the spread or extension; and</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rPr>
          <w:snapToGrid w:val="0"/>
        </w:rPr>
      </w:pPr>
      <w:r>
        <w:rPr>
          <w:snapToGrid w:val="0"/>
        </w:rPr>
        <w:tab/>
        <w:t>(2)</w:t>
      </w:r>
      <w:r>
        <w:rPr>
          <w:snapToGrid w:val="0"/>
        </w:rPr>
        <w:tab/>
        <w:t>An exemption granted by the Minister under this section —</w:t>
      </w:r>
    </w:p>
    <w:p>
      <w:pPr>
        <w:pStyle w:val="Indenta"/>
        <w:rPr>
          <w:snapToGrid w:val="0"/>
        </w:rPr>
      </w:pPr>
      <w:r>
        <w:rPr>
          <w:snapToGrid w:val="0"/>
        </w:rPr>
        <w:tab/>
        <w:t>(a)</w:t>
      </w:r>
      <w:r>
        <w:rPr>
          <w:snapToGrid w:val="0"/>
        </w:rPr>
        <w:tab/>
        <w:t>shall be in writing signed by the Minister; and</w:t>
      </w:r>
    </w:p>
    <w:p>
      <w:pPr>
        <w:pStyle w:val="Indenta"/>
        <w:rPr>
          <w:snapToGrid w:val="0"/>
        </w:rPr>
      </w:pPr>
      <w:r>
        <w:rPr>
          <w:snapToGrid w:val="0"/>
        </w:rPr>
        <w:tab/>
        <w:t>(b)</w:t>
      </w:r>
      <w:r>
        <w:rPr>
          <w:snapToGrid w:val="0"/>
        </w:rPr>
        <w:tab/>
        <w:t>may be revoked at any time by the Minister by notice in writing signed by him and served on the person to whom the exemption was granted; and</w:t>
      </w:r>
    </w:p>
    <w:p>
      <w:pPr>
        <w:pStyle w:val="Indenta"/>
        <w:rPr>
          <w:snapToGrid w:val="0"/>
        </w:rPr>
      </w:pPr>
      <w:r>
        <w:rPr>
          <w:snapToGrid w:val="0"/>
        </w:rPr>
        <w:tab/>
        <w:t>(c)</w:t>
      </w:r>
      <w:r>
        <w:rPr>
          <w:snapToGrid w:val="0"/>
        </w:rPr>
        <w:tab/>
        <w:t>is subject to such conditions as the Minister thinks fit to impose and specifies in the exemption; and</w:t>
      </w:r>
    </w:p>
    <w:p>
      <w:pPr>
        <w:pStyle w:val="Indenta"/>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rPr>
          <w:snapToGrid w:val="0"/>
        </w:rPr>
      </w:pPr>
      <w:r>
        <w:rPr>
          <w:snapToGrid w:val="0"/>
        </w:rPr>
        <w:tab/>
        <w:t>(e)</w:t>
      </w:r>
      <w:r>
        <w:rPr>
          <w:snapToGrid w:val="0"/>
        </w:rPr>
        <w:tab/>
        <w:t>exempts any fire to which the exemption relates from the operation of section 46.</w:t>
      </w:r>
    </w:p>
    <w:p>
      <w:pPr>
        <w:pStyle w:val="Subsection"/>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keepNext/>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[Section 25A inserted by No. 15 of 1965 s. 3; amended by No. 113 of 1965 s. 8(1); No. 65 of 1977 s. 22 and 48; No. 8 of 1987 s. 8; No. 14 of 1996 s. 4; No. 42 of 1998 s. 16; No. 38 of 2002 s. 26 and 39; No. 22 of 2012 s. 56.]</w:t>
      </w:r>
    </w:p>
    <w:p>
      <w:pPr>
        <w:pStyle w:val="Ednotesection"/>
        <w:ind w:left="890" w:hanging="890"/>
      </w:pPr>
      <w:r>
        <w:t>[</w:t>
      </w:r>
      <w:r>
        <w:rPr>
          <w:b/>
        </w:rPr>
        <w:t>25B.</w:t>
      </w:r>
      <w:r>
        <w:tab/>
        <w:t>Deleted by No. 38 of 2002 s. 27(1).]</w:t>
      </w:r>
    </w:p>
    <w:p>
      <w:pPr>
        <w:pStyle w:val="Heading5"/>
        <w:rPr>
          <w:snapToGrid w:val="0"/>
        </w:rPr>
      </w:pPr>
      <w:bookmarkStart w:id="162" w:name="_Toc397946849"/>
      <w:bookmarkStart w:id="163" w:name="_Toc415060722"/>
      <w:bookmarkStart w:id="164" w:name="_Toc392495373"/>
      <w:r>
        <w:rPr>
          <w:rStyle w:val="CharSectno"/>
        </w:rPr>
        <w:t>26</w:t>
      </w:r>
      <w:r>
        <w:rPr>
          <w:snapToGrid w:val="0"/>
        </w:rPr>
        <w:t>.</w:t>
      </w:r>
      <w:r>
        <w:rPr>
          <w:snapToGrid w:val="0"/>
        </w:rPr>
        <w:tab/>
        <w:t>Burning of plants to eradicate disease during prohibited burning times</w:t>
      </w:r>
      <w:bookmarkEnd w:id="162"/>
      <w:bookmarkEnd w:id="163"/>
      <w:bookmarkEnd w:id="164"/>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Subsection"/>
      </w:pPr>
      <w:r>
        <w:tab/>
        <w:t>(5)</w:t>
      </w:r>
      <w:r>
        <w:tab/>
        <w:t xml:space="preserve">In this section </w:t>
      </w:r>
      <w:r>
        <w:rPr>
          <w:b/>
          <w:i/>
        </w:rPr>
        <w:t>plant</w:t>
      </w:r>
      <w:r>
        <w:t xml:space="preserve"> does not include a plant that is a declared pest as that term is defined by the </w:t>
      </w:r>
      <w:r>
        <w:rPr>
          <w:i/>
          <w:iCs/>
        </w:rPr>
        <w:t>Biosecurity and Agriculture Management Act 2007</w:t>
      </w:r>
      <w:r>
        <w:t>.</w:t>
      </w:r>
    </w:p>
    <w:p>
      <w:pPr>
        <w:pStyle w:val="Footnotesection"/>
        <w:ind w:left="890" w:hanging="890"/>
      </w:pPr>
      <w:r>
        <w:tab/>
        <w:t>[Section 26 amended by No. 35 of 1957 s. 5; No. 113 of 1965 s. 8(1); No. 65 of 1977 s. 23 and 48;  No. 24 of 2007 s. 28(2); No. 38 of 2002 s. 39.]</w:t>
      </w:r>
    </w:p>
    <w:p>
      <w:pPr>
        <w:pStyle w:val="Heading5"/>
        <w:spacing w:before="180"/>
        <w:rPr>
          <w:snapToGrid w:val="0"/>
        </w:rPr>
      </w:pPr>
      <w:bookmarkStart w:id="165" w:name="_Toc397946850"/>
      <w:bookmarkStart w:id="166" w:name="_Toc415060723"/>
      <w:bookmarkStart w:id="167" w:name="_Toc392495374"/>
      <w:r>
        <w:rPr>
          <w:rStyle w:val="CharSectno"/>
        </w:rPr>
        <w:t>26A</w:t>
      </w:r>
      <w:r>
        <w:rPr>
          <w:snapToGrid w:val="0"/>
        </w:rPr>
        <w:t>.</w:t>
      </w:r>
      <w:r>
        <w:rPr>
          <w:snapToGrid w:val="0"/>
        </w:rPr>
        <w:tab/>
        <w:t>Burning of declared plants during prohibited burning times</w:t>
      </w:r>
      <w:bookmarkEnd w:id="165"/>
      <w:bookmarkEnd w:id="166"/>
      <w:bookmarkEnd w:id="167"/>
    </w:p>
    <w:p>
      <w:pPr>
        <w:pStyle w:val="Subsection"/>
        <w:rPr>
          <w:snapToGrid w:val="0"/>
        </w:rPr>
      </w:pPr>
      <w:r>
        <w:rPr>
          <w:snapToGrid w:val="0"/>
        </w:rPr>
        <w:tab/>
        <w:t>(1)</w:t>
      </w:r>
      <w:r>
        <w:rPr>
          <w:snapToGrid w:val="0"/>
        </w:rPr>
        <w:tab/>
      </w:r>
      <w:r>
        <w:t xml:space="preserve">A plant that is a declared pest as that term is defined by the </w:t>
      </w:r>
      <w:r>
        <w:rPr>
          <w:i/>
          <w:iCs/>
        </w:rPr>
        <w:t>Biosecurity and Agriculture Management Act 2007</w:t>
      </w:r>
      <w:r>
        <w:rPr>
          <w:snapToGrid w:val="0"/>
        </w:rPr>
        <w:t>, or the refuse of such a plant, may be burnt during the prohibited burning times so long as the burning is carried out subject to and in accordance with the regulations.</w:t>
      </w:r>
    </w:p>
    <w:p>
      <w:pPr>
        <w:pStyle w:val="Subsection"/>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Footnotesection"/>
        <w:keepLines w:val="0"/>
        <w:ind w:left="890" w:hanging="890"/>
      </w:pPr>
      <w:r>
        <w:tab/>
        <w:t>[Section 26A inserted by No. 65 of 1977 s. 24; amended by No. 38 of 2002 s. 39; No. 24 of 2007 s. 28(3).]</w:t>
      </w:r>
    </w:p>
    <w:p>
      <w:pPr>
        <w:pStyle w:val="Heading3"/>
        <w:spacing w:before="200"/>
      </w:pPr>
      <w:bookmarkStart w:id="168" w:name="_Toc381872723"/>
      <w:bookmarkStart w:id="169" w:name="_Toc381873791"/>
      <w:bookmarkStart w:id="170" w:name="_Toc392495375"/>
      <w:bookmarkStart w:id="171" w:name="_Toc397946433"/>
      <w:bookmarkStart w:id="172" w:name="_Toc397946569"/>
      <w:bookmarkStart w:id="173" w:name="_Toc397946851"/>
      <w:bookmarkStart w:id="174" w:name="_Toc415060628"/>
      <w:bookmarkStart w:id="175" w:name="_Toc415060724"/>
      <w:r>
        <w:rPr>
          <w:rStyle w:val="CharDivNo"/>
        </w:rPr>
        <w:t>Division 6</w:t>
      </w:r>
      <w:r>
        <w:rPr>
          <w:snapToGrid w:val="0"/>
        </w:rPr>
        <w:t> — </w:t>
      </w:r>
      <w:r>
        <w:rPr>
          <w:rStyle w:val="CharDivText"/>
        </w:rPr>
        <w:t>General restrictions, prohibitions and offences</w:t>
      </w:r>
      <w:bookmarkEnd w:id="168"/>
      <w:bookmarkEnd w:id="169"/>
      <w:bookmarkEnd w:id="170"/>
      <w:bookmarkEnd w:id="171"/>
      <w:bookmarkEnd w:id="172"/>
      <w:bookmarkEnd w:id="173"/>
      <w:bookmarkEnd w:id="174"/>
      <w:bookmarkEnd w:id="175"/>
    </w:p>
    <w:p>
      <w:pPr>
        <w:pStyle w:val="Heading5"/>
        <w:spacing w:before="180"/>
        <w:rPr>
          <w:snapToGrid w:val="0"/>
        </w:rPr>
      </w:pPr>
      <w:bookmarkStart w:id="176" w:name="_Toc397946852"/>
      <w:bookmarkStart w:id="177" w:name="_Toc415060725"/>
      <w:bookmarkStart w:id="178" w:name="_Toc392495376"/>
      <w:r>
        <w:rPr>
          <w:rStyle w:val="CharSectno"/>
        </w:rPr>
        <w:t>27</w:t>
      </w:r>
      <w:r>
        <w:rPr>
          <w:snapToGrid w:val="0"/>
        </w:rPr>
        <w:t>.</w:t>
      </w:r>
      <w:r>
        <w:rPr>
          <w:snapToGrid w:val="0"/>
        </w:rPr>
        <w:tab/>
        <w:t>Prohibition on use of tractors or engines except under certain conditions</w:t>
      </w:r>
      <w:bookmarkEnd w:id="176"/>
      <w:bookmarkEnd w:id="177"/>
      <w:bookmarkEnd w:id="178"/>
    </w:p>
    <w:p>
      <w:pPr>
        <w:pStyle w:val="Subsection"/>
        <w:rPr>
          <w:snapToGrid w:val="0"/>
        </w:rPr>
      </w:pPr>
      <w:r>
        <w:rPr>
          <w:snapToGrid w:val="0"/>
        </w:rPr>
        <w:tab/>
        <w:t>(1)</w:t>
      </w:r>
      <w:r>
        <w:rPr>
          <w:snapToGrid w:val="0"/>
        </w:rPr>
        <w:tab/>
        <w:t>Subject to the provisions of subsection (2) a person shall not operate, during the prohibited burning times or the restricted burning times —</w:t>
      </w:r>
    </w:p>
    <w:p>
      <w:pPr>
        <w:pStyle w:val="Indenta"/>
        <w:rPr>
          <w:snapToGrid w:val="0"/>
        </w:rPr>
      </w:pPr>
      <w:r>
        <w:rPr>
          <w:snapToGrid w:val="0"/>
        </w:rPr>
        <w:tab/>
        <w:t>(a)</w:t>
      </w:r>
      <w:r>
        <w:rPr>
          <w:snapToGrid w:val="0"/>
        </w:rPr>
        <w:tab/>
        <w:t>a tractor or self</w:t>
      </w:r>
      <w:r>
        <w:rPr>
          <w:snapToGrid w:val="0"/>
        </w:rPr>
        <w:noBreakHyphen/>
        <w:t>propelled harvester unless —</w:t>
      </w:r>
    </w:p>
    <w:p>
      <w:pPr>
        <w:pStyle w:val="Indenti"/>
        <w:rPr>
          <w:snapToGrid w:val="0"/>
        </w:rPr>
      </w:pPr>
      <w:r>
        <w:rPr>
          <w:snapToGrid w:val="0"/>
        </w:rPr>
        <w:tab/>
        <w:t>(i)</w:t>
      </w:r>
      <w:r>
        <w:rPr>
          <w:snapToGrid w:val="0"/>
        </w:rPr>
        <w:tab/>
        <w:t>its exhaust system, including pipes, is maintained in sound and efficient condition; and</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p>
    <w:p>
      <w:pPr>
        <w:pStyle w:val="Indenta"/>
        <w:rPr>
          <w:snapToGrid w:val="0"/>
        </w:rPr>
      </w:pPr>
      <w:r>
        <w:rPr>
          <w:snapToGrid w:val="0"/>
        </w:rPr>
        <w:tab/>
        <w:t>(a)</w:t>
      </w:r>
      <w:r>
        <w:rPr>
          <w:snapToGrid w:val="0"/>
        </w:rPr>
        <w:tab/>
        <w:t>publication in a newspaper circulating in that district; and</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keepNext/>
        <w:rPr>
          <w:snapToGrid w:val="0"/>
        </w:rPr>
      </w:pPr>
      <w:r>
        <w:rPr>
          <w:snapToGrid w:val="0"/>
        </w:rPr>
        <w:tab/>
        <w:t>(4)</w:t>
      </w:r>
      <w:r>
        <w:rPr>
          <w:snapToGrid w:val="0"/>
        </w:rPr>
        <w:tab/>
        <w:t>A notice under subsection (3)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keepLines/>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[Section 27 amended by No. 11 of 1963 s. 13; No. 65 of 1977 s. 25; No. 51 of 1979 s. 2; No. 95 of 1981 s. 2; No. 8 of 1987 s. 8; No. 14 of 1996 s. 4; No. 38 of 2002 s. 39.]</w:t>
      </w:r>
    </w:p>
    <w:p>
      <w:pPr>
        <w:pStyle w:val="Heading5"/>
        <w:rPr>
          <w:snapToGrid w:val="0"/>
        </w:rPr>
      </w:pPr>
      <w:bookmarkStart w:id="179" w:name="_Toc397946853"/>
      <w:bookmarkStart w:id="180" w:name="_Toc415060726"/>
      <w:bookmarkStart w:id="181" w:name="_Toc392495377"/>
      <w:r>
        <w:rPr>
          <w:rStyle w:val="CharSectno"/>
        </w:rPr>
        <w:t>27A</w:t>
      </w:r>
      <w:r>
        <w:rPr>
          <w:snapToGrid w:val="0"/>
        </w:rPr>
        <w:t>.</w:t>
      </w:r>
      <w:r>
        <w:rPr>
          <w:snapToGrid w:val="0"/>
        </w:rPr>
        <w:tab/>
        <w:t>Regulation of blasting and matters likely to create bush fire danger</w:t>
      </w:r>
      <w:bookmarkEnd w:id="179"/>
      <w:bookmarkEnd w:id="180"/>
      <w:bookmarkEnd w:id="181"/>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regulating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[Section 27A inserted by No. 35 of 1957 s. 6; amended by No. 113 of 1965 s. 8; No. 65 of 1977 s. 26 and 48; No. 8 of 1987 s. 8(1); No. 38 of 2002 s. 39 and 40(2).]</w:t>
      </w:r>
    </w:p>
    <w:p>
      <w:pPr>
        <w:pStyle w:val="Heading5"/>
        <w:rPr>
          <w:snapToGrid w:val="0"/>
        </w:rPr>
      </w:pPr>
      <w:bookmarkStart w:id="182" w:name="_Toc397946854"/>
      <w:bookmarkStart w:id="183" w:name="_Toc415060727"/>
      <w:bookmarkStart w:id="184" w:name="_Toc392495378"/>
      <w:r>
        <w:rPr>
          <w:rStyle w:val="CharSectno"/>
        </w:rPr>
        <w:t>27B</w:t>
      </w:r>
      <w:r>
        <w:rPr>
          <w:snapToGrid w:val="0"/>
        </w:rPr>
        <w:t>.</w:t>
      </w:r>
      <w:r>
        <w:rPr>
          <w:snapToGrid w:val="0"/>
        </w:rPr>
        <w:tab/>
        <w:t>False alarms</w:t>
      </w:r>
      <w:bookmarkEnd w:id="182"/>
      <w:bookmarkEnd w:id="183"/>
      <w:bookmarkEnd w:id="184"/>
    </w:p>
    <w:p>
      <w:pPr>
        <w:pStyle w:val="Subsection"/>
        <w:rPr>
          <w:snapToGrid w:val="0"/>
        </w:rPr>
      </w:pPr>
      <w:r>
        <w:rPr>
          <w:snapToGrid w:val="0"/>
        </w:rPr>
        <w:tab/>
        <w:t>(1)</w:t>
      </w:r>
      <w:r>
        <w:rPr>
          <w:snapToGrid w:val="0"/>
        </w:rPr>
        <w:tab/>
        <w:t xml:space="preserve">A person who, knowing it is false, gives a false alarm of fire to a </w:t>
      </w:r>
      <w:r>
        <w:t>person employed in the Department, an agent of the FES Commissioner or an employee or agent</w:t>
      </w:r>
      <w:r>
        <w:rPr>
          <w:snapToGrid w:val="0"/>
        </w:rPr>
        <w:t xml:space="preserve">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of giving a false alarm of fire against subsection (1), may assess the amount of any expenses needlessly incurred by the </w:t>
      </w:r>
      <w:r>
        <w:t>FES Commissioner</w:t>
      </w:r>
      <w:r>
        <w:rPr>
          <w:snapToGrid w:val="0"/>
        </w:rPr>
        <w:t xml:space="preserve"> or any local government, bush fire brigade, or other body or person, as a result of the false alarm, and order the offender to pay the amount so assessed to the </w:t>
      </w:r>
      <w:r>
        <w:t xml:space="preserve">FES Commissioner, local government, </w:t>
      </w:r>
      <w:r>
        <w:rPr>
          <w:snapToGrid w:val="0"/>
        </w:rPr>
        <w:t>brigade, body, or person by which or by whom the expenses were so incurred, in addition to or without imposing a penalty on the offender.</w:t>
      </w:r>
    </w:p>
    <w:p>
      <w:pPr>
        <w:pStyle w:val="Footnotesection"/>
      </w:pPr>
      <w:r>
        <w:tab/>
        <w:t>[Section 27B inserted by No. 35 of 1957 s. 6; amended by No. 113 of 1965 s. 8(1); No. 65 of 1977 s. 47 and 48; No. 8 of 1987 s. 8; No. 14 of 1996 s. 4; No. 42 of 1998 s. 16; No. 38 of 2002 s. 39 and 40(2); No. 22 of 2012 s. 57 and 69.]</w:t>
      </w:r>
    </w:p>
    <w:p>
      <w:pPr>
        <w:pStyle w:val="Heading5"/>
        <w:rPr>
          <w:snapToGrid w:val="0"/>
        </w:rPr>
      </w:pPr>
      <w:bookmarkStart w:id="185" w:name="_Toc397946855"/>
      <w:bookmarkStart w:id="186" w:name="_Toc415060728"/>
      <w:bookmarkStart w:id="187" w:name="_Toc392495379"/>
      <w:r>
        <w:rPr>
          <w:rStyle w:val="CharSectno"/>
        </w:rPr>
        <w:t>27C</w:t>
      </w:r>
      <w:r>
        <w:rPr>
          <w:snapToGrid w:val="0"/>
        </w:rPr>
        <w:t>.</w:t>
      </w:r>
      <w:r>
        <w:rPr>
          <w:snapToGrid w:val="0"/>
        </w:rPr>
        <w:tab/>
        <w:t>Vandalism</w:t>
      </w:r>
      <w:bookmarkEnd w:id="185"/>
      <w:bookmarkEnd w:id="186"/>
      <w:bookmarkEnd w:id="187"/>
    </w:p>
    <w:p>
      <w:pPr>
        <w:pStyle w:val="Subsection"/>
        <w:rPr>
          <w:snapToGrid w:val="0"/>
        </w:rPr>
      </w:pPr>
      <w:r>
        <w:rPr>
          <w:snapToGrid w:val="0"/>
        </w:rPr>
        <w:tab/>
        <w:t>(1)</w:t>
      </w:r>
      <w:r>
        <w:rPr>
          <w:snapToGrid w:val="0"/>
        </w:rPr>
        <w:tab/>
        <w:t xml:space="preserve">A person who, except by lawful authority, moves, uses, interferes with, damages or destroys anything provided by the </w:t>
      </w:r>
      <w:r>
        <w:t>FES Commissioner</w:t>
      </w:r>
      <w:r>
        <w:rPr>
          <w:snapToGrid w:val="0"/>
        </w:rPr>
        <w:t>,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against subsection (1) may assess the amount of expense of replacing, or as the case may be, of repairing or restoring, anything the subject matter of the offence, and order the offender to pay the amount to the </w:t>
      </w:r>
      <w:r>
        <w:t>FES Commissioner</w:t>
      </w:r>
      <w:r>
        <w:rPr>
          <w:snapToGrid w:val="0"/>
        </w:rPr>
        <w:t>, or, as the case may be, the local government, bush fire control officer, or bush fire brigade, in addition to or without imposing a penalty on the offender.</w:t>
      </w:r>
    </w:p>
    <w:p>
      <w:pPr>
        <w:pStyle w:val="Footnotesection"/>
      </w:pPr>
      <w:r>
        <w:tab/>
        <w:t>[Section 27C inserted by No. 35 of 1957 s. 6; amended by No. 8 of 1987 s. 8; No. 14 of 1996 s. 4; No. 42 of 1998 s. 16; No. 38 of 2002 s. 39; No. 22 of 2012 s. 69.]</w:t>
      </w:r>
    </w:p>
    <w:p>
      <w:pPr>
        <w:pStyle w:val="Heading5"/>
        <w:rPr>
          <w:snapToGrid w:val="0"/>
        </w:rPr>
      </w:pPr>
      <w:bookmarkStart w:id="188" w:name="_Toc397946856"/>
      <w:bookmarkStart w:id="189" w:name="_Toc415060729"/>
      <w:bookmarkStart w:id="190" w:name="_Toc392495380"/>
      <w:r>
        <w:rPr>
          <w:rStyle w:val="CharSectno"/>
        </w:rPr>
        <w:t>27D</w:t>
      </w:r>
      <w:r>
        <w:rPr>
          <w:snapToGrid w:val="0"/>
        </w:rPr>
        <w:t>.</w:t>
      </w:r>
      <w:r>
        <w:rPr>
          <w:snapToGrid w:val="0"/>
        </w:rPr>
        <w:tab/>
        <w:t>Requirements for carriage and deposit of incendiary material</w:t>
      </w:r>
      <w:bookmarkEnd w:id="188"/>
      <w:bookmarkEnd w:id="189"/>
      <w:bookmarkEnd w:id="190"/>
    </w:p>
    <w:p>
      <w:pPr>
        <w:pStyle w:val="Subsection"/>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rPr>
          <w:snapToGrid w:val="0"/>
        </w:rPr>
      </w:pPr>
      <w:r>
        <w:rPr>
          <w:snapToGrid w:val="0"/>
        </w:rPr>
        <w:tab/>
        <w:t>(2)</w:t>
      </w:r>
      <w:r>
        <w:rPr>
          <w:snapToGrid w:val="0"/>
        </w:rPr>
        <w:tab/>
        <w:t>A person shall not use a motor vehicle, or cause it to be used, for the carriage of incendiary material unless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shall not deposit incendiary material, or cause it to be deposited, on any land unless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 and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w:t>
      </w:r>
    </w:p>
    <w:p>
      <w:pPr>
        <w:pStyle w:val="Penstart"/>
        <w:keepNext/>
        <w:keepLines/>
        <w:rPr>
          <w:snapToGrid w:val="0"/>
        </w:rPr>
      </w:pPr>
      <w:r>
        <w:rPr>
          <w:snapToGrid w:val="0"/>
        </w:rPr>
        <w:tab/>
        <w:t>Penalty: $1 000.</w:t>
      </w:r>
    </w:p>
    <w:p>
      <w:pPr>
        <w:pStyle w:val="Footnotesection"/>
      </w:pPr>
      <w:r>
        <w:tab/>
        <w:t>[Section 27D inserted by No. 101 of 1969 s. 7; amended by No. 94 of 1972 s. 4 (as amended by No. 83 of 1973 s. 3); No. 65 of 1977 s. 47 and 48; No. 8 of 1987 s. 8; No. 14 of 1996 s. 4; No. 38 of 2002 s. 40(1).]</w:t>
      </w:r>
    </w:p>
    <w:p>
      <w:pPr>
        <w:pStyle w:val="Heading5"/>
        <w:rPr>
          <w:snapToGrid w:val="0"/>
        </w:rPr>
      </w:pPr>
      <w:bookmarkStart w:id="191" w:name="_Toc397946857"/>
      <w:bookmarkStart w:id="192" w:name="_Toc415060730"/>
      <w:bookmarkStart w:id="193" w:name="_Toc392495381"/>
      <w:r>
        <w:rPr>
          <w:rStyle w:val="CharSectno"/>
        </w:rPr>
        <w:t>28</w:t>
      </w:r>
      <w:r>
        <w:rPr>
          <w:snapToGrid w:val="0"/>
        </w:rPr>
        <w:t>.</w:t>
      </w:r>
      <w:r>
        <w:rPr>
          <w:snapToGrid w:val="0"/>
        </w:rPr>
        <w:tab/>
        <w:t>Occupier of land to extinguish bush fire occurring on own land</w:t>
      </w:r>
      <w:bookmarkEnd w:id="191"/>
      <w:bookmarkEnd w:id="192"/>
      <w:bookmarkEnd w:id="193"/>
    </w:p>
    <w:p>
      <w:pPr>
        <w:pStyle w:val="Subsection"/>
        <w:rPr>
          <w:snapToGrid w:val="0"/>
        </w:rPr>
      </w:pPr>
      <w:r>
        <w:rPr>
          <w:snapToGrid w:val="0"/>
        </w:rPr>
        <w:tab/>
        <w:t>(1)</w:t>
      </w:r>
      <w:r>
        <w:rPr>
          <w:snapToGrid w:val="0"/>
        </w:rPr>
        <w:tab/>
        <w:t>Where a bush fire is burning on any land —</w:t>
      </w:r>
    </w:p>
    <w:p>
      <w:pPr>
        <w:pStyle w:val="Indenta"/>
        <w:rPr>
          <w:snapToGrid w:val="0"/>
        </w:rPr>
      </w:pPr>
      <w:r>
        <w:rPr>
          <w:snapToGrid w:val="0"/>
        </w:rPr>
        <w:tab/>
        <w:t>(a)</w:t>
      </w:r>
      <w:r>
        <w:rPr>
          <w:snapToGrid w:val="0"/>
        </w:rPr>
        <w:tab/>
        <w:t>at any time in any year during the restricted burning times; or</w:t>
      </w:r>
    </w:p>
    <w:p>
      <w:pPr>
        <w:pStyle w:val="Indenta"/>
        <w:rPr>
          <w:snapToGrid w:val="0"/>
        </w:rPr>
      </w:pPr>
      <w:r>
        <w:rPr>
          <w:snapToGrid w:val="0"/>
        </w:rPr>
        <w:tab/>
        <w:t>(b)</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(1B)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km of the land where the fire is burning may enter upon the land where the fire is burning and take all proper measures to extinguish it.</w:t>
      </w:r>
    </w:p>
    <w:p>
      <w:pPr>
        <w:pStyle w:val="Subsection"/>
        <w:rPr>
          <w:snapToGrid w:val="0"/>
        </w:rPr>
      </w:pPr>
      <w:r>
        <w:rPr>
          <w:snapToGrid w:val="0"/>
        </w:rPr>
        <w:tab/>
        <w:t>(4)</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xml:space="preserve">, in taking measures to extinguish the fire, shall be a debt owing by the occupier of the land to the </w:t>
      </w:r>
      <w:r>
        <w:t xml:space="preserve">State, </w:t>
      </w:r>
      <w:r>
        <w:rPr>
          <w:snapToGrid w:val="0"/>
        </w:rPr>
        <w:t>local government or CALM Act CEO, respectively.</w:t>
      </w:r>
    </w:p>
    <w:p>
      <w:pPr>
        <w:pStyle w:val="Subsection"/>
        <w:rPr>
          <w:snapToGrid w:val="0"/>
        </w:rPr>
      </w:pPr>
      <w:r>
        <w:rPr>
          <w:snapToGrid w:val="0"/>
        </w:rPr>
        <w:tab/>
        <w:t>(5)</w:t>
      </w:r>
      <w:r>
        <w:rPr>
          <w:snapToGrid w:val="0"/>
        </w:rPr>
        <w:tab/>
        <w:t xml:space="preserve">The </w:t>
      </w:r>
      <w:r>
        <w:t xml:space="preserve">FES Commissioner (on behalf of the State), </w:t>
      </w:r>
      <w:r>
        <w:rPr>
          <w:snapToGrid w:val="0"/>
        </w:rPr>
        <w:t>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[Section 28 amended by No. 11 of 1963 s. 14; No. 113 of 1965 s. 8(1); No. 94 of 1972 s. 4 (as amended by No. 83 of 1973 s. 3); No. 65 of 1977 s. 27, 47 and 48; No. 8 of 1987 s. 8; No. 14 of 1996 s. 4; No. 42 of 1998 s. 16; No. 38 of 2002 s. 39 and 40; No. 28 of 2006 s. 388; No. 19 of 2010 s. 52(4); No. 22 of 2012 s. 58.]</w:t>
      </w:r>
    </w:p>
    <w:p>
      <w:pPr>
        <w:pStyle w:val="Ednotesection"/>
      </w:pPr>
      <w:r>
        <w:t>[</w:t>
      </w:r>
      <w:r>
        <w:rPr>
          <w:b/>
        </w:rPr>
        <w:t>29.</w:t>
      </w:r>
      <w:r>
        <w:tab/>
        <w:t>Deleted by No. 65 of 1977 s. 28.]</w:t>
      </w:r>
    </w:p>
    <w:p>
      <w:pPr>
        <w:pStyle w:val="Heading5"/>
        <w:spacing w:before="240"/>
        <w:rPr>
          <w:snapToGrid w:val="0"/>
        </w:rPr>
      </w:pPr>
      <w:bookmarkStart w:id="194" w:name="_Toc397946858"/>
      <w:bookmarkStart w:id="195" w:name="_Toc415060731"/>
      <w:bookmarkStart w:id="196" w:name="_Toc392495382"/>
      <w:r>
        <w:rPr>
          <w:rStyle w:val="CharSectno"/>
        </w:rPr>
        <w:t>30</w:t>
      </w:r>
      <w:r>
        <w:rPr>
          <w:snapToGrid w:val="0"/>
        </w:rPr>
        <w:t>.</w:t>
      </w:r>
      <w:r>
        <w:rPr>
          <w:snapToGrid w:val="0"/>
        </w:rPr>
        <w:tab/>
        <w:t>Disposal of burning cigarettes etc.</w:t>
      </w:r>
      <w:bookmarkEnd w:id="194"/>
      <w:bookmarkEnd w:id="195"/>
      <w:bookmarkEnd w:id="196"/>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w:t>
      </w:r>
    </w:p>
    <w:p>
      <w:pPr>
        <w:pStyle w:val="Indenta"/>
        <w:rPr>
          <w:snapToGrid w:val="0"/>
        </w:rPr>
      </w:pPr>
      <w:r>
        <w:rPr>
          <w:snapToGrid w:val="0"/>
        </w:rPr>
        <w:tab/>
        <w:t>(a)</w:t>
      </w:r>
      <w:r>
        <w:rPr>
          <w:snapToGrid w:val="0"/>
        </w:rPr>
        <w:tab/>
        <w:t>in circumstances that are likely to set fire to the bush; or</w:t>
      </w:r>
    </w:p>
    <w:p>
      <w:pPr>
        <w:pStyle w:val="Indenta"/>
        <w:keepNext/>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[Section 30 inserted by No. 65 of 1977 s. 29; amended by No. 8 of 1987 s. 8; No. 38 of 2002 s. 39.]</w:t>
      </w:r>
    </w:p>
    <w:p>
      <w:pPr>
        <w:pStyle w:val="Ednotesection"/>
      </w:pPr>
      <w:r>
        <w:t>[</w:t>
      </w:r>
      <w:r>
        <w:rPr>
          <w:b/>
        </w:rPr>
        <w:t>31.</w:t>
      </w:r>
      <w:r>
        <w:tab/>
        <w:t>Deleted by No. 65 of 1977 s. 30.]</w:t>
      </w:r>
    </w:p>
    <w:p>
      <w:pPr>
        <w:pStyle w:val="Heading5"/>
        <w:spacing w:before="240"/>
        <w:rPr>
          <w:snapToGrid w:val="0"/>
        </w:rPr>
      </w:pPr>
      <w:bookmarkStart w:id="197" w:name="_Toc397946859"/>
      <w:bookmarkStart w:id="198" w:name="_Toc415060732"/>
      <w:bookmarkStart w:id="199" w:name="_Toc392495383"/>
      <w:r>
        <w:rPr>
          <w:rStyle w:val="CharSectno"/>
        </w:rPr>
        <w:t>32</w:t>
      </w:r>
      <w:r>
        <w:rPr>
          <w:snapToGrid w:val="0"/>
        </w:rPr>
        <w:t>.</w:t>
      </w:r>
      <w:r>
        <w:rPr>
          <w:snapToGrid w:val="0"/>
        </w:rPr>
        <w:tab/>
        <w:t>Offences of lighting or attempting to light fire likely to injure</w:t>
      </w:r>
      <w:bookmarkEnd w:id="197"/>
      <w:bookmarkEnd w:id="198"/>
      <w:bookmarkEnd w:id="199"/>
    </w:p>
    <w:p>
      <w:pPr>
        <w:pStyle w:val="Subsection"/>
      </w:pPr>
      <w:r>
        <w:tab/>
        <w:t>(1)</w:t>
      </w:r>
      <w:r>
        <w:tab/>
        <w:t>In this section —</w:t>
      </w:r>
    </w:p>
    <w:p>
      <w:pPr>
        <w:pStyle w:val="Defstart"/>
      </w:pPr>
      <w:r>
        <w:tab/>
      </w:r>
      <w:r>
        <w:rPr>
          <w:rStyle w:val="CharDefText"/>
        </w:rPr>
        <w:t>property</w:t>
      </w:r>
      <w:r>
        <w:t xml:space="preserve"> means personal or real property, including Crown land, and includes the bush and fauna.</w:t>
      </w:r>
    </w:p>
    <w:p>
      <w:pPr>
        <w:pStyle w:val="Subsection"/>
        <w:rPr>
          <w:snapToGrid w:val="0"/>
        </w:rPr>
      </w:pPr>
      <w:r>
        <w:tab/>
        <w:t>(2)</w:t>
      </w:r>
      <w:r>
        <w:tab/>
        <w:t>A person</w:t>
      </w:r>
      <w:r>
        <w:rPr>
          <w:snapToGrid w:val="0"/>
        </w:rPr>
        <w:t xml:space="preserve"> who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pPr>
      <w:r>
        <w:tab/>
        <w:t>Penalty: Imprisonment for 20 years.</w:t>
      </w:r>
    </w:p>
    <w:p>
      <w:pPr>
        <w:pStyle w:val="Footnotesection"/>
      </w:pPr>
      <w:r>
        <w:tab/>
        <w:t>[Section 32 amended by No. 113 of 1965 s. 8(1); No. 65 of 1977 s. 31 and 48; No. 8 of 1987 s. 8; No. 101 of 1990 s. 56; No. 4 of 2004 s. 58; No. 25 of 2009 s. 11; No. 43 of 2009 s. 4.]</w:t>
      </w:r>
    </w:p>
    <w:p>
      <w:pPr>
        <w:pStyle w:val="Heading5"/>
        <w:rPr>
          <w:snapToGrid w:val="0"/>
        </w:rPr>
      </w:pPr>
      <w:bookmarkStart w:id="200" w:name="_Toc397946860"/>
      <w:bookmarkStart w:id="201" w:name="_Toc415060733"/>
      <w:bookmarkStart w:id="202" w:name="_Toc392495384"/>
      <w:r>
        <w:rPr>
          <w:rStyle w:val="CharSectno"/>
        </w:rPr>
        <w:t>33</w:t>
      </w:r>
      <w:r>
        <w:rPr>
          <w:snapToGrid w:val="0"/>
        </w:rPr>
        <w:t>.</w:t>
      </w:r>
      <w:r>
        <w:rPr>
          <w:snapToGrid w:val="0"/>
        </w:rPr>
        <w:tab/>
        <w:t>Local government may require occupier of land to plough or clear fire</w:t>
      </w:r>
      <w:r>
        <w:rPr>
          <w:snapToGrid w:val="0"/>
        </w:rPr>
        <w:noBreakHyphen/>
        <w:t>break</w:t>
      </w:r>
      <w:bookmarkEnd w:id="200"/>
      <w:bookmarkEnd w:id="201"/>
      <w:bookmarkEnd w:id="202"/>
    </w:p>
    <w:p>
      <w:pPr>
        <w:pStyle w:val="Subsection"/>
        <w:spacing w:before="120"/>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spacing w:before="120"/>
        <w:rPr>
          <w:snapToGrid w:val="0"/>
        </w:rPr>
      </w:pPr>
      <w:r>
        <w:rPr>
          <w:snapToGrid w:val="0"/>
        </w:rPr>
        <w:tab/>
      </w:r>
      <w:r>
        <w:rPr>
          <w:snapToGrid w:val="0"/>
        </w:rPr>
        <w:tab/>
        <w:t>and the notice may require the owner or occupier to do so —</w:t>
      </w:r>
    </w:p>
    <w:p>
      <w:pPr>
        <w:pStyle w:val="Indenta"/>
        <w:rPr>
          <w:snapToGrid w:val="0"/>
        </w:rPr>
      </w:pPr>
      <w:r>
        <w:rPr>
          <w:snapToGrid w:val="0"/>
        </w:rPr>
        <w:tab/>
        <w:t>(c)</w:t>
      </w:r>
      <w:r>
        <w:rPr>
          <w:snapToGrid w:val="0"/>
        </w:rPr>
        <w:tab/>
        <w:t>as a separate operation, or in co</w:t>
      </w:r>
      <w:r>
        <w:rPr>
          <w:snapToGrid w:val="0"/>
        </w:rPr>
        <w:noBreakHyphen/>
        <w:t xml:space="preserve">ordination with any other person, carrying out a similar operation on adjoining or neighbouring land; and </w:t>
      </w:r>
    </w:p>
    <w:p>
      <w:pPr>
        <w:pStyle w:val="Indenta"/>
        <w:rPr>
          <w:snapToGrid w:val="0"/>
        </w:rPr>
      </w:pPr>
      <w:r>
        <w:rPr>
          <w:snapToGrid w:val="0"/>
        </w:rPr>
        <w:tab/>
        <w:t>(d)</w:t>
      </w:r>
      <w:r>
        <w:rPr>
          <w:snapToGrid w:val="0"/>
        </w:rPr>
        <w:tab/>
        <w:t>in any event, to the satisfaction of either the local government or its duly authorised officer, according to which of them is specified in the notice.</w:t>
      </w:r>
    </w:p>
    <w:p>
      <w:pPr>
        <w:pStyle w:val="Subsection"/>
        <w:spacing w:before="120"/>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spacing w:before="180"/>
        <w:rPr>
          <w:snapToGrid w:val="0"/>
        </w:rPr>
      </w:pPr>
      <w:r>
        <w:rPr>
          <w:snapToGrid w:val="0"/>
        </w:rPr>
        <w:tab/>
        <w:t>(4)</w:t>
      </w:r>
      <w:r>
        <w:rPr>
          <w:snapToGrid w:val="0"/>
        </w:rPr>
        <w:tab/>
        <w:t>Where an owner or occupier of land who has received notice under subsection (1) fails or neglects to comply with the requisitions of the notice within the time specified in the notice —</w:t>
      </w:r>
    </w:p>
    <w:p>
      <w:pPr>
        <w:pStyle w:val="Indenta"/>
        <w:rPr>
          <w:snapToGrid w:val="0"/>
        </w:rPr>
      </w:pPr>
      <w:r>
        <w:rPr>
          <w:snapToGrid w:val="0"/>
        </w:rPr>
        <w:tab/>
        <w:t>(a)</w:t>
      </w:r>
      <w:r>
        <w:rPr>
          <w:snapToGrid w:val="0"/>
        </w:rPr>
        <w:tab/>
        <w:t>the local government may direct its bush fire control officer, or any other officer of the local government, to enter upon the land of the owner or occupier and to carry out the requisitions of the notice which have not been complied with; and</w:t>
      </w:r>
    </w:p>
    <w:p>
      <w:pPr>
        <w:pStyle w:val="Indenta"/>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spacing w:before="180"/>
        <w:rPr>
          <w:snapToGrid w:val="0"/>
        </w:rPr>
      </w:pPr>
      <w:r>
        <w:rPr>
          <w:snapToGrid w:val="0"/>
        </w:rPr>
        <w:tab/>
        <w:t>(5)</w:t>
      </w:r>
      <w:r>
        <w:rPr>
          <w:snapToGrid w:val="0"/>
        </w:rPr>
        <w:tab/>
        <w:t>The amount of any costs and expenses incurred by the bush fire control officer or other officer in doing the acts, matters, or things provided for in subsection (4) —</w:t>
      </w:r>
    </w:p>
    <w:p>
      <w:pPr>
        <w:pStyle w:val="Indenta"/>
        <w:rPr>
          <w:snapToGrid w:val="0"/>
        </w:rPr>
      </w:pPr>
      <w:r>
        <w:rPr>
          <w:snapToGrid w:val="0"/>
        </w:rPr>
        <w:tab/>
        <w:t>(a)</w:t>
      </w:r>
      <w:r>
        <w:rPr>
          <w:snapToGrid w:val="0"/>
        </w:rPr>
        <w:tab/>
        <w:t xml:space="preserve">shall be ascertained and fixed by the local government and a certificate signed by the mayor or president of the local government shall be </w:t>
      </w:r>
      <w:r>
        <w:rPr>
          <w:i/>
          <w:snapToGrid w:val="0"/>
        </w:rPr>
        <w:t>prima facie</w:t>
      </w:r>
      <w:r>
        <w:rPr>
          <w:snapToGrid w:val="0"/>
        </w:rPr>
        <w:t xml:space="preserve"> evidence of the amount; and</w:t>
      </w:r>
    </w:p>
    <w:p>
      <w:pPr>
        <w:pStyle w:val="Indenta"/>
        <w:rPr>
          <w:snapToGrid w:val="0"/>
        </w:rPr>
      </w:pPr>
      <w:r>
        <w:rPr>
          <w:snapToGrid w:val="0"/>
        </w:rPr>
        <w:tab/>
        <w:t>(b)</w:t>
      </w:r>
      <w:r>
        <w:rPr>
          <w:snapToGrid w:val="0"/>
        </w:rPr>
        <w:tab/>
        <w:t>may be recovered by the local government in any court of competent jurisdiction as a debt due from the owner or occupier of land to the local government.</w:t>
      </w:r>
    </w:p>
    <w:p>
      <w:pPr>
        <w:pStyle w:val="Subsection"/>
        <w:keepNext/>
        <w:spacing w:before="120"/>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w:t>
      </w:r>
      <w:r>
        <w:rPr>
          <w:snapToGrid w:val="0"/>
        </w:rPr>
        <w:t> —</w:t>
      </w:r>
    </w:p>
    <w:p>
      <w:pPr>
        <w:pStyle w:val="Indenta"/>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keepNext/>
        <w:rPr>
          <w:snapToGrid w:val="0"/>
        </w:rPr>
      </w:pPr>
      <w:r>
        <w:rPr>
          <w:snapToGrid w:val="0"/>
        </w:rPr>
        <w:tab/>
        <w:t>(7)</w:t>
      </w:r>
      <w:r>
        <w:rPr>
          <w:snapToGrid w:val="0"/>
        </w:rPr>
        <w:tab/>
        <w:t>Nothing in this section authorises a local government —</w:t>
      </w:r>
    </w:p>
    <w:p>
      <w:pPr>
        <w:pStyle w:val="Indenta"/>
        <w:spacing w:before="60"/>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spacing w:before="60"/>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w:t>
      </w:r>
    </w:p>
    <w:p>
      <w:pPr>
        <w:pStyle w:val="Indenta"/>
        <w:spacing w:before="60"/>
        <w:rPr>
          <w:snapToGrid w:val="0"/>
        </w:rPr>
      </w:pPr>
      <w:r>
        <w:rPr>
          <w:snapToGrid w:val="0"/>
        </w:rPr>
        <w:tab/>
        <w:t>(a)</w:t>
      </w:r>
      <w:r>
        <w:rPr>
          <w:snapToGrid w:val="0"/>
        </w:rPr>
        <w:tab/>
        <w:t>a debt due from each subsequent owner in succession; and</w:t>
      </w:r>
    </w:p>
    <w:p>
      <w:pPr>
        <w:pStyle w:val="Indenta"/>
        <w:spacing w:before="60"/>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spacing w:before="60"/>
        <w:rPr>
          <w:snapToGrid w:val="0"/>
        </w:rPr>
      </w:pPr>
      <w:r>
        <w:rPr>
          <w:snapToGrid w:val="0"/>
        </w:rPr>
        <w:tab/>
        <w:t>(c)</w:t>
      </w:r>
      <w:r>
        <w:rPr>
          <w:snapToGrid w:val="0"/>
        </w:rPr>
        <w:tab/>
        <w:t>recoverable by the local government in the same manner as rates imposed in respect of the land are recoverable under that Act.</w:t>
      </w:r>
    </w:p>
    <w:p>
      <w:pPr>
        <w:pStyle w:val="Subsection"/>
        <w:keepNext/>
      </w:pPr>
      <w:r>
        <w:tab/>
        <w:t>(9)</w:t>
      </w:r>
      <w:r>
        <w:tab/>
        <w:t>In t</w:t>
      </w:r>
      <w:r>
        <w:rPr>
          <w:snapToGrid w:val="0"/>
        </w:rPr>
        <w:t>h</w:t>
      </w:r>
      <w:r>
        <w:t>is section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[Section 33 amended by No. 11 of 1963 s. 15; No. 113 of 1965 s. 8(1); No. 65 of 1977 s. 32 and 48; No. 51 of 1979 s. 3 and 5; No. 8 of 1987 s. 8; No. 14 of 1996 s. 4; No. 38 of 2002 s. 28 and 39; No. 70 of 2003 s. 7; No. 19 of 2010 s. 52(4).]</w:t>
      </w:r>
    </w:p>
    <w:p>
      <w:pPr>
        <w:pStyle w:val="Heading5"/>
        <w:rPr>
          <w:snapToGrid w:val="0"/>
        </w:rPr>
      </w:pPr>
      <w:bookmarkStart w:id="203" w:name="_Toc397946861"/>
      <w:bookmarkStart w:id="204" w:name="_Toc415060734"/>
      <w:bookmarkStart w:id="205" w:name="_Toc392495385"/>
      <w:r>
        <w:rPr>
          <w:rStyle w:val="CharSectno"/>
        </w:rPr>
        <w:t>34</w:t>
      </w:r>
      <w:r>
        <w:rPr>
          <w:snapToGrid w:val="0"/>
        </w:rPr>
        <w:t>.</w:t>
      </w:r>
      <w:r>
        <w:rPr>
          <w:snapToGrid w:val="0"/>
        </w:rPr>
        <w:tab/>
        <w:t>Burning on Crown lands</w:t>
      </w:r>
      <w:bookmarkEnd w:id="203"/>
      <w:bookmarkEnd w:id="204"/>
      <w:bookmarkEnd w:id="205"/>
    </w:p>
    <w:p>
      <w:pPr>
        <w:pStyle w:val="Subsection"/>
        <w:rPr>
          <w:snapToGrid w:val="0"/>
        </w:rPr>
      </w:pPr>
      <w:r>
        <w:rPr>
          <w:snapToGrid w:val="0"/>
        </w:rPr>
        <w:tab/>
        <w:t>(1)</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 in width situated not more than 200 m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(1AB)</w:t>
      </w:r>
      <w:r>
        <w:rPr>
          <w:snapToGrid w:val="0"/>
        </w:rPr>
        <w:tab/>
        <w:t>Before any fire</w:t>
      </w:r>
      <w:r>
        <w:rPr>
          <w:snapToGrid w:val="0"/>
        </w:rPr>
        <w:noBreakHyphen/>
        <w:t>breaks are burnt under the provisions of subsection (1),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 in width from the boundary of the land or reserve.</w:t>
      </w:r>
    </w:p>
    <w:p>
      <w:pPr>
        <w:pStyle w:val="Subsection"/>
        <w:rPr>
          <w:snapToGrid w:val="0"/>
        </w:rPr>
      </w:pPr>
      <w:r>
        <w:rPr>
          <w:snapToGrid w:val="0"/>
        </w:rPr>
        <w:tab/>
        <w:t>(1AC)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rPr>
          <w:snapToGrid w:val="0"/>
        </w:rPr>
      </w:pPr>
      <w:r>
        <w:rPr>
          <w:snapToGrid w:val="0"/>
        </w:rPr>
        <w:tab/>
        <w:t>(1a)</w:t>
      </w:r>
      <w:r>
        <w:rPr>
          <w:snapToGrid w:val="0"/>
        </w:rPr>
        <w:tab/>
        <w:t>Where —</w:t>
      </w:r>
    </w:p>
    <w:p>
      <w:pPr>
        <w:pStyle w:val="Indenta"/>
        <w:spacing w:before="60"/>
        <w:rPr>
          <w:snapToGrid w:val="0"/>
        </w:rPr>
      </w:pPr>
      <w:r>
        <w:rPr>
          <w:snapToGrid w:val="0"/>
        </w:rPr>
        <w:tab/>
        <w:t>(a)</w:t>
      </w:r>
      <w:r>
        <w:rPr>
          <w:snapToGrid w:val="0"/>
        </w:rPr>
        <w:tab/>
        <w:t xml:space="preserve">the person, body or Government department responsible for the care, control and management of a reserve, after consultation with the local government or local governments in whose district or districts the reserve is situated, tenders to the </w:t>
      </w:r>
      <w:r>
        <w:t>FES Commissioner</w:t>
      </w:r>
      <w:r>
        <w:rPr>
          <w:snapToGrid w:val="0"/>
        </w:rPr>
        <w:t xml:space="preserve"> a plan setting out the measures taken and proposed to be taken to prevent, control and extinguish bush fires on the reserve; and</w:t>
      </w:r>
    </w:p>
    <w:p>
      <w:pPr>
        <w:pStyle w:val="Indenta"/>
        <w:spacing w:before="60"/>
        <w:rPr>
          <w:snapToGrid w:val="0"/>
        </w:rPr>
      </w:pPr>
      <w:r>
        <w:rPr>
          <w:snapToGrid w:val="0"/>
        </w:rPr>
        <w:tab/>
        <w:t>(b)</w:t>
      </w:r>
      <w:r>
        <w:rPr>
          <w:snapToGrid w:val="0"/>
        </w:rPr>
        <w:tab/>
        <w:t xml:space="preserve">the </w:t>
      </w:r>
      <w:r>
        <w:t>FES Commissioner</w:t>
      </w:r>
      <w:r>
        <w:rPr>
          <w:snapToGrid w:val="0"/>
        </w:rPr>
        <w:t xml:space="preserve"> is satisfied that the measures set out in the plan will provide adequate fire protection in relation to the reserve and that the exercise of the powers conferred by </w:t>
      </w:r>
      <w:r>
        <w:t>subsections (1) to (1AC) would</w:t>
      </w:r>
      <w:r>
        <w:rPr>
          <w:snapToGrid w:val="0"/>
        </w:rPr>
        <w:t xml:space="preserve"> be likely to interfere with the development of the reserve,</w:t>
      </w:r>
    </w:p>
    <w:p>
      <w:pPr>
        <w:pStyle w:val="Subsection"/>
        <w:spacing w:before="80"/>
        <w:rPr>
          <w:snapToGrid w:val="0"/>
        </w:rPr>
      </w:pPr>
      <w:r>
        <w:rPr>
          <w:snapToGrid w:val="0"/>
        </w:rPr>
        <w:tab/>
      </w:r>
      <w:r>
        <w:rPr>
          <w:snapToGrid w:val="0"/>
        </w:rPr>
        <w:tab/>
        <w:t xml:space="preserve">the </w:t>
      </w:r>
      <w:r>
        <w:t>FES Commissioner</w:t>
      </w:r>
      <w:r>
        <w:rPr>
          <w:snapToGrid w:val="0"/>
        </w:rPr>
        <w:t xml:space="preserve"> may, by notice published in the </w:t>
      </w:r>
      <w:r>
        <w:rPr>
          <w:i/>
          <w:snapToGrid w:val="0"/>
        </w:rPr>
        <w:t>Gazette</w:t>
      </w:r>
      <w:r>
        <w:rPr>
          <w:snapToGrid w:val="0"/>
        </w:rPr>
        <w:t xml:space="preserve"> and in a newspaper circulating in the district in which the reserve is situated, order that the powers conferred by </w:t>
      </w:r>
      <w:r>
        <w:t>subsections (1) to (1AC) shall</w:t>
      </w:r>
      <w:r>
        <w:rPr>
          <w:snapToGrid w:val="0"/>
        </w:rPr>
        <w:t xml:space="preserve"> not be exercised in relation to the reserve.</w:t>
      </w:r>
    </w:p>
    <w:p>
      <w:pPr>
        <w:pStyle w:val="Subsection"/>
        <w:spacing w:before="180"/>
        <w:rPr>
          <w:snapToGrid w:val="0"/>
        </w:rPr>
      </w:pPr>
      <w:r>
        <w:rPr>
          <w:snapToGrid w:val="0"/>
        </w:rPr>
        <w:tab/>
        <w:t>(1b)</w:t>
      </w:r>
      <w:r>
        <w:rPr>
          <w:snapToGrid w:val="0"/>
        </w:rPr>
        <w:tab/>
        <w:t>A notice published under subsection (1a)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rPr>
          <w:snapToGrid w:val="0"/>
        </w:rPr>
      </w:pPr>
      <w:r>
        <w:rPr>
          <w:snapToGrid w:val="0"/>
        </w:rPr>
        <w:tab/>
        <w:t>(2)</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(3)</w:t>
      </w:r>
      <w:r>
        <w:rPr>
          <w:snapToGrid w:val="0"/>
        </w:rPr>
        <w:tab/>
        <w:t xml:space="preserve">When and as often as the </w:t>
      </w:r>
      <w:r>
        <w:t>CALM Act CEO</w:t>
      </w:r>
      <w:r>
        <w:rPr>
          <w:snapToGrid w:val="0"/>
        </w:rPr>
        <w:t xml:space="preserve"> gives notice to an owner or occupier of land as provided for in </w:t>
      </w:r>
      <w:r>
        <w:t xml:space="preserve">subsection (2), </w:t>
      </w:r>
      <w:r>
        <w:rPr>
          <w:snapToGrid w:val="0"/>
        </w:rPr>
        <w:t xml:space="preserve">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[Section 34 amended by No. 11 of 1963 s. 16; No. 94 of 1972 s. 4 (as amended by No. 83 of 1973 s. 3); No. 65 of 1977 s. 33; No. 51 of 1979 s. 5; No. 14 of 1996 s. 4; No. 42 of 1998 s. 16; No. 28 of 2006 s. 389; No. 19 of 2010 s. 52(4); No. 22 of 2012 s. 69.]</w:t>
      </w:r>
    </w:p>
    <w:p>
      <w:pPr>
        <w:pStyle w:val="Heading5"/>
        <w:rPr>
          <w:snapToGrid w:val="0"/>
        </w:rPr>
      </w:pPr>
      <w:bookmarkStart w:id="206" w:name="_Toc397946862"/>
      <w:bookmarkStart w:id="207" w:name="_Toc415060735"/>
      <w:bookmarkStart w:id="208" w:name="_Toc392495386"/>
      <w:r>
        <w:rPr>
          <w:rStyle w:val="CharSectno"/>
        </w:rPr>
        <w:t>35</w:t>
      </w:r>
      <w:r>
        <w:rPr>
          <w:snapToGrid w:val="0"/>
        </w:rPr>
        <w:t>.</w:t>
      </w:r>
      <w:r>
        <w:rPr>
          <w:snapToGrid w:val="0"/>
        </w:rPr>
        <w:tab/>
        <w:t xml:space="preserve">Powers of </w:t>
      </w:r>
      <w:smartTag w:uri="urn:schemas-microsoft-com:office:smarttags" w:element="place">
        <w:r>
          <w:rPr>
            <w:snapToGrid w:val="0"/>
          </w:rPr>
          <w:t>FES</w:t>
        </w:r>
      </w:smartTag>
      <w:r>
        <w:rPr>
          <w:snapToGrid w:val="0"/>
        </w:rPr>
        <w:t xml:space="preserve"> Commissioner on default by local government</w:t>
      </w:r>
      <w:bookmarkEnd w:id="206"/>
      <w:bookmarkEnd w:id="207"/>
      <w:bookmarkEnd w:id="208"/>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w:t>
      </w:r>
      <w:r>
        <w:t>FES Commissioner</w:t>
      </w:r>
      <w:r>
        <w:rPr>
          <w:snapToGrid w:val="0"/>
        </w:rPr>
        <w:t xml:space="preserve">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spacing w:before="110"/>
        <w:rPr>
          <w:snapToGrid w:val="0"/>
        </w:rPr>
      </w:pPr>
      <w:r>
        <w:rPr>
          <w:snapToGrid w:val="0"/>
        </w:rPr>
        <w:tab/>
        <w:t>(2)</w:t>
      </w:r>
      <w:r>
        <w:rPr>
          <w:snapToGrid w:val="0"/>
        </w:rPr>
        <w:tab/>
        <w:t xml:space="preserve">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w:t>
      </w:r>
      <w:r>
        <w:t>FES Commissioner may authorise persons employed in the Department or agents of the FES Commissioner to</w:t>
      </w:r>
      <w:r>
        <w:rPr>
          <w:snapToGrid w:val="0"/>
        </w:rPr>
        <w:t xml:space="preserve"> exercise all the powers which the local government may exercise to ensure that the requirements of the notice are properly carried out.</w:t>
      </w:r>
    </w:p>
    <w:p>
      <w:pPr>
        <w:pStyle w:val="Subsection"/>
        <w:spacing w:before="110"/>
        <w:rPr>
          <w:snapToGrid w:val="0"/>
        </w:rPr>
      </w:pPr>
      <w:r>
        <w:rPr>
          <w:snapToGrid w:val="0"/>
        </w:rPr>
        <w:tab/>
        <w:t>(3)</w:t>
      </w:r>
      <w:r>
        <w:rPr>
          <w:snapToGrid w:val="0"/>
        </w:rPr>
        <w:tab/>
        <w:t xml:space="preserve">Where the </w:t>
      </w:r>
      <w:r>
        <w:t>FES Commissioner</w:t>
      </w:r>
      <w:r>
        <w:rPr>
          <w:snapToGrid w:val="0"/>
        </w:rPr>
        <w:t xml:space="preserve"> in exercise of the power conferred </w:t>
      </w:r>
      <w:r>
        <w:t>on the FES Commissioner</w:t>
      </w:r>
      <w:r>
        <w:rPr>
          <w:snapToGrid w:val="0"/>
        </w:rPr>
        <w:t xml:space="preserve"> by subsection (2) incurs any costs and expenses, the amount of the costs and expenses so incurred shall be ascertained and fixed by the </w:t>
      </w:r>
      <w:r>
        <w:t>FES Commissioner</w:t>
      </w:r>
      <w:r>
        <w:rPr>
          <w:snapToGrid w:val="0"/>
        </w:rPr>
        <w:t>.</w:t>
      </w:r>
    </w:p>
    <w:p>
      <w:pPr>
        <w:pStyle w:val="Subsection"/>
      </w:pPr>
      <w:r>
        <w:tab/>
        <w:t>(3B)</w:t>
      </w:r>
      <w:r>
        <w:tab/>
        <w:t>A certificate signed by the FES Commissioner is evidence of the amount referred to in subsection (3), and the FES Commissioner may recover the amount in a court of competent jurisdiction as a debt due to the State from the local government or from the owner or occupier of the land in respect of which the notice has been given, as the FES Commissioner may at the FES Commissioner’s option elect.</w:t>
      </w:r>
    </w:p>
    <w:p>
      <w:pPr>
        <w:pStyle w:val="Subsection"/>
        <w:spacing w:before="110"/>
        <w:rPr>
          <w:snapToGrid w:val="0"/>
        </w:rPr>
      </w:pPr>
      <w:r>
        <w:rPr>
          <w:snapToGrid w:val="0"/>
        </w:rPr>
        <w:tab/>
        <w:t>(4)</w:t>
      </w:r>
      <w:r>
        <w:rPr>
          <w:snapToGrid w:val="0"/>
        </w:rPr>
        <w:tab/>
        <w:t xml:space="preserve">Where in accordance with subsection (3B) the </w:t>
      </w:r>
      <w:r>
        <w:t>FES Commissioner</w:t>
      </w:r>
      <w:r>
        <w:rPr>
          <w:snapToGrid w:val="0"/>
        </w:rPr>
        <w:t xml:space="preserve"> takes proceedings against, and obtains a judgment against, the local government, the local government has no recourse against, or right of contribution by, the owner or occupier of land under this section in respect of the judgment.</w:t>
      </w:r>
    </w:p>
    <w:p>
      <w:pPr>
        <w:pStyle w:val="Subsection"/>
        <w:spacing w:before="110"/>
        <w:rPr>
          <w:snapToGrid w:val="0"/>
        </w:rPr>
      </w:pPr>
      <w:r>
        <w:rPr>
          <w:snapToGrid w:val="0"/>
        </w:rPr>
        <w:tab/>
        <w:t>(5)</w:t>
      </w:r>
      <w:r>
        <w:rPr>
          <w:snapToGrid w:val="0"/>
        </w:rPr>
        <w:tab/>
        <w:t xml:space="preserve">Where, in the opinion of the </w:t>
      </w:r>
      <w:r>
        <w:t>FES Commissioner</w:t>
      </w:r>
      <w:r>
        <w:rPr>
          <w:snapToGrid w:val="0"/>
        </w:rPr>
        <w:t xml:space="preserve">, a local government fails or neglects to carry out its duties, exercise its powers or perform its functions under the provisions of this Part, the </w:t>
      </w:r>
      <w:r>
        <w:t>FES Commissioner</w:t>
      </w:r>
      <w:r>
        <w:rPr>
          <w:snapToGrid w:val="0"/>
        </w:rPr>
        <w:t xml:space="preserve"> may, if </w:t>
      </w:r>
      <w:r>
        <w:t>the FES Commissioner deems</w:t>
      </w:r>
      <w:r>
        <w:rPr>
          <w:snapToGrid w:val="0"/>
        </w:rPr>
        <w:t xml:space="preserve"> it necessary, instruct a bush fire liaison officer to take such action as he considers necessary to remedy the default or neglect.</w:t>
      </w:r>
    </w:p>
    <w:p>
      <w:pPr>
        <w:pStyle w:val="Subsection"/>
        <w:keepNext/>
        <w:keepLines/>
        <w:spacing w:before="110"/>
        <w:rPr>
          <w:snapToGrid w:val="0"/>
        </w:rPr>
      </w:pPr>
      <w:r>
        <w:rPr>
          <w:snapToGrid w:val="0"/>
        </w:rPr>
        <w:tab/>
        <w:t>(6)</w:t>
      </w:r>
      <w:r>
        <w:rPr>
          <w:snapToGrid w:val="0"/>
        </w:rPr>
        <w:tab/>
        <w:t xml:space="preserve">The </w:t>
      </w:r>
      <w:r>
        <w:t>FES Commissioner</w:t>
      </w:r>
      <w:r>
        <w:rPr>
          <w:snapToGrid w:val="0"/>
        </w:rPr>
        <w:t xml:space="preserve"> may recover in a court of competent jurisdiction the amount of the expenses incurred by the liaison officer in remedying the default or neglect of the local government as a debt due by it to the</w:t>
      </w:r>
      <w:r>
        <w:t xml:space="preserve"> State.</w:t>
      </w:r>
    </w:p>
    <w:p>
      <w:pPr>
        <w:pStyle w:val="Footnotesection"/>
        <w:keepLines w:val="0"/>
      </w:pPr>
      <w:r>
        <w:tab/>
        <w:t>[Section 35 amended by No. 65 of 1977 s. 34 and 47; No. 60 of 1992 s. 11; No. 14 of 1996 s. 4; No. 42 of 1998 s. 16; No. 19 of 2010 s. 52(4); No. 22 of 2012 s. 59 and 69.]</w:t>
      </w:r>
    </w:p>
    <w:p>
      <w:pPr>
        <w:pStyle w:val="Heading2"/>
      </w:pPr>
      <w:bookmarkStart w:id="209" w:name="_Toc381872735"/>
      <w:bookmarkStart w:id="210" w:name="_Toc381873803"/>
      <w:bookmarkStart w:id="211" w:name="_Toc392495387"/>
      <w:bookmarkStart w:id="212" w:name="_Toc397946445"/>
      <w:bookmarkStart w:id="213" w:name="_Toc397946581"/>
      <w:bookmarkStart w:id="214" w:name="_Toc397946863"/>
      <w:bookmarkStart w:id="215" w:name="_Toc415060640"/>
      <w:bookmarkStart w:id="216" w:name="_Toc415060736"/>
      <w:r>
        <w:rPr>
          <w:rStyle w:val="CharPartNo"/>
        </w:rPr>
        <w:t>Part IV</w:t>
      </w:r>
      <w:r>
        <w:t> — </w:t>
      </w:r>
      <w:r>
        <w:rPr>
          <w:rStyle w:val="CharPartText"/>
        </w:rPr>
        <w:t>Control and extinguishment of bush fires</w:t>
      </w:r>
      <w:bookmarkEnd w:id="209"/>
      <w:bookmarkEnd w:id="210"/>
      <w:bookmarkEnd w:id="211"/>
      <w:bookmarkEnd w:id="212"/>
      <w:bookmarkEnd w:id="213"/>
      <w:bookmarkEnd w:id="214"/>
      <w:bookmarkEnd w:id="215"/>
      <w:bookmarkEnd w:id="216"/>
    </w:p>
    <w:p>
      <w:pPr>
        <w:pStyle w:val="Heading3"/>
      </w:pPr>
      <w:bookmarkStart w:id="217" w:name="_Toc381872736"/>
      <w:bookmarkStart w:id="218" w:name="_Toc381873804"/>
      <w:bookmarkStart w:id="219" w:name="_Toc392495388"/>
      <w:bookmarkStart w:id="220" w:name="_Toc397946446"/>
      <w:bookmarkStart w:id="221" w:name="_Toc397946582"/>
      <w:bookmarkStart w:id="222" w:name="_Toc397946864"/>
      <w:bookmarkStart w:id="223" w:name="_Toc415060641"/>
      <w:bookmarkStart w:id="224" w:name="_Toc415060737"/>
      <w:r>
        <w:rPr>
          <w:rStyle w:val="CharDivNo"/>
        </w:rPr>
        <w:t>Division 1</w:t>
      </w:r>
      <w:r>
        <w:rPr>
          <w:snapToGrid w:val="0"/>
        </w:rPr>
        <w:t> — </w:t>
      </w:r>
      <w:r>
        <w:rPr>
          <w:rStyle w:val="CharDivText"/>
        </w:rPr>
        <w:t>Local governments</w:t>
      </w:r>
      <w:bookmarkEnd w:id="217"/>
      <w:bookmarkEnd w:id="218"/>
      <w:bookmarkEnd w:id="219"/>
      <w:bookmarkEnd w:id="220"/>
      <w:bookmarkEnd w:id="221"/>
      <w:bookmarkEnd w:id="222"/>
      <w:bookmarkEnd w:id="223"/>
      <w:bookmarkEnd w:id="224"/>
    </w:p>
    <w:p>
      <w:pPr>
        <w:pStyle w:val="Footnoteheading"/>
        <w:ind w:left="890"/>
        <w:rPr>
          <w:snapToGrid w:val="0"/>
        </w:rPr>
      </w:pPr>
      <w:r>
        <w:rPr>
          <w:snapToGrid w:val="0"/>
        </w:rPr>
        <w:tab/>
        <w:t>[Heading amended by No. 14 of 1996 s. 4.]</w:t>
      </w:r>
    </w:p>
    <w:p>
      <w:pPr>
        <w:pStyle w:val="Heading5"/>
        <w:rPr>
          <w:snapToGrid w:val="0"/>
        </w:rPr>
      </w:pPr>
      <w:bookmarkStart w:id="225" w:name="_Toc397946865"/>
      <w:bookmarkStart w:id="226" w:name="_Toc415060738"/>
      <w:bookmarkStart w:id="227" w:name="_Toc392495389"/>
      <w:r>
        <w:rPr>
          <w:rStyle w:val="CharSectno"/>
        </w:rPr>
        <w:t>35A</w:t>
      </w:r>
      <w:r>
        <w:rPr>
          <w:snapToGrid w:val="0"/>
        </w:rPr>
        <w:t>.</w:t>
      </w:r>
      <w:r>
        <w:rPr>
          <w:snapToGrid w:val="0"/>
        </w:rPr>
        <w:tab/>
        <w:t>Terms used</w:t>
      </w:r>
      <w:bookmarkEnd w:id="225"/>
      <w:bookmarkEnd w:id="226"/>
      <w:bookmarkEnd w:id="227"/>
    </w:p>
    <w:p>
      <w:pPr>
        <w:pStyle w:val="Subsection"/>
        <w:rPr>
          <w:snapToGrid w:val="0"/>
        </w:rPr>
      </w:pPr>
      <w:r>
        <w:rPr>
          <w:snapToGrid w:val="0"/>
        </w:rPr>
        <w:tab/>
      </w:r>
      <w:r>
        <w:rPr>
          <w:snapToGrid w:val="0"/>
        </w:rPr>
        <w:tab/>
        <w:t>In this Division, and in section 41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loss or damage</w:t>
      </w:r>
      <w:r>
        <w:t xml:space="preserve"> does not include loss or damage that is caused by or results from theft, reasonable wear or tear, mechanical or electrical breakdown, failure or breakage;</w:t>
      </w:r>
    </w:p>
    <w:p>
      <w:pPr>
        <w:pStyle w:val="Defstart"/>
      </w:pPr>
      <w:r>
        <w:rPr>
          <w:b/>
        </w:rPr>
        <w:tab/>
      </w:r>
      <w:r>
        <w:rPr>
          <w:rStyle w:val="CharDefText"/>
        </w:rPr>
        <w:t>normal brigade activities</w:t>
      </w:r>
      <w:r>
        <w:t xml:space="preserve"> means the following activities when carried out by a volunteer fire fighter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[Section 35A inserted by No. 60 of 1992 s. 18; amended by No. 14 of 1996 s. 4.]</w:t>
      </w:r>
    </w:p>
    <w:p>
      <w:pPr>
        <w:pStyle w:val="Heading5"/>
        <w:rPr>
          <w:snapToGrid w:val="0"/>
        </w:rPr>
      </w:pPr>
      <w:bookmarkStart w:id="228" w:name="_Toc397946866"/>
      <w:bookmarkStart w:id="229" w:name="_Toc415060739"/>
      <w:bookmarkStart w:id="230" w:name="_Toc392495390"/>
      <w:r>
        <w:rPr>
          <w:rStyle w:val="CharSectno"/>
        </w:rPr>
        <w:t>36</w:t>
      </w:r>
      <w:r>
        <w:rPr>
          <w:snapToGrid w:val="0"/>
        </w:rPr>
        <w:t>.</w:t>
      </w:r>
      <w:r>
        <w:rPr>
          <w:snapToGrid w:val="0"/>
        </w:rPr>
        <w:tab/>
        <w:t>Local government may expend moneys in connection with control and extinguishment of bush fires</w:t>
      </w:r>
      <w:bookmarkEnd w:id="228"/>
      <w:bookmarkEnd w:id="229"/>
      <w:bookmarkEnd w:id="230"/>
    </w:p>
    <w:p>
      <w:pPr>
        <w:pStyle w:val="Subsection"/>
        <w:rPr>
          <w:snapToGrid w:val="0"/>
        </w:rPr>
      </w:pPr>
      <w:r>
        <w:rPr>
          <w:snapToGrid w:val="0"/>
        </w:rPr>
        <w:tab/>
      </w:r>
      <w:r>
        <w:rPr>
          <w:snapToGrid w:val="0"/>
        </w:rPr>
        <w:tab/>
        <w:t>A local government may, notwithstanding anything to the contrary contained in any other Act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ind w:left="890" w:hanging="890"/>
      </w:pPr>
      <w:r>
        <w:tab/>
        <w:t>[Section 36 amended by No. 11 of 1963 s. 17; No. 51 of 1979 s. 5; No. 60 of 1992 s. 19; No. 14 of 1996 s. 4; No. 57 of 1997 s. 26(2).]</w:t>
      </w:r>
    </w:p>
    <w:p>
      <w:pPr>
        <w:pStyle w:val="Heading5"/>
        <w:rPr>
          <w:snapToGrid w:val="0"/>
        </w:rPr>
      </w:pPr>
      <w:bookmarkStart w:id="231" w:name="_Toc397946867"/>
      <w:bookmarkStart w:id="232" w:name="_Toc415060740"/>
      <w:bookmarkStart w:id="233" w:name="_Toc392495391"/>
      <w:r>
        <w:rPr>
          <w:rStyle w:val="CharSectno"/>
        </w:rPr>
        <w:t>37</w:t>
      </w:r>
      <w:r>
        <w:rPr>
          <w:snapToGrid w:val="0"/>
        </w:rPr>
        <w:t>.</w:t>
      </w:r>
      <w:r>
        <w:rPr>
          <w:snapToGrid w:val="0"/>
        </w:rPr>
        <w:tab/>
        <w:t>Local government to insure certain persons</w:t>
      </w:r>
      <w:bookmarkEnd w:id="231"/>
      <w:bookmarkEnd w:id="232"/>
      <w:bookmarkEnd w:id="233"/>
    </w:p>
    <w:p>
      <w:pPr>
        <w:pStyle w:val="Subsection"/>
        <w:rPr>
          <w:snapToGrid w:val="0"/>
        </w:rPr>
      </w:pPr>
      <w:r>
        <w:rPr>
          <w:snapToGrid w:val="0"/>
        </w:rPr>
        <w:tab/>
        <w:t>(1)</w:t>
      </w:r>
      <w:r>
        <w:rPr>
          <w:snapToGrid w:val="0"/>
        </w:rPr>
        <w:tab/>
        <w:t>A local government that maintains a bush fire brigade shall obtain and keep current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w:t>
      </w:r>
    </w:p>
    <w:p>
      <w:pPr>
        <w:pStyle w:val="Defstart"/>
      </w:pPr>
      <w:r>
        <w:rPr>
          <w:b/>
        </w:rPr>
        <w:tab/>
      </w:r>
      <w:r>
        <w:rPr>
          <w:rStyle w:val="CharDefText"/>
        </w:rPr>
        <w:t>prescribed amount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r>
      <w:r>
        <w:rPr>
          <w:rStyle w:val="CharDefText"/>
        </w:rPr>
        <w:t>specified injury</w:t>
      </w:r>
      <w:r>
        <w:t xml:space="preserve"> means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w:t>
      </w:r>
    </w:p>
    <w:p>
      <w:pPr>
        <w:pStyle w:val="Indenta"/>
        <w:rPr>
          <w:snapToGrid w:val="0"/>
        </w:rPr>
      </w:pPr>
      <w:r>
        <w:rPr>
          <w:snapToGrid w:val="0"/>
        </w:rPr>
        <w:tab/>
        <w:t>(a)</w:t>
      </w:r>
      <w:r>
        <w:rPr>
          <w:snapToGrid w:val="0"/>
        </w:rPr>
        <w:tab/>
        <w:t>to a spouse irrespective of dependency upon the volunteer fire fighter; or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w:t>
      </w:r>
    </w:p>
    <w:p>
      <w:pPr>
        <w:pStyle w:val="Indenta"/>
        <w:rPr>
          <w:snapToGrid w:val="0"/>
        </w:rPr>
      </w:pPr>
      <w:r>
        <w:rPr>
          <w:snapToGrid w:val="0"/>
        </w:rPr>
        <w:tab/>
        <w:t>(a)</w:t>
      </w:r>
      <w:r>
        <w:rPr>
          <w:snapToGrid w:val="0"/>
        </w:rPr>
        <w:tab/>
        <w:t>in respect of any one bush fire, exceeds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$4 000 to any one person or partnership;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spacing w:before="180"/>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spacing w:before="180"/>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[Section 37 inserted by No. 60 of 1992 s. 20; amended by No. 14 of 1996 s. 4; No. 28 of 2003 s. 15; No. 42 of 2004 s. 174; No. 28 of 2006 s. 390.]</w:t>
      </w:r>
    </w:p>
    <w:p>
      <w:pPr>
        <w:pStyle w:val="Heading5"/>
        <w:spacing w:before="240"/>
        <w:rPr>
          <w:snapToGrid w:val="0"/>
        </w:rPr>
      </w:pPr>
      <w:bookmarkStart w:id="234" w:name="_Toc397946868"/>
      <w:bookmarkStart w:id="235" w:name="_Toc415060741"/>
      <w:bookmarkStart w:id="236" w:name="_Toc392495392"/>
      <w:r>
        <w:rPr>
          <w:rStyle w:val="CharSectno"/>
        </w:rPr>
        <w:t>38</w:t>
      </w:r>
      <w:r>
        <w:rPr>
          <w:snapToGrid w:val="0"/>
        </w:rPr>
        <w:t>.</w:t>
      </w:r>
      <w:r>
        <w:rPr>
          <w:snapToGrid w:val="0"/>
        </w:rPr>
        <w:tab/>
        <w:t>Local government may appoint bush fire control officer</w:t>
      </w:r>
      <w:bookmarkEnd w:id="234"/>
      <w:bookmarkEnd w:id="235"/>
      <w:bookmarkEnd w:id="236"/>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Subsection"/>
        <w:rPr>
          <w:snapToGrid w:val="0"/>
        </w:rPr>
      </w:pPr>
      <w:r>
        <w:rPr>
          <w:snapToGrid w:val="0"/>
        </w:rPr>
        <w:tab/>
        <w:t>(2C)</w:t>
      </w:r>
      <w:r>
        <w:rPr>
          <w:snapToGrid w:val="0"/>
        </w:rPr>
        <w:tab/>
        <w:t xml:space="preserve">The local government shall fill any vacancy occurring in the office of Chief Bush Fire Control Officer or Deputy Chief Bush Fire Control Officer within one month after the vacancy occurs and if the local government fails or neglects to do so within that time, the </w:t>
      </w:r>
      <w:r>
        <w:t>FES Commissioner</w:t>
      </w:r>
      <w:r>
        <w:rPr>
          <w:snapToGrid w:val="0"/>
        </w:rPr>
        <w:t xml:space="preserve"> may by notice in writing require the local government to appoint a person to the vacant office within one month after service on it of such notice.</w:t>
      </w:r>
    </w:p>
    <w:p>
      <w:pPr>
        <w:pStyle w:val="Subsection"/>
        <w:rPr>
          <w:snapToGrid w:val="0"/>
        </w:rPr>
      </w:pPr>
      <w:r>
        <w:rPr>
          <w:snapToGrid w:val="0"/>
        </w:rPr>
        <w:tab/>
        <w:t>(2D)</w:t>
      </w:r>
      <w:r>
        <w:rPr>
          <w:snapToGrid w:val="0"/>
        </w:rPr>
        <w:tab/>
        <w:t xml:space="preserve">Where a local government that has been served with a notice pursuant to subsection (2C) fails or neglects to comply with the requirements of that notice, the </w:t>
      </w:r>
      <w:r>
        <w:t>FES Commissioner may appoint a person who is not employed in the Department</w:t>
      </w:r>
      <w:r>
        <w:rPr>
          <w:snapToGrid w:val="0"/>
        </w:rPr>
        <w:t xml:space="preserve"> to the vacant office.</w:t>
      </w:r>
    </w:p>
    <w:p>
      <w:pPr>
        <w:pStyle w:val="Subsection"/>
        <w:rPr>
          <w:snapToGrid w:val="0"/>
        </w:rPr>
      </w:pPr>
      <w:r>
        <w:rPr>
          <w:snapToGrid w:val="0"/>
        </w:rPr>
        <w:tab/>
        <w:t>(2E)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w:t>
      </w:r>
      <w:smartTag w:uri="urn:schemas-microsoft-com:office:smarttags" w:element="place">
        <w:r>
          <w:t>FES</w:t>
        </w:r>
      </w:smartTag>
      <w:r>
        <w:t xml:space="preserve"> Commissioner</w:t>
      </w:r>
      <w:r>
        <w:rPr>
          <w:snapToGrid w:val="0"/>
        </w:rPr>
        <w:t xml:space="preserve">, by 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provisions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(5B)</w:t>
      </w:r>
      <w:r>
        <w:rPr>
          <w:snapToGrid w:val="0"/>
        </w:rPr>
        <w:tab/>
        <w:t xml:space="preserve">The bush fire control officer, or officer of the bush fire brigade, may by authority of any directions </w:t>
      </w:r>
      <w:r>
        <w:t xml:space="preserve">issued under subsection (5A) </w:t>
      </w:r>
      <w:r>
        <w:rPr>
          <w:snapToGrid w:val="0"/>
        </w:rPr>
        <w:t>carry out the directions but subject to the provisions of this Act.</w:t>
      </w:r>
    </w:p>
    <w:p>
      <w:pPr>
        <w:pStyle w:val="Subsection"/>
        <w:rPr>
          <w:snapToGrid w:val="0"/>
        </w:rPr>
      </w:pPr>
      <w:r>
        <w:rPr>
          <w:snapToGrid w:val="0"/>
        </w:rPr>
        <w:tab/>
        <w:t>(5C)</w:t>
      </w:r>
      <w:r>
        <w:rPr>
          <w:snapToGrid w:val="0"/>
        </w:rPr>
        <w:tab/>
        <w:t xml:space="preserve">The provisions of </w:t>
      </w:r>
      <w:r>
        <w:t xml:space="preserve">subsections (5A) and (5B) </w:t>
      </w:r>
      <w:r>
        <w:rPr>
          <w:snapToGrid w:val="0"/>
        </w:rPr>
        <w:t>are not in derogation of those of subsection (4).</w:t>
      </w:r>
    </w:p>
    <w:p>
      <w:pPr>
        <w:pStyle w:val="Subsection"/>
        <w:rPr>
          <w:snapToGrid w:val="0"/>
        </w:rPr>
      </w:pPr>
      <w:r>
        <w:rPr>
          <w:snapToGrid w:val="0"/>
        </w:rPr>
        <w:tab/>
        <w:t>(6)</w:t>
      </w:r>
      <w:r>
        <w:rPr>
          <w:snapToGrid w:val="0"/>
        </w:rPr>
        <w:tab/>
        <w:t>In this section —</w:t>
      </w:r>
    </w:p>
    <w:p>
      <w:pPr>
        <w:pStyle w:val="Defstart"/>
      </w:pPr>
      <w:r>
        <w:rPr>
          <w:b/>
        </w:rPr>
        <w:tab/>
      </w:r>
      <w:r>
        <w:rPr>
          <w:rStyle w:val="CharDefText"/>
          <w:spacing w:val="-4"/>
        </w:rPr>
        <w:t>approved local government</w:t>
      </w:r>
      <w:r>
        <w:t xml:space="preserve"> means a local government approved under subsection (7)by the FES Commissioner.</w:t>
      </w:r>
    </w:p>
    <w:p>
      <w:pPr>
        <w:pStyle w:val="Subsection"/>
        <w:rPr>
          <w:snapToGrid w:val="0"/>
        </w:rPr>
      </w:pPr>
      <w:r>
        <w:rPr>
          <w:snapToGrid w:val="0"/>
        </w:rPr>
        <w:tab/>
        <w:t>(7)</w:t>
      </w:r>
      <w:r>
        <w:rPr>
          <w:snapToGrid w:val="0"/>
        </w:rPr>
        <w:tab/>
        <w:t xml:space="preserve">If it appears to the </w:t>
      </w:r>
      <w:r>
        <w:t>FES Commissioner</w:t>
      </w:r>
      <w:r>
        <w:rPr>
          <w:snapToGrid w:val="0"/>
        </w:rPr>
        <w:t xml:space="preserve"> that the standard of efficiency of a local government in fire prevention and control justifies the </w:t>
      </w:r>
      <w:r>
        <w:t>FES Commissioner</w:t>
      </w:r>
      <w:r>
        <w:rPr>
          <w:snapToGrid w:val="0"/>
        </w:rPr>
        <w:t xml:space="preserve"> doing so, the </w:t>
      </w:r>
      <w:r>
        <w:t>FES Commissioner</w:t>
      </w:r>
      <w:r>
        <w:rPr>
          <w:snapToGrid w:val="0"/>
        </w:rPr>
        <w:t xml:space="preserve">, by notice published in the </w:t>
      </w:r>
      <w:r>
        <w:rPr>
          <w:i/>
          <w:snapToGrid w:val="0"/>
        </w:rPr>
        <w:t>Government Gazette</w:t>
      </w:r>
      <w:r>
        <w:rPr>
          <w:snapToGrid w:val="0"/>
        </w:rPr>
        <w:t> —</w:t>
      </w:r>
    </w:p>
    <w:p>
      <w:pPr>
        <w:pStyle w:val="Indenta"/>
        <w:rPr>
          <w:snapToGrid w:val="0"/>
        </w:rPr>
      </w:pPr>
      <w:r>
        <w:rPr>
          <w:snapToGrid w:val="0"/>
        </w:rPr>
        <w:tab/>
        <w:t>(a)</w:t>
      </w:r>
      <w:r>
        <w:rPr>
          <w:snapToGrid w:val="0"/>
        </w:rPr>
        <w:tab/>
        <w:t>may approve the local government as one to which</w:t>
      </w:r>
      <w:r>
        <w:t xml:space="preserve"> subsections (6) to (18) apply; and</w:t>
      </w:r>
    </w:p>
    <w:p>
      <w:pPr>
        <w:pStyle w:val="Indenta"/>
        <w:rPr>
          <w:snapToGrid w:val="0"/>
        </w:rPr>
      </w:pPr>
      <w:r>
        <w:rPr>
          <w:snapToGrid w:val="0"/>
        </w:rPr>
        <w:tab/>
        <w:t>(b)</w:t>
      </w:r>
      <w:r>
        <w:rPr>
          <w:snapToGrid w:val="0"/>
        </w:rPr>
        <w:tab/>
        <w:t>may from time to time cancel or vary any previous approval given under this subsection.</w:t>
      </w:r>
    </w:p>
    <w:p>
      <w:pPr>
        <w:pStyle w:val="Subsection"/>
        <w:rPr>
          <w:snapToGrid w:val="0"/>
        </w:rPr>
      </w:pPr>
      <w:r>
        <w:rPr>
          <w:snapToGrid w:val="0"/>
        </w:rPr>
        <w:tab/>
        <w:t>(8)</w:t>
      </w:r>
      <w:r>
        <w:rPr>
          <w:snapToGrid w:val="0"/>
        </w:rPr>
        <w:tab/>
        <w:t>An approved local government may appoint to the office of fire weather officer such number of senior bush fire control officers as it thinks necessary.</w:t>
      </w:r>
    </w:p>
    <w:p>
      <w:pPr>
        <w:pStyle w:val="Subsection"/>
        <w:rPr>
          <w:b/>
          <w:bCs/>
          <w:snapToGrid w:val="0"/>
        </w:rPr>
      </w:pPr>
      <w:r>
        <w:rPr>
          <w:snapToGrid w:val="0"/>
        </w:rPr>
        <w:tab/>
        <w:t>(9)</w:t>
      </w:r>
      <w:r>
        <w:rPr>
          <w:snapToGrid w:val="0"/>
        </w:rPr>
        <w:tab/>
        <w:t>Where more than one fire weather officer is appointed by a local government the local government shall define a part of its district in which each fire weather officer shall have the exclusive right to exercise the power conferred by</w:t>
      </w:r>
      <w:r>
        <w:t xml:space="preserve"> subsection (17).</w:t>
      </w:r>
    </w:p>
    <w:p>
      <w:pPr>
        <w:pStyle w:val="Subsection"/>
        <w:rPr>
          <w:snapToGrid w:val="0"/>
        </w:rPr>
      </w:pPr>
      <w:r>
        <w:rPr>
          <w:snapToGrid w:val="0"/>
        </w:rPr>
        <w:tab/>
        <w:t>(10)</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(11)</w:t>
      </w:r>
      <w:r>
        <w:rPr>
          <w:snapToGrid w:val="0"/>
        </w:rPr>
        <w:tab/>
        <w:t xml:space="preserve">Where the office of a fire weather officer is vacant or whilst the occupant is absent or unable to act in the discharge of the duties of the office, any deputy appointed in respect of that office under </w:t>
      </w:r>
      <w:r>
        <w:t xml:space="preserve">subsection (10) is, subject to subsection (12), </w:t>
      </w:r>
      <w:r>
        <w:rPr>
          <w:snapToGrid w:val="0"/>
        </w:rPr>
        <w:t>entitled to act in the discharge of the duties of that office.</w:t>
      </w:r>
    </w:p>
    <w:p>
      <w:pPr>
        <w:pStyle w:val="Subsection"/>
        <w:rPr>
          <w:snapToGrid w:val="0"/>
        </w:rPr>
      </w:pPr>
      <w:r>
        <w:rPr>
          <w:snapToGrid w:val="0"/>
        </w:rPr>
        <w:tab/>
        <w:t>(12)</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subsection (10) is available and able to discharge those duties.</w:t>
      </w:r>
    </w:p>
    <w:p>
      <w:pPr>
        <w:pStyle w:val="Subsection"/>
        <w:rPr>
          <w:snapToGrid w:val="0"/>
        </w:rPr>
      </w:pPr>
      <w:r>
        <w:rPr>
          <w:snapToGrid w:val="0"/>
        </w:rPr>
        <w:tab/>
        <w:t>(13)</w:t>
      </w:r>
      <w:r>
        <w:rPr>
          <w:snapToGrid w:val="0"/>
        </w:rPr>
        <w:tab/>
        <w:t xml:space="preserve">The local government shall give notice of an appointment made under </w:t>
      </w:r>
      <w:r>
        <w:t xml:space="preserve">subsection (8) or (10) </w:t>
      </w:r>
      <w:r>
        <w:rPr>
          <w:snapToGrid w:val="0"/>
        </w:rPr>
        <w:t xml:space="preserve">to the </w:t>
      </w:r>
      <w:r>
        <w:t>FES Commissioner</w:t>
      </w:r>
      <w:r>
        <w:rPr>
          <w:snapToGrid w:val="0"/>
        </w:rPr>
        <w:t xml:space="preserve"> and cause notice of the appointment to be published at least once in a newspaper circulating in its district and the </w:t>
      </w:r>
      <w:r>
        <w:t>FES Commissioner</w:t>
      </w:r>
      <w:r>
        <w:rPr>
          <w:snapToGrid w:val="0"/>
        </w:rPr>
        <w:t xml:space="preserve"> shall cause notice of the appointment to be published once in the </w:t>
      </w:r>
      <w:r>
        <w:rPr>
          <w:i/>
          <w:snapToGrid w:val="0"/>
        </w:rPr>
        <w:t>Government Gazette</w:t>
      </w:r>
      <w:r>
        <w:rPr>
          <w:snapToGrid w:val="0"/>
        </w:rPr>
        <w:t>.</w:t>
      </w:r>
    </w:p>
    <w:p>
      <w:pPr>
        <w:pStyle w:val="Subsection"/>
        <w:rPr>
          <w:snapToGrid w:val="0"/>
        </w:rPr>
      </w:pPr>
      <w:r>
        <w:rPr>
          <w:snapToGrid w:val="0"/>
        </w:rPr>
        <w:tab/>
        <w:t>(14)</w:t>
      </w:r>
      <w:r>
        <w:rPr>
          <w:snapToGrid w:val="0"/>
        </w:rPr>
        <w:tab/>
        <w:t xml:space="preserve">An approved local government may appoint a committee for the purpose of advising and assisting a fire weather officer or any deputy of a fire weather officer acting in the place of that officer under </w:t>
      </w:r>
      <w:del w:id="237" w:author="svcMRProcess" w:date="2018-08-20T23:31:00Z">
        <w:r>
          <w:rPr>
            <w:snapToGrid w:val="0"/>
          </w:rPr>
          <w:delText>this</w:delText>
        </w:r>
        <w:r>
          <w:delText xml:space="preserve"> </w:delText>
        </w:r>
      </w:del>
      <w:r>
        <w:t>subsections (6) to (18)</w:t>
      </w:r>
      <w:r>
        <w:rPr>
          <w:snapToGrid w:val="0"/>
        </w:rPr>
        <w:t>.</w:t>
      </w:r>
    </w:p>
    <w:p>
      <w:pPr>
        <w:pStyle w:val="Subsection"/>
        <w:rPr>
          <w:snapToGrid w:val="0"/>
        </w:rPr>
      </w:pPr>
      <w:r>
        <w:rPr>
          <w:snapToGrid w:val="0"/>
        </w:rPr>
        <w:tab/>
        <w:t>(15)</w:t>
      </w:r>
      <w:r>
        <w:rPr>
          <w:snapToGrid w:val="0"/>
        </w:rPr>
        <w:tab/>
        <w:t xml:space="preserve">Where a committee is appointed, a fire weather officer, or, as the case may be, a deputy of a fire weather officer while acting in the place of that officer, may exercise the authority conferred on him by </w:t>
      </w:r>
      <w:r>
        <w:t xml:space="preserve">subsection (17), </w:t>
      </w:r>
      <w:r>
        <w:rPr>
          <w:snapToGrid w:val="0"/>
        </w:rPr>
        <w:t>notwithstanding the advice and assistance tendered to him by the committee.</w:t>
      </w:r>
    </w:p>
    <w:p>
      <w:pPr>
        <w:pStyle w:val="Subsection"/>
        <w:rPr>
          <w:snapToGrid w:val="0"/>
        </w:rPr>
      </w:pPr>
      <w:r>
        <w:rPr>
          <w:snapToGrid w:val="0"/>
        </w:rPr>
        <w:tab/>
        <w:t>(16)</w:t>
      </w:r>
      <w:r>
        <w:rPr>
          <w:snapToGrid w:val="0"/>
        </w:rPr>
        <w:tab/>
        <w:t xml:space="preserve">The provisions of </w:t>
      </w:r>
      <w:r>
        <w:t xml:space="preserve">subsections (6) to (18) </w:t>
      </w:r>
      <w:r>
        <w:rPr>
          <w:snapToGrid w:val="0"/>
        </w:rPr>
        <w:t>are not in derogation of those of any other subsection of this section.</w:t>
      </w:r>
    </w:p>
    <w:p>
      <w:pPr>
        <w:pStyle w:val="Subsection"/>
        <w:rPr>
          <w:snapToGrid w:val="0"/>
        </w:rPr>
      </w:pPr>
      <w:r>
        <w:rPr>
          <w:snapToGrid w:val="0"/>
        </w:rPr>
        <w:tab/>
        <w:t>(17)</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 xml:space="preserve">“catastrophic”, “extreme”, “severe” or “very high”, </w:t>
      </w:r>
      <w:r>
        <w:rPr>
          <w:snapToGrid w:val="0"/>
        </w:rPr>
        <w:t>and upon the authority being given the person, if he has otherwise complied with the conditions prescribed for the purposes of section 18, may burn the bush.</w:t>
      </w:r>
    </w:p>
    <w:p>
      <w:pPr>
        <w:pStyle w:val="Subsection"/>
      </w:pPr>
      <w:r>
        <w:rPr>
          <w:snapToGrid w:val="0"/>
        </w:rPr>
        <w:tab/>
        <w:t>(18)</w:t>
      </w:r>
      <w:r>
        <w:rPr>
          <w:snapToGrid w:val="0"/>
        </w:rPr>
        <w:tab/>
      </w:r>
      <w:r>
        <w:t>Subsections (6) to (18) do</w:t>
      </w:r>
      <w:r>
        <w:rPr>
          <w:snapToGrid w:val="0"/>
        </w:rPr>
        <w:t xml:space="preserve"> not authorise the burning of </w:t>
      </w:r>
      <w:r>
        <w:t>bush —</w:t>
      </w:r>
    </w:p>
    <w:p>
      <w:pPr>
        <w:pStyle w:val="Indenta"/>
      </w:pPr>
      <w:r>
        <w:tab/>
        <w:t>(</w:t>
      </w:r>
      <w:del w:id="238" w:author="svcMRProcess" w:date="2018-08-20T23:31:00Z">
        <w:r>
          <w:delText>i</w:delText>
        </w:r>
      </w:del>
      <w:ins w:id="239" w:author="svcMRProcess" w:date="2018-08-20T23:31:00Z">
        <w:r>
          <w:t>a</w:t>
        </w:r>
      </w:ins>
      <w:r>
        <w:t>)</w:t>
      </w:r>
      <w:r>
        <w:tab/>
        <w:t>during the prohibited burning times; or</w:t>
      </w:r>
    </w:p>
    <w:p>
      <w:pPr>
        <w:pStyle w:val="Indenta"/>
        <w:rPr>
          <w:snapToGrid w:val="0"/>
        </w:rPr>
      </w:pPr>
      <w:r>
        <w:tab/>
        <w:t>(</w:t>
      </w:r>
      <w:del w:id="240" w:author="svcMRProcess" w:date="2018-08-20T23:31:00Z">
        <w:r>
          <w:delText>ii</w:delText>
        </w:r>
      </w:del>
      <w:ins w:id="241" w:author="svcMRProcess" w:date="2018-08-20T23:31:00Z">
        <w:r>
          <w:t>b</w:t>
        </w:r>
      </w:ins>
      <w:r>
        <w:t>)</w:t>
      </w:r>
      <w:r>
        <w:tab/>
        <w:t>during the period in which, and in the area of the State in respect of which, a total fire ban is declared under section 22A to have effect.</w:t>
      </w:r>
    </w:p>
    <w:p>
      <w:pPr>
        <w:pStyle w:val="Footnotesection"/>
        <w:spacing w:before="80"/>
        <w:ind w:left="890" w:hanging="890"/>
      </w:pPr>
      <w:r>
        <w:tab/>
        <w:t>[Section 38 amended by No. 35 of 1957 s. 7; No. 20 of 1958 s. 2; No. 11 of 1963 s. 18; No. 67 of 1970 s. 4; No. 65 of 1977 s. 36; No. 51 of 1979 s. 4; No. 60 of 1992 s. 21; No. 14 of 1996 s. 4; No. 10 of 1998 s. 20(2); No. 42 of 1998 s. 16; No. 38 of 2002 s. 29; No. 25 of 2009 s. 12; No. 19 of 2010 s. 52(4); No. 22 of 2012 s. 60 and 69</w:t>
      </w:r>
      <w:del w:id="242" w:author="svcMRProcess" w:date="2018-08-20T23:31:00Z">
        <w:r>
          <w:delText>.]</w:delText>
        </w:r>
      </w:del>
      <w:ins w:id="243" w:author="svcMRProcess" w:date="2018-08-20T23:31:00Z">
        <w:r>
          <w:t>; No. 17 of 2014 s. 17(2) and (3).]</w:t>
        </w:r>
      </w:ins>
    </w:p>
    <w:p>
      <w:pPr>
        <w:pStyle w:val="Heading5"/>
        <w:spacing w:before="180"/>
      </w:pPr>
      <w:bookmarkStart w:id="244" w:name="_Toc397946869"/>
      <w:bookmarkStart w:id="245" w:name="_Toc415060742"/>
      <w:bookmarkStart w:id="246" w:name="_Toc392495393"/>
      <w:r>
        <w:rPr>
          <w:rStyle w:val="CharSectno"/>
        </w:rPr>
        <w:t>38A</w:t>
      </w:r>
      <w:r>
        <w:t>.</w:t>
      </w:r>
      <w:r>
        <w:tab/>
      </w:r>
      <w:smartTag w:uri="urn:schemas-microsoft-com:office:smarttags" w:element="place">
        <w:r>
          <w:t>FES</w:t>
        </w:r>
      </w:smartTag>
      <w:r>
        <w:t xml:space="preserve"> Commissioner may designate person employed in Department as Chief Bush Fire Control Officer</w:t>
      </w:r>
      <w:bookmarkEnd w:id="244"/>
      <w:bookmarkEnd w:id="245"/>
      <w:bookmarkEnd w:id="246"/>
    </w:p>
    <w:p>
      <w:pPr>
        <w:pStyle w:val="Subsection"/>
      </w:pPr>
      <w:r>
        <w:tab/>
        <w:t>(1)</w:t>
      </w:r>
      <w:r>
        <w:tab/>
        <w:t>At the request of a local government the FES Commissioner may designate a person employed in the Department as the Chief Bush Fire Control Officer for the district of that local government.</w:t>
      </w:r>
    </w:p>
    <w:p>
      <w:pPr>
        <w:pStyle w:val="Subsection"/>
      </w:pPr>
      <w:r>
        <w:tab/>
        <w:t>(2)</w:t>
      </w:r>
      <w:r>
        <w:tab/>
        <w:t>Where a Chief Bush Fire Control Officer has been designated under subsection (1) for a district the local government is not to appoint a Chief Bush Fire Control Officer under section 38(1).</w:t>
      </w:r>
    </w:p>
    <w:p>
      <w:pPr>
        <w:pStyle w:val="Subsection"/>
        <w:spacing w:before="140"/>
      </w:pPr>
      <w:r>
        <w:tab/>
        <w:t>(3)</w:t>
      </w:r>
      <w:r>
        <w:tab/>
        <w:t>The provisions of this Act, other than section 38(3) to (5C) apply to and in relation to the Chief Bush Fire Control Officer designated under this section as if he or she were a Chief Bush Fire Control Officer appointed under section 38 by the local government.</w:t>
      </w:r>
    </w:p>
    <w:p>
      <w:pPr>
        <w:pStyle w:val="Subsection"/>
        <w:keepNext/>
        <w:spacing w:before="140"/>
      </w:pPr>
      <w:r>
        <w:tab/>
        <w:t>(4)</w:t>
      </w:r>
      <w:r>
        <w:tab/>
        <w:t>Section 38(3) to (5C) apply to and in relation to the Chief Bush Fire Control Officer designated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FES Commissioner.</w:t>
      </w:r>
    </w:p>
    <w:p>
      <w:pPr>
        <w:pStyle w:val="Footnotesection"/>
        <w:keepLines w:val="0"/>
        <w:spacing w:before="80"/>
        <w:ind w:left="890" w:hanging="890"/>
      </w:pPr>
      <w:r>
        <w:tab/>
        <w:t>[Section 38A inserted by No. 38 of 2002 s. 30; amended by No. 19 of 2010 s. 52(4); No. 22 of 2012 s. 61 and 69.]</w:t>
      </w:r>
    </w:p>
    <w:p>
      <w:pPr>
        <w:pStyle w:val="Heading5"/>
        <w:rPr>
          <w:snapToGrid w:val="0"/>
        </w:rPr>
      </w:pPr>
      <w:bookmarkStart w:id="247" w:name="_Toc397946870"/>
      <w:bookmarkStart w:id="248" w:name="_Toc415060743"/>
      <w:bookmarkStart w:id="249" w:name="_Toc392495394"/>
      <w:r>
        <w:rPr>
          <w:rStyle w:val="CharSectno"/>
        </w:rPr>
        <w:t>39</w:t>
      </w:r>
      <w:r>
        <w:rPr>
          <w:snapToGrid w:val="0"/>
        </w:rPr>
        <w:t>.</w:t>
      </w:r>
      <w:r>
        <w:rPr>
          <w:snapToGrid w:val="0"/>
        </w:rPr>
        <w:tab/>
        <w:t>Special powers of bush fire control officers</w:t>
      </w:r>
      <w:bookmarkEnd w:id="247"/>
      <w:bookmarkEnd w:id="248"/>
      <w:bookmarkEnd w:id="249"/>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w:t>
      </w:r>
    </w:p>
    <w:p>
      <w:pPr>
        <w:pStyle w:val="Indenta"/>
        <w:rPr>
          <w:snapToGrid w:val="0"/>
        </w:rPr>
      </w:pPr>
      <w:r>
        <w:rPr>
          <w:snapToGrid w:val="0"/>
        </w:rPr>
        <w:tab/>
        <w:t>(a)</w:t>
      </w:r>
      <w:r>
        <w:rPr>
          <w:snapToGrid w:val="0"/>
        </w:rPr>
        <w:tab/>
        <w:t xml:space="preserve">exercise any of the appropriate powers of the </w:t>
      </w:r>
      <w:r>
        <w:t xml:space="preserve">FES Commissioner </w:t>
      </w:r>
      <w:r>
        <w:rPr>
          <w:snapToGrid w:val="0"/>
        </w:rPr>
        <w:t xml:space="preserve">under the </w:t>
      </w:r>
      <w:r>
        <w:rPr>
          <w:i/>
          <w:snapToGrid w:val="0"/>
        </w:rPr>
        <w:t>Fire Brigades Act 1942</w:t>
      </w:r>
      <w:r>
        <w:rPr>
          <w:snapToGrid w:val="0"/>
        </w:rPr>
        <w:t>, in so far as the same may be necessary or expedient, for extinguishing a bush fire or for preventing the spread or extension of the fire; and</w:t>
      </w:r>
    </w:p>
    <w:p>
      <w:pPr>
        <w:pStyle w:val="Indenta"/>
        <w:rPr>
          <w:snapToGrid w:val="0"/>
        </w:rPr>
      </w:pPr>
      <w:r>
        <w:rPr>
          <w:snapToGrid w:val="0"/>
        </w:rPr>
        <w:tab/>
        <w:t>(b)</w:t>
      </w:r>
      <w:r>
        <w:rPr>
          <w:snapToGrid w:val="0"/>
        </w:rPr>
        <w:tab/>
        <w:t>enter any land or building, whether private property or not; and</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 and</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 and</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 and</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 and</w:t>
      </w:r>
    </w:p>
    <w:p>
      <w:pPr>
        <w:pStyle w:val="Indenta"/>
        <w:rPr>
          <w:snapToGrid w:val="0"/>
        </w:rPr>
      </w:pPr>
      <w:r>
        <w:rPr>
          <w:snapToGrid w:val="0"/>
        </w:rPr>
        <w:tab/>
        <w:t>(g)</w:t>
      </w:r>
      <w:r>
        <w:rPr>
          <w:snapToGrid w:val="0"/>
        </w:rPr>
        <w:tab/>
        <w:t>any other thing which in his opinion is incidental to the exercise of any of the foregoing powers; and</w:t>
      </w:r>
    </w:p>
    <w:p>
      <w:pPr>
        <w:pStyle w:val="Indenta"/>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Ednotesubsection"/>
        <w:spacing w:before="120"/>
      </w:pPr>
      <w:r>
        <w:tab/>
        <w:t>[(2)</w:t>
      </w:r>
      <w:r>
        <w:tab/>
        <w:t>deleted]</w:t>
      </w:r>
    </w:p>
    <w:p>
      <w:pPr>
        <w:pStyle w:val="Footnotesection"/>
        <w:ind w:left="890" w:hanging="890"/>
      </w:pPr>
      <w:r>
        <w:tab/>
        <w:t>[Section 39 amended by No. 11 of 1963 s. 19; No. 51 of 1979 s. 5; No. 8 of 1987 s. 4; No. 14 of 1996 s. 4; No. 38 of 2002 s. 31 and 40; No. 25 of 2009 s. 13; No. 22 of 2012 s. 62.]</w:t>
      </w:r>
    </w:p>
    <w:p>
      <w:pPr>
        <w:pStyle w:val="Heading5"/>
        <w:rPr>
          <w:snapToGrid w:val="0"/>
        </w:rPr>
      </w:pPr>
      <w:bookmarkStart w:id="250" w:name="_Toc397946871"/>
      <w:bookmarkStart w:id="251" w:name="_Toc415060744"/>
      <w:bookmarkStart w:id="252" w:name="_Toc392495395"/>
      <w:r>
        <w:rPr>
          <w:rStyle w:val="CharSectno"/>
        </w:rPr>
        <w:t>39A</w:t>
      </w:r>
      <w:r>
        <w:rPr>
          <w:snapToGrid w:val="0"/>
        </w:rPr>
        <w:t>.</w:t>
      </w:r>
      <w:r>
        <w:rPr>
          <w:snapToGrid w:val="0"/>
        </w:rPr>
        <w:tab/>
        <w:t>Duties of bush fire authorities on outbreak of fire</w:t>
      </w:r>
      <w:bookmarkEnd w:id="250"/>
      <w:bookmarkEnd w:id="251"/>
      <w:bookmarkEnd w:id="252"/>
    </w:p>
    <w:p>
      <w:pPr>
        <w:pStyle w:val="Subsection"/>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rPr>
          <w:snapToGrid w:val="0"/>
        </w:rPr>
      </w:pPr>
      <w:r>
        <w:rPr>
          <w:snapToGrid w:val="0"/>
        </w:rPr>
        <w:tab/>
        <w:t>(3)</w:t>
      </w:r>
      <w:r>
        <w:rPr>
          <w:snapToGrid w:val="0"/>
        </w:rPr>
        <w:tab/>
        <w:t>This section applies only to bush fires which —</w:t>
      </w:r>
    </w:p>
    <w:p>
      <w:pPr>
        <w:pStyle w:val="Indenta"/>
        <w:rPr>
          <w:snapToGrid w:val="0"/>
        </w:rPr>
      </w:pPr>
      <w:r>
        <w:rPr>
          <w:snapToGrid w:val="0"/>
        </w:rPr>
        <w:tab/>
        <w:t>(a)</w:t>
      </w:r>
      <w:r>
        <w:rPr>
          <w:snapToGrid w:val="0"/>
        </w:rPr>
        <w:tab/>
        <w:t>have been lit or are maintained unlawfully; or</w:t>
      </w:r>
    </w:p>
    <w:p>
      <w:pPr>
        <w:pStyle w:val="Indenta"/>
        <w:rPr>
          <w:snapToGrid w:val="0"/>
        </w:rPr>
      </w:pPr>
      <w:r>
        <w:rPr>
          <w:snapToGrid w:val="0"/>
        </w:rPr>
        <w:tab/>
        <w:t>(b)</w:t>
      </w:r>
      <w:r>
        <w:rPr>
          <w:snapToGrid w:val="0"/>
        </w:rPr>
        <w:tab/>
        <w:t>have occurred accidentally; or</w:t>
      </w:r>
    </w:p>
    <w:p>
      <w:pPr>
        <w:pStyle w:val="Indenta"/>
        <w:rPr>
          <w:snapToGrid w:val="0"/>
        </w:rPr>
      </w:pPr>
      <w:r>
        <w:rPr>
          <w:snapToGrid w:val="0"/>
        </w:rPr>
        <w:tab/>
        <w:t>(c)</w:t>
      </w:r>
      <w:r>
        <w:rPr>
          <w:snapToGrid w:val="0"/>
        </w:rPr>
        <w:tab/>
        <w:t>have ceased to be under control or are not adequately controlled; or</w:t>
      </w:r>
    </w:p>
    <w:p>
      <w:pPr>
        <w:pStyle w:val="Indenta"/>
        <w:rPr>
          <w:snapToGrid w:val="0"/>
        </w:rPr>
      </w:pPr>
      <w:r>
        <w:rPr>
          <w:snapToGrid w:val="0"/>
        </w:rPr>
        <w:tab/>
        <w:t>(d)</w:t>
      </w:r>
      <w:r>
        <w:rPr>
          <w:snapToGrid w:val="0"/>
        </w:rPr>
        <w:tab/>
        <w:t>are declared in the regulations to be bush fires to which this section applies.</w:t>
      </w:r>
    </w:p>
    <w:p>
      <w:pPr>
        <w:pStyle w:val="Footnotesection"/>
      </w:pPr>
      <w:r>
        <w:tab/>
        <w:t>[Section 39A inserted by No. 35 of 1957 s. 8; amended by No. 51 of 1979 s. 5; No. 14 of 1996 s. 4.]</w:t>
      </w:r>
    </w:p>
    <w:p>
      <w:pPr>
        <w:pStyle w:val="Heading5"/>
        <w:spacing w:before="280"/>
        <w:rPr>
          <w:snapToGrid w:val="0"/>
        </w:rPr>
      </w:pPr>
      <w:bookmarkStart w:id="253" w:name="_Toc397946872"/>
      <w:bookmarkStart w:id="254" w:name="_Toc415060745"/>
      <w:bookmarkStart w:id="255" w:name="_Toc392495396"/>
      <w:r>
        <w:rPr>
          <w:rStyle w:val="CharSectno"/>
        </w:rPr>
        <w:t>40</w:t>
      </w:r>
      <w:r>
        <w:rPr>
          <w:snapToGrid w:val="0"/>
        </w:rPr>
        <w:t>.</w:t>
      </w:r>
      <w:r>
        <w:rPr>
          <w:snapToGrid w:val="0"/>
        </w:rPr>
        <w:tab/>
        <w:t>Local governments may join in appointing and employing bush fire control officers</w:t>
      </w:r>
      <w:bookmarkEnd w:id="253"/>
      <w:bookmarkEnd w:id="254"/>
      <w:bookmarkEnd w:id="255"/>
    </w:p>
    <w:p>
      <w:pPr>
        <w:pStyle w:val="Subsection"/>
        <w:spacing w:before="18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8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[Section 40 amended by No. 14 of 1996 s. 4.]</w:t>
      </w:r>
    </w:p>
    <w:p>
      <w:pPr>
        <w:pStyle w:val="Heading3"/>
        <w:keepNext w:val="0"/>
      </w:pPr>
      <w:bookmarkStart w:id="256" w:name="_Toc381872745"/>
      <w:bookmarkStart w:id="257" w:name="_Toc381873813"/>
      <w:bookmarkStart w:id="258" w:name="_Toc392495397"/>
      <w:bookmarkStart w:id="259" w:name="_Toc397946455"/>
      <w:bookmarkStart w:id="260" w:name="_Toc397946591"/>
      <w:bookmarkStart w:id="261" w:name="_Toc397946873"/>
      <w:bookmarkStart w:id="262" w:name="_Toc415060650"/>
      <w:bookmarkStart w:id="263" w:name="_Toc415060746"/>
      <w:r>
        <w:rPr>
          <w:rStyle w:val="CharDivNo"/>
        </w:rPr>
        <w:t>Division 2</w:t>
      </w:r>
      <w:r>
        <w:rPr>
          <w:snapToGrid w:val="0"/>
        </w:rPr>
        <w:t> — </w:t>
      </w:r>
      <w:r>
        <w:rPr>
          <w:rStyle w:val="CharDivText"/>
        </w:rPr>
        <w:t>Bush fire brigades</w:t>
      </w:r>
      <w:bookmarkEnd w:id="256"/>
      <w:bookmarkEnd w:id="257"/>
      <w:bookmarkEnd w:id="258"/>
      <w:bookmarkEnd w:id="259"/>
      <w:bookmarkEnd w:id="260"/>
      <w:bookmarkEnd w:id="261"/>
      <w:bookmarkEnd w:id="262"/>
      <w:bookmarkEnd w:id="263"/>
    </w:p>
    <w:p>
      <w:pPr>
        <w:pStyle w:val="Heading5"/>
        <w:spacing w:before="280"/>
        <w:rPr>
          <w:snapToGrid w:val="0"/>
        </w:rPr>
      </w:pPr>
      <w:bookmarkStart w:id="264" w:name="_Toc397946874"/>
      <w:bookmarkStart w:id="265" w:name="_Toc415060747"/>
      <w:bookmarkStart w:id="266" w:name="_Toc392495398"/>
      <w:r>
        <w:rPr>
          <w:rStyle w:val="CharSectno"/>
        </w:rPr>
        <w:t>41</w:t>
      </w:r>
      <w:r>
        <w:rPr>
          <w:snapToGrid w:val="0"/>
        </w:rPr>
        <w:t>.</w:t>
      </w:r>
      <w:r>
        <w:rPr>
          <w:snapToGrid w:val="0"/>
        </w:rPr>
        <w:tab/>
        <w:t>Bush fire brigades</w:t>
      </w:r>
      <w:bookmarkEnd w:id="264"/>
      <w:bookmarkEnd w:id="265"/>
      <w:bookmarkEnd w:id="266"/>
    </w:p>
    <w:p>
      <w:pPr>
        <w:pStyle w:val="Subsection"/>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pPr>
      <w:r>
        <w:tab/>
        <w:t>(2a)</w:t>
      </w:r>
      <w:r>
        <w:tab/>
        <w:t>A local government is to notify the FES Commissioner as soon as practicable after any changes occur in any of the details required to be recorded in the register under subsection (2).</w:t>
      </w:r>
    </w:p>
    <w:p>
      <w:pPr>
        <w:pStyle w:val="Subsection"/>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[Section 41 inserted by No. 65 of 1977 s. 37; amended by No. 60 of 1992 s. 22; No. 14 of 1996 s. 4; No. 38 of 2002 s. 32; No. 22 of 2012 s. 69.]</w:t>
      </w:r>
    </w:p>
    <w:p>
      <w:pPr>
        <w:pStyle w:val="Heading5"/>
        <w:spacing w:before="200"/>
        <w:rPr>
          <w:snapToGrid w:val="0"/>
        </w:rPr>
      </w:pPr>
      <w:bookmarkStart w:id="267" w:name="_Toc397946875"/>
      <w:bookmarkStart w:id="268" w:name="_Toc415060748"/>
      <w:bookmarkStart w:id="269" w:name="_Toc392495399"/>
      <w:r>
        <w:rPr>
          <w:rStyle w:val="CharSectno"/>
        </w:rPr>
        <w:t>42</w:t>
      </w:r>
      <w:r>
        <w:rPr>
          <w:snapToGrid w:val="0"/>
        </w:rPr>
        <w:t>.</w:t>
      </w:r>
      <w:r>
        <w:rPr>
          <w:snapToGrid w:val="0"/>
        </w:rPr>
        <w:tab/>
        <w:t>Local governments may join in establishing bush fire brigade</w:t>
      </w:r>
      <w:bookmarkEnd w:id="267"/>
      <w:bookmarkEnd w:id="268"/>
      <w:bookmarkEnd w:id="269"/>
    </w:p>
    <w:p>
      <w:pPr>
        <w:pStyle w:val="Subsection"/>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[Section 42 amended by No. 14 of 1996 s. 4; No. 38 of 2002 s. 33.]</w:t>
      </w:r>
    </w:p>
    <w:p>
      <w:pPr>
        <w:pStyle w:val="Heading5"/>
      </w:pPr>
      <w:bookmarkStart w:id="270" w:name="_Toc397946876"/>
      <w:bookmarkStart w:id="271" w:name="_Toc415060749"/>
      <w:bookmarkStart w:id="272" w:name="_Toc392495400"/>
      <w:r>
        <w:rPr>
          <w:rStyle w:val="CharSectno"/>
        </w:rPr>
        <w:t>42A</w:t>
      </w:r>
      <w:r>
        <w:t>.</w:t>
      </w:r>
      <w:r>
        <w:tab/>
        <w:t>Constitution of bush fire brigade</w:t>
      </w:r>
      <w:bookmarkEnd w:id="270"/>
      <w:bookmarkEnd w:id="271"/>
      <w:bookmarkEnd w:id="272"/>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273" w:name="_Toc397946877"/>
      <w:bookmarkStart w:id="274" w:name="_Toc415060750"/>
      <w:bookmarkStart w:id="275" w:name="_Toc392495401"/>
      <w:r>
        <w:rPr>
          <w:rStyle w:val="CharSectno"/>
        </w:rPr>
        <w:t>43</w:t>
      </w:r>
      <w:r>
        <w:rPr>
          <w:snapToGrid w:val="0"/>
        </w:rPr>
        <w:t>.</w:t>
      </w:r>
      <w:r>
        <w:rPr>
          <w:snapToGrid w:val="0"/>
        </w:rPr>
        <w:tab/>
        <w:t>Election and duties of officers of bush fire brigades</w:t>
      </w:r>
      <w:bookmarkEnd w:id="273"/>
      <w:bookmarkEnd w:id="274"/>
      <w:bookmarkEnd w:id="275"/>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[Section 43 amended by No. 51 of 1979 s. 5; No. 14 of 1996 s. 4.]</w:t>
      </w:r>
    </w:p>
    <w:p>
      <w:pPr>
        <w:pStyle w:val="Heading5"/>
        <w:rPr>
          <w:snapToGrid w:val="0"/>
        </w:rPr>
      </w:pPr>
      <w:bookmarkStart w:id="276" w:name="_Toc397946878"/>
      <w:bookmarkStart w:id="277" w:name="_Toc415060751"/>
      <w:bookmarkStart w:id="278" w:name="_Toc392495402"/>
      <w:r>
        <w:rPr>
          <w:rStyle w:val="CharSectno"/>
        </w:rPr>
        <w:t>44</w:t>
      </w:r>
      <w:r>
        <w:rPr>
          <w:snapToGrid w:val="0"/>
        </w:rPr>
        <w:t>.</w:t>
      </w:r>
      <w:r>
        <w:rPr>
          <w:snapToGrid w:val="0"/>
        </w:rPr>
        <w:tab/>
        <w:t>Powers and authorities of officers of bush fire brigade</w:t>
      </w:r>
      <w:bookmarkEnd w:id="276"/>
      <w:bookmarkEnd w:id="277"/>
      <w:bookmarkEnd w:id="278"/>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w:t>
      </w:r>
    </w:p>
    <w:p>
      <w:pPr>
        <w:pStyle w:val="Indenta"/>
        <w:rPr>
          <w:snapToGrid w:val="0"/>
        </w:rPr>
      </w:pPr>
      <w:r>
        <w:rPr>
          <w:snapToGrid w:val="0"/>
        </w:rPr>
        <w:tab/>
        <w:t>(a)</w:t>
      </w:r>
      <w:r>
        <w:rPr>
          <w:snapToGrid w:val="0"/>
        </w:rPr>
        <w:tab/>
        <w:t>control and direct the bush fire brigade at the fire or a person who voluntarily places his service at his disposal;</w:t>
      </w:r>
    </w:p>
    <w:p>
      <w:pPr>
        <w:pStyle w:val="Indenta"/>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w:t>
      </w:r>
    </w:p>
    <w:p>
      <w:pPr>
        <w:pStyle w:val="Indenta"/>
        <w:spacing w:before="70"/>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spacing w:before="70"/>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tab/>
        <w:t>(3</w:t>
      </w:r>
      <w:del w:id="279" w:author="svcMRProcess" w:date="2018-08-20T23:31:00Z">
        <w:r>
          <w:rPr>
            <w:snapToGrid w:val="0"/>
          </w:rPr>
          <w:delText>)(a</w:delText>
        </w:r>
      </w:del>
      <w:r>
        <w:t>)</w:t>
      </w:r>
      <w:r>
        <w:tab/>
        <w:t>Subject</w:t>
      </w:r>
      <w:r>
        <w:rPr>
          <w:snapToGrid w:val="0"/>
        </w:rPr>
        <w:t xml:space="preserve"> </w:t>
      </w:r>
      <w:r>
        <w:t>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(4)</w:t>
      </w:r>
      <w:r>
        <w:rPr>
          <w:snapToGrid w:val="0"/>
        </w:rPr>
        <w:tab/>
        <w:t xml:space="preserve">Subject to the provisions of </w:t>
      </w:r>
      <w:r>
        <w:t xml:space="preserve">sections 13(6) and 45, </w:t>
      </w:r>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[Section 44 amended by No. 35 of 1957 s. 9; No. 14 of 1996 s. 4; No. 25 of 2009 s. 14; No. 19 of 2010 s. </w:t>
      </w:r>
      <w:del w:id="280" w:author="svcMRProcess" w:date="2018-08-20T23:31:00Z">
        <w:r>
          <w:delText>52</w:delText>
        </w:r>
      </w:del>
      <w:ins w:id="281" w:author="svcMRProcess" w:date="2018-08-20T23:31:00Z">
        <w:r>
          <w:t>52(4); No. 17 of 2014 s. 17</w:t>
        </w:r>
      </w:ins>
      <w:r>
        <w:t>(4).]</w:t>
      </w:r>
    </w:p>
    <w:p>
      <w:pPr>
        <w:pStyle w:val="Heading5"/>
      </w:pPr>
      <w:bookmarkStart w:id="282" w:name="_Toc397946879"/>
      <w:bookmarkStart w:id="283" w:name="_Toc415060752"/>
      <w:bookmarkStart w:id="284" w:name="_Toc392495403"/>
      <w:r>
        <w:rPr>
          <w:rStyle w:val="CharSectno"/>
        </w:rPr>
        <w:t>45A</w:t>
      </w:r>
      <w:r>
        <w:t>.</w:t>
      </w:r>
      <w:r>
        <w:tab/>
        <w:t>Requests to authorised CALM Act officers to take control of bush fires</w:t>
      </w:r>
      <w:bookmarkEnd w:id="282"/>
      <w:bookmarkEnd w:id="283"/>
      <w:bookmarkEnd w:id="284"/>
    </w:p>
    <w:p>
      <w:pPr>
        <w:pStyle w:val="Subsection"/>
      </w:pPr>
      <w:r>
        <w:tab/>
        <w:t>(1)</w:t>
      </w:r>
      <w:r>
        <w:tab/>
        <w:t>If —</w:t>
      </w:r>
    </w:p>
    <w:p>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Indenta"/>
      </w:pPr>
      <w:r>
        <w:tab/>
        <w:t>(b)</w:t>
      </w:r>
      <w:r>
        <w:tab/>
        <w:t>an authorised CALM Act officer is present at the fire,</w:t>
      </w:r>
    </w:p>
    <w:p>
      <w:pPr>
        <w:pStyle w:val="Subsection"/>
      </w:pPr>
      <w:r>
        <w:tab/>
      </w:r>
      <w:r>
        <w:tab/>
        <w:t>the bush fire officer may request the authorised CALM Act officer to take control of all operations in relation to the fire.</w:t>
      </w:r>
    </w:p>
    <w:p>
      <w:pPr>
        <w:pStyle w:val="Subsection"/>
        <w:rPr>
          <w:snapToGrid w:val="0"/>
        </w:rPr>
      </w:pPr>
      <w:r>
        <w:tab/>
        <w:t>(2)</w:t>
      </w:r>
      <w:r>
        <w:tab/>
        <w:t xml:space="preserve">If the authorised CALM Act officer </w:t>
      </w:r>
      <w:r>
        <w:rPr>
          <w:snapToGrid w:val="0"/>
        </w:rPr>
        <w:t>agrees to take control of all operations in relation to the bush fire —</w:t>
      </w:r>
    </w:p>
    <w:p>
      <w:pPr>
        <w:pStyle w:val="Indenta"/>
      </w:pPr>
      <w:r>
        <w:tab/>
        <w:t>(a)</w:t>
      </w:r>
      <w:r>
        <w:tab/>
        <w:t>the officer —</w:t>
      </w:r>
    </w:p>
    <w:p>
      <w:pPr>
        <w:pStyle w:val="Indenti"/>
      </w:pPr>
      <w:r>
        <w:tab/>
        <w:t>(i)</w:t>
      </w:r>
      <w:r>
        <w:tab/>
        <w:t>must inform the FES Commissioner of having done so; and</w:t>
      </w:r>
    </w:p>
    <w:p>
      <w:pPr>
        <w:pStyle w:val="Indenti"/>
      </w:pPr>
      <w:r>
        <w:tab/>
        <w:t>(ii)</w:t>
      </w:r>
      <w:r>
        <w:tab/>
        <w:t>must comply with any requirements prescribed by the regulations for the purposes of this subsection;</w:t>
      </w:r>
    </w:p>
    <w:p>
      <w:pPr>
        <w:pStyle w:val="Indenta"/>
      </w:pPr>
      <w:r>
        <w:tab/>
      </w:r>
      <w:r>
        <w:tab/>
        <w:t>and</w:t>
      </w:r>
    </w:p>
    <w:p>
      <w:pPr>
        <w:pStyle w:val="Indenta"/>
        <w:keepNext/>
      </w:pPr>
      <w:r>
        <w:tab/>
        <w:t>(b)</w:t>
      </w:r>
      <w:r>
        <w:tab/>
        <w:t>subject to section 45(5) and (6), the officer has in relation to the fire the powers, authorities and control referred to in section 45(2) and (3).</w:t>
      </w:r>
    </w:p>
    <w:p>
      <w:pPr>
        <w:pStyle w:val="Footnotesection"/>
      </w:pPr>
      <w:r>
        <w:tab/>
        <w:t>[Section 45A inserted by No. 25 of 2009 s. 15; amended by No. 22 of 2012 s. 69.]</w:t>
      </w:r>
    </w:p>
    <w:p>
      <w:pPr>
        <w:pStyle w:val="Heading5"/>
        <w:spacing w:before="200"/>
        <w:rPr>
          <w:snapToGrid w:val="0"/>
        </w:rPr>
      </w:pPr>
      <w:bookmarkStart w:id="285" w:name="_Toc397946880"/>
      <w:bookmarkStart w:id="286" w:name="_Toc415060753"/>
      <w:bookmarkStart w:id="287" w:name="_Toc392495404"/>
      <w:r>
        <w:rPr>
          <w:rStyle w:val="CharSectno"/>
        </w:rPr>
        <w:t>45</w:t>
      </w:r>
      <w:r>
        <w:rPr>
          <w:snapToGrid w:val="0"/>
        </w:rPr>
        <w:t>.</w:t>
      </w:r>
      <w:r>
        <w:rPr>
          <w:snapToGrid w:val="0"/>
        </w:rPr>
        <w:tab/>
        <w:t>Powers and authorities exercisable by authorised CALM Act officers</w:t>
      </w:r>
      <w:bookmarkEnd w:id="285"/>
      <w:bookmarkEnd w:id="286"/>
      <w:bookmarkEnd w:id="287"/>
    </w:p>
    <w:p>
      <w:pPr>
        <w:pStyle w:val="Subsection"/>
      </w:pPr>
      <w:r>
        <w:tab/>
        <w:t>(1)</w:t>
      </w:r>
      <w:r>
        <w:tab/>
        <w:t>In this section —</w:t>
      </w:r>
    </w:p>
    <w:p>
      <w:pPr>
        <w:pStyle w:val="Defstart"/>
      </w:pPr>
      <w:r>
        <w:tab/>
      </w:r>
      <w:r>
        <w:rPr>
          <w:rStyle w:val="CharDefText"/>
        </w:rPr>
        <w:t>bush fire officer</w:t>
      </w:r>
      <w:r>
        <w:t xml:space="preserve"> means a bush fire control officer or an officer or member of a bush fire brigade;</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conservation land</w:t>
      </w:r>
      <w:r>
        <w:t xml:space="preserve"> means —</w:t>
      </w:r>
    </w:p>
    <w:p>
      <w:pPr>
        <w:pStyle w:val="Defpara"/>
      </w:pPr>
      <w:r>
        <w:tab/>
        <w:t>(a)</w:t>
      </w:r>
      <w:r>
        <w:tab/>
        <w:t>land to which the CALM Act applies, as described in section 5 of that Act; or</w:t>
      </w:r>
    </w:p>
    <w:p>
      <w:pPr>
        <w:pStyle w:val="Defpara"/>
      </w:pPr>
      <w:r>
        <w:tab/>
        <w:t>(b)</w:t>
      </w:r>
      <w:r>
        <w:tab/>
        <w:t>land prescribed by the regulations for the purposes of this definition,</w:t>
      </w:r>
    </w:p>
    <w:p>
      <w:pPr>
        <w:pStyle w:val="Defstart"/>
      </w:pPr>
      <w:r>
        <w:tab/>
        <w:t xml:space="preserve">but does not include any land in a fire district under the </w:t>
      </w:r>
      <w:r>
        <w:rPr>
          <w:i/>
        </w:rPr>
        <w:t>Fire Brigades Act 1942</w:t>
      </w:r>
      <w:r>
        <w:t>;</w:t>
      </w:r>
    </w:p>
    <w:p>
      <w:pPr>
        <w:pStyle w:val="Defstart"/>
      </w:pPr>
      <w:r>
        <w:tab/>
      </w:r>
      <w:r>
        <w:rPr>
          <w:rStyle w:val="CharDefText"/>
        </w:rPr>
        <w:t>land other than conservation land</w:t>
      </w:r>
      <w:r>
        <w:t xml:space="preserve"> means land that is not —</w:t>
      </w:r>
    </w:p>
    <w:p>
      <w:pPr>
        <w:pStyle w:val="Defpara"/>
      </w:pPr>
      <w:r>
        <w:tab/>
        <w:t>(a)</w:t>
      </w:r>
      <w:r>
        <w:tab/>
        <w:t>conservation land; or</w:t>
      </w:r>
    </w:p>
    <w:p>
      <w:pPr>
        <w:pStyle w:val="Defpara"/>
      </w:pPr>
      <w:r>
        <w:tab/>
        <w:t>(b)</w:t>
      </w:r>
      <w:r>
        <w:tab/>
        <w:t xml:space="preserve">in a fire district under the </w:t>
      </w:r>
      <w:r>
        <w:rPr>
          <w:i/>
        </w:rPr>
        <w:t>Fire Brigades Act 1942</w:t>
      </w:r>
      <w:r>
        <w:t>.</w:t>
      </w:r>
    </w:p>
    <w:p>
      <w:pPr>
        <w:pStyle w:val="Subsection"/>
      </w:pPr>
      <w:r>
        <w:tab/>
        <w:t>(2)</w:t>
      </w:r>
      <w:r>
        <w:tab/>
        <w:t>If —</w:t>
      </w:r>
    </w:p>
    <w:p>
      <w:pPr>
        <w:pStyle w:val="Indenta"/>
      </w:pPr>
      <w:r>
        <w:tab/>
        <w:t>(a)</w:t>
      </w:r>
      <w:r>
        <w:tab/>
        <w:t>an authorised CALM Act officer is present at a bush fire burning on land; and</w:t>
      </w:r>
    </w:p>
    <w:p>
      <w:pPr>
        <w:pStyle w:val="Indenta"/>
      </w:pPr>
      <w:r>
        <w:tab/>
        <w:t>(b)</w:t>
      </w:r>
      <w:r>
        <w:tab/>
        <w:t>the land is —</w:t>
      </w:r>
    </w:p>
    <w:p>
      <w:pPr>
        <w:pStyle w:val="Indenti"/>
      </w:pPr>
      <w:r>
        <w:tab/>
        <w:t>(i)</w:t>
      </w:r>
      <w:r>
        <w:tab/>
        <w:t>conservation land; or</w:t>
      </w:r>
    </w:p>
    <w:p>
      <w:pPr>
        <w:pStyle w:val="Indenti"/>
        <w:keepNext/>
      </w:pPr>
      <w:r>
        <w:tab/>
        <w:t>(ii)</w:t>
      </w:r>
      <w:r>
        <w:tab/>
        <w:t>land other than conservation land and a bush fire officer does not have control of all operations in relation to the fire,</w:t>
      </w:r>
    </w:p>
    <w:p>
      <w:pPr>
        <w:pStyle w:val="Subsection"/>
      </w:pPr>
      <w:r>
        <w:tab/>
      </w:r>
      <w:r>
        <w:tab/>
        <w:t>the powers and authorities conferred by this Act on a bush fire officer are exercisable by the authorised CALM Act officer.</w:t>
      </w:r>
    </w:p>
    <w:p>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rPr>
          <w:snapToGrid w:val="0"/>
        </w:rPr>
      </w:pPr>
      <w:r>
        <w:tab/>
        <w:t>(4)</w:t>
      </w:r>
      <w:r>
        <w:tab/>
      </w:r>
      <w:r>
        <w:rPr>
          <w:snapToGrid w:val="0"/>
        </w:rPr>
        <w:t>Subsection (2) ceases to have effect in respect of a bush fire burning on conservation land if —</w:t>
      </w:r>
    </w:p>
    <w:p>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Indenta"/>
        <w:rPr>
          <w:snapToGrid w:val="0"/>
        </w:rPr>
      </w:pPr>
      <w:r>
        <w:rPr>
          <w:snapToGrid w:val="0"/>
        </w:rPr>
        <w:tab/>
        <w:t>(b)</w:t>
      </w:r>
      <w:r>
        <w:rPr>
          <w:snapToGrid w:val="0"/>
        </w:rPr>
        <w:tab/>
      </w:r>
      <w:r>
        <w:t xml:space="preserve">the bush fire officer agrees </w:t>
      </w:r>
      <w:r>
        <w:rPr>
          <w:snapToGrid w:val="0"/>
        </w:rPr>
        <w:t>to do so.</w:t>
      </w:r>
    </w:p>
    <w:p>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(5) —</w:t>
      </w:r>
    </w:p>
    <w:p>
      <w:pPr>
        <w:pStyle w:val="Indenta"/>
        <w:rPr>
          <w:snapToGrid w:val="0"/>
        </w:rPr>
      </w:pPr>
      <w:r>
        <w:rPr>
          <w:snapToGrid w:val="0"/>
        </w:rPr>
        <w:tab/>
        <w:t>(a)</w:t>
      </w:r>
      <w:r>
        <w:rPr>
          <w:snapToGrid w:val="0"/>
        </w:rPr>
        <w:tab/>
        <w:t xml:space="preserve">must inform the </w:t>
      </w:r>
      <w:r>
        <w:t>FES Commissioner</w:t>
      </w:r>
      <w:r>
        <w:rPr>
          <w:snapToGrid w:val="0"/>
        </w:rPr>
        <w:t xml:space="preserve"> of having done so; and</w:t>
      </w:r>
    </w:p>
    <w:p>
      <w:pPr>
        <w:pStyle w:val="Indenta"/>
        <w:keepNext/>
      </w:pPr>
      <w:r>
        <w:tab/>
        <w:t>(b)</w:t>
      </w:r>
      <w:r>
        <w:tab/>
        <w:t>must comply with any requirements prescribed by the regulations for the purposes of this subsection.</w:t>
      </w:r>
    </w:p>
    <w:p>
      <w:pPr>
        <w:pStyle w:val="Footnotesection"/>
        <w:ind w:left="890" w:hanging="890"/>
      </w:pPr>
      <w:r>
        <w:tab/>
        <w:t>[Section 45 amended by No. 11 of 1963 s. 20; No. 8 of 1987 s. 5; No. 38 of 2002 s. 40(1); No. 25 of 2009 s. 16; No. 22 of 2012 s. 69.]</w:t>
      </w:r>
    </w:p>
    <w:p>
      <w:pPr>
        <w:pStyle w:val="Heading5"/>
        <w:rPr>
          <w:snapToGrid w:val="0"/>
        </w:rPr>
      </w:pPr>
      <w:bookmarkStart w:id="288" w:name="_Toc397946881"/>
      <w:bookmarkStart w:id="289" w:name="_Toc415060754"/>
      <w:bookmarkStart w:id="290" w:name="_Toc392495405"/>
      <w:r>
        <w:rPr>
          <w:rStyle w:val="CharSectno"/>
        </w:rPr>
        <w:t>46</w:t>
      </w:r>
      <w:r>
        <w:rPr>
          <w:snapToGrid w:val="0"/>
        </w:rPr>
        <w:t>.</w:t>
      </w:r>
      <w:r>
        <w:rPr>
          <w:snapToGrid w:val="0"/>
        </w:rPr>
        <w:tab/>
        <w:t>Bush fire control officer or forest officer may postpone lighting fire</w:t>
      </w:r>
      <w:bookmarkEnd w:id="288"/>
      <w:bookmarkEnd w:id="289"/>
      <w:bookmarkEnd w:id="290"/>
    </w:p>
    <w:p>
      <w:pPr>
        <w:pStyle w:val="Subsection"/>
        <w:keepNext/>
        <w:rPr>
          <w:snapToGrid w:val="0"/>
        </w:rPr>
      </w:pPr>
      <w:r>
        <w:rPr>
          <w:snapToGrid w:val="0"/>
        </w:rPr>
        <w:tab/>
        <w:t>(1A)</w:t>
      </w:r>
      <w:r>
        <w:rPr>
          <w:snapToGrid w:val="0"/>
        </w:rPr>
        <w:tab/>
        <w:t>Notwithstanding any other provision of this Act —</w:t>
      </w:r>
    </w:p>
    <w:p>
      <w:pPr>
        <w:pStyle w:val="Indenta"/>
        <w:rPr>
          <w:snapToGrid w:val="0"/>
        </w:rPr>
      </w:pPr>
      <w:r>
        <w:rPr>
          <w:snapToGrid w:val="0"/>
        </w:rPr>
        <w:tab/>
        <w:t>(a)</w:t>
      </w:r>
      <w:r>
        <w:rPr>
          <w:snapToGrid w:val="0"/>
        </w:rPr>
        <w:tab/>
        <w:t xml:space="preserve">subject to </w:t>
      </w:r>
      <w:r>
        <w:t xml:space="preserve">subsection (1B) </w:t>
      </w:r>
      <w:r>
        <w:rPr>
          <w:snapToGrid w:val="0"/>
        </w:rPr>
        <w:t>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rPr>
          <w:snapToGrid w:val="0"/>
        </w:rPr>
      </w:pPr>
      <w:r>
        <w:rPr>
          <w:snapToGrid w:val="0"/>
        </w:rPr>
        <w:tab/>
        <w:t>(b)</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rPr>
          <w:snapToGrid w:val="0"/>
        </w:rPr>
      </w:pPr>
      <w:r>
        <w:rPr>
          <w:snapToGrid w:val="0"/>
        </w:rPr>
        <w:tab/>
        <w:t>(1B)</w:t>
      </w:r>
      <w:r>
        <w:rPr>
          <w:snapToGrid w:val="0"/>
        </w:rPr>
        <w:tab/>
        <w:t xml:space="preserve">Where it is proposed to light a fire within 3 km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If, as a result of the exercise of any power conferred by </w:t>
      </w:r>
      <w:r>
        <w:t xml:space="preserve">subsection (1A) or (1B), </w:t>
      </w:r>
      <w:r>
        <w:rPr>
          <w:snapToGrid w:val="0"/>
        </w:rPr>
        <w:t>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ind w:left="890" w:hanging="890"/>
      </w:pPr>
      <w:r>
        <w:tab/>
        <w:t>[Section 46 amended by No. 11 of 1963 s. 21; No. 113 of 1965 s. 8(1); No. 94 of 1972 s. 4 (as amended by No. 83 of 1973 s. 3); No. 65 of 1977 s. 48; No. 8 of 1987 s. 8; No. 78 of 1995 s. 147; No. 14 of 1996 s. 4; No. 38 of 2002 s. 39 and 40(1); No. 19 of 2010 s. 52(4).]</w:t>
      </w:r>
    </w:p>
    <w:p>
      <w:pPr>
        <w:pStyle w:val="Heading5"/>
        <w:rPr>
          <w:snapToGrid w:val="0"/>
        </w:rPr>
      </w:pPr>
      <w:bookmarkStart w:id="291" w:name="_Toc397946882"/>
      <w:bookmarkStart w:id="292" w:name="_Toc415060755"/>
      <w:bookmarkStart w:id="293" w:name="_Toc392495406"/>
      <w:r>
        <w:rPr>
          <w:rStyle w:val="CharSectno"/>
        </w:rPr>
        <w:t>47</w:t>
      </w:r>
      <w:r>
        <w:rPr>
          <w:snapToGrid w:val="0"/>
        </w:rPr>
        <w:t>.</w:t>
      </w:r>
      <w:r>
        <w:rPr>
          <w:snapToGrid w:val="0"/>
        </w:rPr>
        <w:tab/>
        <w:t>Fire</w:t>
      </w:r>
      <w:r>
        <w:rPr>
          <w:snapToGrid w:val="0"/>
        </w:rPr>
        <w:noBreakHyphen/>
        <w:t>break not to be lit when bush fire burning</w:t>
      </w:r>
      <w:bookmarkEnd w:id="291"/>
      <w:bookmarkEnd w:id="292"/>
      <w:bookmarkEnd w:id="293"/>
    </w:p>
    <w:p>
      <w:pPr>
        <w:pStyle w:val="Subsection"/>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[Section 47 amended by No. 8 of 1987 s. 6; No. 25 of 2009 s. 17.]</w:t>
      </w:r>
    </w:p>
    <w:p>
      <w:pPr>
        <w:pStyle w:val="Heading2"/>
      </w:pPr>
      <w:bookmarkStart w:id="294" w:name="_Toc381872755"/>
      <w:bookmarkStart w:id="295" w:name="_Toc381873823"/>
      <w:bookmarkStart w:id="296" w:name="_Toc392495407"/>
      <w:bookmarkStart w:id="297" w:name="_Toc397946465"/>
      <w:bookmarkStart w:id="298" w:name="_Toc397946601"/>
      <w:bookmarkStart w:id="299" w:name="_Toc397946883"/>
      <w:bookmarkStart w:id="300" w:name="_Toc415060660"/>
      <w:bookmarkStart w:id="301" w:name="_Toc415060756"/>
      <w:r>
        <w:rPr>
          <w:rStyle w:val="CharPartNo"/>
        </w:rPr>
        <w:t>Part V</w:t>
      </w:r>
      <w:r>
        <w:rPr>
          <w:rStyle w:val="CharDivNo"/>
        </w:rPr>
        <w:t> </w:t>
      </w:r>
      <w:r>
        <w:t>—</w:t>
      </w:r>
      <w:r>
        <w:rPr>
          <w:rStyle w:val="CharDivText"/>
        </w:rPr>
        <w:t> </w:t>
      </w:r>
      <w:r>
        <w:rPr>
          <w:rStyle w:val="CharPartText"/>
        </w:rPr>
        <w:t>Miscellaneous</w:t>
      </w:r>
      <w:bookmarkEnd w:id="294"/>
      <w:bookmarkEnd w:id="295"/>
      <w:bookmarkEnd w:id="296"/>
      <w:bookmarkEnd w:id="297"/>
      <w:bookmarkEnd w:id="298"/>
      <w:bookmarkEnd w:id="299"/>
      <w:bookmarkEnd w:id="300"/>
      <w:bookmarkEnd w:id="301"/>
    </w:p>
    <w:p>
      <w:pPr>
        <w:pStyle w:val="Heading5"/>
      </w:pPr>
      <w:bookmarkStart w:id="302" w:name="_Toc397946884"/>
      <w:bookmarkStart w:id="303" w:name="_Toc415060757"/>
      <w:bookmarkStart w:id="304" w:name="_Toc392495408"/>
      <w:r>
        <w:rPr>
          <w:rStyle w:val="CharSectno"/>
        </w:rPr>
        <w:t>48</w:t>
      </w:r>
      <w:r>
        <w:t>.</w:t>
      </w:r>
      <w:r>
        <w:tab/>
        <w:t>Delegation by local governments</w:t>
      </w:r>
      <w:bookmarkEnd w:id="302"/>
      <w:bookmarkEnd w:id="303"/>
      <w:bookmarkEnd w:id="304"/>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Deleted by No. 2 of 1996 s. 61.]</w:t>
      </w:r>
    </w:p>
    <w:p>
      <w:pPr>
        <w:pStyle w:val="Heading5"/>
        <w:rPr>
          <w:snapToGrid w:val="0"/>
        </w:rPr>
      </w:pPr>
      <w:bookmarkStart w:id="305" w:name="_Toc397946885"/>
      <w:bookmarkStart w:id="306" w:name="_Toc415060758"/>
      <w:bookmarkStart w:id="307" w:name="_Toc392495409"/>
      <w:r>
        <w:rPr>
          <w:rStyle w:val="CharSectno"/>
        </w:rPr>
        <w:t>50</w:t>
      </w:r>
      <w:r>
        <w:rPr>
          <w:snapToGrid w:val="0"/>
        </w:rPr>
        <w:t>.</w:t>
      </w:r>
      <w:r>
        <w:rPr>
          <w:snapToGrid w:val="0"/>
        </w:rPr>
        <w:tab/>
        <w:t>Records to be maintained by local governments</w:t>
      </w:r>
      <w:bookmarkEnd w:id="305"/>
      <w:bookmarkEnd w:id="306"/>
      <w:bookmarkEnd w:id="307"/>
    </w:p>
    <w:p>
      <w:pPr>
        <w:pStyle w:val="Subsection"/>
        <w:rPr>
          <w:snapToGrid w:val="0"/>
        </w:rPr>
      </w:pPr>
      <w:r>
        <w:rPr>
          <w:snapToGrid w:val="0"/>
        </w:rPr>
        <w:tab/>
        <w:t>(1)</w:t>
      </w:r>
      <w:r>
        <w:rPr>
          <w:snapToGrid w:val="0"/>
        </w:rPr>
        <w:tab/>
        <w:t>A local government shall maintain records containing the following information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 xml:space="preserve">requiring a local government to send to the </w:t>
      </w:r>
      <w:r>
        <w:t>FES Commissioner</w:t>
      </w:r>
      <w:r>
        <w:rPr>
          <w:snapToGrid w:val="0"/>
        </w:rPr>
        <w:t xml:space="preserve">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[Section 50 amended by No. 113 of 1965 s. 8(1); No. 65 of 1977 s. 39; No. 14 of 1996 s. 4; No. 42 of 1998 s. 16; No. 38 of 2002 s. 39; No. 22 of 2012 s. 69.]</w:t>
      </w:r>
    </w:p>
    <w:p>
      <w:pPr>
        <w:pStyle w:val="Heading5"/>
        <w:rPr>
          <w:snapToGrid w:val="0"/>
        </w:rPr>
      </w:pPr>
      <w:bookmarkStart w:id="308" w:name="_Toc397946886"/>
      <w:bookmarkStart w:id="309" w:name="_Toc415060759"/>
      <w:bookmarkStart w:id="310" w:name="_Toc392495410"/>
      <w:r>
        <w:rPr>
          <w:rStyle w:val="CharSectno"/>
        </w:rPr>
        <w:t>51</w:t>
      </w:r>
      <w:r>
        <w:rPr>
          <w:snapToGrid w:val="0"/>
        </w:rPr>
        <w:t>.</w:t>
      </w:r>
      <w:r>
        <w:rPr>
          <w:snapToGrid w:val="0"/>
        </w:rPr>
        <w:tab/>
        <w:t>Saving of remedies</w:t>
      </w:r>
      <w:bookmarkEnd w:id="308"/>
      <w:bookmarkEnd w:id="309"/>
      <w:bookmarkEnd w:id="310"/>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keepNext/>
        <w:rPr>
          <w:snapToGrid w:val="0"/>
        </w:rPr>
      </w:pPr>
      <w:r>
        <w:rPr>
          <w:snapToGrid w:val="0"/>
        </w:rPr>
        <w:tab/>
        <w:t>(3)</w:t>
      </w:r>
      <w:r>
        <w:rPr>
          <w:snapToGrid w:val="0"/>
        </w:rPr>
        <w:tab/>
        <w:t>The provisions of the last preceding subsection do not prejudice or affect those of section 37 of the</w:t>
      </w:r>
      <w:r>
        <w:t xml:space="preserve"> FES Act.</w:t>
      </w:r>
    </w:p>
    <w:p>
      <w:pPr>
        <w:pStyle w:val="Footnotesection"/>
        <w:ind w:left="890" w:hanging="890"/>
      </w:pPr>
      <w:r>
        <w:tab/>
        <w:t>[Section 51 amended by No. 42 of 1998 s. 12; No. 22 of 2012 s. 63.]</w:t>
      </w:r>
    </w:p>
    <w:p>
      <w:pPr>
        <w:pStyle w:val="Heading5"/>
        <w:spacing w:before="240"/>
        <w:rPr>
          <w:snapToGrid w:val="0"/>
        </w:rPr>
      </w:pPr>
      <w:bookmarkStart w:id="311" w:name="_Toc397946887"/>
      <w:bookmarkStart w:id="312" w:name="_Toc415060760"/>
      <w:bookmarkStart w:id="313" w:name="_Toc392495411"/>
      <w:r>
        <w:rPr>
          <w:rStyle w:val="CharSectno"/>
        </w:rPr>
        <w:t>52</w:t>
      </w:r>
      <w:r>
        <w:rPr>
          <w:snapToGrid w:val="0"/>
        </w:rPr>
        <w:t>.</w:t>
      </w:r>
      <w:r>
        <w:rPr>
          <w:snapToGrid w:val="0"/>
        </w:rPr>
        <w:tab/>
        <w:t>Approved area may be declared</w:t>
      </w:r>
      <w:bookmarkEnd w:id="311"/>
      <w:bookmarkEnd w:id="312"/>
      <w:bookmarkEnd w:id="313"/>
    </w:p>
    <w:p>
      <w:pPr>
        <w:pStyle w:val="Subsection"/>
        <w:spacing w:before="18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18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18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18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[Section 52 amended by No. 14 of 1996 s. 4.]</w:t>
      </w:r>
    </w:p>
    <w:p>
      <w:pPr>
        <w:pStyle w:val="Heading5"/>
        <w:spacing w:before="240"/>
        <w:rPr>
          <w:snapToGrid w:val="0"/>
        </w:rPr>
      </w:pPr>
      <w:bookmarkStart w:id="314" w:name="_Toc397946888"/>
      <w:bookmarkStart w:id="315" w:name="_Toc415060761"/>
      <w:bookmarkStart w:id="316" w:name="_Toc392495412"/>
      <w:r>
        <w:rPr>
          <w:rStyle w:val="CharSectno"/>
        </w:rPr>
        <w:t>53</w:t>
      </w:r>
      <w:r>
        <w:rPr>
          <w:snapToGrid w:val="0"/>
        </w:rPr>
        <w:t>.</w:t>
      </w:r>
      <w:r>
        <w:rPr>
          <w:snapToGrid w:val="0"/>
        </w:rPr>
        <w:tab/>
        <w:t>Reduction in insurance premium of crops in approved area</w:t>
      </w:r>
      <w:bookmarkEnd w:id="314"/>
      <w:bookmarkEnd w:id="315"/>
      <w:bookmarkEnd w:id="316"/>
    </w:p>
    <w:p>
      <w:pPr>
        <w:pStyle w:val="Subsection"/>
        <w:spacing w:before="180"/>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spacing w:before="180"/>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keepLines/>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[Section 53 amended by No. 113 of 1965 s. 8(1); No. 65 of 1977 s. 40 and 48; No. 38 of 2002 s. 39.]</w:t>
      </w:r>
    </w:p>
    <w:p>
      <w:pPr>
        <w:pStyle w:val="Heading5"/>
        <w:spacing w:before="240"/>
        <w:rPr>
          <w:snapToGrid w:val="0"/>
        </w:rPr>
      </w:pPr>
      <w:bookmarkStart w:id="317" w:name="_Toc397946889"/>
      <w:bookmarkStart w:id="318" w:name="_Toc415060762"/>
      <w:bookmarkStart w:id="319" w:name="_Toc392495413"/>
      <w:r>
        <w:rPr>
          <w:rStyle w:val="CharSectno"/>
        </w:rPr>
        <w:t>54</w:t>
      </w:r>
      <w:r>
        <w:rPr>
          <w:snapToGrid w:val="0"/>
        </w:rPr>
        <w:t>.</w:t>
      </w:r>
      <w:r>
        <w:rPr>
          <w:snapToGrid w:val="0"/>
        </w:rPr>
        <w:tab/>
        <w:t>Approved area may be cancelled</w:t>
      </w:r>
      <w:bookmarkEnd w:id="317"/>
      <w:bookmarkEnd w:id="318"/>
      <w:bookmarkEnd w:id="319"/>
    </w:p>
    <w:p>
      <w:pPr>
        <w:pStyle w:val="Subsection"/>
        <w:spacing w:before="200"/>
        <w:rPr>
          <w:snapToGrid w:val="0"/>
        </w:rPr>
      </w:pPr>
      <w:r>
        <w:rPr>
          <w:snapToGrid w:val="0"/>
        </w:rPr>
        <w:tab/>
      </w:r>
      <w:r>
        <w:rPr>
          <w:snapToGrid w:val="0"/>
        </w:rPr>
        <w:tab/>
        <w:t xml:space="preserve">If in the opinion of the </w:t>
      </w:r>
      <w:r>
        <w:t>FES Commissioner</w:t>
      </w:r>
      <w:r>
        <w:rPr>
          <w:snapToGrid w:val="0"/>
        </w:rPr>
        <w:t xml:space="preserve">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[Section 54 amended by No. 11 of 1963 s. 22; No. 14 of 1996 s. 4; No. 42 of 1998 s. 16; No. 22 of 2012 s. 69.]</w:t>
      </w:r>
    </w:p>
    <w:p>
      <w:pPr>
        <w:pStyle w:val="Ednotesection"/>
        <w:ind w:left="890" w:hanging="890"/>
      </w:pPr>
      <w:r>
        <w:t>[</w:t>
      </w:r>
      <w:r>
        <w:rPr>
          <w:b/>
        </w:rPr>
        <w:t>55.</w:t>
      </w:r>
      <w:r>
        <w:tab/>
        <w:t>Deleted by No. 22 of 2012 s. 64.]</w:t>
      </w:r>
    </w:p>
    <w:p>
      <w:pPr>
        <w:pStyle w:val="Heading5"/>
        <w:spacing w:before="240"/>
        <w:rPr>
          <w:snapToGrid w:val="0"/>
        </w:rPr>
      </w:pPr>
      <w:bookmarkStart w:id="320" w:name="_Toc397946890"/>
      <w:bookmarkStart w:id="321" w:name="_Toc415060763"/>
      <w:bookmarkStart w:id="322" w:name="_Toc392495414"/>
      <w:r>
        <w:rPr>
          <w:rStyle w:val="CharSectno"/>
        </w:rPr>
        <w:t>56</w:t>
      </w:r>
      <w:r>
        <w:rPr>
          <w:snapToGrid w:val="0"/>
        </w:rPr>
        <w:t>.</w:t>
      </w:r>
      <w:r>
        <w:rPr>
          <w:snapToGrid w:val="0"/>
        </w:rPr>
        <w:tab/>
        <w:t>Duties of police officers, bush fire control officers etc.</w:t>
      </w:r>
      <w:bookmarkEnd w:id="320"/>
      <w:bookmarkEnd w:id="321"/>
      <w:bookmarkEnd w:id="322"/>
    </w:p>
    <w:p>
      <w:pPr>
        <w:pStyle w:val="Subsection"/>
        <w:rPr>
          <w:snapToGrid w:val="0"/>
        </w:rPr>
      </w:pPr>
      <w:r>
        <w:rPr>
          <w:snapToGrid w:val="0"/>
        </w:rPr>
        <w:tab/>
        <w:t>(1)</w:t>
      </w:r>
      <w:r>
        <w:rPr>
          <w:snapToGrid w:val="0"/>
        </w:rPr>
        <w:tab/>
        <w:t>It is the duty of —</w:t>
      </w:r>
    </w:p>
    <w:p>
      <w:pPr>
        <w:pStyle w:val="Indenta"/>
        <w:rPr>
          <w:snapToGrid w:val="0"/>
        </w:rPr>
      </w:pPr>
      <w:r>
        <w:rPr>
          <w:snapToGrid w:val="0"/>
        </w:rPr>
        <w:tab/>
        <w:t>(a)</w:t>
      </w:r>
      <w:r>
        <w:rPr>
          <w:snapToGrid w:val="0"/>
        </w:rPr>
        <w:tab/>
        <w:t xml:space="preserve">a member of the Police Force, a </w:t>
      </w:r>
      <w:r>
        <w:t xml:space="preserve">person employed in the Department for the purposes of this Act, </w:t>
      </w:r>
      <w:r>
        <w:rPr>
          <w:snapToGrid w:val="0"/>
        </w:rPr>
        <w:t>a bush fire control officer appointed or designated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w:t>
      </w:r>
      <w:r>
        <w:t xml:space="preserve">person employed in the Department for the purposes of this Act, </w:t>
      </w:r>
      <w:r>
        <w:rPr>
          <w:snapToGrid w:val="0"/>
        </w:rPr>
        <w:t xml:space="preserve">a bush fire control officer appointed </w:t>
      </w:r>
      <w:r>
        <w:t>or designated</w:t>
      </w:r>
      <w:r>
        <w:rPr>
          <w:snapToGrid w:val="0"/>
        </w:rPr>
        <w:t xml:space="preserve">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[Section 56 amended by No. 11 of 1963 s. 23; No. 113 of 1965 s. 8(1); No. 65 of 1977 s. 48; No. 8 of 1987 s. 8; No. 60 of 1992 s. 12; No. 14 of 1996 s. 4; No. 42 of 1998 s. 16; No. 38 of 2002 s. 39 and 40(1); No. 59 of 2004 s. 141; No. 22 of 2012 s. 65.]</w:t>
      </w:r>
    </w:p>
    <w:p>
      <w:pPr>
        <w:pStyle w:val="Heading5"/>
        <w:spacing w:before="260"/>
        <w:rPr>
          <w:snapToGrid w:val="0"/>
        </w:rPr>
      </w:pPr>
      <w:bookmarkStart w:id="323" w:name="_Toc397946891"/>
      <w:bookmarkStart w:id="324" w:name="_Toc415060764"/>
      <w:bookmarkStart w:id="325" w:name="_Toc392495415"/>
      <w:r>
        <w:rPr>
          <w:rStyle w:val="CharSectno"/>
        </w:rPr>
        <w:t>57</w:t>
      </w:r>
      <w:r>
        <w:rPr>
          <w:snapToGrid w:val="0"/>
        </w:rPr>
        <w:t>.</w:t>
      </w:r>
      <w:r>
        <w:rPr>
          <w:snapToGrid w:val="0"/>
        </w:rPr>
        <w:tab/>
        <w:t>Obstructing officers</w:t>
      </w:r>
      <w:bookmarkEnd w:id="323"/>
      <w:bookmarkEnd w:id="324"/>
      <w:bookmarkEnd w:id="325"/>
    </w:p>
    <w:p>
      <w:pPr>
        <w:pStyle w:val="Subsection"/>
        <w:rPr>
          <w:snapToGrid w:val="0"/>
        </w:rPr>
      </w:pPr>
      <w:r>
        <w:rPr>
          <w:snapToGrid w:val="0"/>
        </w:rPr>
        <w:tab/>
      </w:r>
      <w:r>
        <w:rPr>
          <w:snapToGrid w:val="0"/>
        </w:rPr>
        <w:tab/>
        <w:t xml:space="preserve">A person who obstructs, hinders, resists or in any way opposes a </w:t>
      </w:r>
      <w:r>
        <w:t xml:space="preserve">person employed in the Department for the purposes of this Act, </w:t>
      </w:r>
      <w:r>
        <w:rPr>
          <w:snapToGrid w:val="0"/>
        </w:rPr>
        <w:t xml:space="preserve">or a bush fire control officer appointed </w:t>
      </w:r>
      <w:r>
        <w:t>or designated</w:t>
      </w:r>
      <w:r>
        <w:rPr>
          <w:snapToGrid w:val="0"/>
        </w:rPr>
        <w:t xml:space="preserve">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ind w:left="890" w:hanging="890"/>
      </w:pPr>
      <w:r>
        <w:tab/>
        <w:t>[Section 57 amended by No. 11 of 1963 s. 24; No. 113 of 1965 s. 8(1); No. 65 of 1977 s. 48; No. 8 of 1987 s. 8; No. 60 of 1992 s. 13; No. 78 of 1995 s. 147; No. 42 of 1998 s. 16; No. 38 of 2002 s. 39 and 40(1); No. 22 of 2012 s. 66.]</w:t>
      </w:r>
    </w:p>
    <w:p>
      <w:pPr>
        <w:pStyle w:val="Heading5"/>
        <w:rPr>
          <w:snapToGrid w:val="0"/>
        </w:rPr>
      </w:pPr>
      <w:bookmarkStart w:id="326" w:name="_Toc397946892"/>
      <w:bookmarkStart w:id="327" w:name="_Toc415060765"/>
      <w:bookmarkStart w:id="328" w:name="_Toc392495416"/>
      <w:r>
        <w:rPr>
          <w:rStyle w:val="CharSectno"/>
        </w:rPr>
        <w:t>58</w:t>
      </w:r>
      <w:r>
        <w:rPr>
          <w:snapToGrid w:val="0"/>
        </w:rPr>
        <w:t>.</w:t>
      </w:r>
      <w:r>
        <w:rPr>
          <w:snapToGrid w:val="0"/>
        </w:rPr>
        <w:tab/>
        <w:t>General penalty and recovery of expenses incurred</w:t>
      </w:r>
      <w:bookmarkEnd w:id="326"/>
      <w:bookmarkEnd w:id="327"/>
      <w:bookmarkEnd w:id="328"/>
    </w:p>
    <w:p>
      <w:pPr>
        <w:pStyle w:val="Subsection"/>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pPr>
      <w:r>
        <w:tab/>
        <w:t>[(2)</w:t>
      </w:r>
      <w:r>
        <w:tab/>
        <w:t>deleted]</w:t>
      </w:r>
    </w:p>
    <w:p>
      <w:pPr>
        <w:pStyle w:val="Subsection"/>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w:t>
      </w:r>
      <w:r>
        <w:t xml:space="preserve"> the relevant body may —</w:t>
      </w:r>
    </w:p>
    <w:p>
      <w:pPr>
        <w:pStyle w:val="Indenta"/>
        <w:rPr>
          <w:snapToGrid w:val="0"/>
        </w:rPr>
      </w:pPr>
      <w:r>
        <w:rPr>
          <w:snapToGrid w:val="0"/>
        </w:rPr>
        <w:tab/>
        <w:t>(a)</w:t>
      </w:r>
      <w:r>
        <w:rPr>
          <w:snapToGrid w:val="0"/>
        </w:rPr>
        <w:tab/>
        <w:t>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apply to a court of summary jurisdiction convicting the person of the offence for an order for payment by that person of the amount of the expense, if the amount does not exceed $1 000, in addition to any penalty inflicted in respect of the</w:t>
      </w:r>
      <w:r>
        <w:t xml:space="preserve"> conviction; or</w:t>
      </w:r>
    </w:p>
    <w:p>
      <w:pPr>
        <w:pStyle w:val="Indenta"/>
        <w:rPr>
          <w:snapToGrid w:val="0"/>
        </w:rPr>
      </w:pPr>
      <w:r>
        <w:rPr>
          <w:snapToGrid w:val="0"/>
        </w:rPr>
        <w:tab/>
        <w:t>(c)</w:t>
      </w:r>
      <w:r>
        <w:rPr>
          <w:snapToGrid w:val="0"/>
        </w:rPr>
        <w:tab/>
        <w:t>issue a certificate that the expense was incurred and as to the amount of the expense, and the certificate is evidence of the facts so stated in all courts until the contrary is proved.</w:t>
      </w:r>
    </w:p>
    <w:p>
      <w:pPr>
        <w:pStyle w:val="Subsection"/>
        <w:keepNext/>
        <w:rPr>
          <w:snapToGrid w:val="0"/>
        </w:rPr>
      </w:pPr>
      <w:r>
        <w:rPr>
          <w:snapToGrid w:val="0"/>
        </w:rPr>
        <w:tab/>
        <w:t>(3A)</w:t>
      </w:r>
      <w:r>
        <w:rPr>
          <w:snapToGrid w:val="0"/>
        </w:rPr>
        <w:tab/>
        <w:t>In subsection (3) —</w:t>
      </w:r>
    </w:p>
    <w:p>
      <w:pPr>
        <w:pStyle w:val="Defstart"/>
      </w:pPr>
      <w:r>
        <w:tab/>
      </w:r>
      <w:r>
        <w:rPr>
          <w:rStyle w:val="CharDefText"/>
        </w:rPr>
        <w:t>relevant body</w:t>
      </w:r>
      <w:r>
        <w:rPr>
          <w:bCs/>
        </w:rPr>
        <w:t xml:space="preserve">, in relation to an expense, </w:t>
      </w:r>
      <w:r>
        <w:t>means —</w:t>
      </w:r>
    </w:p>
    <w:p>
      <w:pPr>
        <w:pStyle w:val="Defpara"/>
      </w:pPr>
      <w:r>
        <w:tab/>
        <w:t>(a)</w:t>
      </w:r>
      <w:r>
        <w:tab/>
        <w:t>if the expense is incurred by an authorised CALM Act officer, the CALM Act CEO; or</w:t>
      </w:r>
    </w:p>
    <w:p>
      <w:pPr>
        <w:pStyle w:val="Defpara"/>
      </w:pPr>
      <w:r>
        <w:tab/>
        <w:t>(b)</w:t>
      </w:r>
      <w:r>
        <w:tab/>
        <w:t>if the expense is incurred by a bush fire control officer employed by a local government, or by an officer or member of a bush fire brigade established and maintained by a local government, the local government; or</w:t>
      </w:r>
    </w:p>
    <w:p>
      <w:pPr>
        <w:pStyle w:val="Defpara"/>
      </w:pPr>
      <w:r>
        <w:tab/>
        <w:t>(c)</w:t>
      </w:r>
      <w:r>
        <w:tab/>
        <w:t xml:space="preserve">if the expense is incurred by any other person acting pursuant to this Act, the </w:t>
      </w:r>
      <w:smartTag w:uri="urn:schemas-microsoft-com:office:smarttags" w:element="place">
        <w:r>
          <w:t>FES</w:t>
        </w:r>
      </w:smartTag>
      <w:r>
        <w:t xml:space="preserve"> Commissioner.</w:t>
      </w:r>
    </w:p>
    <w:p>
      <w:pPr>
        <w:pStyle w:val="Subsection"/>
        <w:rPr>
          <w:snapToGrid w:val="0"/>
        </w:rPr>
      </w:pPr>
      <w:r>
        <w:rPr>
          <w:snapToGrid w:val="0"/>
        </w:rPr>
        <w:tab/>
        <w:t>(3B)</w:t>
      </w:r>
      <w:r>
        <w:rPr>
          <w:snapToGrid w:val="0"/>
        </w:rPr>
        <w:tab/>
        <w:t>If an application has been made under subsection (3)(b) —</w:t>
      </w:r>
    </w:p>
    <w:p>
      <w:pPr>
        <w:pStyle w:val="Indenta"/>
        <w:rPr>
          <w:snapToGrid w:val="0"/>
        </w:rPr>
      </w:pPr>
      <w:r>
        <w:rPr>
          <w:snapToGrid w:val="0"/>
        </w:rPr>
        <w:tab/>
        <w:t>(a)</w:t>
      </w:r>
      <w:r>
        <w:rPr>
          <w:snapToGrid w:val="0"/>
        </w:rPr>
        <w:tab/>
        <w:t>the court may grant the application wholly or in part or refuse the application, and payment of an amount specified in an order may be enforced in the same manner as payment of a pecuniary penalty; and</w:t>
      </w:r>
    </w:p>
    <w:p>
      <w:pPr>
        <w:pStyle w:val="Indenta"/>
        <w:rPr>
          <w:snapToGrid w:val="0"/>
        </w:rPr>
      </w:pPr>
      <w:r>
        <w:rPr>
          <w:snapToGrid w:val="0"/>
        </w:rPr>
        <w:tab/>
        <w:t>(b)</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[Section 58 amended by No. 113 of 1965 s. 8(1); No. 65 of 1977 s. 48; No. 14 of 1996 s. 4; No. 42 of 1998 s. 16; No. 38 of 2002 s. 39 and 40(1); No. 59 of 2004 s. 141; No. 28 of 2006 s. 391; No. 19 of 2010 s. 52(2) and (3); No. 22 of 2012 s. 69.]</w:t>
      </w:r>
    </w:p>
    <w:p>
      <w:pPr>
        <w:pStyle w:val="Heading5"/>
        <w:spacing w:before="180"/>
        <w:rPr>
          <w:snapToGrid w:val="0"/>
        </w:rPr>
      </w:pPr>
      <w:bookmarkStart w:id="329" w:name="_Toc397946893"/>
      <w:bookmarkStart w:id="330" w:name="_Toc415060766"/>
      <w:bookmarkStart w:id="331" w:name="_Toc392495417"/>
      <w:r>
        <w:rPr>
          <w:rStyle w:val="CharSectno"/>
        </w:rPr>
        <w:t>59</w:t>
      </w:r>
      <w:r>
        <w:rPr>
          <w:snapToGrid w:val="0"/>
        </w:rPr>
        <w:t>.</w:t>
      </w:r>
      <w:r>
        <w:rPr>
          <w:snapToGrid w:val="0"/>
        </w:rPr>
        <w:tab/>
        <w:t>Prosecution of offences</w:t>
      </w:r>
      <w:bookmarkEnd w:id="329"/>
      <w:bookmarkEnd w:id="330"/>
      <w:bookmarkEnd w:id="331"/>
    </w:p>
    <w:p>
      <w:pPr>
        <w:pStyle w:val="Subsection"/>
        <w:rPr>
          <w:snapToGrid w:val="0"/>
        </w:rPr>
      </w:pPr>
      <w:r>
        <w:rPr>
          <w:snapToGrid w:val="0"/>
        </w:rPr>
        <w:tab/>
        <w:t>(1)</w:t>
      </w:r>
      <w:r>
        <w:rPr>
          <w:snapToGrid w:val="0"/>
        </w:rPr>
        <w:tab/>
        <w:t xml:space="preserve">A person authorised by the Minister, a </w:t>
      </w:r>
      <w:r>
        <w:t>person employed in the Department for the purposes of this Act, an authorised CALM Act officer</w:t>
      </w:r>
      <w:r>
        <w:rPr>
          <w:snapToGrid w:val="0"/>
        </w:rPr>
        <w:t>, a member of the Police Force, or a local government, may institute and carry on proceedings against a person for an offence alleged to be committed against this Act.</w:t>
      </w:r>
    </w:p>
    <w:p>
      <w:pPr>
        <w:pStyle w:val="Subsection"/>
        <w:rPr>
          <w:snapToGrid w:val="0"/>
        </w:rPr>
      </w:pPr>
      <w:r>
        <w:rPr>
          <w:snapToGrid w:val="0"/>
        </w:rPr>
        <w:tab/>
        <w:t>(2)</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ind w:left="890" w:hanging="890"/>
      </w:pPr>
      <w:r>
        <w:tab/>
        <w:t>[Section 59 amended by No. 35 of 1957 s. 10; No. 11 of 1963 s. 25; No. 65 of 1977 s. 41; No. 14 of 1996 s. 4; No. 42 of 1998 s. 16; No. 38 of 2002 s. 36 and 40(1); No. 59 of 2004 s. 141; No. 19 of 2010 s. 52(4); No. 22 of 2012 s. 67.]</w:t>
      </w:r>
    </w:p>
    <w:p>
      <w:pPr>
        <w:pStyle w:val="Heading5"/>
        <w:rPr>
          <w:snapToGrid w:val="0"/>
        </w:rPr>
      </w:pPr>
      <w:bookmarkStart w:id="332" w:name="_Toc397946894"/>
      <w:bookmarkStart w:id="333" w:name="_Toc415060767"/>
      <w:bookmarkStart w:id="334" w:name="_Toc392495418"/>
      <w:r>
        <w:rPr>
          <w:rStyle w:val="CharSectno"/>
        </w:rPr>
        <w:t>59A</w:t>
      </w:r>
      <w:r>
        <w:rPr>
          <w:snapToGrid w:val="0"/>
        </w:rPr>
        <w:t>.</w:t>
      </w:r>
      <w:r>
        <w:rPr>
          <w:snapToGrid w:val="0"/>
        </w:rPr>
        <w:tab/>
        <w:t>Alternative procedure — infringement notices</w:t>
      </w:r>
      <w:bookmarkEnd w:id="332"/>
      <w:bookmarkEnd w:id="333"/>
      <w:bookmarkEnd w:id="334"/>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[Section 59A inserted by No. 65 of 1977 s. 42; amended by No. 8 of 1987 s. 8; No. 14 of 1996 s. 4; No. 38 of 2002 s. 37 and 39; No. 84 of 2004 s. 80.]</w:t>
      </w:r>
    </w:p>
    <w:p>
      <w:pPr>
        <w:pStyle w:val="Heading5"/>
        <w:rPr>
          <w:snapToGrid w:val="0"/>
        </w:rPr>
      </w:pPr>
      <w:bookmarkStart w:id="335" w:name="_Toc397946895"/>
      <w:bookmarkStart w:id="336" w:name="_Toc415060768"/>
      <w:bookmarkStart w:id="337" w:name="_Toc392495419"/>
      <w:r>
        <w:rPr>
          <w:rStyle w:val="CharSectno"/>
        </w:rPr>
        <w:t>60</w:t>
      </w:r>
      <w:r>
        <w:rPr>
          <w:snapToGrid w:val="0"/>
        </w:rPr>
        <w:t>.</w:t>
      </w:r>
      <w:r>
        <w:rPr>
          <w:snapToGrid w:val="0"/>
        </w:rPr>
        <w:tab/>
        <w:t>Assisting to commit an offence</w:t>
      </w:r>
      <w:bookmarkEnd w:id="335"/>
      <w:bookmarkEnd w:id="336"/>
      <w:bookmarkEnd w:id="337"/>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338" w:name="_Toc397946896"/>
      <w:bookmarkStart w:id="339" w:name="_Toc415060769"/>
      <w:bookmarkStart w:id="340" w:name="_Toc392495420"/>
      <w:r>
        <w:rPr>
          <w:rStyle w:val="CharSectno"/>
        </w:rPr>
        <w:t>61</w:t>
      </w:r>
      <w:r>
        <w:rPr>
          <w:snapToGrid w:val="0"/>
        </w:rPr>
        <w:t>.</w:t>
      </w:r>
      <w:r>
        <w:rPr>
          <w:snapToGrid w:val="0"/>
        </w:rPr>
        <w:tab/>
        <w:t>Regulations</w:t>
      </w:r>
      <w:bookmarkEnd w:id="338"/>
      <w:bookmarkEnd w:id="339"/>
      <w:bookmarkEnd w:id="340"/>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[Section 61 amended by No. 113 of 1965 s. 8(1); No. 65 of 1977 s. 48; No. 8 of 1987 s. 8; No. 38 of 2002 s. 39.]</w:t>
      </w:r>
    </w:p>
    <w:p>
      <w:pPr>
        <w:pStyle w:val="Heading5"/>
        <w:rPr>
          <w:snapToGrid w:val="0"/>
        </w:rPr>
      </w:pPr>
      <w:bookmarkStart w:id="341" w:name="_Toc397946897"/>
      <w:bookmarkStart w:id="342" w:name="_Toc415060770"/>
      <w:bookmarkStart w:id="343" w:name="_Toc392495421"/>
      <w:r>
        <w:rPr>
          <w:rStyle w:val="CharSectno"/>
        </w:rPr>
        <w:t>62</w:t>
      </w:r>
      <w:r>
        <w:rPr>
          <w:snapToGrid w:val="0"/>
        </w:rPr>
        <w:t>.</w:t>
      </w:r>
      <w:r>
        <w:rPr>
          <w:snapToGrid w:val="0"/>
        </w:rPr>
        <w:tab/>
        <w:t>Local government may make local laws</w:t>
      </w:r>
      <w:bookmarkEnd w:id="341"/>
      <w:bookmarkEnd w:id="342"/>
      <w:bookmarkEnd w:id="343"/>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w:t>
      </w:r>
    </w:p>
    <w:p>
      <w:pPr>
        <w:pStyle w:val="Indenta"/>
        <w:rPr>
          <w:snapToGrid w:val="0"/>
        </w:rPr>
      </w:pPr>
      <w:r>
        <w:rPr>
          <w:snapToGrid w:val="0"/>
        </w:rPr>
        <w:tab/>
        <w:t>(a)</w:t>
      </w:r>
      <w:r>
        <w:rPr>
          <w:snapToGrid w:val="0"/>
        </w:rPr>
        <w:tab/>
        <w:t>the appointment, employment, payment, dismissal and duties of bush fire control officers; and</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ind w:left="890" w:hanging="890"/>
      </w:pPr>
      <w:r>
        <w:tab/>
        <w:t>[Section 62 amended by No. 14 of 1996 s. 4.]</w:t>
      </w:r>
    </w:p>
    <w:p>
      <w:pPr>
        <w:pStyle w:val="Heading5"/>
        <w:rPr>
          <w:snapToGrid w:val="0"/>
        </w:rPr>
      </w:pPr>
      <w:bookmarkStart w:id="344" w:name="_Toc397946898"/>
      <w:bookmarkStart w:id="345" w:name="_Toc415060771"/>
      <w:bookmarkStart w:id="346" w:name="_Toc392495422"/>
      <w:r>
        <w:rPr>
          <w:rStyle w:val="CharSectno"/>
        </w:rPr>
        <w:t>62A</w:t>
      </w:r>
      <w:r>
        <w:rPr>
          <w:snapToGrid w:val="0"/>
        </w:rPr>
        <w:t>.</w:t>
      </w:r>
      <w:r>
        <w:rPr>
          <w:snapToGrid w:val="0"/>
        </w:rPr>
        <w:tab/>
        <w:t>Governor may amend or repeal local laws</w:t>
      </w:r>
      <w:bookmarkEnd w:id="344"/>
      <w:bookmarkEnd w:id="345"/>
      <w:bookmarkEnd w:id="346"/>
    </w:p>
    <w:p>
      <w:pPr>
        <w:pStyle w:val="Subsection"/>
        <w:spacing w:before="140"/>
        <w:rPr>
          <w:snapToGrid w:val="0"/>
        </w:rPr>
      </w:pPr>
      <w:r>
        <w:rPr>
          <w:snapToGrid w:val="0"/>
        </w:rPr>
        <w:tab/>
        <w:t>(1)</w:t>
      </w:r>
      <w:r>
        <w:rPr>
          <w:snapToGrid w:val="0"/>
        </w:rPr>
        <w:tab/>
        <w:t>The Governor may make a local law to amend the text of, or repeal, a local law.</w:t>
      </w:r>
    </w:p>
    <w:p>
      <w:pPr>
        <w:pStyle w:val="Subsection"/>
        <w:spacing w:before="140"/>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spacing w:before="140"/>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spacing w:before="140"/>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spacing w:before="140"/>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spacing w:before="100"/>
        <w:ind w:left="890" w:hanging="890"/>
      </w:pPr>
      <w:r>
        <w:tab/>
        <w:t>[Section 62A inserted by No. 14 of 1996 s. 4.]</w:t>
      </w:r>
    </w:p>
    <w:p>
      <w:pPr>
        <w:pStyle w:val="Ednotesection"/>
        <w:spacing w:before="160"/>
        <w:ind w:left="890" w:hanging="890"/>
      </w:pPr>
      <w:r>
        <w:t>[</w:t>
      </w:r>
      <w:r>
        <w:rPr>
          <w:b/>
        </w:rPr>
        <w:t>63.</w:t>
      </w:r>
      <w:r>
        <w:tab/>
        <w:t>Deleted by No. 42 of 1998 s. 13.]</w:t>
      </w:r>
    </w:p>
    <w:p>
      <w:pPr>
        <w:pStyle w:val="Heading5"/>
        <w:spacing w:before="180"/>
        <w:rPr>
          <w:snapToGrid w:val="0"/>
        </w:rPr>
      </w:pPr>
      <w:bookmarkStart w:id="347" w:name="_Toc397946899"/>
      <w:bookmarkStart w:id="348" w:name="_Toc415060772"/>
      <w:bookmarkStart w:id="349" w:name="_Toc392495423"/>
      <w:r>
        <w:rPr>
          <w:rStyle w:val="CharSectno"/>
        </w:rPr>
        <w:t>64</w:t>
      </w:r>
      <w:r>
        <w:rPr>
          <w:snapToGrid w:val="0"/>
        </w:rPr>
        <w:t>.</w:t>
      </w:r>
      <w:r>
        <w:rPr>
          <w:snapToGrid w:val="0"/>
        </w:rPr>
        <w:tab/>
        <w:t>Prohibitions excluded by certain circumstances</w:t>
      </w:r>
      <w:bookmarkEnd w:id="347"/>
      <w:bookmarkEnd w:id="348"/>
      <w:bookmarkEnd w:id="349"/>
    </w:p>
    <w:p>
      <w:pPr>
        <w:pStyle w:val="Subsection"/>
        <w:spacing w:before="140"/>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38(5A) or (5B) </w:t>
      </w:r>
      <w:r>
        <w:rPr>
          <w:snapToGrid w:val="0"/>
          <w:vertAlign w:val="superscript"/>
        </w:rPr>
        <w:t>3</w:t>
      </w:r>
      <w:r>
        <w:rPr>
          <w:snapToGrid w:val="0"/>
        </w:rPr>
        <w:t>.</w:t>
      </w:r>
    </w:p>
    <w:p>
      <w:pPr>
        <w:pStyle w:val="Footnotesection"/>
        <w:spacing w:before="100"/>
        <w:ind w:left="890" w:hanging="890"/>
      </w:pPr>
      <w:r>
        <w:tab/>
        <w:t>[Section 64 amended by No. 65 of 1977 s. 43; No. 51 of 1979 s. 5; No. 38 of 2002 s. 38; No. 25 of 2009 s. 18; No. 19 of 2010 s. 52(4).]</w:t>
      </w:r>
    </w:p>
    <w:p>
      <w:pPr>
        <w:pStyle w:val="Heading5"/>
        <w:spacing w:before="180"/>
        <w:rPr>
          <w:snapToGrid w:val="0"/>
        </w:rPr>
      </w:pPr>
      <w:bookmarkStart w:id="350" w:name="_Toc397946900"/>
      <w:bookmarkStart w:id="351" w:name="_Toc415060773"/>
      <w:bookmarkStart w:id="352" w:name="_Toc392495424"/>
      <w:r>
        <w:rPr>
          <w:rStyle w:val="CharSectno"/>
        </w:rPr>
        <w:t>65</w:t>
      </w:r>
      <w:r>
        <w:rPr>
          <w:snapToGrid w:val="0"/>
        </w:rPr>
        <w:t>.</w:t>
      </w:r>
      <w:r>
        <w:rPr>
          <w:snapToGrid w:val="0"/>
        </w:rPr>
        <w:tab/>
        <w:t>Proof of certain matters</w:t>
      </w:r>
      <w:bookmarkEnd w:id="350"/>
      <w:bookmarkEnd w:id="351"/>
      <w:bookmarkEnd w:id="352"/>
    </w:p>
    <w:p>
      <w:pPr>
        <w:pStyle w:val="Subsection"/>
        <w:spacing w:before="120"/>
        <w:rPr>
          <w:snapToGrid w:val="0"/>
        </w:rPr>
      </w:pPr>
      <w:r>
        <w:rPr>
          <w:snapToGrid w:val="0"/>
        </w:rPr>
        <w:tab/>
        <w:t>(1)</w:t>
      </w:r>
      <w:r>
        <w:rPr>
          <w:snapToGrid w:val="0"/>
        </w:rPr>
        <w:tab/>
        <w:t>In a prosecution or legal proceeding under the provisions of this Act no proof is required, until evidence is given to the contrary,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 xml:space="preserve">the particular or general </w:t>
      </w:r>
      <w:r>
        <w:t>designation or appointment of a person employed in the Department or of an officer</w:t>
      </w:r>
      <w:r>
        <w:rPr>
          <w:snapToGrid w:val="0"/>
        </w:rPr>
        <w:t xml:space="preserve">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 or</w:t>
      </w:r>
    </w:p>
    <w:p>
      <w:pPr>
        <w:pStyle w:val="Indenta"/>
        <w:rPr>
          <w:snapToGrid w:val="0"/>
        </w:rPr>
      </w:pPr>
      <w:r>
        <w:rPr>
          <w:snapToGrid w:val="0"/>
        </w:rPr>
        <w:tab/>
        <w:t>(b)</w:t>
      </w:r>
      <w:r>
        <w:rPr>
          <w:snapToGrid w:val="0"/>
        </w:rPr>
        <w:tab/>
        <w:t>a copy purporting to be a true copy of such a rule, local law, regulation, declaration, order or notice certified as such</w:t>
      </w:r>
      <w:r>
        <w:t xml:space="preserve"> by the FES Commissioner; or</w:t>
      </w:r>
    </w:p>
    <w:p>
      <w:pPr>
        <w:pStyle w:val="Indenta"/>
        <w:rPr>
          <w:snapToGrid w:val="0"/>
        </w:rPr>
      </w:pPr>
      <w:r>
        <w:rPr>
          <w:snapToGrid w:val="0"/>
        </w:rPr>
        <w:tab/>
        <w:t>(c)</w:t>
      </w:r>
      <w:r>
        <w:rPr>
          <w:snapToGrid w:val="0"/>
        </w:rPr>
        <w:tab/>
        <w:t xml:space="preserve">a copy purporting to be a true copy of the certificate of appointment </w:t>
      </w:r>
      <w:r>
        <w:t>or designation</w:t>
      </w:r>
      <w:r>
        <w:rPr>
          <w:snapToGrid w:val="0"/>
        </w:rPr>
        <w:t xml:space="preserve"> of a bush fire control officer certified as such under the hand of the chief executive officer of a local government or the</w:t>
      </w:r>
      <w:r>
        <w:t xml:space="preserve"> FES Commissioner;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 xml:space="preserve">is evidence until the contrary is proved of the due making, existence, confirmation, approval and giving of the rule, local law, regulation, declaration, order or notice, or of the due appointment </w:t>
      </w:r>
      <w:r>
        <w:t>or designation</w:t>
      </w:r>
      <w:r>
        <w:rPr>
          <w:snapToGrid w:val="0"/>
        </w:rPr>
        <w:t xml:space="preserve">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pPr>
      <w:r>
        <w:tab/>
        <w:t>(ba)</w:t>
      </w:r>
      <w:r>
        <w:tab/>
        <w:t>that a total fire ban declared under section 22A(1) had effect during a stated period and in respect of a stated area of the State;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[Section 65 amended by No. 35 of 1957 s. 11; No. 11 of 1963 s. 27; No. 65 of 1977 s. 44; No. 60 of 1992 s. 15; No. 14 of 1996 s. 4; No. 10 of 1998 s. 20(3); No. 42 of 1998 s. 14 and 16; No. 84 of 2004 s. 80; No. 25 of 2009 s. 19; No. 22 of 2012 s. 68.]</w:t>
      </w:r>
    </w:p>
    <w:p>
      <w:pPr>
        <w:pStyle w:val="Heading5"/>
        <w:rPr>
          <w:snapToGrid w:val="0"/>
        </w:rPr>
      </w:pPr>
      <w:bookmarkStart w:id="353" w:name="_Toc397946901"/>
      <w:bookmarkStart w:id="354" w:name="_Toc415060774"/>
      <w:bookmarkStart w:id="355" w:name="_Toc392495425"/>
      <w:r>
        <w:rPr>
          <w:rStyle w:val="CharSectno"/>
        </w:rPr>
        <w:t>66</w:t>
      </w:r>
      <w:r>
        <w:rPr>
          <w:snapToGrid w:val="0"/>
        </w:rPr>
        <w:t>.</w:t>
      </w:r>
      <w:r>
        <w:rPr>
          <w:snapToGrid w:val="0"/>
        </w:rPr>
        <w:tab/>
        <w:t>Proof of ownership or occupancy</w:t>
      </w:r>
      <w:bookmarkEnd w:id="353"/>
      <w:bookmarkEnd w:id="354"/>
      <w:bookmarkEnd w:id="355"/>
    </w:p>
    <w:p>
      <w:pPr>
        <w:pStyle w:val="Subsection"/>
        <w:rPr>
          <w:snapToGrid w:val="0"/>
        </w:rPr>
      </w:pPr>
      <w:r>
        <w:rPr>
          <w:snapToGrid w:val="0"/>
        </w:rPr>
        <w:tab/>
        <w:t>(1)</w:t>
      </w:r>
      <w:r>
        <w:rPr>
          <w:snapToGrid w:val="0"/>
        </w:rPr>
        <w:tab/>
        <w:t>In a prosecution or legal proceedings under this Act, in addition to other methods of proof available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w:t>
      </w:r>
    </w:p>
    <w:p>
      <w:pPr>
        <w:pStyle w:val="Indenti"/>
        <w:rPr>
          <w:snapToGrid w:val="0"/>
        </w:rPr>
      </w:pPr>
      <w:r>
        <w:rPr>
          <w:snapToGrid w:val="0"/>
        </w:rPr>
        <w:tab/>
        <w:t>(i)</w:t>
      </w:r>
      <w:r>
        <w:rPr>
          <w:snapToGrid w:val="0"/>
        </w:rPr>
        <w:tab/>
        <w:t xml:space="preserve">a certificate signed by the </w:t>
      </w:r>
      <w:r>
        <w:t>Registrar of Deeds and Transfers or an assistant registrar of deeds and transfers</w:t>
      </w:r>
      <w:r>
        <w:rPr>
          <w:snapToGrid w:val="0"/>
        </w:rPr>
        <w:t xml:space="preserve">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 No. 60 of 2006 s. 126</w:t>
      </w:r>
      <w:r>
        <w:rPr>
          <w:spacing w:val="-4"/>
        </w:rPr>
        <w:t>; No. 47 of 2011 s.</w:t>
      </w:r>
      <w:r>
        <w:t> 16.]</w:t>
      </w:r>
    </w:p>
    <w:p>
      <w:pPr>
        <w:pStyle w:val="Heading5"/>
        <w:rPr>
          <w:snapToGrid w:val="0"/>
        </w:rPr>
      </w:pPr>
      <w:bookmarkStart w:id="356" w:name="_Toc397946902"/>
      <w:bookmarkStart w:id="357" w:name="_Toc415060775"/>
      <w:bookmarkStart w:id="358" w:name="_Toc392495426"/>
      <w:r>
        <w:rPr>
          <w:rStyle w:val="CharSectno"/>
        </w:rPr>
        <w:t>67</w:t>
      </w:r>
      <w:r>
        <w:rPr>
          <w:snapToGrid w:val="0"/>
        </w:rPr>
        <w:t>.</w:t>
      </w:r>
      <w:r>
        <w:rPr>
          <w:snapToGrid w:val="0"/>
        </w:rPr>
        <w:tab/>
        <w:t>Advisory committees</w:t>
      </w:r>
      <w:bookmarkEnd w:id="356"/>
      <w:bookmarkEnd w:id="357"/>
      <w:bookmarkEnd w:id="358"/>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w:t>
      </w:r>
    </w:p>
    <w:p>
      <w:pPr>
        <w:pStyle w:val="Indenta"/>
        <w:rPr>
          <w:snapToGrid w:val="0"/>
        </w:rPr>
      </w:pPr>
      <w:r>
        <w:rPr>
          <w:snapToGrid w:val="0"/>
        </w:rPr>
        <w:tab/>
        <w:t>(a)</w:t>
      </w:r>
      <w:r>
        <w:rPr>
          <w:snapToGrid w:val="0"/>
        </w:rPr>
        <w:tab/>
        <w:t>make rules for the guidance of the committee; and</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keepNext/>
        <w:rPr>
          <w:snapToGrid w:val="0"/>
        </w:rPr>
      </w:pPr>
      <w:r>
        <w:rPr>
          <w:snapToGrid w:val="0"/>
        </w:rPr>
        <w:tab/>
        <w:t>(4)</w:t>
      </w:r>
      <w:r>
        <w:rPr>
          <w:snapToGrid w:val="0"/>
        </w:rPr>
        <w:tab/>
        <w:t>A committee appointed under this section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[Section 67 inserted by No. 11 of 1963 s. 28; amended by No. 67 of 1970 s. 5; No. 65 of 1977 s. 45; No. 14 of 1996 s. 4.]</w:t>
      </w:r>
    </w:p>
    <w:p>
      <w:pPr>
        <w:pStyle w:val="Heading5"/>
        <w:rPr>
          <w:snapToGrid w:val="0"/>
        </w:rPr>
      </w:pPr>
      <w:bookmarkStart w:id="359" w:name="_Toc397946903"/>
      <w:bookmarkStart w:id="360" w:name="_Toc415060776"/>
      <w:bookmarkStart w:id="361" w:name="_Toc392495427"/>
      <w:r>
        <w:rPr>
          <w:rStyle w:val="CharSectno"/>
        </w:rPr>
        <w:t>68</w:t>
      </w:r>
      <w:r>
        <w:rPr>
          <w:snapToGrid w:val="0"/>
        </w:rPr>
        <w:t>.</w:t>
      </w:r>
      <w:r>
        <w:rPr>
          <w:snapToGrid w:val="0"/>
        </w:rPr>
        <w:tab/>
        <w:t>Regional advisory committees</w:t>
      </w:r>
      <w:bookmarkEnd w:id="359"/>
      <w:bookmarkEnd w:id="360"/>
      <w:bookmarkEnd w:id="361"/>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w:t>
      </w:r>
    </w:p>
    <w:p>
      <w:pPr>
        <w:pStyle w:val="Indenta"/>
        <w:rPr>
          <w:snapToGrid w:val="0"/>
        </w:rPr>
      </w:pPr>
      <w:r>
        <w:rPr>
          <w:snapToGrid w:val="0"/>
        </w:rPr>
        <w:tab/>
        <w:t>(a)</w:t>
      </w:r>
      <w:r>
        <w:rPr>
          <w:snapToGrid w:val="0"/>
        </w:rPr>
        <w:tab/>
        <w:t>those local governments, by agreement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each of those local governments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 xml:space="preserve">may, where for any reason a vacancy occurs in the office of a member of the committee appointed by it, appoint a person to fill that vacancy;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committee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[Section 68 inserted by No. 65 of 1977 s. 46; amended by No. 14 of 1996 s. 4.]</w:t>
      </w:r>
    </w:p>
    <w:p>
      <w:pPr>
        <w:pStyle w:val="Ednotesection"/>
      </w:pPr>
      <w:r>
        <w:t>[</w:t>
      </w:r>
      <w:r>
        <w:rPr>
          <w:b/>
        </w:rPr>
        <w:t>69.</w:t>
      </w:r>
      <w:r>
        <w:tab/>
        <w:t>Deleted by No. 42 of 1998 s. 15.]</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62" w:name="_Toc381872776"/>
      <w:bookmarkStart w:id="363" w:name="_Toc381873844"/>
      <w:bookmarkStart w:id="364" w:name="_Toc392495428"/>
      <w:bookmarkStart w:id="365" w:name="_Toc397946486"/>
      <w:bookmarkStart w:id="366" w:name="_Toc397946622"/>
      <w:bookmarkStart w:id="367" w:name="_Toc397946904"/>
      <w:bookmarkStart w:id="368" w:name="_Toc415060681"/>
      <w:bookmarkStart w:id="369" w:name="_Toc415060777"/>
      <w:r>
        <w:t>Notes</w:t>
      </w:r>
      <w:bookmarkEnd w:id="362"/>
      <w:bookmarkEnd w:id="363"/>
      <w:bookmarkEnd w:id="364"/>
      <w:bookmarkEnd w:id="365"/>
      <w:bookmarkEnd w:id="366"/>
      <w:bookmarkEnd w:id="367"/>
      <w:bookmarkEnd w:id="368"/>
      <w:bookmarkEnd w:id="369"/>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Act 1954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70" w:name="_Toc397946905"/>
      <w:bookmarkStart w:id="371" w:name="_Toc415060778"/>
      <w:bookmarkStart w:id="372" w:name="_Toc392495429"/>
      <w:r>
        <w:rPr>
          <w:snapToGrid w:val="0"/>
        </w:rPr>
        <w:t>Compilation table</w:t>
      </w:r>
      <w:bookmarkEnd w:id="370"/>
      <w:bookmarkEnd w:id="371"/>
      <w:bookmarkEnd w:id="372"/>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11"/>
      </w:tblGrid>
      <w:tr>
        <w:trPr>
          <w:cantSplit/>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6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1" w:type="dxa"/>
          <w:cantSplit/>
        </w:trPr>
        <w:tc>
          <w:tcPr>
            <w:tcW w:w="2273" w:type="dxa"/>
          </w:tcPr>
          <w:p>
            <w:pPr>
              <w:pStyle w:val="nTable"/>
              <w:spacing w:after="40"/>
            </w:pPr>
            <w:r>
              <w:rPr>
                <w:i/>
              </w:rPr>
              <w:t>Bush Fires Act 1954</w:t>
            </w:r>
          </w:p>
        </w:tc>
        <w:tc>
          <w:tcPr>
            <w:tcW w:w="1138" w:type="dxa"/>
          </w:tcPr>
          <w:p>
            <w:pPr>
              <w:pStyle w:val="nTable"/>
              <w:spacing w:after="40"/>
            </w:pPr>
            <w:r>
              <w:t>53 of 1954</w:t>
            </w:r>
            <w:r>
              <w:br/>
              <w:t>(3 Eliz. II No. 53)</w:t>
            </w:r>
          </w:p>
        </w:tc>
        <w:tc>
          <w:tcPr>
            <w:tcW w:w="1135" w:type="dxa"/>
          </w:tcPr>
          <w:p>
            <w:pPr>
              <w:pStyle w:val="nTable"/>
              <w:spacing w:after="40"/>
            </w:pPr>
            <w:r>
              <w:t>23 Dec 1954</w:t>
            </w:r>
          </w:p>
        </w:tc>
        <w:tc>
          <w:tcPr>
            <w:tcW w:w="2551" w:type="dxa"/>
          </w:tcPr>
          <w:p>
            <w:pPr>
              <w:pStyle w:val="nTable"/>
              <w:spacing w:after="40"/>
            </w:pPr>
            <w:r>
              <w:t xml:space="preserve">29 Apr 1955 (see s. 3 and </w:t>
            </w:r>
            <w:r>
              <w:rPr>
                <w:i/>
              </w:rPr>
              <w:t>Gazette</w:t>
            </w:r>
            <w:r>
              <w:t xml:space="preserve"> 29 Apr 1955 p. 749)</w:t>
            </w:r>
          </w:p>
        </w:tc>
      </w:tr>
      <w:tr>
        <w:trPr>
          <w:gridAfter w:val="1"/>
          <w:wAfter w:w="11" w:type="dxa"/>
          <w:cantSplit/>
        </w:trPr>
        <w:tc>
          <w:tcPr>
            <w:tcW w:w="2273" w:type="dxa"/>
          </w:tcPr>
          <w:p>
            <w:pPr>
              <w:pStyle w:val="nTable"/>
              <w:spacing w:after="40"/>
            </w:pPr>
            <w:r>
              <w:rPr>
                <w:i/>
              </w:rPr>
              <w:t>Bush Fires Act Amendment Act 1957</w:t>
            </w:r>
          </w:p>
        </w:tc>
        <w:tc>
          <w:tcPr>
            <w:tcW w:w="1138" w:type="dxa"/>
          </w:tcPr>
          <w:p>
            <w:pPr>
              <w:pStyle w:val="nTable"/>
              <w:spacing w:after="40"/>
            </w:pPr>
            <w:r>
              <w:t>35 of 1957</w:t>
            </w:r>
            <w:r>
              <w:br/>
              <w:t>(6 Eliz. II No. 35)</w:t>
            </w:r>
          </w:p>
        </w:tc>
        <w:tc>
          <w:tcPr>
            <w:tcW w:w="1135" w:type="dxa"/>
          </w:tcPr>
          <w:p>
            <w:pPr>
              <w:pStyle w:val="nTable"/>
              <w:spacing w:after="40"/>
            </w:pPr>
            <w:r>
              <w:t>5 Nov 1957</w:t>
            </w:r>
          </w:p>
        </w:tc>
        <w:tc>
          <w:tcPr>
            <w:tcW w:w="2551" w:type="dxa"/>
          </w:tcPr>
          <w:p>
            <w:pPr>
              <w:pStyle w:val="nTable"/>
              <w:spacing w:after="40"/>
            </w:pPr>
            <w:r>
              <w:t>5 Nov 1957</w:t>
            </w:r>
          </w:p>
        </w:tc>
      </w:tr>
      <w:tr>
        <w:trPr>
          <w:gridAfter w:val="1"/>
          <w:wAfter w:w="11" w:type="dxa"/>
          <w:cantSplit/>
        </w:trPr>
        <w:tc>
          <w:tcPr>
            <w:tcW w:w="2273" w:type="dxa"/>
          </w:tcPr>
          <w:p>
            <w:pPr>
              <w:pStyle w:val="nTable"/>
              <w:spacing w:after="40"/>
            </w:pPr>
            <w:r>
              <w:rPr>
                <w:i/>
              </w:rPr>
              <w:t>Bush Fires Act Amendment Act 1958</w:t>
            </w:r>
          </w:p>
        </w:tc>
        <w:tc>
          <w:tcPr>
            <w:tcW w:w="1138" w:type="dxa"/>
          </w:tcPr>
          <w:p>
            <w:pPr>
              <w:pStyle w:val="nTable"/>
              <w:spacing w:after="40"/>
            </w:pPr>
            <w:r>
              <w:t>20 of 1958</w:t>
            </w:r>
            <w:r>
              <w:br/>
              <w:t>(7 Eliz. II No. 20)</w:t>
            </w:r>
          </w:p>
        </w:tc>
        <w:tc>
          <w:tcPr>
            <w:tcW w:w="1135" w:type="dxa"/>
          </w:tcPr>
          <w:p>
            <w:pPr>
              <w:pStyle w:val="nTable"/>
              <w:spacing w:after="40"/>
            </w:pPr>
            <w:r>
              <w:t>22 Oct 1958</w:t>
            </w:r>
          </w:p>
        </w:tc>
        <w:tc>
          <w:tcPr>
            <w:tcW w:w="2551" w:type="dxa"/>
          </w:tcPr>
          <w:p>
            <w:pPr>
              <w:pStyle w:val="nTable"/>
              <w:spacing w:after="40"/>
            </w:pPr>
            <w:r>
              <w:t>22 Oct 1958</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approved 3 Jul 1961 in Vol. 15 of Reprinted Acts</w:t>
            </w:r>
            <w:r>
              <w:t xml:space="preserve"> (includes amendments listed above)</w:t>
            </w:r>
          </w:p>
        </w:tc>
      </w:tr>
      <w:tr>
        <w:trPr>
          <w:gridAfter w:val="1"/>
          <w:wAfter w:w="11" w:type="dxa"/>
          <w:cantSplit/>
        </w:trPr>
        <w:tc>
          <w:tcPr>
            <w:tcW w:w="2273" w:type="dxa"/>
          </w:tcPr>
          <w:p>
            <w:pPr>
              <w:pStyle w:val="nTable"/>
              <w:spacing w:after="40"/>
            </w:pPr>
            <w:r>
              <w:rPr>
                <w:i/>
              </w:rPr>
              <w:t>Bush Fires Act Amendment Act 1963</w:t>
            </w:r>
          </w:p>
        </w:tc>
        <w:tc>
          <w:tcPr>
            <w:tcW w:w="1138" w:type="dxa"/>
          </w:tcPr>
          <w:p>
            <w:pPr>
              <w:pStyle w:val="nTable"/>
              <w:spacing w:after="40"/>
            </w:pPr>
            <w:r>
              <w:t>11 of 1963</w:t>
            </w:r>
            <w:r>
              <w:br/>
              <w:t>(12 Eliz. II No. 11)</w:t>
            </w:r>
          </w:p>
        </w:tc>
        <w:tc>
          <w:tcPr>
            <w:tcW w:w="1135" w:type="dxa"/>
          </w:tcPr>
          <w:p>
            <w:pPr>
              <w:pStyle w:val="nTable"/>
              <w:spacing w:after="40"/>
            </w:pPr>
            <w:r>
              <w:t>22 Oct 1963</w:t>
            </w:r>
          </w:p>
        </w:tc>
        <w:tc>
          <w:tcPr>
            <w:tcW w:w="2551" w:type="dxa"/>
          </w:tcPr>
          <w:p>
            <w:pPr>
              <w:pStyle w:val="nTable"/>
              <w:spacing w:after="40"/>
            </w:pPr>
            <w:r>
              <w:t xml:space="preserve">22 Nov 1963 (see s. 2 and </w:t>
            </w:r>
            <w:r>
              <w:rPr>
                <w:i/>
              </w:rPr>
              <w:t>Gazette</w:t>
            </w:r>
            <w:r>
              <w:t xml:space="preserve"> 22 Nov 1963 p. 3618)</w:t>
            </w:r>
          </w:p>
        </w:tc>
      </w:tr>
      <w:tr>
        <w:trPr>
          <w:gridAfter w:val="1"/>
          <w:wAfter w:w="11" w:type="dxa"/>
          <w:cantSplit/>
        </w:trPr>
        <w:tc>
          <w:tcPr>
            <w:tcW w:w="2273" w:type="dxa"/>
          </w:tcPr>
          <w:p>
            <w:pPr>
              <w:pStyle w:val="nTable"/>
              <w:spacing w:after="40"/>
            </w:pPr>
            <w:r>
              <w:rPr>
                <w:i/>
              </w:rPr>
              <w:t>Bush Fires Act Amendment Act 1964</w:t>
            </w:r>
          </w:p>
        </w:tc>
        <w:tc>
          <w:tcPr>
            <w:tcW w:w="1138" w:type="dxa"/>
          </w:tcPr>
          <w:p>
            <w:pPr>
              <w:pStyle w:val="nTable"/>
              <w:spacing w:after="40"/>
            </w:pPr>
            <w:r>
              <w:t>23 of 1964</w:t>
            </w:r>
            <w:r>
              <w:br/>
              <w:t>(13 Eliz. II No. 23)</w:t>
            </w:r>
          </w:p>
        </w:tc>
        <w:tc>
          <w:tcPr>
            <w:tcW w:w="1135" w:type="dxa"/>
          </w:tcPr>
          <w:p>
            <w:pPr>
              <w:pStyle w:val="nTable"/>
              <w:spacing w:after="40"/>
            </w:pPr>
            <w:r>
              <w:t>28 Oct 1964</w:t>
            </w:r>
          </w:p>
        </w:tc>
        <w:tc>
          <w:tcPr>
            <w:tcW w:w="2551" w:type="dxa"/>
          </w:tcPr>
          <w:p>
            <w:pPr>
              <w:pStyle w:val="nTable"/>
              <w:spacing w:after="40"/>
            </w:pPr>
            <w:r>
              <w:t>28 Oct 1964</w:t>
            </w:r>
          </w:p>
        </w:tc>
      </w:tr>
      <w:tr>
        <w:trPr>
          <w:gridAfter w:val="1"/>
          <w:wAfter w:w="11" w:type="dxa"/>
          <w:cantSplit/>
        </w:trPr>
        <w:tc>
          <w:tcPr>
            <w:tcW w:w="2273" w:type="dxa"/>
          </w:tcPr>
          <w:p>
            <w:pPr>
              <w:pStyle w:val="nTable"/>
              <w:spacing w:after="40"/>
            </w:pPr>
            <w:r>
              <w:rPr>
                <w:i/>
              </w:rPr>
              <w:t>Bush Fires Act Amendment Act 1965</w:t>
            </w:r>
          </w:p>
        </w:tc>
        <w:tc>
          <w:tcPr>
            <w:tcW w:w="1138" w:type="dxa"/>
          </w:tcPr>
          <w:p>
            <w:pPr>
              <w:pStyle w:val="nTable"/>
              <w:spacing w:after="40"/>
            </w:pPr>
            <w:r>
              <w:t>15 of 1965</w:t>
            </w:r>
          </w:p>
        </w:tc>
        <w:tc>
          <w:tcPr>
            <w:tcW w:w="1135" w:type="dxa"/>
          </w:tcPr>
          <w:p>
            <w:pPr>
              <w:pStyle w:val="nTable"/>
              <w:spacing w:after="40"/>
            </w:pPr>
            <w:r>
              <w:t>1 Oct 1965</w:t>
            </w:r>
          </w:p>
        </w:tc>
        <w:tc>
          <w:tcPr>
            <w:tcW w:w="2551" w:type="dxa"/>
          </w:tcPr>
          <w:p>
            <w:pPr>
              <w:pStyle w:val="nTable"/>
              <w:spacing w:after="40"/>
            </w:pPr>
            <w:r>
              <w:t>1 Oct 1965</w:t>
            </w:r>
          </w:p>
        </w:tc>
      </w:tr>
      <w:tr>
        <w:trPr>
          <w:gridAfter w:val="1"/>
          <w:wAfter w:w="11" w:type="dxa"/>
          <w:cantSplit/>
        </w:trPr>
        <w:tc>
          <w:tcPr>
            <w:tcW w:w="2273" w:type="dxa"/>
          </w:tcPr>
          <w:p>
            <w:pPr>
              <w:pStyle w:val="nTable"/>
              <w:spacing w:after="40"/>
            </w:pPr>
            <w:r>
              <w:rPr>
                <w:i/>
              </w:rPr>
              <w:t>Decimal Currency Act 1965</w:t>
            </w:r>
          </w:p>
        </w:tc>
        <w:tc>
          <w:tcPr>
            <w:tcW w:w="1138" w:type="dxa"/>
          </w:tcPr>
          <w:p>
            <w:pPr>
              <w:pStyle w:val="nTable"/>
              <w:spacing w:after="40"/>
            </w:pPr>
            <w:r>
              <w:t>113 of 1965</w:t>
            </w:r>
          </w:p>
        </w:tc>
        <w:tc>
          <w:tcPr>
            <w:tcW w:w="1135" w:type="dxa"/>
          </w:tcPr>
          <w:p>
            <w:pPr>
              <w:pStyle w:val="nTable"/>
              <w:spacing w:after="40"/>
            </w:pPr>
            <w:r>
              <w:t>21 Dec 1965</w:t>
            </w:r>
          </w:p>
        </w:tc>
        <w:tc>
          <w:tcPr>
            <w:tcW w:w="2551" w:type="dxa"/>
          </w:tcPr>
          <w:p>
            <w:pPr>
              <w:pStyle w:val="nTable"/>
              <w:spacing w:after="40"/>
            </w:pPr>
            <w:r>
              <w:t>Act other than s. 4</w:t>
            </w:r>
            <w:r>
              <w:noBreakHyphen/>
              <w:t>9: 21 Dec 1965 (see s. 2(1));</w:t>
            </w:r>
            <w:r>
              <w:br/>
              <w:t>s. 4-9: 14 Feb 1966 (see s. 2(2))</w:t>
            </w:r>
          </w:p>
        </w:tc>
      </w:tr>
      <w:tr>
        <w:trPr>
          <w:gridAfter w:val="1"/>
          <w:wAfter w:w="11" w:type="dxa"/>
          <w:cantSplit/>
        </w:trPr>
        <w:tc>
          <w:tcPr>
            <w:tcW w:w="2273" w:type="dxa"/>
          </w:tcPr>
          <w:p>
            <w:pPr>
              <w:pStyle w:val="nTable"/>
              <w:spacing w:after="40"/>
            </w:pPr>
            <w:r>
              <w:rPr>
                <w:i/>
              </w:rPr>
              <w:t>Bush Fires Act Amendment Act 1969</w:t>
            </w:r>
          </w:p>
        </w:tc>
        <w:tc>
          <w:tcPr>
            <w:tcW w:w="1138" w:type="dxa"/>
          </w:tcPr>
          <w:p>
            <w:pPr>
              <w:pStyle w:val="nTable"/>
              <w:spacing w:after="40"/>
            </w:pPr>
            <w:r>
              <w:t>101 of 1969</w:t>
            </w:r>
          </w:p>
        </w:tc>
        <w:tc>
          <w:tcPr>
            <w:tcW w:w="1135" w:type="dxa"/>
          </w:tcPr>
          <w:p>
            <w:pPr>
              <w:pStyle w:val="nTable"/>
              <w:spacing w:after="40"/>
            </w:pPr>
            <w:r>
              <w:t>25 Nov 1969</w:t>
            </w:r>
          </w:p>
        </w:tc>
        <w:tc>
          <w:tcPr>
            <w:tcW w:w="2551" w:type="dxa"/>
          </w:tcPr>
          <w:p>
            <w:pPr>
              <w:pStyle w:val="nTable"/>
              <w:spacing w:after="40"/>
            </w:pPr>
            <w:r>
              <w:t>25 Nov 1969</w:t>
            </w:r>
          </w:p>
        </w:tc>
      </w:tr>
      <w:tr>
        <w:trPr>
          <w:gridAfter w:val="1"/>
          <w:wAfter w:w="11" w:type="dxa"/>
          <w:cantSplit/>
        </w:trPr>
        <w:tc>
          <w:tcPr>
            <w:tcW w:w="2273" w:type="dxa"/>
          </w:tcPr>
          <w:p>
            <w:pPr>
              <w:pStyle w:val="nTable"/>
              <w:spacing w:after="40"/>
            </w:pPr>
            <w:r>
              <w:rPr>
                <w:i/>
              </w:rPr>
              <w:t>Bush Fires Act Amendment Act 1970</w:t>
            </w:r>
          </w:p>
        </w:tc>
        <w:tc>
          <w:tcPr>
            <w:tcW w:w="1138" w:type="dxa"/>
          </w:tcPr>
          <w:p>
            <w:pPr>
              <w:pStyle w:val="nTable"/>
              <w:spacing w:after="40"/>
            </w:pPr>
            <w:r>
              <w:t>67 of 1970</w:t>
            </w:r>
          </w:p>
        </w:tc>
        <w:tc>
          <w:tcPr>
            <w:tcW w:w="1135" w:type="dxa"/>
          </w:tcPr>
          <w:p>
            <w:pPr>
              <w:pStyle w:val="nTable"/>
              <w:spacing w:after="40"/>
            </w:pPr>
            <w:r>
              <w:t>17 Nov 1970</w:t>
            </w:r>
          </w:p>
        </w:tc>
        <w:tc>
          <w:tcPr>
            <w:tcW w:w="2551" w:type="dxa"/>
          </w:tcPr>
          <w:p>
            <w:pPr>
              <w:pStyle w:val="nTable"/>
              <w:spacing w:after="40"/>
            </w:pPr>
            <w:r>
              <w:t>17 Nov 1970</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approved 14 Apr 1971 </w:t>
            </w:r>
            <w:r>
              <w:t>(includes amendments listed above)</w:t>
            </w:r>
          </w:p>
        </w:tc>
      </w:tr>
      <w:tr>
        <w:trPr>
          <w:gridAfter w:val="1"/>
          <w:wAfter w:w="11" w:type="dxa"/>
          <w:cantSplit/>
        </w:trPr>
        <w:tc>
          <w:tcPr>
            <w:tcW w:w="2273" w:type="dxa"/>
          </w:tcPr>
          <w:p>
            <w:pPr>
              <w:pStyle w:val="nTable"/>
              <w:spacing w:after="40"/>
            </w:pPr>
            <w:r>
              <w:rPr>
                <w:i/>
              </w:rPr>
              <w:t>Metric Conversion Act 1972</w:t>
            </w:r>
          </w:p>
        </w:tc>
        <w:tc>
          <w:tcPr>
            <w:tcW w:w="1138" w:type="dxa"/>
          </w:tcPr>
          <w:p>
            <w:pPr>
              <w:pStyle w:val="nTable"/>
              <w:keepNext/>
              <w:keepLines/>
              <w:spacing w:after="40"/>
            </w:pPr>
            <w:r>
              <w:t>94 of 1972</w:t>
            </w:r>
            <w:r>
              <w:br/>
              <w:t>(as amended by No. 83 of 1973 s. 3)</w:t>
            </w:r>
          </w:p>
        </w:tc>
        <w:tc>
          <w:tcPr>
            <w:tcW w:w="1135" w:type="dxa"/>
          </w:tcPr>
          <w:p>
            <w:pPr>
              <w:pStyle w:val="nTable"/>
              <w:keepNext/>
              <w:keepLines/>
              <w:spacing w:after="40"/>
            </w:pPr>
            <w:r>
              <w:t>4 Dec 1972</w:t>
            </w:r>
          </w:p>
        </w:tc>
        <w:tc>
          <w:tcPr>
            <w:tcW w:w="2551" w:type="dxa"/>
          </w:tcPr>
          <w:p>
            <w:pPr>
              <w:pStyle w:val="nTable"/>
              <w:keepNext/>
              <w:keepLines/>
              <w:spacing w:after="40"/>
            </w:pPr>
            <w:r>
              <w:t>Relevant amendments (see Third Sch. </w:t>
            </w:r>
            <w:r>
              <w:rPr>
                <w:vertAlign w:val="superscript"/>
              </w:rPr>
              <w:t>4</w:t>
            </w:r>
            <w:r>
              <w:t xml:space="preserve">) took effect on 1 Jun 1974 (see s. 4(2) and </w:t>
            </w:r>
            <w:r>
              <w:rPr>
                <w:i/>
              </w:rPr>
              <w:t>Gazette</w:t>
            </w:r>
            <w:r>
              <w:t xml:space="preserve"> 24 May 1974 p. 1626)</w:t>
            </w:r>
          </w:p>
        </w:tc>
      </w:tr>
      <w:tr>
        <w:trPr>
          <w:gridAfter w:val="1"/>
          <w:wAfter w:w="11" w:type="dxa"/>
          <w:cantSplit/>
        </w:trPr>
        <w:tc>
          <w:tcPr>
            <w:tcW w:w="2273" w:type="dxa"/>
          </w:tcPr>
          <w:p>
            <w:pPr>
              <w:pStyle w:val="nTable"/>
              <w:spacing w:after="40"/>
            </w:pPr>
            <w:r>
              <w:rPr>
                <w:i/>
              </w:rPr>
              <w:t>Bush Fires Act Amendment Act 1977</w:t>
            </w:r>
          </w:p>
        </w:tc>
        <w:tc>
          <w:tcPr>
            <w:tcW w:w="1138" w:type="dxa"/>
          </w:tcPr>
          <w:p>
            <w:pPr>
              <w:pStyle w:val="nTable"/>
              <w:spacing w:after="40"/>
            </w:pPr>
            <w:r>
              <w:t>65 of 1977</w:t>
            </w:r>
          </w:p>
        </w:tc>
        <w:tc>
          <w:tcPr>
            <w:tcW w:w="1135" w:type="dxa"/>
          </w:tcPr>
          <w:p>
            <w:pPr>
              <w:pStyle w:val="nTable"/>
              <w:spacing w:after="40"/>
            </w:pPr>
            <w:r>
              <w:t>28 Nov 1977</w:t>
            </w:r>
          </w:p>
        </w:tc>
        <w:tc>
          <w:tcPr>
            <w:tcW w:w="2551" w:type="dxa"/>
          </w:tcPr>
          <w:p>
            <w:pPr>
              <w:pStyle w:val="nTable"/>
              <w:spacing w:after="40"/>
            </w:pPr>
            <w:r>
              <w:t xml:space="preserve">1 Jun 1978 (see s. 2 and </w:t>
            </w:r>
            <w:r>
              <w:rPr>
                <w:i/>
              </w:rPr>
              <w:t xml:space="preserve">Gazette </w:t>
            </w:r>
            <w:r>
              <w:t>10 Mar 1978 p. 667)</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approved 21 Jun 1978 </w:t>
            </w:r>
            <w:r>
              <w:t>(includes amendments listed above)</w:t>
            </w:r>
          </w:p>
        </w:tc>
      </w:tr>
      <w:tr>
        <w:trPr>
          <w:gridAfter w:val="1"/>
          <w:wAfter w:w="11" w:type="dxa"/>
          <w:cantSplit/>
        </w:trPr>
        <w:tc>
          <w:tcPr>
            <w:tcW w:w="2273" w:type="dxa"/>
          </w:tcPr>
          <w:p>
            <w:pPr>
              <w:pStyle w:val="nTable"/>
              <w:spacing w:after="40"/>
            </w:pPr>
            <w:r>
              <w:rPr>
                <w:i/>
              </w:rPr>
              <w:t>Bush Fires Act Amendment Act 1979</w:t>
            </w:r>
          </w:p>
        </w:tc>
        <w:tc>
          <w:tcPr>
            <w:tcW w:w="1138" w:type="dxa"/>
          </w:tcPr>
          <w:p>
            <w:pPr>
              <w:pStyle w:val="nTable"/>
              <w:spacing w:after="40"/>
            </w:pPr>
            <w:r>
              <w:t>51 of 1979</w:t>
            </w:r>
          </w:p>
        </w:tc>
        <w:tc>
          <w:tcPr>
            <w:tcW w:w="1135" w:type="dxa"/>
          </w:tcPr>
          <w:p>
            <w:pPr>
              <w:pStyle w:val="nTable"/>
              <w:spacing w:after="40"/>
            </w:pPr>
            <w:r>
              <w:t>7 Nov 1979</w:t>
            </w:r>
          </w:p>
        </w:tc>
        <w:tc>
          <w:tcPr>
            <w:tcW w:w="2551" w:type="dxa"/>
          </w:tcPr>
          <w:p>
            <w:pPr>
              <w:pStyle w:val="nTable"/>
              <w:spacing w:after="40"/>
            </w:pPr>
            <w:r>
              <w:t>7 Nov 1979</w:t>
            </w:r>
          </w:p>
        </w:tc>
      </w:tr>
      <w:tr>
        <w:trPr>
          <w:gridAfter w:val="1"/>
          <w:wAfter w:w="11" w:type="dxa"/>
          <w:cantSplit/>
        </w:trPr>
        <w:tc>
          <w:tcPr>
            <w:tcW w:w="2273" w:type="dxa"/>
          </w:tcPr>
          <w:p>
            <w:pPr>
              <w:pStyle w:val="nTable"/>
              <w:spacing w:after="40"/>
            </w:pPr>
            <w:r>
              <w:rPr>
                <w:i/>
              </w:rPr>
              <w:t>Bush Fires Amendment Act 1981</w:t>
            </w:r>
          </w:p>
        </w:tc>
        <w:tc>
          <w:tcPr>
            <w:tcW w:w="1138" w:type="dxa"/>
          </w:tcPr>
          <w:p>
            <w:pPr>
              <w:pStyle w:val="nTable"/>
              <w:spacing w:after="40"/>
            </w:pPr>
            <w:r>
              <w:t>95 of 1981</w:t>
            </w:r>
          </w:p>
        </w:tc>
        <w:tc>
          <w:tcPr>
            <w:tcW w:w="1135" w:type="dxa"/>
          </w:tcPr>
          <w:p>
            <w:pPr>
              <w:pStyle w:val="nTable"/>
              <w:spacing w:after="40"/>
            </w:pPr>
            <w:r>
              <w:t>4 Dec 1981</w:t>
            </w:r>
          </w:p>
        </w:tc>
        <w:tc>
          <w:tcPr>
            <w:tcW w:w="2551" w:type="dxa"/>
          </w:tcPr>
          <w:p>
            <w:pPr>
              <w:pStyle w:val="nTable"/>
              <w:spacing w:after="40"/>
            </w:pPr>
            <w:r>
              <w:t>4 Dec 1981</w:t>
            </w:r>
          </w:p>
        </w:tc>
      </w:tr>
      <w:tr>
        <w:trPr>
          <w:gridAfter w:val="1"/>
          <w:wAfter w:w="11" w:type="dxa"/>
          <w:cantSplit/>
        </w:trPr>
        <w:tc>
          <w:tcPr>
            <w:tcW w:w="2273" w:type="dxa"/>
          </w:tcPr>
          <w:p>
            <w:pPr>
              <w:pStyle w:val="nTable"/>
              <w:spacing w:after="40"/>
            </w:pPr>
            <w:r>
              <w:rPr>
                <w:i/>
              </w:rPr>
              <w:t>Acts Amendment (Conservation and Land Management) Act 1984</w:t>
            </w:r>
            <w:r>
              <w:t xml:space="preserve"> Pt. IV</w:t>
            </w:r>
          </w:p>
        </w:tc>
        <w:tc>
          <w:tcPr>
            <w:tcW w:w="1138" w:type="dxa"/>
          </w:tcPr>
          <w:p>
            <w:pPr>
              <w:pStyle w:val="nTable"/>
              <w:spacing w:after="40"/>
            </w:pPr>
            <w:r>
              <w:t>112 of 1984</w:t>
            </w:r>
          </w:p>
        </w:tc>
        <w:tc>
          <w:tcPr>
            <w:tcW w:w="1135" w:type="dxa"/>
          </w:tcPr>
          <w:p>
            <w:pPr>
              <w:pStyle w:val="nTable"/>
              <w:spacing w:after="40"/>
            </w:pPr>
            <w:r>
              <w:t>19 Dec 1984</w:t>
            </w:r>
          </w:p>
        </w:tc>
        <w:tc>
          <w:tcPr>
            <w:tcW w:w="2551" w:type="dxa"/>
          </w:tcPr>
          <w:p>
            <w:pPr>
              <w:pStyle w:val="nTable"/>
              <w:spacing w:after="40"/>
            </w:pPr>
            <w:r>
              <w:t xml:space="preserve">22 Mar 1985 (see s. 2 and </w:t>
            </w:r>
            <w:r>
              <w:rPr>
                <w:i/>
              </w:rPr>
              <w:t>Gazette</w:t>
            </w:r>
            <w:r>
              <w:t xml:space="preserve"> 15 Mar 1985 p. 931)</w:t>
            </w:r>
          </w:p>
        </w:tc>
      </w:tr>
      <w:tr>
        <w:trPr>
          <w:gridAfter w:val="1"/>
          <w:wAfter w:w="11" w:type="dxa"/>
          <w:cantSplit/>
        </w:trPr>
        <w:tc>
          <w:tcPr>
            <w:tcW w:w="2273" w:type="dxa"/>
          </w:tcPr>
          <w:p>
            <w:pPr>
              <w:pStyle w:val="nTable"/>
              <w:spacing w:after="40"/>
            </w:pPr>
            <w:r>
              <w:rPr>
                <w:i/>
              </w:rPr>
              <w:t>Bush Fires Amendment Act 1987</w:t>
            </w:r>
          </w:p>
        </w:tc>
        <w:tc>
          <w:tcPr>
            <w:tcW w:w="1138" w:type="dxa"/>
          </w:tcPr>
          <w:p>
            <w:pPr>
              <w:pStyle w:val="nTable"/>
              <w:spacing w:after="40"/>
            </w:pPr>
            <w:r>
              <w:t>8 of 1987</w:t>
            </w:r>
          </w:p>
        </w:tc>
        <w:tc>
          <w:tcPr>
            <w:tcW w:w="1135" w:type="dxa"/>
          </w:tcPr>
          <w:p>
            <w:pPr>
              <w:pStyle w:val="nTable"/>
              <w:spacing w:after="40"/>
            </w:pPr>
            <w:r>
              <w:t>5 Jun 1987</w:t>
            </w:r>
          </w:p>
        </w:tc>
        <w:tc>
          <w:tcPr>
            <w:tcW w:w="2551" w:type="dxa"/>
          </w:tcPr>
          <w:p>
            <w:pPr>
              <w:pStyle w:val="nTable"/>
              <w:spacing w:after="40"/>
            </w:pPr>
            <w:r>
              <w:t>3 Jul 1987</w:t>
            </w:r>
          </w:p>
        </w:tc>
      </w:tr>
      <w:tr>
        <w:trPr>
          <w:gridAfter w:val="1"/>
          <w:wAfter w:w="11" w:type="dxa"/>
          <w:cantSplit/>
        </w:trPr>
        <w:tc>
          <w:tcPr>
            <w:tcW w:w="2273" w:type="dxa"/>
          </w:tcPr>
          <w:p>
            <w:pPr>
              <w:pStyle w:val="nTable"/>
              <w:spacing w:after="40"/>
            </w:pPr>
            <w:r>
              <w:rPr>
                <w:i/>
              </w:rPr>
              <w:t>Criminal Law Amendment Act 1990</w:t>
            </w:r>
            <w:r>
              <w:t xml:space="preserve"> Pt. 3</w:t>
            </w:r>
          </w:p>
        </w:tc>
        <w:tc>
          <w:tcPr>
            <w:tcW w:w="1138" w:type="dxa"/>
          </w:tcPr>
          <w:p>
            <w:pPr>
              <w:pStyle w:val="nTable"/>
              <w:spacing w:after="40"/>
            </w:pPr>
            <w:r>
              <w:t>101 of 1990</w:t>
            </w:r>
          </w:p>
        </w:tc>
        <w:tc>
          <w:tcPr>
            <w:tcW w:w="1135" w:type="dxa"/>
          </w:tcPr>
          <w:p>
            <w:pPr>
              <w:pStyle w:val="nTable"/>
              <w:spacing w:after="40"/>
            </w:pPr>
            <w:r>
              <w:t>20 Dec 1990</w:t>
            </w:r>
          </w:p>
        </w:tc>
        <w:tc>
          <w:tcPr>
            <w:tcW w:w="2551" w:type="dxa"/>
          </w:tcPr>
          <w:p>
            <w:pPr>
              <w:pStyle w:val="nTable"/>
              <w:spacing w:after="40"/>
            </w:pPr>
            <w:r>
              <w:t>14 Feb 1991 (see s. 2(1))</w:t>
            </w:r>
          </w:p>
        </w:tc>
      </w:tr>
      <w:tr>
        <w:trPr>
          <w:gridAfter w:val="1"/>
          <w:wAfter w:w="11" w:type="dxa"/>
          <w:cantSplit/>
        </w:trPr>
        <w:tc>
          <w:tcPr>
            <w:tcW w:w="7097" w:type="dxa"/>
            <w:gridSpan w:val="4"/>
            <w:shd w:val="clear" w:color="auto" w:fill="auto"/>
          </w:tcPr>
          <w:p>
            <w:pPr>
              <w:pStyle w:val="nTable"/>
              <w:spacing w:after="40"/>
            </w:pPr>
            <w:r>
              <w:rPr>
                <w:b/>
              </w:rPr>
              <w:t xml:space="preserve">Reprint of the </w:t>
            </w:r>
            <w:r>
              <w:rPr>
                <w:b/>
                <w:i/>
              </w:rPr>
              <w:t>Bush Fires Act 1954</w:t>
            </w:r>
            <w:r>
              <w:rPr>
                <w:b/>
              </w:rPr>
              <w:t xml:space="preserve"> as at 27 Feb 1992 </w:t>
            </w:r>
            <w:r>
              <w:t>(includes amendments listed above)</w:t>
            </w:r>
          </w:p>
        </w:tc>
      </w:tr>
      <w:tr>
        <w:trPr>
          <w:gridAfter w:val="1"/>
          <w:wAfter w:w="11" w:type="dxa"/>
          <w:cantSplit/>
        </w:trPr>
        <w:tc>
          <w:tcPr>
            <w:tcW w:w="2273" w:type="dxa"/>
            <w:shd w:val="clear" w:color="auto" w:fill="auto"/>
          </w:tcPr>
          <w:p>
            <w:pPr>
              <w:pStyle w:val="nTable"/>
              <w:spacing w:after="40"/>
              <w:rPr>
                <w:vertAlign w:val="superscript"/>
              </w:rPr>
            </w:pPr>
            <w:r>
              <w:rPr>
                <w:i/>
              </w:rPr>
              <w:t>Bush Fires Amendment Act 1992 </w:t>
            </w:r>
            <w:r>
              <w:rPr>
                <w:vertAlign w:val="superscript"/>
              </w:rPr>
              <w:t>5</w:t>
            </w:r>
          </w:p>
        </w:tc>
        <w:tc>
          <w:tcPr>
            <w:tcW w:w="1138" w:type="dxa"/>
          </w:tcPr>
          <w:p>
            <w:pPr>
              <w:pStyle w:val="nTable"/>
              <w:spacing w:after="40"/>
            </w:pPr>
            <w:r>
              <w:t>60 of 1992</w:t>
            </w:r>
          </w:p>
        </w:tc>
        <w:tc>
          <w:tcPr>
            <w:tcW w:w="1135" w:type="dxa"/>
          </w:tcPr>
          <w:p>
            <w:pPr>
              <w:pStyle w:val="nTable"/>
              <w:spacing w:after="40"/>
            </w:pPr>
            <w:r>
              <w:t>11 Dec 1992</w:t>
            </w:r>
          </w:p>
        </w:tc>
        <w:tc>
          <w:tcPr>
            <w:tcW w:w="2551" w:type="dxa"/>
          </w:tcPr>
          <w:p>
            <w:pPr>
              <w:pStyle w:val="nTable"/>
              <w:spacing w:after="40"/>
            </w:pPr>
            <w:r>
              <w:t>Act other than Pt. 2: 11 Dec 1992 (see s. 2(1));</w:t>
            </w:r>
            <w:r>
              <w:br/>
              <w:t xml:space="preserve">Pt. 2: 25 Mar 1993 (see s. 2(2) and </w:t>
            </w:r>
            <w:r>
              <w:rPr>
                <w:i/>
              </w:rPr>
              <w:t>Gazette</w:t>
            </w:r>
            <w:r>
              <w:t xml:space="preserve"> 19 Mar 1993 p. 1635)</w:t>
            </w:r>
          </w:p>
        </w:tc>
      </w:tr>
      <w:tr>
        <w:trPr>
          <w:gridAfter w:val="1"/>
          <w:wAfter w:w="11" w:type="dxa"/>
          <w:cantSplit/>
        </w:trPr>
        <w:tc>
          <w:tcPr>
            <w:tcW w:w="2273" w:type="dxa"/>
          </w:tcPr>
          <w:p>
            <w:pPr>
              <w:pStyle w:val="nTable"/>
              <w:spacing w:after="40"/>
            </w:pPr>
            <w:r>
              <w:rPr>
                <w:i/>
              </w:rPr>
              <w:t>Financial Administration Legislation Amendment Act 1993</w:t>
            </w:r>
            <w:r>
              <w:t xml:space="preserve"> s. 11</w:t>
            </w:r>
          </w:p>
        </w:tc>
        <w:tc>
          <w:tcPr>
            <w:tcW w:w="1138" w:type="dxa"/>
          </w:tcPr>
          <w:p>
            <w:pPr>
              <w:pStyle w:val="nTable"/>
              <w:keepNext/>
              <w:keepLines/>
              <w:spacing w:after="40"/>
            </w:pPr>
            <w:r>
              <w:t>6 of 1993</w:t>
            </w:r>
          </w:p>
        </w:tc>
        <w:tc>
          <w:tcPr>
            <w:tcW w:w="1135" w:type="dxa"/>
          </w:tcPr>
          <w:p>
            <w:pPr>
              <w:pStyle w:val="nTable"/>
              <w:keepNext/>
              <w:keepLines/>
              <w:spacing w:after="40"/>
            </w:pPr>
            <w:r>
              <w:t>27 Aug 1993</w:t>
            </w:r>
          </w:p>
        </w:tc>
        <w:tc>
          <w:tcPr>
            <w:tcW w:w="2551" w:type="dxa"/>
          </w:tcPr>
          <w:p>
            <w:pPr>
              <w:pStyle w:val="nTable"/>
              <w:keepNext/>
              <w:keepLines/>
              <w:spacing w:after="40"/>
            </w:pPr>
            <w:r>
              <w:t>1 Jul 1993 (see s. 2(1))</w:t>
            </w:r>
          </w:p>
        </w:tc>
      </w:tr>
      <w:tr>
        <w:trPr>
          <w:gridAfter w:val="1"/>
          <w:wAfter w:w="11" w:type="dxa"/>
          <w:cantSplit/>
        </w:trPr>
        <w:tc>
          <w:tcPr>
            <w:tcW w:w="2273" w:type="dxa"/>
          </w:tcPr>
          <w:p>
            <w:pPr>
              <w:pStyle w:val="nTable"/>
              <w:spacing w:after="40"/>
            </w:pPr>
            <w:r>
              <w:rPr>
                <w:i/>
              </w:rPr>
              <w:t>Acts Amendment (Public Sector Management) Act 1994</w:t>
            </w:r>
            <w:r>
              <w:t xml:space="preserve"> s. 19</w:t>
            </w:r>
          </w:p>
        </w:tc>
        <w:tc>
          <w:tcPr>
            <w:tcW w:w="1138" w:type="dxa"/>
          </w:tcPr>
          <w:p>
            <w:pPr>
              <w:pStyle w:val="nTable"/>
              <w:spacing w:after="40"/>
            </w:pPr>
            <w:r>
              <w:t>32 of 1994</w:t>
            </w:r>
          </w:p>
        </w:tc>
        <w:tc>
          <w:tcPr>
            <w:tcW w:w="1135"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gridAfter w:val="1"/>
          <w:wAfter w:w="11" w:type="dxa"/>
          <w:cantSplit/>
        </w:trPr>
        <w:tc>
          <w:tcPr>
            <w:tcW w:w="2273" w:type="dxa"/>
          </w:tcPr>
          <w:p>
            <w:pPr>
              <w:pStyle w:val="nTable"/>
              <w:spacing w:after="40"/>
            </w:pPr>
            <w:r>
              <w:rPr>
                <w:i/>
              </w:rPr>
              <w:t>Fire Brigades Amendment Act 1994</w:t>
            </w:r>
            <w:r>
              <w:t xml:space="preserve"> s. 36</w:t>
            </w:r>
          </w:p>
        </w:tc>
        <w:tc>
          <w:tcPr>
            <w:tcW w:w="1138" w:type="dxa"/>
          </w:tcPr>
          <w:p>
            <w:pPr>
              <w:pStyle w:val="nTable"/>
              <w:spacing w:after="40"/>
            </w:pPr>
            <w:r>
              <w:t>52 of 1994</w:t>
            </w:r>
          </w:p>
        </w:tc>
        <w:tc>
          <w:tcPr>
            <w:tcW w:w="1135" w:type="dxa"/>
          </w:tcPr>
          <w:p>
            <w:pPr>
              <w:pStyle w:val="nTable"/>
              <w:spacing w:after="40"/>
            </w:pPr>
            <w:r>
              <w:t>2 Nov 1994</w:t>
            </w:r>
          </w:p>
        </w:tc>
        <w:tc>
          <w:tcPr>
            <w:tcW w:w="2551" w:type="dxa"/>
          </w:tcPr>
          <w:p>
            <w:pPr>
              <w:pStyle w:val="nTable"/>
              <w:spacing w:after="40"/>
            </w:pPr>
            <w:r>
              <w:t xml:space="preserve">10 Dec 1994 (see s. 2 and </w:t>
            </w:r>
            <w:r>
              <w:rPr>
                <w:i/>
              </w:rPr>
              <w:t>Gazette</w:t>
            </w:r>
            <w:r>
              <w:t xml:space="preserve"> 9 Dec 1994 p. 6647)</w:t>
            </w:r>
          </w:p>
        </w:tc>
      </w:tr>
      <w:tr>
        <w:trPr>
          <w:gridAfter w:val="1"/>
          <w:wAfter w:w="11" w:type="dxa"/>
          <w:cantSplit/>
        </w:trPr>
        <w:tc>
          <w:tcPr>
            <w:tcW w:w="2273" w:type="dxa"/>
          </w:tcPr>
          <w:p>
            <w:pPr>
              <w:pStyle w:val="nTable"/>
              <w:spacing w:after="40"/>
            </w:pPr>
            <w:r>
              <w:rPr>
                <w:i/>
              </w:rPr>
              <w:t>Planning Legislation Amendment Act (No. 2) 1994</w:t>
            </w:r>
            <w:r>
              <w:t xml:space="preserve"> s. 46(1)</w:t>
            </w:r>
          </w:p>
        </w:tc>
        <w:tc>
          <w:tcPr>
            <w:tcW w:w="1138" w:type="dxa"/>
          </w:tcPr>
          <w:p>
            <w:pPr>
              <w:pStyle w:val="nTable"/>
              <w:spacing w:after="40"/>
            </w:pPr>
            <w:r>
              <w:t>84 of 1994</w:t>
            </w:r>
          </w:p>
        </w:tc>
        <w:tc>
          <w:tcPr>
            <w:tcW w:w="1135" w:type="dxa"/>
          </w:tcPr>
          <w:p>
            <w:pPr>
              <w:pStyle w:val="nTable"/>
              <w:spacing w:after="40"/>
            </w:pPr>
            <w:r>
              <w:t>13 Jan 1995</w:t>
            </w:r>
          </w:p>
        </w:tc>
        <w:tc>
          <w:tcPr>
            <w:tcW w:w="2551" w:type="dxa"/>
          </w:tcPr>
          <w:p>
            <w:pPr>
              <w:pStyle w:val="nTable"/>
              <w:spacing w:after="40"/>
            </w:pPr>
            <w:r>
              <w:t xml:space="preserve">1 Mar 1995 (see s. 2 and </w:t>
            </w:r>
            <w:r>
              <w:rPr>
                <w:i/>
              </w:rPr>
              <w:t>Gazette</w:t>
            </w:r>
            <w:r>
              <w:t xml:space="preserve"> 21 Feb 1995 p. 567)</w:t>
            </w:r>
          </w:p>
        </w:tc>
      </w:tr>
      <w:tr>
        <w:trPr>
          <w:gridAfter w:val="1"/>
          <w:wAfter w:w="11" w:type="dxa"/>
          <w:cantSplit/>
        </w:trPr>
        <w:tc>
          <w:tcPr>
            <w:tcW w:w="2273" w:type="dxa"/>
          </w:tcPr>
          <w:p>
            <w:pPr>
              <w:pStyle w:val="nTable"/>
              <w:spacing w:after="40"/>
            </w:pPr>
            <w:r>
              <w:rPr>
                <w:i/>
              </w:rPr>
              <w:t>Sentencing (Consequential Provisions) Act 1995</w:t>
            </w:r>
            <w:r>
              <w:t xml:space="preserve"> Pt. 6 and s. 147</w:t>
            </w:r>
          </w:p>
        </w:tc>
        <w:tc>
          <w:tcPr>
            <w:tcW w:w="1138" w:type="dxa"/>
          </w:tcPr>
          <w:p>
            <w:pPr>
              <w:pStyle w:val="nTable"/>
              <w:spacing w:after="40"/>
            </w:pPr>
            <w:r>
              <w:t>78 of 1995</w:t>
            </w:r>
          </w:p>
        </w:tc>
        <w:tc>
          <w:tcPr>
            <w:tcW w:w="1135"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gridAfter w:val="1"/>
          <w:wAfter w:w="11" w:type="dxa"/>
          <w:cantSplit/>
        </w:trPr>
        <w:tc>
          <w:tcPr>
            <w:tcW w:w="2273" w:type="dxa"/>
          </w:tcPr>
          <w:p>
            <w:pPr>
              <w:pStyle w:val="nTable"/>
              <w:spacing w:after="40"/>
            </w:pPr>
            <w:r>
              <w:rPr>
                <w:i/>
              </w:rPr>
              <w:t>Coroners Act 1996</w:t>
            </w:r>
            <w:r>
              <w:t xml:space="preserve"> s. 61</w:t>
            </w:r>
          </w:p>
        </w:tc>
        <w:tc>
          <w:tcPr>
            <w:tcW w:w="1138" w:type="dxa"/>
          </w:tcPr>
          <w:p>
            <w:pPr>
              <w:pStyle w:val="nTable"/>
              <w:spacing w:after="40"/>
            </w:pPr>
            <w:r>
              <w:t>2 of 1996</w:t>
            </w:r>
          </w:p>
        </w:tc>
        <w:tc>
          <w:tcPr>
            <w:tcW w:w="1135"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gridAfter w:val="1"/>
          <w:wAfter w:w="11" w:type="dxa"/>
          <w:cantSplit/>
        </w:trPr>
        <w:tc>
          <w:tcPr>
            <w:tcW w:w="2273" w:type="dxa"/>
          </w:tcPr>
          <w:p>
            <w:pPr>
              <w:pStyle w:val="nTable"/>
              <w:spacing w:after="40"/>
            </w:pPr>
            <w:r>
              <w:rPr>
                <w:i/>
              </w:rPr>
              <w:t>Local Government (Consequential Amendments) Act 1996</w:t>
            </w:r>
            <w:r>
              <w:t xml:space="preserve"> s. 4</w:t>
            </w:r>
          </w:p>
        </w:tc>
        <w:tc>
          <w:tcPr>
            <w:tcW w:w="1138" w:type="dxa"/>
          </w:tcPr>
          <w:p>
            <w:pPr>
              <w:pStyle w:val="nTable"/>
              <w:spacing w:after="40"/>
            </w:pPr>
            <w:r>
              <w:t>14 of 1996</w:t>
            </w:r>
          </w:p>
        </w:tc>
        <w:tc>
          <w:tcPr>
            <w:tcW w:w="1135" w:type="dxa"/>
          </w:tcPr>
          <w:p>
            <w:pPr>
              <w:pStyle w:val="nTable"/>
              <w:spacing w:after="40"/>
            </w:pPr>
            <w:r>
              <w:t>28 Jun 1996</w:t>
            </w:r>
          </w:p>
        </w:tc>
        <w:tc>
          <w:tcPr>
            <w:tcW w:w="2551" w:type="dxa"/>
          </w:tcPr>
          <w:p>
            <w:pPr>
              <w:pStyle w:val="nTable"/>
              <w:spacing w:after="40"/>
            </w:pPr>
            <w:r>
              <w:t>1 Jul 1996 (see s. 2)</w:t>
            </w:r>
          </w:p>
        </w:tc>
      </w:tr>
      <w:tr>
        <w:trPr>
          <w:gridAfter w:val="1"/>
          <w:wAfter w:w="11" w:type="dxa"/>
          <w:cantSplit/>
        </w:trPr>
        <w:tc>
          <w:tcPr>
            <w:tcW w:w="2273" w:type="dxa"/>
          </w:tcPr>
          <w:p>
            <w:pPr>
              <w:pStyle w:val="nTable"/>
              <w:spacing w:after="40"/>
            </w:pPr>
            <w:r>
              <w:rPr>
                <w:i/>
              </w:rPr>
              <w:t>Financial Legislation Amendment Act 1996</w:t>
            </w:r>
            <w:r>
              <w:t xml:space="preserve"> s. 64</w:t>
            </w:r>
          </w:p>
        </w:tc>
        <w:tc>
          <w:tcPr>
            <w:tcW w:w="1138" w:type="dxa"/>
          </w:tcPr>
          <w:p>
            <w:pPr>
              <w:pStyle w:val="nTable"/>
              <w:spacing w:after="40"/>
            </w:pPr>
            <w:r>
              <w:t>49 of 1996</w:t>
            </w:r>
          </w:p>
        </w:tc>
        <w:tc>
          <w:tcPr>
            <w:tcW w:w="1135" w:type="dxa"/>
          </w:tcPr>
          <w:p>
            <w:pPr>
              <w:pStyle w:val="nTable"/>
              <w:spacing w:after="40"/>
            </w:pPr>
            <w:r>
              <w:t>25 Oct 1996</w:t>
            </w:r>
          </w:p>
        </w:tc>
        <w:tc>
          <w:tcPr>
            <w:tcW w:w="2551" w:type="dxa"/>
          </w:tcPr>
          <w:p>
            <w:pPr>
              <w:pStyle w:val="nTable"/>
              <w:spacing w:after="40"/>
            </w:pPr>
            <w:r>
              <w:t>25 Oct 1996 (see s. 2(1))</w:t>
            </w:r>
          </w:p>
        </w:tc>
      </w:tr>
      <w:tr>
        <w:trPr>
          <w:gridAfter w:val="1"/>
          <w:wAfter w:w="11" w:type="dxa"/>
          <w:cantSplit/>
        </w:trPr>
        <w:tc>
          <w:tcPr>
            <w:tcW w:w="2273" w:type="dxa"/>
          </w:tcPr>
          <w:p>
            <w:pPr>
              <w:pStyle w:val="nTable"/>
              <w:spacing w:after="40"/>
            </w:pPr>
            <w:r>
              <w:rPr>
                <w:i/>
              </w:rPr>
              <w:t>Transfer of Land Amendment Act 1996</w:t>
            </w:r>
            <w:r>
              <w:t xml:space="preserve"> s. 153(1)</w:t>
            </w:r>
          </w:p>
        </w:tc>
        <w:tc>
          <w:tcPr>
            <w:tcW w:w="1138" w:type="dxa"/>
          </w:tcPr>
          <w:p>
            <w:pPr>
              <w:pStyle w:val="nTable"/>
              <w:spacing w:after="40"/>
            </w:pPr>
            <w:r>
              <w:t>81 of 1996</w:t>
            </w:r>
          </w:p>
        </w:tc>
        <w:tc>
          <w:tcPr>
            <w:tcW w:w="1135" w:type="dxa"/>
          </w:tcPr>
          <w:p>
            <w:pPr>
              <w:pStyle w:val="nTable"/>
              <w:spacing w:after="40"/>
            </w:pPr>
            <w:r>
              <w:t>14 Nov 1996</w:t>
            </w:r>
          </w:p>
        </w:tc>
        <w:tc>
          <w:tcPr>
            <w:tcW w:w="2551" w:type="dxa"/>
          </w:tcPr>
          <w:p>
            <w:pPr>
              <w:pStyle w:val="nTable"/>
              <w:spacing w:after="40"/>
            </w:pPr>
            <w:r>
              <w:t>14 Nov 1996 (see s. 2(1))</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as at 20 Jan 1997 </w:t>
            </w:r>
            <w:r>
              <w:t xml:space="preserve">(includes amendments listed above except those in the </w:t>
            </w:r>
            <w:r>
              <w:rPr>
                <w:i/>
              </w:rPr>
              <w:t>Coroners Act 1996</w:t>
            </w:r>
            <w:r>
              <w:t>)</w:t>
            </w:r>
          </w:p>
        </w:tc>
      </w:tr>
      <w:tr>
        <w:trPr>
          <w:gridAfter w:val="1"/>
          <w:wAfter w:w="11" w:type="dxa"/>
          <w:cantSplit/>
        </w:trPr>
        <w:tc>
          <w:tcPr>
            <w:tcW w:w="2273" w:type="dxa"/>
          </w:tcPr>
          <w:p>
            <w:pPr>
              <w:pStyle w:val="nTable"/>
              <w:spacing w:after="40"/>
            </w:pPr>
            <w:r>
              <w:rPr>
                <w:i/>
              </w:rPr>
              <w:t>Statutes (Repeals and Minor Amendments) Act 1997</w:t>
            </w:r>
            <w:r>
              <w:t xml:space="preserve"> s. 26</w:t>
            </w:r>
          </w:p>
        </w:tc>
        <w:tc>
          <w:tcPr>
            <w:tcW w:w="1138" w:type="dxa"/>
          </w:tcPr>
          <w:p>
            <w:pPr>
              <w:pStyle w:val="nTable"/>
              <w:spacing w:after="40"/>
            </w:pPr>
            <w:r>
              <w:t>57 of 1997</w:t>
            </w:r>
          </w:p>
        </w:tc>
        <w:tc>
          <w:tcPr>
            <w:tcW w:w="1135" w:type="dxa"/>
          </w:tcPr>
          <w:p>
            <w:pPr>
              <w:pStyle w:val="nTable"/>
              <w:spacing w:after="40"/>
            </w:pPr>
            <w:r>
              <w:t>15 Dec 1997</w:t>
            </w:r>
          </w:p>
        </w:tc>
        <w:tc>
          <w:tcPr>
            <w:tcW w:w="2551" w:type="dxa"/>
          </w:tcPr>
          <w:p>
            <w:pPr>
              <w:pStyle w:val="nTable"/>
              <w:spacing w:after="40"/>
            </w:pPr>
            <w:r>
              <w:t>15 Dec 1997 (see s. 2(1))</w:t>
            </w:r>
          </w:p>
        </w:tc>
      </w:tr>
      <w:tr>
        <w:trPr>
          <w:gridAfter w:val="1"/>
          <w:wAfter w:w="11" w:type="dxa"/>
          <w:cantSplit/>
        </w:trPr>
        <w:tc>
          <w:tcPr>
            <w:tcW w:w="2273" w:type="dxa"/>
          </w:tcPr>
          <w:p>
            <w:pPr>
              <w:pStyle w:val="nTable"/>
              <w:spacing w:after="40"/>
            </w:pPr>
            <w:r>
              <w:rPr>
                <w:i/>
              </w:rPr>
              <w:t>Statutes (Repeals and Minor Amendments) Act (No. 2) 1998</w:t>
            </w:r>
            <w:r>
              <w:t xml:space="preserve"> s. 20</w:t>
            </w:r>
          </w:p>
        </w:tc>
        <w:tc>
          <w:tcPr>
            <w:tcW w:w="1138" w:type="dxa"/>
          </w:tcPr>
          <w:p>
            <w:pPr>
              <w:pStyle w:val="nTable"/>
              <w:spacing w:after="40"/>
            </w:pPr>
            <w:r>
              <w:t>10 of 1998</w:t>
            </w:r>
          </w:p>
        </w:tc>
        <w:tc>
          <w:tcPr>
            <w:tcW w:w="1135" w:type="dxa"/>
          </w:tcPr>
          <w:p>
            <w:pPr>
              <w:pStyle w:val="nTable"/>
              <w:spacing w:after="40"/>
            </w:pPr>
            <w:r>
              <w:t>30 Apr 1998</w:t>
            </w:r>
          </w:p>
        </w:tc>
        <w:tc>
          <w:tcPr>
            <w:tcW w:w="2551" w:type="dxa"/>
          </w:tcPr>
          <w:p>
            <w:pPr>
              <w:pStyle w:val="nTable"/>
              <w:spacing w:after="40"/>
            </w:pPr>
            <w:r>
              <w:t>30 Apr 1998 (see s. 2(1))</w:t>
            </w:r>
          </w:p>
        </w:tc>
      </w:tr>
      <w:tr>
        <w:trPr>
          <w:gridAfter w:val="1"/>
          <w:wAfter w:w="11" w:type="dxa"/>
          <w:cantSplit/>
        </w:trPr>
        <w:tc>
          <w:tcPr>
            <w:tcW w:w="2273" w:type="dxa"/>
          </w:tcPr>
          <w:p>
            <w:pPr>
              <w:pStyle w:val="nTable"/>
              <w:spacing w:after="40"/>
              <w:rPr>
                <w:vertAlign w:val="superscript"/>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Pt. 2 </w:t>
            </w:r>
            <w:r>
              <w:rPr>
                <w:vertAlign w:val="superscript"/>
              </w:rPr>
              <w:t>6</w:t>
            </w:r>
          </w:p>
        </w:tc>
        <w:tc>
          <w:tcPr>
            <w:tcW w:w="1138" w:type="dxa"/>
          </w:tcPr>
          <w:p>
            <w:pPr>
              <w:pStyle w:val="nTable"/>
              <w:spacing w:after="40"/>
            </w:pPr>
            <w:r>
              <w:t>42 of 1998</w:t>
            </w:r>
          </w:p>
        </w:tc>
        <w:tc>
          <w:tcPr>
            <w:tcW w:w="1135" w:type="dxa"/>
          </w:tcPr>
          <w:p>
            <w:pPr>
              <w:pStyle w:val="nTable"/>
              <w:spacing w:after="40"/>
            </w:pPr>
            <w:r>
              <w:t>4 Nov 1998</w:t>
            </w:r>
          </w:p>
        </w:tc>
        <w:tc>
          <w:tcPr>
            <w:tcW w:w="2551" w:type="dxa"/>
          </w:tcPr>
          <w:p>
            <w:pPr>
              <w:pStyle w:val="nTable"/>
              <w:spacing w:after="40"/>
            </w:pPr>
            <w:r>
              <w:t xml:space="preserve">1 Jan 1999 (see s. 2 and </w:t>
            </w:r>
            <w:r>
              <w:rPr>
                <w:i/>
              </w:rPr>
              <w:t>Gazette</w:t>
            </w:r>
            <w:r>
              <w:t xml:space="preserve"> 22 Dec 1998 p. 6833)</w:t>
            </w:r>
          </w:p>
        </w:tc>
      </w:tr>
      <w:tr>
        <w:trPr>
          <w:gridAfter w:val="1"/>
          <w:wAfter w:w="11" w:type="dxa"/>
          <w:cantSplit/>
        </w:trPr>
        <w:tc>
          <w:tcPr>
            <w:tcW w:w="2273" w:type="dxa"/>
          </w:tcPr>
          <w:p>
            <w:pPr>
              <w:pStyle w:val="nTable"/>
              <w:spacing w:after="40"/>
              <w:rPr>
                <w:vertAlign w:val="superscript"/>
              </w:rPr>
            </w:pPr>
            <w:r>
              <w:rPr>
                <w:i/>
              </w:rPr>
              <w:t xml:space="preserve">Fire and Emergency Services Legislation Amendment Act 2002 </w:t>
            </w:r>
            <w:r>
              <w:t>s. 15</w:t>
            </w:r>
            <w:r>
              <w:noBreakHyphen/>
              <w:t>40 </w:t>
            </w:r>
            <w:r>
              <w:rPr>
                <w:vertAlign w:val="superscript"/>
              </w:rPr>
              <w:t>7</w:t>
            </w:r>
          </w:p>
        </w:tc>
        <w:tc>
          <w:tcPr>
            <w:tcW w:w="1138" w:type="dxa"/>
          </w:tcPr>
          <w:p>
            <w:pPr>
              <w:pStyle w:val="nTable"/>
              <w:spacing w:after="40"/>
            </w:pPr>
            <w:r>
              <w:t>38 of 2002</w:t>
            </w:r>
          </w:p>
        </w:tc>
        <w:tc>
          <w:tcPr>
            <w:tcW w:w="1135" w:type="dxa"/>
          </w:tcPr>
          <w:p>
            <w:pPr>
              <w:pStyle w:val="nTable"/>
              <w:spacing w:after="40"/>
            </w:pPr>
            <w:r>
              <w:t>20 Nov 2002</w:t>
            </w:r>
          </w:p>
        </w:tc>
        <w:tc>
          <w:tcPr>
            <w:tcW w:w="2551" w:type="dxa"/>
          </w:tcPr>
          <w:p>
            <w:pPr>
              <w:pStyle w:val="nTable"/>
              <w:spacing w:after="40"/>
            </w:pPr>
            <w:r>
              <w:t xml:space="preserve">30 Nov 2002 (see s. 2 and </w:t>
            </w:r>
            <w:r>
              <w:rPr>
                <w:i/>
              </w:rPr>
              <w:t>Gazette</w:t>
            </w:r>
            <w:r>
              <w:t xml:space="preserve"> 29 Nov 2002 p. 5651</w:t>
            </w:r>
            <w:r>
              <w:noBreakHyphen/>
              <w:t>2)</w:t>
            </w:r>
          </w:p>
        </w:tc>
      </w:tr>
      <w:tr>
        <w:trPr>
          <w:gridAfter w:val="1"/>
          <w:wAfter w:w="11" w:type="dxa"/>
          <w:cantSplit/>
        </w:trPr>
        <w:tc>
          <w:tcPr>
            <w:tcW w:w="2273" w:type="dxa"/>
          </w:tcPr>
          <w:p>
            <w:pPr>
              <w:pStyle w:val="nTable"/>
              <w:spacing w:after="40"/>
            </w:pPr>
            <w:r>
              <w:rPr>
                <w:i/>
              </w:rPr>
              <w:t>Acts Amendment (Equality of Status) Act 2003</w:t>
            </w:r>
            <w:r>
              <w:t xml:space="preserve"> Pt. 4</w:t>
            </w:r>
          </w:p>
        </w:tc>
        <w:tc>
          <w:tcPr>
            <w:tcW w:w="1138" w:type="dxa"/>
          </w:tcPr>
          <w:p>
            <w:pPr>
              <w:pStyle w:val="nTable"/>
              <w:spacing w:after="40"/>
            </w:pPr>
            <w:r>
              <w:t>28 of 2003</w:t>
            </w:r>
          </w:p>
        </w:tc>
        <w:tc>
          <w:tcPr>
            <w:tcW w:w="1135" w:type="dxa"/>
          </w:tcPr>
          <w:p>
            <w:pPr>
              <w:pStyle w:val="nTable"/>
              <w:spacing w:after="40"/>
            </w:pPr>
            <w:r>
              <w:t>22 May 2003</w:t>
            </w:r>
          </w:p>
        </w:tc>
        <w:tc>
          <w:tcPr>
            <w:tcW w:w="2551" w:type="dxa"/>
          </w:tcPr>
          <w:p>
            <w:pPr>
              <w:pStyle w:val="nTable"/>
              <w:spacing w:after="40"/>
            </w:pPr>
            <w:r>
              <w:t xml:space="preserve">1 Jul 2003 (see s. 2 and </w:t>
            </w:r>
            <w:r>
              <w:rPr>
                <w:i/>
              </w:rPr>
              <w:t>Gazette</w:t>
            </w:r>
            <w:r>
              <w:t xml:space="preserve"> 30 Jun 2003 p. 2579)</w:t>
            </w:r>
          </w:p>
        </w:tc>
      </w:tr>
      <w:tr>
        <w:trPr>
          <w:gridAfter w:val="1"/>
          <w:wAfter w:w="11" w:type="dxa"/>
          <w:cantSplit/>
        </w:trPr>
        <w:tc>
          <w:tcPr>
            <w:tcW w:w="7097" w:type="dxa"/>
            <w:gridSpan w:val="4"/>
          </w:tcPr>
          <w:p>
            <w:pPr>
              <w:pStyle w:val="nTable"/>
              <w:spacing w:after="40"/>
            </w:pPr>
            <w:r>
              <w:rPr>
                <w:b/>
              </w:rPr>
              <w:t xml:space="preserve">Reprint 6: The </w:t>
            </w:r>
            <w:r>
              <w:rPr>
                <w:b/>
                <w:i/>
              </w:rPr>
              <w:t>Bush Fires Act 1954</w:t>
            </w:r>
            <w:r>
              <w:rPr>
                <w:b/>
              </w:rPr>
              <w:t xml:space="preserve"> as at 1 Aug 2003 </w:t>
            </w:r>
            <w:r>
              <w:t>(includes amendments listed above)</w:t>
            </w:r>
          </w:p>
        </w:tc>
      </w:tr>
      <w:tr>
        <w:trPr>
          <w:gridAfter w:val="1"/>
          <w:wAfter w:w="11" w:type="dxa"/>
          <w:cantSplit/>
        </w:trPr>
        <w:tc>
          <w:tcPr>
            <w:tcW w:w="2273" w:type="dxa"/>
          </w:tcPr>
          <w:p>
            <w:pPr>
              <w:pStyle w:val="nTable"/>
              <w:spacing w:after="40"/>
            </w:pPr>
            <w:r>
              <w:rPr>
                <w:i/>
              </w:rPr>
              <w:t>Acts Amendment and Repeal (Competition Policy) Act 2003</w:t>
            </w:r>
            <w:r>
              <w:t xml:space="preserve"> Pt. 3</w:t>
            </w:r>
          </w:p>
        </w:tc>
        <w:tc>
          <w:tcPr>
            <w:tcW w:w="1138" w:type="dxa"/>
          </w:tcPr>
          <w:p>
            <w:pPr>
              <w:pStyle w:val="nTable"/>
              <w:spacing w:after="40"/>
            </w:pPr>
            <w:r>
              <w:t>70 of 2003</w:t>
            </w:r>
          </w:p>
        </w:tc>
        <w:tc>
          <w:tcPr>
            <w:tcW w:w="1135" w:type="dxa"/>
          </w:tcPr>
          <w:p>
            <w:pPr>
              <w:pStyle w:val="nTable"/>
              <w:spacing w:after="40"/>
            </w:pPr>
            <w:r>
              <w:t>15 Dec 2003</w:t>
            </w:r>
          </w:p>
        </w:tc>
        <w:tc>
          <w:tcPr>
            <w:tcW w:w="2551" w:type="dxa"/>
          </w:tcPr>
          <w:p>
            <w:pPr>
              <w:pStyle w:val="nTable"/>
              <w:spacing w:after="40"/>
            </w:pPr>
            <w:r>
              <w:t xml:space="preserve">21 Apr 2004 (see s. 2 and </w:t>
            </w:r>
            <w:r>
              <w:rPr>
                <w:i/>
              </w:rPr>
              <w:t>Gazette</w:t>
            </w:r>
            <w:r>
              <w:t xml:space="preserve"> 20 Apr 2004 p. 1297)</w:t>
            </w:r>
          </w:p>
        </w:tc>
      </w:tr>
      <w:tr>
        <w:trPr>
          <w:gridAfter w:val="1"/>
          <w:wAfter w:w="11" w:type="dxa"/>
          <w:cantSplit/>
        </w:trPr>
        <w:tc>
          <w:tcPr>
            <w:tcW w:w="2273" w:type="dxa"/>
          </w:tcPr>
          <w:p>
            <w:pPr>
              <w:pStyle w:val="nTable"/>
              <w:spacing w:after="40"/>
              <w:rPr>
                <w:i/>
              </w:rPr>
            </w:pPr>
            <w:r>
              <w:rPr>
                <w:i/>
              </w:rPr>
              <w:t>Criminal Code Amendment Act 2004</w:t>
            </w:r>
            <w:r>
              <w:t xml:space="preserve"> s. 58</w:t>
            </w:r>
          </w:p>
        </w:tc>
        <w:tc>
          <w:tcPr>
            <w:tcW w:w="1138" w:type="dxa"/>
          </w:tcPr>
          <w:p>
            <w:pPr>
              <w:pStyle w:val="nTable"/>
              <w:spacing w:after="40"/>
            </w:pPr>
            <w:r>
              <w:t>4 of 2004</w:t>
            </w:r>
          </w:p>
        </w:tc>
        <w:tc>
          <w:tcPr>
            <w:tcW w:w="1135" w:type="dxa"/>
          </w:tcPr>
          <w:p>
            <w:pPr>
              <w:pStyle w:val="nTable"/>
              <w:spacing w:after="40"/>
            </w:pPr>
            <w:r>
              <w:t>23 Apr 2004</w:t>
            </w:r>
          </w:p>
        </w:tc>
        <w:tc>
          <w:tcPr>
            <w:tcW w:w="2551" w:type="dxa"/>
          </w:tcPr>
          <w:p>
            <w:pPr>
              <w:pStyle w:val="nTable"/>
              <w:spacing w:after="40"/>
            </w:pPr>
            <w:r>
              <w:t>21 May 2004 (see s. 2)</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vertAlign w:val="superscript"/>
              </w:rPr>
            </w:pPr>
            <w:r>
              <w:rPr>
                <w:i/>
                <w:iCs/>
                <w:snapToGrid w:val="0"/>
              </w:rPr>
              <w:t>Workers’ Compensation Reform Act 2004</w:t>
            </w:r>
            <w:r>
              <w:rPr>
                <w:snapToGrid w:val="0"/>
              </w:rPr>
              <w:t xml:space="preserve"> s. 174</w:t>
            </w:r>
          </w:p>
        </w:tc>
        <w:tc>
          <w:tcPr>
            <w:tcW w:w="1138" w:type="dxa"/>
            <w:tcBorders>
              <w:top w:val="nil"/>
              <w:bottom w:val="nil"/>
            </w:tcBorders>
          </w:tcPr>
          <w:p>
            <w:pPr>
              <w:pStyle w:val="nTable"/>
              <w:spacing w:after="40"/>
              <w:rPr>
                <w:snapToGrid w:val="0"/>
              </w:rPr>
            </w:pPr>
            <w:r>
              <w:rPr>
                <w:snapToGrid w:val="0"/>
              </w:rPr>
              <w:t>42 of 2004</w:t>
            </w:r>
          </w:p>
        </w:tc>
        <w:tc>
          <w:tcPr>
            <w:tcW w:w="1135" w:type="dxa"/>
            <w:tcBorders>
              <w:top w:val="nil"/>
              <w:bottom w:val="nil"/>
            </w:tcBorders>
          </w:tcPr>
          <w:p>
            <w:pPr>
              <w:pStyle w:val="nTable"/>
              <w:spacing w:after="40"/>
            </w:pPr>
            <w:r>
              <w:t>9 Nov 2004</w:t>
            </w:r>
          </w:p>
        </w:tc>
        <w:tc>
          <w:tcPr>
            <w:tcW w:w="2551" w:type="dxa"/>
            <w:tcBorders>
              <w:top w:val="nil"/>
              <w:bottom w:val="nil"/>
            </w:tcBorders>
          </w:tcPr>
          <w:p>
            <w:pPr>
              <w:pStyle w:val="nTable"/>
              <w:spacing w:after="40"/>
              <w:rPr>
                <w:snapToGrid w:val="0"/>
              </w:rPr>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iCs/>
                <w:snapToGrid w:val="0"/>
              </w:rPr>
            </w:pPr>
            <w:r>
              <w:rPr>
                <w:i/>
                <w:iCs/>
                <w:snapToGrid w:val="0"/>
              </w:rPr>
              <w:t>Courts Legislation Amendment and Repeal Act 2004</w:t>
            </w:r>
            <w:r>
              <w:rPr>
                <w:snapToGrid w:val="0"/>
              </w:rPr>
              <w:t xml:space="preserve"> s. 141</w:t>
            </w:r>
          </w:p>
        </w:tc>
        <w:tc>
          <w:tcPr>
            <w:tcW w:w="1138" w:type="dxa"/>
            <w:tcBorders>
              <w:top w:val="nil"/>
              <w:bottom w:val="nil"/>
            </w:tcBorders>
          </w:tcPr>
          <w:p>
            <w:pPr>
              <w:pStyle w:val="nTable"/>
              <w:spacing w:after="40"/>
              <w:rPr>
                <w:snapToGrid w:val="0"/>
              </w:rPr>
            </w:pPr>
            <w:r>
              <w:rPr>
                <w:snapToGrid w:val="0"/>
              </w:rPr>
              <w:t>59 of 2004</w:t>
            </w:r>
          </w:p>
        </w:tc>
        <w:tc>
          <w:tcPr>
            <w:tcW w:w="1135" w:type="dxa"/>
            <w:tcBorders>
              <w:top w:val="nil"/>
              <w:bottom w:val="nil"/>
            </w:tcBorders>
          </w:tcPr>
          <w:p>
            <w:pPr>
              <w:pStyle w:val="nTable"/>
              <w:spacing w:after="40"/>
            </w:pPr>
            <w:r>
              <w:t>23 Nov 2004</w:t>
            </w:r>
          </w:p>
        </w:tc>
        <w:tc>
          <w:tcPr>
            <w:tcW w:w="2551" w:type="dxa"/>
            <w:tcBorders>
              <w:top w:val="nil"/>
              <w:bottom w:val="nil"/>
            </w:tcBorders>
          </w:tcPr>
          <w:p>
            <w:pPr>
              <w:pStyle w:val="nTable"/>
              <w:spacing w:after="40"/>
              <w:rPr>
                <w:iCs/>
                <w:snapToGrid w:val="0"/>
                <w:spacing w:val="-2"/>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8" w:type="dxa"/>
            <w:tcBorders>
              <w:top w:val="nil"/>
              <w:bottom w:val="nil"/>
            </w:tcBorders>
          </w:tcPr>
          <w:p>
            <w:pPr>
              <w:pStyle w:val="nTable"/>
              <w:spacing w:after="40"/>
              <w:rPr>
                <w:snapToGrid w:val="0"/>
              </w:rPr>
            </w:pPr>
            <w:r>
              <w:rPr>
                <w:snapToGrid w:val="0"/>
              </w:rPr>
              <w:t>84 of 2004</w:t>
            </w:r>
          </w:p>
        </w:tc>
        <w:tc>
          <w:tcPr>
            <w:tcW w:w="1135" w:type="dxa"/>
            <w:tcBorders>
              <w:top w:val="nil"/>
              <w:bottom w:val="nil"/>
            </w:tcBorders>
          </w:tcPr>
          <w:p>
            <w:pPr>
              <w:pStyle w:val="nTable"/>
              <w:spacing w:after="40"/>
            </w:pPr>
            <w:r>
              <w:t>16 Dec 2004</w:t>
            </w:r>
          </w:p>
        </w:tc>
        <w:tc>
          <w:tcPr>
            <w:tcW w:w="2551" w:type="dxa"/>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gridAfter w:val="1"/>
          <w:wAfter w:w="11" w:type="dxa"/>
          <w:cantSplit/>
        </w:trPr>
        <w:tc>
          <w:tcPr>
            <w:tcW w:w="7097" w:type="dxa"/>
            <w:gridSpan w:val="4"/>
            <w:tcBorders>
              <w:top w:val="nil"/>
              <w:bottom w:val="nil"/>
            </w:tcBorders>
          </w:tcPr>
          <w:p>
            <w:pPr>
              <w:pStyle w:val="nTable"/>
              <w:spacing w:after="40"/>
              <w:rPr>
                <w:snapToGrid w:val="0"/>
              </w:rPr>
            </w:pPr>
            <w:r>
              <w:rPr>
                <w:b/>
              </w:rPr>
              <w:t xml:space="preserve">Reprint 7: The </w:t>
            </w:r>
            <w:r>
              <w:rPr>
                <w:b/>
                <w:i/>
              </w:rPr>
              <w:t>Bush Fires Act 1954</w:t>
            </w:r>
            <w:r>
              <w:rPr>
                <w:b/>
              </w:rPr>
              <w:t xml:space="preserve"> as at 3 Mar 2006 </w:t>
            </w:r>
            <w:r>
              <w:t>(includes amendments listed above)</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rPr>
            </w:pPr>
            <w:r>
              <w:rPr>
                <w:i/>
                <w:iCs/>
                <w:snapToGrid w:val="0"/>
              </w:rPr>
              <w:t xml:space="preserve">Machinery of Government (Miscellaneous Amendments) Act 2006 </w:t>
            </w:r>
            <w:r>
              <w:rPr>
                <w:snapToGrid w:val="0"/>
              </w:rPr>
              <w:t>Pt. 14 Div. 1</w:t>
            </w:r>
          </w:p>
        </w:tc>
        <w:tc>
          <w:tcPr>
            <w:tcW w:w="1138" w:type="dxa"/>
            <w:tcBorders>
              <w:top w:val="nil"/>
              <w:bottom w:val="nil"/>
            </w:tcBorders>
          </w:tcPr>
          <w:p>
            <w:pPr>
              <w:pStyle w:val="nTable"/>
              <w:spacing w:after="40"/>
              <w:rPr>
                <w:snapToGrid w:val="0"/>
              </w:rPr>
            </w:pPr>
            <w:r>
              <w:rPr>
                <w:snapToGrid w:val="0"/>
              </w:rPr>
              <w:t>28 of 2006</w:t>
            </w:r>
          </w:p>
        </w:tc>
        <w:tc>
          <w:tcPr>
            <w:tcW w:w="1135"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iCs/>
                <w:snapToGrid w:val="0"/>
              </w:rPr>
            </w:pPr>
            <w:r>
              <w:rPr>
                <w:i/>
                <w:snapToGrid w:val="0"/>
              </w:rPr>
              <w:t>Land Information Authority Act 2006</w:t>
            </w:r>
            <w:r>
              <w:rPr>
                <w:iCs/>
                <w:snapToGrid w:val="0"/>
              </w:rPr>
              <w:t xml:space="preserve"> s. 126</w:t>
            </w:r>
          </w:p>
        </w:tc>
        <w:tc>
          <w:tcPr>
            <w:tcW w:w="1138" w:type="dxa"/>
            <w:tcBorders>
              <w:top w:val="nil"/>
              <w:bottom w:val="nil"/>
            </w:tcBorders>
          </w:tcPr>
          <w:p>
            <w:pPr>
              <w:pStyle w:val="nTable"/>
              <w:spacing w:after="40"/>
              <w:rPr>
                <w:snapToGrid w:val="0"/>
              </w:rPr>
            </w:pPr>
            <w:r>
              <w:rPr>
                <w:snapToGrid w:val="0"/>
              </w:rPr>
              <w:t>60 of 2006</w:t>
            </w:r>
          </w:p>
        </w:tc>
        <w:tc>
          <w:tcPr>
            <w:tcW w:w="1135"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gridAfter w:val="1"/>
          <w:wAfter w:w="11" w:type="dxa"/>
          <w:cantSplit/>
        </w:trPr>
        <w:tc>
          <w:tcPr>
            <w:tcW w:w="2273" w:type="dxa"/>
          </w:tcPr>
          <w:p>
            <w:pPr>
              <w:pStyle w:val="nTable"/>
              <w:spacing w:after="40"/>
              <w:rPr>
                <w:vertAlign w:val="superscript"/>
              </w:rPr>
            </w:pPr>
            <w:r>
              <w:rPr>
                <w:i/>
                <w:snapToGrid w:val="0"/>
              </w:rPr>
              <w:t>Biosecurity and Agriculture Management (Repeal and Consequential Provisions) Act 2007</w:t>
            </w:r>
            <w:r>
              <w:rPr>
                <w:iCs/>
                <w:snapToGrid w:val="0"/>
              </w:rPr>
              <w:t xml:space="preserve"> s. 28</w:t>
            </w:r>
          </w:p>
        </w:tc>
        <w:tc>
          <w:tcPr>
            <w:tcW w:w="1138" w:type="dxa"/>
          </w:tcPr>
          <w:p>
            <w:pPr>
              <w:pStyle w:val="nTable"/>
              <w:spacing w:after="40"/>
            </w:pPr>
            <w:r>
              <w:rPr>
                <w:snapToGrid w:val="0"/>
              </w:rPr>
              <w:t>24 of 2007</w:t>
            </w:r>
          </w:p>
        </w:tc>
        <w:tc>
          <w:tcPr>
            <w:tcW w:w="1135" w:type="dxa"/>
          </w:tcPr>
          <w:p>
            <w:pPr>
              <w:pStyle w:val="nTable"/>
              <w:spacing w:after="40"/>
            </w:pPr>
            <w:r>
              <w:rPr>
                <w:snapToGrid w:val="0"/>
              </w:rPr>
              <w:t>12 Oct 2007</w:t>
            </w:r>
          </w:p>
        </w:tc>
        <w:tc>
          <w:tcPr>
            <w:tcW w:w="2551" w:type="dxa"/>
          </w:tcPr>
          <w:p>
            <w:pPr>
              <w:pStyle w:val="nTable"/>
              <w:spacing w:after="40"/>
              <w:rPr>
                <w:b/>
              </w:rPr>
            </w:pPr>
            <w:r>
              <w:rPr>
                <w:snapToGrid w:val="0"/>
              </w:rPr>
              <w:t xml:space="preserve">1 May 2013 (see s. 2(2) and </w:t>
            </w:r>
            <w:r>
              <w:rPr>
                <w:i/>
                <w:snapToGrid w:val="0"/>
              </w:rPr>
              <w:t>Gazette</w:t>
            </w:r>
            <w:r>
              <w:rPr>
                <w:snapToGrid w:val="0"/>
              </w:rPr>
              <w:t xml:space="preserve"> 5 Feb 2013 p. 823)</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snapToGrid w:val="0"/>
              </w:rPr>
            </w:pPr>
            <w:r>
              <w:rPr>
                <w:i/>
                <w:snapToGrid w:val="0"/>
              </w:rPr>
              <w:t>Bush Fires Amendment Act 2009</w:t>
            </w:r>
            <w:r>
              <w:rPr>
                <w:iCs/>
                <w:snapToGrid w:val="0"/>
              </w:rPr>
              <w:t xml:space="preserve"> Pt. 2</w:t>
            </w:r>
          </w:p>
        </w:tc>
        <w:tc>
          <w:tcPr>
            <w:tcW w:w="1138" w:type="dxa"/>
            <w:tcBorders>
              <w:top w:val="nil"/>
              <w:bottom w:val="nil"/>
            </w:tcBorders>
          </w:tcPr>
          <w:p>
            <w:pPr>
              <w:pStyle w:val="nTable"/>
              <w:spacing w:after="40"/>
              <w:rPr>
                <w:snapToGrid w:val="0"/>
              </w:rPr>
            </w:pPr>
            <w:r>
              <w:rPr>
                <w:snapToGrid w:val="0"/>
              </w:rPr>
              <w:t>25 of 2009</w:t>
            </w:r>
          </w:p>
        </w:tc>
        <w:tc>
          <w:tcPr>
            <w:tcW w:w="1135" w:type="dxa"/>
            <w:tcBorders>
              <w:top w:val="nil"/>
              <w:bottom w:val="nil"/>
            </w:tcBorders>
          </w:tcPr>
          <w:p>
            <w:pPr>
              <w:pStyle w:val="nTable"/>
              <w:spacing w:after="40"/>
              <w:rPr>
                <w:snapToGrid w:val="0"/>
              </w:rPr>
            </w:pPr>
            <w:r>
              <w:rPr>
                <w:snapToGrid w:val="0"/>
              </w:rPr>
              <w:t>17 Nov 2009</w:t>
            </w:r>
          </w:p>
        </w:tc>
        <w:tc>
          <w:tcPr>
            <w:tcW w:w="2551" w:type="dxa"/>
            <w:tcBorders>
              <w:top w:val="nil"/>
              <w:bottom w:val="nil"/>
            </w:tcBorders>
          </w:tcPr>
          <w:p>
            <w:pPr>
              <w:pStyle w:val="nTable"/>
              <w:spacing w:after="40"/>
              <w:rPr>
                <w:snapToGrid w:val="0"/>
              </w:rPr>
            </w:pPr>
            <w:r>
              <w:rPr>
                <w:snapToGrid w:val="0"/>
              </w:rPr>
              <w:t xml:space="preserve">1 Dec 2009 (see s. 2(b) and </w:t>
            </w:r>
            <w:r>
              <w:rPr>
                <w:i/>
                <w:snapToGrid w:val="0"/>
              </w:rPr>
              <w:t>Gazette</w:t>
            </w:r>
            <w:r>
              <w:rPr>
                <w:iCs/>
                <w:snapToGrid w:val="0"/>
              </w:rPr>
              <w:t xml:space="preserve"> 1 Dec 2009 p. 4829</w:t>
            </w:r>
            <w:r>
              <w:rPr>
                <w:snapToGrid w:val="0"/>
              </w:rPr>
              <w:t>)</w:t>
            </w:r>
          </w:p>
        </w:tc>
      </w:tr>
      <w:tr>
        <w:trPr>
          <w:gridAfter w:val="1"/>
          <w:wAfter w:w="11" w:type="dxa"/>
          <w:cantSplit/>
        </w:trPr>
        <w:tc>
          <w:tcPr>
            <w:tcW w:w="2273" w:type="dxa"/>
          </w:tcPr>
          <w:p>
            <w:pPr>
              <w:pStyle w:val="nTable"/>
              <w:spacing w:after="40"/>
              <w:rPr>
                <w:iCs/>
                <w:snapToGrid w:val="0"/>
              </w:rPr>
            </w:pPr>
            <w:r>
              <w:rPr>
                <w:i/>
                <w:snapToGrid w:val="0"/>
              </w:rPr>
              <w:t>Arson Legislation Amendment Act 2009</w:t>
            </w:r>
            <w:r>
              <w:rPr>
                <w:iCs/>
                <w:snapToGrid w:val="0"/>
              </w:rPr>
              <w:t xml:space="preserve"> Pt. 2</w:t>
            </w:r>
          </w:p>
        </w:tc>
        <w:tc>
          <w:tcPr>
            <w:tcW w:w="1138" w:type="dxa"/>
          </w:tcPr>
          <w:p>
            <w:pPr>
              <w:pStyle w:val="nTable"/>
              <w:spacing w:after="40"/>
            </w:pPr>
            <w:r>
              <w:t>43 of 2009</w:t>
            </w:r>
          </w:p>
        </w:tc>
        <w:tc>
          <w:tcPr>
            <w:tcW w:w="1135" w:type="dxa"/>
          </w:tcPr>
          <w:p>
            <w:pPr>
              <w:pStyle w:val="nTable"/>
              <w:spacing w:after="40"/>
            </w:pPr>
            <w:r>
              <w:t>3 Dec 2009</w:t>
            </w:r>
          </w:p>
        </w:tc>
        <w:tc>
          <w:tcPr>
            <w:tcW w:w="2551" w:type="dxa"/>
          </w:tcPr>
          <w:p>
            <w:pPr>
              <w:pStyle w:val="nTable"/>
              <w:spacing w:after="40"/>
              <w:rPr>
                <w:snapToGrid w:val="0"/>
              </w:rPr>
            </w:pPr>
            <w:r>
              <w:rPr>
                <w:snapToGrid w:val="0"/>
              </w:rPr>
              <w:t xml:space="preserve">19 Dec 2009 (see s. 2(b) and </w:t>
            </w:r>
            <w:r>
              <w:rPr>
                <w:i/>
                <w:iCs/>
                <w:snapToGrid w:val="0"/>
              </w:rPr>
              <w:t>Gazette</w:t>
            </w:r>
            <w:r>
              <w:rPr>
                <w:snapToGrid w:val="0"/>
              </w:rPr>
              <w:t xml:space="preserve"> 18 Dec 2009 p. 5167)</w:t>
            </w:r>
          </w:p>
        </w:tc>
      </w:tr>
      <w:tr>
        <w:trPr>
          <w:gridAfter w:val="1"/>
          <w:wAfter w:w="11" w:type="dxa"/>
          <w:cantSplit/>
        </w:trPr>
        <w:tc>
          <w:tcPr>
            <w:tcW w:w="7097" w:type="dxa"/>
            <w:gridSpan w:val="4"/>
          </w:tcPr>
          <w:p>
            <w:pPr>
              <w:pStyle w:val="nTable"/>
              <w:spacing w:after="40"/>
              <w:rPr>
                <w:snapToGrid w:val="0"/>
              </w:rPr>
            </w:pPr>
            <w:r>
              <w:rPr>
                <w:b/>
              </w:rPr>
              <w:t xml:space="preserve">Reprint 8: The </w:t>
            </w:r>
            <w:r>
              <w:rPr>
                <w:b/>
                <w:i/>
              </w:rPr>
              <w:t>Bush Fires Act 1954</w:t>
            </w:r>
            <w:r>
              <w:rPr>
                <w:b/>
              </w:rPr>
              <w:t xml:space="preserve"> as at 9 Apr 2010 </w:t>
            </w:r>
            <w:r>
              <w:t xml:space="preserve">(includes amendments listed above except those in the </w:t>
            </w:r>
            <w:r>
              <w:rPr>
                <w:i/>
                <w:snapToGrid w:val="0"/>
              </w:rPr>
              <w:t>Biosecurity and Agriculture Management (Repeal and Consequential Provisions) Act 2007</w:t>
            </w:r>
            <w:r>
              <w:t>)</w:t>
            </w:r>
          </w:p>
        </w:tc>
      </w:tr>
      <w:tr>
        <w:trPr>
          <w:gridAfter w:val="1"/>
          <w:wAfter w:w="11" w:type="dxa"/>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43(3) and 52</w:t>
            </w:r>
            <w:ins w:id="373" w:author="svcMRProcess" w:date="2018-08-20T23:31:00Z">
              <w:r>
                <w:rPr>
                  <w:iCs/>
                  <w:snapToGrid w:val="0"/>
                  <w:vertAlign w:val="superscript"/>
                </w:rPr>
                <w:t> 8</w:t>
              </w:r>
            </w:ins>
          </w:p>
        </w:tc>
        <w:tc>
          <w:tcPr>
            <w:tcW w:w="1138" w:type="dxa"/>
          </w:tcPr>
          <w:p>
            <w:pPr>
              <w:pStyle w:val="nTable"/>
              <w:spacing w:after="40"/>
              <w:rPr>
                <w:snapToGrid w:val="0"/>
              </w:rPr>
            </w:pPr>
            <w:r>
              <w:rPr>
                <w:snapToGrid w:val="0"/>
              </w:rPr>
              <w:t>19 of 2010</w:t>
            </w:r>
            <w:ins w:id="374" w:author="svcMRProcess" w:date="2018-08-20T23:31:00Z">
              <w:r>
                <w:rPr>
                  <w:snapToGrid w:val="0"/>
                </w:rPr>
                <w:t xml:space="preserve"> (as amended by No. 17 of 2014 s. 39(5)</w:t>
              </w:r>
              <w:r>
                <w:rPr>
                  <w:snapToGrid w:val="0"/>
                </w:rPr>
                <w:noBreakHyphen/>
                <w:t>(8))</w:t>
              </w:r>
            </w:ins>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color w:val="000000"/>
              </w:rPr>
              <w:t xml:space="preserve">s. 43(3), 52(1)-(3) and 52(4) (other than the amendments to s. 21(1), (2) and (3), s. 39(2), s. 45 and s. 47, the amendment to s. 44(3) to delete “(3)(a) Where” and insert “(3) Where” and the amendments to s. 64 to delete “s. 21(2),” and insert “s. 21(2A) and (2B),”): 11 Sep 2010 (see s. 2(b) and </w:t>
            </w:r>
            <w:r>
              <w:rPr>
                <w:i/>
                <w:color w:val="000000"/>
              </w:rPr>
              <w:t xml:space="preserve">Gazette </w:t>
            </w:r>
            <w:r>
              <w:rPr>
                <w:color w:val="000000"/>
              </w:rPr>
              <w:t>10 Sep 2010 p. 4341)</w:t>
            </w:r>
          </w:p>
        </w:tc>
      </w:tr>
      <w:tr>
        <w:trPr>
          <w:gridAfter w:val="1"/>
          <w:wAfter w:w="11" w:type="dxa"/>
          <w:cantSplit/>
        </w:trPr>
        <w:tc>
          <w:tcPr>
            <w:tcW w:w="2273" w:type="dxa"/>
          </w:tcPr>
          <w:p>
            <w:pPr>
              <w:pStyle w:val="nTable"/>
              <w:spacing w:after="40"/>
              <w:ind w:right="113"/>
              <w:rPr>
                <w:snapToGrid w:val="0"/>
              </w:rPr>
            </w:pPr>
            <w:r>
              <w:rPr>
                <w:i/>
                <w:snapToGrid w:val="0"/>
              </w:rPr>
              <w:t>Statutes (Repeals and Minor Amendments) Act 2011</w:t>
            </w:r>
            <w:r>
              <w:rPr>
                <w:snapToGrid w:val="0"/>
              </w:rPr>
              <w:t xml:space="preserve"> s. 16</w:t>
            </w:r>
          </w:p>
        </w:tc>
        <w:tc>
          <w:tcPr>
            <w:tcW w:w="1138" w:type="dxa"/>
          </w:tcPr>
          <w:p>
            <w:pPr>
              <w:pStyle w:val="nTable"/>
              <w:spacing w:after="40"/>
              <w:rPr>
                <w:snapToGrid w:val="0"/>
              </w:rPr>
            </w:pPr>
            <w:r>
              <w:rPr>
                <w:snapToGrid w:val="0"/>
              </w:rPr>
              <w:t>47 of 2011</w:t>
            </w:r>
          </w:p>
        </w:tc>
        <w:tc>
          <w:tcPr>
            <w:tcW w:w="1135" w:type="dxa"/>
          </w:tcPr>
          <w:p>
            <w:pPr>
              <w:pStyle w:val="nTable"/>
              <w:spacing w:after="40"/>
              <w:rPr>
                <w:snapToGrid w:val="0"/>
              </w:rPr>
            </w:pPr>
            <w:r>
              <w:rPr>
                <w:snapToGrid w:val="0"/>
              </w:rPr>
              <w:t>25 Oct 2011</w:t>
            </w:r>
          </w:p>
        </w:tc>
        <w:tc>
          <w:tcPr>
            <w:tcW w:w="2551" w:type="dxa"/>
          </w:tcPr>
          <w:p>
            <w:pPr>
              <w:pStyle w:val="nTable"/>
              <w:spacing w:after="40"/>
              <w:rPr>
                <w:snapToGrid w:val="0"/>
              </w:rPr>
            </w:pPr>
            <w:r>
              <w:rPr>
                <w:snapToGrid w:val="0"/>
              </w:rPr>
              <w:t>26 Oct 2011 (see s. 2(b))</w:t>
            </w:r>
          </w:p>
        </w:tc>
      </w:tr>
      <w:tr>
        <w:trPr>
          <w:gridAfter w:val="1"/>
          <w:wAfter w:w="11" w:type="dxa"/>
          <w:cantSplit/>
        </w:trPr>
        <w:tc>
          <w:tcPr>
            <w:tcW w:w="2273"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3</w:t>
            </w:r>
          </w:p>
        </w:tc>
        <w:tc>
          <w:tcPr>
            <w:tcW w:w="1138" w:type="dxa"/>
            <w:shd w:val="clear" w:color="auto" w:fill="auto"/>
          </w:tcPr>
          <w:p>
            <w:pPr>
              <w:pStyle w:val="nTable"/>
              <w:spacing w:after="40"/>
              <w:rPr>
                <w:snapToGrid w:val="0"/>
              </w:rPr>
            </w:pPr>
            <w:r>
              <w:rPr>
                <w:snapToGrid w:val="0"/>
              </w:rPr>
              <w:t>22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gridAfter w:val="1"/>
          <w:wAfter w:w="11" w:type="dxa"/>
          <w:cantSplit/>
        </w:trPr>
        <w:tc>
          <w:tcPr>
            <w:tcW w:w="7097" w:type="dxa"/>
            <w:gridSpan w:val="4"/>
            <w:shd w:val="clear" w:color="auto" w:fill="auto"/>
          </w:tcPr>
          <w:p>
            <w:pPr>
              <w:pStyle w:val="nTable"/>
              <w:spacing w:after="40"/>
              <w:rPr>
                <w:snapToGrid w:val="0"/>
              </w:rPr>
            </w:pPr>
            <w:r>
              <w:rPr>
                <w:b/>
              </w:rPr>
              <w:t xml:space="preserve">Reprint 9:  The </w:t>
            </w:r>
            <w:r>
              <w:rPr>
                <w:b/>
                <w:i/>
              </w:rPr>
              <w:t>Bush Fires Act 1954</w:t>
            </w:r>
            <w:r>
              <w:rPr>
                <w:b/>
              </w:rPr>
              <w:t xml:space="preserve"> as at 11 Oct 2013 </w:t>
            </w:r>
            <w:r>
              <w:t>(includes amendments listed above)</w:t>
            </w:r>
          </w:p>
        </w:tc>
      </w:tr>
      <w:tr>
        <w:trPr>
          <w:gridAfter w:val="1"/>
          <w:wAfter w:w="11" w:type="dxa"/>
          <w:cantSplit/>
          <w:ins w:id="375" w:author="svcMRProcess" w:date="2018-08-20T23:31:00Z"/>
        </w:trPr>
        <w:tc>
          <w:tcPr>
            <w:tcW w:w="2273" w:type="dxa"/>
            <w:tcBorders>
              <w:bottom w:val="single" w:sz="2" w:space="0" w:color="auto"/>
            </w:tcBorders>
            <w:shd w:val="clear" w:color="auto" w:fill="auto"/>
          </w:tcPr>
          <w:p>
            <w:pPr>
              <w:pStyle w:val="nTable"/>
              <w:spacing w:after="40"/>
              <w:ind w:right="113"/>
              <w:rPr>
                <w:ins w:id="376" w:author="svcMRProcess" w:date="2018-08-20T23:31:00Z"/>
                <w:i/>
                <w:snapToGrid w:val="0"/>
              </w:rPr>
            </w:pPr>
            <w:ins w:id="377" w:author="svcMRProcess" w:date="2018-08-20T23:31:00Z">
              <w:r>
                <w:rPr>
                  <w:i/>
                  <w:snapToGrid w:val="0"/>
                </w:rPr>
                <w:t>Statutes (Repeals and Minor Amendments) Act 2014</w:t>
              </w:r>
              <w:r>
                <w:rPr>
                  <w:snapToGrid w:val="0"/>
                </w:rPr>
                <w:t xml:space="preserve"> s. 17</w:t>
              </w:r>
            </w:ins>
          </w:p>
        </w:tc>
        <w:tc>
          <w:tcPr>
            <w:tcW w:w="1138" w:type="dxa"/>
            <w:tcBorders>
              <w:bottom w:val="single" w:sz="2" w:space="0" w:color="auto"/>
            </w:tcBorders>
            <w:shd w:val="clear" w:color="auto" w:fill="auto"/>
          </w:tcPr>
          <w:p>
            <w:pPr>
              <w:pStyle w:val="nTable"/>
              <w:spacing w:after="40"/>
              <w:rPr>
                <w:ins w:id="378" w:author="svcMRProcess" w:date="2018-08-20T23:31:00Z"/>
                <w:snapToGrid w:val="0"/>
              </w:rPr>
            </w:pPr>
            <w:ins w:id="379" w:author="svcMRProcess" w:date="2018-08-20T23:31:00Z">
              <w:r>
                <w:rPr>
                  <w:snapToGrid w:val="0"/>
                </w:rPr>
                <w:t>17 of 2014</w:t>
              </w:r>
            </w:ins>
          </w:p>
        </w:tc>
        <w:tc>
          <w:tcPr>
            <w:tcW w:w="1135" w:type="dxa"/>
            <w:tcBorders>
              <w:bottom w:val="single" w:sz="2" w:space="0" w:color="auto"/>
            </w:tcBorders>
            <w:shd w:val="clear" w:color="auto" w:fill="auto"/>
          </w:tcPr>
          <w:p>
            <w:pPr>
              <w:pStyle w:val="nTable"/>
              <w:spacing w:after="40"/>
              <w:rPr>
                <w:ins w:id="380" w:author="svcMRProcess" w:date="2018-08-20T23:31:00Z"/>
                <w:snapToGrid w:val="0"/>
              </w:rPr>
            </w:pPr>
            <w:ins w:id="381" w:author="svcMRProcess" w:date="2018-08-20T23:31:00Z">
              <w:r>
                <w:rPr>
                  <w:snapToGrid w:val="0"/>
                </w:rPr>
                <w:t>2 Jul 2014</w:t>
              </w:r>
            </w:ins>
          </w:p>
        </w:tc>
        <w:tc>
          <w:tcPr>
            <w:tcW w:w="2551" w:type="dxa"/>
            <w:tcBorders>
              <w:bottom w:val="single" w:sz="2" w:space="0" w:color="auto"/>
            </w:tcBorders>
            <w:shd w:val="clear" w:color="auto" w:fill="auto"/>
          </w:tcPr>
          <w:p>
            <w:pPr>
              <w:pStyle w:val="nTable"/>
              <w:spacing w:after="40"/>
              <w:rPr>
                <w:ins w:id="382" w:author="svcMRProcess" w:date="2018-08-20T23:31:00Z"/>
                <w:snapToGrid w:val="0"/>
              </w:rPr>
            </w:pPr>
            <w:ins w:id="383" w:author="svcMRProcess" w:date="2018-08-20T23:31:00Z">
              <w:r>
                <w:rPr>
                  <w:snapToGrid w:val="0"/>
                </w:rPr>
                <w:t xml:space="preserve">6 Sep 2014 (see s. 2(b) and </w:t>
              </w:r>
              <w:r>
                <w:rPr>
                  <w:i/>
                  <w:snapToGrid w:val="0"/>
                </w:rPr>
                <w:t>Gazette</w:t>
              </w:r>
              <w:r>
                <w:rPr>
                  <w:snapToGrid w:val="0"/>
                </w:rPr>
                <w:t xml:space="preserve"> 5 Sep 2014 p. 3213)</w:t>
              </w:r>
            </w:ins>
          </w:p>
        </w:tc>
      </w:tr>
    </w:tbl>
    <w:p>
      <w:pPr>
        <w:pStyle w:val="nSubsection"/>
        <w:spacing w:before="360"/>
        <w:ind w:left="482" w:hanging="482"/>
      </w:pPr>
      <w:r>
        <w:rPr>
          <w:vertAlign w:val="superscript"/>
        </w:rPr>
        <w:t>1a</w:t>
      </w:r>
      <w:r>
        <w:tab/>
        <w:t xml:space="preserve">On the date as at which this </w:t>
      </w:r>
      <w:del w:id="384" w:author="svcMRProcess" w:date="2018-08-20T23:31:00Z">
        <w:r>
          <w:delText>reprint</w:delText>
        </w:r>
      </w:del>
      <w:ins w:id="385" w:author="svcMRProcess" w:date="2018-08-20T23:31:00Z">
        <w:r>
          <w:t>compilation</w:t>
        </w:r>
      </w:ins>
      <w:r>
        <w:t xml:space="preserve"> was prepared, provisions referred to in the following table had not come into operation and were therefore not included in </w:t>
      </w:r>
      <w:del w:id="386" w:author="svcMRProcess" w:date="2018-08-20T23:31:00Z">
        <w:r>
          <w:delText>compiling the reprint.</w:delText>
        </w:r>
      </w:del>
      <w:ins w:id="387" w:author="svcMRProcess" w:date="2018-08-20T23:31:00Z">
        <w:r>
          <w:t>this compilation.</w:t>
        </w:r>
      </w:ins>
      <w:r>
        <w:t xml:space="preserve">  For the text of the provisions see the endnotes referred to in the table.</w:t>
      </w:r>
    </w:p>
    <w:p>
      <w:pPr>
        <w:pStyle w:val="nHeading3"/>
      </w:pPr>
      <w:bookmarkStart w:id="388" w:name="_Toc397946906"/>
      <w:bookmarkStart w:id="389" w:name="_Toc415060779"/>
      <w:bookmarkStart w:id="390" w:name="_Toc392495430"/>
      <w:r>
        <w:t>Provisions that have not come into operation</w:t>
      </w:r>
      <w:bookmarkEnd w:id="388"/>
      <w:bookmarkEnd w:id="389"/>
      <w:bookmarkEnd w:id="390"/>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615"/>
        <w:gridCol w:w="13"/>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628"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3" w:type="dxa"/>
          <w:cantSplit/>
          <w:del w:id="391" w:author="svcMRProcess" w:date="2018-08-20T23:31:00Z"/>
        </w:trPr>
        <w:tc>
          <w:tcPr>
            <w:tcW w:w="2273" w:type="dxa"/>
          </w:tcPr>
          <w:p>
            <w:pPr>
              <w:pStyle w:val="nTable"/>
              <w:spacing w:after="40"/>
              <w:rPr>
                <w:del w:id="392" w:author="svcMRProcess" w:date="2018-08-20T23:31:00Z"/>
                <w:i/>
                <w:snapToGrid w:val="0"/>
                <w:szCs w:val="19"/>
              </w:rPr>
            </w:pPr>
            <w:del w:id="393" w:author="svcMRProcess" w:date="2018-08-20T23:31:00Z">
              <w:r>
                <w:rPr>
                  <w:i/>
                  <w:snapToGrid w:val="0"/>
                  <w:szCs w:val="19"/>
                </w:rPr>
                <w:delText>Standardisation of Formatting Act 2010</w:delText>
              </w:r>
              <w:r>
                <w:rPr>
                  <w:iCs/>
                  <w:snapToGrid w:val="0"/>
                  <w:szCs w:val="19"/>
                </w:rPr>
                <w:delText xml:space="preserve"> s. 52(4)</w:delText>
              </w:r>
              <w:r>
                <w:rPr>
                  <w:iCs/>
                  <w:snapToGrid w:val="0"/>
                  <w:szCs w:val="19"/>
                  <w:vertAlign w:val="superscript"/>
                </w:rPr>
                <w:delText> 8</w:delText>
              </w:r>
            </w:del>
          </w:p>
        </w:tc>
        <w:tc>
          <w:tcPr>
            <w:tcW w:w="1138" w:type="dxa"/>
          </w:tcPr>
          <w:p>
            <w:pPr>
              <w:pStyle w:val="nTable"/>
              <w:spacing w:after="40"/>
              <w:rPr>
                <w:del w:id="394" w:author="svcMRProcess" w:date="2018-08-20T23:31:00Z"/>
                <w:snapToGrid w:val="0"/>
                <w:szCs w:val="19"/>
              </w:rPr>
            </w:pPr>
            <w:del w:id="395" w:author="svcMRProcess" w:date="2018-08-20T23:31:00Z">
              <w:r>
                <w:rPr>
                  <w:snapToGrid w:val="0"/>
                  <w:szCs w:val="19"/>
                </w:rPr>
                <w:delText>19 of 2010 (as amended by No. 17 of 2014 s. 39(5)-(8)</w:delText>
              </w:r>
              <w:r>
                <w:rPr>
                  <w:snapToGrid w:val="0"/>
                  <w:szCs w:val="19"/>
                  <w:vertAlign w:val="superscript"/>
                </w:rPr>
                <w:delText> 11</w:delText>
              </w:r>
              <w:r>
                <w:rPr>
                  <w:snapToGrid w:val="0"/>
                  <w:szCs w:val="19"/>
                </w:rPr>
                <w:delText>)</w:delText>
              </w:r>
            </w:del>
          </w:p>
        </w:tc>
        <w:tc>
          <w:tcPr>
            <w:tcW w:w="1135" w:type="dxa"/>
          </w:tcPr>
          <w:p>
            <w:pPr>
              <w:pStyle w:val="nTable"/>
              <w:spacing w:after="40"/>
              <w:rPr>
                <w:del w:id="396" w:author="svcMRProcess" w:date="2018-08-20T23:31:00Z"/>
                <w:snapToGrid w:val="0"/>
                <w:szCs w:val="19"/>
              </w:rPr>
            </w:pPr>
            <w:del w:id="397" w:author="svcMRProcess" w:date="2018-08-20T23:31:00Z">
              <w:r>
                <w:rPr>
                  <w:snapToGrid w:val="0"/>
                  <w:szCs w:val="19"/>
                </w:rPr>
                <w:delText>28 Jun 2010</w:delText>
              </w:r>
            </w:del>
          </w:p>
        </w:tc>
        <w:tc>
          <w:tcPr>
            <w:tcW w:w="2605" w:type="dxa"/>
          </w:tcPr>
          <w:p>
            <w:pPr>
              <w:pStyle w:val="nTable"/>
              <w:spacing w:after="40"/>
              <w:rPr>
                <w:del w:id="398" w:author="svcMRProcess" w:date="2018-08-20T23:31:00Z"/>
                <w:snapToGrid w:val="0"/>
                <w:szCs w:val="19"/>
              </w:rPr>
            </w:pPr>
            <w:del w:id="399" w:author="svcMRProcess" w:date="2018-08-20T23:31:00Z">
              <w:r>
                <w:rPr>
                  <w:color w:val="000000"/>
                  <w:szCs w:val="19"/>
                </w:rPr>
                <w:delText xml:space="preserve">s. 52(4) the amendments to s. 21(1), (2) and (3), s. 39(2), s. 45 and s. 47, the amendment to s. 44(3) to delete “(3)(a) Where” and insert “(3) Where” and s. 64 the amendment to delete “s. 21(2),” and insert “s. 21(2A) and (2B),”): </w:delText>
              </w:r>
              <w:r>
                <w:rPr>
                  <w:snapToGrid w:val="0"/>
                  <w:szCs w:val="19"/>
                </w:rPr>
                <w:delText>to be proclaimed (see s. 2(b))</w:delText>
              </w:r>
            </w:del>
          </w:p>
        </w:tc>
      </w:tr>
      <w:tr>
        <w:trPr>
          <w:gridAfter w:val="1"/>
          <w:wAfter w:w="13" w:type="dxa"/>
          <w:cantSplit/>
        </w:trPr>
        <w:tc>
          <w:tcPr>
            <w:tcW w:w="2273" w:type="dxa"/>
            <w:tcBorders>
              <w:bottom w:val="single" w:sz="4" w:space="0" w:color="auto"/>
            </w:tcBorders>
            <w:shd w:val="clear" w:color="auto" w:fill="auto"/>
          </w:tcPr>
          <w:p>
            <w:pPr>
              <w:pStyle w:val="nTable"/>
              <w:spacing w:after="40"/>
              <w:rPr>
                <w:i/>
                <w:snapToGrid w:val="0"/>
              </w:rPr>
            </w:pPr>
            <w:r>
              <w:rPr>
                <w:i/>
                <w:snapToGrid w:val="0"/>
              </w:rPr>
              <w:t xml:space="preserve">Road Traffic Legislation Amendment Act 2012 </w:t>
            </w:r>
            <w:r>
              <w:rPr>
                <w:snapToGrid w:val="0"/>
              </w:rPr>
              <w:t>Pt. 4 Div. 4</w:t>
            </w:r>
            <w:r>
              <w:rPr>
                <w:rFonts w:ascii="Times" w:hAnsi="Times"/>
                <w:snapToGrid w:val="0"/>
                <w:vertAlign w:val="superscript"/>
              </w:rPr>
              <w:t> </w:t>
            </w:r>
            <w:r>
              <w:rPr>
                <w:snapToGrid w:val="0"/>
                <w:vertAlign w:val="superscript"/>
              </w:rPr>
              <w:t>10</w:t>
            </w:r>
          </w:p>
        </w:tc>
        <w:tc>
          <w:tcPr>
            <w:tcW w:w="1138" w:type="dxa"/>
            <w:tcBorders>
              <w:bottom w:val="single" w:sz="4" w:space="0" w:color="auto"/>
            </w:tcBorders>
            <w:shd w:val="clear" w:color="auto" w:fill="auto"/>
          </w:tcPr>
          <w:p>
            <w:pPr>
              <w:pStyle w:val="nTable"/>
              <w:spacing w:after="40"/>
              <w:rPr>
                <w:snapToGrid w:val="0"/>
              </w:rPr>
            </w:pPr>
            <w:r>
              <w:rPr>
                <w:snapToGrid w:val="0"/>
              </w:rPr>
              <w:t>8 of 2012</w:t>
            </w:r>
          </w:p>
        </w:tc>
        <w:tc>
          <w:tcPr>
            <w:tcW w:w="1135" w:type="dxa"/>
            <w:tcBorders>
              <w:bottom w:val="single" w:sz="4" w:space="0" w:color="auto"/>
            </w:tcBorders>
            <w:shd w:val="clear" w:color="auto" w:fill="auto"/>
          </w:tcPr>
          <w:p>
            <w:pPr>
              <w:pStyle w:val="nTable"/>
              <w:spacing w:after="40"/>
              <w:rPr>
                <w:snapToGrid w:val="0"/>
              </w:rPr>
            </w:pPr>
            <w:r>
              <w:rPr>
                <w:snapToGrid w:val="0"/>
              </w:rPr>
              <w:t>21 May 2012</w:t>
            </w:r>
          </w:p>
        </w:tc>
        <w:tc>
          <w:tcPr>
            <w:tcW w:w="2615" w:type="dxa"/>
            <w:tcBorders>
              <w:bottom w:val="single" w:sz="4" w:space="0" w:color="auto"/>
            </w:tcBorders>
            <w:shd w:val="clear" w:color="auto" w:fill="auto"/>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3" w:type="dxa"/>
          <w:del w:id="400" w:author="svcMRProcess" w:date="2018-08-20T23:31:00Z"/>
        </w:trPr>
        <w:tc>
          <w:tcPr>
            <w:tcW w:w="2273" w:type="dxa"/>
            <w:tcBorders>
              <w:top w:val="nil"/>
            </w:tcBorders>
          </w:tcPr>
          <w:p>
            <w:pPr>
              <w:pStyle w:val="nSubsection"/>
              <w:tabs>
                <w:tab w:val="clear" w:pos="454"/>
              </w:tabs>
              <w:spacing w:before="40" w:after="40"/>
              <w:ind w:left="0" w:firstLine="0"/>
              <w:rPr>
                <w:del w:id="401" w:author="svcMRProcess" w:date="2018-08-20T23:31:00Z"/>
                <w:sz w:val="19"/>
                <w:szCs w:val="19"/>
                <w:vertAlign w:val="superscript"/>
              </w:rPr>
            </w:pPr>
            <w:del w:id="402" w:author="svcMRProcess" w:date="2018-08-20T23:31:00Z">
              <w:r>
                <w:rPr>
                  <w:i/>
                  <w:snapToGrid w:val="0"/>
                  <w:sz w:val="19"/>
                  <w:szCs w:val="19"/>
                </w:rPr>
                <w:delText xml:space="preserve">Statutes (Repeals and Minor Amendments) Act 2014 </w:delText>
              </w:r>
              <w:r>
                <w:rPr>
                  <w:snapToGrid w:val="0"/>
                  <w:sz w:val="19"/>
                  <w:szCs w:val="19"/>
                </w:rPr>
                <w:delText>s. 17 and 39(5)</w:delText>
              </w:r>
              <w:r>
                <w:rPr>
                  <w:snapToGrid w:val="0"/>
                  <w:sz w:val="19"/>
                  <w:szCs w:val="19"/>
                </w:rPr>
                <w:noBreakHyphen/>
                <w:delText>(8)</w:delText>
              </w:r>
              <w:r>
                <w:rPr>
                  <w:i/>
                  <w:snapToGrid w:val="0"/>
                  <w:sz w:val="19"/>
                  <w:szCs w:val="19"/>
                </w:rPr>
                <w:delText> </w:delText>
              </w:r>
              <w:r>
                <w:rPr>
                  <w:noProof/>
                  <w:snapToGrid w:val="0"/>
                  <w:sz w:val="19"/>
                  <w:szCs w:val="19"/>
                  <w:vertAlign w:val="superscript"/>
                </w:rPr>
                <w:delText>11</w:delText>
              </w:r>
            </w:del>
          </w:p>
        </w:tc>
        <w:tc>
          <w:tcPr>
            <w:tcW w:w="1134" w:type="dxa"/>
            <w:tcBorders>
              <w:top w:val="nil"/>
            </w:tcBorders>
          </w:tcPr>
          <w:p>
            <w:pPr>
              <w:pStyle w:val="nTable"/>
              <w:spacing w:after="40"/>
              <w:rPr>
                <w:del w:id="403" w:author="svcMRProcess" w:date="2018-08-20T23:31:00Z"/>
                <w:szCs w:val="19"/>
              </w:rPr>
            </w:pPr>
            <w:del w:id="404" w:author="svcMRProcess" w:date="2018-08-20T23:31:00Z">
              <w:r>
                <w:rPr>
                  <w:szCs w:val="19"/>
                </w:rPr>
                <w:delText>17 of 2014</w:delText>
              </w:r>
            </w:del>
          </w:p>
        </w:tc>
        <w:tc>
          <w:tcPr>
            <w:tcW w:w="1134" w:type="dxa"/>
            <w:tcBorders>
              <w:top w:val="nil"/>
            </w:tcBorders>
          </w:tcPr>
          <w:p>
            <w:pPr>
              <w:pStyle w:val="nTable"/>
              <w:spacing w:after="40"/>
              <w:rPr>
                <w:del w:id="405" w:author="svcMRProcess" w:date="2018-08-20T23:31:00Z"/>
                <w:szCs w:val="19"/>
              </w:rPr>
            </w:pPr>
            <w:del w:id="406" w:author="svcMRProcess" w:date="2018-08-20T23:31:00Z">
              <w:r>
                <w:rPr>
                  <w:szCs w:val="19"/>
                </w:rPr>
                <w:delText>2 Jul 2014</w:delText>
              </w:r>
            </w:del>
          </w:p>
        </w:tc>
        <w:tc>
          <w:tcPr>
            <w:tcW w:w="2615" w:type="dxa"/>
            <w:tcBorders>
              <w:top w:val="nil"/>
            </w:tcBorders>
          </w:tcPr>
          <w:p>
            <w:pPr>
              <w:pStyle w:val="nTable"/>
              <w:spacing w:after="40"/>
              <w:rPr>
                <w:del w:id="407" w:author="svcMRProcess" w:date="2018-08-20T23:31:00Z"/>
                <w:snapToGrid w:val="0"/>
                <w:szCs w:val="19"/>
              </w:rPr>
            </w:pPr>
            <w:del w:id="408" w:author="svcMRProcess" w:date="2018-08-20T23:31:00Z">
              <w:r>
                <w:rPr>
                  <w:snapToGrid w:val="0"/>
                  <w:szCs w:val="19"/>
                </w:rPr>
                <w:delText>To be proclaimed (see s. 2(b))</w:delText>
              </w:r>
            </w:del>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keepNext/>
        <w:keepLines/>
        <w:rPr>
          <w:i/>
          <w:snapToGrid w:val="0"/>
        </w:rPr>
      </w:pPr>
      <w:r>
        <w:rPr>
          <w:snapToGrid w:val="0"/>
          <w:vertAlign w:val="superscript"/>
        </w:rPr>
        <w:t>4</w:t>
      </w:r>
      <w:r>
        <w:rPr>
          <w:snapToGrid w:val="0"/>
        </w:rPr>
        <w:tab/>
        <w:t xml:space="preserve">The Third Schedule was inserted by the </w:t>
      </w:r>
      <w:r>
        <w:rPr>
          <w:i/>
          <w:snapToGrid w:val="0"/>
        </w:rPr>
        <w:t>Metric Conversion Act Amendment Act (No. 2) 1973.</w:t>
      </w:r>
    </w:p>
    <w:p>
      <w:pPr>
        <w:pStyle w:val="nSubsection"/>
        <w:rPr>
          <w:snapToGrid w:val="0"/>
        </w:rPr>
      </w:pPr>
      <w:r>
        <w:rPr>
          <w:snapToGrid w:val="0"/>
          <w:vertAlign w:val="superscript"/>
        </w:rPr>
        <w:t>5</w:t>
      </w:r>
      <w:r>
        <w:rPr>
          <w:snapToGrid w:val="0"/>
        </w:rPr>
        <w:tab/>
        <w:t xml:space="preserve">The </w:t>
      </w:r>
      <w:r>
        <w:rPr>
          <w:i/>
          <w:snapToGrid w:val="0"/>
        </w:rPr>
        <w:t xml:space="preserve">Bush Fires Amendment Act 1992 </w:t>
      </w:r>
      <w:r>
        <w:rPr>
          <w:snapToGrid w:val="0"/>
        </w:rPr>
        <w:t>s. 6(2) reads as follows:</w:t>
      </w:r>
    </w:p>
    <w:p>
      <w:pPr>
        <w:pStyle w:val="BlankOpen"/>
        <w:rPr>
          <w:snapToGrid w:val="0"/>
        </w:rPr>
      </w:pP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 xml:space="preserve">Fire and Emergency Services Authority of </w:t>
      </w:r>
      <w:smartTag w:uri="urn:schemas-microsoft-com:office:smarttags" w:element="place">
        <w:smartTag w:uri="urn:schemas-microsoft-com:office:smarttags" w:element="State">
          <w:r>
            <w:rPr>
              <w:i/>
              <w:snapToGrid w:val="0"/>
            </w:rPr>
            <w:t>Western Australia</w:t>
          </w:r>
        </w:smartTag>
      </w:smartTag>
      <w:r>
        <w:rPr>
          <w:i/>
          <w:snapToGrid w:val="0"/>
        </w:rPr>
        <w:t xml:space="preserve"> (Consequential Provisions) Act 1998</w:t>
      </w:r>
      <w:r>
        <w:rPr>
          <w:snapToGrid w:val="0"/>
        </w:rPr>
        <w:t xml:space="preserve"> s. 11(2) is a transitional provision that is of no further effect.</w:t>
      </w:r>
    </w:p>
    <w:p>
      <w:pPr>
        <w:pStyle w:val="nSubsection"/>
        <w:keepNext/>
        <w:keepLines/>
        <w:rPr>
          <w:snapToGrid w:val="0"/>
        </w:rPr>
      </w:pPr>
      <w:r>
        <w:rPr>
          <w:snapToGrid w:val="0"/>
          <w:vertAlign w:val="superscript"/>
        </w:rPr>
        <w:t>7</w:t>
      </w:r>
      <w:r>
        <w:rPr>
          <w:snapToGrid w:val="0"/>
        </w:rPr>
        <w:tab/>
        <w:t xml:space="preserve">The </w:t>
      </w:r>
      <w:r>
        <w:rPr>
          <w:i/>
          <w:snapToGrid w:val="0"/>
        </w:rPr>
        <w:t>Fire and Emergency Services Legislation Amendment Act 2002</w:t>
      </w:r>
      <w:r>
        <w:rPr>
          <w:snapToGrid w:val="0"/>
        </w:rPr>
        <w:t xml:space="preserve"> s. 27(2) and (3) are transitional provisions that are of no further effect.</w:t>
      </w:r>
    </w:p>
    <w:p>
      <w:pPr>
        <w:pStyle w:val="nSubsection"/>
        <w:rPr>
          <w:del w:id="409" w:author="svcMRProcess" w:date="2018-08-20T23:31:00Z"/>
          <w:snapToGrid w:val="0"/>
        </w:rPr>
      </w:pPr>
      <w:r>
        <w:rPr>
          <w:snapToGrid w:val="0"/>
          <w:vertAlign w:val="superscript"/>
        </w:rPr>
        <w:t>8</w:t>
      </w:r>
      <w:r>
        <w:rPr>
          <w:snapToGrid w:val="0"/>
        </w:rPr>
        <w:tab/>
      </w:r>
      <w:del w:id="410" w:author="svcMRProcess" w:date="2018-08-20T23:31:00Z">
        <w:r>
          <w:delText xml:space="preserve">On the date as at which this </w:delText>
        </w:r>
        <w:r>
          <w:rPr>
            <w:snapToGrid w:val="0"/>
          </w:rPr>
          <w:delText>compilation</w:delText>
        </w:r>
        <w:r>
          <w:delText xml:space="preserve"> was prepared, </w:delText>
        </w:r>
        <w:r>
          <w:rPr>
            <w:snapToGrid w:val="0"/>
          </w:rPr>
          <w:delText xml:space="preserve">the </w:delText>
        </w:r>
      </w:del>
      <w:ins w:id="411" w:author="svcMRProcess" w:date="2018-08-20T23:31:00Z">
        <w:r>
          <w:rPr>
            <w:snapToGrid w:val="0"/>
          </w:rPr>
          <w:t xml:space="preserve">The </w:t>
        </w:r>
      </w:ins>
      <w:r>
        <w:rPr>
          <w:i/>
          <w:snapToGrid w:val="0"/>
        </w:rPr>
        <w:t>Standardisation of Formatting Act 2010</w:t>
      </w:r>
      <w:r>
        <w:rPr>
          <w:snapToGrid w:val="0"/>
        </w:rPr>
        <w:t xml:space="preserve"> s.</w:t>
      </w:r>
      <w:del w:id="412" w:author="svcMRProcess" w:date="2018-08-20T23:31:00Z">
        <w:r>
          <w:rPr>
            <w:snapToGrid w:val="0"/>
          </w:rPr>
          <w:delText> </w:delText>
        </w:r>
      </w:del>
      <w:ins w:id="413" w:author="svcMRProcess" w:date="2018-08-20T23:31:00Z">
        <w:r>
          <w:rPr>
            <w:snapToGrid w:val="0"/>
          </w:rPr>
          <w:t xml:space="preserve"> </w:t>
        </w:r>
      </w:ins>
      <w:r>
        <w:rPr>
          <w:snapToGrid w:val="0"/>
        </w:rPr>
        <w:t xml:space="preserve">52(4) </w:t>
      </w:r>
      <w:ins w:id="414" w:author="svcMRProcess" w:date="2018-08-20T23:31:00Z">
        <w:r>
          <w:rPr>
            <w:snapToGrid w:val="0"/>
          </w:rPr>
          <w:t xml:space="preserve">in relation to amendments to the </w:t>
        </w:r>
        <w:r>
          <w:rPr>
            <w:i/>
            <w:snapToGrid w:val="0"/>
          </w:rPr>
          <w:t>Bush Fires Act 1954</w:t>
        </w:r>
        <w:r>
          <w:rPr>
            <w:snapToGrid w:val="0"/>
          </w:rPr>
          <w:t xml:space="preserve"> s. 21(1), (2) and (3), s. 39(2), s. 45 and s. 47, the amendment to s. 44(3) to delete “(3)(a) Where” and insert “(3) Where” and the amendments to s. 64 to delete “s. 21(2),” and insert “s. 21(2A) and (2B), </w:t>
        </w:r>
      </w:ins>
      <w:r>
        <w:rPr>
          <w:snapToGrid w:val="0"/>
        </w:rPr>
        <w:t>had not come into operation</w:t>
      </w:r>
      <w:del w:id="415" w:author="svcMRProcess" w:date="2018-08-20T23:31:00Z">
        <w:r>
          <w:rPr>
            <w:snapToGrid w:val="0"/>
          </w:rPr>
          <w:delText> </w:delText>
        </w:r>
        <w:r>
          <w:rPr>
            <w:snapToGrid w:val="0"/>
            <w:vertAlign w:val="superscript"/>
          </w:rPr>
          <w:delText>9</w:delText>
        </w:r>
        <w:r>
          <w:rPr>
            <w:snapToGrid w:val="0"/>
          </w:rPr>
          <w:delText>.  It reads as follows:</w:delText>
        </w:r>
      </w:del>
    </w:p>
    <w:p>
      <w:pPr>
        <w:pStyle w:val="BlankOpen"/>
        <w:rPr>
          <w:del w:id="416" w:author="svcMRProcess" w:date="2018-08-20T23:31:00Z"/>
        </w:rPr>
      </w:pPr>
    </w:p>
    <w:p>
      <w:pPr>
        <w:pStyle w:val="nzHeading5"/>
        <w:rPr>
          <w:del w:id="417" w:author="svcMRProcess" w:date="2018-08-20T23:31:00Z"/>
          <w:iCs/>
        </w:rPr>
      </w:pPr>
      <w:del w:id="418" w:author="svcMRProcess" w:date="2018-08-20T23:31:00Z">
        <w:r>
          <w:rPr>
            <w:rStyle w:val="CharSectno"/>
          </w:rPr>
          <w:delText>52</w:delText>
        </w:r>
        <w:r>
          <w:delText>.</w:delText>
        </w:r>
        <w:r>
          <w:tab/>
        </w:r>
        <w:r>
          <w:rPr>
            <w:i/>
          </w:rPr>
          <w:delText>Bush Fires Act 1954</w:delText>
        </w:r>
        <w:r>
          <w:rPr>
            <w:iCs/>
          </w:rPr>
          <w:delText xml:space="preserve"> amended</w:delText>
        </w:r>
      </w:del>
    </w:p>
    <w:p>
      <w:pPr>
        <w:pStyle w:val="nSubsection"/>
        <w:keepNext/>
        <w:keepLines/>
        <w:rPr>
          <w:snapToGrid w:val="0"/>
        </w:rPr>
      </w:pPr>
      <w:del w:id="419" w:author="svcMRProcess" w:date="2018-08-20T23:31:00Z">
        <w:r>
          <w:tab/>
          <w:delText>(4)</w:delText>
        </w:r>
        <w:r>
          <w:tab/>
          <w:delText xml:space="preserve">Amend the provisions listed in </w:delText>
        </w:r>
      </w:del>
      <w:ins w:id="420" w:author="svcMRProcess" w:date="2018-08-20T23:31:00Z">
        <w:r>
          <w:rPr>
            <w:snapToGrid w:val="0"/>
          </w:rPr>
          <w:t xml:space="preserve"> when it was deleted by </w:t>
        </w:r>
      </w:ins>
      <w:r>
        <w:rPr>
          <w:snapToGrid w:val="0"/>
        </w:rPr>
        <w:t xml:space="preserve">the </w:t>
      </w:r>
      <w:del w:id="421" w:author="svcMRProcess" w:date="2018-08-20T23:31:00Z">
        <w:r>
          <w:delText>Table as set out in the Table </w:delText>
        </w:r>
        <w:r>
          <w:rPr>
            <w:vertAlign w:val="superscript"/>
          </w:rPr>
          <w:delText>9</w:delText>
        </w:r>
        <w:r>
          <w:delText>.</w:delText>
        </w:r>
      </w:del>
      <w:ins w:id="422" w:author="svcMRProcess" w:date="2018-08-20T23:31:00Z">
        <w:r>
          <w:rPr>
            <w:i/>
            <w:snapToGrid w:val="0"/>
          </w:rPr>
          <w:t>Statutes (Repeals and Minor Amendments) Act 2014</w:t>
        </w:r>
        <w:r>
          <w:rPr>
            <w:snapToGrid w:val="0"/>
          </w:rPr>
          <w:t xml:space="preserve"> s. 39(5)-(8).</w:t>
        </w:r>
      </w:ins>
    </w:p>
    <w:p>
      <w:pPr>
        <w:pStyle w:val="nzMiscellaneousHeading"/>
        <w:rPr>
          <w:del w:id="423" w:author="svcMRProcess" w:date="2018-08-20T23:31:00Z"/>
          <w:b/>
          <w:bCs/>
        </w:rPr>
      </w:pPr>
      <w:del w:id="424" w:author="svcMRProcess" w:date="2018-08-20T23:31:00Z">
        <w:r>
          <w:rPr>
            <w:b/>
            <w:bCs/>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del w:id="425" w:author="svcMRProcess" w:date="2018-08-20T23:31:00Z"/>
        </w:trPr>
        <w:tc>
          <w:tcPr>
            <w:tcW w:w="1702" w:type="dxa"/>
          </w:tcPr>
          <w:p>
            <w:pPr>
              <w:pStyle w:val="nzTable"/>
              <w:jc w:val="center"/>
              <w:rPr>
                <w:del w:id="426" w:author="svcMRProcess" w:date="2018-08-20T23:31:00Z"/>
                <w:b/>
                <w:bCs/>
              </w:rPr>
            </w:pPr>
            <w:del w:id="427" w:author="svcMRProcess" w:date="2018-08-20T23:31:00Z">
              <w:r>
                <w:rPr>
                  <w:b/>
                  <w:bCs/>
                </w:rPr>
                <w:delText>Provision</w:delText>
              </w:r>
            </w:del>
          </w:p>
        </w:tc>
        <w:tc>
          <w:tcPr>
            <w:tcW w:w="2551" w:type="dxa"/>
          </w:tcPr>
          <w:p>
            <w:pPr>
              <w:pStyle w:val="nzTable"/>
              <w:jc w:val="center"/>
              <w:rPr>
                <w:del w:id="428" w:author="svcMRProcess" w:date="2018-08-20T23:31:00Z"/>
                <w:b/>
                <w:bCs/>
              </w:rPr>
            </w:pPr>
            <w:del w:id="429" w:author="svcMRProcess" w:date="2018-08-20T23:31:00Z">
              <w:r>
                <w:rPr>
                  <w:b/>
                  <w:bCs/>
                </w:rPr>
                <w:delText>Delete</w:delText>
              </w:r>
            </w:del>
          </w:p>
        </w:tc>
        <w:tc>
          <w:tcPr>
            <w:tcW w:w="2551" w:type="dxa"/>
          </w:tcPr>
          <w:p>
            <w:pPr>
              <w:pStyle w:val="nzTable"/>
              <w:jc w:val="center"/>
              <w:rPr>
                <w:del w:id="430" w:author="svcMRProcess" w:date="2018-08-20T23:31:00Z"/>
                <w:b/>
                <w:bCs/>
              </w:rPr>
            </w:pPr>
            <w:del w:id="431" w:author="svcMRProcess" w:date="2018-08-20T23:31:00Z">
              <w:r>
                <w:rPr>
                  <w:b/>
                  <w:bCs/>
                </w:rPr>
                <w:delText>Insert</w:delText>
              </w:r>
            </w:del>
          </w:p>
        </w:tc>
      </w:tr>
      <w:tr>
        <w:trPr>
          <w:jc w:val="center"/>
          <w:del w:id="432" w:author="svcMRProcess" w:date="2018-08-20T23:31:00Z"/>
        </w:trPr>
        <w:tc>
          <w:tcPr>
            <w:tcW w:w="1702" w:type="dxa"/>
          </w:tcPr>
          <w:p>
            <w:pPr>
              <w:pStyle w:val="nzTable"/>
              <w:rPr>
                <w:del w:id="433" w:author="svcMRProcess" w:date="2018-08-20T23:31:00Z"/>
              </w:rPr>
            </w:pPr>
            <w:del w:id="434" w:author="svcMRProcess" w:date="2018-08-20T23:31:00Z">
              <w:r>
                <w:delText>s. 21(1)</w:delText>
              </w:r>
            </w:del>
          </w:p>
        </w:tc>
        <w:tc>
          <w:tcPr>
            <w:tcW w:w="2551" w:type="dxa"/>
          </w:tcPr>
          <w:p>
            <w:pPr>
              <w:pStyle w:val="nzTable"/>
              <w:rPr>
                <w:del w:id="435" w:author="svcMRProcess" w:date="2018-08-20T23:31:00Z"/>
                <w:snapToGrid w:val="0"/>
              </w:rPr>
            </w:pPr>
            <w:del w:id="436" w:author="svcMRProcess" w:date="2018-08-20T23:31:00Z">
              <w:r>
                <w:rPr>
                  <w:snapToGrid w:val="0"/>
                </w:rPr>
                <w:delText>(1)(a)</w:delText>
              </w:r>
              <w:r>
                <w:rPr>
                  <w:snapToGrid w:val="0"/>
                </w:rPr>
                <w:tab/>
                <w:delText>Where</w:delText>
              </w:r>
            </w:del>
          </w:p>
          <w:p>
            <w:pPr>
              <w:pStyle w:val="nzTable"/>
              <w:rPr>
                <w:del w:id="437" w:author="svcMRProcess" w:date="2018-08-20T23:31:00Z"/>
              </w:rPr>
            </w:pPr>
            <w:del w:id="438" w:author="svcMRProcess" w:date="2018-08-20T23:31:00Z">
              <w:r>
                <w:rPr>
                  <w:snapToGrid w:val="0"/>
                </w:rPr>
                <w:delText>(b)</w:delText>
              </w:r>
              <w:r>
                <w:rPr>
                  <w:snapToGrid w:val="0"/>
                </w:rPr>
                <w:tab/>
                <w:delText>The Minister</w:delText>
              </w:r>
            </w:del>
          </w:p>
        </w:tc>
        <w:tc>
          <w:tcPr>
            <w:tcW w:w="2551" w:type="dxa"/>
          </w:tcPr>
          <w:p>
            <w:pPr>
              <w:pStyle w:val="nzTable"/>
              <w:rPr>
                <w:del w:id="439" w:author="svcMRProcess" w:date="2018-08-20T23:31:00Z"/>
                <w:snapToGrid w:val="0"/>
              </w:rPr>
            </w:pPr>
            <w:del w:id="440" w:author="svcMRProcess" w:date="2018-08-20T23:31:00Z">
              <w:r>
                <w:rPr>
                  <w:snapToGrid w:val="0"/>
                </w:rPr>
                <w:delText>(1A)</w:delText>
              </w:r>
              <w:r>
                <w:rPr>
                  <w:snapToGrid w:val="0"/>
                </w:rPr>
                <w:tab/>
                <w:delText>Where</w:delText>
              </w:r>
            </w:del>
          </w:p>
          <w:p>
            <w:pPr>
              <w:pStyle w:val="nzTable"/>
              <w:rPr>
                <w:del w:id="441" w:author="svcMRProcess" w:date="2018-08-20T23:31:00Z"/>
              </w:rPr>
            </w:pPr>
            <w:del w:id="442" w:author="svcMRProcess" w:date="2018-08-20T23:31:00Z">
              <w:r>
                <w:rPr>
                  <w:snapToGrid w:val="0"/>
                </w:rPr>
                <w:delText>(1B)</w:delText>
              </w:r>
              <w:r>
                <w:rPr>
                  <w:snapToGrid w:val="0"/>
                </w:rPr>
                <w:tab/>
                <w:delText>The Minister</w:delText>
              </w:r>
            </w:del>
          </w:p>
        </w:tc>
      </w:tr>
      <w:tr>
        <w:trPr>
          <w:jc w:val="center"/>
          <w:del w:id="443" w:author="svcMRProcess" w:date="2018-08-20T23:31:00Z"/>
        </w:trPr>
        <w:tc>
          <w:tcPr>
            <w:tcW w:w="1702" w:type="dxa"/>
          </w:tcPr>
          <w:p>
            <w:pPr>
              <w:pStyle w:val="nzTable"/>
              <w:rPr>
                <w:del w:id="444" w:author="svcMRProcess" w:date="2018-08-20T23:31:00Z"/>
              </w:rPr>
            </w:pPr>
            <w:del w:id="445" w:author="svcMRProcess" w:date="2018-08-20T23:31:00Z">
              <w:r>
                <w:delText>s. 21(2)</w:delText>
              </w:r>
            </w:del>
          </w:p>
        </w:tc>
        <w:tc>
          <w:tcPr>
            <w:tcW w:w="2551" w:type="dxa"/>
          </w:tcPr>
          <w:p>
            <w:pPr>
              <w:pStyle w:val="nzTable"/>
              <w:rPr>
                <w:del w:id="446" w:author="svcMRProcess" w:date="2018-08-20T23:31:00Z"/>
                <w:snapToGrid w:val="0"/>
              </w:rPr>
            </w:pPr>
            <w:del w:id="447" w:author="svcMRProcess" w:date="2018-08-20T23:31:00Z">
              <w:r>
                <w:rPr>
                  <w:snapToGrid w:val="0"/>
                </w:rPr>
                <w:delText>(2)(a)</w:delText>
              </w:r>
              <w:r>
                <w:rPr>
                  <w:snapToGrid w:val="0"/>
                </w:rPr>
                <w:tab/>
                <w:delText>Subject</w:delText>
              </w:r>
            </w:del>
          </w:p>
          <w:p>
            <w:pPr>
              <w:pStyle w:val="nzTable"/>
              <w:ind w:left="720" w:hanging="720"/>
              <w:rPr>
                <w:del w:id="448" w:author="svcMRProcess" w:date="2018-08-20T23:31:00Z"/>
              </w:rPr>
            </w:pPr>
            <w:del w:id="449" w:author="svcMRProcess" w:date="2018-08-20T23:31:00Z">
              <w:r>
                <w:rPr>
                  <w:snapToGrid w:val="0"/>
                </w:rPr>
                <w:delText>(b)</w:delText>
              </w:r>
              <w:r>
                <w:rPr>
                  <w:snapToGrid w:val="0"/>
                </w:rPr>
                <w:tab/>
                <w:delText>Permission under this subsection</w:delText>
              </w:r>
            </w:del>
          </w:p>
        </w:tc>
        <w:tc>
          <w:tcPr>
            <w:tcW w:w="2551" w:type="dxa"/>
          </w:tcPr>
          <w:p>
            <w:pPr>
              <w:pStyle w:val="nzTable"/>
              <w:rPr>
                <w:del w:id="450" w:author="svcMRProcess" w:date="2018-08-20T23:31:00Z"/>
                <w:snapToGrid w:val="0"/>
              </w:rPr>
            </w:pPr>
            <w:del w:id="451" w:author="svcMRProcess" w:date="2018-08-20T23:31:00Z">
              <w:r>
                <w:rPr>
                  <w:snapToGrid w:val="0"/>
                </w:rPr>
                <w:delText>(2A)</w:delText>
              </w:r>
              <w:r>
                <w:rPr>
                  <w:snapToGrid w:val="0"/>
                </w:rPr>
                <w:tab/>
                <w:delText>Subject</w:delText>
              </w:r>
            </w:del>
          </w:p>
          <w:p>
            <w:pPr>
              <w:pStyle w:val="nzTable"/>
              <w:ind w:left="720" w:hanging="720"/>
              <w:rPr>
                <w:del w:id="452" w:author="svcMRProcess" w:date="2018-08-20T23:31:00Z"/>
              </w:rPr>
            </w:pPr>
            <w:del w:id="453" w:author="svcMRProcess" w:date="2018-08-20T23:31:00Z">
              <w:r>
                <w:rPr>
                  <w:snapToGrid w:val="0"/>
                </w:rPr>
                <w:delText>(2B)</w:delText>
              </w:r>
              <w:r>
                <w:rPr>
                  <w:snapToGrid w:val="0"/>
                </w:rPr>
                <w:tab/>
                <w:delText xml:space="preserve">Permission under </w:delText>
              </w:r>
              <w:r>
                <w:delText>subsection (2A)</w:delText>
              </w:r>
            </w:del>
          </w:p>
        </w:tc>
      </w:tr>
      <w:tr>
        <w:trPr>
          <w:jc w:val="center"/>
          <w:del w:id="454" w:author="svcMRProcess" w:date="2018-08-20T23:31:00Z"/>
        </w:trPr>
        <w:tc>
          <w:tcPr>
            <w:tcW w:w="1702" w:type="dxa"/>
          </w:tcPr>
          <w:p>
            <w:pPr>
              <w:pStyle w:val="nzTable"/>
              <w:rPr>
                <w:del w:id="455" w:author="svcMRProcess" w:date="2018-08-20T23:31:00Z"/>
              </w:rPr>
            </w:pPr>
            <w:del w:id="456" w:author="svcMRProcess" w:date="2018-08-20T23:31:00Z">
              <w:r>
                <w:delText>s. 21(3)</w:delText>
              </w:r>
            </w:del>
          </w:p>
        </w:tc>
        <w:tc>
          <w:tcPr>
            <w:tcW w:w="2551" w:type="dxa"/>
          </w:tcPr>
          <w:p>
            <w:pPr>
              <w:pStyle w:val="nzTable"/>
              <w:ind w:left="720" w:hanging="720"/>
              <w:rPr>
                <w:del w:id="457" w:author="svcMRProcess" w:date="2018-08-20T23:31:00Z"/>
                <w:snapToGrid w:val="0"/>
              </w:rPr>
            </w:pPr>
            <w:del w:id="458" w:author="svcMRProcess" w:date="2018-08-20T23:31:00Z">
              <w:r>
                <w:rPr>
                  <w:snapToGrid w:val="0"/>
                </w:rPr>
                <w:delText>(3)(a)</w:delText>
              </w:r>
              <w:r>
                <w:rPr>
                  <w:snapToGrid w:val="0"/>
                </w:rPr>
                <w:tab/>
                <w:delText>During subsection (1)</w:delText>
              </w:r>
            </w:del>
          </w:p>
          <w:p>
            <w:pPr>
              <w:pStyle w:val="nzTable"/>
              <w:rPr>
                <w:del w:id="459" w:author="svcMRProcess" w:date="2018-08-20T23:31:00Z"/>
              </w:rPr>
            </w:pPr>
            <w:del w:id="460" w:author="svcMRProcess" w:date="2018-08-20T23:31:00Z">
              <w:r>
                <w:rPr>
                  <w:snapToGrid w:val="0"/>
                </w:rPr>
                <w:delText>(b)</w:delText>
              </w:r>
              <w:r>
                <w:rPr>
                  <w:snapToGrid w:val="0"/>
                </w:rPr>
                <w:tab/>
                <w:delText>Where</w:delText>
              </w:r>
            </w:del>
          </w:p>
        </w:tc>
        <w:tc>
          <w:tcPr>
            <w:tcW w:w="2551" w:type="dxa"/>
          </w:tcPr>
          <w:p>
            <w:pPr>
              <w:pStyle w:val="nzTable"/>
              <w:ind w:left="720" w:hanging="720"/>
              <w:rPr>
                <w:del w:id="461" w:author="svcMRProcess" w:date="2018-08-20T23:31:00Z"/>
                <w:snapToGrid w:val="0"/>
              </w:rPr>
            </w:pPr>
            <w:del w:id="462" w:author="svcMRProcess" w:date="2018-08-20T23:31:00Z">
              <w:r>
                <w:rPr>
                  <w:snapToGrid w:val="0"/>
                </w:rPr>
                <w:delText>(3A)</w:delText>
              </w:r>
              <w:r>
                <w:rPr>
                  <w:snapToGrid w:val="0"/>
                </w:rPr>
                <w:tab/>
                <w:delText>During subsection (1A)</w:delText>
              </w:r>
            </w:del>
          </w:p>
          <w:p>
            <w:pPr>
              <w:pStyle w:val="nzTable"/>
              <w:rPr>
                <w:del w:id="463" w:author="svcMRProcess" w:date="2018-08-20T23:31:00Z"/>
              </w:rPr>
            </w:pPr>
            <w:del w:id="464" w:author="svcMRProcess" w:date="2018-08-20T23:31:00Z">
              <w:r>
                <w:rPr>
                  <w:snapToGrid w:val="0"/>
                </w:rPr>
                <w:delText>(3B)</w:delText>
              </w:r>
              <w:r>
                <w:rPr>
                  <w:snapToGrid w:val="0"/>
                </w:rPr>
                <w:tab/>
                <w:delText>Where</w:delText>
              </w:r>
            </w:del>
          </w:p>
        </w:tc>
      </w:tr>
      <w:tr>
        <w:trPr>
          <w:jc w:val="center"/>
          <w:del w:id="465" w:author="svcMRProcess" w:date="2018-08-20T23:31:00Z"/>
        </w:trPr>
        <w:tc>
          <w:tcPr>
            <w:tcW w:w="1702" w:type="dxa"/>
          </w:tcPr>
          <w:p>
            <w:pPr>
              <w:pStyle w:val="nzTable"/>
              <w:rPr>
                <w:del w:id="466" w:author="svcMRProcess" w:date="2018-08-20T23:31:00Z"/>
              </w:rPr>
            </w:pPr>
            <w:del w:id="467" w:author="svcMRProcess" w:date="2018-08-20T23:31:00Z">
              <w:r>
                <w:delText>s. 39(2)</w:delText>
              </w:r>
            </w:del>
          </w:p>
        </w:tc>
        <w:tc>
          <w:tcPr>
            <w:tcW w:w="2551" w:type="dxa"/>
          </w:tcPr>
          <w:p>
            <w:pPr>
              <w:pStyle w:val="nzTable"/>
              <w:rPr>
                <w:del w:id="468" w:author="svcMRProcess" w:date="2018-08-20T23:31:00Z"/>
              </w:rPr>
            </w:pPr>
            <w:del w:id="469" w:author="svcMRProcess" w:date="2018-08-20T23:31:00Z">
              <w:r>
                <w:rPr>
                  <w:snapToGrid w:val="0"/>
                </w:rPr>
                <w:delText>(2)(a)</w:delText>
              </w:r>
              <w:r>
                <w:rPr>
                  <w:snapToGrid w:val="0"/>
                </w:rPr>
                <w:tab/>
                <w:delText>Where</w:delText>
              </w:r>
            </w:del>
          </w:p>
        </w:tc>
        <w:tc>
          <w:tcPr>
            <w:tcW w:w="2551" w:type="dxa"/>
          </w:tcPr>
          <w:p>
            <w:pPr>
              <w:pStyle w:val="nzTable"/>
              <w:rPr>
                <w:del w:id="470" w:author="svcMRProcess" w:date="2018-08-20T23:31:00Z"/>
              </w:rPr>
            </w:pPr>
            <w:del w:id="471" w:author="svcMRProcess" w:date="2018-08-20T23:31:00Z">
              <w:r>
                <w:rPr>
                  <w:snapToGrid w:val="0"/>
                </w:rPr>
                <w:delText>(2)</w:delText>
              </w:r>
              <w:r>
                <w:rPr>
                  <w:snapToGrid w:val="0"/>
                </w:rPr>
                <w:tab/>
                <w:delText>Where</w:delText>
              </w:r>
            </w:del>
          </w:p>
        </w:tc>
      </w:tr>
      <w:tr>
        <w:trPr>
          <w:jc w:val="center"/>
          <w:del w:id="472" w:author="svcMRProcess" w:date="2018-08-20T23:31:00Z"/>
        </w:trPr>
        <w:tc>
          <w:tcPr>
            <w:tcW w:w="1702" w:type="dxa"/>
          </w:tcPr>
          <w:p>
            <w:pPr>
              <w:pStyle w:val="nzTable"/>
              <w:rPr>
                <w:del w:id="473" w:author="svcMRProcess" w:date="2018-08-20T23:31:00Z"/>
              </w:rPr>
            </w:pPr>
            <w:del w:id="474" w:author="svcMRProcess" w:date="2018-08-20T23:31:00Z">
              <w:r>
                <w:delText>s. 44(3)</w:delText>
              </w:r>
            </w:del>
          </w:p>
        </w:tc>
        <w:tc>
          <w:tcPr>
            <w:tcW w:w="2551" w:type="dxa"/>
          </w:tcPr>
          <w:p>
            <w:pPr>
              <w:pStyle w:val="nzTable"/>
              <w:rPr>
                <w:del w:id="475" w:author="svcMRProcess" w:date="2018-08-20T23:31:00Z"/>
              </w:rPr>
            </w:pPr>
            <w:del w:id="476" w:author="svcMRProcess" w:date="2018-08-20T23:31:00Z">
              <w:r>
                <w:delText>(3)(a)</w:delText>
              </w:r>
              <w:r>
                <w:tab/>
                <w:delText>Where</w:delText>
              </w:r>
            </w:del>
          </w:p>
        </w:tc>
        <w:tc>
          <w:tcPr>
            <w:tcW w:w="2551" w:type="dxa"/>
          </w:tcPr>
          <w:p>
            <w:pPr>
              <w:pStyle w:val="nzTable"/>
              <w:rPr>
                <w:del w:id="477" w:author="svcMRProcess" w:date="2018-08-20T23:31:00Z"/>
              </w:rPr>
            </w:pPr>
            <w:del w:id="478" w:author="svcMRProcess" w:date="2018-08-20T23:31:00Z">
              <w:r>
                <w:delText>(3)</w:delText>
              </w:r>
              <w:r>
                <w:tab/>
                <w:delText>Where</w:delText>
              </w:r>
            </w:del>
          </w:p>
        </w:tc>
      </w:tr>
      <w:tr>
        <w:trPr>
          <w:jc w:val="center"/>
          <w:del w:id="479" w:author="svcMRProcess" w:date="2018-08-20T23:31:00Z"/>
        </w:trPr>
        <w:tc>
          <w:tcPr>
            <w:tcW w:w="1702" w:type="dxa"/>
          </w:tcPr>
          <w:p>
            <w:pPr>
              <w:pStyle w:val="nzTable"/>
              <w:rPr>
                <w:del w:id="480" w:author="svcMRProcess" w:date="2018-08-20T23:31:00Z"/>
              </w:rPr>
            </w:pPr>
            <w:del w:id="481" w:author="svcMRProcess" w:date="2018-08-20T23:31:00Z">
              <w:r>
                <w:delText>s. 45</w:delText>
              </w:r>
            </w:del>
          </w:p>
        </w:tc>
        <w:tc>
          <w:tcPr>
            <w:tcW w:w="2551" w:type="dxa"/>
          </w:tcPr>
          <w:p>
            <w:pPr>
              <w:pStyle w:val="nzTable"/>
              <w:rPr>
                <w:del w:id="482" w:author="svcMRProcess" w:date="2018-08-20T23:31:00Z"/>
                <w:snapToGrid w:val="0"/>
              </w:rPr>
            </w:pPr>
            <w:del w:id="483" w:author="svcMRProcess" w:date="2018-08-20T23:31:00Z">
              <w:r>
                <w:rPr>
                  <w:snapToGrid w:val="0"/>
                </w:rPr>
                <w:delText>(a)</w:delText>
              </w:r>
              <w:r>
                <w:rPr>
                  <w:snapToGrid w:val="0"/>
                </w:rPr>
                <w:tab/>
                <w:delText>Where</w:delText>
              </w:r>
            </w:del>
          </w:p>
          <w:p>
            <w:pPr>
              <w:pStyle w:val="nzTable"/>
              <w:rPr>
                <w:del w:id="484" w:author="svcMRProcess" w:date="2018-08-20T23:31:00Z"/>
              </w:rPr>
            </w:pPr>
            <w:del w:id="485" w:author="svcMRProcess" w:date="2018-08-20T23:31:00Z">
              <w:r>
                <w:rPr>
                  <w:snapToGrid w:val="0"/>
                </w:rPr>
                <w:delText>(b)</w:delText>
              </w:r>
              <w:r>
                <w:rPr>
                  <w:snapToGrid w:val="0"/>
                </w:rPr>
                <w:tab/>
                <w:delText>Where</w:delText>
              </w:r>
            </w:del>
          </w:p>
        </w:tc>
        <w:tc>
          <w:tcPr>
            <w:tcW w:w="2551" w:type="dxa"/>
          </w:tcPr>
          <w:p>
            <w:pPr>
              <w:pStyle w:val="nzTable"/>
              <w:rPr>
                <w:del w:id="486" w:author="svcMRProcess" w:date="2018-08-20T23:31:00Z"/>
                <w:snapToGrid w:val="0"/>
              </w:rPr>
            </w:pPr>
            <w:del w:id="487" w:author="svcMRProcess" w:date="2018-08-20T23:31:00Z">
              <w:r>
                <w:rPr>
                  <w:snapToGrid w:val="0"/>
                </w:rPr>
                <w:delText>(1)</w:delText>
              </w:r>
              <w:r>
                <w:rPr>
                  <w:snapToGrid w:val="0"/>
                </w:rPr>
                <w:tab/>
                <w:delText>Where</w:delText>
              </w:r>
            </w:del>
          </w:p>
          <w:p>
            <w:pPr>
              <w:pStyle w:val="nzTable"/>
              <w:rPr>
                <w:del w:id="488" w:author="svcMRProcess" w:date="2018-08-20T23:31:00Z"/>
              </w:rPr>
            </w:pPr>
            <w:del w:id="489" w:author="svcMRProcess" w:date="2018-08-20T23:31:00Z">
              <w:r>
                <w:rPr>
                  <w:snapToGrid w:val="0"/>
                </w:rPr>
                <w:delText>(2)</w:delText>
              </w:r>
              <w:r>
                <w:rPr>
                  <w:snapToGrid w:val="0"/>
                </w:rPr>
                <w:tab/>
                <w:delText>Where</w:delText>
              </w:r>
            </w:del>
          </w:p>
        </w:tc>
      </w:tr>
      <w:tr>
        <w:trPr>
          <w:jc w:val="center"/>
          <w:del w:id="490" w:author="svcMRProcess" w:date="2018-08-20T23:31:00Z"/>
        </w:trPr>
        <w:tc>
          <w:tcPr>
            <w:tcW w:w="1702" w:type="dxa"/>
          </w:tcPr>
          <w:p>
            <w:pPr>
              <w:pStyle w:val="nzTable"/>
              <w:rPr>
                <w:del w:id="491" w:author="svcMRProcess" w:date="2018-08-20T23:31:00Z"/>
              </w:rPr>
            </w:pPr>
            <w:del w:id="492" w:author="svcMRProcess" w:date="2018-08-20T23:31:00Z">
              <w:r>
                <w:delText>s. 47</w:delText>
              </w:r>
            </w:del>
          </w:p>
        </w:tc>
        <w:tc>
          <w:tcPr>
            <w:tcW w:w="2551" w:type="dxa"/>
          </w:tcPr>
          <w:p>
            <w:pPr>
              <w:pStyle w:val="nzTable"/>
              <w:rPr>
                <w:del w:id="493" w:author="svcMRProcess" w:date="2018-08-20T23:31:00Z"/>
              </w:rPr>
            </w:pPr>
            <w:del w:id="494" w:author="svcMRProcess" w:date="2018-08-20T23:31:00Z">
              <w:r>
                <w:rPr>
                  <w:snapToGrid w:val="0"/>
                </w:rPr>
                <w:delText>section 39(2)(a)</w:delText>
              </w:r>
            </w:del>
          </w:p>
        </w:tc>
        <w:tc>
          <w:tcPr>
            <w:tcW w:w="2551" w:type="dxa"/>
          </w:tcPr>
          <w:p>
            <w:pPr>
              <w:pStyle w:val="nzTable"/>
              <w:rPr>
                <w:del w:id="495" w:author="svcMRProcess" w:date="2018-08-20T23:31:00Z"/>
              </w:rPr>
            </w:pPr>
            <w:del w:id="496" w:author="svcMRProcess" w:date="2018-08-20T23:31:00Z">
              <w:r>
                <w:delText>section 39(2)</w:delText>
              </w:r>
            </w:del>
          </w:p>
        </w:tc>
      </w:tr>
      <w:tr>
        <w:trPr>
          <w:jc w:val="center"/>
          <w:del w:id="497" w:author="svcMRProcess" w:date="2018-08-20T23:31:00Z"/>
        </w:trPr>
        <w:tc>
          <w:tcPr>
            <w:tcW w:w="1702" w:type="dxa"/>
          </w:tcPr>
          <w:p>
            <w:pPr>
              <w:pStyle w:val="nzTable"/>
              <w:rPr>
                <w:del w:id="498" w:author="svcMRProcess" w:date="2018-08-20T23:31:00Z"/>
              </w:rPr>
            </w:pPr>
            <w:del w:id="499" w:author="svcMRProcess" w:date="2018-08-20T23:31:00Z">
              <w:r>
                <w:delText>s. 64</w:delText>
              </w:r>
            </w:del>
          </w:p>
        </w:tc>
        <w:tc>
          <w:tcPr>
            <w:tcW w:w="2551" w:type="dxa"/>
          </w:tcPr>
          <w:p>
            <w:pPr>
              <w:pStyle w:val="nzTable"/>
              <w:rPr>
                <w:del w:id="500" w:author="svcMRProcess" w:date="2018-08-20T23:31:00Z"/>
              </w:rPr>
            </w:pPr>
            <w:del w:id="501" w:author="svcMRProcess" w:date="2018-08-20T23:31:00Z">
              <w:r>
                <w:delText>section 21(2),</w:delText>
              </w:r>
            </w:del>
          </w:p>
        </w:tc>
        <w:tc>
          <w:tcPr>
            <w:tcW w:w="2551" w:type="dxa"/>
          </w:tcPr>
          <w:p>
            <w:pPr>
              <w:pStyle w:val="nzTable"/>
              <w:rPr>
                <w:del w:id="502" w:author="svcMRProcess" w:date="2018-08-20T23:31:00Z"/>
              </w:rPr>
            </w:pPr>
            <w:del w:id="503" w:author="svcMRProcess" w:date="2018-08-20T23:31:00Z">
              <w:r>
                <w:delText>section 21(2A) and (2B),</w:delText>
              </w:r>
            </w:del>
          </w:p>
        </w:tc>
      </w:tr>
    </w:tbl>
    <w:p>
      <w:pPr>
        <w:pStyle w:val="BlankClose"/>
        <w:rPr>
          <w:del w:id="504" w:author="svcMRProcess" w:date="2018-08-20T23:31:00Z"/>
        </w:rPr>
      </w:pPr>
    </w:p>
    <w:p>
      <w:pPr>
        <w:pStyle w:val="nSubsection"/>
        <w:rPr>
          <w:snapToGrid w:val="0"/>
        </w:rPr>
      </w:pPr>
      <w:r>
        <w:rPr>
          <w:snapToGrid w:val="0"/>
          <w:vertAlign w:val="superscript"/>
        </w:rPr>
        <w:t>9</w:t>
      </w:r>
      <w:r>
        <w:rPr>
          <w:snapToGrid w:val="0"/>
        </w:rPr>
        <w:tab/>
        <w:t>Footnote no longer applicable.</w:t>
      </w:r>
    </w:p>
    <w:p>
      <w:pPr>
        <w:pStyle w:val="nSubsection"/>
        <w:keepNext/>
        <w:rPr>
          <w:snapToGrid w:val="0"/>
        </w:rPr>
      </w:pPr>
      <w:r>
        <w:rPr>
          <w:snapToGrid w:val="0"/>
          <w:vertAlign w:val="superscript"/>
        </w:rPr>
        <w:t>10</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 xml:space="preserve">Road Traffic Legislation Amendment Act 2012 </w:t>
      </w:r>
      <w:r>
        <w:rPr>
          <w:snapToGrid w:val="0"/>
        </w:rPr>
        <w:t>Pt. 4 Div. 4 had not come into operation.  It reads as follows:</w:t>
      </w:r>
    </w:p>
    <w:p>
      <w:pPr>
        <w:pStyle w:val="BlankOpen"/>
        <w:rPr>
          <w:snapToGrid w:val="0"/>
        </w:rPr>
      </w:pPr>
    </w:p>
    <w:p>
      <w:pPr>
        <w:pStyle w:val="nzHeading3"/>
      </w:pPr>
      <w:r>
        <w:rPr>
          <w:rStyle w:val="CharDivNo"/>
        </w:rPr>
        <w:t>Division 4</w:t>
      </w:r>
      <w:r>
        <w:t> — </w:t>
      </w:r>
      <w:r>
        <w:rPr>
          <w:rStyle w:val="CharDivText"/>
          <w:i/>
        </w:rPr>
        <w:t>Bush Fires Act 1954</w:t>
      </w:r>
      <w:r>
        <w:rPr>
          <w:rStyle w:val="CharDivText"/>
        </w:rPr>
        <w:t xml:space="preserve"> amended</w:t>
      </w:r>
    </w:p>
    <w:p>
      <w:pPr>
        <w:pStyle w:val="nzHeading5"/>
      </w:pPr>
      <w:r>
        <w:rPr>
          <w:rStyle w:val="CharSectno"/>
        </w:rPr>
        <w:t>46</w:t>
      </w:r>
      <w:r>
        <w:t>.</w:t>
      </w:r>
      <w:r>
        <w:tab/>
        <w:t>Act amended</w:t>
      </w:r>
    </w:p>
    <w:p>
      <w:pPr>
        <w:pStyle w:val="nzSubsection"/>
      </w:pPr>
      <w:r>
        <w:tab/>
      </w:r>
      <w:r>
        <w:tab/>
        <w:t xml:space="preserve">This Division amends the </w:t>
      </w:r>
      <w:r>
        <w:rPr>
          <w:i/>
        </w:rPr>
        <w:t>Bush Fires Act 1954</w:t>
      </w:r>
      <w:r>
        <w:t>.</w:t>
      </w:r>
    </w:p>
    <w:p>
      <w:pPr>
        <w:pStyle w:val="nzHeading5"/>
      </w:pPr>
      <w:r>
        <w:rPr>
          <w:rStyle w:val="CharSectno"/>
        </w:rPr>
        <w:t>47</w:t>
      </w:r>
      <w:r>
        <w:t>.</w:t>
      </w:r>
      <w:r>
        <w:tab/>
        <w:t>Section 14B amended</w:t>
      </w:r>
    </w:p>
    <w:p>
      <w:pPr>
        <w:pStyle w:val="nzSubsection"/>
      </w:pPr>
      <w:r>
        <w:tab/>
      </w:r>
      <w:r>
        <w:tab/>
        <w:t>In section 14B(3) delete “</w:t>
      </w:r>
      <w:r>
        <w:rPr>
          <w:i/>
        </w:rPr>
        <w:t>Road Traffic Act 1974</w:t>
      </w:r>
      <w:r>
        <w:t>” and insert:</w:t>
      </w:r>
    </w:p>
    <w:p>
      <w:pPr>
        <w:pStyle w:val="BlankOpen"/>
      </w:pPr>
    </w:p>
    <w:p>
      <w:pPr>
        <w:pStyle w:val="nzSubsection"/>
      </w:pPr>
      <w:r>
        <w:tab/>
      </w:r>
      <w:r>
        <w:tab/>
      </w:r>
      <w:r>
        <w:rPr>
          <w:i/>
        </w:rPr>
        <w:t>Road Traffic (Vehicles) Act 2012</w:t>
      </w:r>
    </w:p>
    <w:p>
      <w:pPr>
        <w:pStyle w:val="BlankClose"/>
      </w:pPr>
    </w:p>
    <w:p>
      <w:pPr>
        <w:pStyle w:val="nSubsection"/>
        <w:rPr>
          <w:del w:id="505" w:author="svcMRProcess" w:date="2018-08-20T23:31:00Z"/>
          <w:snapToGrid w:val="0"/>
        </w:rPr>
      </w:pPr>
      <w:del w:id="506" w:author="svcMRProcess" w:date="2018-08-20T23:31:00Z">
        <w:r>
          <w:rPr>
            <w:snapToGrid w:val="0"/>
            <w:vertAlign w:val="superscript"/>
          </w:rPr>
          <w:delText>11</w:delText>
        </w:r>
        <w:r>
          <w:rPr>
            <w:snapToGrid w:val="0"/>
          </w:rPr>
          <w:tab/>
          <w:delText xml:space="preserve">On the date as at which this compilation was prepared, the </w:delText>
        </w:r>
        <w:r>
          <w:rPr>
            <w:i/>
            <w:snapToGrid w:val="0"/>
          </w:rPr>
          <w:delText xml:space="preserve">Statutes (Repeals and Minor Amendments) Act 2014 </w:delText>
        </w:r>
        <w:r>
          <w:rPr>
            <w:snapToGrid w:val="0"/>
          </w:rPr>
          <w:delText>s. 17 and 39(5)</w:delText>
        </w:r>
        <w:r>
          <w:rPr>
            <w:snapToGrid w:val="0"/>
          </w:rPr>
          <w:noBreakHyphen/>
          <w:delText>(8)</w:delText>
        </w:r>
        <w:r>
          <w:rPr>
            <w:i/>
            <w:snapToGrid w:val="0"/>
          </w:rPr>
          <w:delText xml:space="preserve"> </w:delText>
        </w:r>
        <w:r>
          <w:rPr>
            <w:snapToGrid w:val="0"/>
          </w:rPr>
          <w:delText>had not come into operation.  They read as follows:</w:delText>
        </w:r>
      </w:del>
    </w:p>
    <w:p>
      <w:pPr>
        <w:pStyle w:val="BlankOpen"/>
        <w:rPr>
          <w:del w:id="507" w:author="svcMRProcess" w:date="2018-08-20T23:31:00Z"/>
          <w:snapToGrid w:val="0"/>
        </w:rPr>
      </w:pPr>
    </w:p>
    <w:p>
      <w:pPr>
        <w:pStyle w:val="nzHeading5"/>
        <w:rPr>
          <w:del w:id="508" w:author="svcMRProcess" w:date="2018-08-20T23:31:00Z"/>
        </w:rPr>
      </w:pPr>
      <w:bookmarkStart w:id="509" w:name="_Toc392133803"/>
      <w:bookmarkStart w:id="510" w:name="_Toc392144307"/>
      <w:del w:id="511" w:author="svcMRProcess" w:date="2018-08-20T23:31:00Z">
        <w:r>
          <w:rPr>
            <w:rStyle w:val="CharSectno"/>
          </w:rPr>
          <w:delText>17</w:delText>
        </w:r>
        <w:r>
          <w:delText>.</w:delText>
        </w:r>
        <w:r>
          <w:tab/>
        </w:r>
        <w:r>
          <w:rPr>
            <w:i/>
          </w:rPr>
          <w:delText>Bush Fires Act 1954</w:delText>
        </w:r>
        <w:r>
          <w:delText xml:space="preserve"> amended</w:delText>
        </w:r>
        <w:bookmarkEnd w:id="509"/>
        <w:bookmarkEnd w:id="510"/>
      </w:del>
    </w:p>
    <w:p>
      <w:pPr>
        <w:pStyle w:val="nzSubsection"/>
        <w:rPr>
          <w:del w:id="512" w:author="svcMRProcess" w:date="2018-08-20T23:31:00Z"/>
        </w:rPr>
      </w:pPr>
      <w:del w:id="513" w:author="svcMRProcess" w:date="2018-08-20T23:31:00Z">
        <w:r>
          <w:tab/>
          <w:delText>(1)</w:delText>
        </w:r>
        <w:r>
          <w:tab/>
          <w:delText xml:space="preserve">This section amends the </w:delText>
        </w:r>
        <w:r>
          <w:rPr>
            <w:i/>
          </w:rPr>
          <w:delText>Bush Fires Act 1954</w:delText>
        </w:r>
        <w:r>
          <w:delText>.</w:delText>
        </w:r>
      </w:del>
    </w:p>
    <w:p>
      <w:pPr>
        <w:pStyle w:val="nzSubsection"/>
        <w:rPr>
          <w:del w:id="514" w:author="svcMRProcess" w:date="2018-08-20T23:31:00Z"/>
        </w:rPr>
      </w:pPr>
      <w:del w:id="515" w:author="svcMRProcess" w:date="2018-08-20T23:31:00Z">
        <w:r>
          <w:tab/>
          <w:delText>(2)</w:delText>
        </w:r>
        <w:r>
          <w:tab/>
          <w:delText>In section 38(14) delete “this”.</w:delText>
        </w:r>
      </w:del>
    </w:p>
    <w:p>
      <w:pPr>
        <w:pStyle w:val="nzSubsection"/>
        <w:rPr>
          <w:del w:id="516" w:author="svcMRProcess" w:date="2018-08-20T23:31:00Z"/>
        </w:rPr>
      </w:pPr>
      <w:del w:id="517" w:author="svcMRProcess" w:date="2018-08-20T23:31:00Z">
        <w:r>
          <w:tab/>
          <w:delText>(3)</w:delText>
        </w:r>
        <w:r>
          <w:tab/>
          <w:delText>In section 38(18):</w:delText>
        </w:r>
      </w:del>
    </w:p>
    <w:p>
      <w:pPr>
        <w:pStyle w:val="nzIndenta"/>
        <w:rPr>
          <w:del w:id="518" w:author="svcMRProcess" w:date="2018-08-20T23:31:00Z"/>
        </w:rPr>
      </w:pPr>
      <w:del w:id="519" w:author="svcMRProcess" w:date="2018-08-20T23:31:00Z">
        <w:r>
          <w:tab/>
          <w:delText>(a)</w:delText>
        </w:r>
        <w:r>
          <w:tab/>
          <w:delText>delete “(i) during” and insert:</w:delText>
        </w:r>
      </w:del>
    </w:p>
    <w:p>
      <w:pPr>
        <w:pStyle w:val="BlankOpen"/>
        <w:rPr>
          <w:del w:id="520" w:author="svcMRProcess" w:date="2018-08-20T23:31:00Z"/>
        </w:rPr>
      </w:pPr>
    </w:p>
    <w:p>
      <w:pPr>
        <w:pStyle w:val="nzIndenta"/>
        <w:rPr>
          <w:del w:id="521" w:author="svcMRProcess" w:date="2018-08-20T23:31:00Z"/>
        </w:rPr>
      </w:pPr>
      <w:del w:id="522" w:author="svcMRProcess" w:date="2018-08-20T23:31:00Z">
        <w:r>
          <w:tab/>
          <w:delText>(a)</w:delText>
        </w:r>
        <w:r>
          <w:tab/>
          <w:delText>during</w:delText>
        </w:r>
      </w:del>
    </w:p>
    <w:p>
      <w:pPr>
        <w:pStyle w:val="BlankClose"/>
        <w:rPr>
          <w:del w:id="523" w:author="svcMRProcess" w:date="2018-08-20T23:31:00Z"/>
        </w:rPr>
      </w:pPr>
    </w:p>
    <w:p>
      <w:pPr>
        <w:pStyle w:val="nzIndenta"/>
        <w:rPr>
          <w:del w:id="524" w:author="svcMRProcess" w:date="2018-08-20T23:31:00Z"/>
        </w:rPr>
      </w:pPr>
      <w:del w:id="525" w:author="svcMRProcess" w:date="2018-08-20T23:31:00Z">
        <w:r>
          <w:tab/>
          <w:delText>(b)</w:delText>
        </w:r>
        <w:r>
          <w:tab/>
          <w:delText>delete “(ii) during” and insert:</w:delText>
        </w:r>
      </w:del>
    </w:p>
    <w:p>
      <w:pPr>
        <w:pStyle w:val="BlankOpen"/>
        <w:rPr>
          <w:del w:id="526" w:author="svcMRProcess" w:date="2018-08-20T23:31:00Z"/>
        </w:rPr>
      </w:pPr>
    </w:p>
    <w:p>
      <w:pPr>
        <w:pStyle w:val="nzIndenta"/>
        <w:rPr>
          <w:del w:id="527" w:author="svcMRProcess" w:date="2018-08-20T23:31:00Z"/>
        </w:rPr>
      </w:pPr>
      <w:del w:id="528" w:author="svcMRProcess" w:date="2018-08-20T23:31:00Z">
        <w:r>
          <w:tab/>
          <w:delText>(b)</w:delText>
        </w:r>
        <w:r>
          <w:tab/>
          <w:delText>during</w:delText>
        </w:r>
      </w:del>
    </w:p>
    <w:p>
      <w:pPr>
        <w:pStyle w:val="BlankClose"/>
        <w:rPr>
          <w:del w:id="529" w:author="svcMRProcess" w:date="2018-08-20T23:31:00Z"/>
        </w:rPr>
      </w:pPr>
    </w:p>
    <w:p>
      <w:pPr>
        <w:pStyle w:val="nzSubsection"/>
        <w:rPr>
          <w:del w:id="530" w:author="svcMRProcess" w:date="2018-08-20T23:31:00Z"/>
        </w:rPr>
      </w:pPr>
      <w:del w:id="531" w:author="svcMRProcess" w:date="2018-08-20T23:31:00Z">
        <w:r>
          <w:tab/>
          <w:delText>(4)</w:delText>
        </w:r>
        <w:r>
          <w:tab/>
          <w:delText>In section 44 delete “(3)(a) Subject” and insert:</w:delText>
        </w:r>
      </w:del>
    </w:p>
    <w:p>
      <w:pPr>
        <w:pStyle w:val="BlankOpen"/>
        <w:rPr>
          <w:del w:id="532" w:author="svcMRProcess" w:date="2018-08-20T23:31:00Z"/>
        </w:rPr>
      </w:pPr>
    </w:p>
    <w:p>
      <w:pPr>
        <w:pStyle w:val="nzSubsection"/>
        <w:rPr>
          <w:del w:id="533" w:author="svcMRProcess" w:date="2018-08-20T23:31:00Z"/>
        </w:rPr>
      </w:pPr>
      <w:del w:id="534" w:author="svcMRProcess" w:date="2018-08-20T23:31:00Z">
        <w:r>
          <w:tab/>
          <w:delText>(3)</w:delText>
        </w:r>
        <w:r>
          <w:tab/>
          <w:delText>Subject</w:delText>
        </w:r>
      </w:del>
    </w:p>
    <w:p>
      <w:pPr>
        <w:pStyle w:val="BlankClose"/>
        <w:rPr>
          <w:del w:id="535" w:author="svcMRProcess" w:date="2018-08-20T23:31:00Z"/>
        </w:rPr>
      </w:pPr>
      <w:bookmarkStart w:id="536" w:name="_Toc392133825"/>
      <w:bookmarkStart w:id="537" w:name="_Toc392144329"/>
    </w:p>
    <w:p>
      <w:pPr>
        <w:pStyle w:val="nzHeading5"/>
        <w:rPr>
          <w:del w:id="538" w:author="svcMRProcess" w:date="2018-08-20T23:31:00Z"/>
        </w:rPr>
      </w:pPr>
      <w:del w:id="539" w:author="svcMRProcess" w:date="2018-08-20T23:31:00Z">
        <w:r>
          <w:rPr>
            <w:rStyle w:val="CharSectno"/>
          </w:rPr>
          <w:delText>39</w:delText>
        </w:r>
        <w:r>
          <w:delText>.</w:delText>
        </w:r>
        <w:r>
          <w:tab/>
        </w:r>
        <w:r>
          <w:rPr>
            <w:i/>
          </w:rPr>
          <w:delText>Standardisation of Formatting Act 2010</w:delText>
        </w:r>
        <w:r>
          <w:delText xml:space="preserve"> amended</w:delText>
        </w:r>
        <w:bookmarkEnd w:id="536"/>
        <w:bookmarkEnd w:id="537"/>
      </w:del>
    </w:p>
    <w:p>
      <w:pPr>
        <w:pStyle w:val="nzSubsection"/>
        <w:rPr>
          <w:del w:id="540" w:author="svcMRProcess" w:date="2018-08-20T23:31:00Z"/>
        </w:rPr>
      </w:pPr>
      <w:del w:id="541" w:author="svcMRProcess" w:date="2018-08-20T23:31:00Z">
        <w:r>
          <w:tab/>
          <w:delText>(5)</w:delText>
        </w:r>
        <w:r>
          <w:tab/>
          <w:delText>In section 52(4) in the Table delete the rows relating to sections 21(1), (2) and (3) and 39(2).</w:delText>
        </w:r>
      </w:del>
    </w:p>
    <w:p>
      <w:pPr>
        <w:pStyle w:val="nzSubsection"/>
        <w:rPr>
          <w:del w:id="542" w:author="svcMRProcess" w:date="2018-08-20T23:31:00Z"/>
        </w:rPr>
      </w:pPr>
      <w:del w:id="543" w:author="svcMRProcess" w:date="2018-08-20T23:31:00Z">
        <w:r>
          <w:tab/>
          <w:delText>(6)</w:delText>
        </w:r>
        <w:r>
          <w:tab/>
          <w:delText>In section 52(4) in the Table in the row relating to section 44(3):</w:delText>
        </w:r>
      </w:del>
    </w:p>
    <w:p>
      <w:pPr>
        <w:pStyle w:val="nzIndenta"/>
        <w:rPr>
          <w:del w:id="544" w:author="svcMRProcess" w:date="2018-08-20T23:31:00Z"/>
        </w:rPr>
      </w:pPr>
      <w:del w:id="545" w:author="svcMRProcess" w:date="2018-08-20T23:31:00Z">
        <w:r>
          <w:tab/>
          <w:delText>(a)</w:delText>
        </w:r>
        <w:r>
          <w:tab/>
          <w:delText>in column 2 delete “(3)(a) Where”;</w:delText>
        </w:r>
      </w:del>
    </w:p>
    <w:p>
      <w:pPr>
        <w:pStyle w:val="nzIndenta"/>
        <w:rPr>
          <w:del w:id="546" w:author="svcMRProcess" w:date="2018-08-20T23:31:00Z"/>
        </w:rPr>
      </w:pPr>
      <w:del w:id="547" w:author="svcMRProcess" w:date="2018-08-20T23:31:00Z">
        <w:r>
          <w:tab/>
          <w:delText>(b)</w:delText>
        </w:r>
        <w:r>
          <w:tab/>
          <w:delText>in column 3 delete “(3) Where”.</w:delText>
        </w:r>
      </w:del>
    </w:p>
    <w:p>
      <w:pPr>
        <w:pStyle w:val="nzSubsection"/>
        <w:rPr>
          <w:del w:id="548" w:author="svcMRProcess" w:date="2018-08-20T23:31:00Z"/>
        </w:rPr>
      </w:pPr>
      <w:del w:id="549" w:author="svcMRProcess" w:date="2018-08-20T23:31:00Z">
        <w:r>
          <w:tab/>
          <w:delText>(7)</w:delText>
        </w:r>
        <w:r>
          <w:tab/>
          <w:delText>In section 52(4) in the Table delete the rows relating to sections 45 and 47.</w:delText>
        </w:r>
      </w:del>
    </w:p>
    <w:p>
      <w:pPr>
        <w:pStyle w:val="nzSubsection"/>
        <w:rPr>
          <w:del w:id="550" w:author="svcMRProcess" w:date="2018-08-20T23:31:00Z"/>
        </w:rPr>
      </w:pPr>
      <w:del w:id="551" w:author="svcMRProcess" w:date="2018-08-20T23:31:00Z">
        <w:r>
          <w:tab/>
          <w:delText>(8)</w:delText>
        </w:r>
        <w:r>
          <w:tab/>
          <w:delText>In section 52(4) in the Table in the row relating to section 64:</w:delText>
        </w:r>
      </w:del>
    </w:p>
    <w:p>
      <w:pPr>
        <w:pStyle w:val="nzIndenta"/>
        <w:rPr>
          <w:del w:id="552" w:author="svcMRProcess" w:date="2018-08-20T23:31:00Z"/>
        </w:rPr>
      </w:pPr>
      <w:del w:id="553" w:author="svcMRProcess" w:date="2018-08-20T23:31:00Z">
        <w:r>
          <w:tab/>
          <w:delText>(a)</w:delText>
        </w:r>
        <w:r>
          <w:tab/>
          <w:delText>in column 2 delete “section 21(2),”;</w:delText>
        </w:r>
      </w:del>
    </w:p>
    <w:p>
      <w:pPr>
        <w:pStyle w:val="nzIndenta"/>
        <w:rPr>
          <w:del w:id="554" w:author="svcMRProcess" w:date="2018-08-20T23:31:00Z"/>
        </w:rPr>
      </w:pPr>
      <w:del w:id="555" w:author="svcMRProcess" w:date="2018-08-20T23:31:00Z">
        <w:r>
          <w:tab/>
          <w:delText>(b)</w:delText>
        </w:r>
        <w:r>
          <w:tab/>
          <w:delText>in column 3 delete “section 21(2A) and (2B),”.</w:delText>
        </w:r>
      </w:del>
    </w:p>
    <w:p>
      <w:pPr>
        <w:pStyle w:val="BlankClose"/>
        <w:rPr>
          <w:del w:id="556" w:author="svcMRProcess" w:date="2018-08-20T23:31:00Z"/>
        </w:rPr>
      </w:pPr>
    </w:p>
    <w:p>
      <w:pPr>
        <w:rPr>
          <w:del w:id="557" w:author="svcMRProcess" w:date="2018-08-20T23:31:00Z"/>
        </w:rPr>
      </w:pPr>
    </w:p>
    <w:p>
      <w:pPr>
        <w:rPr>
          <w:del w:id="558" w:author="svcMRProcess" w:date="2018-08-20T23:31:00Z"/>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spacing w:after="40"/>
        <w:rPr>
          <w:del w:id="559" w:author="svcMRProcess" w:date="2018-08-20T23:31:00Z"/>
        </w:rPr>
      </w:pPr>
    </w:p>
    <w:p>
      <w:pPr>
        <w:spacing w:after="40"/>
        <w:rPr>
          <w:del w:id="560" w:author="svcMRProcess" w:date="2018-08-20T23:31:00Z"/>
        </w:rPr>
      </w:pPr>
    </w:p>
    <w:p>
      <w:pPr>
        <w:spacing w:after="40"/>
        <w:rPr>
          <w:del w:id="561" w:author="svcMRProcess" w:date="2018-08-20T23:31:00Z"/>
        </w:rPr>
      </w:pPr>
    </w:p>
    <w:p>
      <w:pPr>
        <w:spacing w:after="40"/>
        <w:rPr>
          <w:del w:id="562" w:author="svcMRProcess" w:date="2018-08-20T23:31:00Z"/>
        </w:rPr>
      </w:pPr>
    </w:p>
    <w:p>
      <w:pPr>
        <w:spacing w:after="40"/>
        <w:rPr>
          <w:del w:id="563" w:author="svcMRProcess" w:date="2018-08-20T23:31:00Z"/>
        </w:rPr>
      </w:pPr>
    </w:p>
    <w:p>
      <w:pPr>
        <w:spacing w:after="40"/>
        <w:rPr>
          <w:del w:id="564" w:author="svcMRProcess" w:date="2018-08-20T23:31:00Z"/>
        </w:rPr>
      </w:pPr>
    </w:p>
    <w:p>
      <w:pPr>
        <w:spacing w:after="40"/>
        <w:rPr>
          <w:del w:id="565" w:author="svcMRProcess" w:date="2018-08-20T23:31:00Z"/>
        </w:rPr>
      </w:pPr>
    </w:p>
    <w:p>
      <w:pPr>
        <w:spacing w:after="40"/>
        <w:rPr>
          <w:del w:id="566" w:author="svcMRProcess" w:date="2018-08-20T23:31:00Z"/>
        </w:rPr>
      </w:pPr>
    </w:p>
    <w:p>
      <w:pPr>
        <w:spacing w:after="40"/>
        <w:rPr>
          <w:del w:id="567" w:author="svcMRProcess" w:date="2018-08-20T23:31:00Z"/>
        </w:rPr>
      </w:pPr>
    </w:p>
    <w:p>
      <w:pPr>
        <w:spacing w:after="40"/>
        <w:rPr>
          <w:del w:id="568" w:author="svcMRProcess" w:date="2018-08-20T23:31:00Z"/>
        </w:rPr>
      </w:pPr>
    </w:p>
    <w:p>
      <w:pPr>
        <w:spacing w:after="40"/>
        <w:rPr>
          <w:del w:id="569" w:author="svcMRProcess" w:date="2018-08-20T23:31:00Z"/>
        </w:rPr>
      </w:pPr>
    </w:p>
    <w:p>
      <w:pPr>
        <w:spacing w:after="40"/>
        <w:rPr>
          <w:del w:id="570" w:author="svcMRProcess" w:date="2018-08-20T23:31:00Z"/>
        </w:rPr>
      </w:pPr>
    </w:p>
    <w:p>
      <w:pPr>
        <w:spacing w:after="40"/>
        <w:rPr>
          <w:del w:id="571" w:author="svcMRProcess" w:date="2018-08-20T23:31:00Z"/>
        </w:rPr>
      </w:pPr>
    </w:p>
    <w:p>
      <w:pPr>
        <w:spacing w:after="40"/>
        <w:rPr>
          <w:del w:id="572" w:author="svcMRProcess" w:date="2018-08-20T23:31:00Z"/>
        </w:rPr>
      </w:pPr>
    </w:p>
    <w:p>
      <w:pPr>
        <w:spacing w:after="40"/>
        <w:rPr>
          <w:del w:id="573" w:author="svcMRProcess" w:date="2018-08-20T23:31:00Z"/>
        </w:rPr>
      </w:pPr>
    </w:p>
    <w:p>
      <w:pPr>
        <w:spacing w:after="40"/>
        <w:rPr>
          <w:del w:id="574" w:author="svcMRProcess" w:date="2018-08-20T23:31:00Z"/>
        </w:rPr>
      </w:pPr>
    </w:p>
    <w:p>
      <w:pPr>
        <w:spacing w:after="40"/>
        <w:rPr>
          <w:del w:id="575" w:author="svcMRProcess" w:date="2018-08-20T23:31:00Z"/>
        </w:rPr>
      </w:pPr>
    </w:p>
    <w:p>
      <w:pPr>
        <w:spacing w:after="40"/>
        <w:rPr>
          <w:del w:id="576" w:author="svcMRProcess" w:date="2018-08-20T23:31:00Z"/>
        </w:rPr>
      </w:pPr>
    </w:p>
    <w:p>
      <w:pPr>
        <w:spacing w:after="40"/>
        <w:rPr>
          <w:del w:id="577" w:author="svcMRProcess" w:date="2018-08-20T23:31:00Z"/>
        </w:rPr>
      </w:pPr>
    </w:p>
    <w:p>
      <w:pPr>
        <w:spacing w:after="40"/>
        <w:rPr>
          <w:del w:id="578" w:author="svcMRProcess" w:date="2018-08-20T23:31:00Z"/>
        </w:rPr>
      </w:pPr>
    </w:p>
    <w:p>
      <w:pPr>
        <w:rPr>
          <w:ins w:id="579" w:author="svcMRProcess" w:date="2018-08-20T23:31:00Z"/>
        </w:rPr>
      </w:pPr>
    </w:p>
    <w:p>
      <w:pPr>
        <w:rPr>
          <w:ins w:id="580" w:author="svcMRProcess" w:date="2018-08-20T23:31:00Z"/>
        </w:r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spacing w:after="40"/>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81" w:name="Compilation"/>
    <w:bookmarkEnd w:id="58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2" w:name="Coversheet"/>
    <w:bookmarkEnd w:id="5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Bush Fires Act 1954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EA4D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8A12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C1A9B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3829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4257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CE06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3410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4F8B0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A0AE066"/>
    <w:lvl w:ilvl="0">
      <w:start w:val="1"/>
      <w:numFmt w:val="decimal"/>
      <w:pStyle w:val="ListNumber"/>
      <w:lvlText w:val="%1."/>
      <w:lvlJc w:val="left"/>
      <w:pPr>
        <w:tabs>
          <w:tab w:val="num" w:pos="360"/>
        </w:tabs>
        <w:ind w:left="360" w:hanging="360"/>
      </w:pPr>
    </w:lvl>
  </w:abstractNum>
  <w:abstractNum w:abstractNumId="9">
    <w:nsid w:val="FFFFFF89"/>
    <w:multiLevelType w:val="singleLevel"/>
    <w:tmpl w:val="BF9EBA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EE4212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5C2211F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25145623"/>
    <w:docVar w:name="WAFER_20140113093642" w:val="RemoveTocBookmarks,RemoveUnusedBookmarks,RemoveLanguageTags,UsedStyles,ResetPageSize,UpdateArrangement"/>
    <w:docVar w:name="WAFER_20140113093642_GUID" w:val="881c18dc-1b59-44e0-aaa8-6cbd9ada074e"/>
    <w:docVar w:name="WAFER_20140113094411" w:val="RemoveTocBookmarks,RunningHeaders"/>
    <w:docVar w:name="WAFER_20140113094411_GUID" w:val="166d8293-2e86-4eb1-99d4-513c0519f3a0"/>
    <w:docVar w:name="WAFER_20140306114024" w:val="RemoveTocBookmarks,RemoveUnusedBookmarks,RemoveLanguageTags,UsedStyles,ResetPageSize"/>
    <w:docVar w:name="WAFER_20140306114024_GUID" w:val="d69a30c8-e0b1-4fea-b596-871b6f641219"/>
    <w:docVar w:name="WAFER_20140306114806" w:val="RemoveTocBookmarks,RunningHeaders"/>
    <w:docVar w:name="WAFER_20140306114806_GUID" w:val="eb4c4aaa-9e5b-4ed8-9563-3cdf0207fbcd"/>
    <w:docVar w:name="WAFER_20150325145623" w:val="ResetPageSize,UpdateArrangement,UpdateNTable"/>
    <w:docVar w:name="WAFER_20150325145623_GUID" w:val="8c70edaf-11f4-499d-b203-bcc65953c6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CA304-1560-49AF-B61C-2987D9CD0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30186</Words>
  <Characters>135536</Characters>
  <Application>Microsoft Office Word</Application>
  <DocSecurity>0</DocSecurity>
  <Lines>3566</Lines>
  <Paragraphs>1534</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164188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09-b0-01 - 09-c0-02</dc:title>
  <dc:subject/>
  <dc:creator/>
  <cp:keywords/>
  <dc:description/>
  <cp:lastModifiedBy>svcMRProcess</cp:lastModifiedBy>
  <cp:revision>2</cp:revision>
  <cp:lastPrinted>2014-09-08T05:27:00Z</cp:lastPrinted>
  <dcterms:created xsi:type="dcterms:W3CDTF">2018-08-20T15:31:00Z</dcterms:created>
  <dcterms:modified xsi:type="dcterms:W3CDTF">2018-08-20T15:31:00Z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95</vt:i4>
  </property>
  <property fmtid="{D5CDD505-2E9C-101B-9397-08002B2CF9AE}" pid="6" name="ReprintNo">
    <vt:lpwstr>9</vt:lpwstr>
  </property>
  <property fmtid="{D5CDD505-2E9C-101B-9397-08002B2CF9AE}" pid="7" name="ReprintedAsAt">
    <vt:filetime>2013-10-10T16:00:00Z</vt:filetime>
  </property>
  <property fmtid="{D5CDD505-2E9C-101B-9397-08002B2CF9AE}" pid="8" name="FromSuffix">
    <vt:lpwstr>09-b0-01</vt:lpwstr>
  </property>
  <property fmtid="{D5CDD505-2E9C-101B-9397-08002B2CF9AE}" pid="9" name="FromAsAtDate">
    <vt:lpwstr>02 Jul 2014</vt:lpwstr>
  </property>
  <property fmtid="{D5CDD505-2E9C-101B-9397-08002B2CF9AE}" pid="10" name="ToSuffix">
    <vt:lpwstr>09-c0-02</vt:lpwstr>
  </property>
  <property fmtid="{D5CDD505-2E9C-101B-9397-08002B2CF9AE}" pid="11" name="ToAsAtDate">
    <vt:lpwstr>06 Sep 2014</vt:lpwstr>
  </property>
</Properties>
</file>