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Petroleum Products Pricing Act 1983 </w:t>
      </w:r>
    </w:p>
    <w:p>
      <w:pPr>
        <w:pStyle w:val="LongTitle"/>
        <w:rPr>
          <w:snapToGrid w:val="0"/>
        </w:rPr>
      </w:pPr>
      <w:r>
        <w:rPr>
          <w:snapToGrid w:val="0"/>
        </w:rPr>
        <w:t>A</w:t>
      </w:r>
      <w:bookmarkStart w:id="0" w:name="_GoBack"/>
      <w:bookmarkEnd w:id="0"/>
      <w:r>
        <w:rPr>
          <w:snapToGrid w:val="0"/>
        </w:rPr>
        <w:t xml:space="preserve">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1" w:name="_Toc401155399"/>
      <w:bookmarkStart w:id="2" w:name="_Toc401155628"/>
      <w:bookmarkStart w:id="3" w:name="_Toc37713381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01155629"/>
      <w:bookmarkStart w:id="5" w:name="_Toc377133811"/>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6" w:name="_Toc401155630"/>
      <w:bookmarkStart w:id="7" w:name="_Toc37713381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8" w:name="_Toc401155631"/>
      <w:bookmarkStart w:id="9" w:name="_Toc377133813"/>
      <w:r>
        <w:rPr>
          <w:rStyle w:val="CharSectno"/>
        </w:rPr>
        <w:t>3</w:t>
      </w:r>
      <w:r>
        <w:rPr>
          <w:snapToGrid w:val="0"/>
        </w:rPr>
        <w:t>.</w:t>
      </w:r>
      <w:r>
        <w:rPr>
          <w:snapToGrid w:val="0"/>
        </w:rPr>
        <w:tab/>
        <w:t>Definitions</w:t>
      </w:r>
      <w:bookmarkEnd w:id="8"/>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5;</w:t>
      </w:r>
    </w:p>
    <w:p>
      <w:pPr>
        <w:pStyle w:val="Defstart"/>
      </w:pPr>
      <w:r>
        <w:rPr>
          <w:b/>
        </w:rPr>
        <w:tab/>
      </w:r>
      <w:r>
        <w:rPr>
          <w:rStyle w:val="CharDefText"/>
        </w:rPr>
        <w:t>committee</w:t>
      </w:r>
      <w:r>
        <w:t xml:space="preserve"> means prices advisory committee established under section 8;</w:t>
      </w:r>
    </w:p>
    <w:p>
      <w:pPr>
        <w:pStyle w:val="Defstart"/>
        <w:rPr>
          <w:spacing w:val="-2"/>
        </w:rPr>
      </w:pPr>
      <w:r>
        <w:rPr>
          <w:b/>
          <w:spacing w:val="-2"/>
        </w:rPr>
        <w:tab/>
      </w:r>
      <w:r>
        <w:rPr>
          <w:rStyle w:val="CharDefText"/>
          <w:spacing w:val="-2"/>
        </w:rPr>
        <w:t>controlled petroleum product</w:t>
      </w:r>
      <w:r>
        <w:rPr>
          <w:spacing w:val="-2"/>
        </w:rPr>
        <w:t xml:space="preserve"> means petroleum product the price of which is for the time being regulated under an order;</w:t>
      </w:r>
    </w:p>
    <w:p>
      <w:pPr>
        <w:pStyle w:val="Defstart"/>
        <w:rPr>
          <w:spacing w:val="-2"/>
        </w:rPr>
      </w:pPr>
      <w:r>
        <w:rPr>
          <w:b/>
          <w:spacing w:val="-2"/>
        </w:rPr>
        <w:tab/>
      </w:r>
      <w:r>
        <w:rPr>
          <w:rStyle w:val="CharDefText"/>
          <w:spacing w:val="-2"/>
        </w:rPr>
        <w:t>controlled petroleum service</w:t>
      </w:r>
      <w:r>
        <w:rPr>
          <w:spacing w:val="-2"/>
        </w:rPr>
        <w:t xml:space="preserve"> means petroleum service the rate for which is for the time being regulated under an order;</w:t>
      </w:r>
    </w:p>
    <w:p>
      <w:pPr>
        <w:pStyle w:val="Defstart"/>
      </w:pPr>
      <w:r>
        <w:rPr>
          <w:b/>
        </w:rPr>
        <w:tab/>
      </w:r>
      <w:r>
        <w:rPr>
          <w:rStyle w:val="CharDefText"/>
        </w:rPr>
        <w:t>declared petroleum product</w:t>
      </w:r>
      <w:r>
        <w:t xml:space="preserve"> means petroleum product for the time being declared under section 10;</w:t>
      </w:r>
    </w:p>
    <w:p>
      <w:pPr>
        <w:pStyle w:val="Defstart"/>
      </w:pPr>
      <w:r>
        <w:rPr>
          <w:b/>
        </w:rPr>
        <w:tab/>
      </w:r>
      <w:r>
        <w:rPr>
          <w:rStyle w:val="CharDefText"/>
        </w:rPr>
        <w:t>declared petroleum service</w:t>
      </w:r>
      <w:r>
        <w:t xml:space="preserve"> means petroleum service for the time being declared under section 10;</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dispensing equipment</w:t>
      </w:r>
      <w:r>
        <w:t xml:space="preserve"> has the meaning given by section 3 of the </w:t>
      </w:r>
      <w:r>
        <w:rPr>
          <w:i/>
        </w:rPr>
        <w:t>Petroleum Retailers Rights and Liabilities Act 1982</w:t>
      </w:r>
      <w:r>
        <w:t>;</w:t>
      </w:r>
    </w:p>
    <w:p>
      <w:pPr>
        <w:pStyle w:val="Defstart"/>
      </w:pPr>
      <w:r>
        <w:rPr>
          <w:b/>
        </w:rPr>
        <w:tab/>
      </w:r>
      <w:r>
        <w:rPr>
          <w:rStyle w:val="CharDefText"/>
        </w:rPr>
        <w:t>documents</w:t>
      </w:r>
      <w:r>
        <w:t xml:space="preserve"> includes books, papers, forms and accounts and any other written records and any device by means of which information is recorded or stored;</w:t>
      </w:r>
    </w:p>
    <w:p>
      <w:pPr>
        <w:pStyle w:val="Defstart"/>
        <w:spacing w:before="65"/>
      </w:pPr>
      <w:r>
        <w:rPr>
          <w:b/>
        </w:rPr>
        <w:lastRenderedPageBreak/>
        <w:tab/>
      </w:r>
      <w:r>
        <w:rPr>
          <w:rStyle w:val="CharDefText"/>
        </w:rPr>
        <w:t>franchise agreement</w:t>
      </w:r>
      <w:r>
        <w:t xml:space="preserve"> has the meaning given by section 3 of the </w:t>
      </w:r>
      <w:r>
        <w:rPr>
          <w:i/>
        </w:rPr>
        <w:t>Petroleum Retail Marketing Franchise Act 1980</w:t>
      </w:r>
      <w:r>
        <w:rPr>
          <w:iCs/>
          <w:vertAlign w:val="superscript"/>
        </w:rPr>
        <w:t> 5</w:t>
      </w:r>
      <w:r>
        <w:t xml:space="preserve"> of the Commonwealth;</w:t>
      </w:r>
    </w:p>
    <w:p>
      <w:pPr>
        <w:pStyle w:val="Defstart"/>
        <w:spacing w:before="65"/>
      </w:pPr>
      <w:r>
        <w:rPr>
          <w:b/>
        </w:rPr>
        <w:tab/>
      </w:r>
      <w:r>
        <w:rPr>
          <w:rStyle w:val="CharDefText"/>
        </w:rPr>
        <w:t>landed cost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r>
      <w:r>
        <w:rPr>
          <w:rStyle w:val="CharDefText"/>
        </w:rPr>
        <w:t>LPG</w:t>
      </w:r>
      <w:r>
        <w:t xml:space="preserve"> means liquefied petroleum gas;</w:t>
      </w:r>
    </w:p>
    <w:p>
      <w:pPr>
        <w:pStyle w:val="Defstart"/>
        <w:spacing w:before="65"/>
      </w:pPr>
      <w:r>
        <w:rPr>
          <w:b/>
        </w:rPr>
        <w:tab/>
      </w:r>
      <w:r>
        <w:rPr>
          <w:rStyle w:val="CharDefText"/>
        </w:rPr>
        <w:t>motor fuel</w:t>
      </w:r>
      <w:r>
        <w:t xml:space="preserve"> means petrol, LPG, or diesel fuel intended for use in propelling motor vehicles;</w:t>
      </w:r>
    </w:p>
    <w:p>
      <w:pPr>
        <w:pStyle w:val="Defstart"/>
        <w:spacing w:before="65"/>
      </w:pPr>
      <w:r>
        <w:rPr>
          <w:b/>
        </w:rPr>
        <w:tab/>
      </w:r>
      <w:r>
        <w:rPr>
          <w:rStyle w:val="CharDefText"/>
        </w:rPr>
        <w:t>motor vehicle</w:t>
      </w:r>
      <w:r>
        <w:t xml:space="preserve"> has the meaning given by section 5 of the </w:t>
      </w:r>
      <w:r>
        <w:rPr>
          <w:i/>
        </w:rPr>
        <w:t>Road Traffic Act 1974</w:t>
      </w:r>
      <w:r>
        <w:t>;</w:t>
      </w:r>
    </w:p>
    <w:p>
      <w:pPr>
        <w:pStyle w:val="Defstart"/>
        <w:spacing w:before="65"/>
      </w:pPr>
      <w:r>
        <w:rPr>
          <w:b/>
        </w:rPr>
        <w:tab/>
      </w:r>
      <w:r>
        <w:rPr>
          <w:rStyle w:val="CharDefText"/>
        </w:rPr>
        <w:t>order</w:t>
      </w:r>
      <w:r>
        <w:t xml:space="preserve"> means order made under section 12;</w:t>
      </w:r>
    </w:p>
    <w:p>
      <w:pPr>
        <w:pStyle w:val="Defstart"/>
        <w:spacing w:before="65"/>
      </w:pPr>
      <w:r>
        <w:rPr>
          <w:b/>
        </w:rPr>
        <w:tab/>
      </w:r>
      <w:r>
        <w:rPr>
          <w:rStyle w:val="CharDefText"/>
        </w:rPr>
        <w:t>paragraph</w:t>
      </w:r>
      <w:r>
        <w:t xml:space="preserve"> means paragraph of the section or subsection in which the term appears;</w:t>
      </w:r>
    </w:p>
    <w:p>
      <w:pPr>
        <w:pStyle w:val="Defstart"/>
        <w:spacing w:before="65"/>
      </w:pPr>
      <w:r>
        <w:rPr>
          <w:b/>
        </w:rPr>
        <w:tab/>
      </w:r>
      <w:r>
        <w:rPr>
          <w:rStyle w:val="CharDefText"/>
        </w:rPr>
        <w:t>Part</w:t>
      </w:r>
      <w:r>
        <w:t xml:space="preserve"> means Part of this Act;</w:t>
      </w:r>
    </w:p>
    <w:p>
      <w:pPr>
        <w:pStyle w:val="Defstart"/>
        <w:spacing w:before="65"/>
      </w:pPr>
      <w:r>
        <w:tab/>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rStyle w:val="CharDefText"/>
        </w:rPr>
        <w:t>petroleum product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t>and it includes LPG (whether motor fuel or not, and whether or not the LPG is petroleum);</w:t>
      </w:r>
    </w:p>
    <w:p>
      <w:pPr>
        <w:pStyle w:val="Defstart"/>
      </w:pPr>
      <w:r>
        <w:rPr>
          <w:b/>
        </w:rPr>
        <w:tab/>
      </w:r>
      <w:r>
        <w:rPr>
          <w:rStyle w:val="CharDefText"/>
        </w:rPr>
        <w:t>petroleum service</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r>
      <w:r>
        <w:rPr>
          <w:rStyle w:val="CharDefText"/>
        </w:rPr>
        <w:t>price</w:t>
      </w:r>
      <w:r>
        <w:t xml:space="preserve">, in relation to any goods, or </w:t>
      </w:r>
      <w:r>
        <w:rPr>
          <w:rStyle w:val="CharDefText"/>
        </w:rPr>
        <w:t>rate</w:t>
      </w:r>
      <w:r>
        <w:t>,</w:t>
      </w:r>
      <w:r>
        <w:rPr>
          <w:b/>
        </w:rPr>
        <w:t xml:space="preserve"> </w:t>
      </w:r>
      <w:r>
        <w:t>in relation to any service, includes every valuable consideration, whether direct or indirect; and a reference to price includes a reference to rate;</w:t>
      </w:r>
    </w:p>
    <w:p>
      <w:pPr>
        <w:pStyle w:val="Defstart"/>
      </w:pPr>
      <w:r>
        <w:rPr>
          <w:b/>
        </w:rPr>
        <w:tab/>
      </w:r>
      <w:r>
        <w:rPr>
          <w:rStyle w:val="CharDefText"/>
        </w:rPr>
        <w:t>section</w:t>
      </w:r>
      <w:r>
        <w:t xml:space="preserve"> means section of this Act;</w:t>
      </w:r>
    </w:p>
    <w:p>
      <w:pPr>
        <w:pStyle w:val="Defstart"/>
      </w:pPr>
      <w:r>
        <w:rPr>
          <w:b/>
        </w:rPr>
        <w:tab/>
      </w:r>
      <w:r>
        <w:rPr>
          <w:rStyle w:val="CharDefText"/>
        </w:rPr>
        <w:t>services</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r>
      <w:r>
        <w:rPr>
          <w:rStyle w:val="CharDefText"/>
        </w:rPr>
        <w:t>subsection</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No. 28 of 2006 s. 114.] </w:t>
      </w:r>
    </w:p>
    <w:p>
      <w:pPr>
        <w:pStyle w:val="Heading5"/>
        <w:rPr>
          <w:snapToGrid w:val="0"/>
        </w:rPr>
      </w:pPr>
      <w:bookmarkStart w:id="10" w:name="_Toc401155632"/>
      <w:bookmarkStart w:id="11" w:name="_Toc377133814"/>
      <w:r>
        <w:rPr>
          <w:rStyle w:val="CharSectno"/>
        </w:rPr>
        <w:t>4</w:t>
      </w:r>
      <w:r>
        <w:rPr>
          <w:snapToGrid w:val="0"/>
        </w:rPr>
        <w:t>.</w:t>
      </w:r>
      <w:r>
        <w:rPr>
          <w:snapToGrid w:val="0"/>
        </w:rPr>
        <w:tab/>
        <w:t>Relationship to other Acts, etc.</w:t>
      </w:r>
      <w:bookmarkEnd w:id="10"/>
      <w:bookmarkEnd w:id="11"/>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12" w:name="_Toc401155404"/>
      <w:bookmarkStart w:id="13" w:name="_Toc401155633"/>
      <w:bookmarkStart w:id="14" w:name="_Toc377133815"/>
      <w:r>
        <w:rPr>
          <w:rStyle w:val="CharPartNo"/>
        </w:rPr>
        <w:t>Part II</w:t>
      </w:r>
      <w:r>
        <w:rPr>
          <w:rStyle w:val="CharDivNo"/>
        </w:rPr>
        <w:t> </w:t>
      </w:r>
      <w:r>
        <w:t>—</w:t>
      </w:r>
      <w:r>
        <w:rPr>
          <w:rStyle w:val="CharDivText"/>
        </w:rPr>
        <w:t> </w:t>
      </w:r>
      <w:r>
        <w:rPr>
          <w:rStyle w:val="CharPartText"/>
        </w:rPr>
        <w:t>Administration</w:t>
      </w:r>
      <w:bookmarkEnd w:id="12"/>
      <w:bookmarkEnd w:id="13"/>
      <w:bookmarkEnd w:id="14"/>
      <w:r>
        <w:rPr>
          <w:rStyle w:val="CharPartText"/>
        </w:rPr>
        <w:t xml:space="preserve"> </w:t>
      </w:r>
    </w:p>
    <w:p>
      <w:pPr>
        <w:pStyle w:val="Heading5"/>
      </w:pPr>
      <w:bookmarkStart w:id="15" w:name="_Toc401155634"/>
      <w:bookmarkStart w:id="16" w:name="_Toc377133816"/>
      <w:r>
        <w:rPr>
          <w:rStyle w:val="CharSectno"/>
        </w:rPr>
        <w:t>5</w:t>
      </w:r>
      <w:r>
        <w:t>.</w:t>
      </w:r>
      <w:r>
        <w:tab/>
        <w:t>Commissioner</w:t>
      </w:r>
      <w:bookmarkEnd w:id="15"/>
      <w:bookmarkEnd w:id="16"/>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 inserted by No. 28 of 2006 s. 115.]</w:t>
      </w:r>
    </w:p>
    <w:p>
      <w:pPr>
        <w:pStyle w:val="Heading5"/>
        <w:rPr>
          <w:snapToGrid w:val="0"/>
        </w:rPr>
      </w:pPr>
      <w:bookmarkStart w:id="17" w:name="_Toc401155635"/>
      <w:bookmarkStart w:id="18" w:name="_Toc377133817"/>
      <w:r>
        <w:rPr>
          <w:rStyle w:val="CharSectno"/>
        </w:rPr>
        <w:t>6</w:t>
      </w:r>
      <w:r>
        <w:rPr>
          <w:snapToGrid w:val="0"/>
        </w:rPr>
        <w:t>.</w:t>
      </w:r>
      <w:r>
        <w:rPr>
          <w:snapToGrid w:val="0"/>
        </w:rPr>
        <w:tab/>
        <w:t>Object and purposes</w:t>
      </w:r>
      <w:bookmarkEnd w:id="17"/>
      <w:bookmarkEnd w:id="18"/>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19" w:name="_Toc401155636"/>
      <w:bookmarkStart w:id="20" w:name="_Toc377133818"/>
      <w:r>
        <w:rPr>
          <w:rStyle w:val="CharSectno"/>
        </w:rPr>
        <w:t>7</w:t>
      </w:r>
      <w:r>
        <w:rPr>
          <w:snapToGrid w:val="0"/>
        </w:rPr>
        <w:t>.</w:t>
      </w:r>
      <w:r>
        <w:rPr>
          <w:snapToGrid w:val="0"/>
        </w:rPr>
        <w:tab/>
        <w:t>General administration, and the powers and duties of the Commissioner</w:t>
      </w:r>
      <w:bookmarkEnd w:id="19"/>
      <w:bookmarkEnd w:id="20"/>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 xml:space="preserve">[Section 7 amended by No. 72 of 1983 s. 8 and 15; No. 98 of 1985 s. 3; No. 73 of 2000 s. 5; No. 28 of 2006 s. 116.] </w:t>
      </w:r>
    </w:p>
    <w:p>
      <w:pPr>
        <w:pStyle w:val="Heading5"/>
        <w:spacing w:before="240"/>
        <w:rPr>
          <w:snapToGrid w:val="0"/>
        </w:rPr>
      </w:pPr>
      <w:bookmarkStart w:id="21" w:name="_Toc401155637"/>
      <w:bookmarkStart w:id="22" w:name="_Toc377133819"/>
      <w:r>
        <w:rPr>
          <w:rStyle w:val="CharSectno"/>
        </w:rPr>
        <w:t>8</w:t>
      </w:r>
      <w:r>
        <w:rPr>
          <w:snapToGrid w:val="0"/>
        </w:rPr>
        <w:t>.</w:t>
      </w:r>
      <w:r>
        <w:rPr>
          <w:snapToGrid w:val="0"/>
        </w:rPr>
        <w:tab/>
        <w:t>Prices advisory committees</w:t>
      </w:r>
      <w:bookmarkEnd w:id="21"/>
      <w:bookmarkEnd w:id="22"/>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consumer representative</w:t>
      </w:r>
      <w:r>
        <w:t xml:space="preserve"> means a person appointed to a committee to represent consumers of petroleum products or users of petroleum services;</w:t>
      </w:r>
    </w:p>
    <w:p>
      <w:pPr>
        <w:pStyle w:val="Defstart"/>
      </w:pPr>
      <w:r>
        <w:rPr>
          <w:b/>
        </w:rPr>
        <w:tab/>
      </w:r>
      <w:r>
        <w:rPr>
          <w:rStyle w:val="CharDefText"/>
        </w:rPr>
        <w:t>trade representative</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23" w:name="_Toc401155638"/>
      <w:bookmarkStart w:id="24" w:name="_Toc377133820"/>
      <w:r>
        <w:rPr>
          <w:rStyle w:val="CharSectno"/>
        </w:rPr>
        <w:t>9</w:t>
      </w:r>
      <w:r>
        <w:rPr>
          <w:snapToGrid w:val="0"/>
        </w:rPr>
        <w:t>.</w:t>
      </w:r>
      <w:r>
        <w:rPr>
          <w:snapToGrid w:val="0"/>
        </w:rPr>
        <w:tab/>
        <w:t>Terms of office of members of committees</w:t>
      </w:r>
      <w:bookmarkEnd w:id="23"/>
      <w:bookmarkEnd w:id="24"/>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dies or otherwise becomes permanently incapable of performing his duties as such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Footnotesection"/>
      </w:pPr>
      <w:r>
        <w:tab/>
        <w:t>[Section 9 amended by No. 18 of 2009 s. 66.]</w:t>
      </w:r>
    </w:p>
    <w:p>
      <w:pPr>
        <w:pStyle w:val="Heading2"/>
      </w:pPr>
      <w:bookmarkStart w:id="25" w:name="_Toc401155410"/>
      <w:bookmarkStart w:id="26" w:name="_Toc401155639"/>
      <w:bookmarkStart w:id="27" w:name="_Toc377133821"/>
      <w:r>
        <w:rPr>
          <w:rStyle w:val="CharPartNo"/>
        </w:rPr>
        <w:t>Part III</w:t>
      </w:r>
      <w:r>
        <w:t> — </w:t>
      </w:r>
      <w:r>
        <w:rPr>
          <w:rStyle w:val="CharPartText"/>
        </w:rPr>
        <w:t>Regulation of prices and rates</w:t>
      </w:r>
      <w:bookmarkEnd w:id="25"/>
      <w:bookmarkEnd w:id="26"/>
      <w:bookmarkEnd w:id="27"/>
      <w:r>
        <w:rPr>
          <w:rStyle w:val="CharPartText"/>
        </w:rPr>
        <w:t xml:space="preserve"> </w:t>
      </w:r>
    </w:p>
    <w:p>
      <w:pPr>
        <w:pStyle w:val="Heading3"/>
        <w:rPr>
          <w:snapToGrid w:val="0"/>
        </w:rPr>
      </w:pPr>
      <w:bookmarkStart w:id="28" w:name="_Toc401155411"/>
      <w:bookmarkStart w:id="29" w:name="_Toc401155640"/>
      <w:bookmarkStart w:id="30" w:name="_Toc377133822"/>
      <w:r>
        <w:rPr>
          <w:rStyle w:val="CharDivNo"/>
        </w:rPr>
        <w:t>Division 1</w:t>
      </w:r>
      <w:r>
        <w:rPr>
          <w:snapToGrid w:val="0"/>
        </w:rPr>
        <w:t> — </w:t>
      </w:r>
      <w:r>
        <w:rPr>
          <w:rStyle w:val="CharDivText"/>
        </w:rPr>
        <w:t>Declaration of goods and services</w:t>
      </w:r>
      <w:bookmarkEnd w:id="28"/>
      <w:bookmarkEnd w:id="29"/>
      <w:bookmarkEnd w:id="30"/>
      <w:r>
        <w:rPr>
          <w:rStyle w:val="CharDivText"/>
        </w:rPr>
        <w:t xml:space="preserve"> </w:t>
      </w:r>
    </w:p>
    <w:p>
      <w:pPr>
        <w:pStyle w:val="Heading5"/>
        <w:rPr>
          <w:snapToGrid w:val="0"/>
        </w:rPr>
      </w:pPr>
      <w:bookmarkStart w:id="31" w:name="_Toc401155641"/>
      <w:bookmarkStart w:id="32" w:name="_Toc377133823"/>
      <w:r>
        <w:rPr>
          <w:rStyle w:val="CharSectno"/>
        </w:rPr>
        <w:t>10</w:t>
      </w:r>
      <w:r>
        <w:rPr>
          <w:snapToGrid w:val="0"/>
        </w:rPr>
        <w:t>.</w:t>
      </w:r>
      <w:r>
        <w:rPr>
          <w:snapToGrid w:val="0"/>
        </w:rPr>
        <w:tab/>
        <w:t>Declaration of goods and services</w:t>
      </w:r>
      <w:bookmarkEnd w:id="31"/>
      <w:bookmarkEnd w:id="3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33" w:name="_Toc401155642"/>
      <w:bookmarkStart w:id="34" w:name="_Toc377133824"/>
      <w:r>
        <w:rPr>
          <w:rStyle w:val="CharSectno"/>
        </w:rPr>
        <w:t>11</w:t>
      </w:r>
      <w:r>
        <w:rPr>
          <w:snapToGrid w:val="0"/>
        </w:rPr>
        <w:t>.</w:t>
      </w:r>
      <w:r>
        <w:rPr>
          <w:snapToGrid w:val="0"/>
        </w:rPr>
        <w:tab/>
        <w:t>Procedure when increase in price or rate of declared goods or declared service proposed</w:t>
      </w:r>
      <w:bookmarkEnd w:id="33"/>
      <w:bookmarkEnd w:id="34"/>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r>
      <w:r>
        <w:rPr>
          <w:rStyle w:val="CharDefText"/>
        </w:rPr>
        <w:t>working day</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35" w:name="_Toc401155414"/>
      <w:bookmarkStart w:id="36" w:name="_Toc401155643"/>
      <w:bookmarkStart w:id="37" w:name="_Toc377133825"/>
      <w:r>
        <w:rPr>
          <w:rStyle w:val="CharDivNo"/>
        </w:rPr>
        <w:t>Division 2</w:t>
      </w:r>
      <w:r>
        <w:rPr>
          <w:snapToGrid w:val="0"/>
        </w:rPr>
        <w:t> — </w:t>
      </w:r>
      <w:r>
        <w:rPr>
          <w:rStyle w:val="CharDivText"/>
        </w:rPr>
        <w:t>Determination of maximum prices and rates for goods and services</w:t>
      </w:r>
      <w:bookmarkEnd w:id="35"/>
      <w:bookmarkEnd w:id="36"/>
      <w:bookmarkEnd w:id="37"/>
    </w:p>
    <w:p>
      <w:pPr>
        <w:pStyle w:val="Heading5"/>
        <w:rPr>
          <w:snapToGrid w:val="0"/>
        </w:rPr>
      </w:pPr>
      <w:bookmarkStart w:id="38" w:name="_Toc401155644"/>
      <w:bookmarkStart w:id="39" w:name="_Toc377133826"/>
      <w:r>
        <w:rPr>
          <w:rStyle w:val="CharSectno"/>
        </w:rPr>
        <w:t>12</w:t>
      </w:r>
      <w:r>
        <w:rPr>
          <w:snapToGrid w:val="0"/>
        </w:rPr>
        <w:t>.</w:t>
      </w:r>
      <w:r>
        <w:rPr>
          <w:snapToGrid w:val="0"/>
        </w:rPr>
        <w:tab/>
        <w:t>Determination of maximum prices and rates</w:t>
      </w:r>
      <w:bookmarkEnd w:id="38"/>
      <w:bookmarkEnd w:id="39"/>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rStyle w:val="CharDefText"/>
        </w:rPr>
        <w:t>the new impost</w:t>
      </w:r>
      <w:r>
        <w:rPr>
          <w:snapToGrid w:val="0"/>
        </w:rPr>
        <w:t xml:space="preserve">) on or in relation to or by reference to that declared petroleum product or an increase in the rate of a fee, levy, duty, tax or other impost (in this subsection called </w:t>
      </w:r>
      <w:r>
        <w:rPr>
          <w:rStyle w:val="CharDefText"/>
        </w:rPr>
        <w:t>the impost rate</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40" w:name="_Toc401155645"/>
      <w:bookmarkStart w:id="41" w:name="_Toc377133827"/>
      <w:r>
        <w:rPr>
          <w:rStyle w:val="CharSectno"/>
        </w:rPr>
        <w:t>13</w:t>
      </w:r>
      <w:r>
        <w:rPr>
          <w:snapToGrid w:val="0"/>
        </w:rPr>
        <w:t>.</w:t>
      </w:r>
      <w:r>
        <w:rPr>
          <w:snapToGrid w:val="0"/>
        </w:rPr>
        <w:tab/>
        <w:t>Power of Minister to suspend order</w:t>
      </w:r>
      <w:bookmarkEnd w:id="40"/>
      <w:bookmarkEnd w:id="41"/>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42" w:name="_Toc401155417"/>
      <w:bookmarkStart w:id="43" w:name="_Toc401155646"/>
      <w:bookmarkStart w:id="44" w:name="_Toc377133828"/>
      <w:r>
        <w:rPr>
          <w:rStyle w:val="CharDivNo"/>
        </w:rPr>
        <w:t>Division 3</w:t>
      </w:r>
      <w:r>
        <w:rPr>
          <w:snapToGrid w:val="0"/>
        </w:rPr>
        <w:t> — </w:t>
      </w:r>
      <w:r>
        <w:rPr>
          <w:rStyle w:val="CharDivText"/>
        </w:rPr>
        <w:t>Enforcement of maximum prices and rates</w:t>
      </w:r>
      <w:bookmarkEnd w:id="42"/>
      <w:bookmarkEnd w:id="43"/>
      <w:bookmarkEnd w:id="44"/>
      <w:r>
        <w:rPr>
          <w:rStyle w:val="CharDivText"/>
        </w:rPr>
        <w:t xml:space="preserve"> </w:t>
      </w:r>
    </w:p>
    <w:p>
      <w:pPr>
        <w:pStyle w:val="Heading5"/>
        <w:rPr>
          <w:snapToGrid w:val="0"/>
        </w:rPr>
      </w:pPr>
      <w:bookmarkStart w:id="45" w:name="_Toc401155647"/>
      <w:bookmarkStart w:id="46" w:name="_Toc377133829"/>
      <w:r>
        <w:rPr>
          <w:rStyle w:val="CharSectno"/>
        </w:rPr>
        <w:t>14</w:t>
      </w:r>
      <w:r>
        <w:rPr>
          <w:snapToGrid w:val="0"/>
        </w:rPr>
        <w:t>.</w:t>
      </w:r>
      <w:r>
        <w:rPr>
          <w:snapToGrid w:val="0"/>
        </w:rPr>
        <w:tab/>
        <w:t>Offence to sell goods at price higher than maximum price or supply service at rate higher than maximum rate</w:t>
      </w:r>
      <w:bookmarkEnd w:id="45"/>
      <w:bookmarkEnd w:id="46"/>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by No. 72 of 1983 s. 15; No. 73 of 2000 s. 14(1); No. 11 of 2001 s. 21(1).] </w:t>
      </w:r>
    </w:p>
    <w:p>
      <w:pPr>
        <w:pStyle w:val="Heading5"/>
        <w:rPr>
          <w:snapToGrid w:val="0"/>
        </w:rPr>
      </w:pPr>
      <w:bookmarkStart w:id="47" w:name="_Toc401155648"/>
      <w:bookmarkStart w:id="48" w:name="_Toc377133830"/>
      <w:r>
        <w:rPr>
          <w:rStyle w:val="CharSectno"/>
        </w:rPr>
        <w:t>15</w:t>
      </w:r>
      <w:r>
        <w:rPr>
          <w:snapToGrid w:val="0"/>
        </w:rPr>
        <w:t>.</w:t>
      </w:r>
      <w:r>
        <w:rPr>
          <w:snapToGrid w:val="0"/>
        </w:rPr>
        <w:tab/>
        <w:t>Delivery of goods less in quantity than, or of inferior quality to, those sold</w:t>
      </w:r>
      <w:bookmarkEnd w:id="47"/>
      <w:bookmarkEnd w:id="48"/>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49" w:name="_Toc401155649"/>
      <w:bookmarkStart w:id="50" w:name="_Toc377133831"/>
      <w:r>
        <w:rPr>
          <w:rStyle w:val="CharSectno"/>
        </w:rPr>
        <w:t>16</w:t>
      </w:r>
      <w:r>
        <w:rPr>
          <w:snapToGrid w:val="0"/>
        </w:rPr>
        <w:t>.</w:t>
      </w:r>
      <w:r>
        <w:rPr>
          <w:snapToGrid w:val="0"/>
        </w:rPr>
        <w:tab/>
        <w:t>Alterations in mode of packing or recipe or formula</w:t>
      </w:r>
      <w:bookmarkEnd w:id="49"/>
      <w:bookmarkEnd w:id="50"/>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date of fixation</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by No. 72 of 1983 s. 12 and 15; No. 73 of 2000 s. 14(1); No. 11 of 2001 s. 21(1); No. 84 of 2004 s. 82.] </w:t>
      </w:r>
    </w:p>
    <w:p>
      <w:pPr>
        <w:pStyle w:val="Heading5"/>
        <w:rPr>
          <w:snapToGrid w:val="0"/>
        </w:rPr>
      </w:pPr>
      <w:bookmarkStart w:id="51" w:name="_Toc401155650"/>
      <w:bookmarkStart w:id="52" w:name="_Toc377133832"/>
      <w:r>
        <w:rPr>
          <w:rStyle w:val="CharSectno"/>
        </w:rPr>
        <w:t>17</w:t>
      </w:r>
      <w:r>
        <w:rPr>
          <w:snapToGrid w:val="0"/>
        </w:rPr>
        <w:t>.</w:t>
      </w:r>
      <w:r>
        <w:rPr>
          <w:snapToGrid w:val="0"/>
        </w:rPr>
        <w:tab/>
        <w:t>Price or rate of controlled goods or service to be specified separately</w:t>
      </w:r>
      <w:bookmarkEnd w:id="51"/>
      <w:bookmarkEnd w:id="5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53" w:name="_Toc401155651"/>
      <w:bookmarkStart w:id="54" w:name="_Toc377133833"/>
      <w:r>
        <w:rPr>
          <w:rStyle w:val="CharSectno"/>
        </w:rPr>
        <w:t>18</w:t>
      </w:r>
      <w:r>
        <w:rPr>
          <w:snapToGrid w:val="0"/>
        </w:rPr>
        <w:t>.</w:t>
      </w:r>
      <w:r>
        <w:rPr>
          <w:snapToGrid w:val="0"/>
        </w:rPr>
        <w:tab/>
        <w:t>Power of Commissioner to prohibit certain transactions</w:t>
      </w:r>
      <w:bookmarkEnd w:id="53"/>
      <w:bookmarkEnd w:id="54"/>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rStyle w:val="CharDefText"/>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by No. 72 of 1983 s. 15; No. 73 of 2000 s. 14(1); No. 11 of 2001 s. 21(1).]</w:t>
      </w:r>
    </w:p>
    <w:p>
      <w:pPr>
        <w:pStyle w:val="Heading5"/>
        <w:rPr>
          <w:snapToGrid w:val="0"/>
        </w:rPr>
      </w:pPr>
      <w:bookmarkStart w:id="55" w:name="_Toc401155652"/>
      <w:bookmarkStart w:id="56" w:name="_Toc377133834"/>
      <w:r>
        <w:rPr>
          <w:rStyle w:val="CharSectno"/>
        </w:rPr>
        <w:t>19</w:t>
      </w:r>
      <w:r>
        <w:rPr>
          <w:snapToGrid w:val="0"/>
        </w:rPr>
        <w:t>.</w:t>
      </w:r>
      <w:r>
        <w:rPr>
          <w:snapToGrid w:val="0"/>
        </w:rPr>
        <w:tab/>
        <w:t>Refusal to sell goods at fixed price</w:t>
      </w:r>
      <w:bookmarkEnd w:id="55"/>
      <w:bookmarkEnd w:id="56"/>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57" w:name="_Toc401155653"/>
      <w:bookmarkStart w:id="58" w:name="_Toc377133835"/>
      <w:r>
        <w:rPr>
          <w:rStyle w:val="CharSectno"/>
        </w:rPr>
        <w:t>20</w:t>
      </w:r>
      <w:r>
        <w:rPr>
          <w:snapToGrid w:val="0"/>
        </w:rPr>
        <w:t>.</w:t>
      </w:r>
      <w:r>
        <w:rPr>
          <w:snapToGrid w:val="0"/>
        </w:rPr>
        <w:tab/>
        <w:t>Refusal to supply service at fixed rate</w:t>
      </w:r>
      <w:bookmarkEnd w:id="57"/>
      <w:bookmarkEnd w:id="58"/>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59" w:name="_Toc401155654"/>
      <w:bookmarkStart w:id="60" w:name="_Toc377133836"/>
      <w:r>
        <w:rPr>
          <w:rStyle w:val="CharSectno"/>
        </w:rPr>
        <w:t>21</w:t>
      </w:r>
      <w:r>
        <w:rPr>
          <w:snapToGrid w:val="0"/>
        </w:rPr>
        <w:t>.</w:t>
      </w:r>
      <w:r>
        <w:rPr>
          <w:snapToGrid w:val="0"/>
        </w:rPr>
        <w:tab/>
        <w:t>Refusal to sell or supply unless other goods or services are also purchased</w:t>
      </w:r>
      <w:bookmarkEnd w:id="59"/>
      <w:bookmarkEnd w:id="6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61" w:name="_Toc401155655"/>
      <w:bookmarkStart w:id="62" w:name="_Toc377133837"/>
      <w:r>
        <w:rPr>
          <w:rStyle w:val="CharSectno"/>
        </w:rPr>
        <w:t>22</w:t>
      </w:r>
      <w:r>
        <w:rPr>
          <w:snapToGrid w:val="0"/>
        </w:rPr>
        <w:t>.</w:t>
      </w:r>
      <w:r>
        <w:rPr>
          <w:snapToGrid w:val="0"/>
        </w:rPr>
        <w:tab/>
        <w:t>“</w:t>
      </w:r>
      <w:r>
        <w:t>Offer</w:t>
      </w:r>
      <w:r>
        <w:rPr>
          <w:snapToGrid w:val="0"/>
        </w:rPr>
        <w:t>” includes notification of price or rate</w:t>
      </w:r>
      <w:bookmarkEnd w:id="61"/>
      <w:bookmarkEnd w:id="62"/>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63" w:name="_Toc401155427"/>
      <w:bookmarkStart w:id="64" w:name="_Toc401155656"/>
      <w:bookmarkStart w:id="65" w:name="_Toc377133838"/>
      <w:r>
        <w:rPr>
          <w:rStyle w:val="CharPartNo"/>
        </w:rPr>
        <w:t>Part IIIA</w:t>
      </w:r>
      <w:r>
        <w:t> — </w:t>
      </w:r>
      <w:r>
        <w:rPr>
          <w:rStyle w:val="CharPartText"/>
        </w:rPr>
        <w:t>Special provisions about motor fuel</w:t>
      </w:r>
      <w:bookmarkEnd w:id="63"/>
      <w:bookmarkEnd w:id="64"/>
      <w:bookmarkEnd w:id="65"/>
      <w:r>
        <w:rPr>
          <w:rStyle w:val="CharPartText"/>
        </w:rPr>
        <w:t> </w:t>
      </w:r>
    </w:p>
    <w:p>
      <w:pPr>
        <w:pStyle w:val="Footnoteheading"/>
        <w:ind w:left="890"/>
      </w:pPr>
      <w:r>
        <w:tab/>
        <w:t>[Heading inserted by No. 73 of 2000 s. 8.]</w:t>
      </w:r>
    </w:p>
    <w:p>
      <w:pPr>
        <w:pStyle w:val="Heading3"/>
      </w:pPr>
      <w:bookmarkStart w:id="66" w:name="_Toc401155428"/>
      <w:bookmarkStart w:id="67" w:name="_Toc401155657"/>
      <w:bookmarkStart w:id="68" w:name="_Toc377133839"/>
      <w:r>
        <w:rPr>
          <w:rStyle w:val="CharDivNo"/>
        </w:rPr>
        <w:t>Division 1</w:t>
      </w:r>
      <w:r>
        <w:t> — </w:t>
      </w:r>
      <w:r>
        <w:rPr>
          <w:rStyle w:val="CharDivText"/>
        </w:rPr>
        <w:t>Before retail sale</w:t>
      </w:r>
      <w:bookmarkEnd w:id="66"/>
      <w:bookmarkEnd w:id="67"/>
      <w:bookmarkEnd w:id="68"/>
      <w:r>
        <w:rPr>
          <w:rStyle w:val="CharDivText"/>
        </w:rPr>
        <w:t> </w:t>
      </w:r>
    </w:p>
    <w:p>
      <w:pPr>
        <w:pStyle w:val="Footnoteheading"/>
        <w:ind w:left="890"/>
      </w:pPr>
      <w:r>
        <w:tab/>
        <w:t>[Heading inserted by No. 73 of 2000 s. 8.]</w:t>
      </w:r>
    </w:p>
    <w:p>
      <w:pPr>
        <w:pStyle w:val="Heading5"/>
      </w:pPr>
      <w:bookmarkStart w:id="69" w:name="_Toc401155658"/>
      <w:bookmarkStart w:id="70" w:name="_Toc377133840"/>
      <w:r>
        <w:rPr>
          <w:rStyle w:val="CharSectno"/>
        </w:rPr>
        <w:t>22A</w:t>
      </w:r>
      <w:r>
        <w:t>.</w:t>
      </w:r>
      <w:r>
        <w:tab/>
        <w:t>Definitions</w:t>
      </w:r>
      <w:bookmarkEnd w:id="69"/>
      <w:bookmarkEnd w:id="70"/>
    </w:p>
    <w:p>
      <w:pPr>
        <w:pStyle w:val="Subsection"/>
      </w:pPr>
      <w:r>
        <w:tab/>
        <w:t>(1)</w:t>
      </w:r>
      <w:r>
        <w:tab/>
        <w:t xml:space="preserve">In this Division — </w:t>
      </w:r>
    </w:p>
    <w:p>
      <w:pPr>
        <w:pStyle w:val="Defstart"/>
      </w:pPr>
      <w:r>
        <w:tab/>
      </w:r>
      <w:r>
        <w:rPr>
          <w:rStyle w:val="CharDefText"/>
        </w:rPr>
        <w:t>declared terminal</w:t>
      </w:r>
      <w:r>
        <w:t xml:space="preserve"> means a terminal designated under subsection (2) as a declared terminal for the purposes of this Division;</w:t>
      </w:r>
    </w:p>
    <w:p>
      <w:pPr>
        <w:pStyle w:val="Defstart"/>
      </w:pPr>
      <w:r>
        <w:tab/>
      </w:r>
      <w:r>
        <w:rPr>
          <w:rStyle w:val="CharDefText"/>
        </w:rPr>
        <w:t>displayed price</w:t>
      </w:r>
      <w:r>
        <w:t xml:space="preserve"> means the price displayed under section 22B;</w:t>
      </w:r>
    </w:p>
    <w:p>
      <w:pPr>
        <w:pStyle w:val="Defstart"/>
      </w:pPr>
      <w:r>
        <w:tab/>
      </w:r>
      <w:r>
        <w:rPr>
          <w:rStyle w:val="CharDefText"/>
        </w:rPr>
        <w:t>kind of motor fuel</w:t>
      </w:r>
      <w:r>
        <w:t xml:space="preserve"> refers to the type of motor fuel and, if there are different grades of a particular type of motor fuel, each grade is a different kind of motor fuel;</w:t>
      </w:r>
    </w:p>
    <w:p>
      <w:pPr>
        <w:pStyle w:val="Defstart"/>
      </w:pPr>
      <w:r>
        <w:tab/>
      </w:r>
      <w:r>
        <w:rPr>
          <w:rStyle w:val="CharDefText"/>
        </w:rPr>
        <w:t>offer</w:t>
      </w:r>
      <w:r>
        <w:t xml:space="preserve"> has, in addition to its ordinary meaning, the meaning given by subsection (3);</w:t>
      </w:r>
    </w:p>
    <w:p>
      <w:pPr>
        <w:pStyle w:val="Defstart"/>
      </w:pPr>
      <w:r>
        <w:tab/>
      </w:r>
      <w:r>
        <w:rPr>
          <w:rStyle w:val="CharDefText"/>
        </w:rPr>
        <w:t>supplier</w:t>
      </w:r>
      <w:r>
        <w:t xml:space="preserve"> means a person who supplies motor fuel to a reseller;</w:t>
      </w:r>
    </w:p>
    <w:p>
      <w:pPr>
        <w:pStyle w:val="Defstart"/>
      </w:pPr>
      <w:r>
        <w:tab/>
      </w:r>
      <w:r>
        <w:rPr>
          <w:rStyle w:val="CharDefText"/>
        </w:rPr>
        <w:t>terminal</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71" w:name="_Toc401155659"/>
      <w:bookmarkStart w:id="72" w:name="_Toc377133841"/>
      <w:r>
        <w:rPr>
          <w:rStyle w:val="CharSectno"/>
        </w:rPr>
        <w:t>22B</w:t>
      </w:r>
      <w:r>
        <w:t>.</w:t>
      </w:r>
      <w:r>
        <w:tab/>
        <w:t>Price at terminal to be displayed and Commissioner to be notified of changes</w:t>
      </w:r>
      <w:bookmarkEnd w:id="71"/>
      <w:bookmarkEnd w:id="72"/>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73" w:name="_Toc401155660"/>
      <w:bookmarkStart w:id="74" w:name="_Toc377133842"/>
      <w:r>
        <w:rPr>
          <w:rStyle w:val="CharSectno"/>
        </w:rPr>
        <w:t>22C</w:t>
      </w:r>
      <w:r>
        <w:t>.</w:t>
      </w:r>
      <w:r>
        <w:tab/>
        <w:t>Previous month’s average price to be displayed</w:t>
      </w:r>
      <w:bookmarkEnd w:id="73"/>
      <w:bookmarkEnd w:id="74"/>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rPr>
          <w:b/>
        </w:rPr>
      </w:pPr>
      <w:r>
        <w:tab/>
      </w:r>
      <w:r>
        <w:rPr>
          <w:rStyle w:val="CharDefText"/>
        </w:rPr>
        <w:t>calendar month</w:t>
      </w:r>
      <w:r>
        <w:t xml:space="preserve"> means January, February, or any of the 10  other named months of the calendar year;</w:t>
      </w:r>
      <w:r>
        <w:rPr>
          <w:b/>
        </w:rPr>
        <w:t xml:space="preserve"> </w:t>
      </w:r>
    </w:p>
    <w:p>
      <w:pPr>
        <w:pStyle w:val="Defstart"/>
      </w:pPr>
      <w:r>
        <w:rPr>
          <w:b/>
        </w:rPr>
        <w:tab/>
      </w:r>
      <w:r>
        <w:rPr>
          <w:rStyle w:val="CharDefText"/>
        </w:rPr>
        <w:t>previous month</w:t>
      </w:r>
      <w:r>
        <w:t xml:space="preserve"> means, unless the regulations provide otherwise, the most recent calendar month that has been expired for at least 7 days.</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75" w:name="_Toc401155661"/>
      <w:bookmarkStart w:id="76" w:name="_Toc377133843"/>
      <w:r>
        <w:rPr>
          <w:rStyle w:val="CharSectno"/>
        </w:rPr>
        <w:t>22D</w:t>
      </w:r>
      <w:r>
        <w:t>.</w:t>
      </w:r>
      <w:r>
        <w:tab/>
        <w:t>Maximum price to be displayed</w:t>
      </w:r>
      <w:bookmarkEnd w:id="75"/>
      <w:bookmarkEnd w:id="76"/>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77" w:name="_Toc401155662"/>
      <w:bookmarkStart w:id="78" w:name="_Toc377133844"/>
      <w:r>
        <w:rPr>
          <w:rStyle w:val="CharSectno"/>
        </w:rPr>
        <w:t>22E</w:t>
      </w:r>
      <w:r>
        <w:t>.</w:t>
      </w:r>
      <w:r>
        <w:tab/>
        <w:t>Price to be compared to maximum price fixed</w:t>
      </w:r>
      <w:bookmarkEnd w:id="77"/>
      <w:bookmarkEnd w:id="78"/>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rStyle w:val="CharDefText"/>
        </w:rPr>
        <w:t>relevant supply</w:t>
      </w:r>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spacing w:before="180"/>
      </w:pPr>
      <w:bookmarkStart w:id="79" w:name="_Toc401155663"/>
      <w:bookmarkStart w:id="80" w:name="_Toc377133845"/>
      <w:r>
        <w:rPr>
          <w:rStyle w:val="CharSectno"/>
        </w:rPr>
        <w:t>22F</w:t>
      </w:r>
      <w:r>
        <w:t>.</w:t>
      </w:r>
      <w:r>
        <w:tab/>
        <w:t>Information that supplier is to provide</w:t>
      </w:r>
      <w:bookmarkEnd w:id="79"/>
      <w:bookmarkEnd w:id="80"/>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81" w:name="_Toc401155664"/>
      <w:bookmarkStart w:id="82" w:name="_Toc377133846"/>
      <w:r>
        <w:rPr>
          <w:rStyle w:val="CharSectno"/>
        </w:rPr>
        <w:t>22G</w:t>
      </w:r>
      <w:r>
        <w:t>.</w:t>
      </w:r>
      <w:r>
        <w:tab/>
        <w:t>Obligation to supply from declared terminal</w:t>
      </w:r>
      <w:bookmarkEnd w:id="81"/>
      <w:bookmarkEnd w:id="82"/>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rStyle w:val="CharDefText"/>
        </w:rPr>
        <w:t>the aggrieved person</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83" w:name="_Toc401155436"/>
      <w:bookmarkStart w:id="84" w:name="_Toc401155665"/>
      <w:bookmarkStart w:id="85" w:name="_Toc377133847"/>
      <w:r>
        <w:rPr>
          <w:rStyle w:val="CharDivNo"/>
        </w:rPr>
        <w:t>Division 2</w:t>
      </w:r>
      <w:r>
        <w:t xml:space="preserve"> — </w:t>
      </w:r>
      <w:r>
        <w:rPr>
          <w:rStyle w:val="CharDivText"/>
        </w:rPr>
        <w:t>Retail sale</w:t>
      </w:r>
      <w:bookmarkEnd w:id="83"/>
      <w:bookmarkEnd w:id="84"/>
      <w:bookmarkEnd w:id="85"/>
      <w:r>
        <w:t xml:space="preserve"> </w:t>
      </w:r>
    </w:p>
    <w:p>
      <w:pPr>
        <w:pStyle w:val="Footnoteheading"/>
        <w:ind w:left="890"/>
      </w:pPr>
      <w:r>
        <w:tab/>
        <w:t>[Heading inserted by No. 73 of 2000 s. 8.]</w:t>
      </w:r>
    </w:p>
    <w:p>
      <w:pPr>
        <w:pStyle w:val="Heading5"/>
      </w:pPr>
      <w:bookmarkStart w:id="86" w:name="_Toc401155666"/>
      <w:bookmarkStart w:id="87" w:name="_Toc377133848"/>
      <w:r>
        <w:rPr>
          <w:rStyle w:val="CharSectno"/>
        </w:rPr>
        <w:t>22H</w:t>
      </w:r>
      <w:r>
        <w:t>.</w:t>
      </w:r>
      <w:r>
        <w:tab/>
        <w:t>Definitions</w:t>
      </w:r>
      <w:bookmarkEnd w:id="86"/>
      <w:bookmarkEnd w:id="87"/>
    </w:p>
    <w:p>
      <w:pPr>
        <w:pStyle w:val="Subsection"/>
      </w:pPr>
      <w:r>
        <w:tab/>
      </w:r>
      <w:r>
        <w:tab/>
        <w:t xml:space="preserve">In this Division — </w:t>
      </w:r>
    </w:p>
    <w:p>
      <w:pPr>
        <w:pStyle w:val="Defstart"/>
      </w:pPr>
      <w:r>
        <w:tab/>
      </w:r>
      <w:r>
        <w:rPr>
          <w:rStyle w:val="CharDefText"/>
        </w:rPr>
        <w:t>kind of motor fuel</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rStyle w:val="CharDefText"/>
        </w:rPr>
        <w:t>standard retail price</w:t>
      </w:r>
      <w: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88" w:name="_Toc401155667"/>
      <w:bookmarkStart w:id="89" w:name="_Toc377133849"/>
      <w:r>
        <w:rPr>
          <w:rStyle w:val="CharSectno"/>
        </w:rPr>
        <w:t>22I</w:t>
      </w:r>
      <w:r>
        <w:t>.</w:t>
      </w:r>
      <w:r>
        <w:tab/>
        <w:t>Regulations to require retailers to display prices</w:t>
      </w:r>
      <w:bookmarkEnd w:id="88"/>
      <w:bookmarkEnd w:id="89"/>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90" w:name="_Toc401155668"/>
      <w:bookmarkStart w:id="91" w:name="_Toc377133850"/>
      <w:r>
        <w:rPr>
          <w:rStyle w:val="CharSectno"/>
        </w:rPr>
        <w:t>22J</w:t>
      </w:r>
      <w:r>
        <w:t>.</w:t>
      </w:r>
      <w:r>
        <w:tab/>
        <w:t>Regulations requiring notification of, and restricting change of, price</w:t>
      </w:r>
      <w:bookmarkEnd w:id="90"/>
      <w:bookmarkEnd w:id="91"/>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92" w:name="_Toc401155440"/>
      <w:bookmarkStart w:id="93" w:name="_Toc401155669"/>
      <w:bookmarkStart w:id="94" w:name="_Toc377133851"/>
      <w:r>
        <w:rPr>
          <w:rStyle w:val="CharPartNo"/>
        </w:rPr>
        <w:t>Part IV</w:t>
      </w:r>
      <w:r>
        <w:rPr>
          <w:rStyle w:val="CharDivNo"/>
        </w:rPr>
        <w:t> </w:t>
      </w:r>
      <w:r>
        <w:t>—</w:t>
      </w:r>
      <w:r>
        <w:rPr>
          <w:rStyle w:val="CharDivText"/>
        </w:rPr>
        <w:t> </w:t>
      </w:r>
      <w:r>
        <w:rPr>
          <w:rStyle w:val="CharPartText"/>
        </w:rPr>
        <w:t>Obtaining information</w:t>
      </w:r>
      <w:bookmarkEnd w:id="92"/>
      <w:bookmarkEnd w:id="93"/>
      <w:bookmarkEnd w:id="94"/>
      <w:r>
        <w:rPr>
          <w:rStyle w:val="CharPartText"/>
        </w:rPr>
        <w:t xml:space="preserve"> </w:t>
      </w:r>
    </w:p>
    <w:p>
      <w:pPr>
        <w:pStyle w:val="Heading5"/>
        <w:rPr>
          <w:snapToGrid w:val="0"/>
        </w:rPr>
      </w:pPr>
      <w:bookmarkStart w:id="95" w:name="_Toc401155670"/>
      <w:bookmarkStart w:id="96" w:name="_Toc377133852"/>
      <w:r>
        <w:rPr>
          <w:rStyle w:val="CharSectno"/>
        </w:rPr>
        <w:t>23</w:t>
      </w:r>
      <w:r>
        <w:rPr>
          <w:snapToGrid w:val="0"/>
        </w:rPr>
        <w:t>.</w:t>
      </w:r>
      <w:r>
        <w:rPr>
          <w:snapToGrid w:val="0"/>
        </w:rPr>
        <w:tab/>
        <w:t>Power of Commissioner to inquire, investigate, and obtain information</w:t>
      </w:r>
      <w:bookmarkEnd w:id="95"/>
      <w:bookmarkEnd w:id="96"/>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by No. 72 of 1983 s. 15; No. 59 of 2004 s. 141; No. 24 of 2005 s. 63; No. 28 of 2006 s. 117.] </w:t>
      </w:r>
    </w:p>
    <w:p>
      <w:pPr>
        <w:pStyle w:val="Heading5"/>
        <w:spacing w:before="240"/>
        <w:rPr>
          <w:snapToGrid w:val="0"/>
        </w:rPr>
      </w:pPr>
      <w:bookmarkStart w:id="97" w:name="_Toc401155671"/>
      <w:bookmarkStart w:id="98" w:name="_Toc377133853"/>
      <w:r>
        <w:rPr>
          <w:rStyle w:val="CharSectno"/>
        </w:rPr>
        <w:t>24</w:t>
      </w:r>
      <w:r>
        <w:rPr>
          <w:snapToGrid w:val="0"/>
        </w:rPr>
        <w:t>.</w:t>
      </w:r>
      <w:r>
        <w:rPr>
          <w:snapToGrid w:val="0"/>
        </w:rPr>
        <w:tab/>
        <w:t>Sufficient notice to be given to enable questions, etc. to be answered</w:t>
      </w:r>
      <w:bookmarkEnd w:id="97"/>
      <w:bookmarkEnd w:id="98"/>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by No. 28 of 2006 s. 118.]</w:t>
      </w:r>
    </w:p>
    <w:p>
      <w:pPr>
        <w:pStyle w:val="Heading5"/>
        <w:rPr>
          <w:snapToGrid w:val="0"/>
        </w:rPr>
      </w:pPr>
      <w:bookmarkStart w:id="99" w:name="_Toc401155672"/>
      <w:bookmarkStart w:id="100" w:name="_Toc377133854"/>
      <w:r>
        <w:rPr>
          <w:rStyle w:val="CharSectno"/>
        </w:rPr>
        <w:t>25</w:t>
      </w:r>
      <w:r>
        <w:rPr>
          <w:snapToGrid w:val="0"/>
        </w:rPr>
        <w:t>.</w:t>
      </w:r>
      <w:r>
        <w:rPr>
          <w:snapToGrid w:val="0"/>
        </w:rPr>
        <w:tab/>
        <w:t>Failure to supply information</w:t>
      </w:r>
      <w:bookmarkEnd w:id="99"/>
      <w:bookmarkEnd w:id="100"/>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101" w:name="_Toc401155673"/>
      <w:bookmarkStart w:id="102" w:name="_Toc377133855"/>
      <w:r>
        <w:rPr>
          <w:rStyle w:val="CharSectno"/>
        </w:rPr>
        <w:t>26</w:t>
      </w:r>
      <w:r>
        <w:rPr>
          <w:snapToGrid w:val="0"/>
        </w:rPr>
        <w:t>.</w:t>
      </w:r>
      <w:r>
        <w:rPr>
          <w:snapToGrid w:val="0"/>
        </w:rPr>
        <w:tab/>
        <w:t>Obstructing Commissioner</w:t>
      </w:r>
      <w:bookmarkEnd w:id="101"/>
      <w:bookmarkEnd w:id="102"/>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by No. 73 of 2000 s. 14(2); No. 11 of 2001 s. 21(2); No. 28 of 2006 s. 119.]</w:t>
      </w:r>
    </w:p>
    <w:p>
      <w:pPr>
        <w:pStyle w:val="Heading5"/>
        <w:rPr>
          <w:snapToGrid w:val="0"/>
        </w:rPr>
      </w:pPr>
      <w:bookmarkStart w:id="103" w:name="_Toc401155674"/>
      <w:bookmarkStart w:id="104" w:name="_Toc377133856"/>
      <w:r>
        <w:rPr>
          <w:rStyle w:val="CharSectno"/>
        </w:rPr>
        <w:t>27</w:t>
      </w:r>
      <w:r>
        <w:rPr>
          <w:snapToGrid w:val="0"/>
        </w:rPr>
        <w:t>.</w:t>
      </w:r>
      <w:r>
        <w:rPr>
          <w:snapToGrid w:val="0"/>
        </w:rPr>
        <w:tab/>
        <w:t>Power of Commissioner to require returns</w:t>
      </w:r>
      <w:bookmarkEnd w:id="103"/>
      <w:bookmarkEnd w:id="104"/>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105" w:name="_Toc401155675"/>
      <w:bookmarkStart w:id="106" w:name="_Toc377133857"/>
      <w:r>
        <w:rPr>
          <w:rStyle w:val="CharSectno"/>
        </w:rPr>
        <w:t>27A</w:t>
      </w:r>
      <w:r>
        <w:t>.</w:t>
      </w:r>
      <w:r>
        <w:tab/>
        <w:t>Further powers of Commissioner to obtain information</w:t>
      </w:r>
      <w:bookmarkEnd w:id="105"/>
      <w:bookmarkEnd w:id="106"/>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 No. 28 of 2006 s. 120.]</w:t>
      </w:r>
    </w:p>
    <w:p>
      <w:pPr>
        <w:pStyle w:val="Heading5"/>
      </w:pPr>
      <w:bookmarkStart w:id="107" w:name="_Toc401155676"/>
      <w:bookmarkStart w:id="108" w:name="_Toc377133858"/>
      <w:r>
        <w:rPr>
          <w:rStyle w:val="CharSectno"/>
        </w:rPr>
        <w:t>27B</w:t>
      </w:r>
      <w:r>
        <w:t>.</w:t>
      </w:r>
      <w:r>
        <w:tab/>
        <w:t>Publication by Commissioner of information</w:t>
      </w:r>
      <w:bookmarkEnd w:id="107"/>
      <w:bookmarkEnd w:id="108"/>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by No. 73 of 2000 s. 10; amended by No. 28 of 2006 s. 121.]</w:t>
      </w:r>
    </w:p>
    <w:p>
      <w:pPr>
        <w:pStyle w:val="Heading5"/>
        <w:rPr>
          <w:snapToGrid w:val="0"/>
        </w:rPr>
      </w:pPr>
      <w:bookmarkStart w:id="109" w:name="_Toc401155677"/>
      <w:bookmarkStart w:id="110" w:name="_Toc377133859"/>
      <w:r>
        <w:rPr>
          <w:rStyle w:val="CharSectno"/>
        </w:rPr>
        <w:t>28</w:t>
      </w:r>
      <w:r>
        <w:rPr>
          <w:snapToGrid w:val="0"/>
        </w:rPr>
        <w:t>.</w:t>
      </w:r>
      <w:r>
        <w:rPr>
          <w:snapToGrid w:val="0"/>
        </w:rPr>
        <w:tab/>
        <w:t>“</w:t>
      </w:r>
      <w:r>
        <w:t>Commissioner</w:t>
      </w:r>
      <w:r>
        <w:rPr>
          <w:snapToGrid w:val="0"/>
        </w:rPr>
        <w:t>” includes other officers</w:t>
      </w:r>
      <w:bookmarkEnd w:id="109"/>
      <w:bookmarkEnd w:id="110"/>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by No. 1 of 1985 s. 28; No. 57 of 1997 s. 93; No. 28 of 2006 s. 122.] </w:t>
      </w:r>
    </w:p>
    <w:p>
      <w:pPr>
        <w:pStyle w:val="Heading2"/>
      </w:pPr>
      <w:bookmarkStart w:id="111" w:name="_Toc401155449"/>
      <w:bookmarkStart w:id="112" w:name="_Toc401155678"/>
      <w:bookmarkStart w:id="113" w:name="_Toc377133860"/>
      <w:r>
        <w:rPr>
          <w:rStyle w:val="CharPartNo"/>
        </w:rPr>
        <w:t>Part V</w:t>
      </w:r>
      <w:r>
        <w:t> — </w:t>
      </w:r>
      <w:r>
        <w:rPr>
          <w:rStyle w:val="CharPartText"/>
        </w:rPr>
        <w:t>Offences and penalties</w:t>
      </w:r>
      <w:bookmarkEnd w:id="111"/>
      <w:bookmarkEnd w:id="112"/>
      <w:bookmarkEnd w:id="113"/>
      <w:r>
        <w:rPr>
          <w:rStyle w:val="CharPartText"/>
        </w:rPr>
        <w:t xml:space="preserve"> </w:t>
      </w:r>
    </w:p>
    <w:p>
      <w:pPr>
        <w:pStyle w:val="Heading3"/>
        <w:spacing w:before="200"/>
        <w:rPr>
          <w:b w:val="0"/>
        </w:rPr>
      </w:pPr>
      <w:bookmarkStart w:id="114" w:name="_Toc401155450"/>
      <w:bookmarkStart w:id="115" w:name="_Toc401155679"/>
      <w:bookmarkStart w:id="116" w:name="_Toc377133861"/>
      <w:r>
        <w:rPr>
          <w:rStyle w:val="CharDivNo"/>
        </w:rPr>
        <w:t>Division 1</w:t>
      </w:r>
      <w:r>
        <w:rPr>
          <w:b w:val="0"/>
        </w:rPr>
        <w:t> — </w:t>
      </w:r>
      <w:r>
        <w:rPr>
          <w:rStyle w:val="CharDivText"/>
        </w:rPr>
        <w:t>General provisions</w:t>
      </w:r>
      <w:bookmarkEnd w:id="114"/>
      <w:bookmarkEnd w:id="115"/>
      <w:bookmarkEnd w:id="116"/>
      <w:r>
        <w:rPr>
          <w:b w:val="0"/>
        </w:rPr>
        <w:t> </w:t>
      </w:r>
    </w:p>
    <w:p>
      <w:pPr>
        <w:pStyle w:val="Footnoteheading"/>
        <w:ind w:left="890"/>
      </w:pPr>
      <w:r>
        <w:tab/>
        <w:t>[Heading inserted by No. 73 of 2000 s. 11(1).]</w:t>
      </w:r>
    </w:p>
    <w:p>
      <w:pPr>
        <w:pStyle w:val="Heading5"/>
        <w:spacing w:before="180"/>
        <w:rPr>
          <w:snapToGrid w:val="0"/>
        </w:rPr>
      </w:pPr>
      <w:bookmarkStart w:id="117" w:name="_Toc401155680"/>
      <w:bookmarkStart w:id="118" w:name="_Toc377133862"/>
      <w:r>
        <w:rPr>
          <w:rStyle w:val="CharSectno"/>
        </w:rPr>
        <w:t>29</w:t>
      </w:r>
      <w:r>
        <w:rPr>
          <w:snapToGrid w:val="0"/>
        </w:rPr>
        <w:t>.</w:t>
      </w:r>
      <w:r>
        <w:rPr>
          <w:snapToGrid w:val="0"/>
        </w:rPr>
        <w:tab/>
        <w:t>Liability of officers etc., of body corporate</w:t>
      </w:r>
      <w:bookmarkEnd w:id="117"/>
      <w:bookmarkEnd w:id="118"/>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 by No. 28 of 2006 s. 123.]</w:t>
      </w:r>
    </w:p>
    <w:p>
      <w:pPr>
        <w:pStyle w:val="Heading5"/>
        <w:rPr>
          <w:snapToGrid w:val="0"/>
        </w:rPr>
      </w:pPr>
      <w:bookmarkStart w:id="119" w:name="_Toc401155681"/>
      <w:bookmarkStart w:id="120" w:name="_Toc377133863"/>
      <w:r>
        <w:rPr>
          <w:rStyle w:val="CharSectno"/>
        </w:rPr>
        <w:t>30</w:t>
      </w:r>
      <w:r>
        <w:rPr>
          <w:snapToGrid w:val="0"/>
        </w:rPr>
        <w:t>.</w:t>
      </w:r>
      <w:r>
        <w:rPr>
          <w:snapToGrid w:val="0"/>
        </w:rPr>
        <w:tab/>
        <w:t>Court may order refund of amount paid in excess of maximum price or rate</w:t>
      </w:r>
      <w:bookmarkEnd w:id="119"/>
      <w:bookmarkEnd w:id="120"/>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121" w:name="_Toc401155682"/>
      <w:bookmarkStart w:id="122" w:name="_Toc377133864"/>
      <w:r>
        <w:rPr>
          <w:rStyle w:val="CharSectno"/>
        </w:rPr>
        <w:t>31</w:t>
      </w:r>
      <w:r>
        <w:t>.</w:t>
      </w:r>
      <w:r>
        <w:tab/>
        <w:t>Limitation period for prosecutions</w:t>
      </w:r>
      <w:bookmarkEnd w:id="121"/>
      <w:bookmarkEnd w:id="122"/>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by No. 84 of 2004 s. 80; amended by No. 28 of 2006 s. 124.] </w:t>
      </w:r>
    </w:p>
    <w:p>
      <w:pPr>
        <w:pStyle w:val="Heading3"/>
      </w:pPr>
      <w:bookmarkStart w:id="123" w:name="_Toc401155454"/>
      <w:bookmarkStart w:id="124" w:name="_Toc401155683"/>
      <w:bookmarkStart w:id="125" w:name="_Toc377133865"/>
      <w:r>
        <w:rPr>
          <w:rStyle w:val="CharDivNo"/>
        </w:rPr>
        <w:t>Division 2</w:t>
      </w:r>
      <w:r>
        <w:t> — </w:t>
      </w:r>
      <w:r>
        <w:rPr>
          <w:rStyle w:val="CharDivText"/>
        </w:rPr>
        <w:t>Infringement notices</w:t>
      </w:r>
      <w:bookmarkEnd w:id="123"/>
      <w:bookmarkEnd w:id="124"/>
      <w:bookmarkEnd w:id="125"/>
      <w:r>
        <w:t> </w:t>
      </w:r>
    </w:p>
    <w:p>
      <w:pPr>
        <w:pStyle w:val="Footnoteheading"/>
        <w:ind w:left="890"/>
      </w:pPr>
      <w:r>
        <w:tab/>
        <w:t>[Heading inserted by No. 73 of 2000 s. 11(2).]</w:t>
      </w:r>
    </w:p>
    <w:p>
      <w:pPr>
        <w:pStyle w:val="Heading5"/>
      </w:pPr>
      <w:bookmarkStart w:id="126" w:name="_Toc401155684"/>
      <w:bookmarkStart w:id="127" w:name="_Toc377133866"/>
      <w:r>
        <w:rPr>
          <w:rStyle w:val="CharSectno"/>
        </w:rPr>
        <w:t>31A</w:t>
      </w:r>
      <w:r>
        <w:t>.</w:t>
      </w:r>
      <w:r>
        <w:tab/>
        <w:t>Infringement notices</w:t>
      </w:r>
      <w:bookmarkEnd w:id="126"/>
      <w:bookmarkEnd w:id="127"/>
    </w:p>
    <w:p>
      <w:pPr>
        <w:pStyle w:val="Subsection"/>
      </w:pPr>
      <w:r>
        <w:tab/>
      </w:r>
      <w:r>
        <w:tab/>
        <w:t>In this Division —</w:t>
      </w:r>
    </w:p>
    <w:p>
      <w:pPr>
        <w:pStyle w:val="Defstart"/>
      </w:pPr>
      <w:r>
        <w:tab/>
      </w:r>
      <w:r>
        <w:rPr>
          <w:rStyle w:val="CharDefText"/>
        </w:rPr>
        <w:t>authorised person</w:t>
      </w:r>
      <w:r>
        <w:t xml:space="preserve"> in section 31B, 31C, 31D or 31E means a person appointed under section 31H by the Commissioner to be an authorised person for the purposes of the section in which the term is used;</w:t>
      </w:r>
    </w:p>
    <w:p>
      <w:pPr>
        <w:pStyle w:val="Defstart"/>
      </w:pPr>
      <w:r>
        <w:tab/>
      </w:r>
      <w:r>
        <w:rPr>
          <w:rStyle w:val="CharDefText"/>
        </w:rPr>
        <w:t>prescribed</w:t>
      </w:r>
      <w:r>
        <w:t xml:space="preserve"> means prescribed by regulations.</w:t>
      </w:r>
    </w:p>
    <w:p>
      <w:pPr>
        <w:pStyle w:val="Footnotesection"/>
      </w:pPr>
      <w:r>
        <w:tab/>
        <w:t>[Section 31A inserted by No. 73 of 2000 s. 11(2).]</w:t>
      </w:r>
    </w:p>
    <w:p>
      <w:pPr>
        <w:pStyle w:val="Heading5"/>
      </w:pPr>
      <w:bookmarkStart w:id="128" w:name="_Toc401155685"/>
      <w:bookmarkStart w:id="129" w:name="_Toc377133867"/>
      <w:r>
        <w:rPr>
          <w:rStyle w:val="CharSectno"/>
        </w:rPr>
        <w:t>31B</w:t>
      </w:r>
      <w:r>
        <w:t>.</w:t>
      </w:r>
      <w:r>
        <w:tab/>
        <w:t>Giving of notice</w:t>
      </w:r>
      <w:bookmarkEnd w:id="128"/>
      <w:bookmarkEnd w:id="129"/>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(2)</w:t>
      </w:r>
      <w:r>
        <w:tab/>
        <w:t>An offence under section 15, 16, 19, or 20 cannot be prescribed under this section.</w:t>
      </w:r>
    </w:p>
    <w:p>
      <w:pPr>
        <w:pStyle w:val="Footnotesection"/>
      </w:pPr>
      <w:r>
        <w:tab/>
        <w:t>[Section 31B inserted by No. 73 of 2000 s. 11(2).]</w:t>
      </w:r>
    </w:p>
    <w:p>
      <w:pPr>
        <w:pStyle w:val="Heading5"/>
      </w:pPr>
      <w:bookmarkStart w:id="130" w:name="_Toc401155686"/>
      <w:bookmarkStart w:id="131" w:name="_Toc377133868"/>
      <w:r>
        <w:rPr>
          <w:rStyle w:val="CharSectno"/>
        </w:rPr>
        <w:t>31C</w:t>
      </w:r>
      <w:r>
        <w:t>.</w:t>
      </w:r>
      <w:r>
        <w:tab/>
        <w:t>Content of notice</w:t>
      </w:r>
      <w:bookmarkEnd w:id="130"/>
      <w:bookmarkEnd w:id="131"/>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132" w:name="_Toc401155687"/>
      <w:bookmarkStart w:id="133" w:name="_Toc377133869"/>
      <w:r>
        <w:rPr>
          <w:rStyle w:val="CharSectno"/>
        </w:rPr>
        <w:t>31D</w:t>
      </w:r>
      <w:r>
        <w:t>.</w:t>
      </w:r>
      <w:r>
        <w:tab/>
        <w:t>Extension of time</w:t>
      </w:r>
      <w:bookmarkEnd w:id="132"/>
      <w:bookmarkEnd w:id="133"/>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134" w:name="_Toc401155688"/>
      <w:bookmarkStart w:id="135" w:name="_Toc377133870"/>
      <w:r>
        <w:rPr>
          <w:rStyle w:val="CharSectno"/>
        </w:rPr>
        <w:t>31E</w:t>
      </w:r>
      <w:r>
        <w:t>.</w:t>
      </w:r>
      <w:r>
        <w:tab/>
        <w:t>Withdrawal of notice</w:t>
      </w:r>
      <w:bookmarkEnd w:id="134"/>
      <w:bookmarkEnd w:id="135"/>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31E inserted by No. 73 of 2000 s. 11(2).]</w:t>
      </w:r>
    </w:p>
    <w:p>
      <w:pPr>
        <w:pStyle w:val="Heading5"/>
      </w:pPr>
      <w:bookmarkStart w:id="136" w:name="_Toc401155689"/>
      <w:bookmarkStart w:id="137" w:name="_Toc377133871"/>
      <w:r>
        <w:rPr>
          <w:rStyle w:val="CharSectno"/>
        </w:rPr>
        <w:t>31F</w:t>
      </w:r>
      <w:r>
        <w:t>.</w:t>
      </w:r>
      <w:r>
        <w:tab/>
        <w:t>Benefit of paying modified penalty</w:t>
      </w:r>
      <w:bookmarkEnd w:id="136"/>
      <w:bookmarkEnd w:id="13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138" w:name="_Toc401155690"/>
      <w:bookmarkStart w:id="139" w:name="_Toc377133872"/>
      <w:r>
        <w:rPr>
          <w:rStyle w:val="CharSectno"/>
        </w:rPr>
        <w:t>31G</w:t>
      </w:r>
      <w:r>
        <w:t>.</w:t>
      </w:r>
      <w:r>
        <w:tab/>
        <w:t>Application of penalties collected</w:t>
      </w:r>
      <w:bookmarkEnd w:id="138"/>
      <w:bookmarkEnd w:id="139"/>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140" w:name="_Toc401155691"/>
      <w:bookmarkStart w:id="141" w:name="_Toc377133873"/>
      <w:r>
        <w:rPr>
          <w:rStyle w:val="CharSectno"/>
        </w:rPr>
        <w:t>31H</w:t>
      </w:r>
      <w:r>
        <w:t>.</w:t>
      </w:r>
      <w:r>
        <w:tab/>
        <w:t>Appointment of authorised persons</w:t>
      </w:r>
      <w:bookmarkEnd w:id="140"/>
      <w:bookmarkEnd w:id="141"/>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rStyle w:val="CharDefText"/>
        </w:rPr>
        <w:t>officer</w:t>
      </w:r>
      <w:r>
        <w:t xml:space="preserve"> means an officer of the Department.</w:t>
      </w:r>
    </w:p>
    <w:p>
      <w:pPr>
        <w:pStyle w:val="Footnotesection"/>
      </w:pPr>
      <w:r>
        <w:tab/>
        <w:t>[Section 31H inserted by No. 73 of 2000 s. 11(2); amended by No. 28 of 2006 s. 125.]</w:t>
      </w:r>
    </w:p>
    <w:p>
      <w:pPr>
        <w:pStyle w:val="Heading2"/>
      </w:pPr>
      <w:bookmarkStart w:id="142" w:name="_Toc401155463"/>
      <w:bookmarkStart w:id="143" w:name="_Toc401155692"/>
      <w:bookmarkStart w:id="144" w:name="_Toc377133874"/>
      <w:r>
        <w:rPr>
          <w:rStyle w:val="CharPartNo"/>
        </w:rPr>
        <w:t>Part VI</w:t>
      </w:r>
      <w:r>
        <w:rPr>
          <w:rStyle w:val="CharDivNo"/>
        </w:rPr>
        <w:t> </w:t>
      </w:r>
      <w:r>
        <w:t>—</w:t>
      </w:r>
      <w:r>
        <w:rPr>
          <w:rStyle w:val="CharDivText"/>
        </w:rPr>
        <w:t> </w:t>
      </w:r>
      <w:r>
        <w:rPr>
          <w:rStyle w:val="CharPartText"/>
        </w:rPr>
        <w:t>Miscellaneous</w:t>
      </w:r>
      <w:bookmarkEnd w:id="142"/>
      <w:bookmarkEnd w:id="143"/>
      <w:bookmarkEnd w:id="144"/>
      <w:r>
        <w:rPr>
          <w:rStyle w:val="CharPartText"/>
        </w:rPr>
        <w:t xml:space="preserve"> </w:t>
      </w:r>
    </w:p>
    <w:p>
      <w:pPr>
        <w:pStyle w:val="Heading5"/>
        <w:spacing w:before="240"/>
        <w:rPr>
          <w:snapToGrid w:val="0"/>
        </w:rPr>
      </w:pPr>
      <w:bookmarkStart w:id="145" w:name="_Toc401155693"/>
      <w:bookmarkStart w:id="146" w:name="_Toc377133875"/>
      <w:r>
        <w:rPr>
          <w:rStyle w:val="CharSectno"/>
        </w:rPr>
        <w:t>32</w:t>
      </w:r>
      <w:r>
        <w:rPr>
          <w:snapToGrid w:val="0"/>
        </w:rPr>
        <w:t>.</w:t>
      </w:r>
      <w:r>
        <w:rPr>
          <w:snapToGrid w:val="0"/>
        </w:rPr>
        <w:tab/>
        <w:t>Application of orders and notices</w:t>
      </w:r>
      <w:bookmarkEnd w:id="145"/>
      <w:bookmarkEnd w:id="146"/>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spacing w:before="240"/>
      </w:pPr>
      <w:bookmarkStart w:id="147" w:name="_Toc401155694"/>
      <w:bookmarkStart w:id="148" w:name="_Toc377133876"/>
      <w:r>
        <w:rPr>
          <w:rStyle w:val="CharSectno"/>
        </w:rPr>
        <w:t>32A</w:t>
      </w:r>
      <w:r>
        <w:t>.</w:t>
      </w:r>
      <w:r>
        <w:tab/>
        <w:t>Delegation by Commissioner</w:t>
      </w:r>
      <w:bookmarkEnd w:id="147"/>
      <w:bookmarkEnd w:id="148"/>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32A inserted by No. 28 of 2006 s. 126.]</w:t>
      </w:r>
    </w:p>
    <w:p>
      <w:pPr>
        <w:pStyle w:val="Heading5"/>
      </w:pPr>
      <w:bookmarkStart w:id="149" w:name="_Toc401155695"/>
      <w:bookmarkStart w:id="150" w:name="_Toc377133877"/>
      <w:r>
        <w:rPr>
          <w:rStyle w:val="CharSectno"/>
        </w:rPr>
        <w:t>32B</w:t>
      </w:r>
      <w:r>
        <w:t>.</w:t>
      </w:r>
      <w:r>
        <w:tab/>
        <w:t>Protection from liability for wrongdoing</w:t>
      </w:r>
      <w:bookmarkEnd w:id="149"/>
      <w:bookmarkEnd w:id="150"/>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r>
        <w:tab/>
        <w:t>[Section 32B inserted by No. 28 of 2006 s. 126.]</w:t>
      </w:r>
    </w:p>
    <w:p>
      <w:pPr>
        <w:pStyle w:val="Heading5"/>
        <w:rPr>
          <w:snapToGrid w:val="0"/>
        </w:rPr>
      </w:pPr>
      <w:bookmarkStart w:id="151" w:name="_Toc401155696"/>
      <w:bookmarkStart w:id="152" w:name="_Toc377133878"/>
      <w:r>
        <w:rPr>
          <w:rStyle w:val="CharSectno"/>
        </w:rPr>
        <w:t>32C</w:t>
      </w:r>
      <w:r>
        <w:rPr>
          <w:snapToGrid w:val="0"/>
        </w:rPr>
        <w:t>.</w:t>
      </w:r>
      <w:r>
        <w:rPr>
          <w:snapToGrid w:val="0"/>
        </w:rPr>
        <w:tab/>
      </w:r>
      <w:r>
        <w:t>Judicial</w:t>
      </w:r>
      <w:r>
        <w:rPr>
          <w:snapToGrid w:val="0"/>
        </w:rPr>
        <w:t xml:space="preserve"> notice</w:t>
      </w:r>
      <w:bookmarkEnd w:id="151"/>
      <w:bookmarkEnd w:id="15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by No. 28 of 2006 s. 126.]</w:t>
      </w:r>
    </w:p>
    <w:p>
      <w:pPr>
        <w:pStyle w:val="Heading5"/>
        <w:rPr>
          <w:snapToGrid w:val="0"/>
        </w:rPr>
      </w:pPr>
      <w:bookmarkStart w:id="153" w:name="_Toc401155697"/>
      <w:bookmarkStart w:id="154" w:name="_Toc377133879"/>
      <w:r>
        <w:rPr>
          <w:rStyle w:val="CharSectno"/>
        </w:rPr>
        <w:t>33</w:t>
      </w:r>
      <w:r>
        <w:rPr>
          <w:snapToGrid w:val="0"/>
        </w:rPr>
        <w:t>.</w:t>
      </w:r>
      <w:r>
        <w:rPr>
          <w:snapToGrid w:val="0"/>
        </w:rPr>
        <w:tab/>
        <w:t>Secrecy</w:t>
      </w:r>
      <w:bookmarkEnd w:id="153"/>
      <w:bookmarkEnd w:id="154"/>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 No. 28 of 2006 s. 127.]</w:t>
      </w:r>
    </w:p>
    <w:p>
      <w:pPr>
        <w:pStyle w:val="Heading5"/>
        <w:spacing w:before="240"/>
        <w:rPr>
          <w:snapToGrid w:val="0"/>
        </w:rPr>
      </w:pPr>
      <w:bookmarkStart w:id="155" w:name="_Toc401155698"/>
      <w:bookmarkStart w:id="156" w:name="_Toc377133880"/>
      <w:r>
        <w:rPr>
          <w:rStyle w:val="CharSectno"/>
        </w:rPr>
        <w:t>34</w:t>
      </w:r>
      <w:r>
        <w:rPr>
          <w:snapToGrid w:val="0"/>
        </w:rPr>
        <w:t>.</w:t>
      </w:r>
      <w:r>
        <w:rPr>
          <w:snapToGrid w:val="0"/>
        </w:rPr>
        <w:tab/>
        <w:t>Regulations</w:t>
      </w:r>
      <w:bookmarkEnd w:id="155"/>
      <w:bookmarkEnd w:id="156"/>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Deleted by No. 72 of 1983 s. 14.]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7" w:name="_Toc401155470"/>
      <w:bookmarkStart w:id="158" w:name="_Toc401155699"/>
      <w:bookmarkStart w:id="159" w:name="_Toc377133881"/>
      <w:r>
        <w:rPr>
          <w:rStyle w:val="CharSchNo"/>
        </w:rPr>
        <w:t>Schedule 1</w:t>
      </w:r>
      <w:r>
        <w:t xml:space="preserve"> — </w:t>
      </w:r>
      <w:r>
        <w:rPr>
          <w:rStyle w:val="CharSchText"/>
        </w:rPr>
        <w:t>Certain exclusions from definition of “petroleum product”</w:t>
      </w:r>
      <w:bookmarkEnd w:id="157"/>
      <w:bookmarkEnd w:id="158"/>
      <w:bookmarkEnd w:id="159"/>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smartTag w:uri="urn:schemas-microsoft-com:office:smarttags" w:element="place">
        <w:r>
          <w:t>Lake</w:t>
        </w:r>
      </w:smartTag>
      <w:r>
        <w:t xml:space="preserv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smartTag w:uri="urn:schemas-microsoft-com:office:smarttags" w:element="City">
        <w:smartTag w:uri="urn:schemas-microsoft-com:office:smarttags" w:element="place">
          <w:r>
            <w:t>Sulphur</w:t>
          </w:r>
        </w:smartTag>
      </w:smartTag>
      <w:r>
        <w:t xml:space="preserve"> compounds</w:t>
      </w:r>
    </w:p>
    <w:p>
      <w:pPr>
        <w:pStyle w:val="yMiscellaneousBody"/>
        <w:spacing w:before="0"/>
      </w:pPr>
      <w:smartTag w:uri="urn:schemas-microsoft-com:office:smarttags" w:element="City">
        <w:smartTag w:uri="urn:schemas-microsoft-com:office:smarttags" w:element="place">
          <w:r>
            <w:t>Sulphur</w:t>
          </w:r>
        </w:smartTag>
      </w:smartTag>
      <w:r>
        <w:t xml:space="preserve">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 by No. 73 of 2000 s. 12.]</w:t>
      </w:r>
    </w:p>
    <w:p>
      <w:pPr>
        <w:rPr>
          <w:rStyle w:val="CharDivText"/>
        </w:r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p>
    <w:p>
      <w:pPr>
        <w:pStyle w:val="nHeading2"/>
      </w:pPr>
      <w:bookmarkStart w:id="160" w:name="_Toc401155471"/>
      <w:bookmarkStart w:id="161" w:name="_Toc401155700"/>
      <w:bookmarkStart w:id="162" w:name="_Toc377133882"/>
      <w:r>
        <w:t>Notes</w:t>
      </w:r>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Act 1983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3" w:name="_Toc401155701"/>
      <w:bookmarkStart w:id="164" w:name="_Toc377133883"/>
      <w:r>
        <w:rPr>
          <w:snapToGrid w:val="0"/>
        </w:rPr>
        <w:t>Compilation table</w:t>
      </w:r>
      <w:bookmarkEnd w:id="163"/>
      <w:bookmarkEnd w:id="164"/>
    </w:p>
    <w:tbl>
      <w:tblPr>
        <w:tblW w:w="0" w:type="auto"/>
        <w:tblInd w:w="71" w:type="dxa"/>
        <w:tblLayout w:type="fixed"/>
        <w:tblCellMar>
          <w:left w:w="57" w:type="dxa"/>
          <w:right w:w="57" w:type="dxa"/>
        </w:tblCellMar>
        <w:tblLook w:val="0000" w:firstRow="0" w:lastRow="0" w:firstColumn="0" w:lastColumn="0" w:noHBand="0" w:noVBand="0"/>
      </w:tblPr>
      <w:tblGrid>
        <w:gridCol w:w="12"/>
        <w:gridCol w:w="2242"/>
        <w:gridCol w:w="26"/>
        <w:gridCol w:w="1108"/>
        <w:gridCol w:w="26"/>
        <w:gridCol w:w="1108"/>
        <w:gridCol w:w="26"/>
        <w:gridCol w:w="2551"/>
      </w:tblGrid>
      <w:tr>
        <w:trPr>
          <w:gridBefore w:val="1"/>
          <w:wBefore w:w="12"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2" w:type="dxa"/>
          <w:cantSplit/>
        </w:trPr>
        <w:tc>
          <w:tcPr>
            <w:tcW w:w="2268" w:type="dxa"/>
            <w:gridSpan w:val="2"/>
          </w:tcPr>
          <w:p>
            <w:pPr>
              <w:pStyle w:val="nTable"/>
              <w:spacing w:after="40"/>
              <w:ind w:right="113"/>
              <w:rPr>
                <w:sz w:val="19"/>
                <w:vertAlign w:val="superscript"/>
              </w:rPr>
            </w:pPr>
            <w:r>
              <w:rPr>
                <w:i/>
                <w:sz w:val="19"/>
              </w:rPr>
              <w:t>Prevention of Excessive Prices Act 1983</w:t>
            </w:r>
            <w:r>
              <w:rPr>
                <w:i/>
                <w:sz w:val="19"/>
                <w:vertAlign w:val="superscript"/>
              </w:rPr>
              <w:t> </w:t>
            </w:r>
            <w:r>
              <w:rPr>
                <w:sz w:val="19"/>
                <w:vertAlign w:val="superscript"/>
              </w:rPr>
              <w:t>2</w:t>
            </w:r>
          </w:p>
        </w:tc>
        <w:tc>
          <w:tcPr>
            <w:tcW w:w="1134" w:type="dxa"/>
            <w:gridSpan w:val="2"/>
          </w:tcPr>
          <w:p>
            <w:pPr>
              <w:pStyle w:val="nTable"/>
              <w:spacing w:after="40"/>
              <w:rPr>
                <w:sz w:val="19"/>
              </w:rPr>
            </w:pPr>
            <w:r>
              <w:rPr>
                <w:sz w:val="19"/>
              </w:rPr>
              <w:t>1 of 1983</w:t>
            </w:r>
          </w:p>
        </w:tc>
        <w:tc>
          <w:tcPr>
            <w:tcW w:w="1134" w:type="dxa"/>
            <w:gridSpan w:val="2"/>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gridBefore w:val="1"/>
          <w:wBefore w:w="12" w:type="dxa"/>
          <w:cantSplit/>
        </w:trPr>
        <w:tc>
          <w:tcPr>
            <w:tcW w:w="2268" w:type="dxa"/>
            <w:gridSpan w:val="2"/>
          </w:tcPr>
          <w:p>
            <w:pPr>
              <w:pStyle w:val="nTable"/>
              <w:spacing w:after="40"/>
              <w:ind w:right="113"/>
              <w:rPr>
                <w:sz w:val="19"/>
              </w:rPr>
            </w:pPr>
            <w:r>
              <w:rPr>
                <w:i/>
                <w:sz w:val="19"/>
              </w:rPr>
              <w:t xml:space="preserve">Acts Amendment (Prevention of Excessive Prices) Act (No. 2) 1983 </w:t>
            </w:r>
            <w:r>
              <w:rPr>
                <w:sz w:val="19"/>
              </w:rPr>
              <w:t>Pt. III</w:t>
            </w:r>
          </w:p>
        </w:tc>
        <w:tc>
          <w:tcPr>
            <w:tcW w:w="1134" w:type="dxa"/>
            <w:gridSpan w:val="2"/>
          </w:tcPr>
          <w:p>
            <w:pPr>
              <w:pStyle w:val="nTable"/>
              <w:spacing w:after="40"/>
              <w:rPr>
                <w:sz w:val="19"/>
              </w:rPr>
            </w:pPr>
            <w:r>
              <w:rPr>
                <w:sz w:val="19"/>
              </w:rPr>
              <w:t>72 of 1983</w:t>
            </w:r>
          </w:p>
        </w:tc>
        <w:tc>
          <w:tcPr>
            <w:tcW w:w="1134" w:type="dxa"/>
            <w:gridSpan w:val="2"/>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2(b))</w:t>
            </w:r>
          </w:p>
        </w:tc>
      </w:tr>
      <w:tr>
        <w:trPr>
          <w:gridBefore w:val="1"/>
          <w:wBefore w:w="12" w:type="dxa"/>
          <w:cantSplit/>
        </w:trPr>
        <w:tc>
          <w:tcPr>
            <w:tcW w:w="2268" w:type="dxa"/>
            <w:gridSpan w:val="2"/>
          </w:tcPr>
          <w:p>
            <w:pPr>
              <w:pStyle w:val="nTable"/>
              <w:spacing w:after="40"/>
              <w:ind w:right="113"/>
              <w:rPr>
                <w:sz w:val="19"/>
              </w:rPr>
            </w:pPr>
            <w:r>
              <w:rPr>
                <w:i/>
                <w:sz w:val="19"/>
              </w:rPr>
              <w:t xml:space="preserve">Acts Amendment (Consumer Affairs) Act 1985 </w:t>
            </w:r>
            <w:r>
              <w:rPr>
                <w:sz w:val="19"/>
              </w:rPr>
              <w:t>Pt. VI</w:t>
            </w:r>
          </w:p>
        </w:tc>
        <w:tc>
          <w:tcPr>
            <w:tcW w:w="1134" w:type="dxa"/>
            <w:gridSpan w:val="2"/>
          </w:tcPr>
          <w:p>
            <w:pPr>
              <w:pStyle w:val="nTable"/>
              <w:spacing w:after="40"/>
              <w:rPr>
                <w:sz w:val="19"/>
              </w:rPr>
            </w:pPr>
            <w:r>
              <w:rPr>
                <w:sz w:val="19"/>
              </w:rPr>
              <w:t>1 of 1985</w:t>
            </w:r>
          </w:p>
        </w:tc>
        <w:tc>
          <w:tcPr>
            <w:tcW w:w="1134" w:type="dxa"/>
            <w:gridSpan w:val="2"/>
          </w:tcPr>
          <w:p>
            <w:pPr>
              <w:pStyle w:val="nTable"/>
              <w:spacing w:after="40"/>
              <w:rPr>
                <w:sz w:val="19"/>
              </w:rPr>
            </w:pPr>
            <w:r>
              <w:rPr>
                <w:sz w:val="19"/>
              </w:rPr>
              <w:t>8 Mar 1985</w:t>
            </w:r>
          </w:p>
        </w:tc>
        <w:tc>
          <w:tcPr>
            <w:tcW w:w="2551" w:type="dxa"/>
          </w:tcPr>
          <w:p>
            <w:pPr>
              <w:pStyle w:val="nTable"/>
              <w:spacing w:after="40"/>
              <w:rPr>
                <w:sz w:val="19"/>
              </w:rPr>
            </w:pPr>
            <w:r>
              <w:rPr>
                <w:sz w:val="19"/>
              </w:rPr>
              <w:t>8 Mar 1985 (see s. 2(3))</w:t>
            </w:r>
          </w:p>
        </w:tc>
      </w:tr>
      <w:tr>
        <w:trPr>
          <w:gridBefore w:val="1"/>
          <w:wBefore w:w="12" w:type="dxa"/>
          <w:cantSplit/>
        </w:trPr>
        <w:tc>
          <w:tcPr>
            <w:tcW w:w="226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2"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2" w:type="dxa"/>
          <w:cantSplit/>
        </w:trPr>
        <w:tc>
          <w:tcPr>
            <w:tcW w:w="2268" w:type="dxa"/>
            <w:gridSpan w:val="2"/>
          </w:tcPr>
          <w:p>
            <w:pPr>
              <w:pStyle w:val="nTable"/>
              <w:spacing w:after="40"/>
              <w:ind w:right="113"/>
              <w:rPr>
                <w:sz w:val="19"/>
              </w:rPr>
            </w:pPr>
            <w:r>
              <w:rPr>
                <w:i/>
                <w:sz w:val="19"/>
              </w:rPr>
              <w:t xml:space="preserve">Industrial Relations Legislation Amendment and Repeal Act 1995 </w:t>
            </w:r>
            <w:r>
              <w:rPr>
                <w:sz w:val="19"/>
              </w:rPr>
              <w:t>s. 69(2)</w:t>
            </w:r>
          </w:p>
        </w:tc>
        <w:tc>
          <w:tcPr>
            <w:tcW w:w="1134" w:type="dxa"/>
            <w:gridSpan w:val="2"/>
          </w:tcPr>
          <w:p>
            <w:pPr>
              <w:pStyle w:val="nTable"/>
              <w:spacing w:after="40"/>
              <w:rPr>
                <w:sz w:val="19"/>
              </w:rPr>
            </w:pPr>
            <w:r>
              <w:rPr>
                <w:sz w:val="19"/>
              </w:rPr>
              <w:t>79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Before w:val="1"/>
          <w:wBefore w:w="12"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Before w:val="1"/>
          <w:wBefore w:w="12"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93</w:t>
            </w:r>
          </w:p>
        </w:tc>
        <w:tc>
          <w:tcPr>
            <w:tcW w:w="1134" w:type="dxa"/>
            <w:gridSpan w:val="2"/>
          </w:tcPr>
          <w:p>
            <w:pPr>
              <w:pStyle w:val="nTable"/>
              <w:keepNext/>
              <w:keepLines/>
              <w:spacing w:after="40"/>
              <w:rPr>
                <w:sz w:val="19"/>
              </w:rPr>
            </w:pPr>
            <w:r>
              <w:rPr>
                <w:sz w:val="19"/>
              </w:rPr>
              <w:t>57 of 1997</w:t>
            </w:r>
          </w:p>
        </w:tc>
        <w:tc>
          <w:tcPr>
            <w:tcW w:w="1134" w:type="dxa"/>
            <w:gridSpan w:val="2"/>
          </w:tcPr>
          <w:p>
            <w:pPr>
              <w:pStyle w:val="nTable"/>
              <w:keepNext/>
              <w:keepLines/>
              <w:spacing w:after="40"/>
              <w:rPr>
                <w:sz w:val="19"/>
              </w:rPr>
            </w:pPr>
            <w:r>
              <w:rPr>
                <w:sz w:val="19"/>
              </w:rPr>
              <w:t>15 Dec 1997</w:t>
            </w:r>
          </w:p>
        </w:tc>
        <w:tc>
          <w:tcPr>
            <w:tcW w:w="2551" w:type="dxa"/>
          </w:tcPr>
          <w:p>
            <w:pPr>
              <w:pStyle w:val="nTable"/>
              <w:keepNext/>
              <w:keepLines/>
              <w:spacing w:after="40"/>
              <w:rPr>
                <w:sz w:val="19"/>
              </w:rPr>
            </w:pPr>
            <w:r>
              <w:rPr>
                <w:sz w:val="19"/>
              </w:rPr>
              <w:t>15 Dec 1997 (see s. 2(1))</w:t>
            </w:r>
          </w:p>
        </w:tc>
      </w:tr>
      <w:tr>
        <w:trPr>
          <w:gridBefore w:val="1"/>
          <w:wBefore w:w="12" w:type="dxa"/>
          <w:cantSplit/>
        </w:trPr>
        <w:tc>
          <w:tcPr>
            <w:tcW w:w="2268" w:type="dxa"/>
            <w:gridSpan w:val="2"/>
          </w:tcPr>
          <w:p>
            <w:pPr>
              <w:pStyle w:val="nTable"/>
              <w:spacing w:after="40"/>
              <w:ind w:right="113"/>
              <w:rPr>
                <w:i/>
                <w:sz w:val="19"/>
              </w:rPr>
            </w:pPr>
            <w:r>
              <w:rPr>
                <w:i/>
                <w:sz w:val="19"/>
              </w:rPr>
              <w:t>Petroleum Products Pricing Amendment Act 2000</w:t>
            </w:r>
          </w:p>
        </w:tc>
        <w:tc>
          <w:tcPr>
            <w:tcW w:w="1134" w:type="dxa"/>
            <w:gridSpan w:val="2"/>
          </w:tcPr>
          <w:p>
            <w:pPr>
              <w:pStyle w:val="nTable"/>
              <w:spacing w:after="40"/>
              <w:rPr>
                <w:sz w:val="19"/>
              </w:rPr>
            </w:pPr>
            <w:r>
              <w:rPr>
                <w:sz w:val="19"/>
              </w:rPr>
              <w:t>73 of 2000</w:t>
            </w:r>
          </w:p>
        </w:tc>
        <w:tc>
          <w:tcPr>
            <w:tcW w:w="1134" w:type="dxa"/>
            <w:gridSpan w:val="2"/>
          </w:tcPr>
          <w:p>
            <w:pPr>
              <w:pStyle w:val="nTable"/>
              <w:spacing w:after="40"/>
              <w:rPr>
                <w:sz w:val="19"/>
              </w:rPr>
            </w:pPr>
            <w:r>
              <w:rPr>
                <w:sz w:val="19"/>
              </w:rPr>
              <w:t>4 Dec 2000</w:t>
            </w:r>
          </w:p>
        </w:tc>
        <w:tc>
          <w:tcPr>
            <w:tcW w:w="2551" w:type="dxa"/>
          </w:tcPr>
          <w:p>
            <w:pPr>
              <w:pStyle w:val="nTable"/>
              <w:spacing w:after="40"/>
              <w:rPr>
                <w:sz w:val="19"/>
              </w:rPr>
            </w:pPr>
            <w:r>
              <w:rPr>
                <w:sz w:val="19"/>
              </w:rPr>
              <w:t>1 Jan 2001</w:t>
            </w:r>
          </w:p>
        </w:tc>
      </w:tr>
      <w:tr>
        <w:trPr>
          <w:gridBefore w:val="1"/>
          <w:wBefore w:w="12" w:type="dxa"/>
          <w:cantSplit/>
        </w:trPr>
        <w:tc>
          <w:tcPr>
            <w:tcW w:w="2268" w:type="dxa"/>
            <w:gridSpan w:val="2"/>
          </w:tcPr>
          <w:p>
            <w:pPr>
              <w:pStyle w:val="nTable"/>
              <w:spacing w:after="40"/>
              <w:ind w:right="113"/>
              <w:rPr>
                <w:sz w:val="19"/>
              </w:rPr>
            </w:pPr>
            <w:r>
              <w:rPr>
                <w:i/>
                <w:sz w:val="19"/>
              </w:rPr>
              <w:t>Petroleum Legislation Amendment Act 2001</w:t>
            </w:r>
            <w:r>
              <w:rPr>
                <w:sz w:val="19"/>
              </w:rPr>
              <w:t xml:space="preserve"> Pt. 3</w:t>
            </w:r>
          </w:p>
        </w:tc>
        <w:tc>
          <w:tcPr>
            <w:tcW w:w="1134" w:type="dxa"/>
            <w:gridSpan w:val="2"/>
          </w:tcPr>
          <w:p>
            <w:pPr>
              <w:pStyle w:val="nTable"/>
              <w:keepNext/>
              <w:keepLines/>
              <w:spacing w:after="40"/>
              <w:rPr>
                <w:sz w:val="19"/>
              </w:rPr>
            </w:pPr>
            <w:r>
              <w:rPr>
                <w:sz w:val="19"/>
              </w:rPr>
              <w:t>11 of 2001</w:t>
            </w:r>
          </w:p>
        </w:tc>
        <w:tc>
          <w:tcPr>
            <w:tcW w:w="1134" w:type="dxa"/>
            <w:gridSpan w:val="2"/>
          </w:tcPr>
          <w:p>
            <w:pPr>
              <w:pStyle w:val="nTable"/>
              <w:keepNext/>
              <w:keepLines/>
              <w:spacing w:after="40"/>
              <w:rPr>
                <w:sz w:val="19"/>
              </w:rPr>
            </w:pPr>
            <w:r>
              <w:rPr>
                <w:sz w:val="19"/>
              </w:rPr>
              <w:t>13 Jul 2001</w:t>
            </w:r>
          </w:p>
        </w:tc>
        <w:tc>
          <w:tcPr>
            <w:tcW w:w="2551" w:type="dxa"/>
          </w:tcPr>
          <w:p>
            <w:pPr>
              <w:pStyle w:val="nTable"/>
              <w:keepNext/>
              <w:keepLines/>
              <w:spacing w:after="40"/>
              <w:rPr>
                <w:sz w:val="19"/>
                <w:vertAlign w:val="superscript"/>
              </w:rPr>
            </w:pPr>
            <w:r>
              <w:rPr>
                <w:sz w:val="19"/>
              </w:rPr>
              <w:t xml:space="preserve">s. 20: 24 Aug 2001 (see s. 2(2)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gridBefore w:val="1"/>
          <w:wBefore w:w="12" w:type="dxa"/>
          <w:cantSplit/>
        </w:trPr>
        <w:tc>
          <w:tcPr>
            <w:tcW w:w="7087" w:type="dxa"/>
            <w:gridSpan w:val="7"/>
          </w:tcPr>
          <w:p>
            <w:pPr>
              <w:pStyle w:val="nTable"/>
              <w:spacing w:after="40"/>
              <w:rPr>
                <w:sz w:val="19"/>
              </w:rPr>
            </w:pPr>
            <w:r>
              <w:rPr>
                <w:b/>
                <w:sz w:val="19"/>
              </w:rPr>
              <w:t xml:space="preserve">Reprint of the </w:t>
            </w:r>
            <w:r>
              <w:rPr>
                <w:b/>
                <w:i/>
                <w:sz w:val="19"/>
              </w:rPr>
              <w:t>Petroleum Products Pricing Act 1983</w:t>
            </w:r>
            <w:r>
              <w:rPr>
                <w:b/>
                <w:sz w:val="19"/>
              </w:rPr>
              <w:t xml:space="preserve"> as at 11 Jan 2002</w:t>
            </w:r>
            <w:r>
              <w:rPr>
                <w:b/>
                <w:sz w:val="19"/>
              </w:rPr>
              <w:br/>
            </w:r>
            <w:r>
              <w:rPr>
                <w:sz w:val="19"/>
              </w:rPr>
              <w:t xml:space="preserve">(includes amendments listed above)  (correction in </w:t>
            </w:r>
            <w:r>
              <w:rPr>
                <w:i/>
                <w:sz w:val="19"/>
              </w:rPr>
              <w:t>Gazette</w:t>
            </w:r>
            <w:r>
              <w:rPr>
                <w:sz w:val="19"/>
              </w:rPr>
              <w:t xml:space="preserve"> 20 Sep 2002 p. 4693)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snapToGrid w:val="0"/>
                <w:sz w:val="19"/>
              </w:rPr>
            </w:pPr>
            <w:r>
              <w:rPr>
                <w:i/>
                <w:snapToGrid w:val="0"/>
                <w:sz w:val="19"/>
              </w:rPr>
              <w:t>Courts Legislation Amendment and Repeal Act 2004</w:t>
            </w:r>
            <w:r>
              <w:rPr>
                <w:snapToGrid w:val="0"/>
                <w:sz w:val="19"/>
              </w:rPr>
              <w:t xml:space="preserve"> s. 141</w:t>
            </w:r>
          </w:p>
        </w:tc>
        <w:tc>
          <w:tcPr>
            <w:tcW w:w="1134" w:type="dxa"/>
            <w:gridSpan w:val="2"/>
            <w:tcBorders>
              <w:top w:val="nil"/>
              <w:bottom w:val="nil"/>
            </w:tcBorders>
          </w:tcPr>
          <w:p>
            <w:pPr>
              <w:pStyle w:val="nTable"/>
              <w:spacing w:after="40"/>
              <w:rPr>
                <w:snapToGrid w:val="0"/>
                <w:sz w:val="19"/>
              </w:rPr>
            </w:pPr>
            <w:r>
              <w:rPr>
                <w:snapToGrid w:val="0"/>
                <w:sz w:val="19"/>
              </w:rPr>
              <w:t>59 of 2004</w:t>
            </w:r>
          </w:p>
        </w:tc>
        <w:tc>
          <w:tcPr>
            <w:tcW w:w="1134" w:type="dxa"/>
            <w:gridSpan w:val="2"/>
            <w:tcBorders>
              <w:top w:val="nil"/>
              <w:bottom w:val="nil"/>
            </w:tcBorders>
          </w:tcPr>
          <w:p>
            <w:pPr>
              <w:pStyle w:val="nTable"/>
              <w:spacing w:after="40"/>
              <w:rPr>
                <w:snapToGrid w:val="0"/>
                <w:sz w:val="19"/>
              </w:rPr>
            </w:pPr>
            <w:r>
              <w:rPr>
                <w:sz w:val="19"/>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Borders>
              <w:top w:val="nil"/>
              <w:bottom w:val="nil"/>
            </w:tcBorders>
          </w:tcPr>
          <w:p>
            <w:pPr>
              <w:pStyle w:val="nTable"/>
              <w:spacing w:after="40"/>
              <w:rPr>
                <w:snapToGrid w:val="0"/>
                <w:sz w:val="19"/>
              </w:rPr>
            </w:pPr>
            <w:r>
              <w:rPr>
                <w:snapToGrid w:val="0"/>
                <w:sz w:val="19"/>
              </w:rPr>
              <w:t>84 of 2004</w:t>
            </w:r>
          </w:p>
        </w:tc>
        <w:tc>
          <w:tcPr>
            <w:tcW w:w="1134" w:type="dxa"/>
            <w:gridSpan w:val="2"/>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sz w:val="19"/>
              </w:rPr>
            </w:pPr>
            <w:r>
              <w:rPr>
                <w:i/>
                <w:sz w:val="19"/>
              </w:rPr>
              <w:t>Oaths, Affidavits and Statutory Declarations (Consequential Provisions) Act 2005</w:t>
            </w:r>
            <w:r>
              <w:rPr>
                <w:sz w:val="19"/>
              </w:rPr>
              <w:t xml:space="preserve"> s. 63</w:t>
            </w:r>
          </w:p>
        </w:tc>
        <w:tc>
          <w:tcPr>
            <w:tcW w:w="1134" w:type="dxa"/>
            <w:gridSpan w:val="2"/>
            <w:tcBorders>
              <w:top w:val="nil"/>
              <w:bottom w:val="nil"/>
            </w:tcBorders>
          </w:tcPr>
          <w:p>
            <w:pPr>
              <w:pStyle w:val="nTable"/>
              <w:spacing w:after="40"/>
              <w:rPr>
                <w:snapToGrid w:val="0"/>
                <w:sz w:val="19"/>
              </w:rPr>
            </w:pPr>
            <w:r>
              <w:rPr>
                <w:sz w:val="19"/>
              </w:rPr>
              <w:t>24 of 2005</w:t>
            </w:r>
          </w:p>
        </w:tc>
        <w:tc>
          <w:tcPr>
            <w:tcW w:w="1134" w:type="dxa"/>
            <w:gridSpan w:val="2"/>
            <w:tcBorders>
              <w:top w:val="nil"/>
              <w:bottom w:val="nil"/>
            </w:tcBorders>
          </w:tcPr>
          <w:p>
            <w:pPr>
              <w:pStyle w:val="nTable"/>
              <w:spacing w:after="40"/>
              <w:rPr>
                <w:sz w:val="19"/>
              </w:rPr>
            </w:pPr>
            <w:r>
              <w:rPr>
                <w:sz w:val="19"/>
              </w:rPr>
              <w:t>2 Dec 2005</w:t>
            </w:r>
          </w:p>
        </w:tc>
        <w:tc>
          <w:tcPr>
            <w:tcW w:w="2551" w:type="dxa"/>
            <w:tcBorders>
              <w:top w:val="nil"/>
              <w:bottom w:val="nil"/>
            </w:tcBorders>
          </w:tcPr>
          <w:p>
            <w:pPr>
              <w:pStyle w:val="nTable"/>
              <w:spacing w:after="40"/>
              <w:rPr>
                <w:snapToGrid w:val="0"/>
                <w:sz w:val="19"/>
              </w:rPr>
            </w:pPr>
            <w:r>
              <w:rPr>
                <w:sz w:val="19"/>
              </w:rPr>
              <w:t xml:space="preserve">1 Jan 2006 (see s. 2(1) and </w:t>
            </w:r>
            <w:r>
              <w:rPr>
                <w:i/>
                <w:sz w:val="19"/>
              </w:rPr>
              <w:t>Gazette</w:t>
            </w:r>
            <w:r>
              <w:rPr>
                <w:sz w:val="19"/>
              </w:rPr>
              <w:t xml:space="preserve"> 23 Dec 2005 p. 6244)</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sz w:val="19"/>
              </w:rPr>
            </w:pPr>
            <w:r>
              <w:rPr>
                <w:i/>
                <w:snapToGrid w:val="0"/>
                <w:sz w:val="19"/>
              </w:rPr>
              <w:t xml:space="preserve">Machinery of Government (Miscellaneous Amendments) Act 2006 </w:t>
            </w:r>
            <w:r>
              <w:rPr>
                <w:snapToGrid w:val="0"/>
                <w:sz w:val="19"/>
              </w:rPr>
              <w:t xml:space="preserve">Pt. 4 Div. 17 </w:t>
            </w:r>
            <w:r>
              <w:rPr>
                <w:snapToGrid w:val="0"/>
                <w:sz w:val="19"/>
                <w:vertAlign w:val="superscript"/>
              </w:rPr>
              <w:t>3</w:t>
            </w:r>
          </w:p>
        </w:tc>
        <w:tc>
          <w:tcPr>
            <w:tcW w:w="1134" w:type="dxa"/>
            <w:gridSpan w:val="2"/>
            <w:tcBorders>
              <w:top w:val="nil"/>
              <w:bottom w:val="nil"/>
            </w:tcBorders>
          </w:tcPr>
          <w:p>
            <w:pPr>
              <w:pStyle w:val="nTable"/>
              <w:spacing w:after="40"/>
              <w:rPr>
                <w:snapToGrid w:val="0"/>
                <w:sz w:val="19"/>
              </w:rPr>
            </w:pPr>
            <w:r>
              <w:rPr>
                <w:snapToGrid w:val="0"/>
                <w:sz w:val="19"/>
              </w:rPr>
              <w:t>28 of 2006</w:t>
            </w:r>
          </w:p>
        </w:tc>
        <w:tc>
          <w:tcPr>
            <w:tcW w:w="1134" w:type="dxa"/>
            <w:gridSpan w:val="2"/>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gridBefore w:val="1"/>
          <w:wBefore w:w="12" w:type="dxa"/>
          <w:cantSplit/>
        </w:trPr>
        <w:tc>
          <w:tcPr>
            <w:tcW w:w="7087" w:type="dxa"/>
            <w:gridSpan w:val="7"/>
            <w:tcBorders>
              <w:top w:val="nil"/>
              <w:bottom w:val="nil"/>
            </w:tcBorders>
          </w:tcPr>
          <w:p>
            <w:pPr>
              <w:pStyle w:val="nTable"/>
              <w:spacing w:after="40"/>
              <w:rPr>
                <w:snapToGrid w:val="0"/>
                <w:sz w:val="19"/>
              </w:rPr>
            </w:pPr>
            <w:r>
              <w:rPr>
                <w:b/>
                <w:sz w:val="19"/>
              </w:rPr>
              <w:t xml:space="preserve">Reprint 2:  The </w:t>
            </w:r>
            <w:r>
              <w:rPr>
                <w:b/>
                <w:i/>
                <w:sz w:val="19"/>
              </w:rPr>
              <w:t>Petroleum Products Pricing Act 1983</w:t>
            </w:r>
            <w:r>
              <w:rPr>
                <w:b/>
                <w:sz w:val="19"/>
              </w:rPr>
              <w:t xml:space="preserve"> as at 13 Oct 2006</w:t>
            </w:r>
            <w:r>
              <w:rPr>
                <w:b/>
                <w:sz w:val="19"/>
              </w:rPr>
              <w:br/>
            </w:r>
            <w:r>
              <w:rPr>
                <w:sz w:val="19"/>
              </w:rPr>
              <w:t xml:space="preserve">(includes amendments listed above) </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sz w:val="19"/>
              </w:rPr>
            </w:pPr>
            <w:r>
              <w:rPr>
                <w:i/>
                <w:snapToGrid w:val="0"/>
                <w:sz w:val="19"/>
              </w:rPr>
              <w:t xml:space="preserve">Financial Legislation Amendment and Repeal Act 2006 </w:t>
            </w:r>
            <w:r>
              <w:rPr>
                <w:snapToGrid w:val="0"/>
                <w:sz w:val="19"/>
              </w:rPr>
              <w:t>s. 17</w:t>
            </w:r>
            <w:r>
              <w:rPr>
                <w:snapToGrid w:val="0"/>
                <w:sz w:val="19"/>
                <w:vertAlign w:val="superscript"/>
              </w:rPr>
              <w:t> 4</w:t>
            </w:r>
          </w:p>
        </w:tc>
        <w:tc>
          <w:tcPr>
            <w:tcW w:w="1134" w:type="dxa"/>
            <w:gridSpan w:val="2"/>
            <w:tcBorders>
              <w:top w:val="nil"/>
              <w:bottom w:val="nil"/>
            </w:tcBorders>
          </w:tcPr>
          <w:p>
            <w:pPr>
              <w:pStyle w:val="nTable"/>
              <w:spacing w:after="40"/>
              <w:rPr>
                <w:snapToGrid w:val="0"/>
                <w:sz w:val="19"/>
              </w:rPr>
            </w:pPr>
            <w:r>
              <w:rPr>
                <w:snapToGrid w:val="0"/>
                <w:sz w:val="19"/>
              </w:rPr>
              <w:t xml:space="preserve">77 of 2006 </w:t>
            </w:r>
          </w:p>
        </w:tc>
        <w:tc>
          <w:tcPr>
            <w:tcW w:w="1134" w:type="dxa"/>
            <w:gridSpan w:val="2"/>
            <w:tcBorders>
              <w:top w:val="nil"/>
              <w:bottom w:val="nil"/>
            </w:tcBorders>
          </w:tcPr>
          <w:p>
            <w:pPr>
              <w:pStyle w:val="nTable"/>
              <w:spacing w:after="40"/>
              <w:rPr>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r>
        <w:tblPrEx>
          <w:tblCellMar>
            <w:left w:w="56" w:type="dxa"/>
            <w:right w:w="56" w:type="dxa"/>
          </w:tblCellMar>
        </w:tblPrEx>
        <w:trPr>
          <w:cantSplit/>
        </w:trPr>
        <w:tc>
          <w:tcPr>
            <w:tcW w:w="2254"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66</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77"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65" w:name="_Toc401155702"/>
      <w:bookmarkStart w:id="166" w:name="_Toc377133884"/>
      <w:r>
        <w:t>Provisions that have not come into operation</w:t>
      </w:r>
      <w:bookmarkEnd w:id="165"/>
      <w:bookmarkEnd w:id="166"/>
    </w:p>
    <w:tbl>
      <w:tblPr>
        <w:tblW w:w="715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gridCol w:w="64"/>
      </w:tblGrid>
      <w:tr>
        <w:tc>
          <w:tcPr>
            <w:tcW w:w="2268" w:type="dxa"/>
            <w:tcBorders>
              <w:bottom w:val="single" w:sz="4" w:space="0" w:color="auto"/>
            </w:tcBorders>
          </w:tcPr>
          <w:p>
            <w:pPr>
              <w:pStyle w:val="nTable"/>
              <w:keepNext/>
              <w:keepLines/>
              <w:spacing w:after="40"/>
              <w:rPr>
                <w:b/>
                <w:snapToGrid w:val="0"/>
                <w:sz w:val="19"/>
              </w:rPr>
            </w:pPr>
            <w:r>
              <w:rPr>
                <w:b/>
                <w:snapToGrid w:val="0"/>
                <w:sz w:val="19"/>
              </w:rPr>
              <w:t>Short title</w:t>
            </w:r>
          </w:p>
        </w:tc>
        <w:tc>
          <w:tcPr>
            <w:tcW w:w="1134" w:type="dxa"/>
            <w:tcBorders>
              <w:bottom w:val="single" w:sz="4" w:space="0" w:color="auto"/>
            </w:tcBorders>
          </w:tcPr>
          <w:p>
            <w:pPr>
              <w:pStyle w:val="nTable"/>
              <w:keepNext/>
              <w:keepLines/>
              <w:spacing w:after="40"/>
              <w:rPr>
                <w:b/>
                <w:snapToGrid w:val="0"/>
                <w:sz w:val="19"/>
              </w:rPr>
            </w:pPr>
            <w:r>
              <w:rPr>
                <w:b/>
                <w:snapToGrid w:val="0"/>
                <w:sz w:val="19"/>
              </w:rPr>
              <w:t>Number and year</w:t>
            </w:r>
          </w:p>
        </w:tc>
        <w:tc>
          <w:tcPr>
            <w:tcW w:w="1134" w:type="dxa"/>
            <w:tcBorders>
              <w:bottom w:val="single" w:sz="4" w:space="0" w:color="auto"/>
            </w:tcBorders>
          </w:tcPr>
          <w:p>
            <w:pPr>
              <w:pStyle w:val="nTable"/>
              <w:keepNext/>
              <w:keepLines/>
              <w:spacing w:after="40"/>
              <w:rPr>
                <w:b/>
                <w:snapToGrid w:val="0"/>
                <w:sz w:val="19"/>
              </w:rPr>
            </w:pPr>
            <w:r>
              <w:rPr>
                <w:b/>
                <w:snapToGrid w:val="0"/>
                <w:sz w:val="19"/>
              </w:rPr>
              <w:t>Assent</w:t>
            </w:r>
          </w:p>
        </w:tc>
        <w:tc>
          <w:tcPr>
            <w:tcW w:w="2615" w:type="dxa"/>
            <w:gridSpan w:val="2"/>
            <w:tcBorders>
              <w:bottom w:val="single" w:sz="4" w:space="0" w:color="auto"/>
            </w:tcBorders>
          </w:tcPr>
          <w:p>
            <w:pPr>
              <w:pStyle w:val="nTable"/>
              <w:keepNext/>
              <w:keepLines/>
              <w:spacing w:after="40"/>
              <w:rPr>
                <w:b/>
                <w:snapToGrid w:val="0"/>
                <w:sz w:val="19"/>
              </w:rPr>
            </w:pPr>
            <w:r>
              <w:rPr>
                <w:b/>
                <w:snapToGrid w:val="0"/>
                <w:sz w:val="19"/>
              </w:rPr>
              <w:t>Commencement</w:t>
            </w:r>
          </w:p>
        </w:tc>
      </w:tr>
      <w:tr>
        <w:tc>
          <w:tcPr>
            <w:tcW w:w="2268" w:type="dxa"/>
            <w:tcBorders>
              <w:top w:val="single" w:sz="4" w:space="0" w:color="auto"/>
              <w:bottom w:val="nil"/>
            </w:tcBorders>
          </w:tcPr>
          <w:p>
            <w:pPr>
              <w:pStyle w:val="nTable"/>
              <w:keepNext/>
              <w:keepLines/>
              <w:spacing w:after="40"/>
              <w:rPr>
                <w:snapToGrid w:val="0"/>
                <w:sz w:val="19"/>
                <w:vertAlign w:val="superscript"/>
              </w:rPr>
            </w:pPr>
            <w:r>
              <w:rPr>
                <w:i/>
                <w:snapToGrid w:val="0"/>
                <w:sz w:val="19"/>
              </w:rPr>
              <w:t xml:space="preserve">Road Traffic Legislation Amendment Act 2012 </w:t>
            </w:r>
            <w:r>
              <w:rPr>
                <w:snapToGrid w:val="0"/>
                <w:sz w:val="19"/>
              </w:rPr>
              <w:t>Pt. 4 Div. 40</w:t>
            </w:r>
            <w:r>
              <w:rPr>
                <w:snapToGrid w:val="0"/>
                <w:sz w:val="19"/>
                <w:vertAlign w:val="superscript"/>
              </w:rPr>
              <w:t> 6</w:t>
            </w:r>
          </w:p>
        </w:tc>
        <w:tc>
          <w:tcPr>
            <w:tcW w:w="1134" w:type="dxa"/>
            <w:tcBorders>
              <w:top w:val="single" w:sz="4" w:space="0" w:color="auto"/>
              <w:bottom w:val="nil"/>
            </w:tcBorders>
          </w:tcPr>
          <w:p>
            <w:pPr>
              <w:pStyle w:val="nTable"/>
              <w:keepNext/>
              <w:keepLines/>
              <w:spacing w:after="40"/>
              <w:rPr>
                <w:snapToGrid w:val="0"/>
                <w:sz w:val="19"/>
              </w:rPr>
            </w:pPr>
            <w:r>
              <w:rPr>
                <w:snapToGrid w:val="0"/>
                <w:sz w:val="19"/>
              </w:rPr>
              <w:t>8 of 2012</w:t>
            </w:r>
          </w:p>
        </w:tc>
        <w:tc>
          <w:tcPr>
            <w:tcW w:w="1134" w:type="dxa"/>
            <w:tcBorders>
              <w:top w:val="single" w:sz="4" w:space="0" w:color="auto"/>
              <w:bottom w:val="nil"/>
            </w:tcBorders>
          </w:tcPr>
          <w:p>
            <w:pPr>
              <w:pStyle w:val="nTable"/>
              <w:keepNext/>
              <w:keepLines/>
              <w:spacing w:after="40"/>
              <w:rPr>
                <w:snapToGrid w:val="0"/>
                <w:sz w:val="19"/>
              </w:rPr>
            </w:pPr>
            <w:r>
              <w:rPr>
                <w:sz w:val="19"/>
              </w:rPr>
              <w:t>21 May 2012</w:t>
            </w:r>
          </w:p>
        </w:tc>
        <w:tc>
          <w:tcPr>
            <w:tcW w:w="2615" w:type="dxa"/>
            <w:gridSpan w:val="2"/>
            <w:tcBorders>
              <w:top w:val="single" w:sz="4" w:space="0" w:color="auto"/>
              <w:bottom w:val="nil"/>
            </w:tcBorders>
          </w:tcPr>
          <w:p>
            <w:pPr>
              <w:pStyle w:val="nTable"/>
              <w:keepNext/>
              <w:keepLines/>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CellMar>
            <w:left w:w="56" w:type="dxa"/>
            <w:right w:w="56" w:type="dxa"/>
          </w:tblCellMar>
        </w:tblPrEx>
        <w:trPr>
          <w:gridAfter w:val="1"/>
          <w:wAfter w:w="64" w:type="dxa"/>
          <w:cantSplit/>
          <w:ins w:id="167" w:author="svcMRProcess" w:date="2018-09-06T15:37:00Z"/>
        </w:trPr>
        <w:tc>
          <w:tcPr>
            <w:tcW w:w="2273" w:type="dxa"/>
            <w:tcBorders>
              <w:top w:val="nil"/>
              <w:bottom w:val="single" w:sz="4" w:space="0" w:color="auto"/>
            </w:tcBorders>
          </w:tcPr>
          <w:p>
            <w:pPr>
              <w:pStyle w:val="nTable"/>
              <w:spacing w:before="60" w:after="60"/>
              <w:ind w:right="113"/>
              <w:rPr>
                <w:ins w:id="168" w:author="svcMRProcess" w:date="2018-09-06T15:37:00Z"/>
                <w:sz w:val="19"/>
                <w:szCs w:val="19"/>
                <w:vertAlign w:val="superscript"/>
              </w:rPr>
            </w:pPr>
            <w:ins w:id="169" w:author="svcMRProcess" w:date="2018-09-06T15:37:00Z">
              <w:r>
                <w:rPr>
                  <w:i/>
                  <w:snapToGrid w:val="0"/>
                  <w:sz w:val="19"/>
                  <w:szCs w:val="19"/>
                </w:rPr>
                <w:t xml:space="preserve">Consumer Protection Legislation Amendment Act 2014 </w:t>
              </w:r>
              <w:r>
                <w:rPr>
                  <w:snapToGrid w:val="0"/>
                  <w:sz w:val="19"/>
                  <w:szCs w:val="19"/>
                </w:rPr>
                <w:t>Pt. 9 </w:t>
              </w:r>
              <w:r>
                <w:rPr>
                  <w:snapToGrid w:val="0"/>
                  <w:sz w:val="19"/>
                  <w:szCs w:val="19"/>
                  <w:vertAlign w:val="superscript"/>
                </w:rPr>
                <w:t>7</w:t>
              </w:r>
            </w:ins>
          </w:p>
        </w:tc>
        <w:tc>
          <w:tcPr>
            <w:tcW w:w="1134" w:type="dxa"/>
            <w:tcBorders>
              <w:top w:val="nil"/>
              <w:bottom w:val="single" w:sz="4" w:space="0" w:color="auto"/>
            </w:tcBorders>
          </w:tcPr>
          <w:p>
            <w:pPr>
              <w:pStyle w:val="nTable"/>
              <w:spacing w:before="60" w:after="60"/>
              <w:rPr>
                <w:ins w:id="170" w:author="svcMRProcess" w:date="2018-09-06T15:37:00Z"/>
                <w:sz w:val="19"/>
                <w:szCs w:val="19"/>
              </w:rPr>
            </w:pPr>
            <w:ins w:id="171" w:author="svcMRProcess" w:date="2018-09-06T15:37:00Z">
              <w:r>
                <w:rPr>
                  <w:sz w:val="19"/>
                  <w:szCs w:val="19"/>
                </w:rPr>
                <w:t>23 of 2014</w:t>
              </w:r>
            </w:ins>
          </w:p>
        </w:tc>
        <w:tc>
          <w:tcPr>
            <w:tcW w:w="1134" w:type="dxa"/>
            <w:tcBorders>
              <w:top w:val="nil"/>
              <w:bottom w:val="single" w:sz="4" w:space="0" w:color="auto"/>
            </w:tcBorders>
          </w:tcPr>
          <w:p>
            <w:pPr>
              <w:pStyle w:val="nTable"/>
              <w:spacing w:before="60" w:after="60"/>
              <w:rPr>
                <w:ins w:id="172" w:author="svcMRProcess" w:date="2018-09-06T15:37:00Z"/>
                <w:sz w:val="19"/>
                <w:szCs w:val="19"/>
              </w:rPr>
            </w:pPr>
            <w:ins w:id="173" w:author="svcMRProcess" w:date="2018-09-06T15:37:00Z">
              <w:r>
                <w:rPr>
                  <w:sz w:val="19"/>
                  <w:szCs w:val="19"/>
                </w:rPr>
                <w:t>9 Oct 2014</w:t>
              </w:r>
            </w:ins>
          </w:p>
        </w:tc>
        <w:tc>
          <w:tcPr>
            <w:tcW w:w="2551" w:type="dxa"/>
            <w:tcBorders>
              <w:top w:val="nil"/>
              <w:bottom w:val="single" w:sz="4" w:space="0" w:color="auto"/>
            </w:tcBorders>
          </w:tcPr>
          <w:p>
            <w:pPr>
              <w:pStyle w:val="nTable"/>
              <w:spacing w:before="60" w:after="60"/>
              <w:rPr>
                <w:ins w:id="174" w:author="svcMRProcess" w:date="2018-09-06T15:37:00Z"/>
                <w:sz w:val="19"/>
                <w:szCs w:val="19"/>
              </w:rPr>
            </w:pPr>
            <w:ins w:id="175" w:author="svcMRProcess" w:date="2018-09-06T15:37:00Z">
              <w:r>
                <w:rPr>
                  <w:sz w:val="19"/>
                  <w:szCs w:val="19"/>
                </w:rPr>
                <w:t>To be proclaimed (see s. 2(b))</w:t>
              </w:r>
            </w:ins>
          </w:p>
        </w:tc>
      </w:tr>
    </w:tbl>
    <w:p>
      <w:pPr>
        <w:pStyle w:val="nSubsection"/>
        <w:spacing w:before="160"/>
      </w:pPr>
      <w:r>
        <w:rPr>
          <w:vertAlign w:val="superscript"/>
        </w:rPr>
        <w:t>2</w:t>
      </w:r>
      <w:r>
        <w:tab/>
        <w:t xml:space="preserve">Now known as the </w:t>
      </w:r>
      <w:r>
        <w:rPr>
          <w:i/>
        </w:rPr>
        <w:t>Petroleum Products Pricing Act 1983</w:t>
      </w:r>
      <w:r>
        <w:t>; short title changed (see note under s. 1).</w:t>
      </w:r>
    </w:p>
    <w:p>
      <w:pPr>
        <w:pStyle w:val="nSubsection"/>
        <w:keepNext/>
      </w:pPr>
      <w:r>
        <w:rPr>
          <w:vertAlign w:val="superscript"/>
        </w:rPr>
        <w:t>3</w:t>
      </w:r>
      <w:r>
        <w:tab/>
        <w:t xml:space="preserve">The </w:t>
      </w:r>
      <w:r>
        <w:rPr>
          <w:i/>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vertAlign w:val="superscript"/>
        </w:rPr>
        <w:t>4</w:t>
      </w:r>
      <w:r>
        <w:tab/>
        <w:t xml:space="preserve">The amendment to s. 7(5) in the </w:t>
      </w:r>
      <w:r>
        <w:rPr>
          <w:i/>
          <w:iCs/>
        </w:rPr>
        <w:t xml:space="preserve">Financial Legislation Amendment and Repeal Act 2006 </w:t>
      </w:r>
      <w:r>
        <w:t xml:space="preserve">s. 17, which gives effect to Sch. 1 cl.126, is not included because the subsection it sought to amend was repealed by the </w:t>
      </w:r>
      <w:r>
        <w:rPr>
          <w:i/>
          <w:iCs/>
        </w:rPr>
        <w:t>Machinery of Government (Miscellaneous Amendments) Act 2006</w:t>
      </w:r>
      <w:r>
        <w:t xml:space="preserve"> s. 116(3).</w:t>
      </w:r>
    </w:p>
    <w:p>
      <w:pPr>
        <w:pStyle w:val="nSubsection"/>
      </w:pPr>
      <w:r>
        <w:rPr>
          <w:vertAlign w:val="superscript"/>
        </w:rPr>
        <w:t>5</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pStyle w:val="nSubsection"/>
        <w:keepNext/>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40 had not come into operation.  It reads as follows:</w:t>
      </w:r>
    </w:p>
    <w:p>
      <w:pPr>
        <w:pStyle w:val="BlankOpen"/>
        <w:rPr>
          <w:snapToGrid w:val="0"/>
        </w:rPr>
      </w:pPr>
    </w:p>
    <w:p>
      <w:pPr>
        <w:pStyle w:val="nzHeading3"/>
      </w:pPr>
      <w:r>
        <w:rPr>
          <w:rStyle w:val="CharDivNo"/>
        </w:rPr>
        <w:t>Division 40</w:t>
      </w:r>
      <w:r>
        <w:t> — </w:t>
      </w:r>
      <w:r>
        <w:rPr>
          <w:rStyle w:val="CharDivText"/>
          <w:i/>
          <w:iCs/>
        </w:rPr>
        <w:t>Petroleum Products Pricing Act 1983</w:t>
      </w:r>
      <w:r>
        <w:rPr>
          <w:rStyle w:val="CharDivText"/>
        </w:rPr>
        <w:t xml:space="preserve"> amended</w:t>
      </w:r>
    </w:p>
    <w:p>
      <w:pPr>
        <w:pStyle w:val="nzHeading5"/>
        <w:rPr>
          <w:snapToGrid w:val="0"/>
        </w:rPr>
      </w:pPr>
      <w:r>
        <w:rPr>
          <w:rStyle w:val="CharSectno"/>
        </w:rPr>
        <w:t>158</w:t>
      </w:r>
      <w:r>
        <w:rPr>
          <w:snapToGrid w:val="0"/>
        </w:rPr>
        <w:t>.</w:t>
      </w:r>
      <w:r>
        <w:rPr>
          <w:snapToGrid w:val="0"/>
        </w:rPr>
        <w:tab/>
        <w:t>Act amended</w:t>
      </w:r>
    </w:p>
    <w:p>
      <w:pPr>
        <w:pStyle w:val="nzSubsection"/>
      </w:pPr>
      <w:r>
        <w:tab/>
      </w:r>
      <w:r>
        <w:tab/>
        <w:t xml:space="preserve">This Division amends the </w:t>
      </w:r>
      <w:r>
        <w:rPr>
          <w:i/>
        </w:rPr>
        <w:t>Petroleum Products Pricing Act 1983</w:t>
      </w:r>
      <w:r>
        <w:t>.</w:t>
      </w:r>
    </w:p>
    <w:p>
      <w:pPr>
        <w:pStyle w:val="nzHeading5"/>
      </w:pPr>
      <w:r>
        <w:rPr>
          <w:rStyle w:val="CharSectno"/>
        </w:rPr>
        <w:t>159</w:t>
      </w:r>
      <w:r>
        <w:t>.</w:t>
      </w:r>
      <w:r>
        <w:tab/>
        <w:t>Section 3 amended</w:t>
      </w:r>
    </w:p>
    <w:p>
      <w:pPr>
        <w:pStyle w:val="nzSubsection"/>
      </w:pPr>
      <w:r>
        <w:tab/>
      </w:r>
      <w:r>
        <w:tab/>
        <w:t xml:space="preserve">In section 3(1) in the definition of </w:t>
      </w:r>
      <w:r>
        <w:rPr>
          <w:b/>
          <w:bCs/>
          <w:i/>
          <w:iCs/>
        </w:rPr>
        <w:t>motor vehicle</w:t>
      </w:r>
      <w:r>
        <w:t xml:space="preserve"> delete “section 5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4;</w:t>
      </w:r>
    </w:p>
    <w:p>
      <w:pPr>
        <w:pStyle w:val="BlankClose"/>
      </w:pPr>
    </w:p>
    <w:p>
      <w:pPr>
        <w:pStyle w:val="BlankClose"/>
      </w:pPr>
    </w:p>
    <w:p>
      <w:pPr>
        <w:pStyle w:val="nSubsection"/>
        <w:spacing w:before="200"/>
        <w:rPr>
          <w:ins w:id="176" w:author="svcMRProcess" w:date="2018-09-06T15:37:00Z"/>
          <w:snapToGrid w:val="0"/>
        </w:rPr>
      </w:pPr>
      <w:ins w:id="177" w:author="svcMRProcess" w:date="2018-09-06T15:37: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9 had not come into operation.  It reads as follows:</w:t>
        </w:r>
      </w:ins>
    </w:p>
    <w:p>
      <w:pPr>
        <w:pStyle w:val="BlankClose"/>
        <w:rPr>
          <w:ins w:id="178" w:author="svcMRProcess" w:date="2018-09-06T15:37:00Z"/>
        </w:rPr>
      </w:pPr>
    </w:p>
    <w:p>
      <w:pPr>
        <w:pStyle w:val="nzHeading2"/>
        <w:rPr>
          <w:ins w:id="179" w:author="svcMRProcess" w:date="2018-09-06T15:37:00Z"/>
        </w:rPr>
      </w:pPr>
      <w:bookmarkStart w:id="180" w:name="_Toc370214242"/>
      <w:bookmarkStart w:id="181" w:name="_Toc370214400"/>
      <w:bookmarkStart w:id="182" w:name="_Toc370214558"/>
      <w:bookmarkStart w:id="183" w:name="_Toc370214716"/>
      <w:bookmarkStart w:id="184" w:name="_Toc370214874"/>
      <w:bookmarkStart w:id="185" w:name="_Toc370215698"/>
      <w:bookmarkStart w:id="186" w:name="_Toc370296553"/>
      <w:bookmarkStart w:id="187" w:name="_Toc370296711"/>
      <w:bookmarkStart w:id="188" w:name="_Toc370301856"/>
      <w:bookmarkStart w:id="189" w:name="_Toc370306279"/>
      <w:bookmarkStart w:id="190" w:name="_Toc399494820"/>
      <w:bookmarkStart w:id="191" w:name="_Toc401136892"/>
      <w:bookmarkStart w:id="192" w:name="_Toc401137552"/>
      <w:ins w:id="193" w:author="svcMRProcess" w:date="2018-09-06T15:37:00Z">
        <w:r>
          <w:rPr>
            <w:rStyle w:val="CharPartNo"/>
          </w:rPr>
          <w:t>Part 9</w:t>
        </w:r>
        <w:r>
          <w:rPr>
            <w:rStyle w:val="CharDivNo"/>
          </w:rPr>
          <w:t> </w:t>
        </w:r>
        <w:r>
          <w:t>—</w:t>
        </w:r>
        <w:r>
          <w:rPr>
            <w:rStyle w:val="CharDivText"/>
          </w:rPr>
          <w:t> </w:t>
        </w:r>
        <w:r>
          <w:rPr>
            <w:rStyle w:val="CharPartText"/>
            <w:i/>
          </w:rPr>
          <w:t>Petroleum Products Pricing Act 1983</w:t>
        </w:r>
        <w:r>
          <w:rPr>
            <w:rStyle w:val="CharPartText"/>
          </w:rPr>
          <w:t> amended</w:t>
        </w:r>
        <w:bookmarkEnd w:id="180"/>
        <w:bookmarkEnd w:id="181"/>
        <w:bookmarkEnd w:id="182"/>
        <w:bookmarkEnd w:id="183"/>
        <w:bookmarkEnd w:id="184"/>
        <w:bookmarkEnd w:id="185"/>
        <w:bookmarkEnd w:id="186"/>
        <w:bookmarkEnd w:id="187"/>
        <w:bookmarkEnd w:id="188"/>
        <w:bookmarkEnd w:id="189"/>
        <w:bookmarkEnd w:id="190"/>
        <w:bookmarkEnd w:id="191"/>
        <w:bookmarkEnd w:id="192"/>
      </w:ins>
    </w:p>
    <w:p>
      <w:pPr>
        <w:pStyle w:val="nzHeading5"/>
        <w:rPr>
          <w:ins w:id="194" w:author="svcMRProcess" w:date="2018-09-06T15:37:00Z"/>
        </w:rPr>
      </w:pPr>
      <w:bookmarkStart w:id="195" w:name="_Toc401136893"/>
      <w:bookmarkStart w:id="196" w:name="_Toc401137553"/>
      <w:ins w:id="197" w:author="svcMRProcess" w:date="2018-09-06T15:37:00Z">
        <w:r>
          <w:rPr>
            <w:rStyle w:val="CharSectno"/>
          </w:rPr>
          <w:t>63</w:t>
        </w:r>
        <w:r>
          <w:t>.</w:t>
        </w:r>
        <w:r>
          <w:tab/>
          <w:t>Act amended</w:t>
        </w:r>
        <w:bookmarkEnd w:id="195"/>
        <w:bookmarkEnd w:id="196"/>
      </w:ins>
    </w:p>
    <w:p>
      <w:pPr>
        <w:pStyle w:val="nzSubsection"/>
        <w:rPr>
          <w:ins w:id="198" w:author="svcMRProcess" w:date="2018-09-06T15:37:00Z"/>
        </w:rPr>
      </w:pPr>
      <w:ins w:id="199" w:author="svcMRProcess" w:date="2018-09-06T15:37:00Z">
        <w:r>
          <w:tab/>
        </w:r>
        <w:r>
          <w:tab/>
          <w:t xml:space="preserve">This Part amends the </w:t>
        </w:r>
        <w:r>
          <w:rPr>
            <w:i/>
          </w:rPr>
          <w:t>Petroleum Products Pricing Act 1983</w:t>
        </w:r>
        <w:r>
          <w:t>.</w:t>
        </w:r>
      </w:ins>
    </w:p>
    <w:p>
      <w:pPr>
        <w:pStyle w:val="nzHeading5"/>
        <w:rPr>
          <w:ins w:id="200" w:author="svcMRProcess" w:date="2018-09-06T15:37:00Z"/>
        </w:rPr>
      </w:pPr>
      <w:bookmarkStart w:id="201" w:name="_Toc401136894"/>
      <w:bookmarkStart w:id="202" w:name="_Toc401137554"/>
      <w:ins w:id="203" w:author="svcMRProcess" w:date="2018-09-06T15:37:00Z">
        <w:r>
          <w:rPr>
            <w:rStyle w:val="CharSectno"/>
          </w:rPr>
          <w:t>64</w:t>
        </w:r>
        <w:r>
          <w:t>.</w:t>
        </w:r>
        <w:r>
          <w:tab/>
          <w:t>Section 22A amended</w:t>
        </w:r>
        <w:bookmarkEnd w:id="201"/>
        <w:bookmarkEnd w:id="202"/>
      </w:ins>
    </w:p>
    <w:p>
      <w:pPr>
        <w:pStyle w:val="nzSubsection"/>
        <w:rPr>
          <w:ins w:id="204" w:author="svcMRProcess" w:date="2018-09-06T15:37:00Z"/>
        </w:rPr>
      </w:pPr>
      <w:ins w:id="205" w:author="svcMRProcess" w:date="2018-09-06T15:37:00Z">
        <w:r>
          <w:tab/>
          <w:t>(1)</w:t>
        </w:r>
        <w:r>
          <w:tab/>
          <w:t xml:space="preserve">In section 22A(1) delete the definition of </w:t>
        </w:r>
        <w:r>
          <w:rPr>
            <w:b/>
            <w:i/>
          </w:rPr>
          <w:t>displayed price</w:t>
        </w:r>
        <w:r>
          <w:t>.</w:t>
        </w:r>
      </w:ins>
    </w:p>
    <w:p>
      <w:pPr>
        <w:pStyle w:val="nzSubsection"/>
        <w:rPr>
          <w:ins w:id="206" w:author="svcMRProcess" w:date="2018-09-06T15:37:00Z"/>
        </w:rPr>
      </w:pPr>
      <w:ins w:id="207" w:author="svcMRProcess" w:date="2018-09-06T15:37:00Z">
        <w:r>
          <w:tab/>
          <w:t>(2)</w:t>
        </w:r>
        <w:r>
          <w:tab/>
          <w:t>In section 22A(1) insert in alphabetical order:</w:t>
        </w:r>
      </w:ins>
    </w:p>
    <w:p>
      <w:pPr>
        <w:pStyle w:val="BlankOpen"/>
        <w:rPr>
          <w:ins w:id="208" w:author="svcMRProcess" w:date="2018-09-06T15:37:00Z"/>
        </w:rPr>
      </w:pPr>
    </w:p>
    <w:p>
      <w:pPr>
        <w:pStyle w:val="nzDefstart"/>
        <w:rPr>
          <w:ins w:id="209" w:author="svcMRProcess" w:date="2018-09-06T15:37:00Z"/>
        </w:rPr>
      </w:pPr>
      <w:ins w:id="210" w:author="svcMRProcess" w:date="2018-09-06T15:37:00Z">
        <w:r>
          <w:tab/>
        </w:r>
        <w:r>
          <w:rPr>
            <w:rStyle w:val="CharDefText"/>
          </w:rPr>
          <w:t>relevant price</w:t>
        </w:r>
        <w:r>
          <w:t xml:space="preserve">, for a kind of motor fuel, means the price for that kind of motor fuel that would apply if a supplier of the motor fuel from a declared terminal were to make a wholesale sale of the motor fuel to a reseller who — </w:t>
        </w:r>
      </w:ins>
    </w:p>
    <w:p>
      <w:pPr>
        <w:pStyle w:val="nzDefpara"/>
        <w:rPr>
          <w:ins w:id="211" w:author="svcMRProcess" w:date="2018-09-06T15:37:00Z"/>
        </w:rPr>
      </w:pPr>
      <w:ins w:id="212" w:author="svcMRProcess" w:date="2018-09-06T15:37:00Z">
        <w:r>
          <w:tab/>
          <w:t>(a)</w:t>
        </w:r>
        <w:r>
          <w:tab/>
          <w:t>was not the subject of any agreement or arrangement affecting price; and</w:t>
        </w:r>
      </w:ins>
    </w:p>
    <w:p>
      <w:pPr>
        <w:pStyle w:val="nzDefpara"/>
        <w:rPr>
          <w:ins w:id="213" w:author="svcMRProcess" w:date="2018-09-06T15:37:00Z"/>
        </w:rPr>
      </w:pPr>
      <w:ins w:id="214" w:author="svcMRProcess" w:date="2018-09-06T15:37:00Z">
        <w:r>
          <w:tab/>
          <w:t>(b)</w:t>
        </w:r>
        <w:r>
          <w:tab/>
          <w:t>took delivery of the motor fuel at the terminal from which it was supplied;</w:t>
        </w:r>
      </w:ins>
    </w:p>
    <w:p>
      <w:pPr>
        <w:pStyle w:val="BlankClose"/>
        <w:rPr>
          <w:ins w:id="215" w:author="svcMRProcess" w:date="2018-09-06T15:37:00Z"/>
        </w:rPr>
      </w:pPr>
    </w:p>
    <w:p>
      <w:pPr>
        <w:pStyle w:val="nzHeading5"/>
        <w:rPr>
          <w:ins w:id="216" w:author="svcMRProcess" w:date="2018-09-06T15:37:00Z"/>
        </w:rPr>
      </w:pPr>
      <w:bookmarkStart w:id="217" w:name="_Toc401136895"/>
      <w:bookmarkStart w:id="218" w:name="_Toc401137555"/>
      <w:ins w:id="219" w:author="svcMRProcess" w:date="2018-09-06T15:37:00Z">
        <w:r>
          <w:rPr>
            <w:rStyle w:val="CharSectno"/>
          </w:rPr>
          <w:t>65</w:t>
        </w:r>
        <w:r>
          <w:t>.</w:t>
        </w:r>
        <w:r>
          <w:tab/>
          <w:t>Section 22B replaced</w:t>
        </w:r>
        <w:bookmarkEnd w:id="217"/>
        <w:bookmarkEnd w:id="218"/>
      </w:ins>
    </w:p>
    <w:p>
      <w:pPr>
        <w:pStyle w:val="nzSubsection"/>
        <w:rPr>
          <w:ins w:id="220" w:author="svcMRProcess" w:date="2018-09-06T15:37:00Z"/>
        </w:rPr>
      </w:pPr>
      <w:ins w:id="221" w:author="svcMRProcess" w:date="2018-09-06T15:37:00Z">
        <w:r>
          <w:tab/>
        </w:r>
        <w:r>
          <w:tab/>
          <w:t>Delete section 22B and insert:</w:t>
        </w:r>
      </w:ins>
    </w:p>
    <w:p>
      <w:pPr>
        <w:pStyle w:val="BlankOpen"/>
        <w:rPr>
          <w:ins w:id="222" w:author="svcMRProcess" w:date="2018-09-06T15:37:00Z"/>
        </w:rPr>
      </w:pPr>
    </w:p>
    <w:p>
      <w:pPr>
        <w:pStyle w:val="nzHeading5"/>
        <w:rPr>
          <w:ins w:id="223" w:author="svcMRProcess" w:date="2018-09-06T15:37:00Z"/>
        </w:rPr>
      </w:pPr>
      <w:bookmarkStart w:id="224" w:name="_Toc401136896"/>
      <w:bookmarkStart w:id="225" w:name="_Toc401137556"/>
      <w:ins w:id="226" w:author="svcMRProcess" w:date="2018-09-06T15:37:00Z">
        <w:r>
          <w:t>22B.</w:t>
        </w:r>
        <w:r>
          <w:tab/>
          <w:t>Commissioner to be notified of proposed price changes</w:t>
        </w:r>
        <w:bookmarkEnd w:id="224"/>
        <w:bookmarkEnd w:id="225"/>
      </w:ins>
    </w:p>
    <w:p>
      <w:pPr>
        <w:pStyle w:val="nzSubsection"/>
        <w:rPr>
          <w:ins w:id="227" w:author="svcMRProcess" w:date="2018-09-06T15:37:00Z"/>
        </w:rPr>
      </w:pPr>
      <w:ins w:id="228" w:author="svcMRProcess" w:date="2018-09-06T15:37:00Z">
        <w:r>
          <w:tab/>
        </w:r>
        <w:r>
          <w:tab/>
          <w:t xml:space="preserve">Whenever the relevant price for a kind of motor fuel supplied from a declared terminal is proposed to be changed, the supplier of the motor fuel is required to notify the Commissioner of the proposed price change — </w:t>
        </w:r>
      </w:ins>
    </w:p>
    <w:p>
      <w:pPr>
        <w:pStyle w:val="nzIndenta"/>
        <w:rPr>
          <w:ins w:id="229" w:author="svcMRProcess" w:date="2018-09-06T15:37:00Z"/>
        </w:rPr>
      </w:pPr>
      <w:ins w:id="230" w:author="svcMRProcess" w:date="2018-09-06T15:37:00Z">
        <w:r>
          <w:tab/>
          <w:t>(a)</w:t>
        </w:r>
        <w:r>
          <w:tab/>
          <w:t>before the proposed price change has effect; and</w:t>
        </w:r>
      </w:ins>
    </w:p>
    <w:p>
      <w:pPr>
        <w:pStyle w:val="nzIndenta"/>
        <w:rPr>
          <w:ins w:id="231" w:author="svcMRProcess" w:date="2018-09-06T15:37:00Z"/>
        </w:rPr>
      </w:pPr>
      <w:ins w:id="232" w:author="svcMRProcess" w:date="2018-09-06T15:37:00Z">
        <w:r>
          <w:tab/>
          <w:t>(b)</w:t>
        </w:r>
        <w:r>
          <w:tab/>
          <w:t>in accordance with the provisions of any regulations that apply to that notification.</w:t>
        </w:r>
      </w:ins>
    </w:p>
    <w:p>
      <w:pPr>
        <w:pStyle w:val="nzPenstart"/>
        <w:rPr>
          <w:ins w:id="233" w:author="svcMRProcess" w:date="2018-09-06T15:37:00Z"/>
        </w:rPr>
      </w:pPr>
      <w:ins w:id="234" w:author="svcMRProcess" w:date="2018-09-06T15:37:00Z">
        <w:r>
          <w:tab/>
          <w:t>Penalty: a fine of $20 000.</w:t>
        </w:r>
      </w:ins>
    </w:p>
    <w:p>
      <w:pPr>
        <w:pStyle w:val="BlankClose"/>
        <w:rPr>
          <w:ins w:id="235" w:author="svcMRProcess" w:date="2018-09-06T15:37:00Z"/>
        </w:rPr>
      </w:pPr>
    </w:p>
    <w:p>
      <w:pPr>
        <w:pStyle w:val="nzHeading5"/>
        <w:rPr>
          <w:ins w:id="236" w:author="svcMRProcess" w:date="2018-09-06T15:37:00Z"/>
        </w:rPr>
      </w:pPr>
      <w:bookmarkStart w:id="237" w:name="_Toc401136897"/>
      <w:bookmarkStart w:id="238" w:name="_Toc401137557"/>
      <w:ins w:id="239" w:author="svcMRProcess" w:date="2018-09-06T15:37:00Z">
        <w:r>
          <w:rPr>
            <w:rStyle w:val="CharSectno"/>
          </w:rPr>
          <w:t>66</w:t>
        </w:r>
        <w:r>
          <w:t>.</w:t>
        </w:r>
        <w:r>
          <w:tab/>
          <w:t>Sections 22C and 22D deleted</w:t>
        </w:r>
        <w:bookmarkEnd w:id="237"/>
        <w:bookmarkEnd w:id="238"/>
      </w:ins>
    </w:p>
    <w:p>
      <w:pPr>
        <w:pStyle w:val="nzSubsection"/>
        <w:rPr>
          <w:ins w:id="240" w:author="svcMRProcess" w:date="2018-09-06T15:37:00Z"/>
        </w:rPr>
      </w:pPr>
      <w:ins w:id="241" w:author="svcMRProcess" w:date="2018-09-06T15:37:00Z">
        <w:r>
          <w:tab/>
        </w:r>
        <w:r>
          <w:tab/>
          <w:t>Delete sections 22C and 22D.</w:t>
        </w:r>
      </w:ins>
    </w:p>
    <w:p>
      <w:pPr>
        <w:pStyle w:val="nzHeading5"/>
        <w:rPr>
          <w:ins w:id="242" w:author="svcMRProcess" w:date="2018-09-06T15:37:00Z"/>
        </w:rPr>
      </w:pPr>
      <w:bookmarkStart w:id="243" w:name="_Toc401136898"/>
      <w:bookmarkStart w:id="244" w:name="_Toc401137558"/>
      <w:ins w:id="245" w:author="svcMRProcess" w:date="2018-09-06T15:37:00Z">
        <w:r>
          <w:rPr>
            <w:rStyle w:val="CharSectno"/>
          </w:rPr>
          <w:t>67</w:t>
        </w:r>
        <w:r>
          <w:t>.</w:t>
        </w:r>
        <w:r>
          <w:tab/>
          <w:t>Section 22E amended</w:t>
        </w:r>
        <w:bookmarkEnd w:id="243"/>
        <w:bookmarkEnd w:id="244"/>
      </w:ins>
    </w:p>
    <w:p>
      <w:pPr>
        <w:pStyle w:val="nzSubsection"/>
        <w:rPr>
          <w:ins w:id="246" w:author="svcMRProcess" w:date="2018-09-06T15:37:00Z"/>
        </w:rPr>
      </w:pPr>
      <w:ins w:id="247" w:author="svcMRProcess" w:date="2018-09-06T15:37:00Z">
        <w:r>
          <w:tab/>
        </w:r>
        <w:r>
          <w:tab/>
          <w:t>In section 22E(1)(c), (2)(a) and (c) and (4) delete “displayed” (each occurrence) and insert:</w:t>
        </w:r>
      </w:ins>
    </w:p>
    <w:p>
      <w:pPr>
        <w:pStyle w:val="BlankOpen"/>
        <w:rPr>
          <w:ins w:id="248" w:author="svcMRProcess" w:date="2018-09-06T15:37:00Z"/>
        </w:rPr>
      </w:pPr>
    </w:p>
    <w:p>
      <w:pPr>
        <w:pStyle w:val="nzSubsection"/>
        <w:rPr>
          <w:ins w:id="249" w:author="svcMRProcess" w:date="2018-09-06T15:37:00Z"/>
        </w:rPr>
      </w:pPr>
      <w:ins w:id="250" w:author="svcMRProcess" w:date="2018-09-06T15:37:00Z">
        <w:r>
          <w:tab/>
        </w:r>
        <w:r>
          <w:tab/>
          <w:t>relevant</w:t>
        </w:r>
      </w:ins>
    </w:p>
    <w:p>
      <w:pPr>
        <w:pStyle w:val="BlankClose"/>
        <w:rPr>
          <w:ins w:id="251" w:author="svcMRProcess" w:date="2018-09-06T15:37:00Z"/>
        </w:rPr>
      </w:pPr>
    </w:p>
    <w:p>
      <w:pPr>
        <w:pStyle w:val="BlankClose"/>
        <w:rPr>
          <w:ins w:id="252" w:author="svcMRProcess" w:date="2018-09-06T15:37:00Z"/>
        </w:rPr>
      </w:pPr>
    </w:p>
    <w:p>
      <w:pPr>
        <w:rPr>
          <w:sz w:val="20"/>
        </w:rPr>
      </w:pPr>
    </w:p>
    <w:p>
      <w:pPr>
        <w:rPr>
          <w:sz w:val="2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z w:val="20"/>
        </w:rPr>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Products Pricing Act 1983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253"/>
    <w:docVar w:name="WAFER_20140110160817" w:val="RemoveTocBookmarks,RemoveUnusedBookmarks,RemoveLanguageTags,UsedStyles,ResetPageSize,UpdateArrangement"/>
    <w:docVar w:name="WAFER_20140110160817_GUID" w:val="5931abab-7cbc-41f5-b806-daba4926eaf5"/>
    <w:docVar w:name="WAFER_20140110161022" w:val="RemoveTocBookmarks,RunningHeaders"/>
    <w:docVar w:name="WAFER_20140110161022_GUID" w:val="a6619bb9-4a35-4f74-bed3-b46fa010fe2e"/>
    <w:docVar w:name="WAFER_20141015123253" w:val="RemoveTocBookmarks,RemoveUnusedBookmarks,RemoveLanguageTags,UsedStyles,ResetPageSize,UpdateArrangement"/>
    <w:docVar w:name="WAFER_20141015123253_GUID" w:val="6cae16d4-10f1-47c6-81ce-0582613ffa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15226</Words>
  <Characters>73543</Characters>
  <Application>Microsoft Office Word</Application>
  <DocSecurity>0</DocSecurity>
  <Lines>2101</Lines>
  <Paragraphs>1199</Paragraphs>
  <ScaleCrop>false</ScaleCrop>
  <HeadingPairs>
    <vt:vector size="2" baseType="variant">
      <vt:variant>
        <vt:lpstr>Title</vt:lpstr>
      </vt:variant>
      <vt:variant>
        <vt:i4>1</vt:i4>
      </vt:variant>
    </vt:vector>
  </HeadingPairs>
  <TitlesOfParts>
    <vt:vector size="1" baseType="lpstr">
      <vt:lpstr>Petroleum Products Pricing Act 1983</vt:lpstr>
    </vt:vector>
  </TitlesOfParts>
  <Manager/>
  <Company/>
  <LinksUpToDate>false</LinksUpToDate>
  <CharactersWithSpaces>87570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02-d0-02 - 02-e0-00</dc:title>
  <dc:subject/>
  <dc:creator/>
  <cp:keywords/>
  <dc:description/>
  <cp:lastModifiedBy>svcMRProcess</cp:lastModifiedBy>
  <cp:revision>2</cp:revision>
  <cp:lastPrinted>2006-10-12T07:03:00Z</cp:lastPrinted>
  <dcterms:created xsi:type="dcterms:W3CDTF">2018-09-06T07:37:00Z</dcterms:created>
  <dcterms:modified xsi:type="dcterms:W3CDTF">2018-09-06T07:37:00Z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598</vt:i4>
  </property>
  <property fmtid="{D5CDD505-2E9C-101B-9397-08002B2CF9AE}" pid="6" name="FromSuffix">
    <vt:lpwstr>02-d0-02</vt:lpwstr>
  </property>
  <property fmtid="{D5CDD505-2E9C-101B-9397-08002B2CF9AE}" pid="7" name="FromAsAtDate">
    <vt:lpwstr>21 May 2012</vt:lpwstr>
  </property>
  <property fmtid="{D5CDD505-2E9C-101B-9397-08002B2CF9AE}" pid="8" name="ToSuffix">
    <vt:lpwstr>02-e0-00</vt:lpwstr>
  </property>
  <property fmtid="{D5CDD505-2E9C-101B-9397-08002B2CF9AE}" pid="9" name="ToAsAtDate">
    <vt:lpwstr>09 Oct 2014</vt:lpwstr>
  </property>
</Properties>
</file>