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Crown Suits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02-c0-08</w:t>
      </w:r>
      <w:r>
        <w:fldChar w:fldCharType="end"/>
      </w:r>
      <w:r>
        <w:t>] and [</w:t>
      </w:r>
      <w:r>
        <w:fldChar w:fldCharType="begin"/>
      </w:r>
      <w:r>
        <w:instrText xml:space="preserve"> DocProperty ToAsAtDate</w:instrText>
      </w:r>
      <w:r>
        <w:fldChar w:fldCharType="separate"/>
      </w:r>
      <w:r>
        <w:t>31 Oct 2014</w:t>
      </w:r>
      <w:r>
        <w:fldChar w:fldCharType="end"/>
      </w:r>
      <w:r>
        <w:t xml:space="preserve">, </w:t>
      </w:r>
      <w:r>
        <w:fldChar w:fldCharType="begin"/>
      </w:r>
      <w:r>
        <w:instrText xml:space="preserve"> DocProperty ToSuffix</w:instrText>
      </w:r>
      <w:r>
        <w:fldChar w:fldCharType="separate"/>
      </w:r>
      <w:r>
        <w:t>03-a0-05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Crown Suits Act 1947 </w:t>
      </w:r>
    </w:p>
    <w:p>
      <w:pPr>
        <w:pStyle w:val="LongTitle"/>
        <w:rPr>
          <w:snapToGrid w:val="0"/>
        </w:rPr>
      </w:pPr>
      <w:r>
        <w:rPr>
          <w:snapToGrid w:val="0"/>
        </w:rPr>
        <w:t>A</w:t>
      </w:r>
      <w:bookmarkStart w:id="1" w:name="_GoBack"/>
      <w:bookmarkEnd w:id="1"/>
      <w:r>
        <w:rPr>
          <w:snapToGrid w:val="0"/>
        </w:rPr>
        <w:t xml:space="preserve">n Act to repeal the </w:t>
      </w:r>
      <w:r>
        <w:rPr>
          <w:i/>
          <w:snapToGrid w:val="0"/>
        </w:rPr>
        <w:t>Crown Suits Act 1898 </w:t>
      </w:r>
      <w:r>
        <w:rPr>
          <w:b w:val="0"/>
          <w:snapToGrid w:val="0"/>
          <w:vertAlign w:val="superscript"/>
        </w:rPr>
        <w:t>2</w:t>
      </w:r>
      <w:r>
        <w:rPr>
          <w:snapToGrid w:val="0"/>
        </w:rPr>
        <w:t xml:space="preserve">, and to make better provision for suits by and against the Crown and for other purposes relative thereto and to the constitutional powers of the Crown. </w:t>
      </w:r>
    </w:p>
    <w:p>
      <w:pPr>
        <w:pStyle w:val="Heading5"/>
        <w:spacing w:before="400"/>
        <w:rPr>
          <w:snapToGrid w:val="0"/>
        </w:rPr>
      </w:pPr>
      <w:bookmarkStart w:id="2" w:name="_Toc403487107"/>
      <w:bookmarkStart w:id="3" w:name="_Toc416441108"/>
      <w:bookmarkStart w:id="4" w:name="_Toc378162994"/>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Crown Suits Act 1947</w:t>
      </w:r>
      <w:r>
        <w:rPr>
          <w:snapToGrid w:val="0"/>
          <w:vertAlign w:val="superscript"/>
        </w:rPr>
        <w:t> 1</w:t>
      </w:r>
      <w:r>
        <w:rPr>
          <w:snapToGrid w:val="0"/>
        </w:rPr>
        <w:t>.</w:t>
      </w:r>
    </w:p>
    <w:p>
      <w:pPr>
        <w:pStyle w:val="Ednotesection"/>
      </w:pPr>
      <w:r>
        <w:t>[</w:t>
      </w:r>
      <w:r>
        <w:rPr>
          <w:b/>
        </w:rPr>
        <w:t>2.</w:t>
      </w:r>
      <w:r>
        <w:tab/>
        <w:t>Omitted under the Reprints Act 1984 s. 7(4)(f).]</w:t>
      </w:r>
    </w:p>
    <w:p>
      <w:pPr>
        <w:pStyle w:val="Heading5"/>
        <w:rPr>
          <w:snapToGrid w:val="0"/>
        </w:rPr>
      </w:pPr>
      <w:bookmarkStart w:id="5" w:name="_Toc403487108"/>
      <w:bookmarkStart w:id="6" w:name="_Toc416441109"/>
      <w:bookmarkStart w:id="7" w:name="_Toc378162995"/>
      <w:r>
        <w:rPr>
          <w:rStyle w:val="CharSectno"/>
        </w:rPr>
        <w:t>3</w:t>
      </w:r>
      <w:r>
        <w:rPr>
          <w:snapToGrid w:val="0"/>
        </w:rPr>
        <w:t>.</w:t>
      </w:r>
      <w:r>
        <w:rPr>
          <w:snapToGrid w:val="0"/>
        </w:rPr>
        <w:tab/>
      </w:r>
      <w:del w:id="8" w:author="svcMRProcess" w:date="2019-02-08T15:47:00Z">
        <w:r>
          <w:rPr>
            <w:snapToGrid w:val="0"/>
          </w:rPr>
          <w:delText>Interpretation of “</w:delText>
        </w:r>
      </w:del>
      <w:ins w:id="9" w:author="svcMRProcess" w:date="2019-02-08T15:47:00Z">
        <w:r>
          <w:rPr>
            <w:snapToGrid w:val="0"/>
          </w:rPr>
          <w:t xml:space="preserve">Term used: </w:t>
        </w:r>
      </w:ins>
      <w:r>
        <w:rPr>
          <w:snapToGrid w:val="0"/>
        </w:rPr>
        <w:t>Crown</w:t>
      </w:r>
      <w:bookmarkEnd w:id="5"/>
      <w:bookmarkEnd w:id="6"/>
      <w:del w:id="10" w:author="svcMRProcess" w:date="2019-02-08T15:47:00Z">
        <w:r>
          <w:rPr>
            <w:snapToGrid w:val="0"/>
          </w:rPr>
          <w:delText>”</w:delText>
        </w:r>
        <w:bookmarkEnd w:id="7"/>
        <w:r>
          <w:rPr>
            <w:snapToGrid w:val="0"/>
          </w:rPr>
          <w:delText xml:space="preserve"> </w:delText>
        </w:r>
      </w:del>
    </w:p>
    <w:p>
      <w:pPr>
        <w:pStyle w:val="Subsection"/>
        <w:rPr>
          <w:snapToGrid w:val="0"/>
        </w:rPr>
      </w:pPr>
      <w:r>
        <w:rPr>
          <w:snapToGrid w:val="0"/>
        </w:rPr>
        <w:tab/>
      </w:r>
      <w:r>
        <w:rPr>
          <w:snapToGrid w:val="0"/>
        </w:rPr>
        <w:tab/>
        <w:t xml:space="preserve">In this Act, the term </w:t>
      </w:r>
      <w:r>
        <w:rPr>
          <w:rStyle w:val="CharDefText"/>
        </w:rPr>
        <w:t>Crown</w:t>
      </w:r>
      <w:r>
        <w:rPr>
          <w:snapToGrid w:val="0"/>
        </w:rPr>
        <w:t xml:space="preserve"> means the Crown in right of the Government of Western Australia.</w:t>
      </w:r>
    </w:p>
    <w:p>
      <w:pPr>
        <w:pStyle w:val="Heading5"/>
        <w:rPr>
          <w:snapToGrid w:val="0"/>
        </w:rPr>
      </w:pPr>
      <w:bookmarkStart w:id="11" w:name="_Toc403487109"/>
      <w:bookmarkStart w:id="12" w:name="_Toc416441110"/>
      <w:bookmarkStart w:id="13" w:name="_Toc378162996"/>
      <w:r>
        <w:rPr>
          <w:rStyle w:val="CharSectno"/>
        </w:rPr>
        <w:t>4</w:t>
      </w:r>
      <w:r>
        <w:rPr>
          <w:snapToGrid w:val="0"/>
        </w:rPr>
        <w:t>.</w:t>
      </w:r>
      <w:r>
        <w:rPr>
          <w:snapToGrid w:val="0"/>
        </w:rPr>
        <w:tab/>
        <w:t>Application of this Act</w:t>
      </w:r>
      <w:bookmarkEnd w:id="11"/>
      <w:bookmarkEnd w:id="12"/>
      <w:bookmarkEnd w:id="13"/>
      <w:r>
        <w:rPr>
          <w:snapToGrid w:val="0"/>
        </w:rPr>
        <w:t xml:space="preserve"> </w:t>
      </w:r>
    </w:p>
    <w:p>
      <w:pPr>
        <w:pStyle w:val="Subsection"/>
        <w:rPr>
          <w:snapToGrid w:val="0"/>
        </w:rPr>
      </w:pPr>
      <w:r>
        <w:rPr>
          <w:snapToGrid w:val="0"/>
        </w:rPr>
        <w:tab/>
      </w:r>
      <w:r>
        <w:rPr>
          <w:snapToGrid w:val="0"/>
        </w:rPr>
        <w:tab/>
        <w:t>This Act shall apply to any cause of action which accrues after the commencement of this Act </w:t>
      </w:r>
      <w:r>
        <w:rPr>
          <w:snapToGrid w:val="0"/>
          <w:vertAlign w:val="superscript"/>
        </w:rPr>
        <w:t>1</w:t>
      </w:r>
      <w:r>
        <w:rPr>
          <w:snapToGrid w:val="0"/>
        </w:rPr>
        <w:t>.</w:t>
      </w:r>
    </w:p>
    <w:p>
      <w:pPr>
        <w:pStyle w:val="Heading5"/>
        <w:rPr>
          <w:snapToGrid w:val="0"/>
        </w:rPr>
      </w:pPr>
      <w:bookmarkStart w:id="14" w:name="_Toc403487110"/>
      <w:bookmarkStart w:id="15" w:name="_Toc416441111"/>
      <w:bookmarkStart w:id="16" w:name="_Toc378162997"/>
      <w:r>
        <w:rPr>
          <w:rStyle w:val="CharSectno"/>
        </w:rPr>
        <w:t>5</w:t>
      </w:r>
      <w:r>
        <w:rPr>
          <w:snapToGrid w:val="0"/>
        </w:rPr>
        <w:t>.</w:t>
      </w:r>
      <w:r>
        <w:rPr>
          <w:snapToGrid w:val="0"/>
        </w:rPr>
        <w:tab/>
        <w:t>Crown to sue and be sued as subject</w:t>
      </w:r>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Subject to this Act, the Crown may sue and be sued in any </w:t>
      </w:r>
      <w:del w:id="17" w:author="svcMRProcess" w:date="2019-02-08T15:47:00Z">
        <w:r>
          <w:rPr>
            <w:snapToGrid w:val="0"/>
          </w:rPr>
          <w:delText>Court</w:delText>
        </w:r>
      </w:del>
      <w:ins w:id="18" w:author="svcMRProcess" w:date="2019-02-08T15:47:00Z">
        <w:r>
          <w:rPr>
            <w:snapToGrid w:val="0"/>
          </w:rPr>
          <w:t>court</w:t>
        </w:r>
      </w:ins>
      <w:r>
        <w:rPr>
          <w:snapToGrid w:val="0"/>
        </w:rPr>
        <w:t xml:space="preserve"> or otherwise competent jurisdiction in the same manner as a subject.</w:t>
      </w:r>
    </w:p>
    <w:p>
      <w:pPr>
        <w:pStyle w:val="Subsection"/>
        <w:rPr>
          <w:snapToGrid w:val="0"/>
        </w:rPr>
      </w:pPr>
      <w:r>
        <w:rPr>
          <w:snapToGrid w:val="0"/>
        </w:rPr>
        <w:tab/>
        <w:t>(2)</w:t>
      </w:r>
      <w:r>
        <w:rPr>
          <w:snapToGrid w:val="0"/>
        </w:rPr>
        <w:tab/>
        <w:t>Every proceeding shall be taken by or against the Crown under the title “the State of Western Australia”.</w:t>
      </w:r>
    </w:p>
    <w:p>
      <w:pPr>
        <w:pStyle w:val="Ednotesection"/>
      </w:pPr>
      <w:r>
        <w:t>[</w:t>
      </w:r>
      <w:r>
        <w:rPr>
          <w:b/>
          <w:bCs/>
        </w:rPr>
        <w:t>6.</w:t>
      </w:r>
      <w:r>
        <w:rPr>
          <w:b/>
          <w:bCs/>
        </w:rPr>
        <w:tab/>
      </w:r>
      <w:r>
        <w:t>Deleted</w:t>
      </w:r>
      <w:del w:id="19" w:author="svcMRProcess" w:date="2019-02-08T15:47:00Z">
        <w:r>
          <w:delText xml:space="preserve"> by</w:delText>
        </w:r>
      </w:del>
      <w:ins w:id="20" w:author="svcMRProcess" w:date="2019-02-08T15:47:00Z">
        <w:r>
          <w:t>:</w:t>
        </w:r>
      </w:ins>
      <w:r>
        <w:t xml:space="preserve"> No. 20 of 2005 s. 8(1).]</w:t>
      </w:r>
    </w:p>
    <w:p>
      <w:pPr>
        <w:pStyle w:val="Heading5"/>
        <w:spacing w:before="180"/>
        <w:rPr>
          <w:snapToGrid w:val="0"/>
        </w:rPr>
      </w:pPr>
      <w:bookmarkStart w:id="21" w:name="_Toc403487111"/>
      <w:bookmarkStart w:id="22" w:name="_Toc416441112"/>
      <w:bookmarkStart w:id="23" w:name="_Toc378162998"/>
      <w:r>
        <w:rPr>
          <w:rStyle w:val="CharSectno"/>
        </w:rPr>
        <w:t>7</w:t>
      </w:r>
      <w:r>
        <w:rPr>
          <w:snapToGrid w:val="0"/>
        </w:rPr>
        <w:t>.</w:t>
      </w:r>
      <w:r>
        <w:rPr>
          <w:snapToGrid w:val="0"/>
        </w:rPr>
        <w:tab/>
        <w:t>Statutory rights preserved where already given</w:t>
      </w:r>
      <w:bookmarkEnd w:id="21"/>
      <w:bookmarkEnd w:id="22"/>
      <w:bookmarkEnd w:id="23"/>
      <w:r>
        <w:rPr>
          <w:snapToGrid w:val="0"/>
        </w:rPr>
        <w:t xml:space="preserve"> </w:t>
      </w:r>
    </w:p>
    <w:p>
      <w:pPr>
        <w:pStyle w:val="Subsection"/>
        <w:spacing w:before="120"/>
        <w:rPr>
          <w:snapToGrid w:val="0"/>
        </w:rPr>
      </w:pPr>
      <w:r>
        <w:rPr>
          <w:snapToGrid w:val="0"/>
        </w:rPr>
        <w:tab/>
      </w:r>
      <w:r>
        <w:rPr>
          <w:snapToGrid w:val="0"/>
        </w:rPr>
        <w:tab/>
        <w:t>Nothing in this Act shall affect — </w:t>
      </w:r>
    </w:p>
    <w:p>
      <w:pPr>
        <w:pStyle w:val="Indenta"/>
        <w:rPr>
          <w:snapToGrid w:val="0"/>
        </w:rPr>
      </w:pPr>
      <w:r>
        <w:rPr>
          <w:snapToGrid w:val="0"/>
        </w:rPr>
        <w:lastRenderedPageBreak/>
        <w:tab/>
        <w:t>(a)</w:t>
      </w:r>
      <w:r>
        <w:rPr>
          <w:snapToGrid w:val="0"/>
        </w:rPr>
        <w:tab/>
        <w:t>the rights or liabilities of any corporate body or instrumentality of the Crown created by any Act of Parliament</w:t>
      </w:r>
      <w:del w:id="24" w:author="svcMRProcess" w:date="2019-02-08T15:47:00Z">
        <w:r>
          <w:rPr>
            <w:snapToGrid w:val="0"/>
          </w:rPr>
          <w:delText>.</w:delText>
        </w:r>
      </w:del>
      <w:ins w:id="25" w:author="svcMRProcess" w:date="2019-02-08T15:47:00Z">
        <w:r>
          <w:rPr>
            <w:snapToGrid w:val="0"/>
          </w:rPr>
          <w:t>;</w:t>
        </w:r>
      </w:ins>
    </w:p>
    <w:p>
      <w:pPr>
        <w:pStyle w:val="Indenta"/>
        <w:rPr>
          <w:snapToGrid w:val="0"/>
        </w:rPr>
      </w:pPr>
      <w:r>
        <w:rPr>
          <w:snapToGrid w:val="0"/>
        </w:rPr>
        <w:tab/>
        <w:t>(b)</w:t>
      </w:r>
      <w:r>
        <w:rPr>
          <w:snapToGrid w:val="0"/>
        </w:rPr>
        <w:tab/>
        <w:t>any right of action which is conferred on the subject by any Act of Parliament against any corporate body or instrumentality of the Crown or any official or person nominated as a defendant on behalf of the Crown;</w:t>
      </w:r>
    </w:p>
    <w:p>
      <w:pPr>
        <w:pStyle w:val="Indenta"/>
        <w:rPr>
          <w:snapToGrid w:val="0"/>
        </w:rPr>
      </w:pPr>
      <w:r>
        <w:rPr>
          <w:snapToGrid w:val="0"/>
        </w:rPr>
        <w:tab/>
        <w:t>(c)</w:t>
      </w:r>
      <w:r>
        <w:rPr>
          <w:snapToGrid w:val="0"/>
        </w:rPr>
        <w:tab/>
        <w:t>any right or liability by law or custom established of Her Majesty’s Attorney General to sue or be sued on behalf of the Crown.</w:t>
      </w:r>
    </w:p>
    <w:p>
      <w:pPr>
        <w:pStyle w:val="Heading5"/>
        <w:rPr>
          <w:snapToGrid w:val="0"/>
        </w:rPr>
      </w:pPr>
      <w:bookmarkStart w:id="26" w:name="_Toc403487112"/>
      <w:bookmarkStart w:id="27" w:name="_Toc416441113"/>
      <w:bookmarkStart w:id="28" w:name="_Toc378162999"/>
      <w:r>
        <w:rPr>
          <w:rStyle w:val="CharSectno"/>
        </w:rPr>
        <w:t>8</w:t>
      </w:r>
      <w:r>
        <w:rPr>
          <w:snapToGrid w:val="0"/>
        </w:rPr>
        <w:t>.</w:t>
      </w:r>
      <w:r>
        <w:rPr>
          <w:snapToGrid w:val="0"/>
        </w:rPr>
        <w:tab/>
        <w:t xml:space="preserve">Joinder of </w:t>
      </w:r>
      <w:del w:id="29" w:author="svcMRProcess" w:date="2019-02-08T15:47:00Z">
        <w:r>
          <w:rPr>
            <w:snapToGrid w:val="0"/>
          </w:rPr>
          <w:delText xml:space="preserve">the </w:delText>
        </w:r>
      </w:del>
      <w:r>
        <w:rPr>
          <w:snapToGrid w:val="0"/>
        </w:rPr>
        <w:t>Crown in proceedings between subject and subject</w:t>
      </w:r>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When in any action, </w:t>
      </w:r>
      <w:del w:id="30" w:author="svcMRProcess" w:date="2019-02-08T15:47:00Z">
        <w:r>
          <w:rPr>
            <w:snapToGrid w:val="0"/>
          </w:rPr>
          <w:delText>use</w:delText>
        </w:r>
      </w:del>
      <w:ins w:id="31" w:author="svcMRProcess" w:date="2019-02-08T15:47:00Z">
        <w:r>
          <w:rPr>
            <w:snapToGrid w:val="0"/>
          </w:rPr>
          <w:t>cause</w:t>
        </w:r>
      </w:ins>
      <w:r>
        <w:rPr>
          <w:snapToGrid w:val="0"/>
        </w:rPr>
        <w:t xml:space="preserve"> or proceeding between litigants in any civil </w:t>
      </w:r>
      <w:del w:id="32" w:author="svcMRProcess" w:date="2019-02-08T15:47:00Z">
        <w:r>
          <w:rPr>
            <w:snapToGrid w:val="0"/>
          </w:rPr>
          <w:delText>Court</w:delText>
        </w:r>
      </w:del>
      <w:ins w:id="33" w:author="svcMRProcess" w:date="2019-02-08T15:47:00Z">
        <w:r>
          <w:rPr>
            <w:snapToGrid w:val="0"/>
          </w:rPr>
          <w:t>court</w:t>
        </w:r>
      </w:ins>
      <w:r>
        <w:rPr>
          <w:snapToGrid w:val="0"/>
        </w:rPr>
        <w:t xml:space="preserve"> in Western Australia in which the Crown is not a party it appears to the </w:t>
      </w:r>
      <w:del w:id="34" w:author="svcMRProcess" w:date="2019-02-08T15:47:00Z">
        <w:r>
          <w:rPr>
            <w:snapToGrid w:val="0"/>
          </w:rPr>
          <w:delText>Court</w:delText>
        </w:r>
      </w:del>
      <w:ins w:id="35" w:author="svcMRProcess" w:date="2019-02-08T15:47:00Z">
        <w:r>
          <w:rPr>
            <w:snapToGrid w:val="0"/>
          </w:rPr>
          <w:t>court</w:t>
        </w:r>
      </w:ins>
      <w:r>
        <w:rPr>
          <w:snapToGrid w:val="0"/>
        </w:rPr>
        <w:t xml:space="preserve"> that the constitutional rights of the Crown may be directly or indirectly affected, or any question arises as to the constitutional validity of any Act of Parliament of the State, the Crown may obtain leave by its Attorney General to intervene, or the </w:t>
      </w:r>
      <w:del w:id="36" w:author="svcMRProcess" w:date="2019-02-08T15:47:00Z">
        <w:r>
          <w:rPr>
            <w:snapToGrid w:val="0"/>
          </w:rPr>
          <w:delText>Court</w:delText>
        </w:r>
      </w:del>
      <w:ins w:id="37" w:author="svcMRProcess" w:date="2019-02-08T15:47:00Z">
        <w:r>
          <w:rPr>
            <w:snapToGrid w:val="0"/>
          </w:rPr>
          <w:t>court</w:t>
        </w:r>
      </w:ins>
      <w:r>
        <w:rPr>
          <w:snapToGrid w:val="0"/>
        </w:rPr>
        <w:t xml:space="preserve"> may order that the Crown be joined as a party.</w:t>
      </w:r>
    </w:p>
    <w:p>
      <w:pPr>
        <w:pStyle w:val="Subsection"/>
        <w:rPr>
          <w:snapToGrid w:val="0"/>
        </w:rPr>
      </w:pPr>
      <w:r>
        <w:rPr>
          <w:snapToGrid w:val="0"/>
        </w:rPr>
        <w:tab/>
        <w:t>(2)</w:t>
      </w:r>
      <w:r>
        <w:rPr>
          <w:snapToGrid w:val="0"/>
        </w:rPr>
        <w:tab/>
        <w:t xml:space="preserve">Where any such question arises in any civil </w:t>
      </w:r>
      <w:del w:id="38" w:author="svcMRProcess" w:date="2019-02-08T15:47:00Z">
        <w:r>
          <w:rPr>
            <w:snapToGrid w:val="0"/>
          </w:rPr>
          <w:delText>Court</w:delText>
        </w:r>
      </w:del>
      <w:ins w:id="39" w:author="svcMRProcess" w:date="2019-02-08T15:47:00Z">
        <w:r>
          <w:rPr>
            <w:snapToGrid w:val="0"/>
          </w:rPr>
          <w:t>court</w:t>
        </w:r>
      </w:ins>
      <w:r>
        <w:rPr>
          <w:snapToGrid w:val="0"/>
        </w:rPr>
        <w:t>, except the Supreme Court, the Supreme Court or a judge thereof may, on the application of a party or of the Attorney General, remove the proceedings into the Supreme Court for trial and determination.</w:t>
      </w:r>
    </w:p>
    <w:p>
      <w:pPr>
        <w:pStyle w:val="Subsection"/>
        <w:rPr>
          <w:snapToGrid w:val="0"/>
        </w:rPr>
      </w:pPr>
      <w:r>
        <w:rPr>
          <w:snapToGrid w:val="0"/>
        </w:rPr>
        <w:tab/>
        <w:t>(3)</w:t>
      </w:r>
      <w:r>
        <w:rPr>
          <w:snapToGrid w:val="0"/>
        </w:rPr>
        <w:tab/>
        <w:t xml:space="preserve">Every such intervention or joinder or removal shall be on such terms and conditions as the </w:t>
      </w:r>
      <w:del w:id="40" w:author="svcMRProcess" w:date="2019-02-08T15:47:00Z">
        <w:r>
          <w:rPr>
            <w:snapToGrid w:val="0"/>
          </w:rPr>
          <w:delText>Court</w:delText>
        </w:r>
      </w:del>
      <w:ins w:id="41" w:author="svcMRProcess" w:date="2019-02-08T15:47:00Z">
        <w:r>
          <w:rPr>
            <w:snapToGrid w:val="0"/>
          </w:rPr>
          <w:t>court</w:t>
        </w:r>
      </w:ins>
      <w:r>
        <w:rPr>
          <w:snapToGrid w:val="0"/>
        </w:rPr>
        <w:t xml:space="preserve"> shall deem just.</w:t>
      </w:r>
    </w:p>
    <w:p>
      <w:pPr>
        <w:pStyle w:val="Subsection"/>
        <w:rPr>
          <w:snapToGrid w:val="0"/>
        </w:rPr>
      </w:pPr>
      <w:r>
        <w:rPr>
          <w:snapToGrid w:val="0"/>
        </w:rPr>
        <w:tab/>
        <w:t>(4)</w:t>
      </w:r>
      <w:r>
        <w:rPr>
          <w:snapToGrid w:val="0"/>
        </w:rPr>
        <w:tab/>
        <w:t xml:space="preserve">In this section </w:t>
      </w:r>
      <w:r>
        <w:rPr>
          <w:rStyle w:val="CharDefText"/>
        </w:rPr>
        <w:t>Act of Parliament</w:t>
      </w:r>
      <w:r>
        <w:rPr>
          <w:snapToGrid w:val="0"/>
        </w:rPr>
        <w:t xml:space="preserve"> includes an ordinance passed before the grant of responsible government to the State.</w:t>
      </w:r>
    </w:p>
    <w:p>
      <w:pPr>
        <w:pStyle w:val="Heading5"/>
        <w:rPr>
          <w:snapToGrid w:val="0"/>
        </w:rPr>
      </w:pPr>
      <w:bookmarkStart w:id="42" w:name="_Toc403487113"/>
      <w:bookmarkStart w:id="43" w:name="_Toc416441114"/>
      <w:bookmarkStart w:id="44" w:name="_Toc378163000"/>
      <w:r>
        <w:rPr>
          <w:rStyle w:val="CharSectno"/>
        </w:rPr>
        <w:t>9</w:t>
      </w:r>
      <w:r>
        <w:rPr>
          <w:snapToGrid w:val="0"/>
        </w:rPr>
        <w:t>.</w:t>
      </w:r>
      <w:r>
        <w:rPr>
          <w:snapToGrid w:val="0"/>
        </w:rPr>
        <w:tab/>
        <w:t>Same process available to Crown and subject</w:t>
      </w:r>
      <w:bookmarkEnd w:id="42"/>
      <w:bookmarkEnd w:id="43"/>
      <w:bookmarkEnd w:id="44"/>
      <w:r>
        <w:rPr>
          <w:snapToGrid w:val="0"/>
        </w:rPr>
        <w:t xml:space="preserve"> </w:t>
      </w:r>
    </w:p>
    <w:p>
      <w:pPr>
        <w:pStyle w:val="Subsection"/>
        <w:rPr>
          <w:snapToGrid w:val="0"/>
        </w:rPr>
      </w:pPr>
      <w:r>
        <w:rPr>
          <w:snapToGrid w:val="0"/>
        </w:rPr>
        <w:tab/>
      </w:r>
      <w:r>
        <w:rPr>
          <w:snapToGrid w:val="0"/>
        </w:rPr>
        <w:tab/>
        <w:t xml:space="preserve">Subject to this Act, the same process shall be available both to the Crown and to the subject for the determination and enforcement of claims in Her Majesty’s civil </w:t>
      </w:r>
      <w:del w:id="45" w:author="svcMRProcess" w:date="2019-02-08T15:47:00Z">
        <w:r>
          <w:rPr>
            <w:snapToGrid w:val="0"/>
          </w:rPr>
          <w:delText>Courts</w:delText>
        </w:r>
      </w:del>
      <w:ins w:id="46" w:author="svcMRProcess" w:date="2019-02-08T15:47:00Z">
        <w:r>
          <w:rPr>
            <w:snapToGrid w:val="0"/>
          </w:rPr>
          <w:t>courts</w:t>
        </w:r>
      </w:ins>
      <w:r>
        <w:rPr>
          <w:snapToGrid w:val="0"/>
        </w:rPr>
        <w:t>.</w:t>
      </w:r>
    </w:p>
    <w:p>
      <w:pPr>
        <w:pStyle w:val="Heading5"/>
        <w:rPr>
          <w:snapToGrid w:val="0"/>
        </w:rPr>
      </w:pPr>
      <w:bookmarkStart w:id="47" w:name="_Toc403487114"/>
      <w:bookmarkStart w:id="48" w:name="_Toc416441115"/>
      <w:bookmarkStart w:id="49" w:name="_Toc378163001"/>
      <w:r>
        <w:rPr>
          <w:rStyle w:val="CharSectno"/>
        </w:rPr>
        <w:t>10</w:t>
      </w:r>
      <w:r>
        <w:rPr>
          <w:snapToGrid w:val="0"/>
        </w:rPr>
        <w:t>.</w:t>
      </w:r>
      <w:r>
        <w:rPr>
          <w:snapToGrid w:val="0"/>
        </w:rPr>
        <w:tab/>
        <w:t xml:space="preserve">Method of recovering judgment against </w:t>
      </w:r>
      <w:del w:id="50" w:author="svcMRProcess" w:date="2019-02-08T15:47:00Z">
        <w:r>
          <w:rPr>
            <w:snapToGrid w:val="0"/>
          </w:rPr>
          <w:delText xml:space="preserve">the </w:delText>
        </w:r>
      </w:del>
      <w:r>
        <w:rPr>
          <w:snapToGrid w:val="0"/>
        </w:rPr>
        <w:t>Crown</w:t>
      </w:r>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No execution or other process in the nature of execution shall be issued out of any </w:t>
      </w:r>
      <w:del w:id="51" w:author="svcMRProcess" w:date="2019-02-08T15:47:00Z">
        <w:r>
          <w:rPr>
            <w:snapToGrid w:val="0"/>
          </w:rPr>
          <w:delText>Court</w:delText>
        </w:r>
      </w:del>
      <w:ins w:id="52" w:author="svcMRProcess" w:date="2019-02-08T15:47:00Z">
        <w:r>
          <w:rPr>
            <w:snapToGrid w:val="0"/>
          </w:rPr>
          <w:t>court</w:t>
        </w:r>
      </w:ins>
      <w:r>
        <w:rPr>
          <w:snapToGrid w:val="0"/>
        </w:rPr>
        <w:t xml:space="preserve"> against the Crown, but after any judgment has been given against the Crown the </w:t>
      </w:r>
      <w:del w:id="53" w:author="svcMRProcess" w:date="2019-02-08T15:47:00Z">
        <w:r>
          <w:rPr>
            <w:snapToGrid w:val="0"/>
          </w:rPr>
          <w:delText>Registrar</w:delText>
        </w:r>
      </w:del>
      <w:ins w:id="54" w:author="svcMRProcess" w:date="2019-02-08T15:47:00Z">
        <w:r>
          <w:rPr>
            <w:snapToGrid w:val="0"/>
          </w:rPr>
          <w:t>registrar</w:t>
        </w:r>
      </w:ins>
      <w:r>
        <w:rPr>
          <w:snapToGrid w:val="0"/>
        </w:rPr>
        <w:t xml:space="preserve"> of the Supreme Court shall give to the party in whose favour the judgment is given a certificate of such judgment in the prescribed form and sealed with the seal of the Supreme Court.</w:t>
      </w:r>
    </w:p>
    <w:p>
      <w:pPr>
        <w:pStyle w:val="Subsection"/>
        <w:rPr>
          <w:snapToGrid w:val="0"/>
        </w:rPr>
      </w:pPr>
      <w:r>
        <w:rPr>
          <w:snapToGrid w:val="0"/>
        </w:rPr>
        <w:tab/>
        <w:t>(2)</w:t>
      </w:r>
      <w:r>
        <w:rPr>
          <w:snapToGrid w:val="0"/>
        </w:rPr>
        <w:tab/>
        <w:t>On the receipt of such certificate the Governor shall cause to be charged to the Consolidated Account the amount of such judgment and costs to the person entitled to recover the same.</w:t>
      </w:r>
    </w:p>
    <w:p>
      <w:pPr>
        <w:pStyle w:val="Footnotesection"/>
      </w:pPr>
      <w:r>
        <w:tab/>
        <w:t>[Section 10 amended</w:t>
      </w:r>
      <w:del w:id="55" w:author="svcMRProcess" w:date="2019-02-08T15:47:00Z">
        <w:r>
          <w:delText xml:space="preserve"> by</w:delText>
        </w:r>
      </w:del>
      <w:ins w:id="56" w:author="svcMRProcess" w:date="2019-02-08T15:47:00Z">
        <w:r>
          <w:t>:</w:t>
        </w:r>
      </w:ins>
      <w:r>
        <w:t xml:space="preserve"> No. 6 of 1993 s. 11; No. 49 of 1996 s. 64; No. 77 of 2006 s. 4.]</w:t>
      </w:r>
    </w:p>
    <w:p>
      <w:pPr>
        <w:pStyle w:val="Heading5"/>
        <w:rPr>
          <w:snapToGrid w:val="0"/>
        </w:rPr>
      </w:pPr>
      <w:bookmarkStart w:id="57" w:name="_Toc403487115"/>
      <w:bookmarkStart w:id="58" w:name="_Toc416441116"/>
      <w:bookmarkStart w:id="59" w:name="_Toc378163002"/>
      <w:r>
        <w:rPr>
          <w:rStyle w:val="CharSectno"/>
        </w:rPr>
        <w:t>11</w:t>
      </w:r>
      <w:r>
        <w:rPr>
          <w:snapToGrid w:val="0"/>
        </w:rPr>
        <w:t>.</w:t>
      </w:r>
      <w:r>
        <w:rPr>
          <w:snapToGrid w:val="0"/>
        </w:rPr>
        <w:tab/>
        <w:t xml:space="preserve">Writs of extent and </w:t>
      </w:r>
      <w:del w:id="60" w:author="svcMRProcess" w:date="2019-02-08T15:47:00Z">
        <w:r>
          <w:rPr>
            <w:snapToGrid w:val="0"/>
          </w:rPr>
          <w:delText>Ca. Sa.</w:delText>
        </w:r>
      </w:del>
      <w:ins w:id="61" w:author="svcMRProcess" w:date="2019-02-08T15:47:00Z">
        <w:r>
          <w:rPr>
            <w:i/>
            <w:snapToGrid w:val="0"/>
          </w:rPr>
          <w:t>capias ad satisfaciendum</w:t>
        </w:r>
      </w:ins>
      <w:r>
        <w:rPr>
          <w:snapToGrid w:val="0"/>
        </w:rPr>
        <w:t xml:space="preserve"> abolished</w:t>
      </w:r>
      <w:bookmarkEnd w:id="57"/>
      <w:bookmarkEnd w:id="58"/>
      <w:bookmarkEnd w:id="59"/>
      <w:r>
        <w:rPr>
          <w:snapToGrid w:val="0"/>
        </w:rPr>
        <w:t xml:space="preserve"> </w:t>
      </w:r>
    </w:p>
    <w:p>
      <w:pPr>
        <w:pStyle w:val="Subsection"/>
        <w:rPr>
          <w:snapToGrid w:val="0"/>
        </w:rPr>
      </w:pPr>
      <w:r>
        <w:rPr>
          <w:snapToGrid w:val="0"/>
        </w:rPr>
        <w:tab/>
      </w:r>
      <w:r>
        <w:rPr>
          <w:snapToGrid w:val="0"/>
        </w:rPr>
        <w:tab/>
        <w:t xml:space="preserve">The writ of extent and the writ of </w:t>
      </w:r>
      <w:r>
        <w:rPr>
          <w:i/>
          <w:snapToGrid w:val="0"/>
        </w:rPr>
        <w:t>capias ad satisfaciendum</w:t>
      </w:r>
      <w:r>
        <w:rPr>
          <w:snapToGrid w:val="0"/>
        </w:rPr>
        <w:t xml:space="preserve"> shall no longer be available at the instance of the Crown for the recovery of debts and judgments and the same are hereby abolished.</w:t>
      </w:r>
    </w:p>
    <w:p>
      <w:pPr>
        <w:pStyle w:val="Heading5"/>
        <w:rPr>
          <w:snapToGrid w:val="0"/>
        </w:rPr>
      </w:pPr>
      <w:bookmarkStart w:id="62" w:name="_Toc403487116"/>
      <w:bookmarkStart w:id="63" w:name="_Toc416441117"/>
      <w:bookmarkStart w:id="64" w:name="_Toc378163003"/>
      <w:r>
        <w:rPr>
          <w:rStyle w:val="CharSectno"/>
        </w:rPr>
        <w:t>12</w:t>
      </w:r>
      <w:r>
        <w:rPr>
          <w:snapToGrid w:val="0"/>
        </w:rPr>
        <w:t>.</w:t>
      </w:r>
      <w:r>
        <w:rPr>
          <w:snapToGrid w:val="0"/>
        </w:rPr>
        <w:tab/>
        <w:t>Rules of Court</w:t>
      </w:r>
      <w:bookmarkEnd w:id="62"/>
      <w:bookmarkEnd w:id="63"/>
      <w:bookmarkEnd w:id="64"/>
      <w:r>
        <w:rPr>
          <w:snapToGrid w:val="0"/>
        </w:rPr>
        <w:t xml:space="preserve"> </w:t>
      </w:r>
    </w:p>
    <w:p>
      <w:pPr>
        <w:pStyle w:val="Subsection"/>
        <w:rPr>
          <w:snapToGrid w:val="0"/>
        </w:rPr>
      </w:pPr>
      <w:r>
        <w:rPr>
          <w:snapToGrid w:val="0"/>
        </w:rPr>
        <w:tab/>
      </w:r>
      <w:r>
        <w:rPr>
          <w:snapToGrid w:val="0"/>
        </w:rPr>
        <w:tab/>
        <w:t xml:space="preserve">The </w:t>
      </w:r>
      <w:del w:id="65" w:author="svcMRProcess" w:date="2019-02-08T15:47:00Z">
        <w:r>
          <w:rPr>
            <w:snapToGrid w:val="0"/>
          </w:rPr>
          <w:delText>Judges</w:delText>
        </w:r>
      </w:del>
      <w:ins w:id="66" w:author="svcMRProcess" w:date="2019-02-08T15:47:00Z">
        <w:r>
          <w:rPr>
            <w:snapToGrid w:val="0"/>
          </w:rPr>
          <w:t>judges</w:t>
        </w:r>
      </w:ins>
      <w:r>
        <w:rPr>
          <w:snapToGrid w:val="0"/>
        </w:rPr>
        <w:t xml:space="preserve"> of the Supreme Court or any 2 of them may make rules governing practice or procedure which in their opinion requires to be specially prescribed for the purpose hereof, and subject thereto the </w:t>
      </w:r>
      <w:del w:id="67" w:author="svcMRProcess" w:date="2019-02-08T15:47:00Z">
        <w:r>
          <w:rPr>
            <w:snapToGrid w:val="0"/>
          </w:rPr>
          <w:delText>Rules</w:delText>
        </w:r>
      </w:del>
      <w:ins w:id="68" w:author="svcMRProcess" w:date="2019-02-08T15:47:00Z">
        <w:r>
          <w:rPr>
            <w:snapToGrid w:val="0"/>
          </w:rPr>
          <w:t>rules</w:t>
        </w:r>
      </w:ins>
      <w:r>
        <w:rPr>
          <w:snapToGrid w:val="0"/>
        </w:rPr>
        <w:t xml:space="preserve"> of the Supreme Court or of any competent </w:t>
      </w:r>
      <w:del w:id="69" w:author="svcMRProcess" w:date="2019-02-08T15:47:00Z">
        <w:r>
          <w:rPr>
            <w:snapToGrid w:val="0"/>
          </w:rPr>
          <w:delText>Court</w:delText>
        </w:r>
      </w:del>
      <w:ins w:id="70" w:author="svcMRProcess" w:date="2019-02-08T15:47:00Z">
        <w:r>
          <w:rPr>
            <w:snapToGrid w:val="0"/>
          </w:rPr>
          <w:t>court</w:t>
        </w:r>
      </w:ins>
      <w:r>
        <w:rPr>
          <w:snapToGrid w:val="0"/>
        </w:rPr>
        <w:t xml:space="preserve"> in which an action is brought by or against the Crown shall apply as far as applicable to the practice and procedure to be observed in such action.</w:t>
      </w:r>
    </w:p>
    <w:p>
      <w:pPr>
        <w:pStyle w:val="CentredBaseLine"/>
        <w:jc w:val="center"/>
        <w:rPr>
          <w:ins w:id="71" w:author="svcMRProcess" w:date="2019-02-08T15:47:00Z"/>
        </w:rPr>
      </w:pPr>
      <w:ins w:id="72" w:author="svcMRProcess" w:date="2019-02-08T15:4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73" w:name="_Toc403485794"/>
      <w:bookmarkStart w:id="74" w:name="_Toc403487117"/>
      <w:bookmarkStart w:id="75" w:name="_Toc416441062"/>
      <w:bookmarkStart w:id="76" w:name="_Toc416441118"/>
      <w:bookmarkStart w:id="77" w:name="_Toc378163004"/>
      <w:r>
        <w:t>Notes</w:t>
      </w:r>
      <w:bookmarkEnd w:id="73"/>
      <w:bookmarkEnd w:id="74"/>
      <w:bookmarkEnd w:id="75"/>
      <w:bookmarkEnd w:id="76"/>
      <w:bookmarkEnd w:id="77"/>
    </w:p>
    <w:p>
      <w:pPr>
        <w:pStyle w:val="nSubsection"/>
        <w:rPr>
          <w:snapToGrid w:val="0"/>
        </w:rPr>
      </w:pPr>
      <w:r>
        <w:rPr>
          <w:snapToGrid w:val="0"/>
          <w:vertAlign w:val="superscript"/>
        </w:rPr>
        <w:t>1</w:t>
      </w:r>
      <w:r>
        <w:rPr>
          <w:snapToGrid w:val="0"/>
        </w:rPr>
        <w:tab/>
        <w:t xml:space="preserve">This is a compilation of the </w:t>
      </w:r>
      <w:r>
        <w:rPr>
          <w:i/>
          <w:noProof/>
          <w:snapToGrid w:val="0"/>
        </w:rPr>
        <w:t>Crown Suits Act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8" w:name="_Toc403487118"/>
      <w:bookmarkStart w:id="79" w:name="_Toc416441119"/>
      <w:bookmarkStart w:id="80" w:name="_Toc378163005"/>
      <w:r>
        <w:rPr>
          <w:snapToGrid w:val="0"/>
        </w:rPr>
        <w:t>Compilation table</w:t>
      </w:r>
      <w:bookmarkEnd w:id="78"/>
      <w:bookmarkEnd w:id="79"/>
      <w:bookmarkEnd w:id="8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w:t>
            </w:r>
            <w:del w:id="81" w:author="svcMRProcess" w:date="2019-02-08T15:47:00Z">
              <w:r>
                <w:rPr>
                  <w:b/>
                </w:rPr>
                <w:delText> </w:delText>
              </w:r>
            </w:del>
            <w:ins w:id="82" w:author="svcMRProcess" w:date="2019-02-08T15:47:00Z">
              <w:r>
                <w:rPr>
                  <w:b/>
                </w:rPr>
                <w:t xml:space="preserve"> </w:t>
              </w:r>
            </w:ins>
            <w:r>
              <w:rPr>
                <w:b/>
              </w:rPr>
              <w:t>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ind w:right="-198"/>
              <w:rPr>
                <w:b/>
              </w:rPr>
            </w:pPr>
            <w:r>
              <w:rPr>
                <w:b/>
              </w:rPr>
              <w:t>Commencement</w:t>
            </w:r>
          </w:p>
        </w:tc>
      </w:tr>
      <w:tr>
        <w:tc>
          <w:tcPr>
            <w:tcW w:w="2268" w:type="dxa"/>
          </w:tcPr>
          <w:p>
            <w:pPr>
              <w:pStyle w:val="nTable"/>
              <w:spacing w:after="40"/>
            </w:pPr>
            <w:r>
              <w:rPr>
                <w:i/>
              </w:rPr>
              <w:t>Crown Suits Act 1947</w:t>
            </w:r>
          </w:p>
        </w:tc>
        <w:tc>
          <w:tcPr>
            <w:tcW w:w="1134" w:type="dxa"/>
          </w:tcPr>
          <w:p>
            <w:pPr>
              <w:pStyle w:val="nTable"/>
              <w:spacing w:after="40"/>
            </w:pPr>
            <w:r>
              <w:t>11 of 1947</w:t>
            </w:r>
            <w:ins w:id="83" w:author="svcMRProcess" w:date="2019-02-08T15:47:00Z">
              <w:r>
                <w:br/>
                <w:t>(11 Geo. VI No. 11)</w:t>
              </w:r>
            </w:ins>
          </w:p>
        </w:tc>
        <w:tc>
          <w:tcPr>
            <w:tcW w:w="1134" w:type="dxa"/>
          </w:tcPr>
          <w:p>
            <w:pPr>
              <w:pStyle w:val="nTable"/>
              <w:spacing w:after="40"/>
            </w:pPr>
            <w:r>
              <w:t>1 Nov 1947</w:t>
            </w:r>
          </w:p>
        </w:tc>
        <w:tc>
          <w:tcPr>
            <w:tcW w:w="2552" w:type="dxa"/>
          </w:tcPr>
          <w:p>
            <w:pPr>
              <w:pStyle w:val="nTable"/>
              <w:spacing w:after="40"/>
              <w:ind w:right="-198"/>
            </w:pPr>
            <w:r>
              <w:t>1 Nov 1947</w:t>
            </w:r>
          </w:p>
        </w:tc>
      </w:tr>
      <w:tr>
        <w:tc>
          <w:tcPr>
            <w:tcW w:w="2268" w:type="dxa"/>
          </w:tcPr>
          <w:p>
            <w:pPr>
              <w:pStyle w:val="nTable"/>
              <w:spacing w:after="40"/>
            </w:pPr>
            <w:r>
              <w:rPr>
                <w:i/>
              </w:rPr>
              <w:t>Crown Suits Act Amendment Act 1954</w:t>
            </w:r>
          </w:p>
        </w:tc>
        <w:tc>
          <w:tcPr>
            <w:tcW w:w="1134" w:type="dxa"/>
          </w:tcPr>
          <w:p>
            <w:pPr>
              <w:pStyle w:val="nTable"/>
              <w:spacing w:after="40"/>
            </w:pPr>
            <w:r>
              <w:t>22 of 1954</w:t>
            </w:r>
            <w:ins w:id="84" w:author="svcMRProcess" w:date="2019-02-08T15:47:00Z">
              <w:r>
                <w:br/>
                <w:t>(3 Eliz. II No. 22)</w:t>
              </w:r>
            </w:ins>
          </w:p>
        </w:tc>
        <w:tc>
          <w:tcPr>
            <w:tcW w:w="1134" w:type="dxa"/>
          </w:tcPr>
          <w:p>
            <w:pPr>
              <w:pStyle w:val="nTable"/>
              <w:spacing w:after="40"/>
            </w:pPr>
            <w:r>
              <w:t>7 Oct 1954</w:t>
            </w:r>
          </w:p>
        </w:tc>
        <w:tc>
          <w:tcPr>
            <w:tcW w:w="2552" w:type="dxa"/>
          </w:tcPr>
          <w:p>
            <w:pPr>
              <w:pStyle w:val="nTable"/>
              <w:spacing w:after="40"/>
              <w:ind w:right="-198"/>
            </w:pPr>
            <w:r>
              <w:t>7 Oct 1954</w:t>
            </w:r>
          </w:p>
        </w:tc>
      </w:tr>
      <w:tr>
        <w:trPr>
          <w:cantSplit/>
        </w:trPr>
        <w:tc>
          <w:tcPr>
            <w:tcW w:w="7088" w:type="dxa"/>
            <w:gridSpan w:val="4"/>
          </w:tcPr>
          <w:p>
            <w:pPr>
              <w:pStyle w:val="nTable"/>
              <w:spacing w:after="40"/>
              <w:ind w:right="-198"/>
            </w:pPr>
            <w:r>
              <w:rPr>
                <w:b/>
              </w:rPr>
              <w:t xml:space="preserve">Reprint of the </w:t>
            </w:r>
            <w:r>
              <w:rPr>
                <w:b/>
                <w:i/>
              </w:rPr>
              <w:t>Crown Suits Act 1947</w:t>
            </w:r>
            <w:r>
              <w:rPr>
                <w:b/>
              </w:rPr>
              <w:t xml:space="preserve"> approved 14 Apr 1971</w:t>
            </w:r>
            <w:r>
              <w:t xml:space="preserve"> (includes amendments listed above)</w:t>
            </w:r>
          </w:p>
        </w:tc>
      </w:tr>
      <w:tr>
        <w:tc>
          <w:tcPr>
            <w:tcW w:w="2268" w:type="dxa"/>
          </w:tcPr>
          <w:p>
            <w:pPr>
              <w:pStyle w:val="nTable"/>
              <w:spacing w:after="40"/>
            </w:pPr>
            <w:r>
              <w:rPr>
                <w:i/>
              </w:rPr>
              <w:t>Acts Amendment (Asbestos Related Diseases) Act 1983</w:t>
            </w:r>
            <w:r>
              <w:t xml:space="preserve"> Pt. III</w:t>
            </w:r>
          </w:p>
        </w:tc>
        <w:tc>
          <w:tcPr>
            <w:tcW w:w="1134" w:type="dxa"/>
          </w:tcPr>
          <w:p>
            <w:pPr>
              <w:pStyle w:val="nTable"/>
              <w:spacing w:after="40"/>
            </w:pPr>
            <w:r>
              <w:t>84 of 1983</w:t>
            </w:r>
          </w:p>
        </w:tc>
        <w:tc>
          <w:tcPr>
            <w:tcW w:w="1134" w:type="dxa"/>
          </w:tcPr>
          <w:p>
            <w:pPr>
              <w:pStyle w:val="nTable"/>
              <w:spacing w:after="40"/>
            </w:pPr>
            <w:r>
              <w:t>22 Dec 1983</w:t>
            </w:r>
          </w:p>
        </w:tc>
        <w:tc>
          <w:tcPr>
            <w:tcW w:w="2552" w:type="dxa"/>
          </w:tcPr>
          <w:p>
            <w:pPr>
              <w:pStyle w:val="nTable"/>
              <w:spacing w:after="40"/>
              <w:ind w:right="-198"/>
            </w:pPr>
            <w:r>
              <w:t>19 Jan 1984 (see s. 2)</w:t>
            </w:r>
          </w:p>
        </w:tc>
      </w:tr>
      <w:t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ind w:right="-198"/>
            </w:pPr>
            <w:r>
              <w:t>1 Jul 1993 (see s. 2(1))</w:t>
            </w:r>
          </w:p>
        </w:tc>
      </w:tr>
      <w:t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 xml:space="preserve">25 Oct 1996 </w:t>
            </w:r>
          </w:p>
        </w:tc>
        <w:tc>
          <w:tcPr>
            <w:tcW w:w="2552" w:type="dxa"/>
          </w:tcPr>
          <w:p>
            <w:pPr>
              <w:pStyle w:val="nTable"/>
              <w:spacing w:after="40"/>
              <w:ind w:right="-198"/>
            </w:pPr>
            <w:r>
              <w:t>25 Oct 1996 (see s. 2(1))</w:t>
            </w:r>
          </w:p>
        </w:tc>
      </w:tr>
      <w:tr>
        <w:trPr>
          <w:cantSplit/>
        </w:trPr>
        <w:tc>
          <w:tcPr>
            <w:tcW w:w="7088" w:type="dxa"/>
            <w:gridSpan w:val="4"/>
          </w:tcPr>
          <w:p>
            <w:pPr>
              <w:pStyle w:val="nTable"/>
              <w:spacing w:after="40"/>
              <w:ind w:right="-198"/>
            </w:pPr>
            <w:r>
              <w:rPr>
                <w:b/>
              </w:rPr>
              <w:t xml:space="preserve">Reprint 2:  The </w:t>
            </w:r>
            <w:r>
              <w:rPr>
                <w:b/>
                <w:i/>
              </w:rPr>
              <w:t>Crown Suits Act 1947</w:t>
            </w:r>
            <w:r>
              <w:rPr>
                <w:b/>
              </w:rPr>
              <w:t xml:space="preserve"> as at 9 May 2003 </w:t>
            </w:r>
            <w:r>
              <w:t>(includes amendments listed above)</w:t>
            </w:r>
          </w:p>
        </w:tc>
      </w:tr>
      <w:tr>
        <w:tc>
          <w:tcPr>
            <w:tcW w:w="2268" w:type="dxa"/>
          </w:tcPr>
          <w:p>
            <w:pPr>
              <w:pStyle w:val="nTable"/>
              <w:spacing w:after="40"/>
              <w:rPr>
                <w:vertAlign w:val="superscript"/>
              </w:rPr>
            </w:pPr>
            <w:r>
              <w:rPr>
                <w:i/>
              </w:rPr>
              <w:t>Acts Amendment and Repeal (Courts and Legal Practice) Act 2003</w:t>
            </w:r>
            <w:r>
              <w:t xml:space="preserve"> s. 90</w:t>
            </w:r>
            <w:del w:id="85" w:author="svcMRProcess" w:date="2019-02-08T15:47:00Z">
              <w:r>
                <w:delText>, 97 </w:delText>
              </w:r>
              <w:r>
                <w:rPr>
                  <w:vertAlign w:val="superscript"/>
                </w:rPr>
                <w:delText>3</w:delText>
              </w:r>
            </w:del>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ind w:right="-198"/>
            </w:pPr>
            <w:r>
              <w:t xml:space="preserve">1 Jan 2004 (see s. 2 and </w:t>
            </w:r>
            <w:r>
              <w:rPr>
                <w:i/>
              </w:rPr>
              <w:t>Gazette</w:t>
            </w:r>
            <w:r>
              <w:t xml:space="preserve"> 30 Dec 2003 p. 5722)</w:t>
            </w:r>
          </w:p>
        </w:tc>
      </w:tr>
      <w:tr>
        <w:tc>
          <w:tcPr>
            <w:tcW w:w="2268" w:type="dxa"/>
          </w:tcPr>
          <w:p>
            <w:pPr>
              <w:pStyle w:val="nTable"/>
              <w:spacing w:after="40"/>
              <w:rPr>
                <w:snapToGrid w:val="0"/>
                <w:vertAlign w:val="superscript"/>
              </w:rPr>
            </w:pPr>
            <w:r>
              <w:rPr>
                <w:i/>
                <w:iCs/>
                <w:snapToGrid w:val="0"/>
              </w:rPr>
              <w:t>Limitation Legislation Amendment and Repeal Act 2005</w:t>
            </w:r>
            <w:r>
              <w:rPr>
                <w:snapToGrid w:val="0"/>
              </w:rPr>
              <w:t xml:space="preserve"> Pt. 4 </w:t>
            </w:r>
            <w:del w:id="86" w:author="svcMRProcess" w:date="2019-02-08T15:47:00Z">
              <w:r>
                <w:rPr>
                  <w:snapToGrid w:val="0"/>
                  <w:vertAlign w:val="superscript"/>
                </w:rPr>
                <w:delText>4</w:delText>
              </w:r>
            </w:del>
            <w:ins w:id="87" w:author="svcMRProcess" w:date="2019-02-08T15:47:00Z">
              <w:r>
                <w:rPr>
                  <w:snapToGrid w:val="0"/>
                  <w:vertAlign w:val="superscript"/>
                </w:rPr>
                <w:t>3</w:t>
              </w:r>
            </w:ins>
          </w:p>
        </w:tc>
        <w:tc>
          <w:tcPr>
            <w:tcW w:w="1134" w:type="dxa"/>
          </w:tcPr>
          <w:p>
            <w:pPr>
              <w:pStyle w:val="nTable"/>
              <w:spacing w:after="40"/>
              <w:rPr>
                <w:snapToGrid w:val="0"/>
              </w:rPr>
            </w:pPr>
            <w:r>
              <w:rPr>
                <w:snapToGrid w:val="0"/>
              </w:rPr>
              <w:t>20 of 2005</w:t>
            </w:r>
          </w:p>
        </w:tc>
        <w:tc>
          <w:tcPr>
            <w:tcW w:w="1134" w:type="dxa"/>
          </w:tcPr>
          <w:p>
            <w:pPr>
              <w:pStyle w:val="nTable"/>
              <w:spacing w:after="40"/>
            </w:pPr>
            <w:r>
              <w:t>15 Nov 2005</w:t>
            </w:r>
          </w:p>
        </w:tc>
        <w:tc>
          <w:tcPr>
            <w:tcW w:w="2552" w:type="dxa"/>
          </w:tcPr>
          <w:p>
            <w:pPr>
              <w:pStyle w:val="nTable"/>
              <w:spacing w:after="40"/>
              <w:rPr>
                <w:snapToGrid w:val="0"/>
              </w:rPr>
            </w:pPr>
            <w:r>
              <w:rPr>
                <w:snapToGrid w:val="0"/>
              </w:rPr>
              <w:t>15 Nov 2005 (see s. 2</w:t>
            </w:r>
            <w:del w:id="88" w:author="svcMRProcess" w:date="2019-02-08T15:47:00Z">
              <w:r>
                <w:rPr>
                  <w:snapToGrid w:val="0"/>
                </w:rPr>
                <w:delText>)</w:delText>
              </w:r>
            </w:del>
            <w:ins w:id="89" w:author="svcMRProcess" w:date="2019-02-08T15:47:00Z">
              <w:r>
                <w:rPr>
                  <w:snapToGrid w:val="0"/>
                </w:rPr>
                <w:t>(1))</w:t>
              </w:r>
            </w:ins>
          </w:p>
        </w:tc>
      </w:tr>
      <w:tr>
        <w:tc>
          <w:tcPr>
            <w:tcW w:w="2268" w:type="dxa"/>
            <w:shd w:val="clear" w:color="auto" w:fill="auto"/>
          </w:tcPr>
          <w:p>
            <w:pPr>
              <w:pStyle w:val="nTable"/>
              <w:spacing w:after="40"/>
              <w:rPr>
                <w:i/>
                <w:iCs/>
                <w:snapToGrid w:val="0"/>
              </w:rPr>
            </w:pPr>
            <w:r>
              <w:rPr>
                <w:i/>
                <w:snapToGrid w:val="0"/>
              </w:rPr>
              <w:t xml:space="preserve">Financial Legislation Amendment and Repeal Act 2006 </w:t>
            </w:r>
            <w:r>
              <w:rPr>
                <w:iCs/>
                <w:snapToGrid w:val="0"/>
              </w:rPr>
              <w:t>s. 4</w:t>
            </w:r>
          </w:p>
        </w:tc>
        <w:tc>
          <w:tcPr>
            <w:tcW w:w="1134" w:type="dxa"/>
            <w:shd w:val="clear" w:color="auto" w:fill="auto"/>
          </w:tcPr>
          <w:p>
            <w:pPr>
              <w:pStyle w:val="nTable"/>
              <w:spacing w:after="40"/>
              <w:rPr>
                <w:snapToGrid w:val="0"/>
              </w:rPr>
            </w:pPr>
            <w:r>
              <w:rPr>
                <w:snapToGrid w:val="0"/>
              </w:rPr>
              <w:t xml:space="preserve">77 of 2006 </w:t>
            </w:r>
          </w:p>
        </w:tc>
        <w:tc>
          <w:tcPr>
            <w:tcW w:w="1134" w:type="dxa"/>
            <w:shd w:val="clear" w:color="auto" w:fill="auto"/>
          </w:tcPr>
          <w:p>
            <w:pPr>
              <w:pStyle w:val="nTable"/>
              <w:spacing w:after="40"/>
            </w:pPr>
            <w:r>
              <w:rPr>
                <w:snapToGrid w:val="0"/>
              </w:rPr>
              <w:t>21 Dec 2006</w:t>
            </w:r>
          </w:p>
        </w:tc>
        <w:tc>
          <w:tcPr>
            <w:tcW w:w="2552" w:type="dxa"/>
            <w:shd w:val="clear" w:color="auto" w:fill="auto"/>
          </w:tcPr>
          <w:p>
            <w:pPr>
              <w:pStyle w:val="nTable"/>
              <w:spacing w:after="40"/>
              <w:rPr>
                <w:snapToGrid w:val="0"/>
              </w:rPr>
            </w:pPr>
            <w:r>
              <w:rPr>
                <w:snapToGrid w:val="0"/>
              </w:rPr>
              <w:t>1 Feb 2007 (see s. 2</w:t>
            </w:r>
            <w:ins w:id="90" w:author="svcMRProcess" w:date="2019-02-08T15:47:00Z">
              <w:r>
                <w:rPr>
                  <w:snapToGrid w:val="0"/>
                </w:rPr>
                <w:t>(1)</w:t>
              </w:r>
            </w:ins>
            <w:r>
              <w:rPr>
                <w:snapToGrid w:val="0"/>
              </w:rPr>
              <w:t xml:space="preserve"> and </w:t>
            </w:r>
            <w:r>
              <w:rPr>
                <w:i/>
                <w:iCs/>
                <w:snapToGrid w:val="0"/>
              </w:rPr>
              <w:t>Gazette</w:t>
            </w:r>
            <w:r>
              <w:rPr>
                <w:snapToGrid w:val="0"/>
              </w:rPr>
              <w:t xml:space="preserve"> 19 Jan 2007 p. 137)</w:t>
            </w:r>
          </w:p>
        </w:tc>
      </w:tr>
      <w:tr>
        <w:trPr>
          <w:ins w:id="91" w:author="svcMRProcess" w:date="2019-02-08T15:47:00Z"/>
        </w:trPr>
        <w:tc>
          <w:tcPr>
            <w:tcW w:w="7088" w:type="dxa"/>
            <w:gridSpan w:val="4"/>
            <w:tcBorders>
              <w:bottom w:val="single" w:sz="8" w:space="0" w:color="auto"/>
            </w:tcBorders>
            <w:shd w:val="clear" w:color="auto" w:fill="auto"/>
          </w:tcPr>
          <w:p>
            <w:pPr>
              <w:pStyle w:val="nTable"/>
              <w:spacing w:after="40"/>
              <w:rPr>
                <w:ins w:id="92" w:author="svcMRProcess" w:date="2019-02-08T15:47:00Z"/>
                <w:snapToGrid w:val="0"/>
              </w:rPr>
            </w:pPr>
            <w:ins w:id="93" w:author="svcMRProcess" w:date="2019-02-08T15:47:00Z">
              <w:r>
                <w:rPr>
                  <w:b/>
                </w:rPr>
                <w:t xml:space="preserve">Reprint 3:  The </w:t>
              </w:r>
              <w:r>
                <w:rPr>
                  <w:b/>
                  <w:i/>
                </w:rPr>
                <w:t>Crown Suits Act 1947</w:t>
              </w:r>
              <w:r>
                <w:rPr>
                  <w:b/>
                </w:rPr>
                <w:t xml:space="preserve"> as at 31 Oct 2014 </w:t>
              </w:r>
              <w:r>
                <w:t>(includes amendments listed above)</w:t>
              </w:r>
            </w:ins>
          </w:p>
        </w:tc>
      </w:tr>
    </w:tbl>
    <w:p>
      <w:pPr>
        <w:pStyle w:val="nSubsection"/>
      </w:pPr>
      <w:r>
        <w:rPr>
          <w:vertAlign w:val="superscript"/>
        </w:rPr>
        <w:t>2</w:t>
      </w:r>
      <w:r>
        <w:tab/>
        <w:t xml:space="preserve">The provision in this Act repealing that Act has been omitted </w:t>
      </w:r>
      <w:ins w:id="94" w:author="svcMRProcess" w:date="2019-02-08T15:47:00Z">
        <w:r>
          <w:t xml:space="preserve">from this reprint </w:t>
        </w:r>
      </w:ins>
      <w:r>
        <w:t xml:space="preserve">under </w:t>
      </w:r>
      <w:del w:id="95" w:author="svcMRProcess" w:date="2019-02-08T15:47:00Z">
        <w:r>
          <w:delText xml:space="preserve">s. 7(4)(f) of </w:delText>
        </w:r>
      </w:del>
      <w:r>
        <w:t xml:space="preserve">the </w:t>
      </w:r>
      <w:r>
        <w:rPr>
          <w:i/>
        </w:rPr>
        <w:t xml:space="preserve">Reprints Act 1984 </w:t>
      </w:r>
      <w:del w:id="96" w:author="svcMRProcess" w:date="2019-02-08T15:47:00Z">
        <w:r>
          <w:delText>from this reprint.</w:delText>
        </w:r>
      </w:del>
      <w:ins w:id="97" w:author="svcMRProcess" w:date="2019-02-08T15:47:00Z">
        <w:r>
          <w:t>s. 7(4)(f).</w:t>
        </w:r>
      </w:ins>
    </w:p>
    <w:p>
      <w:pPr>
        <w:pStyle w:val="nSubsection"/>
        <w:rPr>
          <w:del w:id="98" w:author="svcMRProcess" w:date="2019-02-08T15:47:00Z"/>
        </w:rPr>
      </w:pPr>
      <w:del w:id="99" w:author="svcMRProcess" w:date="2019-02-08T15:47:00Z">
        <w:r>
          <w:rPr>
            <w:vertAlign w:val="superscript"/>
          </w:rPr>
          <w:delText>3</w:delText>
        </w:r>
        <w:r>
          <w:tab/>
          <w:delText xml:space="preserve">The </w:delText>
        </w:r>
        <w:r>
          <w:rPr>
            <w:i/>
          </w:rPr>
          <w:delText xml:space="preserve">Acts Amendment and Repeal (Courts and Legal Practice) Act 2003 </w:delText>
        </w:r>
        <w:r>
          <w:delText>s. 97 reads as follows:</w:delText>
        </w:r>
      </w:del>
    </w:p>
    <w:p>
      <w:pPr>
        <w:pStyle w:val="MiscOpen"/>
        <w:rPr>
          <w:del w:id="100" w:author="svcMRProcess" w:date="2019-02-08T15:47:00Z"/>
        </w:rPr>
      </w:pPr>
      <w:del w:id="101" w:author="svcMRProcess" w:date="2019-02-08T15:47:00Z">
        <w:r>
          <w:delText>“</w:delText>
        </w:r>
      </w:del>
    </w:p>
    <w:p>
      <w:pPr>
        <w:pStyle w:val="nzHeading5"/>
        <w:rPr>
          <w:del w:id="102" w:author="svcMRProcess" w:date="2019-02-08T15:47:00Z"/>
        </w:rPr>
      </w:pPr>
      <w:del w:id="103" w:author="svcMRProcess" w:date="2019-02-08T15:47:00Z">
        <w:r>
          <w:rPr>
            <w:rStyle w:val="CharSectno"/>
          </w:rPr>
          <w:delText>97</w:delText>
        </w:r>
        <w:r>
          <w:delText>.</w:delText>
        </w:r>
        <w:r>
          <w:tab/>
          <w:delText>References to Crown Solicitor</w:delText>
        </w:r>
      </w:del>
    </w:p>
    <w:p>
      <w:pPr>
        <w:pStyle w:val="nzSubsection"/>
        <w:rPr>
          <w:del w:id="104" w:author="svcMRProcess" w:date="2019-02-08T15:47:00Z"/>
        </w:rPr>
      </w:pPr>
      <w:del w:id="105" w:author="svcMRProcess" w:date="2019-02-08T15:47:00Z">
        <w:r>
          <w:tab/>
        </w:r>
        <w:r>
          <w:tab/>
          <w:delText>If in a written law or other document or instrument there is a reference to the Crown Solicitor that reference may, where the context so requires, be read as if it had been amended to be a reference to the State Solicitor.</w:delText>
        </w:r>
      </w:del>
    </w:p>
    <w:p>
      <w:pPr>
        <w:pStyle w:val="MiscClose"/>
        <w:rPr>
          <w:del w:id="106" w:author="svcMRProcess" w:date="2019-02-08T15:47:00Z"/>
        </w:rPr>
      </w:pPr>
      <w:del w:id="107" w:author="svcMRProcess" w:date="2019-02-08T15:47:00Z">
        <w:r>
          <w:delText>”.</w:delText>
        </w:r>
      </w:del>
    </w:p>
    <w:p>
      <w:pPr>
        <w:pStyle w:val="nSubsection"/>
      </w:pPr>
      <w:del w:id="108" w:author="svcMRProcess" w:date="2019-02-08T15:47:00Z">
        <w:r>
          <w:rPr>
            <w:vertAlign w:val="superscript"/>
          </w:rPr>
          <w:delText>4</w:delText>
        </w:r>
      </w:del>
      <w:ins w:id="109" w:author="svcMRProcess" w:date="2019-02-08T15:47:00Z">
        <w:r>
          <w:rPr>
            <w:vertAlign w:val="superscript"/>
          </w:rPr>
          <w:t>3</w:t>
        </w:r>
      </w:ins>
      <w:r>
        <w:tab/>
        <w:t xml:space="preserve">The </w:t>
      </w:r>
      <w:r>
        <w:rPr>
          <w:i/>
        </w:rPr>
        <w:t xml:space="preserve">Limitation Legislation Amendment and Repeal Act 2005 </w:t>
      </w:r>
      <w:r>
        <w:rPr>
          <w:iCs/>
        </w:rPr>
        <w:t>s. 8(2)</w:t>
      </w:r>
      <w:r>
        <w:t xml:space="preserve"> reads as follows:</w:t>
      </w:r>
    </w:p>
    <w:p>
      <w:pPr>
        <w:pStyle w:val="MiscOpen"/>
        <w:rPr>
          <w:del w:id="110" w:author="svcMRProcess" w:date="2019-02-08T15:47:00Z"/>
        </w:rPr>
      </w:pPr>
      <w:del w:id="111" w:author="svcMRProcess" w:date="2019-02-08T15:47:00Z">
        <w:r>
          <w:delText>“</w:delText>
        </w:r>
      </w:del>
    </w:p>
    <w:p>
      <w:pPr>
        <w:pStyle w:val="BlankOpen"/>
      </w:pPr>
      <w:del w:id="112" w:author="svcMRProcess" w:date="2019-02-08T15:47:00Z">
        <w:r>
          <w:rPr>
            <w:rStyle w:val="CharSectno"/>
          </w:rPr>
          <w:delText>8</w:delText>
        </w:r>
        <w:r>
          <w:delText>.</w:delText>
        </w:r>
        <w:r>
          <w:tab/>
          <w:delText>Section 6 repealed and a savings provision</w:delText>
        </w:r>
      </w:del>
    </w:p>
    <w:p>
      <w:pPr>
        <w:pStyle w:val="nzSubsection"/>
      </w:pPr>
      <w:r>
        <w:tab/>
        <w:t>(2)</w:t>
      </w:r>
      <w:r>
        <w:tab/>
        <w:t xml:space="preserve">The </w:t>
      </w:r>
      <w:r>
        <w:rPr>
          <w:i/>
        </w:rPr>
        <w:t>Crown Suits Act 1947</w:t>
      </w:r>
      <w:r>
        <w:t xml:space="preserve"> section 6, as it was immediately before commencement day, continues to apply to causes of action that accrued before commencement day as if subsection (1) had not been enacted.</w:t>
      </w:r>
    </w:p>
    <w:p>
      <w:pPr>
        <w:pStyle w:val="MiscClose"/>
        <w:rPr>
          <w:del w:id="113" w:author="svcMRProcess" w:date="2019-02-08T15:47:00Z"/>
        </w:rPr>
      </w:pPr>
      <w:del w:id="114" w:author="svcMRProcess" w:date="2019-02-08T15:47:00Z">
        <w:r>
          <w:delText>”.</w:delText>
        </w:r>
      </w:del>
    </w:p>
    <w:p>
      <w:pPr>
        <w:pStyle w:val="BlankClose"/>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 w:name="Coversheet"/>
    <w:bookmarkEnd w:id="1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Crown Suits Act 1947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Crown Suits Act 1947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Crown Suits Act 1947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Crown Suits Act 1947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980234"/>
    <w:lvl w:ilvl="0">
      <w:start w:val="1"/>
      <w:numFmt w:val="decimal"/>
      <w:lvlText w:val="%1."/>
      <w:lvlJc w:val="left"/>
      <w:pPr>
        <w:tabs>
          <w:tab w:val="num" w:pos="1492"/>
        </w:tabs>
        <w:ind w:left="1492" w:hanging="360"/>
      </w:pPr>
    </w:lvl>
  </w:abstractNum>
  <w:abstractNum w:abstractNumId="1">
    <w:nsid w:val="FFFFFF7D"/>
    <w:multiLevelType w:val="singleLevel"/>
    <w:tmpl w:val="BC7C75BC"/>
    <w:lvl w:ilvl="0">
      <w:start w:val="1"/>
      <w:numFmt w:val="decimal"/>
      <w:lvlText w:val="%1."/>
      <w:lvlJc w:val="left"/>
      <w:pPr>
        <w:tabs>
          <w:tab w:val="num" w:pos="1209"/>
        </w:tabs>
        <w:ind w:left="1209" w:hanging="360"/>
      </w:pPr>
    </w:lvl>
  </w:abstractNum>
  <w:abstractNum w:abstractNumId="2">
    <w:nsid w:val="FFFFFF7E"/>
    <w:multiLevelType w:val="singleLevel"/>
    <w:tmpl w:val="6A9C4EFE"/>
    <w:lvl w:ilvl="0">
      <w:start w:val="1"/>
      <w:numFmt w:val="decimal"/>
      <w:lvlText w:val="%1."/>
      <w:lvlJc w:val="left"/>
      <w:pPr>
        <w:tabs>
          <w:tab w:val="num" w:pos="926"/>
        </w:tabs>
        <w:ind w:left="926" w:hanging="360"/>
      </w:pPr>
    </w:lvl>
  </w:abstractNum>
  <w:abstractNum w:abstractNumId="3">
    <w:nsid w:val="FFFFFF7F"/>
    <w:multiLevelType w:val="singleLevel"/>
    <w:tmpl w:val="B7DC2944"/>
    <w:lvl w:ilvl="0">
      <w:start w:val="1"/>
      <w:numFmt w:val="decimal"/>
      <w:lvlText w:val="%1."/>
      <w:lvlJc w:val="left"/>
      <w:pPr>
        <w:tabs>
          <w:tab w:val="num" w:pos="643"/>
        </w:tabs>
        <w:ind w:left="643" w:hanging="360"/>
      </w:pPr>
    </w:lvl>
  </w:abstractNum>
  <w:abstractNum w:abstractNumId="4">
    <w:nsid w:val="FFFFFF80"/>
    <w:multiLevelType w:val="singleLevel"/>
    <w:tmpl w:val="08DEA3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E420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6E69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7E66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0C90F6"/>
    <w:lvl w:ilvl="0">
      <w:start w:val="1"/>
      <w:numFmt w:val="decimal"/>
      <w:lvlText w:val="%1."/>
      <w:lvlJc w:val="left"/>
      <w:pPr>
        <w:tabs>
          <w:tab w:val="num" w:pos="360"/>
        </w:tabs>
        <w:ind w:left="360" w:hanging="360"/>
      </w:pPr>
    </w:lvl>
  </w:abstractNum>
  <w:abstractNum w:abstractNumId="9">
    <w:nsid w:val="FFFFFF89"/>
    <w:multiLevelType w:val="singleLevel"/>
    <w:tmpl w:val="76E840C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7382D6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110"/>
    <w:docVar w:name="WAFER_20140122140053" w:val="RemoveTocBookmarks,RemoveUnusedBookmarks,RemoveLanguageTags,UsedStyles,ResetPageSize,UpdateArrangement"/>
    <w:docVar w:name="WAFER_20140122140053_GUID" w:val="fdd46a5f-bba6-44a3-ba3c-b935aa8205de"/>
    <w:docVar w:name="WAFER_20140122140316" w:val="RemoveTocBookmarks,RunningHeaders"/>
    <w:docVar w:name="WAFER_20140122140316_GUID" w:val="d9713395-ad07-40b2-9693-0d777c294e2f"/>
    <w:docVar w:name="WAFER_20140709154836" w:val="RemoveTocBookmarks,RemoveUnusedBookmarks,RemoveLanguageTags,UsedStyles,ResetPageSize,RemoveCustomizations,UpdateArrangement"/>
    <w:docVar w:name="WAFER_20140709154836_GUID" w:val="bfe3beae-dffc-415f-834a-78360f13e8ab"/>
    <w:docVar w:name="WAFER_20141006124806" w:val="RemoveTocBookmarks,RemoveUnusedBookmarks,RemoveLanguageTags,UsedStyles,RemoveTrackChanges"/>
    <w:docVar w:name="WAFER_20141006124806_GUID" w:val="11cf47ce-ddc1-4dd5-a823-ad3f6ddb50f4"/>
    <w:docVar w:name="WAFER_20141006124821" w:val="RemoveTocBookmarks,RemoveLanguageTags,RemoveTrackChanges,RunningHeaders"/>
    <w:docVar w:name="WAFER_20141006124821_GUID" w:val="6c878158-fbac-4c03-b2f3-871c5d93bd3b"/>
    <w:docVar w:name="WAFER_20141111161207" w:val="RemoveTocBookmarks,RemoveLanguageTags,RemoveTrackChanges,RunningHeaders"/>
    <w:docVar w:name="WAFER_20141111161207_GUID" w:val="686ea124-176d-4194-9070-536ffe1dbce2"/>
    <w:docVar w:name="WAFER_20150410142830" w:val="ResetPageSize,UpdateArrangement,UpdateNTable"/>
    <w:docVar w:name="WAFER_20150410142830_GUID" w:val="4a5eceaf-f024-467a-88ab-564f1e94c433"/>
    <w:docVar w:name="WAFER_20151103103205" w:val="UpdateStyles,UsedStyles"/>
    <w:docVar w:name="WAFER_20151103103205_GUID" w:val="10ea2fed-04f8-45d4-85b8-3b80de267335"/>
    <w:docVar w:name="WAFER_20151201093110" w:val="RemoveTrackChanges"/>
    <w:docVar w:name="WAFER_20151201093110_GUID" w:val="66369e56-9fa3-4ea1-a5fe-f6a265d4fa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5539</Characters>
  <Application>Microsoft Office Word</Application>
  <DocSecurity>0</DocSecurity>
  <Lines>184</Lines>
  <Paragraphs>111</Paragraphs>
  <ScaleCrop>false</ScaleCrop>
  <HeadingPairs>
    <vt:vector size="2" baseType="variant">
      <vt:variant>
        <vt:lpstr>Title</vt:lpstr>
      </vt:variant>
      <vt:variant>
        <vt:i4>1</vt:i4>
      </vt:variant>
    </vt:vector>
  </HeadingPairs>
  <TitlesOfParts>
    <vt:vector size="1" baseType="lpstr">
      <vt:lpstr>Crown Suits Act 1947</vt:lpstr>
    </vt:vector>
  </TitlesOfParts>
  <Manager/>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Suits Act 1947 02-c0-08 - 03-a0-05</dc:title>
  <dc:subject/>
  <dc:creator/>
  <cp:keywords/>
  <dc:description/>
  <cp:lastModifiedBy>svcMRProcess</cp:lastModifiedBy>
  <cp:revision>2</cp:revision>
  <cp:lastPrinted>2014-11-04T01:26:00Z</cp:lastPrinted>
  <dcterms:created xsi:type="dcterms:W3CDTF">2019-02-08T07:47:00Z</dcterms:created>
  <dcterms:modified xsi:type="dcterms:W3CDTF">2019-02-08T07:47:00Z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1947</vt:lpwstr>
  </property>
  <property fmtid="{D5CDD505-2E9C-101B-9397-08002B2CF9AE}" pid="3" name="CommencementDate">
    <vt:lpwstr>20141031</vt:lpwstr>
  </property>
  <property fmtid="{D5CDD505-2E9C-101B-9397-08002B2CF9AE}" pid="4" name="DocumentType">
    <vt:lpwstr>Act</vt:lpwstr>
  </property>
  <property fmtid="{D5CDD505-2E9C-101B-9397-08002B2CF9AE}" pid="5" name="OwlsUID">
    <vt:i4>200</vt:i4>
  </property>
  <property fmtid="{D5CDD505-2E9C-101B-9397-08002B2CF9AE}" pid="6" name="ReprintNo">
    <vt:lpwstr>3</vt:lpwstr>
  </property>
  <property fmtid="{D5CDD505-2E9C-101B-9397-08002B2CF9AE}" pid="7" name="ReprintedAsAt">
    <vt:filetime>2014-10-30T16:00:00Z</vt:filetime>
  </property>
  <property fmtid="{D5CDD505-2E9C-101B-9397-08002B2CF9AE}" pid="8" name="FromSuffix">
    <vt:lpwstr>02-c0-08</vt:lpwstr>
  </property>
  <property fmtid="{D5CDD505-2E9C-101B-9397-08002B2CF9AE}" pid="9" name="FromAsAtDate">
    <vt:lpwstr>01 Feb 2007</vt:lpwstr>
  </property>
  <property fmtid="{D5CDD505-2E9C-101B-9397-08002B2CF9AE}" pid="10" name="ToSuffix">
    <vt:lpwstr>03-a0-05</vt:lpwstr>
  </property>
  <property fmtid="{D5CDD505-2E9C-101B-9397-08002B2CF9AE}" pid="11" name="ToAsAtDate">
    <vt:lpwstr>31 Oct 2014</vt:lpwstr>
  </property>
</Properties>
</file>