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21 Nov 2014</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2:22:00Z"/>
        </w:trPr>
        <w:tc>
          <w:tcPr>
            <w:tcW w:w="2434" w:type="dxa"/>
            <w:vMerge w:val="restart"/>
          </w:tcPr>
          <w:p>
            <w:pPr>
              <w:rPr>
                <w:ins w:id="1" w:author="Master Repository Process" w:date="2021-09-18T02:22:00Z"/>
              </w:rPr>
            </w:pPr>
          </w:p>
        </w:tc>
        <w:tc>
          <w:tcPr>
            <w:tcW w:w="2434" w:type="dxa"/>
            <w:vMerge w:val="restart"/>
          </w:tcPr>
          <w:p>
            <w:pPr>
              <w:jc w:val="center"/>
              <w:rPr>
                <w:ins w:id="2" w:author="Master Repository Process" w:date="2021-09-18T02:22:00Z"/>
              </w:rPr>
            </w:pPr>
            <w:ins w:id="3" w:author="Master Repository Process" w:date="2021-09-18T02:2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2:22:00Z"/>
              </w:rPr>
            </w:pPr>
            <w:ins w:id="5" w:author="Master Repository Process" w:date="2021-09-18T02:22: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2:22:00Z"/>
        </w:trPr>
        <w:tc>
          <w:tcPr>
            <w:tcW w:w="2434" w:type="dxa"/>
            <w:vMerge/>
          </w:tcPr>
          <w:p>
            <w:pPr>
              <w:rPr>
                <w:ins w:id="7" w:author="Master Repository Process" w:date="2021-09-18T02:22:00Z"/>
              </w:rPr>
            </w:pPr>
          </w:p>
        </w:tc>
        <w:tc>
          <w:tcPr>
            <w:tcW w:w="2434" w:type="dxa"/>
            <w:vMerge/>
          </w:tcPr>
          <w:p>
            <w:pPr>
              <w:jc w:val="center"/>
              <w:rPr>
                <w:ins w:id="8" w:author="Master Repository Process" w:date="2021-09-18T02:22:00Z"/>
              </w:rPr>
            </w:pPr>
          </w:p>
        </w:tc>
        <w:tc>
          <w:tcPr>
            <w:tcW w:w="2434" w:type="dxa"/>
          </w:tcPr>
          <w:p>
            <w:pPr>
              <w:keepNext/>
              <w:rPr>
                <w:ins w:id="9" w:author="Master Repository Process" w:date="2021-09-18T02:22:00Z"/>
                <w:b/>
                <w:sz w:val="22"/>
              </w:rPr>
            </w:pPr>
            <w:ins w:id="10" w:author="Master Repository Process" w:date="2021-09-18T02:22:00Z">
              <w:r>
                <w:rPr>
                  <w:b/>
                  <w:sz w:val="22"/>
                </w:rPr>
                <w:t>at 21</w:t>
              </w:r>
              <w:r>
                <w:rPr>
                  <w:b/>
                  <w:snapToGrid w:val="0"/>
                  <w:sz w:val="22"/>
                </w:rPr>
                <w:t xml:space="preserve"> November 2014</w:t>
              </w:r>
            </w:ins>
          </w:p>
        </w:tc>
      </w:tr>
    </w:tbl>
    <w:p>
      <w:pPr>
        <w:pStyle w:val="WA"/>
        <w:spacing w:before="120"/>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1" w:name="_Toc404772668"/>
      <w:bookmarkStart w:id="12" w:name="_Toc404948988"/>
      <w:bookmarkStart w:id="13" w:name="_Toc384654460"/>
      <w:bookmarkStart w:id="14" w:name="_Toc391885636"/>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p>
    <w:p>
      <w:pPr>
        <w:pStyle w:val="Heading5"/>
      </w:pPr>
      <w:bookmarkStart w:id="16" w:name="_Toc404948989"/>
      <w:bookmarkStart w:id="17" w:name="_Toc391885637"/>
      <w:r>
        <w:rPr>
          <w:rStyle w:val="CharSectno"/>
        </w:rPr>
        <w:t>1</w:t>
      </w:r>
      <w:r>
        <w:t>.</w:t>
      </w:r>
      <w:r>
        <w:tab/>
        <w:t>Citation</w:t>
      </w:r>
      <w:bookmarkEnd w:id="16"/>
      <w:bookmarkEnd w:id="17"/>
    </w:p>
    <w:p>
      <w:pPr>
        <w:pStyle w:val="Subsection"/>
        <w:spacing w:before="120"/>
      </w:pPr>
      <w:r>
        <w:tab/>
      </w:r>
      <w:r>
        <w:tab/>
      </w:r>
      <w:bookmarkStart w:id="18" w:name="Start_Cursor"/>
      <w:bookmarkEnd w:id="18"/>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9" w:name="_Toc404948990"/>
      <w:bookmarkStart w:id="20" w:name="_Toc391885638"/>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21" w:name="_Toc404948991"/>
      <w:bookmarkStart w:id="22" w:name="_Toc391885639"/>
      <w:r>
        <w:rPr>
          <w:rStyle w:val="CharSectno"/>
        </w:rPr>
        <w:t>3</w:t>
      </w:r>
      <w:r>
        <w:t>.</w:t>
      </w:r>
      <w:r>
        <w:tab/>
        <w:t>Terms used</w:t>
      </w:r>
      <w:bookmarkEnd w:id="21"/>
      <w:bookmarkEnd w:id="22"/>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spacing w:before="60"/>
      </w:pPr>
      <w:r>
        <w:rPr>
          <w:b/>
        </w:rPr>
        <w:tab/>
      </w:r>
      <w:r>
        <w:rPr>
          <w:rStyle w:val="CharDefText"/>
        </w:rPr>
        <w:t>former adjudicator</w:t>
      </w:r>
      <w:r>
        <w:t xml:space="preserve"> has the meaning given to that term in the Act section 167(1)(a);</w:t>
      </w:r>
    </w:p>
    <w:p>
      <w:pPr>
        <w:pStyle w:val="Defstart"/>
        <w:spacing w:before="60"/>
      </w:pPr>
      <w:r>
        <w:rPr>
          <w:b/>
        </w:rPr>
        <w:tab/>
      </w:r>
      <w:r>
        <w:rPr>
          <w:rStyle w:val="CharDefText"/>
        </w:rPr>
        <w:t>notifiable person</w:t>
      </w:r>
      <w:r>
        <w:t xml:space="preserve"> has the meaning given to that term in the Act section 45(2);</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23" w:name="_Toc404772672"/>
      <w:bookmarkStart w:id="24" w:name="_Toc404948992"/>
      <w:bookmarkStart w:id="25" w:name="_Toc384654464"/>
      <w:bookmarkStart w:id="26" w:name="_Toc391885640"/>
      <w:r>
        <w:rPr>
          <w:rStyle w:val="CharPartNo"/>
        </w:rPr>
        <w:t>Part 2</w:t>
      </w:r>
      <w:r>
        <w:rPr>
          <w:rStyle w:val="CharDivNo"/>
        </w:rPr>
        <w:t> </w:t>
      </w:r>
      <w:r>
        <w:t>—</w:t>
      </w:r>
      <w:r>
        <w:rPr>
          <w:rStyle w:val="CharDivText"/>
        </w:rPr>
        <w:t> </w:t>
      </w:r>
      <w:r>
        <w:rPr>
          <w:rStyle w:val="CharPartText"/>
        </w:rPr>
        <w:t>General</w:t>
      </w:r>
      <w:bookmarkEnd w:id="23"/>
      <w:bookmarkEnd w:id="24"/>
      <w:bookmarkEnd w:id="25"/>
      <w:bookmarkEnd w:id="26"/>
    </w:p>
    <w:p>
      <w:pPr>
        <w:pStyle w:val="Heading5"/>
      </w:pPr>
      <w:bookmarkStart w:id="27" w:name="_Toc404948993"/>
      <w:bookmarkStart w:id="28" w:name="_Toc391885641"/>
      <w:r>
        <w:rPr>
          <w:rStyle w:val="CharSectno"/>
        </w:rPr>
        <w:t>4</w:t>
      </w:r>
      <w:r>
        <w:t>.</w:t>
      </w:r>
      <w:r>
        <w:tab/>
        <w:t xml:space="preserve">Acts prescribed for purpose of definition of </w:t>
      </w:r>
      <w:r>
        <w:rPr>
          <w:i/>
          <w:iCs/>
        </w:rPr>
        <w:t>vocational regulatory body</w:t>
      </w:r>
      <w:bookmarkEnd w:id="27"/>
      <w:bookmarkEnd w:id="28"/>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9" w:name="_Toc404948994"/>
      <w:bookmarkStart w:id="30" w:name="_Toc391885642"/>
      <w:r>
        <w:rPr>
          <w:rStyle w:val="CharSectno"/>
        </w:rPr>
        <w:t>5</w:t>
      </w:r>
      <w:r>
        <w:t>.</w:t>
      </w:r>
      <w:r>
        <w:tab/>
        <w:t>Register of proceedings</w:t>
      </w:r>
      <w:bookmarkEnd w:id="29"/>
      <w:bookmarkEnd w:id="3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1" w:name="_Toc404948995"/>
      <w:bookmarkStart w:id="32" w:name="_Toc391885643"/>
      <w:r>
        <w:rPr>
          <w:rStyle w:val="CharSectno"/>
        </w:rPr>
        <w:t>6</w:t>
      </w:r>
      <w:r>
        <w:t>.</w:t>
      </w:r>
      <w:r>
        <w:tab/>
        <w:t xml:space="preserve">Prescribed places: </w:t>
      </w:r>
      <w:del w:id="33" w:author="Master Repository Process" w:date="2021-09-18T02:22:00Z">
        <w:r>
          <w:delText>section</w:delText>
        </w:r>
      </w:del>
      <w:ins w:id="34" w:author="Master Repository Process" w:date="2021-09-18T02:22:00Z">
        <w:r>
          <w:t>s.</w:t>
        </w:r>
      </w:ins>
      <w:r>
        <w:t> 116(3)(a) of Act</w:t>
      </w:r>
      <w:bookmarkEnd w:id="31"/>
      <w:bookmarkEnd w:id="32"/>
    </w:p>
    <w:p>
      <w:pPr>
        <w:pStyle w:val="Subsection"/>
      </w:pPr>
      <w:r>
        <w:tab/>
      </w:r>
      <w:r>
        <w:tab/>
        <w:t>For the purposes of the Act section 116(3)(a), the places listed in Schedule 2 are prescribed.</w:t>
      </w:r>
    </w:p>
    <w:p>
      <w:pPr>
        <w:pStyle w:val="Heading5"/>
      </w:pPr>
      <w:bookmarkStart w:id="35" w:name="_Toc404948996"/>
      <w:bookmarkStart w:id="36" w:name="_Toc391885644"/>
      <w:r>
        <w:rPr>
          <w:rStyle w:val="CharSectno"/>
        </w:rPr>
        <w:t>7</w:t>
      </w:r>
      <w:r>
        <w:t>.</w:t>
      </w:r>
      <w:r>
        <w:tab/>
        <w:t xml:space="preserve">Class prescribed: </w:t>
      </w:r>
      <w:del w:id="37" w:author="Master Repository Process" w:date="2021-09-18T02:22:00Z">
        <w:r>
          <w:delText>section</w:delText>
        </w:r>
      </w:del>
      <w:ins w:id="38" w:author="Master Repository Process" w:date="2021-09-18T02:22:00Z">
        <w:r>
          <w:t>s.</w:t>
        </w:r>
      </w:ins>
      <w:r>
        <w:t> 117(5)(a) of Act</w:t>
      </w:r>
      <w:bookmarkEnd w:id="35"/>
      <w:bookmarkEnd w:id="3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1996</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w:t>
      </w:r>
    </w:p>
    <w:p>
      <w:pPr>
        <w:pStyle w:val="Heading2"/>
      </w:pPr>
      <w:bookmarkStart w:id="39" w:name="_Toc404772677"/>
      <w:bookmarkStart w:id="40" w:name="_Toc404948997"/>
      <w:bookmarkStart w:id="41" w:name="_Toc384654469"/>
      <w:bookmarkStart w:id="42" w:name="_Toc391885645"/>
      <w:r>
        <w:rPr>
          <w:rStyle w:val="CharPartNo"/>
        </w:rPr>
        <w:t>Part 3</w:t>
      </w:r>
      <w:r>
        <w:rPr>
          <w:rStyle w:val="CharDivNo"/>
        </w:rPr>
        <w:t> </w:t>
      </w:r>
      <w:r>
        <w:t>—</w:t>
      </w:r>
      <w:r>
        <w:rPr>
          <w:rStyle w:val="CharDivText"/>
        </w:rPr>
        <w:t> </w:t>
      </w:r>
      <w:r>
        <w:rPr>
          <w:rStyle w:val="CharPartText"/>
        </w:rPr>
        <w:t>Fees</w:t>
      </w:r>
      <w:bookmarkEnd w:id="39"/>
      <w:bookmarkEnd w:id="40"/>
      <w:bookmarkEnd w:id="41"/>
      <w:bookmarkEnd w:id="42"/>
    </w:p>
    <w:p>
      <w:pPr>
        <w:pStyle w:val="Heading5"/>
      </w:pPr>
      <w:bookmarkStart w:id="43" w:name="_Toc404948998"/>
      <w:bookmarkStart w:id="44" w:name="_Toc391885646"/>
      <w:r>
        <w:rPr>
          <w:rStyle w:val="CharSectno"/>
        </w:rPr>
        <w:t>8</w:t>
      </w:r>
      <w:r>
        <w:t>.</w:t>
      </w:r>
      <w:r>
        <w:tab/>
        <w:t>General</w:t>
      </w:r>
      <w:bookmarkEnd w:id="43"/>
      <w:bookmarkEnd w:id="4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 or</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 xml:space="preserve">[Regulation 8 amended in Gazette 26 Jun 2007 p. 2982; 22 Jul 2011 p. 3018; </w:t>
      </w:r>
      <w:r>
        <w:rPr>
          <w:szCs w:val="24"/>
        </w:rPr>
        <w:t>6 Aug 2013 p. </w:t>
      </w:r>
      <w:r>
        <w:t>3650.]</w:t>
      </w:r>
    </w:p>
    <w:p>
      <w:pPr>
        <w:pStyle w:val="Heading5"/>
      </w:pPr>
      <w:bookmarkStart w:id="45" w:name="_Toc404948999"/>
      <w:bookmarkStart w:id="46" w:name="_Toc391885647"/>
      <w:r>
        <w:rPr>
          <w:rStyle w:val="CharSectno"/>
        </w:rPr>
        <w:t>9</w:t>
      </w:r>
      <w:r>
        <w:t>.</w:t>
      </w:r>
      <w:r>
        <w:tab/>
        <w:t>Fees relating to application under provision in Sch. 3, 4 or 6</w:t>
      </w:r>
      <w:bookmarkEnd w:id="45"/>
      <w:bookmarkEnd w:id="46"/>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spacing w:before="180" w:after="80"/>
      </w:pPr>
      <w:r>
        <w:t>Table</w:t>
      </w:r>
    </w:p>
    <w:tbl>
      <w:tblPr>
        <w:tblW w:w="0" w:type="auto"/>
        <w:tblInd w:w="948" w:type="dxa"/>
        <w:tblLayout w:type="fixed"/>
        <w:tblLook w:val="0000" w:firstRow="0" w:lastRow="0" w:firstColumn="0" w:lastColumn="0" w:noHBand="0" w:noVBand="0"/>
      </w:tblPr>
      <w:tblGrid>
        <w:gridCol w:w="5114"/>
        <w:gridCol w:w="1134"/>
      </w:tblGrid>
      <w:tr>
        <w:trPr>
          <w:cantSplit/>
          <w:tblHeader/>
        </w:trPr>
        <w:tc>
          <w:tcPr>
            <w:tcW w:w="5114"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blHeader/>
        </w:trPr>
        <w:tc>
          <w:tcPr>
            <w:tcW w:w="5114" w:type="dxa"/>
            <w:tcBorders>
              <w:top w:val="single" w:sz="4" w:space="0" w:color="auto"/>
            </w:tcBorders>
          </w:tcPr>
          <w:p>
            <w:pPr>
              <w:pStyle w:val="TableNAm"/>
              <w:rPr>
                <w:bCs/>
              </w:rPr>
            </w:pPr>
            <w:r>
              <w:rPr>
                <w:bCs/>
              </w:rPr>
              <w:t>Application</w:t>
            </w:r>
          </w:p>
        </w:tc>
        <w:tc>
          <w:tcPr>
            <w:tcW w:w="1134" w:type="dxa"/>
            <w:tcBorders>
              <w:top w:val="single" w:sz="4" w:space="0" w:color="auto"/>
            </w:tcBorders>
          </w:tcPr>
          <w:p>
            <w:pPr>
              <w:pStyle w:val="TableNAm"/>
              <w:jc w:val="right"/>
              <w:rPr>
                <w:bCs/>
              </w:rPr>
            </w:pPr>
            <w:r>
              <w:t>1 223.00</w:t>
            </w:r>
          </w:p>
        </w:tc>
      </w:tr>
      <w:tr>
        <w:trPr>
          <w:cantSplit/>
          <w:tblHeader/>
        </w:trPr>
        <w:tc>
          <w:tcPr>
            <w:tcW w:w="5114" w:type="dxa"/>
          </w:tcPr>
          <w:p>
            <w:pPr>
              <w:pStyle w:val="TableNAm"/>
              <w:rPr>
                <w:bCs/>
              </w:rPr>
            </w:pPr>
            <w:r>
              <w:rPr>
                <w:bCs/>
              </w:rPr>
              <w:t>Hearing fee (for each day or part of a day allocated, other than the first day) for an application by a person</w:t>
            </w:r>
          </w:p>
        </w:tc>
        <w:tc>
          <w:tcPr>
            <w:tcW w:w="1134" w:type="dxa"/>
          </w:tcPr>
          <w:p>
            <w:pPr>
              <w:pStyle w:val="TableNAm"/>
              <w:jc w:val="right"/>
              <w:rPr>
                <w:bCs/>
              </w:rPr>
            </w:pPr>
            <w:r>
              <w:rPr>
                <w:bCs/>
              </w:rPr>
              <w:br/>
            </w:r>
            <w:r>
              <w:rPr>
                <w:bCs/>
              </w:rPr>
              <w:br/>
            </w:r>
            <w:r>
              <w:t>1 223.00</w:t>
            </w:r>
          </w:p>
        </w:tc>
      </w:tr>
      <w:tr>
        <w:trPr>
          <w:cantSplit/>
          <w:tblHeader/>
        </w:trPr>
        <w:tc>
          <w:tcPr>
            <w:tcW w:w="5114" w:type="dxa"/>
          </w:tcPr>
          <w:p>
            <w:pPr>
              <w:pStyle w:val="TableNAm"/>
              <w:rPr>
                <w:bCs/>
              </w:rPr>
            </w:pPr>
            <w:r>
              <w:rPr>
                <w:bCs/>
              </w:rPr>
              <w:t>Application for assessment of costs —</w:t>
            </w:r>
          </w:p>
        </w:tc>
        <w:tc>
          <w:tcPr>
            <w:tcW w:w="1134" w:type="dxa"/>
          </w:tcPr>
          <w:p>
            <w:pPr>
              <w:pStyle w:val="TableNAm"/>
              <w:jc w:val="right"/>
              <w:rPr>
                <w:bCs/>
              </w:rPr>
            </w:pPr>
          </w:p>
        </w:tc>
      </w:tr>
      <w:tr>
        <w:trPr>
          <w:cantSplit/>
          <w:tblHeader/>
        </w:trPr>
        <w:tc>
          <w:tcPr>
            <w:tcW w:w="5114" w:type="dxa"/>
          </w:tcPr>
          <w:p>
            <w:pPr>
              <w:pStyle w:val="TableNAm"/>
              <w:ind w:left="612" w:hanging="612"/>
              <w:rPr>
                <w:bCs/>
              </w:rPr>
            </w:pPr>
            <w:r>
              <w:rPr>
                <w:bCs/>
              </w:rPr>
              <w:t>(a)</w:t>
            </w:r>
            <w:r>
              <w:rPr>
                <w:bCs/>
              </w:rPr>
              <w:tab/>
              <w:t>fee for application by —</w:t>
            </w:r>
          </w:p>
        </w:tc>
        <w:tc>
          <w:tcPr>
            <w:tcW w:w="1134" w:type="dxa"/>
          </w:tcPr>
          <w:p>
            <w:pPr>
              <w:pStyle w:val="TableNAm"/>
              <w:jc w:val="right"/>
              <w:rPr>
                <w:bCs/>
              </w:rPr>
            </w:pPr>
          </w:p>
        </w:tc>
      </w:tr>
      <w:tr>
        <w:trPr>
          <w:cantSplit/>
          <w:tblHeader/>
        </w:trPr>
        <w:tc>
          <w:tcPr>
            <w:tcW w:w="5114" w:type="dxa"/>
          </w:tcPr>
          <w:p>
            <w:pPr>
              <w:pStyle w:val="TableNAm"/>
              <w:rPr>
                <w:bCs/>
              </w:rPr>
            </w:pPr>
            <w:r>
              <w:rPr>
                <w:bCs/>
              </w:rPr>
              <w:tab/>
              <w:t>(i)</w:t>
            </w:r>
            <w:r>
              <w:rPr>
                <w:bCs/>
              </w:rPr>
              <w:tab/>
              <w:t>an individual</w:t>
            </w:r>
          </w:p>
        </w:tc>
        <w:tc>
          <w:tcPr>
            <w:tcW w:w="1134" w:type="dxa"/>
          </w:tcPr>
          <w:p>
            <w:pPr>
              <w:pStyle w:val="TableNAm"/>
              <w:jc w:val="right"/>
              <w:rPr>
                <w:bCs/>
              </w:rPr>
            </w:pPr>
            <w:r>
              <w:t>228.00</w:t>
            </w:r>
          </w:p>
        </w:tc>
      </w:tr>
      <w:tr>
        <w:trPr>
          <w:cantSplit/>
          <w:tblHeader/>
        </w:trPr>
        <w:tc>
          <w:tcPr>
            <w:tcW w:w="5114" w:type="dxa"/>
          </w:tcPr>
          <w:p>
            <w:pPr>
              <w:pStyle w:val="TableNAm"/>
              <w:rPr>
                <w:bCs/>
              </w:rPr>
            </w:pPr>
            <w:r>
              <w:rPr>
                <w:bCs/>
              </w:rPr>
              <w:tab/>
              <w:t>(ii)</w:t>
            </w:r>
            <w:r>
              <w:rPr>
                <w:bCs/>
              </w:rPr>
              <w:tab/>
              <w:t>a person other than an individual</w:t>
            </w:r>
          </w:p>
        </w:tc>
        <w:tc>
          <w:tcPr>
            <w:tcW w:w="1134" w:type="dxa"/>
          </w:tcPr>
          <w:p>
            <w:pPr>
              <w:pStyle w:val="TableNAm"/>
              <w:jc w:val="right"/>
              <w:rPr>
                <w:bCs/>
              </w:rPr>
            </w:pPr>
            <w:r>
              <w:t>341.00</w:t>
            </w:r>
          </w:p>
        </w:tc>
      </w:tr>
      <w:tr>
        <w:trPr>
          <w:cantSplit/>
          <w:tblHeader/>
        </w:trPr>
        <w:tc>
          <w:tcPr>
            <w:tcW w:w="5114" w:type="dxa"/>
            <w:tcBorders>
              <w:bottom w:val="single" w:sz="4" w:space="0" w:color="auto"/>
            </w:tcBorders>
          </w:tcPr>
          <w:p>
            <w:pPr>
              <w:pStyle w:val="TableNAm"/>
              <w:ind w:left="612" w:hanging="612"/>
              <w:rPr>
                <w:bCs/>
              </w:rPr>
            </w:pPr>
            <w:r>
              <w:rPr>
                <w:bCs/>
              </w:rPr>
              <w:t>(b)</w:t>
            </w:r>
            <w:r>
              <w:rPr>
                <w:bCs/>
              </w:rPr>
              <w:tab/>
              <w:t>in addition to the application fee, an assessment fee equal to 2.5% of the costs claimed in the application</w:t>
            </w:r>
          </w:p>
        </w:tc>
        <w:tc>
          <w:tcPr>
            <w:tcW w:w="1134" w:type="dxa"/>
            <w:tcBorders>
              <w:bottom w:val="single" w:sz="4" w:space="0" w:color="auto"/>
            </w:tcBorders>
          </w:tcPr>
          <w:p>
            <w:pPr>
              <w:pStyle w:val="TableNAm"/>
              <w:rPr>
                <w:bCs/>
              </w:rPr>
            </w:pP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spacing w:before="180"/>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 by an individual</w:t>
            </w:r>
          </w:p>
        </w:tc>
        <w:tc>
          <w:tcPr>
            <w:tcW w:w="1134" w:type="dxa"/>
          </w:tcPr>
          <w:p>
            <w:pPr>
              <w:pStyle w:val="TableNAm"/>
              <w:ind w:right="77"/>
              <w:jc w:val="right"/>
            </w:pPr>
            <w:r>
              <w:t>446.00</w:t>
            </w:r>
          </w:p>
        </w:tc>
      </w:tr>
      <w:tr>
        <w:trPr>
          <w:cantSplit/>
        </w:trPr>
        <w:tc>
          <w:tcPr>
            <w:tcW w:w="5103" w:type="dxa"/>
          </w:tcPr>
          <w:p>
            <w:pPr>
              <w:pStyle w:val="TableNAm"/>
            </w:pPr>
            <w:r>
              <w:t>Application by a person other than an individual</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an individual</w:t>
            </w:r>
          </w:p>
        </w:tc>
        <w:tc>
          <w:tcPr>
            <w:tcW w:w="1134" w:type="dxa"/>
          </w:tcPr>
          <w:p>
            <w:pPr>
              <w:pStyle w:val="TableNAm"/>
              <w:ind w:right="77"/>
              <w:jc w:val="right"/>
            </w:pPr>
            <w:r>
              <w:br/>
            </w:r>
            <w:r>
              <w:br/>
              <w:t>408.00</w:t>
            </w:r>
          </w:p>
        </w:tc>
      </w:tr>
      <w:tr>
        <w:trPr>
          <w:cantSplit/>
        </w:trPr>
        <w:tc>
          <w:tcPr>
            <w:tcW w:w="5103" w:type="dxa"/>
          </w:tcPr>
          <w:p>
            <w:pPr>
              <w:pStyle w:val="TableNAm"/>
            </w:pPr>
            <w:r>
              <w:t>Hearing fee (for each day or part of a day allocated, other than the first day) for an application by a person other than an individual </w:t>
            </w:r>
          </w:p>
        </w:tc>
        <w:tc>
          <w:tcPr>
            <w:tcW w:w="1134" w:type="dxa"/>
          </w:tcPr>
          <w:p>
            <w:pPr>
              <w:pStyle w:val="TableNAm"/>
              <w:ind w:right="77"/>
              <w:jc w:val="right"/>
            </w:pPr>
            <w:r>
              <w:br/>
            </w:r>
            <w:r>
              <w:br/>
              <w:t>529.00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161.00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rPr>
            </w:pPr>
            <w:r>
              <w:rPr>
                <w:b/>
                <w:bCs/>
              </w:rPr>
              <w:t>Matter</w:t>
            </w:r>
          </w:p>
        </w:tc>
        <w:tc>
          <w:tcPr>
            <w:tcW w:w="1134" w:type="dxa"/>
            <w:tcBorders>
              <w:top w:val="single" w:sz="4" w:space="0" w:color="auto"/>
              <w:bottom w:val="single" w:sz="4" w:space="0" w:color="auto"/>
            </w:tcBorders>
          </w:tcPr>
          <w:p>
            <w:pPr>
              <w:pStyle w:val="TableNAm"/>
              <w:rPr>
                <w:b/>
              </w:rPr>
            </w:pPr>
            <w:r>
              <w:rPr>
                <w:b/>
                <w:bCs/>
              </w:rPr>
              <w:t>Fee (</w:t>
            </w:r>
            <w:r>
              <w:rPr>
                <w:b/>
              </w:rPr>
              <w:t>$)</w:t>
            </w:r>
          </w:p>
        </w:tc>
      </w:tr>
      <w:tr>
        <w:trPr>
          <w:cantSplit/>
        </w:trPr>
        <w:tc>
          <w:tcPr>
            <w:tcW w:w="5103" w:type="dxa"/>
          </w:tcPr>
          <w:p>
            <w:pPr>
              <w:pStyle w:val="TableNAm"/>
            </w:pPr>
            <w:r>
              <w:t>Application</w:t>
            </w:r>
          </w:p>
        </w:tc>
        <w:tc>
          <w:tcPr>
            <w:tcW w:w="1134" w:type="dxa"/>
          </w:tcPr>
          <w:p>
            <w:pPr>
              <w:pStyle w:val="TableNAm"/>
              <w:ind w:right="77"/>
              <w:jc w:val="right"/>
            </w:pPr>
            <w:r>
              <w:t>81.50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162.50</w:t>
            </w:r>
          </w:p>
        </w:tc>
      </w:tr>
      <w:tr>
        <w:trPr>
          <w:cantSplit/>
        </w:trPr>
        <w:tc>
          <w:tcPr>
            <w:tcW w:w="5103" w:type="dxa"/>
          </w:tcPr>
          <w:p>
            <w:pPr>
              <w:pStyle w:val="TableNAm"/>
            </w:pPr>
            <w:r>
              <w:t>Application for assessment of costs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5" w:hanging="635"/>
            </w:pPr>
            <w:r>
              <w:t>(a)</w:t>
            </w:r>
            <w:r>
              <w:tab/>
              <w:t>fee for application by —</w:t>
            </w:r>
          </w:p>
        </w:tc>
        <w:tc>
          <w:tcPr>
            <w:tcW w:w="1134" w:type="dxa"/>
          </w:tcPr>
          <w:p>
            <w:pPr>
              <w:pStyle w:val="TableNAm"/>
              <w:ind w:right="77"/>
              <w:jc w:val="right"/>
            </w:pPr>
          </w:p>
        </w:tc>
      </w:tr>
      <w:tr>
        <w:trPr>
          <w:cantSplit/>
        </w:trPr>
        <w:tc>
          <w:tcPr>
            <w:tcW w:w="5103" w:type="dxa"/>
          </w:tcPr>
          <w:p>
            <w:pPr>
              <w:pStyle w:val="TableNAm"/>
              <w:tabs>
                <w:tab w:val="clear" w:pos="567"/>
                <w:tab w:val="left" w:pos="634"/>
                <w:tab w:val="left" w:pos="1234"/>
              </w:tabs>
              <w:ind w:left="1168" w:hanging="1168"/>
            </w:pPr>
            <w:r>
              <w:tab/>
              <w:t>(i)</w:t>
            </w:r>
            <w:r>
              <w:tab/>
              <w:t>an individual</w:t>
            </w:r>
          </w:p>
        </w:tc>
        <w:tc>
          <w:tcPr>
            <w:tcW w:w="1134" w:type="dxa"/>
          </w:tcPr>
          <w:p>
            <w:pPr>
              <w:pStyle w:val="TableNAm"/>
              <w:ind w:right="77"/>
              <w:jc w:val="right"/>
            </w:pPr>
            <w:r>
              <w:t>79.00</w:t>
            </w:r>
          </w:p>
        </w:tc>
      </w:tr>
      <w:tr>
        <w:trPr>
          <w:cantSplit/>
        </w:trPr>
        <w:tc>
          <w:tcPr>
            <w:tcW w:w="5103" w:type="dxa"/>
          </w:tcPr>
          <w:p>
            <w:pPr>
              <w:pStyle w:val="TableNAm"/>
              <w:tabs>
                <w:tab w:val="clear" w:pos="567"/>
                <w:tab w:val="left" w:pos="634"/>
                <w:tab w:val="left" w:pos="1234"/>
              </w:tabs>
              <w:ind w:left="1168" w:hanging="1168"/>
            </w:pPr>
            <w:r>
              <w:tab/>
              <w:t>(ii)</w:t>
            </w:r>
            <w:r>
              <w:tab/>
              <w:t>a person other than an individual</w:t>
            </w:r>
          </w:p>
        </w:tc>
        <w:tc>
          <w:tcPr>
            <w:tcW w:w="1134" w:type="dxa"/>
          </w:tcPr>
          <w:p>
            <w:pPr>
              <w:pStyle w:val="TableNAm"/>
              <w:ind w:right="77"/>
              <w:jc w:val="right"/>
            </w:pPr>
            <w:r>
              <w:t>118.00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equal to 2.5% of the costs claimed in the application</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w:t>
      </w:r>
    </w:p>
    <w:p>
      <w:pPr>
        <w:pStyle w:val="Heading5"/>
        <w:spacing w:before="240"/>
      </w:pPr>
      <w:bookmarkStart w:id="47" w:name="_Toc404949000"/>
      <w:bookmarkStart w:id="48" w:name="_Toc391885648"/>
      <w:r>
        <w:rPr>
          <w:rStyle w:val="CharSectno"/>
        </w:rPr>
        <w:t>10</w:t>
      </w:r>
      <w:r>
        <w:t>.</w:t>
      </w:r>
      <w:r>
        <w:tab/>
        <w:t>Fees relating to application to do with development on land</w:t>
      </w:r>
      <w:bookmarkEnd w:id="47"/>
      <w:bookmarkEnd w:id="4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w:t>
      </w:r>
      <w:del w:id="49" w:author="Master Repository Process" w:date="2021-09-18T02:22:00Z">
        <w:r>
          <w:delText xml:space="preserve"> </w:delText>
        </w:r>
      </w:del>
      <w:ins w:id="50" w:author="Master Repository Process" w:date="2021-09-18T02:22:00Z">
        <w:r>
          <w:t> </w:t>
        </w:r>
      </w:ins>
      <w:r>
        <w:t>254;</w:t>
      </w:r>
    </w:p>
    <w:p>
      <w:pPr>
        <w:pStyle w:val="Defpara"/>
      </w:pPr>
      <w:r>
        <w:tab/>
        <w:t>(f)</w:t>
      </w:r>
      <w:r>
        <w:tab/>
        <w:t xml:space="preserve">the </w:t>
      </w:r>
      <w:r>
        <w:rPr>
          <w:i/>
        </w:rPr>
        <w:t>Planning and Development (Development Assessment Panels) Regulations 2011</w:t>
      </w:r>
      <w:r>
        <w:t xml:space="preserve"> regulation 18(2).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TableNAm"/>
              <w:rPr>
                <w:b/>
                <w:bCs/>
              </w:rPr>
            </w:pPr>
            <w:r>
              <w:rPr>
                <w:b/>
                <w:bCs/>
              </w:rPr>
              <w:t>Fee ($)</w:t>
            </w:r>
          </w:p>
        </w:tc>
      </w:tr>
      <w:tr>
        <w:trPr>
          <w:cantSplit/>
        </w:trPr>
        <w:tc>
          <w:tcPr>
            <w:tcW w:w="5103" w:type="dxa"/>
          </w:tcPr>
          <w:p>
            <w:pPr>
              <w:pStyle w:val="TableNAm"/>
            </w:pPr>
            <w:r>
              <w:t>Application</w:t>
            </w:r>
          </w:p>
        </w:tc>
        <w:tc>
          <w:tcPr>
            <w:tcW w:w="1134" w:type="dxa"/>
          </w:tcPr>
          <w:p>
            <w:pPr>
              <w:pStyle w:val="TableNAm"/>
              <w:ind w:right="77"/>
              <w:jc w:val="right"/>
            </w:pPr>
            <w:r>
              <w:t>446.00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408.00</w:t>
            </w:r>
          </w:p>
        </w:tc>
      </w:tr>
      <w:tr>
        <w:trPr>
          <w:cantSplit/>
        </w:trPr>
        <w:tc>
          <w:tcPr>
            <w:tcW w:w="5103" w:type="dxa"/>
          </w:tcPr>
          <w:p>
            <w:pPr>
              <w:pStyle w:val="TableNAm"/>
            </w:pPr>
            <w:r>
              <w:t xml:space="preserve">Application for assessment of costs — </w:t>
            </w:r>
          </w:p>
        </w:tc>
        <w:tc>
          <w:tcPr>
            <w:tcW w:w="1134" w:type="dxa"/>
          </w:tcPr>
          <w:p>
            <w:pPr>
              <w:pStyle w:val="TableNAm"/>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161.00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959" w:type="dxa"/>
        <w:tblLayout w:type="fixed"/>
        <w:tblLook w:val="0000" w:firstRow="0" w:lastRow="0" w:firstColumn="0" w:lastColumn="0" w:noHBand="0" w:noVBand="0"/>
      </w:tblPr>
      <w:tblGrid>
        <w:gridCol w:w="5103"/>
        <w:gridCol w:w="1134"/>
      </w:tblGrid>
      <w:tr>
        <w:trPr>
          <w:cantSplit/>
          <w:tblHeader/>
        </w:trPr>
        <w:tc>
          <w:tcPr>
            <w:tcW w:w="5103" w:type="dxa"/>
            <w:tcBorders>
              <w:top w:val="single" w:sz="4" w:space="0" w:color="auto"/>
              <w:bottom w:val="single" w:sz="4" w:space="0" w:color="auto"/>
            </w:tcBorders>
          </w:tcPr>
          <w:p>
            <w:pPr>
              <w:pStyle w:val="TableNAm"/>
              <w:rPr>
                <w:b/>
                <w:bCs/>
              </w:rPr>
            </w:pPr>
            <w:r>
              <w:rPr>
                <w:b/>
                <w:bCs/>
              </w:rPr>
              <w:t>Matter</w:t>
            </w:r>
          </w:p>
        </w:tc>
        <w:tc>
          <w:tcPr>
            <w:tcW w:w="1134" w:type="dxa"/>
            <w:tcBorders>
              <w:top w:val="single" w:sz="4" w:space="0" w:color="auto"/>
              <w:bottom w:val="single" w:sz="4" w:space="0" w:color="auto"/>
            </w:tcBorders>
          </w:tcPr>
          <w:p>
            <w:pPr>
              <w:pStyle w:val="zTableNAm"/>
              <w:keepNext/>
              <w:rPr>
                <w:b/>
              </w:rPr>
            </w:pPr>
            <w:r>
              <w:rPr>
                <w:b/>
              </w:rPr>
              <w:t>Fee ($)</w:t>
            </w:r>
          </w:p>
        </w:tc>
      </w:tr>
      <w:tr>
        <w:trPr>
          <w:cantSplit/>
        </w:trPr>
        <w:tc>
          <w:tcPr>
            <w:tcW w:w="5103" w:type="dxa"/>
          </w:tcPr>
          <w:p>
            <w:pPr>
              <w:pStyle w:val="TableNAm"/>
            </w:pPr>
            <w:r>
              <w:t>Application</w:t>
            </w:r>
          </w:p>
        </w:tc>
        <w:tc>
          <w:tcPr>
            <w:tcW w:w="1134" w:type="dxa"/>
          </w:tcPr>
          <w:p>
            <w:pPr>
              <w:pStyle w:val="TableNAm"/>
              <w:ind w:right="77"/>
              <w:jc w:val="right"/>
            </w:pPr>
            <w:r>
              <w:t>815.00</w:t>
            </w:r>
          </w:p>
        </w:tc>
      </w:tr>
      <w:tr>
        <w:trPr>
          <w:cantSplit/>
        </w:trPr>
        <w:tc>
          <w:tcPr>
            <w:tcW w:w="5103" w:type="dxa"/>
          </w:tcPr>
          <w:p>
            <w:pPr>
              <w:pStyle w:val="TableNAm"/>
            </w:pPr>
            <w:r>
              <w:t>Hearing fee (for each day or part of a day allocated, other than the first day) for an application by a person</w:t>
            </w:r>
          </w:p>
        </w:tc>
        <w:tc>
          <w:tcPr>
            <w:tcW w:w="1134" w:type="dxa"/>
          </w:tcPr>
          <w:p>
            <w:pPr>
              <w:pStyle w:val="TableNAm"/>
              <w:ind w:right="77"/>
              <w:jc w:val="right"/>
            </w:pPr>
            <w:r>
              <w:br/>
            </w:r>
            <w:r>
              <w:br/>
              <w:t>529.00</w:t>
            </w:r>
          </w:p>
        </w:tc>
      </w:tr>
      <w:tr>
        <w:trPr>
          <w:cantSplit/>
        </w:trPr>
        <w:tc>
          <w:tcPr>
            <w:tcW w:w="5103" w:type="dxa"/>
          </w:tcPr>
          <w:p>
            <w:pPr>
              <w:pStyle w:val="TableNAm"/>
              <w:keepNext/>
            </w:pPr>
            <w:r>
              <w:t>Application for assessment of costs —</w:t>
            </w:r>
          </w:p>
        </w:tc>
        <w:tc>
          <w:tcPr>
            <w:tcW w:w="1134" w:type="dxa"/>
          </w:tcPr>
          <w:p>
            <w:pPr>
              <w:pStyle w:val="TableNAm"/>
              <w:keepNext/>
              <w:ind w:right="77"/>
              <w:jc w:val="right"/>
            </w:pPr>
          </w:p>
        </w:tc>
      </w:tr>
      <w:tr>
        <w:trPr>
          <w:cantSplit/>
        </w:trPr>
        <w:tc>
          <w:tcPr>
            <w:tcW w:w="5103" w:type="dxa"/>
          </w:tcPr>
          <w:p>
            <w:pPr>
              <w:pStyle w:val="TableNAm"/>
              <w:tabs>
                <w:tab w:val="clear" w:pos="567"/>
                <w:tab w:val="left" w:pos="154"/>
                <w:tab w:val="left" w:pos="754"/>
              </w:tabs>
              <w:ind w:left="634" w:hanging="634"/>
            </w:pPr>
            <w:r>
              <w:t>(a)</w:t>
            </w:r>
            <w:r>
              <w:tab/>
              <w:t>fee for application by a person</w:t>
            </w:r>
          </w:p>
        </w:tc>
        <w:tc>
          <w:tcPr>
            <w:tcW w:w="1134" w:type="dxa"/>
          </w:tcPr>
          <w:p>
            <w:pPr>
              <w:pStyle w:val="TableNAm"/>
              <w:ind w:right="77"/>
              <w:jc w:val="right"/>
            </w:pPr>
            <w:r>
              <w:t>243.00</w:t>
            </w:r>
          </w:p>
        </w:tc>
      </w:tr>
      <w:tr>
        <w:trPr>
          <w:cantSplit/>
        </w:trPr>
        <w:tc>
          <w:tcPr>
            <w:tcW w:w="5103" w:type="dxa"/>
            <w:tcBorders>
              <w:bottom w:val="single" w:sz="4" w:space="0" w:color="auto"/>
            </w:tcBorders>
          </w:tcPr>
          <w:p>
            <w:pPr>
              <w:pStyle w:val="TableNAm"/>
              <w:tabs>
                <w:tab w:val="clear" w:pos="567"/>
                <w:tab w:val="left" w:pos="154"/>
                <w:tab w:val="left" w:pos="754"/>
              </w:tabs>
              <w:ind w:left="634" w:hanging="634"/>
            </w:pPr>
            <w:r>
              <w:t>(b)</w:t>
            </w:r>
            <w:r>
              <w:tab/>
              <w:t xml:space="preserve">in addition to the application fee, an assessment fee equal to 2.5% of the costs claimed in the application </w:t>
            </w:r>
          </w:p>
        </w:tc>
        <w:tc>
          <w:tcPr>
            <w:tcW w:w="1134" w:type="dxa"/>
            <w:tcBorders>
              <w:bottom w:val="single" w:sz="4" w:space="0" w:color="auto"/>
            </w:tcBorders>
          </w:tcPr>
          <w:p>
            <w:pPr>
              <w:pStyle w:val="TableNAm"/>
              <w:ind w:right="77"/>
              <w:jc w:val="right"/>
            </w:pP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w:t>
      </w:r>
    </w:p>
    <w:p>
      <w:pPr>
        <w:pStyle w:val="Heading5"/>
      </w:pPr>
      <w:bookmarkStart w:id="51" w:name="_Toc404949001"/>
      <w:bookmarkStart w:id="52" w:name="_Toc391885649"/>
      <w:r>
        <w:rPr>
          <w:rStyle w:val="CharSectno"/>
        </w:rPr>
        <w:t>11A</w:t>
      </w:r>
      <w:r>
        <w:t>.</w:t>
      </w:r>
      <w:r>
        <w:tab/>
        <w:t>No fee relating to application under provision in Sch.</w:t>
      </w:r>
      <w:del w:id="53" w:author="Master Repository Process" w:date="2021-09-18T02:22:00Z">
        <w:r>
          <w:delText xml:space="preserve"> </w:delText>
        </w:r>
      </w:del>
      <w:ins w:id="54" w:author="Master Repository Process" w:date="2021-09-18T02:22:00Z">
        <w:r>
          <w:t> </w:t>
        </w:r>
      </w:ins>
      <w:r>
        <w:t>7</w:t>
      </w:r>
      <w:bookmarkEnd w:id="51"/>
      <w:bookmarkEnd w:id="52"/>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55" w:name="_Toc404949002"/>
      <w:bookmarkStart w:id="56" w:name="_Toc391885650"/>
      <w:r>
        <w:rPr>
          <w:rStyle w:val="CharSectno"/>
        </w:rPr>
        <w:t>11B</w:t>
      </w:r>
      <w:r>
        <w:t>.</w:t>
      </w:r>
      <w:r>
        <w:tab/>
        <w:t>Fees relating to application not covered by r. 9, 10 or</w:t>
      </w:r>
      <w:del w:id="57" w:author="Master Repository Process" w:date="2021-09-18T02:22:00Z">
        <w:r>
          <w:delText xml:space="preserve"> </w:delText>
        </w:r>
      </w:del>
      <w:ins w:id="58" w:author="Master Repository Process" w:date="2021-09-18T02:22:00Z">
        <w:r>
          <w:t> </w:t>
        </w:r>
      </w:ins>
      <w:r>
        <w:t>11A</w:t>
      </w:r>
      <w:bookmarkEnd w:id="55"/>
      <w:bookmarkEnd w:id="56"/>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zTHeadingNAm"/>
        <w:spacing w:after="80"/>
        <w:ind w:left="992"/>
      </w:pPr>
      <w:r>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pPr>
            <w:r>
              <w:rPr>
                <w:b/>
                <w:bCs/>
              </w:rPr>
              <w:t>Matter</w:t>
            </w:r>
          </w:p>
        </w:tc>
        <w:tc>
          <w:tcPr>
            <w:tcW w:w="992" w:type="dxa"/>
            <w:tcBorders>
              <w:top w:val="single" w:sz="4" w:space="0" w:color="auto"/>
              <w:bottom w:val="single" w:sz="4" w:space="0" w:color="auto"/>
            </w:tcBorders>
          </w:tcPr>
          <w:p>
            <w:pPr>
              <w:pStyle w:val="TableNAm"/>
            </w:pPr>
            <w:r>
              <w:rPr>
                <w:b/>
                <w:bCs/>
              </w:rPr>
              <w:t>Fee ($)</w:t>
            </w:r>
          </w:p>
        </w:tc>
      </w:tr>
      <w:tr>
        <w:trPr>
          <w:cantSplit/>
        </w:trPr>
        <w:tc>
          <w:tcPr>
            <w:tcW w:w="5245" w:type="dxa"/>
            <w:tcBorders>
              <w:top w:val="single" w:sz="4" w:space="0" w:color="auto"/>
            </w:tcBorders>
          </w:tcPr>
          <w:p>
            <w:pPr>
              <w:pStyle w:val="TableNAm"/>
              <w:tabs>
                <w:tab w:val="clear" w:pos="567"/>
                <w:tab w:val="left" w:pos="0"/>
              </w:tabs>
            </w:pPr>
            <w:r>
              <w:t>Application</w:t>
            </w:r>
          </w:p>
        </w:tc>
        <w:tc>
          <w:tcPr>
            <w:tcW w:w="992" w:type="dxa"/>
            <w:tcBorders>
              <w:top w:val="single" w:sz="4" w:space="0" w:color="auto"/>
            </w:tcBorders>
          </w:tcPr>
          <w:p>
            <w:pPr>
              <w:pStyle w:val="TableNAm"/>
            </w:pPr>
            <w:r>
              <w:t>367.00</w:t>
            </w:r>
          </w:p>
        </w:tc>
      </w:tr>
      <w:tr>
        <w:trPr>
          <w:cantSplit/>
        </w:trPr>
        <w:tc>
          <w:tcPr>
            <w:tcW w:w="5245" w:type="dxa"/>
          </w:tcPr>
          <w:p>
            <w:pPr>
              <w:pStyle w:val="TableNAm"/>
            </w:pPr>
            <w:r>
              <w:t>Hearing fee (for each day or part of a day allocated, other than the first day) for an application by a person</w:t>
            </w:r>
          </w:p>
        </w:tc>
        <w:tc>
          <w:tcPr>
            <w:tcW w:w="992" w:type="dxa"/>
          </w:tcPr>
          <w:p>
            <w:pPr>
              <w:pStyle w:val="TableNAm"/>
            </w:pPr>
            <w:r>
              <w:br/>
            </w:r>
            <w:r>
              <w:br/>
              <w:t>367.00</w:t>
            </w:r>
          </w:p>
        </w:tc>
      </w:tr>
      <w:tr>
        <w:trPr>
          <w:cantSplit/>
        </w:trPr>
        <w:tc>
          <w:tcPr>
            <w:tcW w:w="5245" w:type="dxa"/>
          </w:tcPr>
          <w:p>
            <w:pPr>
              <w:pStyle w:val="TableNAm"/>
              <w:keepNext/>
              <w:keepLines/>
            </w:pPr>
            <w:r>
              <w:t>Application for assessment of costs —</w:t>
            </w:r>
          </w:p>
        </w:tc>
        <w:tc>
          <w:tcPr>
            <w:tcW w:w="992" w:type="dxa"/>
          </w:tcPr>
          <w:p>
            <w:pPr>
              <w:pStyle w:val="TableNAm"/>
              <w:keepNext/>
              <w:keepLines/>
            </w:pPr>
          </w:p>
        </w:tc>
      </w:tr>
      <w:tr>
        <w:trPr>
          <w:cantSplit/>
        </w:trPr>
        <w:tc>
          <w:tcPr>
            <w:tcW w:w="5245" w:type="dxa"/>
          </w:tcPr>
          <w:p>
            <w:pPr>
              <w:pStyle w:val="TableNAm"/>
              <w:keepNext/>
              <w:keepLines/>
            </w:pPr>
            <w:r>
              <w:t>(a)</w:t>
            </w:r>
            <w:r>
              <w:tab/>
              <w:t>fee for application by —</w:t>
            </w:r>
          </w:p>
        </w:tc>
        <w:tc>
          <w:tcPr>
            <w:tcW w:w="992" w:type="dxa"/>
          </w:tcPr>
          <w:p>
            <w:pPr>
              <w:pStyle w:val="TableNAm"/>
              <w:keepNext/>
              <w:keepLines/>
            </w:pPr>
          </w:p>
        </w:tc>
      </w:tr>
      <w:tr>
        <w:trPr>
          <w:cantSplit/>
        </w:trPr>
        <w:tc>
          <w:tcPr>
            <w:tcW w:w="5245" w:type="dxa"/>
          </w:tcPr>
          <w:p>
            <w:pPr>
              <w:pStyle w:val="TableNAm"/>
            </w:pPr>
            <w:r>
              <w:tab/>
              <w:t>(i)</w:t>
            </w:r>
            <w:r>
              <w:tab/>
              <w:t>an individual</w:t>
            </w:r>
          </w:p>
        </w:tc>
        <w:tc>
          <w:tcPr>
            <w:tcW w:w="992" w:type="dxa"/>
          </w:tcPr>
          <w:p>
            <w:pPr>
              <w:pStyle w:val="TableNAm"/>
            </w:pPr>
            <w:r>
              <w:t>127.00</w:t>
            </w:r>
          </w:p>
        </w:tc>
      </w:tr>
      <w:tr>
        <w:trPr>
          <w:cantSplit/>
        </w:trPr>
        <w:tc>
          <w:tcPr>
            <w:tcW w:w="5245" w:type="dxa"/>
          </w:tcPr>
          <w:p>
            <w:pPr>
              <w:pStyle w:val="TableNAm"/>
            </w:pPr>
            <w:r>
              <w:tab/>
              <w:t>(ii)</w:t>
            </w:r>
            <w:r>
              <w:tab/>
              <w:t>a person other than an individual</w:t>
            </w:r>
          </w:p>
        </w:tc>
        <w:tc>
          <w:tcPr>
            <w:tcW w:w="992" w:type="dxa"/>
          </w:tcPr>
          <w:p>
            <w:pPr>
              <w:pStyle w:val="TableNAm"/>
            </w:pPr>
            <w:r>
              <w:t>193.00</w:t>
            </w:r>
          </w:p>
        </w:tc>
      </w:tr>
      <w:tr>
        <w:trPr>
          <w:cantSplit/>
        </w:trPr>
        <w:tc>
          <w:tcPr>
            <w:tcW w:w="5245" w:type="dxa"/>
            <w:tcBorders>
              <w:bottom w:val="single" w:sz="4" w:space="0" w:color="auto"/>
            </w:tcBorders>
            <w:shd w:val="clear" w:color="auto" w:fill="auto"/>
          </w:tcPr>
          <w:p>
            <w:pPr>
              <w:pStyle w:val="TableNAm"/>
              <w:ind w:left="567" w:hanging="567"/>
            </w:pPr>
            <w:r>
              <w:t>(b)</w:t>
            </w:r>
            <w:r>
              <w:tab/>
              <w:t>in addition to the application fee, an assessment fee equal to 2.5% of the costs claimed in the application</w:t>
            </w:r>
          </w:p>
        </w:tc>
        <w:tc>
          <w:tcPr>
            <w:tcW w:w="992" w:type="dxa"/>
            <w:tcBorders>
              <w:bottom w:val="single" w:sz="4" w:space="0" w:color="auto"/>
            </w:tcBorders>
            <w:shd w:val="clear" w:color="auto" w:fill="auto"/>
          </w:tcPr>
          <w:p>
            <w:pPr>
              <w:pStyle w:val="TableNAm"/>
            </w:pPr>
          </w:p>
        </w:tc>
      </w:tr>
    </w:tbl>
    <w:p>
      <w:pPr>
        <w:pStyle w:val="Footnotesection"/>
        <w:ind w:left="890" w:hanging="890"/>
      </w:pPr>
      <w:r>
        <w:tab/>
        <w:t>[Regulation 11B inserted in Gazette 6 Aug 2013 p. 3652</w:t>
      </w:r>
      <w:r>
        <w:noBreakHyphen/>
        <w:t>3; amended in Gazette 14 Jan 2014 p. 44; 27 Jun 2014 p. 2346.]</w:t>
      </w:r>
    </w:p>
    <w:p>
      <w:pPr>
        <w:pStyle w:val="Heading5"/>
        <w:spacing w:before="180"/>
      </w:pPr>
      <w:bookmarkStart w:id="59" w:name="_Toc404949003"/>
      <w:bookmarkStart w:id="60" w:name="_Toc391885651"/>
      <w:r>
        <w:rPr>
          <w:rStyle w:val="CharSectno"/>
        </w:rPr>
        <w:t>11</w:t>
      </w:r>
      <w:r>
        <w:t>.</w:t>
      </w:r>
      <w:r>
        <w:tab/>
        <w:t>Fees for provision of transcripts to third parties</w:t>
      </w:r>
      <w:bookmarkEnd w:id="59"/>
      <w:bookmarkEnd w:id="60"/>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61" w:name="_Toc404949004"/>
      <w:bookmarkStart w:id="62" w:name="_Toc391885652"/>
      <w:r>
        <w:rPr>
          <w:rStyle w:val="CharSectno"/>
        </w:rPr>
        <w:t>27</w:t>
      </w:r>
      <w:r>
        <w:t>.</w:t>
      </w:r>
      <w:r>
        <w:tab/>
        <w:t>Other fees</w:t>
      </w:r>
      <w:bookmarkEnd w:id="61"/>
      <w:bookmarkEnd w:id="62"/>
    </w:p>
    <w:p>
      <w:pPr>
        <w:pStyle w:val="Subsection"/>
      </w:pPr>
      <w:r>
        <w:tab/>
      </w:r>
      <w:r>
        <w:tab/>
        <w:t>The fees set out in Schedule 20 are to be charged in respect of the matters shown in that Schedule.</w:t>
      </w:r>
    </w:p>
    <w:p>
      <w:pPr>
        <w:pStyle w:val="Heading2"/>
      </w:pPr>
      <w:bookmarkStart w:id="63" w:name="_Toc404772685"/>
      <w:bookmarkStart w:id="64" w:name="_Toc404949005"/>
      <w:bookmarkStart w:id="65" w:name="_Toc384654477"/>
      <w:bookmarkStart w:id="66" w:name="_Toc391885653"/>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63"/>
      <w:bookmarkEnd w:id="64"/>
      <w:bookmarkEnd w:id="65"/>
      <w:bookmarkEnd w:id="66"/>
    </w:p>
    <w:p>
      <w:pPr>
        <w:pStyle w:val="Heading5"/>
        <w:spacing w:before="180"/>
      </w:pPr>
      <w:bookmarkStart w:id="67" w:name="_Toc404949006"/>
      <w:bookmarkStart w:id="68" w:name="_Toc391885654"/>
      <w:r>
        <w:rPr>
          <w:rStyle w:val="CharSectno"/>
        </w:rPr>
        <w:t>28</w:t>
      </w:r>
      <w:r>
        <w:t>.</w:t>
      </w:r>
      <w:r>
        <w:tab/>
        <w:t>Transitional provisions</w:t>
      </w:r>
      <w:bookmarkEnd w:id="67"/>
      <w:bookmarkEnd w:id="6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69" w:name="_Toc404949007"/>
      <w:bookmarkStart w:id="70" w:name="_Toc391885655"/>
      <w:r>
        <w:rPr>
          <w:rStyle w:val="CharSectno"/>
        </w:rPr>
        <w:t>33</w:t>
      </w:r>
      <w:r>
        <w:t>.</w:t>
      </w:r>
      <w:r>
        <w:tab/>
      </w:r>
      <w:r>
        <w:rPr>
          <w:i/>
        </w:rPr>
        <w:t>Land Administration Act 1997</w:t>
      </w:r>
      <w:bookmarkEnd w:id="69"/>
      <w:bookmarkEnd w:id="7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ins w:id="71" w:author="Master Repository Process" w:date="2021-09-18T02:22:00Z">
        <w:r>
          <w:rPr>
            <w:spacing w:val="-2"/>
            <w:vertAlign w:val="superscript"/>
          </w:rPr>
          <w:t> 2</w:t>
        </w:r>
      </w:ins>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72" w:name="_Toc404772688"/>
      <w:bookmarkStart w:id="73" w:name="_Toc404949008"/>
      <w:bookmarkStart w:id="74" w:name="_Toc384654480"/>
      <w:bookmarkStart w:id="75" w:name="_Toc39188565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2"/>
      <w:bookmarkEnd w:id="73"/>
      <w:bookmarkEnd w:id="74"/>
      <w:bookmarkEnd w:id="75"/>
    </w:p>
    <w:p>
      <w:pPr>
        <w:pStyle w:val="Heading5"/>
      </w:pPr>
      <w:bookmarkStart w:id="76" w:name="_Toc404949009"/>
      <w:bookmarkStart w:id="77" w:name="_Toc391885657"/>
      <w:r>
        <w:rPr>
          <w:rStyle w:val="CharSectno"/>
        </w:rPr>
        <w:t>42</w:t>
      </w:r>
      <w:r>
        <w:t>.</w:t>
      </w:r>
      <w:r>
        <w:tab/>
        <w:t>Transitional provision</w:t>
      </w:r>
      <w:bookmarkEnd w:id="76"/>
      <w:bookmarkEnd w:id="77"/>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78" w:name="_Toc404949010"/>
      <w:bookmarkStart w:id="79" w:name="_Toc391885658"/>
      <w:r>
        <w:rPr>
          <w:rStyle w:val="CharSectno"/>
        </w:rPr>
        <w:t>55</w:t>
      </w:r>
      <w:r>
        <w:t>.</w:t>
      </w:r>
      <w:r>
        <w:tab/>
      </w:r>
      <w:r>
        <w:rPr>
          <w:i/>
        </w:rPr>
        <w:t>Local Government (Miscellaneous Provisions) Act 1960</w:t>
      </w:r>
      <w:bookmarkEnd w:id="78"/>
      <w:bookmarkEnd w:id="79"/>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ins w:id="80" w:author="Master Repository Process" w:date="2021-09-18T02:22:00Z">
        <w:r>
          <w:rPr>
            <w:vertAlign w:val="superscript"/>
          </w:rPr>
          <w:t> 2</w:t>
        </w:r>
      </w:ins>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w:t>
      </w:r>
      <w:del w:id="81" w:author="Master Repository Process" w:date="2021-09-18T02:22:00Z">
        <w:r>
          <w:rPr>
            <w:vertAlign w:val="superscript"/>
          </w:rPr>
          <w:delText>2</w:delText>
        </w:r>
      </w:del>
      <w:ins w:id="82" w:author="Master Repository Process" w:date="2021-09-18T02:22:00Z">
        <w:r>
          <w:rPr>
            <w:vertAlign w:val="superscript"/>
          </w:rPr>
          <w:t>3</w:t>
        </w:r>
      </w:ins>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w:t>
      </w:r>
      <w:del w:id="83" w:author="Master Repository Process" w:date="2021-09-18T02:22:00Z">
        <w:r>
          <w:rPr>
            <w:vertAlign w:val="superscript"/>
          </w:rPr>
          <w:delText>3</w:delText>
        </w:r>
      </w:del>
      <w:ins w:id="84" w:author="Master Repository Process" w:date="2021-09-18T02:22:00Z">
        <w:r>
          <w:rPr>
            <w:vertAlign w:val="superscript"/>
          </w:rPr>
          <w:t>4</w:t>
        </w:r>
      </w:ins>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85" w:name="_Toc404949011"/>
      <w:bookmarkStart w:id="86" w:name="_Toc391885659"/>
      <w:r>
        <w:rPr>
          <w:rStyle w:val="CharSectno"/>
        </w:rPr>
        <w:t>61</w:t>
      </w:r>
      <w:r>
        <w:t>.</w:t>
      </w:r>
      <w:r>
        <w:tab/>
      </w:r>
      <w:r>
        <w:rPr>
          <w:i/>
        </w:rPr>
        <w:t>Rights in Water and Irrigation Act 1914</w:t>
      </w:r>
      <w:bookmarkEnd w:id="85"/>
      <w:bookmarkEnd w:id="8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ins w:id="87" w:author="Master Repository Process" w:date="2021-09-18T02:22:00Z">
        <w:r>
          <w:rPr>
            <w:vertAlign w:val="superscript"/>
          </w:rPr>
          <w:t> 2</w:t>
        </w:r>
      </w:ins>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88" w:name="_Toc404949012"/>
      <w:bookmarkStart w:id="89" w:name="_Toc391885660"/>
      <w:r>
        <w:rPr>
          <w:rStyle w:val="CharSectno"/>
        </w:rPr>
        <w:t>63</w:t>
      </w:r>
      <w:r>
        <w:t>.</w:t>
      </w:r>
      <w:r>
        <w:tab/>
      </w:r>
      <w:r>
        <w:rPr>
          <w:i/>
        </w:rPr>
        <w:t>Strata Titles Act 1985</w:t>
      </w:r>
      <w:bookmarkEnd w:id="88"/>
      <w:bookmarkEnd w:id="8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ins w:id="90" w:author="Master Repository Process" w:date="2021-09-18T02:22:00Z">
        <w:r>
          <w:rPr>
            <w:vertAlign w:val="superscript"/>
          </w:rPr>
          <w:t> 2</w:t>
        </w:r>
      </w:ins>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w:t>
      </w:r>
      <w:del w:id="91" w:author="Master Repository Process" w:date="2021-09-18T02:22:00Z">
        <w:r>
          <w:rPr>
            <w:vertAlign w:val="superscript"/>
          </w:rPr>
          <w:delText>4</w:delText>
        </w:r>
      </w:del>
      <w:ins w:id="92" w:author="Master Repository Process" w:date="2021-09-18T02:22:00Z">
        <w:r>
          <w:rPr>
            <w:vertAlign w:val="superscript"/>
          </w:rPr>
          <w:t>5</w:t>
        </w:r>
      </w:ins>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w:t>
      </w:r>
      <w:del w:id="93" w:author="Master Repository Process" w:date="2021-09-18T02:22:00Z">
        <w:r>
          <w:rPr>
            <w:vertAlign w:val="superscript"/>
          </w:rPr>
          <w:delText>5</w:delText>
        </w:r>
      </w:del>
      <w:ins w:id="94" w:author="Master Repository Process" w:date="2021-09-18T02:22:00Z">
        <w:r>
          <w:rPr>
            <w:vertAlign w:val="superscript"/>
          </w:rPr>
          <w:t>6</w:t>
        </w:r>
      </w:ins>
      <w:r>
        <w:t>, as in force at the time the certificate was made, is to be taken, on and after the commencement day, to comply with the ST Act section 23(1)(a) or (3)</w:t>
      </w:r>
      <w:r>
        <w:rPr>
          <w:vertAlign w:val="superscript"/>
        </w:rPr>
        <w:t> </w:t>
      </w:r>
      <w:del w:id="95" w:author="Master Repository Process" w:date="2021-09-18T02:22:00Z">
        <w:r>
          <w:rPr>
            <w:vertAlign w:val="superscript"/>
          </w:rPr>
          <w:delText>5</w:delText>
        </w:r>
      </w:del>
      <w:ins w:id="96" w:author="Master Repository Process" w:date="2021-09-18T02:22:00Z">
        <w:r>
          <w:rPr>
            <w:vertAlign w:val="superscript"/>
          </w:rPr>
          <w:t>6</w:t>
        </w:r>
      </w:ins>
      <w:r>
        <w:t>.</w:t>
      </w:r>
    </w:p>
    <w:p>
      <w:pPr>
        <w:pStyle w:val="Subsection"/>
      </w:pPr>
      <w:r>
        <w:tab/>
        <w:t>(5)</w:t>
      </w:r>
      <w:r>
        <w:tab/>
        <w:t>A certificate issued before the commencement day by the Town Planning Appeal Tribunal under the ST Act section 27(9)</w:t>
      </w:r>
      <w:r>
        <w:rPr>
          <w:vertAlign w:val="superscript"/>
        </w:rPr>
        <w:t> </w:t>
      </w:r>
      <w:del w:id="97" w:author="Master Repository Process" w:date="2021-09-18T02:22:00Z">
        <w:r>
          <w:rPr>
            <w:vertAlign w:val="superscript"/>
          </w:rPr>
          <w:delText>6</w:delText>
        </w:r>
      </w:del>
      <w:ins w:id="98" w:author="Master Repository Process" w:date="2021-09-18T02:22:00Z">
        <w:r>
          <w:rPr>
            <w:vertAlign w:val="superscript"/>
          </w:rPr>
          <w:t>7</w:t>
        </w:r>
      </w:ins>
      <w:r>
        <w:t xml:space="preserve"> or 25B(3)(a)</w:t>
      </w:r>
      <w:r>
        <w:rPr>
          <w:vertAlign w:val="superscript"/>
        </w:rPr>
        <w:t> </w:t>
      </w:r>
      <w:del w:id="99" w:author="Master Repository Process" w:date="2021-09-18T02:22:00Z">
        <w:r>
          <w:rPr>
            <w:vertAlign w:val="superscript"/>
          </w:rPr>
          <w:delText>7</w:delText>
        </w:r>
      </w:del>
      <w:ins w:id="100" w:author="Master Repository Process" w:date="2021-09-18T02:22:00Z">
        <w:r>
          <w:rPr>
            <w:vertAlign w:val="superscript"/>
          </w:rPr>
          <w:t>8</w:t>
        </w:r>
      </w:ins>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w:t>
      </w:r>
      <w:del w:id="101" w:author="Master Repository Process" w:date="2021-09-18T02:22:00Z">
        <w:r>
          <w:rPr>
            <w:vertAlign w:val="superscript"/>
          </w:rPr>
          <w:delText>8</w:delText>
        </w:r>
      </w:del>
      <w:ins w:id="102" w:author="Master Repository Process" w:date="2021-09-18T02:22:00Z">
        <w:r>
          <w:rPr>
            <w:vertAlign w:val="superscript"/>
          </w:rPr>
          <w:t>9</w:t>
        </w:r>
      </w:ins>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w:t>
      </w:r>
      <w:del w:id="103" w:author="Master Repository Process" w:date="2021-09-18T02:22:00Z">
        <w:r>
          <w:rPr>
            <w:vertAlign w:val="superscript"/>
          </w:rPr>
          <w:delText>8</w:delText>
        </w:r>
      </w:del>
      <w:ins w:id="104" w:author="Master Repository Process" w:date="2021-09-18T02:22:00Z">
        <w:r>
          <w:rPr>
            <w:vertAlign w:val="superscript"/>
          </w:rPr>
          <w:t>9</w:t>
        </w:r>
      </w:ins>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5" w:name="_Toc404772693"/>
      <w:bookmarkStart w:id="106" w:name="_Toc404949013"/>
      <w:bookmarkStart w:id="107" w:name="_Toc384654485"/>
      <w:bookmarkStart w:id="108" w:name="_Toc391885661"/>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05"/>
      <w:bookmarkEnd w:id="106"/>
      <w:bookmarkEnd w:id="107"/>
      <w:bookmarkEnd w:id="10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Travel Agents Act 1985</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w:t>
      </w:r>
    </w:p>
    <w:p>
      <w:pPr>
        <w:sectPr>
          <w:headerReference w:type="even" r:id="rId22"/>
          <w:headerReference w:type="default" r:id="rId23"/>
          <w:endnotePr>
            <w:numFmt w:val="decimal"/>
          </w:endnotePr>
          <w:pgSz w:w="11906" w:h="16838" w:code="9"/>
          <w:pgMar w:top="2381" w:right="2410" w:bottom="3544" w:left="2410" w:header="720" w:footer="3380" w:gutter="0"/>
          <w:cols w:space="720"/>
          <w:docGrid w:linePitch="326"/>
        </w:sectPr>
      </w:pPr>
    </w:p>
    <w:p>
      <w:pPr>
        <w:pStyle w:val="yScheduleHeading"/>
      </w:pPr>
      <w:bookmarkStart w:id="109" w:name="_Toc404772694"/>
      <w:bookmarkStart w:id="110" w:name="_Toc404949014"/>
      <w:bookmarkStart w:id="111" w:name="_Toc384654486"/>
      <w:bookmarkStart w:id="112" w:name="_Toc391885662"/>
      <w:r>
        <w:rPr>
          <w:rStyle w:val="CharSchNo"/>
        </w:rPr>
        <w:t>Schedule 2</w:t>
      </w:r>
      <w:r>
        <w:t> — </w:t>
      </w:r>
      <w:r>
        <w:rPr>
          <w:rStyle w:val="CharSchText"/>
        </w:rPr>
        <w:t>Places at which a magistrate may be authorised to perform functions as a member of the Tribunal</w:t>
      </w:r>
      <w:bookmarkEnd w:id="109"/>
      <w:bookmarkEnd w:id="110"/>
      <w:bookmarkEnd w:id="111"/>
      <w:bookmarkEnd w:id="112"/>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13" w:name="_Toc404772695"/>
      <w:bookmarkStart w:id="114" w:name="_Toc404949015"/>
      <w:bookmarkStart w:id="115" w:name="_Toc384654487"/>
      <w:bookmarkStart w:id="116" w:name="_Toc391885663"/>
      <w:r>
        <w:rPr>
          <w:rStyle w:val="CharSchNo"/>
        </w:rPr>
        <w:t>Schedule 3</w:t>
      </w:r>
      <w:r>
        <w:t> — </w:t>
      </w:r>
      <w:r>
        <w:rPr>
          <w:rStyle w:val="CharSchText"/>
        </w:rPr>
        <w:t>Provision under which proceedings commenced</w:t>
      </w:r>
      <w:bookmarkEnd w:id="113"/>
      <w:bookmarkEnd w:id="114"/>
      <w:bookmarkEnd w:id="115"/>
      <w:bookmarkEnd w:id="116"/>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w:t>
      </w:r>
      <w:del w:id="117" w:author="Master Repository Process" w:date="2021-09-18T02:22:00Z">
        <w:r>
          <w:rPr>
            <w:vertAlign w:val="superscript"/>
          </w:rPr>
          <w:delText>9</w:delText>
        </w:r>
      </w:del>
      <w:ins w:id="118" w:author="Master Repository Process" w:date="2021-09-18T02:22:00Z">
        <w:r>
          <w:rPr>
            <w:vertAlign w:val="superscript"/>
          </w:rPr>
          <w:t>10</w:t>
        </w:r>
      </w:ins>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19" w:name="_Toc404772696"/>
      <w:bookmarkStart w:id="120" w:name="_Toc404949016"/>
      <w:bookmarkStart w:id="121" w:name="_Toc384654488"/>
      <w:bookmarkStart w:id="122" w:name="_Toc391885664"/>
      <w:r>
        <w:rPr>
          <w:rStyle w:val="CharSchNo"/>
        </w:rPr>
        <w:t>Schedule 4</w:t>
      </w:r>
      <w:r>
        <w:t> — </w:t>
      </w:r>
      <w:r>
        <w:rPr>
          <w:rStyle w:val="CharSchText"/>
        </w:rPr>
        <w:t>Provision under which proceedings commenced</w:t>
      </w:r>
      <w:bookmarkEnd w:id="119"/>
      <w:bookmarkEnd w:id="120"/>
      <w:bookmarkEnd w:id="121"/>
      <w:bookmarkEnd w:id="122"/>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23" w:name="_Toc404772697"/>
      <w:bookmarkStart w:id="124" w:name="_Toc404949017"/>
      <w:bookmarkStart w:id="125" w:name="_Toc384654489"/>
      <w:bookmarkStart w:id="126" w:name="_Toc391885665"/>
      <w:r>
        <w:rPr>
          <w:rStyle w:val="CharSchNo"/>
        </w:rPr>
        <w:t>Schedule 6</w:t>
      </w:r>
      <w:r>
        <w:t> — </w:t>
      </w:r>
      <w:r>
        <w:rPr>
          <w:rStyle w:val="CharSchText"/>
        </w:rPr>
        <w:t>Provision under which proceedings commenced</w:t>
      </w:r>
      <w:bookmarkEnd w:id="123"/>
      <w:bookmarkEnd w:id="124"/>
      <w:bookmarkEnd w:id="125"/>
      <w:bookmarkEnd w:id="126"/>
    </w:p>
    <w:p>
      <w:pPr>
        <w:pStyle w:val="yShoulderClause"/>
      </w:pPr>
      <w:r>
        <w:t>[r. 9(4)]</w:t>
      </w:r>
    </w:p>
    <w:p>
      <w:pPr>
        <w:pStyle w:val="yFootnoteheading"/>
      </w:pPr>
      <w:r>
        <w:tab/>
        <w:t>[Heading inserted in Gazette 26 Jun 2007 p. 2993.]</w:t>
      </w:r>
    </w:p>
    <w:p>
      <w:pPr>
        <w:pStyle w:val="yMiscellaneousBody"/>
        <w:spacing w:before="240"/>
      </w:pPr>
      <w:r>
        <w:rPr>
          <w:i/>
          <w:iCs/>
        </w:rPr>
        <w:t>Associations Incorporation Act 1987</w:t>
      </w:r>
      <w:r>
        <w:t xml:space="preserve"> s. 4(6), 7(2), 8(2), 9(3), 18(4) or 19(3)</w:t>
      </w:r>
    </w:p>
    <w:p>
      <w:pPr>
        <w:pStyle w:val="yMiscellaneousBody"/>
      </w:pPr>
      <w:r>
        <w:rPr>
          <w:i/>
        </w:rPr>
        <w:t>Cat Act 2011</w:t>
      </w:r>
      <w:r>
        <w:t xml:space="preserve"> s. 71 or 72</w:t>
      </w:r>
    </w:p>
    <w:p>
      <w:pPr>
        <w:pStyle w:val="yMiscellaneousBody"/>
      </w:pPr>
      <w:r>
        <w:rPr>
          <w:i/>
          <w:iCs/>
        </w:rPr>
        <w:t>Commercial Tenancy (Retail Shops) Agreements Act 1985</w:t>
      </w:r>
      <w:r>
        <w:t xml:space="preserve"> s. 6(1)(b), 6A(1)(b) or (3), 9(3), 11(5), 12(1)(b), 12A(4), 12B(4), 12C(2), 12D(3), 13(3)(a), (7) or (7b), 13A(2) or (3), 14, 14A(3), 15F(1), 16(1) or 27(3)(b)</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w:t>
      </w:r>
      <w:del w:id="127" w:author="Master Repository Process" w:date="2021-09-18T02:22:00Z">
        <w:r>
          <w:delText>),</w:delText>
        </w:r>
      </w:del>
      <w:ins w:id="128" w:author="Master Repository Process" w:date="2021-09-18T02:22:00Z">
        <w:r>
          <w:t>)</w:t>
        </w:r>
      </w:ins>
      <w:r>
        <w:t xml:space="preserve"> or 40(4)</w:t>
      </w:r>
    </w:p>
    <w:p>
      <w:pPr>
        <w:pStyle w:val="yMiscellaneousBody"/>
      </w:pPr>
      <w:r>
        <w:rPr>
          <w:i/>
        </w:rPr>
        <w:t>Dog Regulations 2013</w:t>
      </w:r>
      <w:r>
        <w:t xml:space="preserve"> r. 13</w:t>
      </w:r>
    </w:p>
    <w:p>
      <w:pPr>
        <w:pStyle w:val="yMiscellaneousBody"/>
      </w:pPr>
      <w:r>
        <w:rPr>
          <w:i/>
        </w:rPr>
        <w:t>Fair Trading (Retirement Villages Interim Code) Regulations 2012</w:t>
      </w:r>
      <w:r>
        <w:rPr>
          <w:vertAlign w:val="superscript"/>
        </w:rPr>
        <w:t> </w:t>
      </w:r>
      <w:del w:id="129" w:author="Master Repository Process" w:date="2021-09-18T02:22:00Z">
        <w:r>
          <w:rPr>
            <w:vertAlign w:val="superscript"/>
          </w:rPr>
          <w:delText>10</w:delText>
        </w:r>
      </w:del>
      <w:ins w:id="130" w:author="Master Repository Process" w:date="2021-09-18T02:22:00Z">
        <w:r>
          <w:rPr>
            <w:vertAlign w:val="superscript"/>
          </w:rPr>
          <w:t>11</w:t>
        </w:r>
      </w:ins>
      <w:r>
        <w:rPr>
          <w:i/>
        </w:rPr>
        <w:t xml:space="preserve"> </w:t>
      </w:r>
      <w:r>
        <w:t>Sch. 1 cl. 5.8(2)</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w:t>
      </w:r>
    </w:p>
    <w:p>
      <w:pPr>
        <w:pStyle w:val="yScheduleHeading"/>
      </w:pPr>
      <w:bookmarkStart w:id="131" w:name="_Toc404772698"/>
      <w:bookmarkStart w:id="132" w:name="_Toc404949018"/>
      <w:bookmarkStart w:id="133" w:name="_Toc384654490"/>
      <w:bookmarkStart w:id="134" w:name="_Toc391885666"/>
      <w:r>
        <w:rPr>
          <w:rStyle w:val="CharSchNo"/>
        </w:rPr>
        <w:t>Schedule 7</w:t>
      </w:r>
      <w:r>
        <w:t> — </w:t>
      </w:r>
      <w:r>
        <w:rPr>
          <w:rStyle w:val="CharSchText"/>
        </w:rPr>
        <w:t>Enactments under which proceedings commenced</w:t>
      </w:r>
      <w:bookmarkEnd w:id="131"/>
      <w:bookmarkEnd w:id="132"/>
      <w:bookmarkEnd w:id="133"/>
      <w:bookmarkEnd w:id="134"/>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94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w:t>
      </w:r>
    </w:p>
    <w:p>
      <w:pPr>
        <w:pStyle w:val="yEdnoteschedule"/>
      </w:pPr>
      <w:r>
        <w:t>[Schedules 8</w:t>
      </w:r>
      <w:r>
        <w:noBreakHyphen/>
        <w:t>19 deleted in Gazette 26 Jun 2007 p. 2987.]</w:t>
      </w:r>
    </w:p>
    <w:p>
      <w:pPr>
        <w:pStyle w:val="yScheduleHeading"/>
      </w:pPr>
      <w:bookmarkStart w:id="135" w:name="_Toc404772699"/>
      <w:bookmarkStart w:id="136" w:name="_Toc404949019"/>
      <w:bookmarkStart w:id="137" w:name="_Toc384654491"/>
      <w:bookmarkStart w:id="138" w:name="_Toc391885667"/>
      <w:r>
        <w:rPr>
          <w:rStyle w:val="CharSchNo"/>
        </w:rPr>
        <w:t>Schedule 20</w:t>
      </w:r>
      <w:r>
        <w:t> — </w:t>
      </w:r>
      <w:r>
        <w:rPr>
          <w:rStyle w:val="CharSchText"/>
        </w:rPr>
        <w:t>Other fees</w:t>
      </w:r>
      <w:bookmarkEnd w:id="135"/>
      <w:bookmarkEnd w:id="136"/>
      <w:bookmarkEnd w:id="137"/>
      <w:bookmarkEnd w:id="138"/>
    </w:p>
    <w:p>
      <w:pPr>
        <w:pStyle w:val="yShoulderClause"/>
        <w:spacing w:after="120"/>
      </w:pPr>
      <w:r>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trPr>
          <w:cantSplit/>
          <w:tblHeader/>
        </w:trPr>
        <w:tc>
          <w:tcPr>
            <w:tcW w:w="658"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Type of fee</w:t>
            </w:r>
          </w:p>
        </w:tc>
        <w:tc>
          <w:tcPr>
            <w:tcW w:w="1327"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658" w:type="dxa"/>
          </w:tcPr>
          <w:p>
            <w:pPr>
              <w:pStyle w:val="yTableNAm"/>
            </w:pPr>
            <w:r>
              <w:t>1.</w:t>
            </w:r>
          </w:p>
        </w:tc>
        <w:tc>
          <w:tcPr>
            <w:tcW w:w="5103" w:type="dxa"/>
          </w:tcPr>
          <w:p>
            <w:pPr>
              <w:pStyle w:val="yTableNAm"/>
            </w:pPr>
            <w:r>
              <w:t xml:space="preserve">Application under the Act section 22(1) by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an individual</w:t>
            </w:r>
          </w:p>
        </w:tc>
        <w:tc>
          <w:tcPr>
            <w:tcW w:w="1327" w:type="dxa"/>
          </w:tcPr>
          <w:p>
            <w:pPr>
              <w:pStyle w:val="yTableNAm"/>
              <w:jc w:val="right"/>
            </w:pPr>
            <w:r>
              <w:rPr>
                <w:szCs w:val="22"/>
              </w:rPr>
              <w:t>74.50</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a person other than an individual</w:t>
            </w:r>
          </w:p>
        </w:tc>
        <w:tc>
          <w:tcPr>
            <w:tcW w:w="1327" w:type="dxa"/>
          </w:tcPr>
          <w:p>
            <w:pPr>
              <w:pStyle w:val="yTableNAm"/>
              <w:jc w:val="right"/>
            </w:pPr>
            <w:r>
              <w:rPr>
                <w:szCs w:val="22"/>
              </w:rPr>
              <w:t>149.50</w:t>
            </w:r>
          </w:p>
        </w:tc>
      </w:tr>
      <w:tr>
        <w:trPr>
          <w:cantSplit/>
        </w:trPr>
        <w:tc>
          <w:tcPr>
            <w:tcW w:w="658" w:type="dxa"/>
          </w:tcPr>
          <w:p>
            <w:pPr>
              <w:pStyle w:val="yTableNAm"/>
            </w:pPr>
            <w:r>
              <w:t>1A.</w:t>
            </w:r>
          </w:p>
        </w:tc>
        <w:tc>
          <w:tcPr>
            <w:tcW w:w="5103" w:type="dxa"/>
          </w:tcPr>
          <w:p>
            <w:pPr>
              <w:pStyle w:val="yTableNAm"/>
            </w:pPr>
            <w:r>
              <w:t>Application (per folio: a folio comprises 72 words)</w:t>
            </w:r>
          </w:p>
        </w:tc>
        <w:tc>
          <w:tcPr>
            <w:tcW w:w="1327" w:type="dxa"/>
          </w:tcPr>
          <w:p>
            <w:pPr>
              <w:pStyle w:val="yTableNAm"/>
              <w:jc w:val="right"/>
            </w:pPr>
            <w:r>
              <w:rPr>
                <w:szCs w:val="22"/>
              </w:rPr>
              <w:t>8.45</w:t>
            </w:r>
          </w:p>
        </w:tc>
      </w:tr>
      <w:tr>
        <w:trPr>
          <w:cantSplit/>
        </w:trPr>
        <w:tc>
          <w:tcPr>
            <w:tcW w:w="658" w:type="dxa"/>
          </w:tcPr>
          <w:p>
            <w:pPr>
              <w:pStyle w:val="yTableNAm"/>
            </w:pPr>
            <w:r>
              <w:t>2.</w:t>
            </w:r>
          </w:p>
        </w:tc>
        <w:tc>
          <w:tcPr>
            <w:tcW w:w="5103" w:type="dxa"/>
          </w:tcPr>
          <w:p>
            <w:pPr>
              <w:pStyle w:val="yTableNAm"/>
            </w:pPr>
            <w:r>
              <w:t>For a copy of a document, for each page or part of a page</w:t>
            </w:r>
          </w:p>
        </w:tc>
        <w:tc>
          <w:tcPr>
            <w:tcW w:w="1327" w:type="dxa"/>
          </w:tcPr>
          <w:p>
            <w:pPr>
              <w:pStyle w:val="yTableNAm"/>
              <w:jc w:val="right"/>
            </w:pPr>
            <w:r>
              <w:br/>
            </w:r>
            <w:r>
              <w:rPr>
                <w:szCs w:val="22"/>
              </w:rPr>
              <w:t>1.20</w:t>
            </w:r>
          </w:p>
        </w:tc>
      </w:tr>
      <w:tr>
        <w:trPr>
          <w:cantSplit/>
        </w:trPr>
        <w:tc>
          <w:tcPr>
            <w:tcW w:w="658" w:type="dxa"/>
          </w:tcPr>
          <w:p>
            <w:pPr>
              <w:pStyle w:val="yTableNAm"/>
            </w:pPr>
            <w:r>
              <w:t>3.</w:t>
            </w:r>
          </w:p>
        </w:tc>
        <w:tc>
          <w:tcPr>
            <w:tcW w:w="5103" w:type="dxa"/>
          </w:tcPr>
          <w:p>
            <w:pPr>
              <w:pStyle w:val="yTableNAm"/>
            </w:pPr>
            <w:r>
              <w:t xml:space="preserve">For a copy of reasons for decision — </w:t>
            </w:r>
          </w:p>
        </w:tc>
        <w:tc>
          <w:tcPr>
            <w:tcW w:w="1327" w:type="dxa"/>
          </w:tcPr>
          <w:p>
            <w:pPr>
              <w:pStyle w:val="yTableNAm"/>
              <w:jc w:val="right"/>
            </w:pPr>
          </w:p>
        </w:tc>
      </w:tr>
      <w:tr>
        <w:trPr>
          <w:cantSplit/>
        </w:trPr>
        <w:tc>
          <w:tcPr>
            <w:tcW w:w="658" w:type="dxa"/>
          </w:tcPr>
          <w:p>
            <w:pPr>
              <w:pStyle w:val="yTableNAm"/>
            </w:pPr>
          </w:p>
        </w:tc>
        <w:tc>
          <w:tcPr>
            <w:tcW w:w="5103" w:type="dxa"/>
          </w:tcPr>
          <w:p>
            <w:pPr>
              <w:pStyle w:val="yTableNAm"/>
              <w:tabs>
                <w:tab w:val="clear" w:pos="567"/>
                <w:tab w:val="left" w:pos="492"/>
              </w:tabs>
              <w:ind w:left="492" w:hanging="492"/>
            </w:pPr>
            <w:r>
              <w:t>(a)</w:t>
            </w:r>
            <w:r>
              <w:tab/>
              <w:t>for one copy on the request of a party to the application</w:t>
            </w:r>
          </w:p>
        </w:tc>
        <w:tc>
          <w:tcPr>
            <w:tcW w:w="1327" w:type="dxa"/>
          </w:tcPr>
          <w:p>
            <w:pPr>
              <w:pStyle w:val="yTableNAm"/>
              <w:jc w:val="right"/>
            </w:pPr>
            <w:r>
              <w:br/>
              <w:t>Nil</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327" w:type="dxa"/>
          </w:tcPr>
          <w:p>
            <w:pPr>
              <w:pStyle w:val="yTableNAm"/>
              <w:jc w:val="right"/>
            </w:pPr>
            <w:r>
              <w:br/>
            </w:r>
            <w:r>
              <w:rPr>
                <w:szCs w:val="22"/>
              </w:rPr>
              <w:t>1.25</w:t>
            </w:r>
          </w:p>
        </w:tc>
      </w:tr>
      <w:tr>
        <w:trPr>
          <w:cantSplit/>
        </w:trPr>
        <w:tc>
          <w:tcPr>
            <w:tcW w:w="658" w:type="dxa"/>
          </w:tcPr>
          <w:p>
            <w:pPr>
              <w:pStyle w:val="yTableNAm"/>
            </w:pPr>
          </w:p>
        </w:tc>
        <w:tc>
          <w:tcPr>
            <w:tcW w:w="5103"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327" w:type="dxa"/>
          </w:tcPr>
          <w:p>
            <w:pPr>
              <w:pStyle w:val="yTableNAm"/>
              <w:jc w:val="right"/>
            </w:pPr>
            <w:r>
              <w:br/>
            </w:r>
            <w:r>
              <w:br/>
            </w:r>
            <w:r>
              <w:rPr>
                <w:szCs w:val="22"/>
              </w:rPr>
              <w:t>1.25</w:t>
            </w:r>
          </w:p>
        </w:tc>
      </w:tr>
      <w:tr>
        <w:trPr>
          <w:cantSplit/>
        </w:trPr>
        <w:tc>
          <w:tcPr>
            <w:tcW w:w="658" w:type="dxa"/>
          </w:tcPr>
          <w:p>
            <w:pPr>
              <w:pStyle w:val="yTableNAm"/>
            </w:pPr>
            <w:r>
              <w:t>4.</w:t>
            </w:r>
          </w:p>
        </w:tc>
        <w:tc>
          <w:tcPr>
            <w:tcW w:w="5103" w:type="dxa"/>
          </w:tcPr>
          <w:p>
            <w:pPr>
              <w:pStyle w:val="yTableNAm"/>
            </w:pPr>
            <w:r>
              <w:t>For certifying under seal that a document is a true copy, an additional fee of</w:t>
            </w:r>
          </w:p>
        </w:tc>
        <w:tc>
          <w:tcPr>
            <w:tcW w:w="1327" w:type="dxa"/>
          </w:tcPr>
          <w:p>
            <w:pPr>
              <w:pStyle w:val="yTableNAm"/>
              <w:jc w:val="right"/>
            </w:pPr>
            <w:r>
              <w:br/>
            </w:r>
            <w:r>
              <w:rPr>
                <w:szCs w:val="22"/>
              </w:rPr>
              <w:t>14.50</w:t>
            </w:r>
          </w:p>
        </w:tc>
      </w:tr>
      <w:tr>
        <w:trPr>
          <w:cantSplit/>
        </w:trPr>
        <w:tc>
          <w:tcPr>
            <w:tcW w:w="658" w:type="dxa"/>
          </w:tcPr>
          <w:p>
            <w:pPr>
              <w:pStyle w:val="yTableNAm"/>
            </w:pPr>
            <w:r>
              <w:t>5.</w:t>
            </w:r>
          </w:p>
        </w:tc>
        <w:tc>
          <w:tcPr>
            <w:tcW w:w="5103" w:type="dxa"/>
          </w:tcPr>
          <w:p>
            <w:pPr>
              <w:pStyle w:val="yTableNAm"/>
            </w:pPr>
            <w:r>
              <w:t>For a copy of a transcript (whether or not in electronic format), for each page or part of a page (minimum fee:</w:t>
            </w:r>
            <w:r>
              <w:rPr>
                <w:szCs w:val="22"/>
              </w:rPr>
              <w:t xml:space="preserve"> $19.35)</w:t>
            </w:r>
          </w:p>
        </w:tc>
        <w:tc>
          <w:tcPr>
            <w:tcW w:w="1327" w:type="dxa"/>
          </w:tcPr>
          <w:p>
            <w:pPr>
              <w:pStyle w:val="yTableNAm"/>
              <w:jc w:val="right"/>
            </w:pPr>
            <w:r>
              <w:br/>
            </w:r>
            <w:r>
              <w:br/>
            </w:r>
            <w:r>
              <w:rPr>
                <w:szCs w:val="22"/>
              </w:rPr>
              <w:t>6.35</w:t>
            </w:r>
          </w:p>
        </w:tc>
      </w:tr>
      <w:tr>
        <w:trPr>
          <w:cantSplit/>
        </w:trPr>
        <w:tc>
          <w:tcPr>
            <w:tcW w:w="658" w:type="dxa"/>
          </w:tcPr>
          <w:p>
            <w:pPr>
              <w:pStyle w:val="yTableNAm"/>
            </w:pPr>
            <w:r>
              <w:t>6.</w:t>
            </w:r>
          </w:p>
        </w:tc>
        <w:tc>
          <w:tcPr>
            <w:tcW w:w="5103" w:type="dxa"/>
          </w:tcPr>
          <w:p>
            <w:pPr>
              <w:pStyle w:val="yTableNAm"/>
            </w:pPr>
            <w:r>
              <w:t>For a copy of a running transcript (whether or not in electronic format), for each page or part of a page (minimum fee:</w:t>
            </w:r>
            <w:r>
              <w:rPr>
                <w:szCs w:val="22"/>
              </w:rPr>
              <w:t xml:space="preserve"> $19.35)</w:t>
            </w:r>
          </w:p>
        </w:tc>
        <w:tc>
          <w:tcPr>
            <w:tcW w:w="1327" w:type="dxa"/>
          </w:tcPr>
          <w:p>
            <w:pPr>
              <w:pStyle w:val="yTableNAm"/>
              <w:jc w:val="right"/>
              <w:rPr>
                <w:rFonts w:ascii="Times" w:hAnsi="Times"/>
                <w:spacing w:val="-4"/>
              </w:rPr>
            </w:pPr>
            <w:r>
              <w:br/>
            </w:r>
            <w:r>
              <w:br/>
            </w:r>
            <w:r>
              <w:rPr>
                <w:szCs w:val="22"/>
              </w:rPr>
              <w:t>6.35 plus 62.50 per day</w:t>
            </w:r>
          </w:p>
        </w:tc>
      </w:tr>
      <w:tr>
        <w:trPr>
          <w:cantSplit/>
        </w:trPr>
        <w:tc>
          <w:tcPr>
            <w:tcW w:w="658" w:type="dxa"/>
          </w:tcPr>
          <w:p>
            <w:pPr>
              <w:pStyle w:val="yTableNAm"/>
            </w:pPr>
            <w:r>
              <w:t>7.</w:t>
            </w:r>
          </w:p>
        </w:tc>
        <w:tc>
          <w:tcPr>
            <w:tcW w:w="5103" w:type="dxa"/>
          </w:tcPr>
          <w:p>
            <w:pPr>
              <w:pStyle w:val="yTableNAm"/>
            </w:pPr>
            <w:r>
              <w:t>For a copy of a transcript on a disk, for each page or part of a page (minimum fee:</w:t>
            </w:r>
            <w:r>
              <w:rPr>
                <w:szCs w:val="22"/>
              </w:rPr>
              <w:t xml:space="preserve"> $19.35)</w:t>
            </w:r>
          </w:p>
        </w:tc>
        <w:tc>
          <w:tcPr>
            <w:tcW w:w="1327" w:type="dxa"/>
          </w:tcPr>
          <w:p>
            <w:pPr>
              <w:pStyle w:val="yTableNAm"/>
              <w:jc w:val="right"/>
              <w:rPr>
                <w:rFonts w:ascii="Times" w:hAnsi="Times"/>
                <w:spacing w:val="-6"/>
              </w:rPr>
            </w:pPr>
            <w:r>
              <w:br/>
            </w:r>
            <w:r>
              <w:rPr>
                <w:szCs w:val="22"/>
              </w:rPr>
              <w:t>6.35 plus 7.15 per disk</w:t>
            </w:r>
          </w:p>
        </w:tc>
      </w:tr>
      <w:tr>
        <w:trPr>
          <w:cantSplit/>
        </w:trPr>
        <w:tc>
          <w:tcPr>
            <w:tcW w:w="658" w:type="dxa"/>
          </w:tcPr>
          <w:p>
            <w:pPr>
              <w:pStyle w:val="yTableNAm"/>
            </w:pPr>
            <w:r>
              <w:t>8.</w:t>
            </w:r>
          </w:p>
        </w:tc>
        <w:tc>
          <w:tcPr>
            <w:tcW w:w="5103" w:type="dxa"/>
          </w:tcPr>
          <w:p>
            <w:pPr>
              <w:pStyle w:val="yTableNAm"/>
            </w:pPr>
            <w:r>
              <w:t>For searching the register of proceedings other than a search made by or on behalf of a party to the application of that part of the register applicable to the application</w:t>
            </w:r>
          </w:p>
        </w:tc>
        <w:tc>
          <w:tcPr>
            <w:tcW w:w="1327" w:type="dxa"/>
          </w:tcPr>
          <w:p>
            <w:pPr>
              <w:pStyle w:val="yTableNAm"/>
              <w:jc w:val="right"/>
            </w:pPr>
            <w:r>
              <w:br/>
            </w:r>
            <w:r>
              <w:br/>
            </w:r>
            <w:r>
              <w:rPr>
                <w:szCs w:val="22"/>
              </w:rPr>
              <w:t>16.35</w:t>
            </w:r>
          </w:p>
        </w:tc>
      </w:tr>
      <w:tr>
        <w:trPr>
          <w:cantSplit/>
        </w:trPr>
        <w:tc>
          <w:tcPr>
            <w:tcW w:w="658" w:type="dxa"/>
          </w:tcPr>
          <w:p>
            <w:pPr>
              <w:pStyle w:val="yTableNAm"/>
            </w:pPr>
            <w:r>
              <w:t>9.</w:t>
            </w:r>
          </w:p>
        </w:tc>
        <w:tc>
          <w:tcPr>
            <w:tcW w:w="5103" w:type="dxa"/>
          </w:tcPr>
          <w:p>
            <w:pPr>
              <w:pStyle w:val="yTableNAm"/>
            </w:pPr>
            <w:r>
              <w:t>For searching any proceeding or record other than a search made by or on behalf of a party to the application</w:t>
            </w:r>
          </w:p>
        </w:tc>
        <w:tc>
          <w:tcPr>
            <w:tcW w:w="1327" w:type="dxa"/>
          </w:tcPr>
          <w:p>
            <w:pPr>
              <w:pStyle w:val="yTableNAm"/>
              <w:jc w:val="right"/>
            </w:pPr>
            <w:r>
              <w:br/>
            </w:r>
            <w:r>
              <w:rPr>
                <w:szCs w:val="22"/>
              </w:rPr>
              <w:t>36.40</w:t>
            </w:r>
          </w:p>
        </w:tc>
      </w:tr>
      <w:tr>
        <w:trPr>
          <w:cantSplit/>
        </w:trPr>
        <w:tc>
          <w:tcPr>
            <w:tcW w:w="658" w:type="dxa"/>
            <w:tcBorders>
              <w:bottom w:val="single" w:sz="4" w:space="0" w:color="auto"/>
            </w:tcBorders>
          </w:tcPr>
          <w:p>
            <w:pPr>
              <w:pStyle w:val="yTableNAm"/>
            </w:pPr>
            <w:r>
              <w:t>10.</w:t>
            </w:r>
          </w:p>
        </w:tc>
        <w:tc>
          <w:tcPr>
            <w:tcW w:w="5103" w:type="dxa"/>
            <w:tcBorders>
              <w:bottom w:val="single" w:sz="4" w:space="0" w:color="auto"/>
            </w:tcBorders>
          </w:tcPr>
          <w:p>
            <w:pPr>
              <w:pStyle w:val="yTableNAm"/>
            </w:pPr>
            <w:r>
              <w:t>For sealing a summons to a witness</w:t>
            </w:r>
          </w:p>
        </w:tc>
        <w:tc>
          <w:tcPr>
            <w:tcW w:w="1327" w:type="dxa"/>
            <w:tcBorders>
              <w:bottom w:val="single" w:sz="4" w:space="0" w:color="auto"/>
            </w:tcBorders>
          </w:tcPr>
          <w:p>
            <w:pPr>
              <w:pStyle w:val="yTableNAm"/>
              <w:jc w:val="right"/>
            </w:pPr>
            <w:r>
              <w:rPr>
                <w:szCs w:val="22"/>
              </w:rPr>
              <w:t>30.00</w:t>
            </w:r>
          </w:p>
        </w:tc>
      </w:tr>
    </w:tbl>
    <w:p>
      <w:pPr>
        <w:pStyle w:val="yFootnotesection"/>
      </w:pPr>
      <w:r>
        <w:tab/>
        <w:t>[Schedule 20 amended in Gazette 26 Jun 2007 p. 2995</w:t>
      </w:r>
      <w:r>
        <w:noBreakHyphen/>
        <w:t>6; 27 Jun 2008 p. 3067; 4 Sep 2009 p. 3482</w:t>
      </w:r>
      <w:r>
        <w:noBreakHyphen/>
        <w:t>3; 8 Mar 2011 p. 795; 20 Dec 2011 p. 5386-7; 30 Nov 2012 p. 5796-7; 15 Nov 2013 p. 5247; 27 Jun 2014 p. 2346.]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p>
    <w:p>
      <w:pPr>
        <w:pStyle w:val="nHeading2"/>
      </w:pPr>
      <w:bookmarkStart w:id="139" w:name="_Toc404772700"/>
      <w:bookmarkStart w:id="140" w:name="_Toc404949020"/>
      <w:bookmarkStart w:id="141" w:name="_Toc384654492"/>
      <w:bookmarkStart w:id="142" w:name="_Toc391885668"/>
      <w:r>
        <w:t>Notes</w:t>
      </w:r>
      <w:bookmarkEnd w:id="139"/>
      <w:bookmarkEnd w:id="140"/>
      <w:bookmarkEnd w:id="141"/>
      <w:bookmarkEnd w:id="142"/>
    </w:p>
    <w:p>
      <w:pPr>
        <w:pStyle w:val="nSubsection"/>
        <w:rPr>
          <w:snapToGrid w:val="0"/>
        </w:rPr>
      </w:pPr>
      <w:r>
        <w:rPr>
          <w:snapToGrid w:val="0"/>
          <w:vertAlign w:val="superscript"/>
        </w:rPr>
        <w:t>1</w:t>
      </w:r>
      <w:r>
        <w:rPr>
          <w:snapToGrid w:val="0"/>
        </w:rPr>
        <w:tab/>
        <w:t xml:space="preserve">This </w:t>
      </w:r>
      <w:ins w:id="143" w:author="Master Repository Process" w:date="2021-09-18T02:22:00Z">
        <w:r>
          <w:rPr>
            <w:snapToGrid w:val="0"/>
          </w:rPr>
          <w:t xml:space="preserve">reprint </w:t>
        </w:r>
      </w:ins>
      <w:r>
        <w:rPr>
          <w:snapToGrid w:val="0"/>
        </w:rPr>
        <w:t>is a compilation</w:t>
      </w:r>
      <w:ins w:id="144" w:author="Master Repository Process" w:date="2021-09-18T02:22:00Z">
        <w:r>
          <w:rPr>
            <w:snapToGrid w:val="0"/>
          </w:rPr>
          <w:t xml:space="preserve"> as at 21 November 2014</w:t>
        </w:r>
      </w:ins>
      <w:r>
        <w:rPr>
          <w:snapToGrid w:val="0"/>
        </w:rPr>
        <w:t xml:space="preserve">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45" w:name="_Toc404949021"/>
      <w:bookmarkStart w:id="146" w:name="_Toc391885669"/>
      <w:r>
        <w:t>Compilation table</w:t>
      </w:r>
      <w:bookmarkEnd w:id="145"/>
      <w:bookmarkEnd w:id="1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rPr>
              <w:t>r. 1 and 2: 26 Jun 2007 (see r. 2(a));</w:t>
            </w:r>
            <w:r>
              <w:rPr>
                <w:snapToGrid w:val="0"/>
                <w:sz w:val="19"/>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rPr>
            </w:pPr>
            <w:r>
              <w:rPr>
                <w:snapToGrid w:val="0"/>
                <w:sz w:val="19"/>
              </w:rPr>
              <w:t>r. 1 and 2: 31 Jul 2007 (see r. 2(a));</w:t>
            </w:r>
            <w:r>
              <w:rPr>
                <w:snapToGrid w:val="0"/>
                <w:sz w:val="19"/>
              </w:rPr>
              <w:br/>
              <w:t>Regulations other than r. 1 and 2: 1 Aug 2007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State Administrative Tribunal Regulations 2004</w:t>
            </w:r>
            <w:r>
              <w:rPr>
                <w:b/>
                <w:bCs/>
                <w:snapToGrid w:val="0"/>
                <w:sz w:val="19"/>
              </w:rPr>
              <w:t xml:space="preserve"> as at 16 Nov 2007</w:t>
            </w:r>
            <w:r>
              <w:rPr>
                <w:snapToGrid w:val="0"/>
                <w:sz w:val="19"/>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rPr>
            </w:pPr>
            <w:r>
              <w:rPr>
                <w:snapToGrid w:val="0"/>
                <w:sz w:val="19"/>
              </w:rPr>
              <w:t xml:space="preserve">r. 1 and 2: </w:t>
            </w:r>
            <w:r>
              <w:rPr>
                <w:sz w:val="19"/>
              </w:rPr>
              <w:t>27 Jun 2008</w:t>
            </w:r>
            <w:r>
              <w:rPr>
                <w:snapToGrid w:val="0"/>
                <w:sz w:val="19"/>
              </w:rPr>
              <w:t xml:space="preserve"> (see r. 2(a));</w:t>
            </w:r>
            <w:r>
              <w:rPr>
                <w:snapToGrid w:val="0"/>
                <w:sz w:val="19"/>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rPr>
            </w:pPr>
            <w:r>
              <w:rPr>
                <w:snapToGrid w:val="0"/>
                <w:sz w:val="19"/>
              </w:rPr>
              <w:t xml:space="preserve">r. 1 and 2: </w:t>
            </w:r>
            <w:r>
              <w:rPr>
                <w:sz w:val="19"/>
              </w:rPr>
              <w:t>4 Sep 2009</w:t>
            </w:r>
            <w:r>
              <w:rPr>
                <w:snapToGrid w:val="0"/>
                <w:sz w:val="19"/>
              </w:rPr>
              <w:t xml:space="preserve"> (see r. 2(a));</w:t>
            </w:r>
            <w:r>
              <w:rPr>
                <w:snapToGrid w:val="0"/>
                <w:sz w:val="19"/>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rPr>
            </w:pPr>
            <w:r>
              <w:rPr>
                <w:snapToGrid w:val="0"/>
                <w:sz w:val="19"/>
              </w:rPr>
              <w:t>4 Dec 2009 (see s. 2(b))</w:t>
            </w:r>
          </w:p>
        </w:tc>
      </w:tr>
      <w:tr>
        <w:trPr>
          <w:cantSplit/>
        </w:trPr>
        <w:tc>
          <w:tcPr>
            <w:tcW w:w="7087" w:type="dxa"/>
            <w:gridSpan w:val="3"/>
          </w:tcPr>
          <w:p>
            <w:pPr>
              <w:pStyle w:val="nTable"/>
              <w:spacing w:after="40"/>
              <w:rPr>
                <w:snapToGrid w:val="0"/>
                <w:sz w:val="19"/>
              </w:rPr>
            </w:pPr>
            <w:r>
              <w:rPr>
                <w:b/>
                <w:bCs/>
                <w:snapToGrid w:val="0"/>
                <w:sz w:val="19"/>
              </w:rPr>
              <w:t xml:space="preserve">Reprint 2: The </w:t>
            </w:r>
            <w:r>
              <w:rPr>
                <w:b/>
                <w:bCs/>
                <w:i/>
                <w:sz w:val="19"/>
              </w:rPr>
              <w:t>State Administrative Tribunal Regulations 2004</w:t>
            </w:r>
            <w:r>
              <w:rPr>
                <w:b/>
                <w:bCs/>
                <w:snapToGrid w:val="0"/>
                <w:sz w:val="19"/>
              </w:rPr>
              <w:t xml:space="preserve"> as at 19 Feb 2010</w:t>
            </w:r>
            <w:r>
              <w:rPr>
                <w:snapToGrid w:val="0"/>
                <w:sz w:val="19"/>
              </w:rPr>
              <w:t xml:space="preserve"> (includes amendments listed above)</w:t>
            </w:r>
          </w:p>
        </w:tc>
      </w:tr>
      <w:tr>
        <w:trPr>
          <w:cantSplit/>
        </w:trPr>
        <w:tc>
          <w:tcPr>
            <w:tcW w:w="4394" w:type="dxa"/>
            <w:gridSpan w:val="2"/>
          </w:tcPr>
          <w:p>
            <w:pPr>
              <w:pStyle w:val="nTable"/>
              <w:spacing w:after="40"/>
              <w:rPr>
                <w:snapToGrid w:val="0"/>
                <w:sz w:val="19"/>
              </w:rPr>
            </w:pPr>
            <w:r>
              <w:rPr>
                <w:i/>
                <w:snapToGrid w:val="0"/>
                <w:sz w:val="19"/>
              </w:rPr>
              <w:t>Standardisation of Formatting Act 2010</w:t>
            </w:r>
            <w:r>
              <w:rPr>
                <w:iCs/>
                <w:snapToGrid w:val="0"/>
                <w:sz w:val="19"/>
              </w:rPr>
              <w:t xml:space="preserve"> s. 51 assented to </w:t>
            </w:r>
            <w:r>
              <w:rPr>
                <w:snapToGrid w:val="0"/>
                <w:sz w:val="19"/>
              </w:rPr>
              <w:t>28 Jun 2010</w:t>
            </w:r>
          </w:p>
        </w:tc>
        <w:tc>
          <w:tcPr>
            <w:tcW w:w="269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3118" w:type="dxa"/>
          </w:tcPr>
          <w:p>
            <w:pPr>
              <w:pStyle w:val="nTable"/>
              <w:spacing w:after="40"/>
              <w:rPr>
                <w:i/>
                <w:sz w:val="19"/>
              </w:rPr>
            </w:pPr>
            <w:r>
              <w:rPr>
                <w:i/>
                <w:sz w:val="19"/>
              </w:rPr>
              <w:t>State Administrative Tribunal Amendment Regulations 2011</w:t>
            </w:r>
          </w:p>
        </w:tc>
        <w:tc>
          <w:tcPr>
            <w:tcW w:w="1276" w:type="dxa"/>
          </w:tcPr>
          <w:p>
            <w:pPr>
              <w:pStyle w:val="nTable"/>
              <w:spacing w:after="40"/>
              <w:rPr>
                <w:sz w:val="19"/>
              </w:rPr>
            </w:pPr>
            <w:r>
              <w:rPr>
                <w:sz w:val="19"/>
              </w:rPr>
              <w:t>8 Mar 2011 p. 792</w:t>
            </w:r>
            <w:r>
              <w:rPr>
                <w:sz w:val="19"/>
              </w:rPr>
              <w:noBreakHyphen/>
              <w:t>5</w:t>
            </w:r>
          </w:p>
        </w:tc>
        <w:tc>
          <w:tcPr>
            <w:tcW w:w="2693" w:type="dxa"/>
          </w:tcPr>
          <w:p>
            <w:pPr>
              <w:pStyle w:val="nTable"/>
              <w:spacing w:after="40"/>
              <w:rPr>
                <w:snapToGrid w:val="0"/>
                <w:sz w:val="19"/>
              </w:rPr>
            </w:pPr>
            <w:r>
              <w:rPr>
                <w:snapToGrid w:val="0"/>
                <w:sz w:val="19"/>
              </w:rPr>
              <w:t>r. 1 and 2: 8 Mar 2011 (see r. 2(a));</w:t>
            </w:r>
            <w:r>
              <w:rPr>
                <w:snapToGrid w:val="0"/>
                <w:sz w:val="19"/>
              </w:rPr>
              <w:br/>
              <w:t>Regulations other than r. 1 and 2: 9 Mar 2011 (see r. 2(b))</w:t>
            </w:r>
          </w:p>
        </w:tc>
      </w:tr>
      <w:tr>
        <w:tc>
          <w:tcPr>
            <w:tcW w:w="3118" w:type="dxa"/>
          </w:tcPr>
          <w:p>
            <w:pPr>
              <w:pStyle w:val="nTable"/>
              <w:spacing w:after="40"/>
              <w:rPr>
                <w:i/>
                <w:sz w:val="19"/>
              </w:rPr>
            </w:pPr>
            <w:r>
              <w:rPr>
                <w:i/>
                <w:sz w:val="19"/>
              </w:rPr>
              <w:t>State Administrative Tribunal Amendment Regulations (No. 4) 2011</w:t>
            </w:r>
          </w:p>
        </w:tc>
        <w:tc>
          <w:tcPr>
            <w:tcW w:w="1276" w:type="dxa"/>
          </w:tcPr>
          <w:p>
            <w:pPr>
              <w:pStyle w:val="nTable"/>
              <w:spacing w:after="40"/>
              <w:rPr>
                <w:sz w:val="19"/>
              </w:rPr>
            </w:pPr>
            <w:r>
              <w:rPr>
                <w:sz w:val="19"/>
              </w:rPr>
              <w:t>22 Jul 2011 p. 3017</w:t>
            </w:r>
            <w:r>
              <w:rPr>
                <w:sz w:val="19"/>
              </w:rPr>
              <w:noBreakHyphen/>
              <w:t>18</w:t>
            </w:r>
          </w:p>
        </w:tc>
        <w:tc>
          <w:tcPr>
            <w:tcW w:w="2693" w:type="dxa"/>
          </w:tcPr>
          <w:p>
            <w:pPr>
              <w:pStyle w:val="nTable"/>
              <w:spacing w:after="40"/>
              <w:rPr>
                <w:snapToGrid w:val="0"/>
                <w:sz w:val="19"/>
              </w:rPr>
            </w:pPr>
            <w:r>
              <w:rPr>
                <w:snapToGrid w:val="0"/>
                <w:sz w:val="19"/>
              </w:rPr>
              <w:t>r. 1 and 2: 22 Jul 2011 (see r. 2(a));</w:t>
            </w:r>
            <w:r>
              <w:rPr>
                <w:snapToGrid w:val="0"/>
                <w:sz w:val="19"/>
              </w:rPr>
              <w:br/>
              <w:t>Regulations other than r. 1 and 2: 23 Jul 2011 (see r. 2(b))</w:t>
            </w:r>
          </w:p>
        </w:tc>
      </w:tr>
      <w:tr>
        <w:tc>
          <w:tcPr>
            <w:tcW w:w="3118" w:type="dxa"/>
          </w:tcPr>
          <w:p>
            <w:pPr>
              <w:pStyle w:val="nTable"/>
              <w:spacing w:after="40"/>
              <w:rPr>
                <w:i/>
                <w:sz w:val="19"/>
              </w:rPr>
            </w:pPr>
            <w:r>
              <w:rPr>
                <w:i/>
                <w:sz w:val="19"/>
              </w:rPr>
              <w:t>State Administrative Tribunal Amendment Regulations (No. 5) 2011</w:t>
            </w:r>
          </w:p>
        </w:tc>
        <w:tc>
          <w:tcPr>
            <w:tcW w:w="1276" w:type="dxa"/>
          </w:tcPr>
          <w:p>
            <w:pPr>
              <w:pStyle w:val="nTable"/>
              <w:spacing w:after="40"/>
              <w:rPr>
                <w:sz w:val="19"/>
              </w:rPr>
            </w:pPr>
            <w:r>
              <w:rPr>
                <w:sz w:val="19"/>
              </w:rPr>
              <w:t>20 Dec 2011 p. 5383-7</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c>
          <w:tcPr>
            <w:tcW w:w="3118" w:type="dxa"/>
          </w:tcPr>
          <w:p>
            <w:pPr>
              <w:pStyle w:val="nTable"/>
              <w:spacing w:after="40"/>
              <w:rPr>
                <w:i/>
                <w:sz w:val="19"/>
              </w:rPr>
            </w:pPr>
            <w:r>
              <w:rPr>
                <w:i/>
                <w:sz w:val="19"/>
              </w:rPr>
              <w:t>State Administrative Tribunal Amendment Regulations (No. 3) 2012</w:t>
            </w:r>
          </w:p>
        </w:tc>
        <w:tc>
          <w:tcPr>
            <w:tcW w:w="1276" w:type="dxa"/>
          </w:tcPr>
          <w:p>
            <w:pPr>
              <w:pStyle w:val="nTable"/>
              <w:spacing w:after="40"/>
              <w:rPr>
                <w:sz w:val="19"/>
              </w:rPr>
            </w:pPr>
            <w:r>
              <w:rPr>
                <w:sz w:val="19"/>
              </w:rPr>
              <w:t>30 Nov 2012 p. 5795-7</w:t>
            </w:r>
          </w:p>
        </w:tc>
        <w:tc>
          <w:tcPr>
            <w:tcW w:w="2693" w:type="dxa"/>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8" w:type="dxa"/>
          </w:tcPr>
          <w:p>
            <w:pPr>
              <w:pStyle w:val="nTable"/>
              <w:spacing w:after="40"/>
              <w:rPr>
                <w:i/>
                <w:sz w:val="19"/>
              </w:rPr>
            </w:pPr>
            <w:r>
              <w:rPr>
                <w:i/>
                <w:sz w:val="19"/>
              </w:rPr>
              <w:t>State Administrative Tribunal Amendment Regulations (No. 4) 2012</w:t>
            </w:r>
          </w:p>
        </w:tc>
        <w:tc>
          <w:tcPr>
            <w:tcW w:w="1276" w:type="dxa"/>
          </w:tcPr>
          <w:p>
            <w:pPr>
              <w:pStyle w:val="nTable"/>
              <w:spacing w:after="40"/>
              <w:rPr>
                <w:sz w:val="19"/>
              </w:rPr>
            </w:pPr>
            <w:r>
              <w:rPr>
                <w:sz w:val="19"/>
              </w:rPr>
              <w:t>7 Dec 2012 p. 5994</w:t>
            </w:r>
          </w:p>
        </w:tc>
        <w:tc>
          <w:tcPr>
            <w:tcW w:w="2693" w:type="dxa"/>
          </w:tcPr>
          <w:p>
            <w:pPr>
              <w:pStyle w:val="nTable"/>
              <w:spacing w:after="40"/>
              <w:rPr>
                <w:snapToGrid w:val="0"/>
                <w:sz w:val="19"/>
              </w:rPr>
            </w:pPr>
            <w:r>
              <w:rPr>
                <w:snapToGrid w:val="0"/>
                <w:sz w:val="19"/>
              </w:rPr>
              <w:t>r. 1 and 2: 7 Dec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shd w:val="clear" w:color="auto" w:fill="auto"/>
          </w:tcPr>
          <w:p>
            <w:pPr>
              <w:pStyle w:val="nTable"/>
              <w:spacing w:after="40"/>
              <w:rPr>
                <w:i/>
                <w:sz w:val="19"/>
              </w:rPr>
            </w:pPr>
            <w:r>
              <w:rPr>
                <w:i/>
                <w:sz w:val="19"/>
              </w:rPr>
              <w:t>State Administrative Tribunal Amendment Regulations 2013</w:t>
            </w:r>
          </w:p>
        </w:tc>
        <w:tc>
          <w:tcPr>
            <w:tcW w:w="1276" w:type="dxa"/>
            <w:shd w:val="clear" w:color="auto" w:fill="auto"/>
          </w:tcPr>
          <w:p>
            <w:pPr>
              <w:pStyle w:val="nTable"/>
              <w:spacing w:after="40"/>
              <w:rPr>
                <w:sz w:val="19"/>
              </w:rPr>
            </w:pPr>
            <w:r>
              <w:rPr>
                <w:sz w:val="19"/>
              </w:rPr>
              <w:t>6 Aug 2013 p. 3649</w:t>
            </w:r>
            <w:r>
              <w:rPr>
                <w:sz w:val="19"/>
              </w:rPr>
              <w:noBreakHyphen/>
              <w:t>56</w:t>
            </w:r>
          </w:p>
        </w:tc>
        <w:tc>
          <w:tcPr>
            <w:tcW w:w="2693" w:type="dxa"/>
            <w:shd w:val="clear" w:color="auto" w:fill="auto"/>
          </w:tcPr>
          <w:p>
            <w:pPr>
              <w:pStyle w:val="nTable"/>
              <w:spacing w:after="40"/>
              <w:rPr>
                <w:snapToGrid w:val="0"/>
                <w:sz w:val="19"/>
              </w:rPr>
            </w:pPr>
            <w:r>
              <w:rPr>
                <w:snapToGrid w:val="0"/>
                <w:sz w:val="19"/>
                <w:szCs w:val="19"/>
              </w:rPr>
              <w:t>r. 1 and 2: 6 Aug 2013 (see r. 2(a));</w:t>
            </w:r>
            <w:r>
              <w:rPr>
                <w:snapToGrid w:val="0"/>
                <w:sz w:val="19"/>
                <w:szCs w:val="19"/>
              </w:rPr>
              <w:br/>
              <w:t>Regulations other than r. 1 and 2: 7 Aug 2013 (see r. 2(b))</w:t>
            </w:r>
          </w:p>
        </w:tc>
      </w:tr>
      <w:tr>
        <w:tc>
          <w:tcPr>
            <w:tcW w:w="7087" w:type="dxa"/>
            <w:gridSpan w:val="3"/>
            <w:shd w:val="clear" w:color="auto" w:fill="auto"/>
          </w:tcPr>
          <w:p>
            <w:pPr>
              <w:pStyle w:val="nTable"/>
              <w:spacing w:after="40"/>
              <w:rPr>
                <w:snapToGrid w:val="0"/>
                <w:sz w:val="19"/>
                <w:szCs w:val="19"/>
              </w:rPr>
            </w:pPr>
            <w:r>
              <w:rPr>
                <w:b/>
                <w:bCs/>
                <w:snapToGrid w:val="0"/>
                <w:sz w:val="19"/>
              </w:rPr>
              <w:t xml:space="preserve">Reprint 3: The </w:t>
            </w:r>
            <w:r>
              <w:rPr>
                <w:b/>
                <w:bCs/>
                <w:i/>
                <w:sz w:val="19"/>
              </w:rPr>
              <w:t>State Administrative Tribunal Regulations 2004</w:t>
            </w:r>
            <w:r>
              <w:rPr>
                <w:b/>
                <w:bCs/>
                <w:snapToGrid w:val="0"/>
                <w:sz w:val="19"/>
              </w:rPr>
              <w:t xml:space="preserve"> as at 18 Oct 2013</w:t>
            </w:r>
            <w:r>
              <w:rPr>
                <w:snapToGrid w:val="0"/>
                <w:sz w:val="19"/>
              </w:rPr>
              <w:t xml:space="preserve"> (includes amendments listed above)</w:t>
            </w:r>
          </w:p>
        </w:tc>
      </w:tr>
      <w:tr>
        <w:tc>
          <w:tcPr>
            <w:tcW w:w="3118" w:type="dxa"/>
            <w:shd w:val="clear" w:color="auto" w:fill="auto"/>
          </w:tcPr>
          <w:p>
            <w:pPr>
              <w:pStyle w:val="nTable"/>
              <w:spacing w:after="40"/>
              <w:rPr>
                <w:i/>
                <w:sz w:val="19"/>
              </w:rPr>
            </w:pPr>
            <w:r>
              <w:rPr>
                <w:i/>
                <w:sz w:val="19"/>
              </w:rPr>
              <w:t>State Administrative Tribunal Amendment Regulations (No. 3) 2013</w:t>
            </w:r>
          </w:p>
        </w:tc>
        <w:tc>
          <w:tcPr>
            <w:tcW w:w="1276" w:type="dxa"/>
            <w:shd w:val="clear" w:color="auto" w:fill="auto"/>
          </w:tcPr>
          <w:p>
            <w:pPr>
              <w:pStyle w:val="nTable"/>
              <w:spacing w:after="40"/>
              <w:rPr>
                <w:sz w:val="19"/>
              </w:rPr>
            </w:pPr>
            <w:r>
              <w:rPr>
                <w:sz w:val="19"/>
              </w:rPr>
              <w:t>14 Nov 2013 p. 5069</w:t>
            </w:r>
          </w:p>
        </w:tc>
        <w:tc>
          <w:tcPr>
            <w:tcW w:w="2693" w:type="dxa"/>
            <w:shd w:val="clear" w:color="auto" w:fill="auto"/>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c>
          <w:tcPr>
            <w:tcW w:w="3118" w:type="dxa"/>
            <w:shd w:val="clear" w:color="auto" w:fill="auto"/>
          </w:tcPr>
          <w:p>
            <w:pPr>
              <w:pStyle w:val="nTable"/>
              <w:spacing w:after="40"/>
              <w:rPr>
                <w:sz w:val="19"/>
                <w:vertAlign w:val="superscript"/>
              </w:rPr>
            </w:pPr>
            <w:r>
              <w:rPr>
                <w:i/>
                <w:sz w:val="19"/>
              </w:rPr>
              <w:t>State Administrative Tribunal Amendment Regulations (No. 4) 2013</w:t>
            </w:r>
            <w:r>
              <w:rPr>
                <w:sz w:val="19"/>
                <w:vertAlign w:val="superscript"/>
              </w:rPr>
              <w:t> </w:t>
            </w:r>
            <w:del w:id="147" w:author="Master Repository Process" w:date="2021-09-18T02:22:00Z">
              <w:r>
                <w:rPr>
                  <w:rFonts w:ascii="Times" w:hAnsi="Times"/>
                  <w:sz w:val="19"/>
                  <w:vertAlign w:val="superscript"/>
                </w:rPr>
                <w:delText>11</w:delText>
              </w:r>
            </w:del>
            <w:ins w:id="148" w:author="Master Repository Process" w:date="2021-09-18T02:22:00Z">
              <w:r>
                <w:rPr>
                  <w:sz w:val="19"/>
                  <w:vertAlign w:val="superscript"/>
                </w:rPr>
                <w:t>12</w:t>
              </w:r>
            </w:ins>
          </w:p>
        </w:tc>
        <w:tc>
          <w:tcPr>
            <w:tcW w:w="1276" w:type="dxa"/>
            <w:shd w:val="clear" w:color="auto" w:fill="auto"/>
          </w:tcPr>
          <w:p>
            <w:pPr>
              <w:pStyle w:val="nTable"/>
              <w:spacing w:after="40"/>
              <w:rPr>
                <w:sz w:val="19"/>
              </w:rPr>
            </w:pPr>
            <w:r>
              <w:rPr>
                <w:sz w:val="19"/>
              </w:rPr>
              <w:t>15 Nov 2013 p. 5245-7</w:t>
            </w:r>
          </w:p>
        </w:tc>
        <w:tc>
          <w:tcPr>
            <w:tcW w:w="2693" w:type="dxa"/>
            <w:shd w:val="clear" w:color="auto" w:fill="auto"/>
          </w:tcPr>
          <w:p>
            <w:pPr>
              <w:pStyle w:val="nTable"/>
              <w:spacing w:after="40"/>
              <w:rPr>
                <w:snapToGrid w:val="0"/>
                <w:sz w:val="19"/>
              </w:rPr>
            </w:pPr>
            <w:r>
              <w:rPr>
                <w:snapToGrid w:val="0"/>
                <w:sz w:val="19"/>
                <w:szCs w:val="19"/>
              </w:rPr>
              <w:t>r. 1 and 2: 15 Nov 2013 (see r. 2(a));</w:t>
            </w:r>
            <w:r>
              <w:rPr>
                <w:snapToGrid w:val="0"/>
                <w:sz w:val="19"/>
                <w:szCs w:val="19"/>
              </w:rPr>
              <w:br/>
              <w:t>Regulations other than r. 1 and 2: 16 Nov 2013 (see r. 2(b)(ii))</w:t>
            </w:r>
          </w:p>
        </w:tc>
      </w:tr>
      <w:tr>
        <w:tc>
          <w:tcPr>
            <w:tcW w:w="3118" w:type="dxa"/>
            <w:shd w:val="clear" w:color="auto" w:fill="auto"/>
          </w:tcPr>
          <w:p>
            <w:pPr>
              <w:pStyle w:val="nTable"/>
              <w:spacing w:after="40"/>
              <w:rPr>
                <w:i/>
                <w:sz w:val="19"/>
              </w:rPr>
            </w:pPr>
            <w:r>
              <w:rPr>
                <w:i/>
                <w:sz w:val="19"/>
              </w:rPr>
              <w:t>State Administrative Tribunal Amendment Regulations (No. 2) 2013</w:t>
            </w:r>
          </w:p>
        </w:tc>
        <w:tc>
          <w:tcPr>
            <w:tcW w:w="1276" w:type="dxa"/>
            <w:shd w:val="clear" w:color="auto" w:fill="auto"/>
          </w:tcPr>
          <w:p>
            <w:pPr>
              <w:pStyle w:val="nTable"/>
              <w:spacing w:after="40"/>
              <w:rPr>
                <w:sz w:val="19"/>
              </w:rPr>
            </w:pPr>
            <w:r>
              <w:rPr>
                <w:sz w:val="19"/>
              </w:rPr>
              <w:t>14 Jan 2014 p. 43</w:t>
            </w:r>
            <w:r>
              <w:rPr>
                <w:sz w:val="19"/>
              </w:rPr>
              <w:noBreakHyphen/>
              <w:t>4</w:t>
            </w:r>
          </w:p>
        </w:tc>
        <w:tc>
          <w:tcPr>
            <w:tcW w:w="2693" w:type="dxa"/>
            <w:shd w:val="clear" w:color="auto" w:fill="auto"/>
          </w:tcPr>
          <w:p>
            <w:pPr>
              <w:pStyle w:val="nTable"/>
              <w:spacing w:after="40"/>
              <w:rPr>
                <w:snapToGrid w:val="0"/>
                <w:sz w:val="19"/>
                <w:szCs w:val="19"/>
              </w:rPr>
            </w:pPr>
            <w:r>
              <w:rPr>
                <w:snapToGrid w:val="0"/>
                <w:sz w:val="19"/>
                <w:szCs w:val="19"/>
              </w:rPr>
              <w:t>r. 1 and 2: 14 Jan 2014 (see r. 2(a));</w:t>
            </w:r>
            <w:r>
              <w:rPr>
                <w:snapToGrid w:val="0"/>
                <w:sz w:val="19"/>
                <w:szCs w:val="19"/>
              </w:rPr>
              <w:br/>
              <w:t>Regulations other than r. 1 and 2: 15 Jan 2014 (see</w:t>
            </w:r>
            <w:del w:id="149" w:author="Master Repository Process" w:date="2021-09-18T02:22:00Z">
              <w:r>
                <w:rPr>
                  <w:rFonts w:ascii="Times" w:hAnsi="Times"/>
                  <w:snapToGrid w:val="0"/>
                  <w:sz w:val="19"/>
                  <w:szCs w:val="19"/>
                </w:rPr>
                <w:delText>.</w:delText>
              </w:r>
            </w:del>
            <w:r>
              <w:rPr>
                <w:snapToGrid w:val="0"/>
                <w:sz w:val="19"/>
                <w:szCs w:val="19"/>
              </w:rPr>
              <w:t> r. 2(b))</w:t>
            </w:r>
          </w:p>
        </w:tc>
      </w:tr>
      <w:tr>
        <w:trPr>
          <w:cantSplit/>
        </w:trPr>
        <w:tc>
          <w:tcPr>
            <w:tcW w:w="3118" w:type="dxa"/>
            <w:shd w:val="clear" w:color="auto" w:fill="auto"/>
          </w:tcPr>
          <w:p>
            <w:pPr>
              <w:pStyle w:val="nTable"/>
              <w:spacing w:after="40"/>
              <w:rPr>
                <w:i/>
                <w:sz w:val="19"/>
              </w:rPr>
            </w:pPr>
            <w:r>
              <w:rPr>
                <w:i/>
                <w:sz w:val="19"/>
              </w:rPr>
              <w:t>State Administrative Tribunal Amendment Regulations (No. 5) 2013</w:t>
            </w:r>
          </w:p>
        </w:tc>
        <w:tc>
          <w:tcPr>
            <w:tcW w:w="1276" w:type="dxa"/>
            <w:shd w:val="clear" w:color="auto" w:fill="auto"/>
          </w:tcPr>
          <w:p>
            <w:pPr>
              <w:pStyle w:val="nTable"/>
              <w:keepNext/>
              <w:spacing w:after="40"/>
              <w:rPr>
                <w:sz w:val="19"/>
              </w:rPr>
            </w:pPr>
            <w:r>
              <w:rPr>
                <w:sz w:val="19"/>
              </w:rPr>
              <w:t>8 Apr 2014 p. 920-1</w:t>
            </w:r>
          </w:p>
        </w:tc>
        <w:tc>
          <w:tcPr>
            <w:tcW w:w="2693" w:type="dxa"/>
            <w:shd w:val="clear" w:color="auto" w:fill="auto"/>
          </w:tcPr>
          <w:p>
            <w:pPr>
              <w:pStyle w:val="nTable"/>
              <w:keepNext/>
              <w:spacing w:after="40"/>
              <w:rPr>
                <w:i/>
                <w:snapToGrid w:val="0"/>
                <w:sz w:val="19"/>
                <w:szCs w:val="19"/>
              </w:rPr>
            </w:pPr>
            <w:r>
              <w:rPr>
                <w:snapToGrid w:val="0"/>
                <w:sz w:val="19"/>
                <w:szCs w:val="19"/>
              </w:rPr>
              <w:t>r. 1 and 2: 8 Apr 2014 (see r. 2(a));</w:t>
            </w:r>
            <w:r>
              <w:rPr>
                <w:snapToGrid w:val="0"/>
                <w:sz w:val="19"/>
                <w:szCs w:val="19"/>
              </w:rPr>
              <w:br/>
              <w:t>Regulations other than r. 1 and 2: 9 Apr 2014 (see</w:t>
            </w:r>
            <w:del w:id="150" w:author="Master Repository Process" w:date="2021-09-18T02:22:00Z">
              <w:r>
                <w:rPr>
                  <w:rFonts w:ascii="Times" w:hAnsi="Times"/>
                  <w:snapToGrid w:val="0"/>
                  <w:sz w:val="19"/>
                  <w:szCs w:val="19"/>
                </w:rPr>
                <w:delText>.</w:delText>
              </w:r>
            </w:del>
            <w:r>
              <w:rPr>
                <w:snapToGrid w:val="0"/>
                <w:sz w:val="19"/>
                <w:szCs w:val="19"/>
              </w:rPr>
              <w:t> r. 2(b))</w:t>
            </w:r>
          </w:p>
        </w:tc>
      </w:tr>
      <w:tr>
        <w:tc>
          <w:tcPr>
            <w:tcW w:w="3118" w:type="dxa"/>
            <w:shd w:val="clear" w:color="auto" w:fill="auto"/>
          </w:tcPr>
          <w:p>
            <w:pPr>
              <w:pStyle w:val="nTable"/>
              <w:spacing w:after="40"/>
              <w:rPr>
                <w:i/>
                <w:sz w:val="19"/>
              </w:rPr>
            </w:pPr>
            <w:r>
              <w:rPr>
                <w:i/>
                <w:sz w:val="19"/>
              </w:rPr>
              <w:t>State Administrative Tribunal Amendment Regulations (No. 4) 2014</w:t>
            </w:r>
          </w:p>
        </w:tc>
        <w:tc>
          <w:tcPr>
            <w:tcW w:w="1276" w:type="dxa"/>
            <w:shd w:val="clear" w:color="auto" w:fill="auto"/>
          </w:tcPr>
          <w:p>
            <w:pPr>
              <w:pStyle w:val="nTable"/>
              <w:keepNext/>
              <w:spacing w:after="40"/>
              <w:rPr>
                <w:sz w:val="19"/>
              </w:rPr>
            </w:pPr>
            <w:r>
              <w:rPr>
                <w:sz w:val="19"/>
              </w:rPr>
              <w:t>27 Jun 2014 p. 2345-6</w:t>
            </w:r>
          </w:p>
        </w:tc>
        <w:tc>
          <w:tcPr>
            <w:tcW w:w="2693" w:type="dxa"/>
            <w:shd w:val="clear" w:color="auto" w:fill="auto"/>
          </w:tcPr>
          <w:p>
            <w:pPr>
              <w:pStyle w:val="nTable"/>
              <w:keepNext/>
              <w:spacing w:after="40"/>
              <w:rPr>
                <w:snapToGrid w:val="0"/>
                <w:sz w:val="19"/>
                <w:szCs w:val="19"/>
              </w:rPr>
            </w:pPr>
            <w:r>
              <w:rPr>
                <w:snapToGrid w:val="0"/>
                <w:sz w:val="19"/>
                <w:szCs w:val="19"/>
              </w:rPr>
              <w:t>r. 1 and 2: 27 Jun 2014 (see r. 2(a));</w:t>
            </w:r>
            <w:r>
              <w:rPr>
                <w:snapToGrid w:val="0"/>
                <w:sz w:val="19"/>
                <w:szCs w:val="19"/>
              </w:rPr>
              <w:br/>
              <w:t>Regulations other than r. 1 and 2: 1 Jul 2014 (see</w:t>
            </w:r>
            <w:del w:id="151" w:author="Master Repository Process" w:date="2021-09-18T02:22:00Z">
              <w:r>
                <w:rPr>
                  <w:rFonts w:ascii="Times" w:hAnsi="Times"/>
                  <w:snapToGrid w:val="0"/>
                  <w:sz w:val="19"/>
                  <w:szCs w:val="19"/>
                </w:rPr>
                <w:delText>.</w:delText>
              </w:r>
            </w:del>
            <w:r>
              <w:rPr>
                <w:snapToGrid w:val="0"/>
                <w:sz w:val="19"/>
                <w:szCs w:val="19"/>
              </w:rPr>
              <w:t> r. 2(b)(i))</w:t>
            </w:r>
          </w:p>
        </w:tc>
      </w:tr>
      <w:tr>
        <w:trPr>
          <w:ins w:id="152" w:author="Master Repository Process" w:date="2021-09-18T02:22:00Z"/>
        </w:trPr>
        <w:tc>
          <w:tcPr>
            <w:tcW w:w="7087" w:type="dxa"/>
            <w:gridSpan w:val="3"/>
            <w:tcBorders>
              <w:bottom w:val="single" w:sz="8" w:space="0" w:color="auto"/>
            </w:tcBorders>
            <w:shd w:val="clear" w:color="auto" w:fill="auto"/>
          </w:tcPr>
          <w:p>
            <w:pPr>
              <w:pStyle w:val="nTable"/>
              <w:keepNext/>
              <w:spacing w:after="40"/>
              <w:rPr>
                <w:ins w:id="153" w:author="Master Repository Process" w:date="2021-09-18T02:22:00Z"/>
                <w:snapToGrid w:val="0"/>
                <w:sz w:val="19"/>
                <w:szCs w:val="19"/>
              </w:rPr>
            </w:pPr>
            <w:ins w:id="154" w:author="Master Repository Process" w:date="2021-09-18T02:22:00Z">
              <w:r>
                <w:rPr>
                  <w:b/>
                  <w:bCs/>
                  <w:snapToGrid w:val="0"/>
                  <w:sz w:val="19"/>
                </w:rPr>
                <w:t xml:space="preserve">Reprint 4: The </w:t>
              </w:r>
              <w:r>
                <w:rPr>
                  <w:b/>
                  <w:bCs/>
                  <w:i/>
                  <w:sz w:val="19"/>
                </w:rPr>
                <w:t>State Administrative Tribunal Regulations 2004</w:t>
              </w:r>
              <w:r>
                <w:rPr>
                  <w:b/>
                  <w:bCs/>
                  <w:snapToGrid w:val="0"/>
                  <w:sz w:val="19"/>
                </w:rPr>
                <w:t xml:space="preserve"> as at 21 Nov 2014</w:t>
              </w:r>
              <w:r>
                <w:rPr>
                  <w:snapToGrid w:val="0"/>
                  <w:sz w:val="19"/>
                </w:rPr>
                <w:t xml:space="preserve"> (includes amendments listed above)</w:t>
              </w:r>
            </w:ins>
          </w:p>
        </w:tc>
      </w:tr>
    </w:tbl>
    <w:p>
      <w:pPr>
        <w:pStyle w:val="nSubsection"/>
        <w:spacing w:before="160"/>
        <w:rPr>
          <w:ins w:id="155" w:author="Master Repository Process" w:date="2021-09-18T02:22:00Z"/>
          <w:vertAlign w:val="superscript"/>
        </w:rPr>
      </w:pPr>
      <w:r>
        <w:rPr>
          <w:vertAlign w:val="superscript"/>
        </w:rPr>
        <w:t>2</w:t>
      </w:r>
      <w:r>
        <w:rPr>
          <w:vertAlign w:val="superscript"/>
        </w:rPr>
        <w:tab/>
      </w:r>
      <w:ins w:id="156" w:author="Master Repository Process" w:date="2021-09-18T02:22:00Z">
        <w:r>
          <w:rPr>
            <w:color w:val="000000"/>
          </w:rPr>
          <w:t>1 Jan 2005.</w:t>
        </w:r>
      </w:ins>
    </w:p>
    <w:p>
      <w:pPr>
        <w:pStyle w:val="nSubsection"/>
      </w:pPr>
      <w:ins w:id="157" w:author="Master Repository Process" w:date="2021-09-18T02:22:00Z">
        <w:r>
          <w:rPr>
            <w:vertAlign w:val="superscript"/>
          </w:rPr>
          <w:t>3</w:t>
        </w:r>
        <w:r>
          <w:rPr>
            <w:vertAlign w:val="superscript"/>
          </w:rPr>
          <w:tab/>
        </w:r>
      </w:ins>
      <w:r>
        <w:t xml:space="preserve">Deleted by the </w:t>
      </w:r>
      <w:r>
        <w:rPr>
          <w:i/>
        </w:rPr>
        <w:t>Local Government Act 1995</w:t>
      </w:r>
      <w:r>
        <w:t xml:space="preserve"> s. 9.70.</w:t>
      </w:r>
    </w:p>
    <w:p>
      <w:pPr>
        <w:pStyle w:val="nSubsection"/>
        <w:rPr>
          <w:del w:id="158" w:author="Master Repository Process" w:date="2021-09-18T02:22:00Z"/>
        </w:rPr>
      </w:pPr>
      <w:del w:id="159" w:author="Master Repository Process" w:date="2021-09-18T02:22:00Z">
        <w:r>
          <w:rPr>
            <w:vertAlign w:val="superscript"/>
          </w:rPr>
          <w:delText>3</w:delText>
        </w:r>
        <w:r>
          <w:rPr>
            <w:vertAlign w:val="superscript"/>
          </w:rPr>
          <w:tab/>
        </w:r>
        <w:r>
          <w:delText xml:space="preserve">Deleted by the </w:delText>
        </w:r>
        <w:r>
          <w:rPr>
            <w:i/>
          </w:rPr>
          <w:delText>State Administrative Tribunal (Conferral of Jurisdiction) Amendment and Repeal Act 2004</w:delText>
        </w:r>
        <w:r>
          <w:delText xml:space="preserve"> s. 683.</w:delText>
        </w:r>
      </w:del>
    </w:p>
    <w:p>
      <w:pPr>
        <w:pStyle w:val="nSubsection"/>
        <w:rPr>
          <w:ins w:id="160" w:author="Master Repository Process" w:date="2021-09-18T02:22:00Z"/>
        </w:rPr>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w:t>
      </w:r>
      <w:ins w:id="161" w:author="Master Repository Process" w:date="2021-09-18T02:22:00Z">
        <w:r>
          <w:t>683.</w:t>
        </w:r>
      </w:ins>
    </w:p>
    <w:p>
      <w:pPr>
        <w:pStyle w:val="nSubsection"/>
      </w:pPr>
      <w:ins w:id="162" w:author="Master Repository Process" w:date="2021-09-18T02:22:00Z">
        <w:r>
          <w:rPr>
            <w:vertAlign w:val="superscript"/>
          </w:rPr>
          <w:t>5</w:t>
        </w:r>
        <w:r>
          <w:rPr>
            <w:vertAlign w:val="superscript"/>
          </w:rPr>
          <w:tab/>
        </w:r>
        <w:r>
          <w:t xml:space="preserve">Deleted by the </w:t>
        </w:r>
        <w:r>
          <w:rPr>
            <w:i/>
          </w:rPr>
          <w:t>State Administrative Tribunal (Conferral of Jurisdiction) Amendment and Repeal Act 2004</w:t>
        </w:r>
        <w:r>
          <w:t xml:space="preserve"> s. </w:t>
        </w:r>
      </w:ins>
      <w:r>
        <w:t>1125.</w:t>
      </w:r>
    </w:p>
    <w:p>
      <w:pPr>
        <w:pStyle w:val="nSubsection"/>
      </w:pPr>
      <w:del w:id="163" w:author="Master Repository Process" w:date="2021-09-18T02:22:00Z">
        <w:r>
          <w:rPr>
            <w:vertAlign w:val="superscript"/>
          </w:rPr>
          <w:delText>5</w:delText>
        </w:r>
      </w:del>
      <w:ins w:id="164" w:author="Master Repository Process" w:date="2021-09-18T02:22:00Z">
        <w:r>
          <w:rPr>
            <w:vertAlign w:val="superscript"/>
          </w:rPr>
          <w:t>6</w:t>
        </w:r>
      </w:ins>
      <w:r>
        <w:rPr>
          <w:vertAlign w:val="superscript"/>
        </w:rPr>
        <w:tab/>
      </w:r>
      <w:r>
        <w:t xml:space="preserve">Deleted by the </w:t>
      </w:r>
      <w:r>
        <w:rPr>
          <w:i/>
          <w:snapToGrid w:val="0"/>
        </w:rPr>
        <w:t>Building Act 2011</w:t>
      </w:r>
      <w:r>
        <w:rPr>
          <w:snapToGrid w:val="0"/>
        </w:rPr>
        <w:t xml:space="preserve"> s. 174(6)</w:t>
      </w:r>
      <w:r>
        <w:t>.</w:t>
      </w:r>
    </w:p>
    <w:p>
      <w:pPr>
        <w:pStyle w:val="nSubsection"/>
        <w:rPr>
          <w:del w:id="165" w:author="Master Repository Process" w:date="2021-09-18T02:22:00Z"/>
        </w:rPr>
      </w:pPr>
      <w:del w:id="166" w:author="Master Repository Process" w:date="2021-09-18T02:22:00Z">
        <w:r>
          <w:rPr>
            <w:vertAlign w:val="superscript"/>
          </w:rPr>
          <w:delText>6</w:delText>
        </w:r>
        <w:r>
          <w:rPr>
            <w:vertAlign w:val="superscript"/>
          </w:rPr>
          <w:tab/>
        </w:r>
        <w:r>
          <w:delText xml:space="preserve">Deleted by the </w:delText>
        </w:r>
        <w:r>
          <w:rPr>
            <w:i/>
          </w:rPr>
          <w:delText>State Administrative Tribunal (Conferral of Jurisdiction) Amendment and Repeal Act 2004</w:delText>
        </w:r>
        <w:r>
          <w:delText xml:space="preserve"> s. 1118(4).</w:delText>
        </w:r>
      </w:del>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w:t>
      </w:r>
      <w:del w:id="167" w:author="Master Repository Process" w:date="2021-09-18T02:22:00Z">
        <w:r>
          <w:delText>1116(1</w:delText>
        </w:r>
      </w:del>
      <w:ins w:id="168" w:author="Master Repository Process" w:date="2021-09-18T02:22:00Z">
        <w:r>
          <w:t>1118(4</w:t>
        </w:r>
      </w:ins>
      <w:r>
        <w:t>).</w:t>
      </w:r>
    </w:p>
    <w:p>
      <w:pPr>
        <w:pStyle w:val="nSubsection"/>
        <w:rPr>
          <w:ins w:id="169" w:author="Master Repository Process" w:date="2021-09-18T02:22:00Z"/>
        </w:rPr>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w:t>
      </w:r>
      <w:ins w:id="170" w:author="Master Repository Process" w:date="2021-09-18T02:22:00Z">
        <w:r>
          <w:t>1116(1).</w:t>
        </w:r>
      </w:ins>
    </w:p>
    <w:p>
      <w:pPr>
        <w:pStyle w:val="nSubsection"/>
      </w:pPr>
      <w:ins w:id="171" w:author="Master Repository Process" w:date="2021-09-18T02:22:00Z">
        <w:r>
          <w:rPr>
            <w:vertAlign w:val="superscript"/>
          </w:rPr>
          <w:t>9</w:t>
        </w:r>
        <w:r>
          <w:rPr>
            <w:vertAlign w:val="superscript"/>
          </w:rPr>
          <w:tab/>
        </w:r>
        <w:r>
          <w:t xml:space="preserve">Deleted by the </w:t>
        </w:r>
        <w:r>
          <w:rPr>
            <w:i/>
          </w:rPr>
          <w:t>State Administrative Tribunal (Conferral of Jurisdiction) Amendment and Repeal Act 2004</w:t>
        </w:r>
        <w:r>
          <w:t xml:space="preserve"> s. </w:t>
        </w:r>
      </w:ins>
      <w:r>
        <w:t>1117(7).</w:t>
      </w:r>
    </w:p>
    <w:p>
      <w:pPr>
        <w:pStyle w:val="nSubsection"/>
      </w:pPr>
      <w:del w:id="172" w:author="Master Repository Process" w:date="2021-09-18T02:22:00Z">
        <w:r>
          <w:rPr>
            <w:vertAlign w:val="superscript"/>
          </w:rPr>
          <w:delText>9</w:delText>
        </w:r>
      </w:del>
      <w:ins w:id="173" w:author="Master Repository Process" w:date="2021-09-18T02:22:00Z">
        <w:r>
          <w:rPr>
            <w:vertAlign w:val="superscript"/>
          </w:rPr>
          <w:t>10</w:t>
        </w:r>
      </w:ins>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del w:id="174" w:author="Master Repository Process" w:date="2021-09-18T02:22:00Z">
        <w:r>
          <w:rPr>
            <w:vertAlign w:val="superscript"/>
          </w:rPr>
          <w:delText>10</w:delText>
        </w:r>
      </w:del>
      <w:ins w:id="175" w:author="Master Repository Process" w:date="2021-09-18T02:22:00Z">
        <w:r>
          <w:rPr>
            <w:vertAlign w:val="superscript"/>
          </w:rPr>
          <w:t>11</w:t>
        </w:r>
      </w:ins>
      <w:r>
        <w:rPr>
          <w:vertAlign w:val="superscript"/>
        </w:rPr>
        <w:tab/>
      </w:r>
      <w:r>
        <w:t xml:space="preserve">Repealed by the </w:t>
      </w:r>
      <w:r>
        <w:rPr>
          <w:i/>
        </w:rPr>
        <w:t>Fair Trading (Retirement Villages Interim Code) Regulations 2013</w:t>
      </w:r>
      <w:r>
        <w:t xml:space="preserve">. Now see the </w:t>
      </w:r>
      <w:r>
        <w:rPr>
          <w:i/>
        </w:rPr>
        <w:t>Fair Trading (Retirement Villages Interim Code) Regulations </w:t>
      </w:r>
      <w:del w:id="176" w:author="Master Repository Process" w:date="2021-09-18T02:22:00Z">
        <w:r>
          <w:rPr>
            <w:i/>
          </w:rPr>
          <w:delText>2013</w:delText>
        </w:r>
      </w:del>
      <w:ins w:id="177" w:author="Master Repository Process" w:date="2021-09-18T02:22:00Z">
        <w:r>
          <w:rPr>
            <w:i/>
          </w:rPr>
          <w:t>(No. 2) 2014</w:t>
        </w:r>
      </w:ins>
      <w:r>
        <w:rPr>
          <w:i/>
        </w:rPr>
        <w:t xml:space="preserve"> </w:t>
      </w:r>
      <w:r>
        <w:t>Sch. 1 cl. 5.8(2).</w:t>
      </w:r>
    </w:p>
    <w:p>
      <w:pPr>
        <w:pStyle w:val="nSubsection"/>
      </w:pPr>
      <w:del w:id="178" w:author="Master Repository Process" w:date="2021-09-18T02:22:00Z">
        <w:r>
          <w:rPr>
            <w:vertAlign w:val="superscript"/>
          </w:rPr>
          <w:delText>11</w:delText>
        </w:r>
      </w:del>
      <w:ins w:id="179" w:author="Master Repository Process" w:date="2021-09-18T02:22:00Z">
        <w:r>
          <w:rPr>
            <w:vertAlign w:val="superscript"/>
          </w:rPr>
          <w:t>12</w:t>
        </w:r>
      </w:ins>
      <w:r>
        <w:rPr>
          <w:vertAlign w:val="superscript"/>
        </w:rPr>
        <w:tab/>
      </w:r>
      <w:r>
        <w:t xml:space="preserve">The amendment to r. 9(3) in the </w:t>
      </w:r>
      <w:r>
        <w:rPr>
          <w:i/>
        </w:rPr>
        <w:t xml:space="preserve">State Administrative Tribunal Amendment Regulations (No. 4) 2013 </w:t>
      </w:r>
      <w:r>
        <w:t xml:space="preserve">r. 4 is not included because the </w:t>
      </w:r>
      <w:del w:id="180" w:author="Master Repository Process" w:date="2021-09-18T02:22:00Z">
        <w:r>
          <w:delText>subsection</w:delText>
        </w:r>
      </w:del>
      <w:ins w:id="181" w:author="Master Repository Process" w:date="2021-09-18T02:22:00Z">
        <w:r>
          <w:t>subregulation</w:t>
        </w:r>
      </w:ins>
      <w:r>
        <w:t xml:space="preserve"> it sought to amend had been deleted by the </w:t>
      </w:r>
      <w:r>
        <w:rPr>
          <w:i/>
        </w:rPr>
        <w:t>State Administrative Tribunal Amendment Regulations 2013</w:t>
      </w:r>
      <w:r>
        <w:t xml:space="preserve"> r. 6(3) before the amendment purported to come into operation.</w:t>
      </w:r>
    </w:p>
    <w:p>
      <w:pPr>
        <w:pStyle w:val="nSubsection"/>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rPr>
          <w:ins w:id="182" w:author="Master Repository Process" w:date="2021-09-18T02:22:00Z"/>
          <w:rFonts w:ascii="Arial" w:hAnsi="Arial" w:cs="Arial"/>
          <w:sz w:val="12"/>
        </w:rPr>
      </w:pPr>
    </w:p>
    <w:p>
      <w:pPr>
        <w:rPr>
          <w:ins w:id="183" w:author="Master Repository Process" w:date="2021-09-18T02:22:00Z"/>
          <w:rFonts w:ascii="Arial" w:hAnsi="Arial" w:cs="Arial"/>
          <w:sz w:val="12"/>
        </w:rPr>
      </w:pPr>
    </w:p>
    <w:p>
      <w:pPr>
        <w:rPr>
          <w:ins w:id="184" w:author="Master Repository Process" w:date="2021-09-18T02:22:00Z"/>
          <w:rFonts w:ascii="Arial" w:hAnsi="Arial" w:cs="Arial"/>
          <w:sz w:val="12"/>
        </w:rPr>
      </w:pPr>
    </w:p>
    <w:p>
      <w:pPr>
        <w:rPr>
          <w:ins w:id="185" w:author="Master Repository Process" w:date="2021-09-18T02:22:00Z"/>
          <w:rFonts w:ascii="Arial" w:hAnsi="Arial" w:cs="Arial"/>
          <w:sz w:val="12"/>
        </w:rPr>
      </w:pPr>
    </w:p>
    <w:p>
      <w:pPr>
        <w:rPr>
          <w:ins w:id="186" w:author="Master Repository Process" w:date="2021-09-18T02:22:00Z"/>
          <w:rFonts w:ascii="Arial" w:hAnsi="Arial" w:cs="Arial"/>
          <w:sz w:val="12"/>
        </w:rPr>
      </w:pPr>
    </w:p>
    <w:p>
      <w:pPr>
        <w:rPr>
          <w:ins w:id="187" w:author="Master Repository Process" w:date="2021-09-18T02:22:00Z"/>
          <w:rFonts w:ascii="Arial" w:hAnsi="Arial" w:cs="Arial"/>
          <w:sz w:val="12"/>
        </w:rPr>
      </w:pPr>
    </w:p>
    <w:p>
      <w:pPr>
        <w:rPr>
          <w:ins w:id="188" w:author="Master Repository Process" w:date="2021-09-18T02:22:00Z"/>
          <w:rFonts w:ascii="Arial" w:hAnsi="Arial" w:cs="Arial"/>
          <w:sz w:val="12"/>
        </w:rPr>
      </w:pPr>
    </w:p>
    <w:p>
      <w:pPr>
        <w:rPr>
          <w:ins w:id="189" w:author="Master Repository Process" w:date="2021-09-18T02:22:00Z"/>
          <w:rFonts w:ascii="Arial" w:hAnsi="Arial" w:cs="Arial"/>
          <w:sz w:val="12"/>
        </w:rPr>
      </w:pPr>
    </w:p>
    <w:p>
      <w:pPr>
        <w:rPr>
          <w:ins w:id="190" w:author="Master Repository Process" w:date="2021-09-18T02:22:00Z"/>
          <w:rFonts w:ascii="Arial" w:hAnsi="Arial" w:cs="Arial"/>
          <w:sz w:val="12"/>
        </w:rPr>
      </w:pPr>
    </w:p>
    <w:p>
      <w:pPr>
        <w:rPr>
          <w:ins w:id="191" w:author="Master Repository Process" w:date="2021-09-18T02:22:00Z"/>
          <w:rFonts w:ascii="Arial" w:hAnsi="Arial" w:cs="Arial"/>
          <w:sz w:val="12"/>
        </w:rPr>
      </w:pPr>
    </w:p>
    <w:p>
      <w:pPr>
        <w:rPr>
          <w:ins w:id="192" w:author="Master Repository Process" w:date="2021-09-18T02:22:00Z"/>
          <w:rFonts w:ascii="Arial" w:hAnsi="Arial" w:cs="Arial"/>
          <w:sz w:val="12"/>
        </w:rPr>
      </w:pPr>
    </w:p>
    <w:p>
      <w:pPr>
        <w:rPr>
          <w:ins w:id="193" w:author="Master Repository Process" w:date="2021-09-18T02:22:00Z"/>
          <w:rFonts w:ascii="Arial" w:hAnsi="Arial" w:cs="Arial"/>
          <w:sz w:val="12"/>
        </w:rPr>
      </w:pPr>
    </w:p>
    <w:p>
      <w:pPr>
        <w:rPr>
          <w:ins w:id="194" w:author="Master Repository Process" w:date="2021-09-18T02:22:00Z"/>
          <w:rFonts w:ascii="Arial" w:hAnsi="Arial" w:cs="Arial"/>
          <w:sz w:val="12"/>
        </w:rPr>
      </w:pPr>
    </w:p>
    <w:p>
      <w:pPr>
        <w:rPr>
          <w:ins w:id="195" w:author="Master Repository Process" w:date="2021-09-18T02:22:00Z"/>
          <w:rFonts w:ascii="Arial" w:hAnsi="Arial" w:cs="Arial"/>
          <w:sz w:val="12"/>
        </w:rPr>
      </w:pPr>
    </w:p>
    <w:p>
      <w:pPr>
        <w:rPr>
          <w:ins w:id="196" w:author="Master Repository Process" w:date="2021-09-18T02:22:00Z"/>
          <w:rFonts w:ascii="Arial" w:hAnsi="Arial" w:cs="Arial"/>
          <w:sz w:val="12"/>
        </w:rPr>
      </w:pPr>
    </w:p>
    <w:p>
      <w:pPr>
        <w:rPr>
          <w:ins w:id="197" w:author="Master Repository Process" w:date="2021-09-18T02:22:00Z"/>
          <w:rFonts w:ascii="Arial" w:hAnsi="Arial" w:cs="Arial"/>
          <w:sz w:val="12"/>
        </w:rPr>
      </w:pPr>
    </w:p>
    <w:p>
      <w:pPr>
        <w:rPr>
          <w:ins w:id="198" w:author="Master Repository Process" w:date="2021-09-18T02:22:00Z"/>
          <w:rFonts w:ascii="Arial" w:hAnsi="Arial" w:cs="Arial"/>
          <w:sz w:val="12"/>
        </w:rPr>
      </w:pPr>
    </w:p>
    <w:p>
      <w:pPr>
        <w:rPr>
          <w:ins w:id="199" w:author="Master Repository Process" w:date="2021-09-18T02:22:00Z"/>
          <w:rFonts w:ascii="Arial" w:hAnsi="Arial" w:cs="Arial"/>
          <w:sz w:val="12"/>
        </w:rPr>
      </w:pPr>
    </w:p>
    <w:p>
      <w:pPr>
        <w:rPr>
          <w:ins w:id="200" w:author="Master Repository Process" w:date="2021-09-18T02:22:00Z"/>
          <w:rFonts w:ascii="Arial" w:hAnsi="Arial" w:cs="Arial"/>
          <w:sz w:val="12"/>
        </w:rPr>
      </w:pPr>
    </w:p>
    <w:p>
      <w:pPr>
        <w:rPr>
          <w:ins w:id="201" w:author="Master Repository Process" w:date="2021-09-18T02:22:00Z"/>
          <w:rFonts w:ascii="Arial" w:hAnsi="Arial" w:cs="Arial"/>
          <w:sz w:val="12"/>
        </w:rPr>
      </w:pPr>
    </w:p>
    <w:p>
      <w:pPr>
        <w:rPr>
          <w:ins w:id="202" w:author="Master Repository Process" w:date="2021-09-18T02:22:00Z"/>
          <w:rFonts w:ascii="Arial" w:hAnsi="Arial" w:cs="Arial"/>
          <w:sz w:val="12"/>
        </w:rPr>
      </w:pPr>
    </w:p>
    <w:p>
      <w:pPr>
        <w:rPr>
          <w:ins w:id="203" w:author="Master Repository Process" w:date="2021-09-18T02:22:00Z"/>
          <w:rFonts w:ascii="Arial" w:hAnsi="Arial" w:cs="Arial"/>
          <w:sz w:val="12"/>
        </w:rPr>
      </w:pPr>
    </w:p>
    <w:p>
      <w:pPr>
        <w:rPr>
          <w:ins w:id="204" w:author="Master Repository Process" w:date="2021-09-18T02:22:00Z"/>
          <w:rFonts w:ascii="Arial" w:hAnsi="Arial" w:cs="Arial"/>
          <w:sz w:val="12"/>
        </w:rPr>
      </w:pPr>
    </w:p>
    <w:p>
      <w:pPr>
        <w:rPr>
          <w:ins w:id="205" w:author="Master Repository Process" w:date="2021-09-18T02:22:00Z"/>
          <w:rFonts w:ascii="Arial" w:hAnsi="Arial" w:cs="Arial"/>
          <w:sz w:val="12"/>
        </w:rPr>
      </w:pPr>
    </w:p>
    <w:p>
      <w:pPr>
        <w:rPr>
          <w:ins w:id="206" w:author="Master Repository Process" w:date="2021-09-18T02:22:00Z"/>
          <w:rFonts w:ascii="Arial" w:hAnsi="Arial" w:cs="Arial"/>
          <w:sz w:val="12"/>
        </w:rPr>
      </w:pPr>
    </w:p>
    <w:p>
      <w:pPr>
        <w:rPr>
          <w:ins w:id="207" w:author="Master Repository Process" w:date="2021-09-18T02:22:00Z"/>
          <w:rFonts w:ascii="Arial" w:hAnsi="Arial" w:cs="Arial"/>
          <w:sz w:val="12"/>
        </w:rPr>
      </w:pPr>
    </w:p>
    <w:p>
      <w:pPr>
        <w:rPr>
          <w:ins w:id="208" w:author="Master Repository Process" w:date="2021-09-18T02:22:00Z"/>
          <w:rFonts w:ascii="Arial" w:hAnsi="Arial" w:cs="Arial"/>
          <w:sz w:val="12"/>
        </w:rPr>
      </w:pPr>
    </w:p>
    <w:p>
      <w:pPr>
        <w:rPr>
          <w:ins w:id="209" w:author="Master Repository Process" w:date="2021-09-18T02:22:00Z"/>
          <w:rFonts w:ascii="Arial" w:hAnsi="Arial" w:cs="Arial"/>
          <w:sz w:val="12"/>
        </w:rPr>
      </w:pPr>
    </w:p>
    <w:p>
      <w:pPr>
        <w:rPr>
          <w:ins w:id="210" w:author="Master Repository Process" w:date="2021-09-18T02:22:00Z"/>
          <w:rFonts w:ascii="Arial" w:hAnsi="Arial" w:cs="Arial"/>
          <w:sz w:val="12"/>
        </w:rPr>
      </w:pPr>
    </w:p>
    <w:p>
      <w:pPr>
        <w:rPr>
          <w:ins w:id="211" w:author="Master Repository Process" w:date="2021-09-18T02:22:00Z"/>
          <w:rFonts w:ascii="Arial" w:hAnsi="Arial" w:cs="Arial"/>
          <w:sz w:val="12"/>
        </w:rPr>
      </w:pPr>
    </w:p>
    <w:p>
      <w:pPr>
        <w:rPr>
          <w:ins w:id="212" w:author="Master Repository Process" w:date="2021-09-18T02:22:00Z"/>
          <w:rFonts w:ascii="Arial" w:hAnsi="Arial" w:cs="Arial"/>
          <w:sz w:val="12"/>
        </w:rPr>
      </w:pPr>
    </w:p>
    <w:p>
      <w:pPr>
        <w:rPr>
          <w:ins w:id="213" w:author="Master Repository Process" w:date="2021-09-18T02:22:00Z"/>
          <w:rFonts w:ascii="Arial" w:hAnsi="Arial" w:cs="Arial"/>
          <w:sz w:val="12"/>
        </w:rPr>
      </w:pPr>
    </w:p>
    <w:p>
      <w:pPr>
        <w:rPr>
          <w:ins w:id="214" w:author="Master Repository Process" w:date="2021-09-18T02:22:00Z"/>
          <w:rFonts w:ascii="Arial" w:hAnsi="Arial" w:cs="Arial"/>
          <w:sz w:val="12"/>
        </w:rPr>
      </w:pPr>
    </w:p>
    <w:p>
      <w:pPr>
        <w:rPr>
          <w:ins w:id="215" w:author="Master Repository Process" w:date="2021-09-18T02:22:00Z"/>
          <w:rFonts w:ascii="Arial" w:hAnsi="Arial" w:cs="Arial"/>
          <w:sz w:val="12"/>
        </w:rPr>
      </w:pPr>
    </w:p>
    <w:p>
      <w:pPr>
        <w:rPr>
          <w:ins w:id="216" w:author="Master Repository Process" w:date="2021-09-18T02:22:00Z"/>
          <w:rFonts w:ascii="Arial" w:hAnsi="Arial" w:cs="Arial"/>
          <w:sz w:val="12"/>
        </w:rPr>
      </w:pPr>
    </w:p>
    <w:p>
      <w:pPr>
        <w:rPr>
          <w:rFonts w:ascii="Arial" w:hAnsi="Arial" w:cs="Arial"/>
          <w:sz w:val="12"/>
        </w:rPr>
      </w:pPr>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2112102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2F8FF1F-6BE7-45D9-A28D-F22B6939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6041-E906-4B9A-B99E-78EFB778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5832</Words>
  <Characters>27762</Characters>
  <Application>Microsoft Office Word</Application>
  <DocSecurity>0</DocSecurity>
  <Lines>1028</Lines>
  <Paragraphs>599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03-f0-00 - 04-a0-00</dc:title>
  <dc:subject/>
  <dc:creator/>
  <cp:keywords/>
  <dc:description/>
  <cp:lastModifiedBy>Master Repository Process</cp:lastModifiedBy>
  <cp:revision>2</cp:revision>
  <cp:lastPrinted>2014-11-27T01:55:00Z</cp:lastPrinted>
  <dcterms:created xsi:type="dcterms:W3CDTF">2021-09-17T18:21:00Z</dcterms:created>
  <dcterms:modified xsi:type="dcterms:W3CDTF">2021-09-17T18:22:00Z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20141121</vt:lpwstr>
  </property>
  <property fmtid="{D5CDD505-2E9C-101B-9397-08002B2CF9AE}" pid="4" name="OwlsUID">
    <vt:i4>34304</vt:i4>
  </property>
  <property fmtid="{D5CDD505-2E9C-101B-9397-08002B2CF9AE}" pid="5" name="DocumentType">
    <vt:lpwstr>Reg</vt:lpwstr>
  </property>
  <property fmtid="{D5CDD505-2E9C-101B-9397-08002B2CF9AE}" pid="6" name="ReprintNo">
    <vt:lpwstr>4</vt:lpwstr>
  </property>
  <property fmtid="{D5CDD505-2E9C-101B-9397-08002B2CF9AE}" pid="7" name="ReprintedAsAt">
    <vt:filetime>2014-11-20T16:00:00Z</vt:filetime>
  </property>
  <property fmtid="{D5CDD505-2E9C-101B-9397-08002B2CF9AE}" pid="8" name="FromSuffix">
    <vt:lpwstr>03-f0-00</vt:lpwstr>
  </property>
  <property fmtid="{D5CDD505-2E9C-101B-9397-08002B2CF9AE}" pid="9" name="FromAsAtDate">
    <vt:lpwstr>01 Jul 2014</vt:lpwstr>
  </property>
  <property fmtid="{D5CDD505-2E9C-101B-9397-08002B2CF9AE}" pid="10" name="ToSuffix">
    <vt:lpwstr>04-a0-00</vt:lpwstr>
  </property>
  <property fmtid="{D5CDD505-2E9C-101B-9397-08002B2CF9AE}" pid="11" name="ToAsAtDate">
    <vt:lpwstr>21 Nov 2014</vt:lpwstr>
  </property>
</Properties>
</file>