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Tamala Park Land Transfer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Tamala Park Land Transfer Act 2001</w:t>
      </w:r>
    </w:p>
    <w:p>
      <w:pPr>
        <w:pStyle w:val="LongTitle"/>
        <w:suppressLineNumbers/>
      </w:pPr>
      <w:bookmarkStart w:id="1" w:name="BillCited"/>
      <w:bookmarkEnd w:id="1"/>
      <w:r>
        <w:rPr>
          <w:snapToGrid w:val="0"/>
        </w:rPr>
        <w:t>A</w:t>
      </w:r>
      <w:bookmarkStart w:id="2" w:name="_GoBack"/>
      <w:bookmarkEnd w:id="2"/>
      <w:r>
        <w:rPr>
          <w:snapToGrid w:val="0"/>
        </w:rPr>
        <w:t>n Act to transfer certain shares in land at Tamala Park to the Towns of Cambridge, Victoria Park and Vincent</w:t>
      </w:r>
      <w:r>
        <w:t>.</w:t>
      </w:r>
    </w:p>
    <w:p>
      <w:pPr>
        <w:pStyle w:val="Heading5"/>
        <w:suppressLineNumbers/>
        <w:spacing w:before="480"/>
        <w:rPr>
          <w:snapToGrid w:val="0"/>
        </w:rPr>
      </w:pPr>
      <w:bookmarkStart w:id="3" w:name="_Toc379208009"/>
      <w:bookmarkStart w:id="4" w:name="_Toc379208020"/>
      <w:bookmarkStart w:id="5" w:name="_Toc426032204"/>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pPr>
        <w:pStyle w:val="Heading5"/>
        <w:rPr>
          <w:snapToGrid w:val="0"/>
        </w:rPr>
      </w:pPr>
      <w:bookmarkStart w:id="6" w:name="Start_Cursor"/>
      <w:bookmarkStart w:id="7" w:name="_Toc379208010"/>
      <w:bookmarkStart w:id="8" w:name="_Toc379208021"/>
      <w:bookmarkStart w:id="9" w:name="_Toc426032205"/>
      <w:bookmarkEnd w:id="6"/>
      <w:r>
        <w:rPr>
          <w:rStyle w:val="CharSectno"/>
        </w:rPr>
        <w:t>2</w:t>
      </w:r>
      <w:r>
        <w:rPr>
          <w:snapToGrid w:val="0"/>
        </w:rPr>
        <w:t>.</w:t>
      </w:r>
      <w:r>
        <w:rPr>
          <w:snapToGrid w:val="0"/>
        </w:rPr>
        <w:tab/>
        <w:t>Commencement</w:t>
      </w:r>
      <w:bookmarkEnd w:id="7"/>
      <w:bookmarkEnd w:id="8"/>
      <w:bookmarkEnd w:id="9"/>
    </w:p>
    <w:p>
      <w:pPr>
        <w:pStyle w:val="Subsection"/>
      </w:pPr>
      <w:r>
        <w:tab/>
      </w:r>
      <w:r>
        <w:tab/>
        <w:t>This Act comes into operation on the day on which it receives the Royal Assent.</w:t>
      </w:r>
    </w:p>
    <w:p>
      <w:pPr>
        <w:pStyle w:val="Heading5"/>
      </w:pPr>
      <w:bookmarkStart w:id="10" w:name="_Toc379208011"/>
      <w:bookmarkStart w:id="11" w:name="_Toc379208022"/>
      <w:bookmarkStart w:id="12" w:name="_Toc426032206"/>
      <w:r>
        <w:rPr>
          <w:rStyle w:val="CharSectno"/>
        </w:rPr>
        <w:t>3</w:t>
      </w:r>
      <w:r>
        <w:t>.</w:t>
      </w:r>
      <w:r>
        <w:tab/>
        <w:t>Interpretation</w:t>
      </w:r>
      <w:bookmarkEnd w:id="10"/>
      <w:bookmarkEnd w:id="11"/>
      <w:bookmarkEnd w:id="12"/>
    </w:p>
    <w:p>
      <w:pPr>
        <w:pStyle w:val="Subsection"/>
      </w:pPr>
      <w:r>
        <w:tab/>
      </w:r>
      <w:r>
        <w:tab/>
        <w:t xml:space="preserve">In this Act, unless the contrary intention appears — </w:t>
      </w:r>
    </w:p>
    <w:p>
      <w:pPr>
        <w:pStyle w:val="Defstart"/>
      </w:pPr>
      <w:r>
        <w:tab/>
      </w:r>
      <w:r>
        <w:rPr>
          <w:rStyle w:val="CharDefText"/>
        </w:rPr>
        <w:t>Registrar of Titles</w:t>
      </w:r>
      <w:r>
        <w:t xml:space="preserve"> means the Registrar of Titles under the </w:t>
      </w:r>
      <w:r>
        <w:rPr>
          <w:i/>
        </w:rPr>
        <w:t>Transfer of Land Act 1893</w:t>
      </w:r>
      <w:r>
        <w:t>;</w:t>
      </w:r>
    </w:p>
    <w:p>
      <w:pPr>
        <w:pStyle w:val="Defstart"/>
      </w:pPr>
      <w:r>
        <w:tab/>
      </w:r>
      <w:r>
        <w:rPr>
          <w:rStyle w:val="CharDefText"/>
        </w:rPr>
        <w:t>Tamala Park land</w:t>
      </w:r>
      <w:r>
        <w:t xml:space="preserve"> means lot 17 on plan 12488 and being the whole of the land comprised in Certificate of Title Volume 2202 Folio 113.</w:t>
      </w:r>
    </w:p>
    <w:p>
      <w:pPr>
        <w:pStyle w:val="Footnotesection"/>
      </w:pPr>
      <w:r>
        <w:tab/>
        <w:t>[Section 3 amended by No. 60 of 2006 s. 161.]</w:t>
      </w:r>
    </w:p>
    <w:p>
      <w:pPr>
        <w:pStyle w:val="Heading5"/>
      </w:pPr>
      <w:bookmarkStart w:id="13" w:name="_Toc379208012"/>
      <w:bookmarkStart w:id="14" w:name="_Toc379208023"/>
      <w:bookmarkStart w:id="15" w:name="_Toc426032207"/>
      <w:r>
        <w:rPr>
          <w:rStyle w:val="CharSectno"/>
        </w:rPr>
        <w:t>4</w:t>
      </w:r>
      <w:r>
        <w:t>.</w:t>
      </w:r>
      <w:r>
        <w:tab/>
        <w:t>Portions of the City of Perth’s share of Tamala Park land transferred</w:t>
      </w:r>
      <w:bookmarkEnd w:id="13"/>
      <w:bookmarkEnd w:id="14"/>
      <w:bookmarkEnd w:id="15"/>
    </w:p>
    <w:p>
      <w:pPr>
        <w:pStyle w:val="Subsection"/>
      </w:pPr>
      <w:r>
        <w:tab/>
        <w:t>(1)</w:t>
      </w:r>
      <w:r>
        <w:tab/>
        <w:t>One quarter of the City of Perth’s share of the Tamala Park land is, by force of this section, transferred to the Town of Cambridge as a tenant in common.</w:t>
      </w:r>
    </w:p>
    <w:p>
      <w:pPr>
        <w:pStyle w:val="Subsection"/>
      </w:pPr>
      <w:r>
        <w:tab/>
        <w:t>(2)</w:t>
      </w:r>
      <w:r>
        <w:tab/>
        <w:t>One quarter of the City of Perth’s share of the Tamala Park land is, by force of this section, transferred to the Town of Victoria Park as a tenant in common.</w:t>
      </w:r>
    </w:p>
    <w:p>
      <w:pPr>
        <w:pStyle w:val="Subsection"/>
      </w:pPr>
      <w:r>
        <w:tab/>
        <w:t>(3)</w:t>
      </w:r>
      <w:r>
        <w:tab/>
        <w:t>One quarter of the City of Perth’s share of the Tamala Park land is, by force of this section, transferred to the Town of Vincent as a tenant in common.</w:t>
      </w:r>
    </w:p>
    <w:p>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pPr>
        <w:pStyle w:val="Heading5"/>
      </w:pPr>
      <w:bookmarkStart w:id="16" w:name="_Toc379208013"/>
      <w:bookmarkStart w:id="17" w:name="_Toc379208024"/>
      <w:bookmarkStart w:id="18" w:name="_Toc426032208"/>
      <w:r>
        <w:rPr>
          <w:rStyle w:val="CharSectno"/>
        </w:rPr>
        <w:t>5</w:t>
      </w:r>
      <w:r>
        <w:t>.</w:t>
      </w:r>
      <w:r>
        <w:tab/>
        <w:t>Registrar of Titles to register transfers</w:t>
      </w:r>
      <w:bookmarkEnd w:id="16"/>
      <w:bookmarkEnd w:id="17"/>
      <w:bookmarkEnd w:id="18"/>
    </w:p>
    <w:p>
      <w:pPr>
        <w:pStyle w:val="Subsection"/>
      </w:pPr>
      <w:r>
        <w:tab/>
        <w:t>(1)</w:t>
      </w:r>
      <w:r>
        <w:tab/>
        <w:t>The Registrar of Titles is to register the transfers effected by section 4.</w:t>
      </w:r>
    </w:p>
    <w:p>
      <w:pPr>
        <w:pStyle w:val="Subsection"/>
      </w:pPr>
      <w:r>
        <w:tab/>
        <w:t>(2)</w:t>
      </w:r>
      <w:r>
        <w:tab/>
        <w:t xml:space="preserve">Section 242 of the </w:t>
      </w:r>
      <w:r>
        <w:rPr>
          <w:i/>
        </w:rPr>
        <w:t>Transfer of Land Act 1893</w:t>
      </w:r>
      <w:r>
        <w:t xml:space="preserve"> does not apply to the transfers effected by section 4.</w:t>
      </w:r>
    </w:p>
    <w:p>
      <w:pPr>
        <w:pStyle w:val="Subsection"/>
      </w:pPr>
      <w:r>
        <w:tab/>
        <w:t>(3)</w:t>
      </w:r>
      <w:r>
        <w:tab/>
        <w:t>For the purposes of subsection (1), the Registrar of Titles may dispense with the production of the duplicate certificate of title for the Tamala Park land.</w:t>
      </w:r>
    </w:p>
    <w:p>
      <w:pPr>
        <w:pStyle w:val="Heading5"/>
      </w:pPr>
      <w:bookmarkStart w:id="19" w:name="_Toc379208014"/>
      <w:bookmarkStart w:id="20" w:name="_Toc379208025"/>
      <w:bookmarkStart w:id="21" w:name="_Toc426032209"/>
      <w:r>
        <w:rPr>
          <w:rStyle w:val="CharSectno"/>
        </w:rPr>
        <w:t>6</w:t>
      </w:r>
      <w:r>
        <w:t>.</w:t>
      </w:r>
      <w:r>
        <w:tab/>
        <w:t>Transfers to be for no consideration</w:t>
      </w:r>
      <w:bookmarkEnd w:id="19"/>
      <w:bookmarkEnd w:id="20"/>
      <w:bookmarkEnd w:id="21"/>
    </w:p>
    <w:p>
      <w:pPr>
        <w:pStyle w:val="Subsection"/>
      </w:pPr>
      <w:r>
        <w:tab/>
        <w:t>(1)</w:t>
      </w:r>
      <w:r>
        <w:tab/>
        <w:t>The transfers effected by section 4 are for no consideration.</w:t>
      </w:r>
    </w:p>
    <w:p>
      <w:pPr>
        <w:pStyle w:val="Subsection"/>
      </w:pPr>
      <w:r>
        <w:tab/>
        <w:t>(2)</w:t>
      </w:r>
      <w:r>
        <w:tab/>
        <w:t>The City of Perth is not entitled to be compensated in respect of the transfers effected by section 4.</w:t>
      </w:r>
    </w:p>
    <w:p>
      <w:pPr>
        <w:pStyle w:val="Heading5"/>
      </w:pPr>
      <w:bookmarkStart w:id="22" w:name="_Toc379208015"/>
      <w:bookmarkStart w:id="23" w:name="_Toc379208026"/>
      <w:bookmarkStart w:id="24" w:name="_Toc426032210"/>
      <w:r>
        <w:rPr>
          <w:rStyle w:val="CharSectno"/>
        </w:rPr>
        <w:t>7</w:t>
      </w:r>
      <w:r>
        <w:t>.</w:t>
      </w:r>
      <w:r>
        <w:tab/>
        <w:t>Stamp duty exemption</w:t>
      </w:r>
      <w:bookmarkEnd w:id="22"/>
      <w:bookmarkEnd w:id="23"/>
      <w:bookmarkEnd w:id="24"/>
    </w:p>
    <w:p>
      <w:pPr>
        <w:pStyle w:val="Subsection"/>
      </w:pPr>
      <w:r>
        <w:tab/>
      </w:r>
      <w:r>
        <w:tab/>
        <w:t xml:space="preserve">The transfers effected by section 4 are exempt from duty under the </w:t>
      </w:r>
      <w:r>
        <w:rPr>
          <w:i/>
        </w:rPr>
        <w:t>Stamp Act 1921</w:t>
      </w:r>
      <w:r>
        <w:t>.</w:t>
      </w:r>
    </w:p>
    <w:p>
      <w:pPr>
        <w:pStyle w:val="Heading5"/>
      </w:pPr>
      <w:bookmarkStart w:id="25" w:name="_Toc379208016"/>
      <w:bookmarkStart w:id="26" w:name="_Toc379208027"/>
      <w:bookmarkStart w:id="27" w:name="_Toc426032211"/>
      <w:r>
        <w:rPr>
          <w:rStyle w:val="CharSectno"/>
        </w:rPr>
        <w:t>8</w:t>
      </w:r>
      <w:r>
        <w:t>.</w:t>
      </w:r>
      <w:r>
        <w:tab/>
        <w:t>Certain agreements prohibited</w:t>
      </w:r>
      <w:bookmarkEnd w:id="25"/>
      <w:bookmarkEnd w:id="26"/>
      <w:bookmarkEnd w:id="27"/>
    </w:p>
    <w:p>
      <w:pPr>
        <w:pStyle w:val="Subsection"/>
      </w:pPr>
      <w:r>
        <w:tab/>
        <w:t>(1)</w:t>
      </w:r>
      <w:r>
        <w:tab/>
        <w:t xml:space="preserve">In the period beginning on 7 May 2001 and ending immediately before the transfers effected by section 4 are registered, the City of Perth must not — </w:t>
      </w:r>
    </w:p>
    <w:p>
      <w:pPr>
        <w:pStyle w:val="Indenta"/>
      </w:pPr>
      <w:r>
        <w:tab/>
        <w:t>(a)</w:t>
      </w:r>
      <w:r>
        <w:tab/>
        <w:t>deal with the City of Perth’s share in the Tamala Park land; or</w:t>
      </w:r>
    </w:p>
    <w:p>
      <w:pPr>
        <w:pStyle w:val="Indenta"/>
      </w:pPr>
      <w:r>
        <w:tab/>
        <w:t>(b)</w:t>
      </w:r>
      <w:r>
        <w:tab/>
        <w:t>enter into any agreement that creates, effects, cancels or alters any interest in, or that otherwise affects or relates to, the City of Perth’s share in the Tamala Park land,</w:t>
      </w:r>
    </w:p>
    <w:p>
      <w:pPr>
        <w:pStyle w:val="Subsection"/>
      </w:pPr>
      <w:r>
        <w:tab/>
      </w:r>
      <w:r>
        <w:tab/>
        <w:t>without the prior written approval of the Minister.</w:t>
      </w:r>
    </w:p>
    <w:p>
      <w:pPr>
        <w:pStyle w:val="Subsection"/>
      </w:pPr>
      <w:r>
        <w:tab/>
        <w:t>(2)</w:t>
      </w:r>
      <w:r>
        <w:tab/>
        <w:t>A dealing or agreement entered into in contravention of subsection (1) is void.</w:t>
      </w:r>
    </w:p>
    <w:p>
      <w:pPr>
        <w:pStyle w:val="Heading5"/>
      </w:pPr>
      <w:bookmarkStart w:id="28" w:name="_Toc379208017"/>
      <w:bookmarkStart w:id="29" w:name="_Toc379208028"/>
      <w:bookmarkStart w:id="30" w:name="_Toc426032212"/>
      <w:r>
        <w:rPr>
          <w:rStyle w:val="CharSectno"/>
        </w:rPr>
        <w:t>9</w:t>
      </w:r>
      <w:r>
        <w:t>.</w:t>
      </w:r>
      <w:r>
        <w:tab/>
        <w:t>Legal proceedings precluded</w:t>
      </w:r>
      <w:bookmarkEnd w:id="28"/>
      <w:bookmarkEnd w:id="29"/>
      <w:bookmarkEnd w:id="30"/>
    </w:p>
    <w:p>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379208018"/>
      <w:bookmarkStart w:id="32" w:name="_Toc379208029"/>
      <w:bookmarkStart w:id="33" w:name="_Toc426032213"/>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Tamala Park Land Transfer Act 2001</w:t>
      </w:r>
      <w:r>
        <w:rPr>
          <w:snapToGrid w:val="0"/>
        </w:rPr>
        <w:t xml:space="preserve"> and includes the amendments made by the other written laws referred to in the following table.</w:t>
      </w:r>
    </w:p>
    <w:p>
      <w:pPr>
        <w:pStyle w:val="nHeading3"/>
        <w:rPr>
          <w:snapToGrid w:val="0"/>
        </w:rPr>
      </w:pPr>
      <w:bookmarkStart w:id="34" w:name="_Toc379208019"/>
      <w:bookmarkStart w:id="35" w:name="_Toc379208030"/>
      <w:bookmarkStart w:id="36" w:name="_Toc426032214"/>
      <w:r>
        <w:rPr>
          <w:snapToGrid w:val="0"/>
        </w:rPr>
        <w:t>Compilation table</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Tamala Park Land Transfer Act 2001</w:t>
            </w:r>
          </w:p>
        </w:tc>
        <w:tc>
          <w:tcPr>
            <w:tcW w:w="1134" w:type="dxa"/>
            <w:tcBorders>
              <w:top w:val="single" w:sz="4" w:space="0" w:color="auto"/>
            </w:tcBorders>
          </w:tcPr>
          <w:p>
            <w:pPr>
              <w:pStyle w:val="nTable"/>
              <w:spacing w:before="100"/>
            </w:pPr>
            <w:r>
              <w:t>15 of 2001</w:t>
            </w:r>
          </w:p>
        </w:tc>
        <w:tc>
          <w:tcPr>
            <w:tcW w:w="1134" w:type="dxa"/>
            <w:tcBorders>
              <w:top w:val="single" w:sz="4" w:space="0" w:color="auto"/>
            </w:tcBorders>
          </w:tcPr>
          <w:p>
            <w:pPr>
              <w:pStyle w:val="nTable"/>
              <w:spacing w:before="100"/>
            </w:pPr>
            <w:r>
              <w:t>28 Aug 2001</w:t>
            </w:r>
          </w:p>
        </w:tc>
        <w:tc>
          <w:tcPr>
            <w:tcW w:w="2552" w:type="dxa"/>
            <w:tcBorders>
              <w:top w:val="single" w:sz="4" w:space="0" w:color="auto"/>
            </w:tcBorders>
          </w:tcPr>
          <w:p>
            <w:pPr>
              <w:pStyle w:val="nTable"/>
              <w:spacing w:before="100"/>
            </w:pPr>
            <w:r>
              <w:t>28 Aug 2001 (see s. 2)</w:t>
            </w:r>
          </w:p>
        </w:tc>
      </w:tr>
      <w:tr>
        <w:tc>
          <w:tcPr>
            <w:tcW w:w="2268" w:type="dxa"/>
          </w:tcPr>
          <w:p>
            <w:pPr>
              <w:pStyle w:val="nTable"/>
              <w:spacing w:before="100"/>
              <w:rPr>
                <w:i/>
                <w:snapToGrid w:val="0"/>
              </w:rPr>
            </w:pPr>
            <w:r>
              <w:rPr>
                <w:i/>
                <w:snapToGrid w:val="0"/>
              </w:rPr>
              <w:t>Land Information Authority Act 2006</w:t>
            </w:r>
            <w:r>
              <w:rPr>
                <w:iCs/>
                <w:snapToGrid w:val="0"/>
              </w:rPr>
              <w:t xml:space="preserve"> s. 161</w:t>
            </w:r>
          </w:p>
        </w:tc>
        <w:tc>
          <w:tcPr>
            <w:tcW w:w="1134" w:type="dxa"/>
          </w:tcPr>
          <w:p>
            <w:pPr>
              <w:pStyle w:val="nTable"/>
              <w:spacing w:before="100"/>
            </w:pPr>
            <w:r>
              <w:rPr>
                <w:snapToGrid w:val="0"/>
              </w:rPr>
              <w:t>60 of 2006</w:t>
            </w:r>
          </w:p>
        </w:tc>
        <w:tc>
          <w:tcPr>
            <w:tcW w:w="1134" w:type="dxa"/>
          </w:tcPr>
          <w:p>
            <w:pPr>
              <w:pStyle w:val="nTable"/>
              <w:spacing w:before="100"/>
            </w:pPr>
            <w:r>
              <w:rPr>
                <w:snapToGrid w:val="0"/>
              </w:rPr>
              <w:t>16 Nov 2006</w:t>
            </w:r>
          </w:p>
        </w:tc>
        <w:tc>
          <w:tcPr>
            <w:tcW w:w="2552" w:type="dxa"/>
          </w:tcPr>
          <w:p>
            <w:pPr>
              <w:pStyle w:val="nTable"/>
              <w:spacing w:before="100"/>
            </w:pPr>
            <w:r>
              <w:t xml:space="preserve">1 Jan 2007 (see s. 2(1) and </w:t>
            </w:r>
            <w:r>
              <w:rPr>
                <w:i/>
                <w:iCs/>
              </w:rPr>
              <w:t xml:space="preserve">Gazette </w:t>
            </w:r>
            <w:r>
              <w:t>8 Dec 2006 p. 5369)</w:t>
            </w:r>
          </w:p>
        </w:tc>
      </w:tr>
      <w:tr>
        <w:trPr>
          <w:ins w:id="37" w:author="svcMRProcess" w:date="2015-11-16T14:51:00Z"/>
        </w:trPr>
        <w:tc>
          <w:tcPr>
            <w:tcW w:w="7088" w:type="dxa"/>
            <w:gridSpan w:val="4"/>
            <w:tcBorders>
              <w:bottom w:val="single" w:sz="4" w:space="0" w:color="auto"/>
            </w:tcBorders>
          </w:tcPr>
          <w:p>
            <w:pPr>
              <w:pStyle w:val="nTable"/>
              <w:spacing w:before="100"/>
              <w:rPr>
                <w:ins w:id="38" w:author="svcMRProcess" w:date="2015-11-16T14:51:00Z"/>
              </w:rPr>
            </w:pPr>
            <w:ins w:id="39" w:author="svcMRProcess" w:date="2015-11-16T14:5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0623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34"/>
    <w:docVar w:name="WAFER_20140203154559" w:val="RemoveTocBookmarks,RemoveUnusedBookmarks,RemoveLanguageTags,UsedStyles,ResetPageSize"/>
    <w:docVar w:name="WAFER_20140203154559_GUID" w:val="21a25190-1bcc-4df0-b2a4-50d7e5d658f2"/>
    <w:docVar w:name="WAFER_20140203161234" w:val="RemoveTocBookmarks,RunningHeaders"/>
    <w:docVar w:name="WAFER_20140203161234_GUID" w:val="a7cb1b45-b9f1-498d-8144-a189d7e43fbf"/>
    <w:docVar w:name="WAFER_20150730145702" w:val="ResetPageSize,UpdateArrangement,UpdateNTable"/>
    <w:docVar w:name="WAFER_20150730145702_GUID" w:val="b9f00d0b-aa50-4de4-a424-ea0816c07549"/>
    <w:docVar w:name="WAFER_20151116144034" w:val="UpdateStyles,UsedStyles"/>
    <w:docVar w:name="WAFER_20151116144034_GUID" w:val="50268534-6a7d-4a22-8d7a-743d7a3be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3230</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00-c0-07 - 00-d0-02</dc:title>
  <dc:subject/>
  <dc:creator/>
  <cp:keywords/>
  <dc:description/>
  <cp:lastModifiedBy>svcMRProcess</cp:lastModifiedBy>
  <cp:revision>2</cp:revision>
  <cp:lastPrinted>2001-08-29T07:47:00Z</cp:lastPrinted>
  <dcterms:created xsi:type="dcterms:W3CDTF">2015-11-16T06:51:00Z</dcterms:created>
  <dcterms:modified xsi:type="dcterms:W3CDTF">2015-11-16T06:51:00Z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2080</vt:i4>
  </property>
  <property fmtid="{D5CDD505-2E9C-101B-9397-08002B2CF9AE}" pid="6" name="Status">
    <vt:lpwstr>NIF</vt:lpwstr>
  </property>
  <property fmtid="{D5CDD505-2E9C-101B-9397-08002B2CF9AE}" pid="7" name="FromSuffix">
    <vt:lpwstr>00-c0-07</vt:lpwstr>
  </property>
  <property fmtid="{D5CDD505-2E9C-101B-9397-08002B2CF9AE}" pid="8" name="FromAsAtDate">
    <vt:lpwstr>01 Jan 2007</vt:lpwstr>
  </property>
  <property fmtid="{D5CDD505-2E9C-101B-9397-08002B2CF9AE}" pid="9" name="ToSuffix">
    <vt:lpwstr>00-d0-02</vt:lpwstr>
  </property>
  <property fmtid="{D5CDD505-2E9C-101B-9397-08002B2CF9AE}" pid="10" name="ToAsAtDate">
    <vt:lpwstr>04 Dec 2014</vt:lpwstr>
  </property>
</Properties>
</file>