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York Cemeteries Act 1933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York Cemeteries Act 1933 </w:t>
      </w:r>
    </w:p>
    <w:p>
      <w:pPr>
        <w:pStyle w:val="LongTitle"/>
        <w:rPr>
          <w:snapToGrid w:val="0"/>
        </w:rPr>
      </w:pPr>
      <w:r>
        <w:rPr>
          <w:snapToGrid w:val="0"/>
        </w:rPr>
        <w:t>A</w:t>
      </w:r>
      <w:bookmarkStart w:id="1" w:name="_GoBack"/>
      <w:bookmarkEnd w:id="1"/>
      <w:r>
        <w:rPr>
          <w:snapToGrid w:val="0"/>
        </w:rPr>
        <w:t xml:space="preserve">n Act to revest certain lands in His Majesty, and for other purposes relative thereto. </w:t>
      </w:r>
    </w:p>
    <w:p>
      <w:pPr>
        <w:pStyle w:val="Preamble1"/>
        <w:rPr>
          <w:rFonts w:ascii="Times New Roman" w:hAnsi="Times New Roman"/>
          <w:snapToGrid w:val="0"/>
        </w:rPr>
      </w:pPr>
      <w:r>
        <w:t>Preamble</w:t>
      </w:r>
    </w:p>
    <w:p>
      <w:pPr>
        <w:pStyle w:val="Preamble2"/>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the said lands in his Majesty, with intent that the same may be added to and form part of reserve </w:t>
      </w:r>
      <w:r>
        <w:rPr>
          <w:rFonts w:ascii="Times New Roman" w:hAnsi="Times New Roman"/>
          <w:snapToGrid w:val="0"/>
          <w:sz w:val="18"/>
        </w:rPr>
        <w:sym w:font="Wingdings 3" w:char="F0D3"/>
      </w:r>
      <w:r>
        <w:rPr>
          <w:rFonts w:ascii="Times New Roman" w:hAnsi="Times New Roman"/>
          <w:snapToGrid w:val="0"/>
        </w:rPr>
        <w:t>20628 and together therewith be proclaimed a public cemetery:</w:t>
      </w:r>
    </w:p>
    <w:p>
      <w:pPr>
        <w:pStyle w:val="Footnotepreamble"/>
      </w:pPr>
      <w:r>
        <w:tab/>
        <w:t>[Preamble amended by No. 19 of 2010 s. 50.]</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7461159"/>
      <w:bookmarkStart w:id="3" w:name="_Toc426102869"/>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York Cemeteries Act 1933</w:t>
      </w:r>
      <w:r>
        <w:rPr>
          <w:snapToGrid w:val="0"/>
        </w:rPr>
        <w:t>.</w:t>
      </w:r>
    </w:p>
    <w:p>
      <w:pPr>
        <w:pStyle w:val="Heading5"/>
        <w:rPr>
          <w:snapToGrid w:val="0"/>
        </w:rPr>
      </w:pPr>
      <w:bookmarkStart w:id="4" w:name="_Toc377461160"/>
      <w:bookmarkStart w:id="5" w:name="_Toc426102870"/>
      <w:r>
        <w:rPr>
          <w:rStyle w:val="CharSectno"/>
        </w:rPr>
        <w:t>2</w:t>
      </w:r>
      <w:r>
        <w:rPr>
          <w:snapToGrid w:val="0"/>
        </w:rPr>
        <w:t>.</w:t>
      </w:r>
      <w:r>
        <w:rPr>
          <w:snapToGrid w:val="0"/>
        </w:rPr>
        <w:tab/>
        <w:t>Lands revested to His Majesty</w:t>
      </w:r>
      <w:bookmarkEnd w:id="4"/>
      <w:bookmarkEnd w:id="5"/>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6" w:name="_Toc377461161"/>
      <w:bookmarkStart w:id="7" w:name="_Toc426102871"/>
      <w:r>
        <w:rPr>
          <w:rStyle w:val="CharSectno"/>
        </w:rPr>
        <w:t>3</w:t>
      </w:r>
      <w:r>
        <w:rPr>
          <w:snapToGrid w:val="0"/>
        </w:rPr>
        <w:t>.</w:t>
      </w:r>
      <w:r>
        <w:rPr>
          <w:snapToGrid w:val="0"/>
        </w:rPr>
        <w:tab/>
        <w:t>Lands revested to be added to reserve to be appointed a public cemetery and placed under the control of the Shire of York</w:t>
      </w:r>
      <w:bookmarkEnd w:id="6"/>
      <w:bookmarkEnd w:id="7"/>
      <w:r>
        <w:rPr>
          <w:snapToGrid w:val="0"/>
        </w:rPr>
        <w:t xml:space="preserve"> </w:t>
      </w:r>
    </w:p>
    <w:p>
      <w:pPr>
        <w:pStyle w:val="Subsection"/>
        <w:rPr>
          <w:snapToGrid w:val="0"/>
        </w:rPr>
      </w:pPr>
      <w:r>
        <w:rPr>
          <w:snapToGrid w:val="0"/>
        </w:rPr>
        <w:tab/>
      </w:r>
      <w:r>
        <w:rPr>
          <w:snapToGrid w:val="0"/>
        </w:rPr>
        <w:tab/>
        <w:t xml:space="preserve">The said lands, when revested in His Majesty as aforesaid, shall forthwith be added to and become part of reserve </w:t>
      </w:r>
      <w:r>
        <w:rPr>
          <w:snapToGrid w:val="0"/>
          <w:sz w:val="18"/>
        </w:rPr>
        <w:sym w:font="Wingdings 3" w:char="F0D3"/>
      </w:r>
      <w:r>
        <w:rPr>
          <w:snapToGrid w:val="0"/>
        </w:rPr>
        <w:t xml:space="preserve">20628, and thereafter the said reserve shall be appointed a public cemetery under and for the purposes of the </w:t>
      </w:r>
      <w:r>
        <w:rPr>
          <w:i/>
          <w:snapToGrid w:val="0"/>
        </w:rPr>
        <w:t>Cemeteries Act 1897</w:t>
      </w:r>
      <w:r>
        <w:rPr>
          <w:snapToGrid w:val="0"/>
        </w:rPr>
        <w:t>, and shall be placed under the control of the Shire of York as the trustee thereof.</w:t>
      </w:r>
    </w:p>
    <w:p>
      <w:pPr>
        <w:pStyle w:val="Footnotesection"/>
      </w:pPr>
      <w:r>
        <w:tab/>
        <w:t xml:space="preserve">[Section 3 amended by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 w:name="_Toc377461162"/>
      <w:bookmarkStart w:id="9" w:name="_Toc426102872"/>
      <w:r>
        <w:rPr>
          <w:rStyle w:val="CharSchNo"/>
        </w:rPr>
        <w:t>Schedule</w:t>
      </w:r>
      <w:r>
        <w:t xml:space="preserve"> — </w:t>
      </w:r>
      <w:r>
        <w:rPr>
          <w:rStyle w:val="CharSchText"/>
        </w:rPr>
        <w:t>Cemetery land</w:t>
      </w:r>
      <w:bookmarkEnd w:id="8"/>
      <w:bookmarkEnd w:id="9"/>
    </w:p>
    <w:p>
      <w:pPr>
        <w:pStyle w:val="yShoulderClause"/>
        <w:rPr>
          <w:snapToGrid w:val="0"/>
        </w:rPr>
      </w:pPr>
      <w:r>
        <w:rPr>
          <w:snapToGrid w:val="0"/>
        </w:rPr>
        <w:t>[s. 2]</w:t>
      </w:r>
    </w:p>
    <w:p>
      <w:pPr>
        <w:pStyle w:val="yFootnotesection"/>
      </w:pPr>
      <w:r>
        <w:tab/>
        <w:t>[Heading amended by No. 19 of 2010 s. 4.]</w:t>
      </w:r>
      <w:r>
        <w:rPr>
          <w:rStyle w:val="CharSchText"/>
        </w:rPr>
        <w:t xml:space="preserve"> </w:t>
      </w:r>
    </w:p>
    <w:tbl>
      <w:tblPr>
        <w:tblW w:w="0" w:type="auto"/>
        <w:tblLayout w:type="fixed"/>
        <w:tblCellMar>
          <w:left w:w="283" w:type="dxa"/>
          <w:right w:w="283" w:type="dxa"/>
        </w:tblCellMar>
        <w:tblLook w:val="0000" w:firstRow="0" w:lastRow="0" w:firstColumn="0" w:lastColumn="0" w:noHBand="0" w:noVBand="0"/>
      </w:tblPr>
      <w:tblGrid>
        <w:gridCol w:w="1276"/>
        <w:gridCol w:w="1417"/>
        <w:gridCol w:w="2552"/>
        <w:gridCol w:w="2145"/>
      </w:tblGrid>
      <w:tr>
        <w:tc>
          <w:tcPr>
            <w:tcW w:w="1276" w:type="dxa"/>
            <w:tcBorders>
              <w:top w:val="single" w:sz="4" w:space="0" w:color="auto"/>
              <w:bottom w:val="single" w:sz="4" w:space="0" w:color="auto"/>
            </w:tcBorders>
          </w:tcPr>
          <w:p>
            <w:pPr>
              <w:pStyle w:val="yTable"/>
              <w:rPr>
                <w:sz w:val="16"/>
              </w:rPr>
            </w:pPr>
            <w:r>
              <w:rPr>
                <w:sz w:val="16"/>
              </w:rPr>
              <w:t>Land</w:t>
            </w:r>
          </w:p>
        </w:tc>
        <w:tc>
          <w:tcPr>
            <w:tcW w:w="1417" w:type="dxa"/>
            <w:tcBorders>
              <w:top w:val="single" w:sz="4" w:space="0" w:color="auto"/>
              <w:bottom w:val="single" w:sz="4" w:space="0" w:color="auto"/>
            </w:tcBorders>
          </w:tcPr>
          <w:p>
            <w:pPr>
              <w:pStyle w:val="yTable"/>
              <w:rPr>
                <w:sz w:val="16"/>
              </w:rPr>
            </w:pPr>
            <w:r>
              <w:rPr>
                <w:sz w:val="16"/>
              </w:rPr>
              <w:t>Reference</w:t>
            </w:r>
          </w:p>
        </w:tc>
        <w:tc>
          <w:tcPr>
            <w:tcW w:w="2552" w:type="dxa"/>
            <w:tcBorders>
              <w:top w:val="single" w:sz="4" w:space="0" w:color="auto"/>
              <w:bottom w:val="single" w:sz="4" w:space="0" w:color="auto"/>
            </w:tcBorders>
          </w:tcPr>
          <w:p>
            <w:pPr>
              <w:pStyle w:val="yTable"/>
              <w:rPr>
                <w:sz w:val="16"/>
              </w:rPr>
            </w:pPr>
            <w:r>
              <w:rPr>
                <w:sz w:val="16"/>
              </w:rPr>
              <w:t>Proprietors</w:t>
            </w:r>
          </w:p>
        </w:tc>
        <w:tc>
          <w:tcPr>
            <w:tcW w:w="2145" w:type="dxa"/>
            <w:tcBorders>
              <w:top w:val="single" w:sz="4" w:space="0" w:color="auto"/>
              <w:bottom w:val="single" w:sz="4" w:space="0" w:color="auto"/>
            </w:tcBorders>
          </w:tcPr>
          <w:p>
            <w:pPr>
              <w:pStyle w:val="yTable"/>
              <w:rPr>
                <w:sz w:val="16"/>
              </w:rPr>
            </w:pPr>
            <w:r>
              <w:rPr>
                <w:sz w:val="16"/>
              </w:rPr>
              <w:t>Purpose of Grant</w:t>
            </w:r>
          </w:p>
        </w:tc>
      </w:tr>
      <w:tr>
        <w:tc>
          <w:tcPr>
            <w:tcW w:w="1276" w:type="dxa"/>
          </w:tcPr>
          <w:p>
            <w:pPr>
              <w:pStyle w:val="yTable"/>
              <w:rPr>
                <w:sz w:val="16"/>
              </w:rPr>
            </w:pPr>
            <w:r>
              <w:rPr>
                <w:sz w:val="16"/>
              </w:rPr>
              <w:t>York town lot 13</w:t>
            </w:r>
          </w:p>
        </w:tc>
        <w:tc>
          <w:tcPr>
            <w:tcW w:w="1417" w:type="dxa"/>
          </w:tcPr>
          <w:p>
            <w:pPr>
              <w:pStyle w:val="yTable"/>
              <w:rPr>
                <w:sz w:val="16"/>
              </w:rPr>
            </w:pPr>
            <w:r>
              <w:rPr>
                <w:sz w:val="16"/>
              </w:rPr>
              <w:t>Enrolment 4418</w:t>
            </w:r>
          </w:p>
        </w:tc>
        <w:tc>
          <w:tcPr>
            <w:tcW w:w="2552" w:type="dxa"/>
          </w:tcPr>
          <w:p>
            <w:pPr>
              <w:pStyle w:val="yTable"/>
              <w:ind w:left="142" w:hanging="142"/>
              <w:rPr>
                <w:sz w:val="16"/>
              </w:rPr>
            </w:pPr>
            <w:r>
              <w:rPr>
                <w:sz w:val="16"/>
              </w:rPr>
              <w:t>The Right Reverend Father in God Mathew Blagden Hale, Lord Bishop of Perth</w:t>
            </w:r>
          </w:p>
        </w:tc>
        <w:tc>
          <w:tcPr>
            <w:tcW w:w="2145" w:type="dxa"/>
          </w:tcPr>
          <w:p>
            <w:pPr>
              <w:pStyle w:val="yTable"/>
              <w:tabs>
                <w:tab w:val="left" w:pos="992"/>
              </w:tabs>
              <w:ind w:left="131" w:hanging="131"/>
              <w:rPr>
                <w:sz w:val="16"/>
              </w:rPr>
            </w:pPr>
            <w:r>
              <w:rPr>
                <w:sz w:val="16"/>
              </w:rPr>
              <w:t>Ecclesiastical purposes in connection with the Church of England</w:t>
            </w:r>
          </w:p>
        </w:tc>
      </w:tr>
      <w:tr>
        <w:tc>
          <w:tcPr>
            <w:tcW w:w="1276" w:type="dxa"/>
          </w:tcPr>
          <w:p>
            <w:pPr>
              <w:pStyle w:val="yTable"/>
              <w:rPr>
                <w:sz w:val="16"/>
              </w:rPr>
            </w:pPr>
            <w:r>
              <w:rPr>
                <w:sz w:val="16"/>
              </w:rPr>
              <w:t>York town lot 15</w:t>
            </w:r>
          </w:p>
        </w:tc>
        <w:tc>
          <w:tcPr>
            <w:tcW w:w="1417" w:type="dxa"/>
          </w:tcPr>
          <w:p>
            <w:pPr>
              <w:pStyle w:val="yTable"/>
              <w:rPr>
                <w:sz w:val="16"/>
              </w:rPr>
            </w:pPr>
            <w:r>
              <w:rPr>
                <w:sz w:val="16"/>
              </w:rPr>
              <w:t>Vol. 35, Fol. 188</w:t>
            </w:r>
          </w:p>
        </w:tc>
        <w:tc>
          <w:tcPr>
            <w:tcW w:w="2552" w:type="dxa"/>
          </w:tcPr>
          <w:p>
            <w:pPr>
              <w:pStyle w:val="yTable"/>
              <w:ind w:left="142" w:hanging="142"/>
              <w:rPr>
                <w:sz w:val="16"/>
              </w:rPr>
            </w:pPr>
            <w:r>
              <w:rPr>
                <w:sz w:val="16"/>
              </w:rPr>
              <w:t>James Young Simpson, Superintendent Wesleyan Minister; George Shenton, merchant; Richard Watson Hardey, gentleman, all of Perth; John Henry Monger, merchant, of York, and Charles Crowther, merchant, of Geraldton, as trustee for the Wesleyan Methodist Church</w:t>
            </w:r>
          </w:p>
        </w:tc>
        <w:tc>
          <w:tcPr>
            <w:tcW w:w="2145" w:type="dxa"/>
          </w:tcPr>
          <w:p>
            <w:pPr>
              <w:pStyle w:val="yTable"/>
              <w:tabs>
                <w:tab w:val="left" w:pos="992"/>
              </w:tabs>
              <w:ind w:left="131" w:hanging="131"/>
              <w:rPr>
                <w:sz w:val="16"/>
              </w:rPr>
            </w:pPr>
            <w:r>
              <w:rPr>
                <w:sz w:val="16"/>
              </w:rPr>
              <w:t>No purpose disclosed</w:t>
            </w:r>
          </w:p>
        </w:tc>
      </w:tr>
      <w:tr>
        <w:tc>
          <w:tcPr>
            <w:tcW w:w="1276" w:type="dxa"/>
            <w:tcBorders>
              <w:bottom w:val="single" w:sz="4" w:space="0" w:color="auto"/>
            </w:tcBorders>
          </w:tcPr>
          <w:p>
            <w:pPr>
              <w:pStyle w:val="yTable"/>
              <w:rPr>
                <w:sz w:val="16"/>
              </w:rPr>
            </w:pPr>
            <w:r>
              <w:rPr>
                <w:sz w:val="16"/>
              </w:rPr>
              <w:t>York town lot 16</w:t>
            </w:r>
          </w:p>
        </w:tc>
        <w:tc>
          <w:tcPr>
            <w:tcW w:w="1417" w:type="dxa"/>
            <w:tcBorders>
              <w:bottom w:val="single" w:sz="4" w:space="0" w:color="auto"/>
            </w:tcBorders>
          </w:tcPr>
          <w:p>
            <w:pPr>
              <w:pStyle w:val="yTable"/>
              <w:rPr>
                <w:sz w:val="16"/>
              </w:rPr>
            </w:pPr>
            <w:r>
              <w:rPr>
                <w:sz w:val="16"/>
              </w:rPr>
              <w:t>Vol. 34, Fol. 26</w:t>
            </w:r>
          </w:p>
        </w:tc>
        <w:tc>
          <w:tcPr>
            <w:tcW w:w="2552" w:type="dxa"/>
            <w:tcBorders>
              <w:bottom w:val="single" w:sz="4" w:space="0" w:color="auto"/>
            </w:tcBorders>
          </w:tcPr>
          <w:p>
            <w:pPr>
              <w:pStyle w:val="yTable"/>
              <w:ind w:left="142" w:hanging="142"/>
              <w:rPr>
                <w:sz w:val="16"/>
              </w:rPr>
            </w:pPr>
            <w:r>
              <w:rPr>
                <w:sz w:val="16"/>
              </w:rPr>
              <w:t>Roman Catholic Bishop of Perth</w:t>
            </w:r>
          </w:p>
        </w:tc>
        <w:tc>
          <w:tcPr>
            <w:tcW w:w="2145" w:type="dxa"/>
            <w:tcBorders>
              <w:bottom w:val="single" w:sz="4" w:space="0" w:color="auto"/>
            </w:tcBorders>
          </w:tcPr>
          <w:p>
            <w:pPr>
              <w:pStyle w:val="yTable"/>
              <w:tabs>
                <w:tab w:val="left" w:pos="992"/>
              </w:tabs>
              <w:ind w:left="131" w:hanging="131"/>
              <w:rPr>
                <w:sz w:val="16"/>
              </w:rPr>
            </w:pPr>
            <w:r>
              <w:rPr>
                <w:sz w:val="16"/>
              </w:rPr>
              <w:t>No purpose disclosed</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 w:name="_Toc377461163"/>
      <w:bookmarkStart w:id="12" w:name="_Toc426102873"/>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York Cemeteries Act 1933</w:t>
      </w:r>
      <w:r>
        <w:rPr>
          <w:snapToGrid w:val="0"/>
        </w:rPr>
        <w:t xml:space="preserve"> and includes the amendments made by the other written laws referred to in the following table.</w:t>
      </w:r>
    </w:p>
    <w:p>
      <w:pPr>
        <w:pStyle w:val="nHeading3"/>
        <w:rPr>
          <w:snapToGrid w:val="0"/>
        </w:rPr>
      </w:pPr>
      <w:bookmarkStart w:id="13" w:name="_Toc377461164"/>
      <w:bookmarkStart w:id="14" w:name="_Toc426102874"/>
      <w:r>
        <w:rPr>
          <w:snapToGrid w:val="0"/>
        </w:rP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1"/>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York Cemeteries Act 1933</w:t>
            </w:r>
          </w:p>
        </w:tc>
        <w:tc>
          <w:tcPr>
            <w:tcW w:w="1139" w:type="dxa"/>
          </w:tcPr>
          <w:p>
            <w:pPr>
              <w:pStyle w:val="nTable"/>
              <w:spacing w:after="40"/>
            </w:pPr>
            <w:r>
              <w:t>2 of 1933</w:t>
            </w:r>
          </w:p>
        </w:tc>
        <w:tc>
          <w:tcPr>
            <w:tcW w:w="1136" w:type="dxa"/>
          </w:tcPr>
          <w:p>
            <w:pPr>
              <w:pStyle w:val="nTable"/>
              <w:spacing w:after="40"/>
            </w:pPr>
            <w:r>
              <w:t>16 Sep 1933</w:t>
            </w:r>
          </w:p>
        </w:tc>
        <w:tc>
          <w:tcPr>
            <w:tcW w:w="2569" w:type="dxa"/>
            <w:gridSpan w:val="2"/>
          </w:tcPr>
          <w:p>
            <w:pPr>
              <w:pStyle w:val="nTable"/>
              <w:spacing w:after="40"/>
            </w:pPr>
            <w:r>
              <w:t>16 Sep 1933</w:t>
            </w:r>
          </w:p>
        </w:tc>
      </w:tr>
      <w:tr>
        <w:tc>
          <w:tcPr>
            <w:tcW w:w="2278" w:type="dxa"/>
          </w:tcPr>
          <w:p>
            <w:pPr>
              <w:pStyle w:val="nTable"/>
              <w:spacing w:after="40"/>
            </w:pPr>
            <w:r>
              <w:rPr>
                <w:i/>
              </w:rPr>
              <w:t>York Cemeteries Act Amendment Act 1938</w:t>
            </w:r>
          </w:p>
        </w:tc>
        <w:tc>
          <w:tcPr>
            <w:tcW w:w="1139" w:type="dxa"/>
          </w:tcPr>
          <w:p>
            <w:pPr>
              <w:pStyle w:val="nTable"/>
              <w:spacing w:after="40"/>
            </w:pPr>
            <w:r>
              <w:t>36 of 1938</w:t>
            </w:r>
          </w:p>
        </w:tc>
        <w:tc>
          <w:tcPr>
            <w:tcW w:w="1136" w:type="dxa"/>
          </w:tcPr>
          <w:p>
            <w:pPr>
              <w:pStyle w:val="nTable"/>
              <w:spacing w:after="40"/>
            </w:pPr>
            <w:r>
              <w:t>31 Jan 1939</w:t>
            </w:r>
          </w:p>
        </w:tc>
        <w:tc>
          <w:tcPr>
            <w:tcW w:w="2569" w:type="dxa"/>
            <w:gridSpan w:val="2"/>
          </w:tcPr>
          <w:p>
            <w:pPr>
              <w:pStyle w:val="nTable"/>
              <w:spacing w:after="40"/>
            </w:pPr>
            <w:r>
              <w:t>31 Jan 1939</w:t>
            </w:r>
          </w:p>
        </w:tc>
      </w:tr>
      <w:tr>
        <w:tc>
          <w:tcPr>
            <w:tcW w:w="2278"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6" w:type="dxa"/>
          </w:tcPr>
          <w:p>
            <w:pPr>
              <w:pStyle w:val="nTable"/>
              <w:spacing w:after="40"/>
            </w:pPr>
            <w:r>
              <w:t>28 Jun 1996</w:t>
            </w:r>
          </w:p>
        </w:tc>
        <w:tc>
          <w:tcPr>
            <w:tcW w:w="2569" w:type="dxa"/>
            <w:gridSpan w:val="2"/>
          </w:tcPr>
          <w:p>
            <w:pPr>
              <w:pStyle w:val="nTable"/>
              <w:spacing w:after="40"/>
            </w:pPr>
            <w:r>
              <w:t>1 Jul 1996 (see s. 2)</w:t>
            </w:r>
          </w:p>
        </w:tc>
      </w:tr>
      <w:tr>
        <w:trPr>
          <w:gridAfter w:val="1"/>
          <w:wAfter w:w="11"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ins w:id="15" w:author="svcMRProcess" w:date="2015-11-16T15:59:00Z"/>
        </w:trPr>
        <w:tc>
          <w:tcPr>
            <w:tcW w:w="7111" w:type="dxa"/>
            <w:gridSpan w:val="4"/>
            <w:tcBorders>
              <w:bottom w:val="single" w:sz="4" w:space="0" w:color="auto"/>
            </w:tcBorders>
          </w:tcPr>
          <w:p>
            <w:pPr>
              <w:pStyle w:val="nTable"/>
              <w:spacing w:after="40"/>
              <w:rPr>
                <w:ins w:id="16" w:author="svcMRProcess" w:date="2015-11-16T15:59:00Z"/>
                <w:snapToGrid w:val="0"/>
              </w:rPr>
            </w:pPr>
            <w:ins w:id="17" w:author="svcMRProcess" w:date="2015-11-16T15:59: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FAD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F6F3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E82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5072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6AD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485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B456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349E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4EA0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0EC6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0066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58"/>
    <w:docVar w:name="WAFER_20140114105236" w:val="RemoveTocBookmarks,RemoveUnusedBookmarks,RemoveLanguageTags,UsedStyles,ResetPageSize,UpdateArrangement"/>
    <w:docVar w:name="WAFER_20140114105236_GUID" w:val="50d5e2db-d325-470c-b45a-9069baee34a3"/>
    <w:docVar w:name="WAFER_20140114110521" w:val="RemoveTocBookmarks,RunningHeaders"/>
    <w:docVar w:name="WAFER_20140114110521_GUID" w:val="10823a5b-ee8d-4058-a2c0-d8c7cffa5633"/>
    <w:docVar w:name="WAFER_20140114110540" w:val="RemoveTocBookmarks,RunningHeaders"/>
    <w:docVar w:name="WAFER_20140114110540_GUID" w:val="b26d7d1c-de90-4128-a405-80c221437ecf"/>
    <w:docVar w:name="WAFER_20150731093546" w:val="ResetPageSize,UpdateArrangement,UpdateNTable"/>
    <w:docVar w:name="WAFER_20150731093546_GUID" w:val="5193e1fb-05d3-43ef-bd60-00257edfe61e"/>
    <w:docVar w:name="WAFER_20151116153858" w:val="UpdateStyles,UsedStyles"/>
    <w:docVar w:name="WAFER_20151116153858_GUID" w:val="fe1bfaa3-6eee-49d0-8ada-5ee5841a9a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680</Words>
  <Characters>3128</Characters>
  <Application>Microsoft Office Word</Application>
  <DocSecurity>0</DocSecurity>
  <Lines>130</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Cemeteries Act 1933 00-d0-03 - 00-e0-02</dc:title>
  <dc:subject/>
  <dc:creator/>
  <cp:keywords/>
  <dc:description/>
  <cp:lastModifiedBy>svcMRProcess</cp:lastModifiedBy>
  <cp:revision>2</cp:revision>
  <cp:lastPrinted>1998-01-09T12:42:00Z</cp:lastPrinted>
  <dcterms:created xsi:type="dcterms:W3CDTF">2015-11-16T07:59:00Z</dcterms:created>
  <dcterms:modified xsi:type="dcterms:W3CDTF">2015-11-16T07:59:00Z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1933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00-d0-03</vt:lpwstr>
  </property>
  <property fmtid="{D5CDD505-2E9C-101B-9397-08002B2CF9AE}" pid="7" name="FromAsAtDate">
    <vt:lpwstr>11 Sep 2010</vt:lpwstr>
  </property>
  <property fmtid="{D5CDD505-2E9C-101B-9397-08002B2CF9AE}" pid="8" name="ToSuffix">
    <vt:lpwstr>00-e0-02</vt:lpwstr>
  </property>
  <property fmtid="{D5CDD505-2E9C-101B-9397-08002B2CF9AE}" pid="9" name="ToAsAtDate">
    <vt:lpwstr>04 Dec 2014</vt:lpwstr>
  </property>
</Properties>
</file>