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2014</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8:49:00Z"/>
        </w:trPr>
        <w:tc>
          <w:tcPr>
            <w:tcW w:w="2434" w:type="dxa"/>
            <w:vMerge w:val="restart"/>
          </w:tcPr>
          <w:p>
            <w:pPr>
              <w:rPr>
                <w:del w:id="1" w:author="Master Repository Process" w:date="2021-09-25T08:49:00Z"/>
              </w:rPr>
            </w:pPr>
          </w:p>
        </w:tc>
        <w:tc>
          <w:tcPr>
            <w:tcW w:w="2434" w:type="dxa"/>
            <w:vMerge w:val="restart"/>
          </w:tcPr>
          <w:p>
            <w:pPr>
              <w:jc w:val="center"/>
              <w:rPr>
                <w:del w:id="2" w:author="Master Repository Process" w:date="2021-09-25T08:49:00Z"/>
              </w:rPr>
            </w:pPr>
            <w:del w:id="3" w:author="Master Repository Process" w:date="2021-09-25T08:4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8:49:00Z"/>
              </w:rPr>
            </w:pPr>
            <w:del w:id="5" w:author="Master Repository Process" w:date="2021-09-25T08:4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8:49:00Z"/>
        </w:trPr>
        <w:tc>
          <w:tcPr>
            <w:tcW w:w="2434" w:type="dxa"/>
            <w:vMerge/>
          </w:tcPr>
          <w:p>
            <w:pPr>
              <w:rPr>
                <w:del w:id="7" w:author="Master Repository Process" w:date="2021-09-25T08:49:00Z"/>
              </w:rPr>
            </w:pPr>
          </w:p>
        </w:tc>
        <w:tc>
          <w:tcPr>
            <w:tcW w:w="2434" w:type="dxa"/>
            <w:vMerge/>
          </w:tcPr>
          <w:p>
            <w:pPr>
              <w:jc w:val="center"/>
              <w:rPr>
                <w:del w:id="8" w:author="Master Repository Process" w:date="2021-09-25T08:49:00Z"/>
              </w:rPr>
            </w:pPr>
          </w:p>
        </w:tc>
        <w:tc>
          <w:tcPr>
            <w:tcW w:w="2434" w:type="dxa"/>
          </w:tcPr>
          <w:p>
            <w:pPr>
              <w:keepNext/>
              <w:rPr>
                <w:del w:id="9" w:author="Master Repository Process" w:date="2021-09-25T08:49:00Z"/>
                <w:b/>
                <w:sz w:val="22"/>
              </w:rPr>
            </w:pPr>
            <w:del w:id="10" w:author="Master Repository Process" w:date="2021-09-25T08:49:00Z">
              <w:r>
                <w:rPr>
                  <w:b/>
                  <w:sz w:val="22"/>
                </w:rPr>
                <w:delText>at 21</w:delText>
              </w:r>
              <w:r>
                <w:rPr>
                  <w:b/>
                  <w:snapToGrid w:val="0"/>
                  <w:sz w:val="22"/>
                </w:rPr>
                <w:delText xml:space="preserve"> November 2014</w:delText>
              </w:r>
            </w:del>
          </w:p>
        </w:tc>
      </w:tr>
    </w:tbl>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1" w:name="_Toc406084216"/>
      <w:bookmarkStart w:id="12" w:name="_Toc401907148"/>
      <w:bookmarkStart w:id="13" w:name="_Toc401907629"/>
      <w:bookmarkStart w:id="14" w:name="_Toc403034884"/>
      <w:bookmarkStart w:id="15" w:name="_Toc404949156"/>
      <w:bookmarkStart w:id="16" w:name="_Toc404949371"/>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p>
    <w:p>
      <w:pPr>
        <w:pStyle w:val="Heading5"/>
      </w:pPr>
      <w:bookmarkStart w:id="18" w:name="_Toc406084217"/>
      <w:bookmarkStart w:id="19" w:name="_Toc404949372"/>
      <w:r>
        <w:rPr>
          <w:rStyle w:val="CharSectno"/>
        </w:rPr>
        <w:t>1</w:t>
      </w:r>
      <w:r>
        <w:t>.</w:t>
      </w:r>
      <w:r>
        <w:tab/>
        <w:t>Citation</w:t>
      </w:r>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21" w:name="_Toc406084218"/>
      <w:bookmarkStart w:id="22" w:name="_Toc404949373"/>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These regulations come into operation on 31 July 2006.</w:t>
      </w:r>
    </w:p>
    <w:p>
      <w:pPr>
        <w:pStyle w:val="Heading5"/>
      </w:pPr>
      <w:bookmarkStart w:id="23" w:name="_Toc406084219"/>
      <w:bookmarkStart w:id="24" w:name="_Toc404949374"/>
      <w:r>
        <w:rPr>
          <w:rStyle w:val="CharSectno"/>
        </w:rPr>
        <w:t>3</w:t>
      </w:r>
      <w:r>
        <w:t>.</w:t>
      </w:r>
      <w:r>
        <w:tab/>
        <w:t>Terms used</w:t>
      </w:r>
      <w:bookmarkEnd w:id="23"/>
      <w:bookmarkEnd w:id="24"/>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25" w:name="_Toc406084220"/>
      <w:bookmarkStart w:id="26" w:name="_Toc401907152"/>
      <w:bookmarkStart w:id="27" w:name="_Toc401907633"/>
      <w:bookmarkStart w:id="28" w:name="_Toc403034888"/>
      <w:bookmarkStart w:id="29" w:name="_Toc404949160"/>
      <w:bookmarkStart w:id="30" w:name="_Toc404949375"/>
      <w:r>
        <w:rPr>
          <w:rStyle w:val="CharPartNo"/>
        </w:rPr>
        <w:t>Part 3</w:t>
      </w:r>
      <w:r>
        <w:t> — </w:t>
      </w:r>
      <w:r>
        <w:rPr>
          <w:rStyle w:val="CharPartText"/>
        </w:rPr>
        <w:t>Smoking in enclosed public places</w:t>
      </w:r>
      <w:bookmarkEnd w:id="25"/>
      <w:bookmarkEnd w:id="26"/>
      <w:bookmarkEnd w:id="27"/>
      <w:bookmarkEnd w:id="28"/>
      <w:bookmarkEnd w:id="29"/>
      <w:bookmarkEnd w:id="30"/>
    </w:p>
    <w:p>
      <w:pPr>
        <w:pStyle w:val="Heading3"/>
      </w:pPr>
      <w:bookmarkStart w:id="31" w:name="_Toc406084221"/>
      <w:bookmarkStart w:id="32" w:name="_Toc401907153"/>
      <w:bookmarkStart w:id="33" w:name="_Toc401907634"/>
      <w:bookmarkStart w:id="34" w:name="_Toc403034889"/>
      <w:bookmarkStart w:id="35" w:name="_Toc404949161"/>
      <w:bookmarkStart w:id="36" w:name="_Toc404949376"/>
      <w:r>
        <w:rPr>
          <w:rStyle w:val="CharDivNo"/>
        </w:rPr>
        <w:t>Division 1</w:t>
      </w:r>
      <w:r>
        <w:t> — </w:t>
      </w:r>
      <w:r>
        <w:rPr>
          <w:rStyle w:val="CharDivText"/>
        </w:rPr>
        <w:t>Preliminary</w:t>
      </w:r>
      <w:bookmarkEnd w:id="31"/>
      <w:bookmarkEnd w:id="32"/>
      <w:bookmarkEnd w:id="33"/>
      <w:bookmarkEnd w:id="34"/>
      <w:bookmarkEnd w:id="35"/>
      <w:bookmarkEnd w:id="36"/>
    </w:p>
    <w:p>
      <w:pPr>
        <w:pStyle w:val="Heading5"/>
      </w:pPr>
      <w:bookmarkStart w:id="37" w:name="_Toc406084222"/>
      <w:bookmarkStart w:id="38" w:name="_Toc404949377"/>
      <w:r>
        <w:rPr>
          <w:rStyle w:val="CharSectno"/>
        </w:rPr>
        <w:t>7</w:t>
      </w:r>
      <w:r>
        <w:t>.</w:t>
      </w:r>
      <w:r>
        <w:tab/>
        <w:t>Terms used</w:t>
      </w:r>
      <w:bookmarkEnd w:id="37"/>
      <w:bookmarkEnd w:id="38"/>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9" w:name="_Toc406084223"/>
      <w:bookmarkStart w:id="40" w:name="_Toc404949378"/>
      <w:r>
        <w:rPr>
          <w:rStyle w:val="CharSectno"/>
        </w:rPr>
        <w:t>8</w:t>
      </w:r>
      <w:r>
        <w:t>.</w:t>
      </w:r>
      <w:r>
        <w:tab/>
        <w:t>Enclosed public places</w:t>
      </w:r>
      <w:bookmarkEnd w:id="39"/>
      <w:bookmarkEnd w:id="40"/>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41" w:name="_Toc406084224"/>
      <w:bookmarkStart w:id="42" w:name="_Toc404949379"/>
      <w:r>
        <w:rPr>
          <w:rStyle w:val="CharSectno"/>
        </w:rPr>
        <w:t>9</w:t>
      </w:r>
      <w:r>
        <w:t>.</w:t>
      </w:r>
      <w:r>
        <w:tab/>
        <w:t>Notional vertical surface area</w:t>
      </w:r>
      <w:bookmarkEnd w:id="41"/>
      <w:bookmarkEnd w:id="42"/>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43" w:name="_Toc406084225"/>
      <w:bookmarkStart w:id="44" w:name="_Toc401907157"/>
      <w:bookmarkStart w:id="45" w:name="_Toc401907638"/>
      <w:bookmarkStart w:id="46" w:name="_Toc403034893"/>
      <w:bookmarkStart w:id="47" w:name="_Toc404949165"/>
      <w:bookmarkStart w:id="48" w:name="_Toc404949380"/>
      <w:r>
        <w:rPr>
          <w:rStyle w:val="CharDivNo"/>
        </w:rPr>
        <w:t>Division 2</w:t>
      </w:r>
      <w:r>
        <w:t> — </w:t>
      </w:r>
      <w:r>
        <w:rPr>
          <w:rStyle w:val="CharDivText"/>
        </w:rPr>
        <w:t>Offences</w:t>
      </w:r>
      <w:bookmarkEnd w:id="43"/>
      <w:bookmarkEnd w:id="44"/>
      <w:bookmarkEnd w:id="45"/>
      <w:bookmarkEnd w:id="46"/>
      <w:bookmarkEnd w:id="47"/>
      <w:bookmarkEnd w:id="48"/>
    </w:p>
    <w:p>
      <w:pPr>
        <w:pStyle w:val="Heading5"/>
      </w:pPr>
      <w:bookmarkStart w:id="49" w:name="_Toc406084226"/>
      <w:bookmarkStart w:id="50" w:name="_Toc404949381"/>
      <w:r>
        <w:rPr>
          <w:rStyle w:val="CharSectno"/>
        </w:rPr>
        <w:t>10</w:t>
      </w:r>
      <w:r>
        <w:t>.</w:t>
      </w:r>
      <w:r>
        <w:tab/>
        <w:t>Prohibition on smoking in enclosed public places</w:t>
      </w:r>
      <w:bookmarkEnd w:id="49"/>
      <w:bookmarkEnd w:id="50"/>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51" w:name="_Toc406084227"/>
      <w:bookmarkStart w:id="52" w:name="_Toc404949382"/>
      <w:r>
        <w:rPr>
          <w:rStyle w:val="CharSectno"/>
        </w:rPr>
        <w:t>11</w:t>
      </w:r>
      <w:r>
        <w:t>.</w:t>
      </w:r>
      <w:r>
        <w:tab/>
        <w:t>Offence by occupier</w:t>
      </w:r>
      <w:bookmarkEnd w:id="51"/>
      <w:bookmarkEnd w:id="52"/>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53" w:name="_Toc406084228"/>
      <w:bookmarkStart w:id="54" w:name="_Toc404949383"/>
      <w:r>
        <w:rPr>
          <w:rStyle w:val="CharSectno"/>
        </w:rPr>
        <w:t>12</w:t>
      </w:r>
      <w:r>
        <w:t>.</w:t>
      </w:r>
      <w:r>
        <w:tab/>
        <w:t>Display of no smoking signs in entrances to liquor licensed premises</w:t>
      </w:r>
      <w:bookmarkEnd w:id="53"/>
      <w:bookmarkEnd w:id="5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55" w:name="_Toc406084229"/>
      <w:bookmarkStart w:id="56" w:name="_Toc404949384"/>
      <w:r>
        <w:rPr>
          <w:rStyle w:val="CharSectno"/>
        </w:rPr>
        <w:t>13</w:t>
      </w:r>
      <w:r>
        <w:t>.</w:t>
      </w:r>
      <w:r>
        <w:tab/>
        <w:t>Duty to prevent smoke entering enclosed public places</w:t>
      </w:r>
      <w:bookmarkEnd w:id="55"/>
      <w:bookmarkEnd w:id="56"/>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57" w:name="_Toc406084230"/>
      <w:bookmarkStart w:id="58" w:name="_Toc401907162"/>
      <w:bookmarkStart w:id="59" w:name="_Toc401907643"/>
      <w:bookmarkStart w:id="60" w:name="_Toc403034898"/>
      <w:bookmarkStart w:id="61" w:name="_Toc404949170"/>
      <w:bookmarkStart w:id="62" w:name="_Toc404949385"/>
      <w:r>
        <w:rPr>
          <w:rStyle w:val="CharDivNo"/>
        </w:rPr>
        <w:t>Division 3</w:t>
      </w:r>
      <w:r>
        <w:t> — </w:t>
      </w:r>
      <w:r>
        <w:rPr>
          <w:rStyle w:val="CharDivText"/>
        </w:rPr>
        <w:t>Investigators</w:t>
      </w:r>
      <w:bookmarkEnd w:id="57"/>
      <w:bookmarkEnd w:id="58"/>
      <w:bookmarkEnd w:id="59"/>
      <w:bookmarkEnd w:id="60"/>
      <w:bookmarkEnd w:id="61"/>
      <w:bookmarkEnd w:id="62"/>
    </w:p>
    <w:p>
      <w:pPr>
        <w:pStyle w:val="Heading5"/>
      </w:pPr>
      <w:bookmarkStart w:id="63" w:name="_Toc406084231"/>
      <w:bookmarkStart w:id="64" w:name="_Toc404949386"/>
      <w:r>
        <w:rPr>
          <w:rStyle w:val="CharSectno"/>
        </w:rPr>
        <w:t>14</w:t>
      </w:r>
      <w:r>
        <w:t>.</w:t>
      </w:r>
      <w:r>
        <w:tab/>
        <w:t>Investigators to notify occupiers before taking action under Part 3</w:t>
      </w:r>
      <w:bookmarkEnd w:id="63"/>
      <w:bookmarkEnd w:id="6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65" w:name="_Toc406084232"/>
      <w:bookmarkStart w:id="66" w:name="_Toc404949387"/>
      <w:r>
        <w:rPr>
          <w:rStyle w:val="CharSectno"/>
        </w:rPr>
        <w:t>15</w:t>
      </w:r>
      <w:r>
        <w:t>.</w:t>
      </w:r>
      <w:r>
        <w:tab/>
        <w:t>Directions by investigators</w:t>
      </w:r>
      <w:bookmarkEnd w:id="65"/>
      <w:bookmarkEnd w:id="66"/>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67" w:name="_Toc406084233"/>
      <w:bookmarkStart w:id="68" w:name="_Toc401907165"/>
      <w:bookmarkStart w:id="69" w:name="_Toc401907646"/>
      <w:bookmarkStart w:id="70" w:name="_Toc403034901"/>
      <w:bookmarkStart w:id="71" w:name="_Toc404949173"/>
      <w:bookmarkStart w:id="72" w:name="_Toc404949388"/>
      <w:r>
        <w:rPr>
          <w:rStyle w:val="CharPartNo"/>
        </w:rPr>
        <w:t>Part 4A</w:t>
      </w:r>
      <w:r>
        <w:rPr>
          <w:b w:val="0"/>
        </w:rPr>
        <w:t> — </w:t>
      </w:r>
      <w:r>
        <w:rPr>
          <w:rStyle w:val="CharPartText"/>
        </w:rPr>
        <w:t>Smoking in outdoor public places</w:t>
      </w:r>
      <w:bookmarkEnd w:id="67"/>
      <w:bookmarkEnd w:id="68"/>
      <w:bookmarkEnd w:id="69"/>
      <w:bookmarkEnd w:id="70"/>
      <w:bookmarkEnd w:id="71"/>
      <w:bookmarkEnd w:id="72"/>
    </w:p>
    <w:p>
      <w:pPr>
        <w:pStyle w:val="Footnoteheading"/>
      </w:pPr>
      <w:r>
        <w:tab/>
        <w:t>[Heading inserted in Gazette 10 Sep 2010 p. 4379.]</w:t>
      </w:r>
    </w:p>
    <w:p>
      <w:pPr>
        <w:pStyle w:val="Heading3"/>
      </w:pPr>
      <w:bookmarkStart w:id="73" w:name="_Toc406084234"/>
      <w:bookmarkStart w:id="74" w:name="_Toc401907166"/>
      <w:bookmarkStart w:id="75" w:name="_Toc401907647"/>
      <w:bookmarkStart w:id="76" w:name="_Toc403034902"/>
      <w:bookmarkStart w:id="77" w:name="_Toc404949174"/>
      <w:bookmarkStart w:id="78" w:name="_Toc404949389"/>
      <w:r>
        <w:rPr>
          <w:rStyle w:val="CharDivNo"/>
        </w:rPr>
        <w:t>Division 1</w:t>
      </w:r>
      <w:r>
        <w:t> — </w:t>
      </w:r>
      <w:r>
        <w:rPr>
          <w:rStyle w:val="CharDivText"/>
        </w:rPr>
        <w:t>Outdoor eating areas</w:t>
      </w:r>
      <w:bookmarkEnd w:id="73"/>
      <w:bookmarkEnd w:id="74"/>
      <w:bookmarkEnd w:id="75"/>
      <w:bookmarkEnd w:id="76"/>
      <w:bookmarkEnd w:id="77"/>
      <w:bookmarkEnd w:id="78"/>
    </w:p>
    <w:p>
      <w:pPr>
        <w:pStyle w:val="Footnoteheading"/>
      </w:pPr>
      <w:r>
        <w:tab/>
        <w:t>[Heading inserted in Gazette 10 Sep 2010 p. 4379.]</w:t>
      </w:r>
    </w:p>
    <w:p>
      <w:pPr>
        <w:pStyle w:val="Heading5"/>
      </w:pPr>
      <w:bookmarkStart w:id="79" w:name="_Toc406084235"/>
      <w:bookmarkStart w:id="80" w:name="_Toc404949390"/>
      <w:r>
        <w:rPr>
          <w:rStyle w:val="CharSectno"/>
        </w:rPr>
        <w:t>16A</w:t>
      </w:r>
      <w:r>
        <w:t>.</w:t>
      </w:r>
      <w:r>
        <w:tab/>
        <w:t>Term used: non</w:t>
      </w:r>
      <w:r>
        <w:noBreakHyphen/>
        <w:t>smoking zone</w:t>
      </w:r>
      <w:bookmarkEnd w:id="79"/>
      <w:bookmarkEnd w:id="80"/>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81" w:name="_Toc406084236"/>
      <w:bookmarkStart w:id="82" w:name="_Toc404949391"/>
      <w:r>
        <w:rPr>
          <w:rStyle w:val="CharSectno"/>
        </w:rPr>
        <w:t>16B</w:t>
      </w:r>
      <w:r>
        <w:t>.</w:t>
      </w:r>
      <w:r>
        <w:tab/>
        <w:t>Display of no smoking signs in non</w:t>
      </w:r>
      <w:r>
        <w:noBreakHyphen/>
        <w:t>smoking zones</w:t>
      </w:r>
      <w:bookmarkEnd w:id="81"/>
      <w:bookmarkEnd w:id="82"/>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83" w:name="_Toc406084237"/>
      <w:bookmarkStart w:id="84" w:name="_Toc404949392"/>
      <w:r>
        <w:rPr>
          <w:rStyle w:val="CharSectno"/>
        </w:rPr>
        <w:t>16C</w:t>
      </w:r>
      <w:r>
        <w:t>.</w:t>
      </w:r>
      <w:r>
        <w:tab/>
        <w:t>Investigators to notify occupiers before taking action under Div. 1</w:t>
      </w:r>
      <w:bookmarkEnd w:id="83"/>
      <w:bookmarkEnd w:id="84"/>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85" w:name="_Toc406084238"/>
      <w:bookmarkStart w:id="86" w:name="_Toc401907170"/>
      <w:bookmarkStart w:id="87" w:name="_Toc401907651"/>
      <w:bookmarkStart w:id="88" w:name="_Toc403034906"/>
      <w:bookmarkStart w:id="89" w:name="_Toc404949178"/>
      <w:bookmarkStart w:id="90" w:name="_Toc404949393"/>
      <w:r>
        <w:rPr>
          <w:rStyle w:val="CharDivNo"/>
        </w:rPr>
        <w:t>Division 2</w:t>
      </w:r>
      <w:r>
        <w:t xml:space="preserve"> — </w:t>
      </w:r>
      <w:r>
        <w:rPr>
          <w:rStyle w:val="CharDivText"/>
        </w:rPr>
        <w:t>Miscellaneous</w:t>
      </w:r>
      <w:bookmarkEnd w:id="85"/>
      <w:bookmarkEnd w:id="86"/>
      <w:bookmarkEnd w:id="87"/>
      <w:bookmarkEnd w:id="88"/>
      <w:bookmarkEnd w:id="89"/>
      <w:bookmarkEnd w:id="90"/>
    </w:p>
    <w:p>
      <w:pPr>
        <w:pStyle w:val="Footnoteheading"/>
        <w:spacing w:before="80"/>
      </w:pPr>
      <w:r>
        <w:tab/>
        <w:t>[Heading inserted in Gazette 10 Sep 2010 p. 4381.]</w:t>
      </w:r>
    </w:p>
    <w:p>
      <w:pPr>
        <w:pStyle w:val="Heading5"/>
      </w:pPr>
      <w:bookmarkStart w:id="91" w:name="_Toc406084239"/>
      <w:bookmarkStart w:id="92" w:name="_Toc404949394"/>
      <w:r>
        <w:rPr>
          <w:rStyle w:val="CharSectno"/>
        </w:rPr>
        <w:t>16D</w:t>
      </w:r>
      <w:r>
        <w:t>.</w:t>
      </w:r>
      <w:r>
        <w:tab/>
        <w:t>Directions by investigators</w:t>
      </w:r>
      <w:bookmarkEnd w:id="91"/>
      <w:bookmarkEnd w:id="92"/>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93" w:name="_Toc406084240"/>
      <w:bookmarkStart w:id="94" w:name="_Toc401907172"/>
      <w:bookmarkStart w:id="95" w:name="_Toc401907653"/>
      <w:bookmarkStart w:id="96" w:name="_Toc403034908"/>
      <w:bookmarkStart w:id="97" w:name="_Toc404949180"/>
      <w:bookmarkStart w:id="98" w:name="_Toc404949395"/>
      <w:r>
        <w:rPr>
          <w:rStyle w:val="CharPartNo"/>
        </w:rPr>
        <w:t>Part 4</w:t>
      </w:r>
      <w:r>
        <w:rPr>
          <w:rStyle w:val="CharDivNo"/>
        </w:rPr>
        <w:t> </w:t>
      </w:r>
      <w:r>
        <w:t>—</w:t>
      </w:r>
      <w:r>
        <w:rPr>
          <w:rStyle w:val="CharDivText"/>
        </w:rPr>
        <w:t> </w:t>
      </w:r>
      <w:r>
        <w:rPr>
          <w:rStyle w:val="CharPartText"/>
        </w:rPr>
        <w:t>Western Australian Health Promotion Foundation and administration</w:t>
      </w:r>
      <w:bookmarkEnd w:id="93"/>
      <w:bookmarkEnd w:id="94"/>
      <w:bookmarkEnd w:id="95"/>
      <w:bookmarkEnd w:id="96"/>
      <w:bookmarkEnd w:id="97"/>
      <w:bookmarkEnd w:id="98"/>
    </w:p>
    <w:p>
      <w:pPr>
        <w:pStyle w:val="Heading5"/>
      </w:pPr>
      <w:bookmarkStart w:id="99" w:name="_Toc406084241"/>
      <w:bookmarkStart w:id="100" w:name="_Toc404949396"/>
      <w:r>
        <w:rPr>
          <w:rStyle w:val="CharSectno"/>
        </w:rPr>
        <w:t>16</w:t>
      </w:r>
      <w:r>
        <w:t>.</w:t>
      </w:r>
      <w:r>
        <w:tab/>
        <w:t>Funds of Foundation</w:t>
      </w:r>
      <w:bookmarkEnd w:id="99"/>
      <w:bookmarkEnd w:id="100"/>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101" w:name="_Toc406084242"/>
      <w:bookmarkStart w:id="102" w:name="_Toc401907174"/>
      <w:bookmarkStart w:id="103" w:name="_Toc401907655"/>
      <w:bookmarkStart w:id="104" w:name="_Toc403034910"/>
      <w:bookmarkStart w:id="105" w:name="_Toc404949182"/>
      <w:bookmarkStart w:id="106" w:name="_Toc404949397"/>
      <w:r>
        <w:rPr>
          <w:rStyle w:val="CharPartNo"/>
        </w:rPr>
        <w:t>Part 5</w:t>
      </w:r>
      <w:r>
        <w:rPr>
          <w:b w:val="0"/>
        </w:rPr>
        <w:t> </w:t>
      </w:r>
      <w:r>
        <w:t>—</w:t>
      </w:r>
      <w:r>
        <w:rPr>
          <w:b w:val="0"/>
        </w:rPr>
        <w:t> </w:t>
      </w:r>
      <w:r>
        <w:rPr>
          <w:rStyle w:val="CharPartText"/>
        </w:rPr>
        <w:t>Licensing</w:t>
      </w:r>
      <w:bookmarkEnd w:id="101"/>
      <w:bookmarkEnd w:id="102"/>
      <w:bookmarkEnd w:id="103"/>
      <w:bookmarkEnd w:id="104"/>
      <w:bookmarkEnd w:id="105"/>
      <w:bookmarkEnd w:id="106"/>
    </w:p>
    <w:p>
      <w:pPr>
        <w:pStyle w:val="Footnoteheading"/>
      </w:pPr>
      <w:r>
        <w:tab/>
        <w:t>[Heading inserted in Gazette 28 Feb 2007 p. 644.]</w:t>
      </w:r>
    </w:p>
    <w:p>
      <w:pPr>
        <w:pStyle w:val="Heading3"/>
      </w:pPr>
      <w:bookmarkStart w:id="107" w:name="_Toc406084243"/>
      <w:bookmarkStart w:id="108" w:name="_Toc401907175"/>
      <w:bookmarkStart w:id="109" w:name="_Toc401907656"/>
      <w:bookmarkStart w:id="110" w:name="_Toc403034911"/>
      <w:bookmarkStart w:id="111" w:name="_Toc404949183"/>
      <w:bookmarkStart w:id="112" w:name="_Toc404949398"/>
      <w:r>
        <w:rPr>
          <w:rStyle w:val="CharDivNo"/>
        </w:rPr>
        <w:t>Division 1</w:t>
      </w:r>
      <w:r>
        <w:t> — </w:t>
      </w:r>
      <w:r>
        <w:rPr>
          <w:rStyle w:val="CharDivText"/>
        </w:rPr>
        <w:t>Licensing procedures</w:t>
      </w:r>
      <w:bookmarkEnd w:id="107"/>
      <w:bookmarkEnd w:id="108"/>
      <w:bookmarkEnd w:id="109"/>
      <w:bookmarkEnd w:id="110"/>
      <w:bookmarkEnd w:id="111"/>
      <w:bookmarkEnd w:id="112"/>
    </w:p>
    <w:p>
      <w:pPr>
        <w:pStyle w:val="Footnoteheading"/>
      </w:pPr>
      <w:r>
        <w:tab/>
        <w:t>[Heading inserted in Gazette 28 Feb 2007 p. 644.]</w:t>
      </w:r>
    </w:p>
    <w:p>
      <w:pPr>
        <w:pStyle w:val="Heading5"/>
      </w:pPr>
      <w:bookmarkStart w:id="113" w:name="_Toc406084244"/>
      <w:bookmarkStart w:id="114" w:name="_Toc404949399"/>
      <w:r>
        <w:rPr>
          <w:rStyle w:val="CharSectno"/>
        </w:rPr>
        <w:t>17</w:t>
      </w:r>
      <w:r>
        <w:t>.</w:t>
      </w:r>
      <w:r>
        <w:tab/>
        <w:t>Application for licence — proof of individual’s identity</w:t>
      </w:r>
      <w:bookmarkEnd w:id="113"/>
      <w:bookmarkEnd w:id="114"/>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15" w:name="_Toc406084245"/>
      <w:bookmarkStart w:id="116" w:name="_Toc404949400"/>
      <w:r>
        <w:rPr>
          <w:rStyle w:val="CharSectno"/>
        </w:rPr>
        <w:t>18</w:t>
      </w:r>
      <w:r>
        <w:t>.</w:t>
      </w:r>
      <w:r>
        <w:tab/>
        <w:t>Application for licence — other evidence</w:t>
      </w:r>
      <w:bookmarkEnd w:id="115"/>
      <w:bookmarkEnd w:id="116"/>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17" w:name="_Toc406084246"/>
      <w:bookmarkStart w:id="118" w:name="_Toc404949401"/>
      <w:r>
        <w:rPr>
          <w:rStyle w:val="CharSectno"/>
        </w:rPr>
        <w:t>19</w:t>
      </w:r>
      <w:r>
        <w:t>.</w:t>
      </w:r>
      <w:r>
        <w:tab/>
        <w:t>Application for renewal of licence</w:t>
      </w:r>
      <w:bookmarkEnd w:id="117"/>
      <w:bookmarkEnd w:id="118"/>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19" w:name="_Toc406084247"/>
      <w:bookmarkStart w:id="120" w:name="_Toc404949402"/>
      <w:r>
        <w:rPr>
          <w:rStyle w:val="CharSectno"/>
        </w:rPr>
        <w:t>20</w:t>
      </w:r>
      <w:r>
        <w:t>.</w:t>
      </w:r>
      <w:r>
        <w:tab/>
        <w:t>Conditions of general application</w:t>
      </w:r>
      <w:bookmarkEnd w:id="119"/>
      <w:bookmarkEnd w:id="120"/>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21" w:name="_Toc406084248"/>
      <w:bookmarkStart w:id="122" w:name="_Toc404949403"/>
      <w:r>
        <w:rPr>
          <w:rStyle w:val="CharSectno"/>
        </w:rPr>
        <w:t>21</w:t>
      </w:r>
      <w:r>
        <w:t>.</w:t>
      </w:r>
      <w:r>
        <w:tab/>
        <w:t>Application to amend licence</w:t>
      </w:r>
      <w:bookmarkEnd w:id="121"/>
      <w:bookmarkEnd w:id="122"/>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23" w:name="_Toc406084249"/>
      <w:bookmarkStart w:id="124" w:name="_Toc404949404"/>
      <w:r>
        <w:rPr>
          <w:rStyle w:val="CharSectno"/>
        </w:rPr>
        <w:t>22</w:t>
      </w:r>
      <w:r>
        <w:t>.</w:t>
      </w:r>
      <w:r>
        <w:tab/>
        <w:t>Register of licences</w:t>
      </w:r>
      <w:bookmarkEnd w:id="123"/>
      <w:bookmarkEnd w:id="124"/>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25" w:name="_Toc406084250"/>
      <w:bookmarkStart w:id="126" w:name="_Toc401907182"/>
      <w:bookmarkStart w:id="127" w:name="_Toc401907663"/>
      <w:bookmarkStart w:id="128" w:name="_Toc403034918"/>
      <w:bookmarkStart w:id="129" w:name="_Toc404949190"/>
      <w:bookmarkStart w:id="130" w:name="_Toc404949405"/>
      <w:r>
        <w:rPr>
          <w:rStyle w:val="CharDivNo"/>
        </w:rPr>
        <w:t>Division 2</w:t>
      </w:r>
      <w:r>
        <w:t> — </w:t>
      </w:r>
      <w:r>
        <w:rPr>
          <w:rStyle w:val="CharDivText"/>
        </w:rPr>
        <w:t>Further obligations of licence holders</w:t>
      </w:r>
      <w:bookmarkEnd w:id="125"/>
      <w:bookmarkEnd w:id="126"/>
      <w:bookmarkEnd w:id="127"/>
      <w:bookmarkEnd w:id="128"/>
      <w:bookmarkEnd w:id="129"/>
      <w:bookmarkEnd w:id="130"/>
    </w:p>
    <w:p>
      <w:pPr>
        <w:pStyle w:val="Footnoteheading"/>
      </w:pPr>
      <w:r>
        <w:tab/>
        <w:t>[Heading inserted in Gazette 28 Feb 2007 p. 650.]</w:t>
      </w:r>
    </w:p>
    <w:p>
      <w:pPr>
        <w:pStyle w:val="Heading5"/>
      </w:pPr>
      <w:bookmarkStart w:id="131" w:name="_Toc406084251"/>
      <w:bookmarkStart w:id="132" w:name="_Toc404949406"/>
      <w:r>
        <w:rPr>
          <w:rStyle w:val="CharSectno"/>
        </w:rPr>
        <w:t>23</w:t>
      </w:r>
      <w:r>
        <w:t>.</w:t>
      </w:r>
      <w:r>
        <w:tab/>
        <w:t>Licence details on invoices etc.</w:t>
      </w:r>
      <w:bookmarkEnd w:id="131"/>
      <w:bookmarkEnd w:id="132"/>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33" w:name="_Toc406084252"/>
      <w:bookmarkStart w:id="134" w:name="_Toc404949407"/>
      <w:r>
        <w:rPr>
          <w:rStyle w:val="CharSectno"/>
        </w:rPr>
        <w:t>24</w:t>
      </w:r>
      <w:r>
        <w:t>.</w:t>
      </w:r>
      <w:r>
        <w:tab/>
        <w:t>Records to be kept</w:t>
      </w:r>
      <w:bookmarkEnd w:id="133"/>
      <w:bookmarkEnd w:id="134"/>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35" w:name="_Toc406084253"/>
      <w:bookmarkStart w:id="136" w:name="_Toc401907185"/>
      <w:bookmarkStart w:id="137" w:name="_Toc401907666"/>
      <w:bookmarkStart w:id="138" w:name="_Toc403034921"/>
      <w:bookmarkStart w:id="139" w:name="_Toc404949193"/>
      <w:bookmarkStart w:id="140" w:name="_Toc404949408"/>
      <w:r>
        <w:rPr>
          <w:rStyle w:val="CharDivNo"/>
        </w:rPr>
        <w:t>Division 3</w:t>
      </w:r>
      <w:r>
        <w:t> — </w:t>
      </w:r>
      <w:r>
        <w:rPr>
          <w:rStyle w:val="CharDivText"/>
        </w:rPr>
        <w:t>Fees</w:t>
      </w:r>
      <w:bookmarkEnd w:id="135"/>
      <w:bookmarkEnd w:id="136"/>
      <w:bookmarkEnd w:id="137"/>
      <w:bookmarkEnd w:id="138"/>
      <w:bookmarkEnd w:id="139"/>
      <w:bookmarkEnd w:id="140"/>
    </w:p>
    <w:p>
      <w:pPr>
        <w:pStyle w:val="Footnoteheading"/>
      </w:pPr>
      <w:r>
        <w:tab/>
        <w:t>[Heading inserted in Gazette 28 Feb 2007 p. 651.]</w:t>
      </w:r>
    </w:p>
    <w:p>
      <w:pPr>
        <w:pStyle w:val="Heading5"/>
        <w:rPr>
          <w:snapToGrid w:val="0"/>
        </w:rPr>
      </w:pPr>
      <w:bookmarkStart w:id="141" w:name="_Toc406084254"/>
      <w:bookmarkStart w:id="142" w:name="_Toc404949409"/>
      <w:r>
        <w:rPr>
          <w:rStyle w:val="CharSectno"/>
        </w:rPr>
        <w:t>25</w:t>
      </w:r>
      <w:r>
        <w:rPr>
          <w:snapToGrid w:val="0"/>
        </w:rPr>
        <w:t>.</w:t>
      </w:r>
      <w:r>
        <w:rPr>
          <w:snapToGrid w:val="0"/>
        </w:rPr>
        <w:tab/>
        <w:t>Fees to be paid on application for issue of licence</w:t>
      </w:r>
      <w:bookmarkEnd w:id="141"/>
      <w:bookmarkEnd w:id="142"/>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w:t>
      </w:r>
      <w:del w:id="143" w:author="Master Repository Process" w:date="2021-09-25T08:49:00Z">
        <w:r>
          <w:rPr>
            <w:snapToGrid w:val="0"/>
          </w:rPr>
          <w:delText>51.00</w:delText>
        </w:r>
      </w:del>
      <w:ins w:id="144" w:author="Master Repository Process" w:date="2021-09-25T08:49:00Z">
        <w:r>
          <w:t>56.10</w:t>
        </w:r>
      </w:ins>
      <w:r>
        <w:rPr>
          <w:snapToGrid w:val="0"/>
        </w:rPr>
        <w:t xml:space="preserve"> for a retailer’s licence; and</w:t>
      </w:r>
    </w:p>
    <w:p>
      <w:pPr>
        <w:pStyle w:val="Indenta"/>
        <w:rPr>
          <w:snapToGrid w:val="0"/>
        </w:rPr>
      </w:pPr>
      <w:r>
        <w:tab/>
        <w:t>(b)</w:t>
      </w:r>
      <w:r>
        <w:tab/>
        <w:t>$</w:t>
      </w:r>
      <w:del w:id="145" w:author="Master Repository Process" w:date="2021-09-25T08:49:00Z">
        <w:r>
          <w:rPr>
            <w:snapToGrid w:val="0"/>
          </w:rPr>
          <w:delText>51.00</w:delText>
        </w:r>
      </w:del>
      <w:ins w:id="146" w:author="Master Repository Process" w:date="2021-09-25T08:49:00Z">
        <w:r>
          <w:t>56.10</w:t>
        </w:r>
      </w:ins>
      <w:r>
        <w:rPr>
          <w:snapToGrid w:val="0"/>
        </w:rPr>
        <w:t xml:space="preserve"> </w:t>
      </w:r>
      <w:r>
        <w:t xml:space="preserve">for </w:t>
      </w:r>
      <w:r>
        <w:rPr>
          <w:snapToGrid w:val="0"/>
        </w:rPr>
        <w:t>an indirect seller’s licence; and</w:t>
      </w:r>
    </w:p>
    <w:p>
      <w:pPr>
        <w:pStyle w:val="Indenta"/>
      </w:pPr>
      <w:r>
        <w:tab/>
        <w:t>(c)</w:t>
      </w:r>
      <w:r>
        <w:tab/>
        <w:t>$</w:t>
      </w:r>
      <w:del w:id="147" w:author="Master Repository Process" w:date="2021-09-25T08:49:00Z">
        <w:r>
          <w:delText>127.50</w:delText>
        </w:r>
      </w:del>
      <w:ins w:id="148" w:author="Master Repository Process" w:date="2021-09-25T08:49:00Z">
        <w:r>
          <w:t>140.25</w:t>
        </w:r>
      </w:ins>
      <w:r>
        <w:t xml:space="preserve">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w:t>
      </w:r>
      <w:del w:id="149" w:author="Master Repository Process" w:date="2021-09-25T08:49:00Z">
        <w:r>
          <w:delText>153.00</w:delText>
        </w:r>
      </w:del>
      <w:ins w:id="150" w:author="Master Repository Process" w:date="2021-09-25T08:49:00Z">
        <w:r>
          <w:t>168.30</w:t>
        </w:r>
      </w:ins>
      <w:r>
        <w:t xml:space="preserve"> </w:t>
      </w:r>
      <w:r>
        <w:rPr>
          <w:snapToGrid w:val="0"/>
        </w:rPr>
        <w:t>for a retailer’s licence; and</w:t>
      </w:r>
    </w:p>
    <w:p>
      <w:pPr>
        <w:pStyle w:val="Indenta"/>
        <w:rPr>
          <w:snapToGrid w:val="0"/>
        </w:rPr>
      </w:pPr>
      <w:r>
        <w:tab/>
        <w:t>(b)</w:t>
      </w:r>
      <w:r>
        <w:tab/>
        <w:t>$</w:t>
      </w:r>
      <w:del w:id="151" w:author="Master Repository Process" w:date="2021-09-25T08:49:00Z">
        <w:r>
          <w:delText>153.00</w:delText>
        </w:r>
      </w:del>
      <w:ins w:id="152" w:author="Master Repository Process" w:date="2021-09-25T08:49:00Z">
        <w:r>
          <w:t>168.30</w:t>
        </w:r>
      </w:ins>
      <w:r>
        <w:t xml:space="preserve"> for </w:t>
      </w:r>
      <w:r>
        <w:rPr>
          <w:snapToGrid w:val="0"/>
        </w:rPr>
        <w:t>an indirect seller’s licence; and</w:t>
      </w:r>
    </w:p>
    <w:p>
      <w:pPr>
        <w:pStyle w:val="Indenta"/>
      </w:pPr>
      <w:r>
        <w:tab/>
        <w:t>(c)</w:t>
      </w:r>
      <w:r>
        <w:tab/>
        <w:t>$</w:t>
      </w:r>
      <w:del w:id="153" w:author="Master Repository Process" w:date="2021-09-25T08:49:00Z">
        <w:r>
          <w:delText>383.00</w:delText>
        </w:r>
      </w:del>
      <w:ins w:id="154" w:author="Master Repository Process" w:date="2021-09-25T08:49:00Z">
        <w:r>
          <w:t>421.30</w:t>
        </w:r>
      </w:ins>
      <w:r>
        <w:t xml:space="preserve"> for </w:t>
      </w:r>
      <w:r>
        <w:rPr>
          <w:snapToGrid w:val="0"/>
        </w:rPr>
        <w:t>a wholesaler’s licence.</w:t>
      </w:r>
      <w:r>
        <w:t xml:space="preserve"> </w:t>
      </w:r>
    </w:p>
    <w:p>
      <w:pPr>
        <w:pStyle w:val="Footnotesection"/>
      </w:pPr>
      <w:r>
        <w:tab/>
        <w:t>[Regulation 25 inserted in Gazette 28 Feb 2007 p. 651; amended in Gazette 20 Aug 2010 p. 4069</w:t>
      </w:r>
      <w:r>
        <w:noBreakHyphen/>
        <w:t>70</w:t>
      </w:r>
      <w:ins w:id="155" w:author="Master Repository Process" w:date="2021-09-25T08:49:00Z">
        <w:r>
          <w:t>; 12 Dec 2014 p. 4715</w:t>
        </w:r>
        <w:r>
          <w:noBreakHyphen/>
          <w:t>16</w:t>
        </w:r>
      </w:ins>
      <w:r>
        <w:t>.]</w:t>
      </w:r>
    </w:p>
    <w:p>
      <w:pPr>
        <w:pStyle w:val="Heading5"/>
        <w:rPr>
          <w:snapToGrid w:val="0"/>
        </w:rPr>
      </w:pPr>
      <w:bookmarkStart w:id="156" w:name="_Toc406084255"/>
      <w:bookmarkStart w:id="157" w:name="_Toc404949410"/>
      <w:r>
        <w:rPr>
          <w:rStyle w:val="CharSectno"/>
        </w:rPr>
        <w:t>26</w:t>
      </w:r>
      <w:r>
        <w:rPr>
          <w:snapToGrid w:val="0"/>
        </w:rPr>
        <w:t>.</w:t>
      </w:r>
      <w:r>
        <w:rPr>
          <w:snapToGrid w:val="0"/>
        </w:rPr>
        <w:tab/>
        <w:t>Fees to be paid on application for renewal of licence</w:t>
      </w:r>
      <w:bookmarkEnd w:id="156"/>
      <w:bookmarkEnd w:id="15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w:t>
      </w:r>
      <w:del w:id="158" w:author="Master Repository Process" w:date="2021-09-25T08:49:00Z">
        <w:r>
          <w:rPr>
            <w:snapToGrid w:val="0"/>
          </w:rPr>
          <w:delText>173.50</w:delText>
        </w:r>
      </w:del>
      <w:ins w:id="159" w:author="Master Repository Process" w:date="2021-09-25T08:49:00Z">
        <w:r>
          <w:t>190.85</w:t>
        </w:r>
      </w:ins>
      <w:r>
        <w:rPr>
          <w:snapToGrid w:val="0"/>
        </w:rPr>
        <w:t xml:space="preserve"> for a retailer’s licence; and</w:t>
      </w:r>
    </w:p>
    <w:p>
      <w:pPr>
        <w:pStyle w:val="Indenta"/>
        <w:rPr>
          <w:snapToGrid w:val="0"/>
        </w:rPr>
      </w:pPr>
      <w:r>
        <w:tab/>
        <w:t>(b)</w:t>
      </w:r>
      <w:r>
        <w:tab/>
        <w:t>$</w:t>
      </w:r>
      <w:del w:id="160" w:author="Master Repository Process" w:date="2021-09-25T08:49:00Z">
        <w:r>
          <w:rPr>
            <w:snapToGrid w:val="0"/>
          </w:rPr>
          <w:delText>173.50</w:delText>
        </w:r>
      </w:del>
      <w:ins w:id="161" w:author="Master Repository Process" w:date="2021-09-25T08:49:00Z">
        <w:r>
          <w:t>190.85</w:t>
        </w:r>
      </w:ins>
      <w:r>
        <w:rPr>
          <w:snapToGrid w:val="0"/>
        </w:rPr>
        <w:t xml:space="preserve"> </w:t>
      </w:r>
      <w:r>
        <w:t xml:space="preserve">for </w:t>
      </w:r>
      <w:r>
        <w:rPr>
          <w:snapToGrid w:val="0"/>
        </w:rPr>
        <w:t>an indirect seller’s licence; and</w:t>
      </w:r>
    </w:p>
    <w:p>
      <w:pPr>
        <w:pStyle w:val="Indenta"/>
      </w:pPr>
      <w:r>
        <w:tab/>
        <w:t>(c)</w:t>
      </w:r>
      <w:r>
        <w:tab/>
        <w:t>$</w:t>
      </w:r>
      <w:del w:id="162" w:author="Master Repository Process" w:date="2021-09-25T08:49:00Z">
        <w:r>
          <w:delText>434.00</w:delText>
        </w:r>
      </w:del>
      <w:ins w:id="163" w:author="Master Repository Process" w:date="2021-09-25T08:49:00Z">
        <w:r>
          <w:t>477.40</w:t>
        </w:r>
      </w:ins>
      <w:r>
        <w:t xml:space="preserve"> for </w:t>
      </w:r>
      <w:r>
        <w:rPr>
          <w:snapToGrid w:val="0"/>
        </w:rPr>
        <w:t>a wholesaler’s licence.</w:t>
      </w:r>
      <w:r>
        <w:t xml:space="preserve"> </w:t>
      </w:r>
    </w:p>
    <w:p>
      <w:pPr>
        <w:pStyle w:val="Footnotesection"/>
      </w:pPr>
      <w:r>
        <w:tab/>
        <w:t>[Regulation 26 inserted in Gazette 28 Feb 2007 p. 652; amended in Gazette 20 Aug 2010 p. 4069</w:t>
      </w:r>
      <w:r>
        <w:noBreakHyphen/>
        <w:t>70</w:t>
      </w:r>
      <w:ins w:id="164" w:author="Master Repository Process" w:date="2021-09-25T08:49:00Z">
        <w:r>
          <w:t>; 12 Dec 2014 p. 4716</w:t>
        </w:r>
      </w:ins>
      <w:r>
        <w:t>.]</w:t>
      </w:r>
    </w:p>
    <w:p>
      <w:pPr>
        <w:pStyle w:val="Heading5"/>
        <w:rPr>
          <w:snapToGrid w:val="0"/>
        </w:rPr>
      </w:pPr>
      <w:bookmarkStart w:id="165" w:name="_Toc406084256"/>
      <w:bookmarkStart w:id="166" w:name="_Toc404949411"/>
      <w:r>
        <w:rPr>
          <w:rStyle w:val="CharSectno"/>
        </w:rPr>
        <w:t>27</w:t>
      </w:r>
      <w:r>
        <w:rPr>
          <w:snapToGrid w:val="0"/>
        </w:rPr>
        <w:t>.</w:t>
      </w:r>
      <w:r>
        <w:rPr>
          <w:snapToGrid w:val="0"/>
        </w:rPr>
        <w:tab/>
        <w:t>Fee to be paid on application for amendment of licence</w:t>
      </w:r>
      <w:bookmarkEnd w:id="165"/>
      <w:bookmarkEnd w:id="166"/>
    </w:p>
    <w:p>
      <w:pPr>
        <w:pStyle w:val="Subsection"/>
        <w:rPr>
          <w:snapToGrid w:val="0"/>
        </w:rPr>
      </w:pPr>
      <w:r>
        <w:rPr>
          <w:snapToGrid w:val="0"/>
        </w:rPr>
        <w:tab/>
      </w:r>
      <w:r>
        <w:rPr>
          <w:snapToGrid w:val="0"/>
        </w:rPr>
        <w:tab/>
        <w:t xml:space="preserve">The application fee to be paid for the purposes of section 44(2)(c)(ii) is </w:t>
      </w:r>
      <w:r>
        <w:t>$</w:t>
      </w:r>
      <w:del w:id="167" w:author="Master Repository Process" w:date="2021-09-25T08:49:00Z">
        <w:r>
          <w:rPr>
            <w:snapToGrid w:val="0"/>
          </w:rPr>
          <w:delText>51.00</w:delText>
        </w:r>
      </w:del>
      <w:ins w:id="168" w:author="Master Repository Process" w:date="2021-09-25T08:49:00Z">
        <w:r>
          <w:t>56.10</w:t>
        </w:r>
      </w:ins>
      <w:r>
        <w:rPr>
          <w:snapToGrid w:val="0"/>
        </w:rPr>
        <w:t>.</w:t>
      </w:r>
    </w:p>
    <w:p>
      <w:pPr>
        <w:pStyle w:val="Footnotesection"/>
      </w:pPr>
      <w:r>
        <w:tab/>
        <w:t>[Regulation 27 inserted in Gazette 28 Feb 2007 p. 652; amended in Gazette 20 Aug 2010 p. 4069</w:t>
      </w:r>
      <w:r>
        <w:noBreakHyphen/>
        <w:t>70</w:t>
      </w:r>
      <w:ins w:id="169" w:author="Master Repository Process" w:date="2021-09-25T08:49:00Z">
        <w:r>
          <w:t>; 12 Dec 2014 p. 4716</w:t>
        </w:r>
      </w:ins>
      <w:r>
        <w:t>.]</w:t>
      </w:r>
    </w:p>
    <w:p>
      <w:pPr>
        <w:pStyle w:val="Heading5"/>
        <w:rPr>
          <w:snapToGrid w:val="0"/>
        </w:rPr>
      </w:pPr>
      <w:bookmarkStart w:id="170" w:name="_Toc406084257"/>
      <w:bookmarkStart w:id="171" w:name="_Toc404949412"/>
      <w:r>
        <w:rPr>
          <w:rStyle w:val="CharSectno"/>
        </w:rPr>
        <w:t>28</w:t>
      </w:r>
      <w:r>
        <w:rPr>
          <w:snapToGrid w:val="0"/>
        </w:rPr>
        <w:t>.</w:t>
      </w:r>
      <w:r>
        <w:rPr>
          <w:snapToGrid w:val="0"/>
        </w:rPr>
        <w:tab/>
        <w:t>Fee to be paid for extract of registered particulars</w:t>
      </w:r>
      <w:bookmarkEnd w:id="170"/>
      <w:bookmarkEnd w:id="171"/>
    </w:p>
    <w:p>
      <w:pPr>
        <w:pStyle w:val="Subsection"/>
        <w:rPr>
          <w:snapToGrid w:val="0"/>
        </w:rPr>
      </w:pPr>
      <w:r>
        <w:rPr>
          <w:snapToGrid w:val="0"/>
        </w:rPr>
        <w:tab/>
      </w:r>
      <w:r>
        <w:rPr>
          <w:snapToGrid w:val="0"/>
        </w:rPr>
        <w:tab/>
        <w:t xml:space="preserve">The fee to be paid for the purposes of section 45(3) is </w:t>
      </w:r>
      <w:r>
        <w:t>$</w:t>
      </w:r>
      <w:del w:id="172" w:author="Master Repository Process" w:date="2021-09-25T08:49:00Z">
        <w:r>
          <w:rPr>
            <w:snapToGrid w:val="0"/>
          </w:rPr>
          <w:delText>25.50</w:delText>
        </w:r>
      </w:del>
      <w:ins w:id="173" w:author="Master Repository Process" w:date="2021-09-25T08:49:00Z">
        <w:r>
          <w:t>28.05</w:t>
        </w:r>
      </w:ins>
      <w:r>
        <w:rPr>
          <w:snapToGrid w:val="0"/>
        </w:rPr>
        <w:t>.</w:t>
      </w:r>
    </w:p>
    <w:p>
      <w:pPr>
        <w:pStyle w:val="Footnotesection"/>
      </w:pPr>
      <w:r>
        <w:tab/>
        <w:t>[Regulation 28 inserted in Gazette 28 Feb 2007 p. 652; amended in Gazette 20 Aug 2010 p. 4069</w:t>
      </w:r>
      <w:r>
        <w:noBreakHyphen/>
        <w:t>70</w:t>
      </w:r>
      <w:ins w:id="174" w:author="Master Repository Process" w:date="2021-09-25T08:49:00Z">
        <w:r>
          <w:t>; 12 Dec 2014 p. 4716</w:t>
        </w:r>
      </w:ins>
      <w:r>
        <w:t>.]</w:t>
      </w:r>
    </w:p>
    <w:p>
      <w:pPr>
        <w:pStyle w:val="Heading5"/>
        <w:rPr>
          <w:snapToGrid w:val="0"/>
        </w:rPr>
      </w:pPr>
      <w:bookmarkStart w:id="175" w:name="_Toc406084258"/>
      <w:bookmarkStart w:id="176" w:name="_Toc404949413"/>
      <w:r>
        <w:rPr>
          <w:rStyle w:val="CharSectno"/>
        </w:rPr>
        <w:t>29</w:t>
      </w:r>
      <w:r>
        <w:rPr>
          <w:snapToGrid w:val="0"/>
        </w:rPr>
        <w:t>.</w:t>
      </w:r>
      <w:r>
        <w:rPr>
          <w:snapToGrid w:val="0"/>
        </w:rPr>
        <w:tab/>
        <w:t>Fee to be paid for duplicate licence</w:t>
      </w:r>
      <w:bookmarkEnd w:id="175"/>
      <w:bookmarkEnd w:id="176"/>
    </w:p>
    <w:p>
      <w:pPr>
        <w:pStyle w:val="Subsection"/>
        <w:rPr>
          <w:snapToGrid w:val="0"/>
        </w:rPr>
      </w:pPr>
      <w:r>
        <w:rPr>
          <w:snapToGrid w:val="0"/>
        </w:rPr>
        <w:tab/>
      </w:r>
      <w:r>
        <w:rPr>
          <w:snapToGrid w:val="0"/>
        </w:rPr>
        <w:tab/>
        <w:t xml:space="preserve">The fee to be paid for the purposes of section 54(2) is </w:t>
      </w:r>
      <w:r>
        <w:t>$</w:t>
      </w:r>
      <w:del w:id="177" w:author="Master Repository Process" w:date="2021-09-25T08:49:00Z">
        <w:r>
          <w:rPr>
            <w:snapToGrid w:val="0"/>
          </w:rPr>
          <w:delText>25.50</w:delText>
        </w:r>
      </w:del>
      <w:ins w:id="178" w:author="Master Repository Process" w:date="2021-09-25T08:49:00Z">
        <w:r>
          <w:t>28.05</w:t>
        </w:r>
      </w:ins>
      <w:r>
        <w:rPr>
          <w:snapToGrid w:val="0"/>
        </w:rPr>
        <w:t>.</w:t>
      </w:r>
    </w:p>
    <w:p>
      <w:pPr>
        <w:pStyle w:val="Footnotesection"/>
      </w:pPr>
      <w:r>
        <w:tab/>
        <w:t>[Regulation 29 inserted in Gazette 28 Feb 2007 p. 652; amended in Gazette 20 Aug 2010 p. 4069</w:t>
      </w:r>
      <w:r>
        <w:noBreakHyphen/>
        <w:t>70</w:t>
      </w:r>
      <w:ins w:id="179" w:author="Master Repository Process" w:date="2021-09-25T08:49:00Z">
        <w:r>
          <w:t>; 12 Dec 2014 p. 4716</w:t>
        </w:r>
      </w:ins>
      <w:r>
        <w:t>.]</w:t>
      </w:r>
    </w:p>
    <w:p>
      <w:pPr>
        <w:pStyle w:val="Heading2"/>
      </w:pPr>
      <w:bookmarkStart w:id="180" w:name="_Toc406084259"/>
      <w:bookmarkStart w:id="181" w:name="_Toc401907191"/>
      <w:bookmarkStart w:id="182" w:name="_Toc401907672"/>
      <w:bookmarkStart w:id="183" w:name="_Toc403034927"/>
      <w:bookmarkStart w:id="184" w:name="_Toc404949199"/>
      <w:bookmarkStart w:id="185" w:name="_Toc404949414"/>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80"/>
      <w:bookmarkEnd w:id="181"/>
      <w:bookmarkEnd w:id="182"/>
      <w:bookmarkEnd w:id="183"/>
      <w:bookmarkEnd w:id="184"/>
      <w:bookmarkEnd w:id="185"/>
    </w:p>
    <w:p>
      <w:pPr>
        <w:pStyle w:val="Footnoteheading"/>
      </w:pPr>
      <w:r>
        <w:tab/>
        <w:t>[Heading inserted in Gazette 28 Feb 2007 p. 653.]</w:t>
      </w:r>
    </w:p>
    <w:p>
      <w:pPr>
        <w:pStyle w:val="Heading3"/>
      </w:pPr>
      <w:bookmarkStart w:id="186" w:name="_Toc406084260"/>
      <w:bookmarkStart w:id="187" w:name="_Toc401907192"/>
      <w:bookmarkStart w:id="188" w:name="_Toc401907673"/>
      <w:bookmarkStart w:id="189" w:name="_Toc403034928"/>
      <w:bookmarkStart w:id="190" w:name="_Toc404949200"/>
      <w:bookmarkStart w:id="191" w:name="_Toc404949415"/>
      <w:r>
        <w:rPr>
          <w:rStyle w:val="CharDivNo"/>
        </w:rPr>
        <w:t>Division 1</w:t>
      </w:r>
      <w:r>
        <w:t> — </w:t>
      </w:r>
      <w:r>
        <w:rPr>
          <w:rStyle w:val="CharDivText"/>
        </w:rPr>
        <w:t>Terms used in this Part</w:t>
      </w:r>
      <w:bookmarkEnd w:id="186"/>
      <w:bookmarkEnd w:id="187"/>
      <w:bookmarkEnd w:id="188"/>
      <w:bookmarkEnd w:id="189"/>
      <w:bookmarkEnd w:id="190"/>
      <w:bookmarkEnd w:id="191"/>
    </w:p>
    <w:p>
      <w:pPr>
        <w:pStyle w:val="Footnoteheading"/>
      </w:pPr>
      <w:r>
        <w:tab/>
        <w:t>[Heading inserted in Gazette 28 Feb 2007 p. 653.]</w:t>
      </w:r>
    </w:p>
    <w:p>
      <w:pPr>
        <w:pStyle w:val="Heading5"/>
      </w:pPr>
      <w:bookmarkStart w:id="192" w:name="_Toc406084261"/>
      <w:bookmarkStart w:id="193" w:name="_Toc404949416"/>
      <w:r>
        <w:rPr>
          <w:rStyle w:val="CharSectno"/>
        </w:rPr>
        <w:t>30</w:t>
      </w:r>
      <w:r>
        <w:t>.</w:t>
      </w:r>
      <w:r>
        <w:tab/>
        <w:t>Terms used</w:t>
      </w:r>
      <w:bookmarkEnd w:id="192"/>
      <w:bookmarkEnd w:id="193"/>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94" w:name="_Toc406084262"/>
      <w:bookmarkStart w:id="195" w:name="_Toc401907194"/>
      <w:bookmarkStart w:id="196" w:name="_Toc401907675"/>
      <w:bookmarkStart w:id="197" w:name="_Toc403034930"/>
      <w:bookmarkStart w:id="198" w:name="_Toc404949202"/>
      <w:bookmarkStart w:id="199" w:name="_Toc404949417"/>
      <w:r>
        <w:rPr>
          <w:rStyle w:val="CharDivNo"/>
        </w:rPr>
        <w:t>Division 2</w:t>
      </w:r>
      <w:r>
        <w:t> — </w:t>
      </w:r>
      <w:r>
        <w:rPr>
          <w:rStyle w:val="CharDivText"/>
        </w:rPr>
        <w:t>Proof of age</w:t>
      </w:r>
      <w:bookmarkEnd w:id="194"/>
      <w:bookmarkEnd w:id="195"/>
      <w:bookmarkEnd w:id="196"/>
      <w:bookmarkEnd w:id="197"/>
      <w:bookmarkEnd w:id="198"/>
      <w:bookmarkEnd w:id="199"/>
    </w:p>
    <w:p>
      <w:pPr>
        <w:pStyle w:val="Footnoteheading"/>
      </w:pPr>
      <w:r>
        <w:tab/>
        <w:t>[Heading inserted in Gazette 28 Feb 2007 p. 654.]</w:t>
      </w:r>
    </w:p>
    <w:p>
      <w:pPr>
        <w:pStyle w:val="Heading5"/>
      </w:pPr>
      <w:bookmarkStart w:id="200" w:name="_Toc406084263"/>
      <w:bookmarkStart w:id="201" w:name="_Toc404949418"/>
      <w:r>
        <w:rPr>
          <w:rStyle w:val="CharSectno"/>
        </w:rPr>
        <w:t>31</w:t>
      </w:r>
      <w:r>
        <w:t>.</w:t>
      </w:r>
      <w:r>
        <w:tab/>
        <w:t>Proof of age</w:t>
      </w:r>
      <w:bookmarkEnd w:id="200"/>
      <w:bookmarkEnd w:id="201"/>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202" w:name="_Toc406084264"/>
      <w:bookmarkStart w:id="203" w:name="_Toc401907196"/>
      <w:bookmarkStart w:id="204" w:name="_Toc401907677"/>
      <w:bookmarkStart w:id="205" w:name="_Toc403034932"/>
      <w:bookmarkStart w:id="206" w:name="_Toc404949204"/>
      <w:bookmarkStart w:id="207" w:name="_Toc404949419"/>
      <w:r>
        <w:rPr>
          <w:rStyle w:val="CharDivNo"/>
        </w:rPr>
        <w:t>Division 3</w:t>
      </w:r>
      <w:r>
        <w:t> — </w:t>
      </w:r>
      <w:r>
        <w:rPr>
          <w:rStyle w:val="CharDivText"/>
        </w:rPr>
        <w:t>Labelling of tobacco products</w:t>
      </w:r>
      <w:bookmarkEnd w:id="202"/>
      <w:bookmarkEnd w:id="203"/>
      <w:bookmarkEnd w:id="204"/>
      <w:bookmarkEnd w:id="205"/>
      <w:bookmarkEnd w:id="206"/>
      <w:bookmarkEnd w:id="207"/>
    </w:p>
    <w:p>
      <w:pPr>
        <w:pStyle w:val="Footnoteheading"/>
        <w:keepNext/>
      </w:pPr>
      <w:r>
        <w:tab/>
        <w:t>[Heading inserted in Gazette 28 Feb 2007 p. 655.]</w:t>
      </w:r>
    </w:p>
    <w:p>
      <w:pPr>
        <w:pStyle w:val="Heading5"/>
      </w:pPr>
      <w:bookmarkStart w:id="208" w:name="_Toc406084265"/>
      <w:bookmarkStart w:id="209" w:name="_Toc404949420"/>
      <w:r>
        <w:rPr>
          <w:rStyle w:val="CharSectno"/>
        </w:rPr>
        <w:t>32</w:t>
      </w:r>
      <w:r>
        <w:t>.</w:t>
      </w:r>
      <w:r>
        <w:tab/>
        <w:t>Labelling of tobacco products</w:t>
      </w:r>
      <w:bookmarkEnd w:id="208"/>
      <w:bookmarkEnd w:id="209"/>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210" w:name="_Toc406084266"/>
      <w:bookmarkStart w:id="211" w:name="_Toc401907198"/>
      <w:bookmarkStart w:id="212" w:name="_Toc401907679"/>
      <w:bookmarkStart w:id="213" w:name="_Toc403034934"/>
      <w:bookmarkStart w:id="214" w:name="_Toc404949206"/>
      <w:bookmarkStart w:id="215" w:name="_Toc404949421"/>
      <w:r>
        <w:rPr>
          <w:rStyle w:val="CharDivNo"/>
        </w:rPr>
        <w:t>Division 4</w:t>
      </w:r>
      <w:r>
        <w:t> — </w:t>
      </w:r>
      <w:r>
        <w:rPr>
          <w:rStyle w:val="CharDivText"/>
        </w:rPr>
        <w:t>Location and display of tobacco products and smoking implements</w:t>
      </w:r>
      <w:bookmarkEnd w:id="210"/>
      <w:bookmarkEnd w:id="211"/>
      <w:bookmarkEnd w:id="212"/>
      <w:bookmarkEnd w:id="213"/>
      <w:bookmarkEnd w:id="214"/>
      <w:bookmarkEnd w:id="215"/>
    </w:p>
    <w:p>
      <w:pPr>
        <w:pStyle w:val="Footnoteheading"/>
      </w:pPr>
      <w:r>
        <w:tab/>
        <w:t>[Heading inserted in Gazette 10 Sep 2010 p. 4383.]</w:t>
      </w:r>
    </w:p>
    <w:p>
      <w:pPr>
        <w:pStyle w:val="Heading5"/>
      </w:pPr>
      <w:bookmarkStart w:id="216" w:name="_Toc406084267"/>
      <w:bookmarkStart w:id="217" w:name="_Toc404949422"/>
      <w:r>
        <w:rPr>
          <w:rStyle w:val="CharSectno"/>
        </w:rPr>
        <w:t>33</w:t>
      </w:r>
      <w:r>
        <w:t>.</w:t>
      </w:r>
      <w:r>
        <w:tab/>
        <w:t>Packages that cannot be displayed by specialist retailer</w:t>
      </w:r>
      <w:bookmarkEnd w:id="216"/>
      <w:bookmarkEnd w:id="217"/>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18" w:name="_Toc406084268"/>
      <w:bookmarkStart w:id="219" w:name="_Toc404949423"/>
      <w:r>
        <w:rPr>
          <w:rStyle w:val="CharSectno"/>
        </w:rPr>
        <w:t>34</w:t>
      </w:r>
      <w:r>
        <w:t>.</w:t>
      </w:r>
      <w:r>
        <w:tab/>
        <w:t>Location of tobacco products or smoking implements on retail premises</w:t>
      </w:r>
      <w:bookmarkEnd w:id="218"/>
      <w:bookmarkEnd w:id="219"/>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20" w:name="_Toc406084269"/>
      <w:bookmarkStart w:id="221" w:name="_Toc404949424"/>
      <w:r>
        <w:rPr>
          <w:rStyle w:val="CharSectno"/>
        </w:rPr>
        <w:t>35</w:t>
      </w:r>
      <w:r>
        <w:t>.</w:t>
      </w:r>
      <w:r>
        <w:tab/>
        <w:t>Surface area of displays in cigar cabinets</w:t>
      </w:r>
      <w:bookmarkEnd w:id="220"/>
      <w:bookmarkEnd w:id="221"/>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22" w:name="_Toc406084270"/>
      <w:bookmarkStart w:id="223" w:name="_Toc404949425"/>
      <w:r>
        <w:rPr>
          <w:rStyle w:val="CharSectno"/>
        </w:rPr>
        <w:t>36</w:t>
      </w:r>
      <w:r>
        <w:t>.</w:t>
      </w:r>
      <w:r>
        <w:tab/>
        <w:t>Type of tobacco products on retail premises and manner of storage</w:t>
      </w:r>
      <w:bookmarkEnd w:id="222"/>
      <w:bookmarkEnd w:id="223"/>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24" w:name="_Toc406084271"/>
      <w:bookmarkStart w:id="225" w:name="_Toc404949426"/>
      <w:r>
        <w:rPr>
          <w:rStyle w:val="CharSectno"/>
        </w:rPr>
        <w:t>37</w:t>
      </w:r>
      <w:r>
        <w:t>.</w:t>
      </w:r>
      <w:r>
        <w:tab/>
        <w:t>Display of tobacco products, smoking implements or product lines by specialist retailer</w:t>
      </w:r>
      <w:bookmarkEnd w:id="224"/>
      <w:bookmarkEnd w:id="225"/>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26" w:name="_Toc406084272"/>
      <w:bookmarkStart w:id="227" w:name="_Toc401907204"/>
      <w:bookmarkStart w:id="228" w:name="_Toc401907685"/>
      <w:bookmarkStart w:id="229" w:name="_Toc403034940"/>
      <w:bookmarkStart w:id="230" w:name="_Toc404949212"/>
      <w:bookmarkStart w:id="231" w:name="_Toc404949427"/>
      <w:r>
        <w:rPr>
          <w:rStyle w:val="CharDivNo"/>
        </w:rPr>
        <w:t>Division 5</w:t>
      </w:r>
      <w:r>
        <w:t> — </w:t>
      </w:r>
      <w:r>
        <w:rPr>
          <w:rStyle w:val="CharDivText"/>
        </w:rPr>
        <w:t>Information about availability, price of tobacco products or smoking implements</w:t>
      </w:r>
      <w:bookmarkEnd w:id="226"/>
      <w:bookmarkEnd w:id="227"/>
      <w:bookmarkEnd w:id="228"/>
      <w:bookmarkEnd w:id="229"/>
      <w:bookmarkEnd w:id="230"/>
      <w:bookmarkEnd w:id="231"/>
    </w:p>
    <w:p>
      <w:pPr>
        <w:pStyle w:val="Footnoteheading"/>
      </w:pPr>
      <w:r>
        <w:tab/>
        <w:t>[Heading inserted in Gazette 28 Feb 2007 p. 659; amended in Gazette 10 Sep 2010 p. 4388.]</w:t>
      </w:r>
    </w:p>
    <w:p>
      <w:pPr>
        <w:pStyle w:val="Heading5"/>
      </w:pPr>
      <w:bookmarkStart w:id="232" w:name="_Toc406084273"/>
      <w:bookmarkStart w:id="233" w:name="_Toc404949428"/>
      <w:r>
        <w:rPr>
          <w:rStyle w:val="CharSectno"/>
        </w:rPr>
        <w:t>39</w:t>
      </w:r>
      <w:r>
        <w:t>.</w:t>
      </w:r>
      <w:r>
        <w:tab/>
        <w:t>Information signs about availability or prices of tobacco products or smoking implements sold by retailers — location</w:t>
      </w:r>
      <w:bookmarkEnd w:id="232"/>
      <w:bookmarkEnd w:id="233"/>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34" w:name="_Toc406084274"/>
      <w:bookmarkStart w:id="235" w:name="_Toc404949429"/>
      <w:r>
        <w:rPr>
          <w:rStyle w:val="CharSectno"/>
        </w:rPr>
        <w:t>40</w:t>
      </w:r>
      <w:r>
        <w:t>.</w:t>
      </w:r>
      <w:r>
        <w:tab/>
        <w:t>Information signs about availability or prices of tobacco products or smoking implements sold by retailers — contents</w:t>
      </w:r>
      <w:bookmarkEnd w:id="234"/>
      <w:bookmarkEnd w:id="235"/>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36" w:name="_Toc406084275"/>
      <w:bookmarkStart w:id="237" w:name="_Toc404949430"/>
      <w:r>
        <w:rPr>
          <w:rStyle w:val="CharSectno"/>
        </w:rPr>
        <w:t>41</w:t>
      </w:r>
      <w:r>
        <w:t>.</w:t>
      </w:r>
      <w:r>
        <w:tab/>
        <w:t>Information signs about availability or prices of tobacco products or smoking implements sold by retailers — specifications</w:t>
      </w:r>
      <w:bookmarkEnd w:id="236"/>
      <w:bookmarkEnd w:id="237"/>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38" w:name="_Toc406084276"/>
      <w:bookmarkStart w:id="239" w:name="_Toc404949431"/>
      <w:r>
        <w:rPr>
          <w:rStyle w:val="CharSectno"/>
        </w:rPr>
        <w:t>42</w:t>
      </w:r>
      <w:r>
        <w:t>.</w:t>
      </w:r>
      <w:r>
        <w:tab/>
        <w:t>Information signs about availability or prices of tobacco products sold by retailers — cigar cabinets</w:t>
      </w:r>
      <w:bookmarkEnd w:id="238"/>
      <w:bookmarkEnd w:id="239"/>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40" w:name="_Toc406084277"/>
      <w:bookmarkStart w:id="241" w:name="_Toc404949432"/>
      <w:r>
        <w:rPr>
          <w:rStyle w:val="CharSectno"/>
        </w:rPr>
        <w:t>43</w:t>
      </w:r>
      <w:r>
        <w:t>.</w:t>
      </w:r>
      <w:r>
        <w:tab/>
        <w:t>Price tickets for tobacco products sold by retailers — location and numbers</w:t>
      </w:r>
      <w:bookmarkEnd w:id="240"/>
      <w:bookmarkEnd w:id="241"/>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42" w:name="_Toc406084278"/>
      <w:bookmarkStart w:id="243" w:name="_Toc404949433"/>
      <w:r>
        <w:rPr>
          <w:rStyle w:val="CharSectno"/>
        </w:rPr>
        <w:t>44</w:t>
      </w:r>
      <w:r>
        <w:t>.</w:t>
      </w:r>
      <w:r>
        <w:tab/>
        <w:t>Price tickets for tobacco products sold by retailers — contents</w:t>
      </w:r>
      <w:bookmarkEnd w:id="242"/>
      <w:bookmarkEnd w:id="243"/>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44" w:name="_Toc406084279"/>
      <w:bookmarkStart w:id="245" w:name="_Toc404949434"/>
      <w:r>
        <w:rPr>
          <w:rStyle w:val="CharSectno"/>
        </w:rPr>
        <w:t>45</w:t>
      </w:r>
      <w:r>
        <w:t>.</w:t>
      </w:r>
      <w:r>
        <w:tab/>
        <w:t>Price tickets for tobacco products sold by retailers — specifications</w:t>
      </w:r>
      <w:bookmarkEnd w:id="244"/>
      <w:bookmarkEnd w:id="245"/>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46" w:name="_Toc406084280"/>
      <w:bookmarkStart w:id="247" w:name="_Toc404949435"/>
      <w:r>
        <w:rPr>
          <w:rStyle w:val="CharSectno"/>
        </w:rPr>
        <w:t>46</w:t>
      </w:r>
      <w:r>
        <w:t>.</w:t>
      </w:r>
      <w:r>
        <w:tab/>
        <w:t>Price lists for tobacco products or smoking implements sold by retailers</w:t>
      </w:r>
      <w:bookmarkEnd w:id="246"/>
      <w:bookmarkEnd w:id="247"/>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48" w:name="_Toc406084281"/>
      <w:bookmarkStart w:id="249" w:name="_Toc404949436"/>
      <w:r>
        <w:rPr>
          <w:rStyle w:val="CharSectno"/>
        </w:rPr>
        <w:t>47</w:t>
      </w:r>
      <w:r>
        <w:t>.</w:t>
      </w:r>
      <w:r>
        <w:tab/>
        <w:t>Facsimiles of tobacco products displayed on price list</w:t>
      </w:r>
      <w:bookmarkEnd w:id="248"/>
      <w:bookmarkEnd w:id="249"/>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50" w:name="_Toc406084282"/>
      <w:bookmarkStart w:id="251" w:name="_Toc401907214"/>
      <w:bookmarkStart w:id="252" w:name="_Toc401907695"/>
      <w:bookmarkStart w:id="253" w:name="_Toc403034950"/>
      <w:bookmarkStart w:id="254" w:name="_Toc404949222"/>
      <w:bookmarkStart w:id="255" w:name="_Toc404949437"/>
      <w:r>
        <w:rPr>
          <w:rStyle w:val="CharDivNo"/>
        </w:rPr>
        <w:t>Division 6</w:t>
      </w:r>
      <w:r>
        <w:t> — </w:t>
      </w:r>
      <w:r>
        <w:rPr>
          <w:rStyle w:val="CharDivText"/>
        </w:rPr>
        <w:t>Warnings</w:t>
      </w:r>
      <w:bookmarkEnd w:id="250"/>
      <w:bookmarkEnd w:id="251"/>
      <w:bookmarkEnd w:id="252"/>
      <w:bookmarkEnd w:id="253"/>
      <w:bookmarkEnd w:id="254"/>
      <w:bookmarkEnd w:id="255"/>
    </w:p>
    <w:p>
      <w:pPr>
        <w:pStyle w:val="Footnoteheading"/>
        <w:spacing w:before="100"/>
      </w:pPr>
      <w:r>
        <w:tab/>
        <w:t>[Heading inserted in Gazette 28 Feb 2007 p. 666.]</w:t>
      </w:r>
    </w:p>
    <w:p>
      <w:pPr>
        <w:pStyle w:val="Heading5"/>
        <w:spacing w:before="180"/>
      </w:pPr>
      <w:bookmarkStart w:id="256" w:name="_Toc406084283"/>
      <w:bookmarkStart w:id="257" w:name="_Toc404949438"/>
      <w:r>
        <w:rPr>
          <w:rStyle w:val="CharSectno"/>
        </w:rPr>
        <w:t>48</w:t>
      </w:r>
      <w:r>
        <w:t>.</w:t>
      </w:r>
      <w:r>
        <w:tab/>
        <w:t>Warning signs about purchase of tobacco products etc. to underage persons — location</w:t>
      </w:r>
      <w:bookmarkEnd w:id="256"/>
      <w:bookmarkEnd w:id="257"/>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58" w:name="_Toc406084284"/>
      <w:bookmarkStart w:id="259" w:name="_Toc404949439"/>
      <w:r>
        <w:rPr>
          <w:rStyle w:val="CharSectno"/>
        </w:rPr>
        <w:t>49</w:t>
      </w:r>
      <w:r>
        <w:t>.</w:t>
      </w:r>
      <w:r>
        <w:tab/>
        <w:t>Warning signs about purchase of tobacco products etc. to underage persons — content and specifications</w:t>
      </w:r>
      <w:bookmarkEnd w:id="258"/>
      <w:bookmarkEnd w:id="25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60" w:name="_Toc406084285"/>
      <w:bookmarkStart w:id="261" w:name="_Toc404949440"/>
      <w:r>
        <w:rPr>
          <w:rStyle w:val="CharSectno"/>
        </w:rPr>
        <w:t>50</w:t>
      </w:r>
      <w:r>
        <w:t>.</w:t>
      </w:r>
      <w:r>
        <w:tab/>
        <w:t>Health warning signs — location</w:t>
      </w:r>
      <w:bookmarkEnd w:id="260"/>
      <w:bookmarkEnd w:id="26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62" w:name="_Toc406084286"/>
      <w:bookmarkStart w:id="263" w:name="_Toc404949441"/>
      <w:r>
        <w:rPr>
          <w:rStyle w:val="CharSectno"/>
        </w:rPr>
        <w:t>51</w:t>
      </w:r>
      <w:r>
        <w:t>.</w:t>
      </w:r>
      <w:r>
        <w:tab/>
        <w:t>Health warning signs — content and specifications</w:t>
      </w:r>
      <w:bookmarkEnd w:id="262"/>
      <w:bookmarkEnd w:id="263"/>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64" w:name="_Toc406084287"/>
      <w:bookmarkStart w:id="265" w:name="_Toc401907219"/>
      <w:bookmarkStart w:id="266" w:name="_Toc401907700"/>
      <w:bookmarkStart w:id="267" w:name="_Toc403034955"/>
      <w:bookmarkStart w:id="268" w:name="_Toc404949227"/>
      <w:bookmarkStart w:id="269" w:name="_Toc404949442"/>
      <w:r>
        <w:rPr>
          <w:rStyle w:val="CharDivNo"/>
        </w:rPr>
        <w:t>Division 7</w:t>
      </w:r>
      <w:r>
        <w:t> — </w:t>
      </w:r>
      <w:r>
        <w:rPr>
          <w:rStyle w:val="CharDivText"/>
        </w:rPr>
        <w:t>Information and advice</w:t>
      </w:r>
      <w:bookmarkEnd w:id="264"/>
      <w:bookmarkEnd w:id="265"/>
      <w:bookmarkEnd w:id="266"/>
      <w:bookmarkEnd w:id="267"/>
      <w:bookmarkEnd w:id="268"/>
      <w:bookmarkEnd w:id="269"/>
    </w:p>
    <w:p>
      <w:pPr>
        <w:pStyle w:val="Footnoteheading"/>
      </w:pPr>
      <w:r>
        <w:tab/>
        <w:t>[Heading inserted in Gazette 28 Feb 2007 p. 668.]</w:t>
      </w:r>
    </w:p>
    <w:p>
      <w:pPr>
        <w:pStyle w:val="Heading5"/>
      </w:pPr>
      <w:bookmarkStart w:id="270" w:name="_Toc406084288"/>
      <w:bookmarkStart w:id="271" w:name="_Toc404949443"/>
      <w:r>
        <w:rPr>
          <w:rStyle w:val="CharSectno"/>
        </w:rPr>
        <w:t>52</w:t>
      </w:r>
      <w:r>
        <w:t>.</w:t>
      </w:r>
      <w:r>
        <w:tab/>
        <w:t>Retailers providing purchasers of tobacco products with approved guides</w:t>
      </w:r>
      <w:bookmarkEnd w:id="270"/>
      <w:bookmarkEnd w:id="271"/>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72" w:name="_Toc406084289"/>
      <w:bookmarkStart w:id="273" w:name="_Toc404949444"/>
      <w:r>
        <w:rPr>
          <w:rStyle w:val="CharSectno"/>
        </w:rPr>
        <w:t>53</w:t>
      </w:r>
      <w:r>
        <w:t>.</w:t>
      </w:r>
      <w:r>
        <w:tab/>
        <w:t>Retailers making approved guides available to purchasers of tobacco products</w:t>
      </w:r>
      <w:bookmarkEnd w:id="272"/>
      <w:bookmarkEnd w:id="273"/>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74" w:name="_Toc406084290"/>
      <w:bookmarkStart w:id="275" w:name="_Toc404949445"/>
      <w:r>
        <w:rPr>
          <w:rStyle w:val="CharSectno"/>
        </w:rPr>
        <w:t>54</w:t>
      </w:r>
      <w:r>
        <w:t>.</w:t>
      </w:r>
      <w:r>
        <w:tab/>
        <w:t>Wholesalers providing retailers with approved guides</w:t>
      </w:r>
      <w:bookmarkEnd w:id="274"/>
      <w:bookmarkEnd w:id="275"/>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76" w:name="_Toc406084291"/>
      <w:bookmarkStart w:id="277" w:name="_Toc401907223"/>
      <w:bookmarkStart w:id="278" w:name="_Toc401907704"/>
      <w:bookmarkStart w:id="279" w:name="_Toc403034959"/>
      <w:bookmarkStart w:id="280" w:name="_Toc404949231"/>
      <w:bookmarkStart w:id="281" w:name="_Toc404949446"/>
      <w:r>
        <w:rPr>
          <w:rStyle w:val="CharDivNo"/>
        </w:rPr>
        <w:t>Division 8</w:t>
      </w:r>
      <w:r>
        <w:t> — </w:t>
      </w:r>
      <w:r>
        <w:rPr>
          <w:rStyle w:val="CharDivText"/>
        </w:rPr>
        <w:t>Vending machines</w:t>
      </w:r>
      <w:bookmarkEnd w:id="276"/>
      <w:bookmarkEnd w:id="277"/>
      <w:bookmarkEnd w:id="278"/>
      <w:bookmarkEnd w:id="279"/>
      <w:bookmarkEnd w:id="280"/>
      <w:bookmarkEnd w:id="281"/>
    </w:p>
    <w:p>
      <w:pPr>
        <w:pStyle w:val="Footnoteheading"/>
      </w:pPr>
      <w:r>
        <w:tab/>
        <w:t>[Heading inserted in Gazette 28 Feb 2007 p. 669.]</w:t>
      </w:r>
    </w:p>
    <w:p>
      <w:pPr>
        <w:pStyle w:val="Heading5"/>
      </w:pPr>
      <w:bookmarkStart w:id="282" w:name="_Toc406084292"/>
      <w:bookmarkStart w:id="283" w:name="_Toc404949447"/>
      <w:r>
        <w:rPr>
          <w:rStyle w:val="CharSectno"/>
        </w:rPr>
        <w:t>55</w:t>
      </w:r>
      <w:r>
        <w:t>.</w:t>
      </w:r>
      <w:r>
        <w:tab/>
        <w:t>Number of vending machines</w:t>
      </w:r>
      <w:bookmarkEnd w:id="282"/>
      <w:bookmarkEnd w:id="283"/>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84" w:name="_Toc406084293"/>
      <w:bookmarkStart w:id="285" w:name="_Toc404949448"/>
      <w:r>
        <w:rPr>
          <w:rStyle w:val="CharSectno"/>
        </w:rPr>
        <w:t>56</w:t>
      </w:r>
      <w:r>
        <w:t>.</w:t>
      </w:r>
      <w:r>
        <w:tab/>
        <w:t>Location of vending machines</w:t>
      </w:r>
      <w:bookmarkEnd w:id="284"/>
      <w:bookmarkEnd w:id="285"/>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86" w:name="_Toc406084294"/>
      <w:bookmarkStart w:id="287" w:name="_Toc401907226"/>
      <w:bookmarkStart w:id="288" w:name="_Toc401907707"/>
      <w:bookmarkStart w:id="289" w:name="_Toc403034962"/>
      <w:bookmarkStart w:id="290" w:name="_Toc404949234"/>
      <w:bookmarkStart w:id="291" w:name="_Toc404949449"/>
      <w:r>
        <w:rPr>
          <w:rStyle w:val="CharDivNo"/>
        </w:rPr>
        <w:t>Division 9</w:t>
      </w:r>
      <w:r>
        <w:t> — </w:t>
      </w:r>
      <w:r>
        <w:rPr>
          <w:rStyle w:val="CharDivText"/>
        </w:rPr>
        <w:t>Smokeless tobacco</w:t>
      </w:r>
      <w:bookmarkEnd w:id="286"/>
      <w:bookmarkEnd w:id="287"/>
      <w:bookmarkEnd w:id="288"/>
      <w:bookmarkEnd w:id="289"/>
      <w:bookmarkEnd w:id="290"/>
      <w:bookmarkEnd w:id="291"/>
    </w:p>
    <w:p>
      <w:pPr>
        <w:pStyle w:val="Footnoteheading"/>
      </w:pPr>
      <w:r>
        <w:tab/>
        <w:t>[Heading inserted in Gazette 28 Feb 2007 p. 670.]</w:t>
      </w:r>
    </w:p>
    <w:p>
      <w:pPr>
        <w:pStyle w:val="Heading5"/>
      </w:pPr>
      <w:bookmarkStart w:id="292" w:name="_Toc406084295"/>
      <w:bookmarkStart w:id="293" w:name="_Toc404949450"/>
      <w:r>
        <w:rPr>
          <w:rStyle w:val="CharSectno"/>
        </w:rPr>
        <w:t>57</w:t>
      </w:r>
      <w:r>
        <w:t>.</w:t>
      </w:r>
      <w:r>
        <w:tab/>
        <w:t>Smokeless tobacco</w:t>
      </w:r>
      <w:bookmarkEnd w:id="292"/>
      <w:bookmarkEnd w:id="293"/>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94" w:name="_Toc406084296"/>
      <w:bookmarkStart w:id="295" w:name="_Toc401907228"/>
      <w:bookmarkStart w:id="296" w:name="_Toc401907709"/>
      <w:bookmarkStart w:id="297" w:name="_Toc403034964"/>
      <w:bookmarkStart w:id="298" w:name="_Toc404949236"/>
      <w:bookmarkStart w:id="299" w:name="_Toc404949451"/>
      <w:r>
        <w:rPr>
          <w:rStyle w:val="CharPartNo"/>
        </w:rPr>
        <w:t>Part 7</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p>
    <w:p>
      <w:pPr>
        <w:pStyle w:val="Footnoteheading"/>
      </w:pPr>
      <w:r>
        <w:tab/>
        <w:t>[Heading inserted in Gazette 28 Feb 2007 p. 671.]</w:t>
      </w:r>
    </w:p>
    <w:p>
      <w:pPr>
        <w:pStyle w:val="Heading5"/>
      </w:pPr>
      <w:bookmarkStart w:id="300" w:name="_Toc406084297"/>
      <w:bookmarkStart w:id="301" w:name="_Toc404949452"/>
      <w:r>
        <w:rPr>
          <w:rStyle w:val="CharSectno"/>
        </w:rPr>
        <w:t>58</w:t>
      </w:r>
      <w:r>
        <w:t>.</w:t>
      </w:r>
      <w:r>
        <w:tab/>
        <w:t>Confidentiality — exceptions</w:t>
      </w:r>
      <w:bookmarkEnd w:id="300"/>
      <w:bookmarkEnd w:id="301"/>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302" w:name="_Toc406084298"/>
      <w:bookmarkStart w:id="303" w:name="_Toc404949453"/>
      <w:r>
        <w:rPr>
          <w:rStyle w:val="CharSectno"/>
        </w:rPr>
        <w:t>59</w:t>
      </w:r>
      <w:r>
        <w:t>.</w:t>
      </w:r>
      <w:r>
        <w:tab/>
        <w:t>Restricted investigators</w:t>
      </w:r>
      <w:bookmarkEnd w:id="302"/>
      <w:bookmarkEnd w:id="303"/>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304" w:name="_Toc406084299"/>
      <w:bookmarkStart w:id="305" w:name="_Toc404949454"/>
      <w:r>
        <w:rPr>
          <w:rStyle w:val="CharSectno"/>
        </w:rPr>
        <w:t>60</w:t>
      </w:r>
      <w:r>
        <w:t>.</w:t>
      </w:r>
      <w:r>
        <w:tab/>
        <w:t>Prescribed offences and modified penalties</w:t>
      </w:r>
      <w:bookmarkEnd w:id="304"/>
      <w:bookmarkEnd w:id="305"/>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306" w:name="_Toc406084300"/>
      <w:bookmarkStart w:id="307" w:name="_Toc404949455"/>
      <w:r>
        <w:rPr>
          <w:rStyle w:val="CharSectno"/>
        </w:rPr>
        <w:t>61</w:t>
      </w:r>
      <w:r>
        <w:t>.</w:t>
      </w:r>
      <w:r>
        <w:tab/>
        <w:t>Authorised officers and approved officers</w:t>
      </w:r>
      <w:bookmarkEnd w:id="306"/>
      <w:bookmarkEnd w:id="307"/>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308" w:name="_Toc406084301"/>
      <w:bookmarkStart w:id="309" w:name="_Toc404949456"/>
      <w:r>
        <w:rPr>
          <w:rStyle w:val="CharSectno"/>
        </w:rPr>
        <w:t>62</w:t>
      </w:r>
      <w:r>
        <w:t>.</w:t>
      </w:r>
      <w:r>
        <w:tab/>
        <w:t>Forms</w:t>
      </w:r>
      <w:bookmarkEnd w:id="308"/>
      <w:bookmarkEnd w:id="309"/>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0" w:name="_Toc406084302"/>
      <w:bookmarkStart w:id="311" w:name="_Toc401907234"/>
      <w:bookmarkStart w:id="312" w:name="_Toc401907715"/>
      <w:bookmarkStart w:id="313" w:name="_Toc403034970"/>
      <w:bookmarkStart w:id="314" w:name="_Toc404949242"/>
      <w:bookmarkStart w:id="315" w:name="_Toc404949457"/>
      <w:r>
        <w:rPr>
          <w:rStyle w:val="CharSchNo"/>
        </w:rPr>
        <w:t>Schedule 1</w:t>
      </w:r>
      <w:r>
        <w:t> — </w:t>
      </w:r>
      <w:r>
        <w:rPr>
          <w:rStyle w:val="CharSchText"/>
        </w:rPr>
        <w:t>Warning signs about purchase of tobacco products</w:t>
      </w:r>
      <w:bookmarkEnd w:id="310"/>
      <w:bookmarkEnd w:id="311"/>
      <w:bookmarkEnd w:id="312"/>
      <w:bookmarkEnd w:id="313"/>
      <w:bookmarkEnd w:id="314"/>
      <w:bookmarkEnd w:id="315"/>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16" w:name="_Toc406084303"/>
      <w:bookmarkStart w:id="317" w:name="_Toc401907235"/>
      <w:bookmarkStart w:id="318" w:name="_Toc401907716"/>
      <w:bookmarkStart w:id="319" w:name="_Toc403034971"/>
      <w:bookmarkStart w:id="320" w:name="_Toc404949243"/>
      <w:bookmarkStart w:id="321" w:name="_Toc404949458"/>
      <w:r>
        <w:rPr>
          <w:rStyle w:val="CharSchNo"/>
        </w:rPr>
        <w:t>Schedule 2</w:t>
      </w:r>
      <w:r>
        <w:t> — </w:t>
      </w:r>
      <w:r>
        <w:rPr>
          <w:rStyle w:val="CharSchText"/>
        </w:rPr>
        <w:t>Health warning signs, general and vending machines</w:t>
      </w:r>
      <w:bookmarkEnd w:id="316"/>
      <w:bookmarkEnd w:id="317"/>
      <w:bookmarkEnd w:id="318"/>
      <w:bookmarkEnd w:id="319"/>
      <w:bookmarkEnd w:id="320"/>
      <w:bookmarkEnd w:id="321"/>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322" w:name="_Toc406084304"/>
      <w:bookmarkStart w:id="323" w:name="_Toc401907236"/>
      <w:bookmarkStart w:id="324" w:name="_Toc401907717"/>
      <w:bookmarkStart w:id="325" w:name="_Toc403034972"/>
      <w:bookmarkStart w:id="326" w:name="_Toc404949244"/>
      <w:bookmarkStart w:id="327" w:name="_Toc404949459"/>
      <w:r>
        <w:rPr>
          <w:rStyle w:val="CharSchNo"/>
        </w:rPr>
        <w:t>Schedule 3</w:t>
      </w:r>
      <w:r>
        <w:t> — </w:t>
      </w:r>
      <w:r>
        <w:rPr>
          <w:rStyle w:val="CharSchText"/>
        </w:rPr>
        <w:t>Health warning signs — cigar cabinets, humidified rooms</w:t>
      </w:r>
      <w:bookmarkEnd w:id="322"/>
      <w:bookmarkEnd w:id="323"/>
      <w:bookmarkEnd w:id="324"/>
      <w:bookmarkEnd w:id="325"/>
      <w:bookmarkEnd w:id="326"/>
      <w:bookmarkEnd w:id="327"/>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28" w:name="_Toc406084305"/>
      <w:bookmarkStart w:id="329" w:name="_Toc401907237"/>
      <w:bookmarkStart w:id="330" w:name="_Toc401907718"/>
      <w:bookmarkStart w:id="331" w:name="_Toc403034973"/>
      <w:bookmarkStart w:id="332" w:name="_Toc404949245"/>
      <w:bookmarkStart w:id="333" w:name="_Toc404949460"/>
      <w:r>
        <w:rPr>
          <w:rStyle w:val="CharSchNo"/>
        </w:rPr>
        <w:t>Schedule 4</w:t>
      </w:r>
      <w:r>
        <w:t> — </w:t>
      </w:r>
      <w:r>
        <w:rPr>
          <w:rStyle w:val="CharSchText"/>
        </w:rPr>
        <w:t>Prescribed offences and modified penalties</w:t>
      </w:r>
      <w:bookmarkEnd w:id="328"/>
      <w:bookmarkEnd w:id="329"/>
      <w:bookmarkEnd w:id="330"/>
      <w:bookmarkEnd w:id="331"/>
      <w:bookmarkEnd w:id="332"/>
      <w:bookmarkEnd w:id="333"/>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4" w:name="_Toc406084306"/>
      <w:bookmarkStart w:id="335" w:name="_Toc401907238"/>
      <w:bookmarkStart w:id="336" w:name="_Toc401907719"/>
      <w:bookmarkStart w:id="337" w:name="_Toc403034974"/>
      <w:bookmarkStart w:id="338" w:name="_Toc404949246"/>
      <w:bookmarkStart w:id="339" w:name="_Toc404949461"/>
      <w:r>
        <w:rPr>
          <w:rStyle w:val="CharSchNo"/>
        </w:rPr>
        <w:t>Schedule 5</w:t>
      </w:r>
      <w:r>
        <w:t> — </w:t>
      </w:r>
      <w:r>
        <w:rPr>
          <w:rStyle w:val="CharSchText"/>
        </w:rPr>
        <w:t>Forms</w:t>
      </w:r>
      <w:bookmarkEnd w:id="334"/>
      <w:bookmarkEnd w:id="335"/>
      <w:bookmarkEnd w:id="336"/>
      <w:bookmarkEnd w:id="337"/>
      <w:bookmarkEnd w:id="338"/>
      <w:bookmarkEnd w:id="339"/>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40" w:name="_Toc406084307"/>
      <w:bookmarkStart w:id="341" w:name="_Toc401907239"/>
      <w:bookmarkStart w:id="342" w:name="_Toc401907720"/>
      <w:bookmarkStart w:id="343" w:name="_Toc403034975"/>
      <w:bookmarkStart w:id="344" w:name="_Toc404949247"/>
      <w:bookmarkStart w:id="345" w:name="_Toc404949462"/>
      <w:r>
        <w:t>Notes</w:t>
      </w:r>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w:t>
      </w:r>
      <w:del w:id="346" w:author="Master Repository Process" w:date="2021-09-25T08:49:00Z">
        <w:r>
          <w:rPr>
            <w:snapToGrid w:val="0"/>
          </w:rPr>
          <w:delText xml:space="preserve">reprint </w:delText>
        </w:r>
      </w:del>
      <w:r>
        <w:rPr>
          <w:snapToGrid w:val="0"/>
        </w:rPr>
        <w:t>is a compilation</w:t>
      </w:r>
      <w:del w:id="347" w:author="Master Repository Process" w:date="2021-09-25T08:49:00Z">
        <w:r>
          <w:rPr>
            <w:snapToGrid w:val="0"/>
          </w:rPr>
          <w:delText xml:space="preserve"> as at 21 November 2014</w:delText>
        </w:r>
      </w:del>
      <w:r>
        <w:rPr>
          <w:snapToGrid w:val="0"/>
        </w:rPr>
        <w:t xml:space="preserve">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48" w:name="_Toc406084308"/>
      <w:bookmarkStart w:id="349" w:name="_Toc404949463"/>
      <w:r>
        <w:t>Compilation table</w:t>
      </w:r>
      <w:bookmarkEnd w:id="348"/>
      <w:bookmarkEnd w:id="3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z w:val="19"/>
              </w:rPr>
              <w:t>r. 1 and 2: 20 Aug 2010 (see r. 2(a));</w:t>
            </w:r>
            <w:r>
              <w:rPr>
                <w:snapToGrid w:val="0"/>
                <w:sz w:val="19"/>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z w:val="19"/>
              </w:rPr>
            </w:pPr>
            <w:r>
              <w:rPr>
                <w:snapToGrid w:val="0"/>
                <w:sz w:val="19"/>
              </w:rPr>
              <w:t>r. 1 and 2: 10 Sep 2010 (see r. 2(a));</w:t>
            </w:r>
            <w:r>
              <w:rPr>
                <w:snapToGrid w:val="0"/>
                <w:sz w:val="19"/>
              </w:rPr>
              <w:br/>
              <w:t>Regulations other than r. 1, 2 and 26: 22 Sep 2010 (see r. 2(c));</w:t>
            </w:r>
            <w:r>
              <w:rPr>
                <w:snapToGrid w:val="0"/>
                <w:sz w:val="19"/>
              </w:rPr>
              <w:br/>
              <w:t>r. 26: 22 Sep 2011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Tobacco Products Control Regulations 2006</w:t>
            </w:r>
            <w:r>
              <w:rPr>
                <w:b/>
                <w:bCs/>
                <w:snapToGrid w:val="0"/>
                <w:sz w:val="19"/>
              </w:rPr>
              <w:t xml:space="preserve"> as at 7 Jan 2011</w:t>
            </w:r>
            <w:r>
              <w:rPr>
                <w:snapToGrid w:val="0"/>
                <w:sz w:val="19"/>
              </w:rPr>
              <w:t xml:space="preserve"> (includes amendments listed above)</w:t>
            </w:r>
          </w:p>
        </w:tc>
      </w:tr>
      <w:tr>
        <w:tc>
          <w:tcPr>
            <w:tcW w:w="3118" w:type="dxa"/>
          </w:tcPr>
          <w:p>
            <w:pPr>
              <w:pStyle w:val="nTable"/>
              <w:spacing w:after="40"/>
              <w:rPr>
                <w:i/>
                <w:sz w:val="19"/>
              </w:rPr>
            </w:pPr>
            <w:r>
              <w:rPr>
                <w:i/>
                <w:sz w:val="19"/>
              </w:rPr>
              <w:t>Tobacco Products Control Amendment Regulations 2011</w:t>
            </w:r>
          </w:p>
        </w:tc>
        <w:tc>
          <w:tcPr>
            <w:tcW w:w="1276" w:type="dxa"/>
          </w:tcPr>
          <w:p>
            <w:pPr>
              <w:pStyle w:val="nTable"/>
              <w:spacing w:after="40"/>
              <w:rPr>
                <w:sz w:val="19"/>
              </w:rPr>
            </w:pPr>
            <w:r>
              <w:rPr>
                <w:sz w:val="19"/>
              </w:rPr>
              <w:t>1 Mar 2011 p. 676</w:t>
            </w:r>
            <w:r>
              <w:rPr>
                <w:sz w:val="19"/>
              </w:rPr>
              <w:noBreakHyphen/>
              <w:t>7</w:t>
            </w:r>
          </w:p>
        </w:tc>
        <w:tc>
          <w:tcPr>
            <w:tcW w:w="2693" w:type="dxa"/>
          </w:tcPr>
          <w:p>
            <w:pPr>
              <w:pStyle w:val="nTable"/>
              <w:spacing w:after="40"/>
              <w:rPr>
                <w:sz w:val="19"/>
              </w:rPr>
            </w:pPr>
            <w:r>
              <w:rPr>
                <w:snapToGrid w:val="0"/>
                <w:sz w:val="19"/>
              </w:rPr>
              <w:t>r. 1 and 2: 1 Mar 2011 (see r. 2(a));</w:t>
            </w:r>
            <w:r>
              <w:rPr>
                <w:snapToGrid w:val="0"/>
                <w:sz w:val="19"/>
              </w:rPr>
              <w:br/>
              <w:t>Regulations other than r. 1 and 2: 2 Mar 2011 (see r. 2(b))</w:t>
            </w:r>
          </w:p>
        </w:tc>
      </w:tr>
      <w:tr>
        <w:tc>
          <w:tcPr>
            <w:tcW w:w="3118" w:type="dxa"/>
          </w:tcPr>
          <w:p>
            <w:pPr>
              <w:pStyle w:val="nTable"/>
              <w:spacing w:after="40"/>
              <w:rPr>
                <w:i/>
                <w:sz w:val="19"/>
              </w:rPr>
            </w:pPr>
            <w:r>
              <w:rPr>
                <w:i/>
                <w:sz w:val="19"/>
              </w:rPr>
              <w:t>Tobacco Products Control Amendment Regulations 2012</w:t>
            </w:r>
          </w:p>
        </w:tc>
        <w:tc>
          <w:tcPr>
            <w:tcW w:w="1276" w:type="dxa"/>
          </w:tcPr>
          <w:p>
            <w:pPr>
              <w:pStyle w:val="nTable"/>
              <w:spacing w:after="40"/>
              <w:rPr>
                <w:sz w:val="19"/>
              </w:rPr>
            </w:pPr>
            <w:r>
              <w:rPr>
                <w:sz w:val="19"/>
              </w:rPr>
              <w:t>18 May 2012 p. 2141</w:t>
            </w:r>
          </w:p>
        </w:tc>
        <w:tc>
          <w:tcPr>
            <w:tcW w:w="2693" w:type="dxa"/>
          </w:tcPr>
          <w:p>
            <w:pPr>
              <w:pStyle w:val="nTable"/>
              <w:spacing w:after="40"/>
              <w:rPr>
                <w:snapToGrid w:val="0"/>
                <w:sz w:val="19"/>
              </w:rPr>
            </w:pPr>
            <w:r>
              <w:rPr>
                <w:snapToGrid w:val="0"/>
                <w:sz w:val="19"/>
              </w:rPr>
              <w:t>r. 1 and 2: 18 May 2012 (see r. 2(a));</w:t>
            </w:r>
            <w:r>
              <w:rPr>
                <w:snapToGrid w:val="0"/>
                <w:sz w:val="19"/>
              </w:rPr>
              <w:br/>
              <w:t>Regulations other than r. 1 and 2: 19 May 2012 (see r. 2(b))</w:t>
            </w:r>
          </w:p>
        </w:tc>
      </w:tr>
      <w:tr>
        <w:tc>
          <w:tcPr>
            <w:tcW w:w="3118" w:type="dxa"/>
          </w:tcPr>
          <w:p>
            <w:pPr>
              <w:pStyle w:val="nTable"/>
              <w:spacing w:after="40"/>
              <w:rPr>
                <w:i/>
                <w:sz w:val="19"/>
              </w:rPr>
            </w:pPr>
            <w:r>
              <w:rPr>
                <w:i/>
                <w:sz w:val="19"/>
              </w:rPr>
              <w:t>Tobacco Products Control Amendment Regulations (No. 2) 2012</w:t>
            </w:r>
          </w:p>
        </w:tc>
        <w:tc>
          <w:tcPr>
            <w:tcW w:w="1276" w:type="dxa"/>
          </w:tcPr>
          <w:p>
            <w:pPr>
              <w:pStyle w:val="nTable"/>
              <w:spacing w:after="40"/>
              <w:rPr>
                <w:sz w:val="19"/>
              </w:rPr>
            </w:pPr>
            <w:r>
              <w:rPr>
                <w:sz w:val="19"/>
              </w:rPr>
              <w:t>27 Nov 2012 p. 5734-5</w:t>
            </w:r>
          </w:p>
        </w:tc>
        <w:tc>
          <w:tcPr>
            <w:tcW w:w="2693" w:type="dxa"/>
          </w:tcPr>
          <w:p>
            <w:pPr>
              <w:pStyle w:val="nTable"/>
              <w:spacing w:after="40"/>
              <w:rPr>
                <w:snapToGrid w:val="0"/>
                <w:sz w:val="19"/>
              </w:rPr>
            </w:pPr>
            <w:r>
              <w:rPr>
                <w:snapToGrid w:val="0"/>
                <w:sz w:val="19"/>
              </w:rPr>
              <w:t>27 Nov 2012 (see note under r. 1)</w:t>
            </w:r>
          </w:p>
        </w:tc>
      </w:tr>
      <w:tr>
        <w:tc>
          <w:tcPr>
            <w:tcW w:w="3118" w:type="dxa"/>
          </w:tcPr>
          <w:p>
            <w:pPr>
              <w:pStyle w:val="nTable"/>
              <w:spacing w:after="40"/>
              <w:rPr>
                <w:i/>
                <w:sz w:val="19"/>
              </w:rPr>
            </w:pPr>
            <w:r>
              <w:rPr>
                <w:i/>
                <w:sz w:val="19"/>
              </w:rPr>
              <w:t>Tobacco Products Control Amendment Regulations 2013</w:t>
            </w:r>
          </w:p>
        </w:tc>
        <w:tc>
          <w:tcPr>
            <w:tcW w:w="1276" w:type="dxa"/>
          </w:tcPr>
          <w:p>
            <w:pPr>
              <w:pStyle w:val="nTable"/>
              <w:spacing w:after="40"/>
              <w:rPr>
                <w:sz w:val="19"/>
              </w:rPr>
            </w:pPr>
            <w:r>
              <w:rPr>
                <w:sz w:val="19"/>
              </w:rPr>
              <w:t>20 Aug 2013 p. 3853</w:t>
            </w:r>
          </w:p>
        </w:tc>
        <w:tc>
          <w:tcPr>
            <w:tcW w:w="2693" w:type="dxa"/>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8" w:type="dxa"/>
          </w:tcPr>
          <w:p>
            <w:pPr>
              <w:pStyle w:val="nTable"/>
              <w:spacing w:after="40"/>
              <w:rPr>
                <w:i/>
                <w:sz w:val="19"/>
              </w:rPr>
            </w:pPr>
            <w:r>
              <w:rPr>
                <w:i/>
                <w:sz w:val="19"/>
              </w:rPr>
              <w:t>Tobacco Products Control Amendment Regulations (No. 3) 2014</w:t>
            </w:r>
          </w:p>
        </w:tc>
        <w:tc>
          <w:tcPr>
            <w:tcW w:w="1276" w:type="dxa"/>
          </w:tcPr>
          <w:p>
            <w:pPr>
              <w:pStyle w:val="nTable"/>
              <w:spacing w:after="40"/>
              <w:rPr>
                <w:sz w:val="19"/>
              </w:rPr>
            </w:pPr>
            <w:r>
              <w:rPr>
                <w:sz w:val="19"/>
              </w:rPr>
              <w:t>20 Jun 2014 p. 2025</w:t>
            </w:r>
          </w:p>
        </w:tc>
        <w:tc>
          <w:tcPr>
            <w:tcW w:w="2693" w:type="dxa"/>
          </w:tcPr>
          <w:p>
            <w:pPr>
              <w:pStyle w:val="nTable"/>
              <w:spacing w:after="40"/>
              <w:rPr>
                <w:snapToGrid w:val="0"/>
                <w:sz w:val="19"/>
              </w:rPr>
            </w:pPr>
            <w:r>
              <w:rPr>
                <w:bCs/>
                <w:snapToGrid w:val="0"/>
                <w:sz w:val="19"/>
              </w:rPr>
              <w:t>r. 1 and 2: 20 Jun 2014 (see r. 2(a));</w:t>
            </w:r>
            <w:r>
              <w:rPr>
                <w:bCs/>
                <w:snapToGrid w:val="0"/>
                <w:sz w:val="19"/>
              </w:rPr>
              <w:br/>
              <w:t>Regulations other than r. 1 and 2: 21 Jun 2014 (see r. 2(b))</w:t>
            </w:r>
          </w:p>
        </w:tc>
      </w:tr>
      <w:tr>
        <w:tc>
          <w:tcPr>
            <w:tcW w:w="3118" w:type="dxa"/>
          </w:tcPr>
          <w:p>
            <w:pPr>
              <w:pStyle w:val="nTable"/>
              <w:spacing w:after="40"/>
              <w:rPr>
                <w:i/>
                <w:sz w:val="19"/>
              </w:rPr>
            </w:pPr>
            <w:r>
              <w:rPr>
                <w:i/>
                <w:sz w:val="19"/>
              </w:rPr>
              <w:t>Tobacco Products Control Amendment Regulations 2014</w:t>
            </w:r>
          </w:p>
        </w:tc>
        <w:tc>
          <w:tcPr>
            <w:tcW w:w="1276" w:type="dxa"/>
          </w:tcPr>
          <w:p>
            <w:pPr>
              <w:pStyle w:val="nTable"/>
              <w:spacing w:after="40"/>
              <w:rPr>
                <w:sz w:val="19"/>
              </w:rPr>
            </w:pPr>
            <w:r>
              <w:rPr>
                <w:sz w:val="19"/>
              </w:rPr>
              <w:t>27 Jun 2014 p. 2331</w:t>
            </w:r>
          </w:p>
        </w:tc>
        <w:tc>
          <w:tcPr>
            <w:tcW w:w="2693" w:type="dxa"/>
          </w:tcPr>
          <w:p>
            <w:pPr>
              <w:pStyle w:val="nTable"/>
              <w:spacing w:after="40"/>
              <w:rPr>
                <w:bCs/>
                <w:snapToGrid w:val="0"/>
                <w:sz w:val="19"/>
              </w:rPr>
            </w:pPr>
            <w:r>
              <w:rPr>
                <w:bCs/>
                <w:snapToGrid w:val="0"/>
                <w:sz w:val="19"/>
              </w:rPr>
              <w:t>r. 1 and 2: 27 Jun 2014 (see r. 2(a));</w:t>
            </w:r>
            <w:r>
              <w:rPr>
                <w:bCs/>
                <w:snapToGrid w:val="0"/>
                <w:sz w:val="19"/>
              </w:rPr>
              <w:br/>
              <w:t xml:space="preserve">Regulations other than r. 1 and 2: 1 Jul 2014 (see r. 2(b)(i) and </w:t>
            </w:r>
            <w:r>
              <w:rPr>
                <w:bCs/>
                <w:i/>
                <w:snapToGrid w:val="0"/>
                <w:sz w:val="19"/>
              </w:rPr>
              <w:t>Gazette</w:t>
            </w:r>
            <w:r>
              <w:rPr>
                <w:bCs/>
                <w:snapToGrid w:val="0"/>
                <w:sz w:val="19"/>
              </w:rPr>
              <w:t xml:space="preserve"> 17 Jun 2014 p. 1955)</w:t>
            </w:r>
          </w:p>
        </w:tc>
      </w:tr>
      <w:tr>
        <w:tc>
          <w:tcPr>
            <w:tcW w:w="7087" w:type="dxa"/>
            <w:gridSpan w:val="3"/>
            <w:shd w:val="clear" w:color="auto" w:fill="auto"/>
          </w:tcPr>
          <w:p>
            <w:pPr>
              <w:pStyle w:val="nTable"/>
              <w:spacing w:after="40"/>
              <w:rPr>
                <w:bCs/>
                <w:snapToGrid w:val="0"/>
                <w:sz w:val="19"/>
              </w:rPr>
            </w:pPr>
            <w:r>
              <w:rPr>
                <w:b/>
                <w:bCs/>
                <w:snapToGrid w:val="0"/>
                <w:sz w:val="19"/>
              </w:rPr>
              <w:t xml:space="preserve">Reprint 2: The </w:t>
            </w:r>
            <w:r>
              <w:rPr>
                <w:b/>
                <w:bCs/>
                <w:i/>
                <w:sz w:val="19"/>
              </w:rPr>
              <w:t>Tobacco Products Control Regulations 2006</w:t>
            </w:r>
            <w:r>
              <w:rPr>
                <w:b/>
                <w:bCs/>
                <w:snapToGrid w:val="0"/>
                <w:sz w:val="19"/>
              </w:rPr>
              <w:t xml:space="preserve"> as at 21 Nov 2014</w:t>
            </w:r>
            <w:r>
              <w:rPr>
                <w:snapToGrid w:val="0"/>
                <w:sz w:val="19"/>
              </w:rPr>
              <w:t xml:space="preserve"> (includes amendments listed above)</w:t>
            </w:r>
          </w:p>
        </w:tc>
      </w:tr>
    </w:tbl>
    <w:p>
      <w:pPr>
        <w:rPr>
          <w:del w:id="350" w:author="Master Repository Process" w:date="2021-09-25T08:49:00Z"/>
          <w:iCs/>
        </w:rPr>
      </w:pPr>
    </w:p>
    <w:p>
      <w:pPr>
        <w:rPr>
          <w:del w:id="351" w:author="Master Repository Process" w:date="2021-09-25T08:49:00Z"/>
          <w:iCs/>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rPr>
          <w:del w:id="352" w:author="Master Repository Process" w:date="2021-09-25T08:49:00Z"/>
        </w:rPr>
      </w:pPr>
    </w:p>
    <w:p>
      <w:pPr>
        <w:rPr>
          <w:del w:id="353" w:author="Master Repository Process" w:date="2021-09-25T08:49:00Z"/>
        </w:rPr>
      </w:pPr>
    </w:p>
    <w:p>
      <w:pPr>
        <w:rPr>
          <w:del w:id="354" w:author="Master Repository Process" w:date="2021-09-25T08:49:00Z"/>
        </w:rPr>
      </w:pPr>
    </w:p>
    <w:p>
      <w:pPr>
        <w:rPr>
          <w:del w:id="355" w:author="Master Repository Process" w:date="2021-09-25T08:49:00Z"/>
        </w:rPr>
      </w:pPr>
    </w:p>
    <w:p>
      <w:pPr>
        <w:rPr>
          <w:del w:id="356" w:author="Master Repository Process" w:date="2021-09-25T08:49:00Z"/>
        </w:rPr>
      </w:pPr>
    </w:p>
    <w:p>
      <w:pPr>
        <w:rPr>
          <w:del w:id="357" w:author="Master Repository Process" w:date="2021-09-25T08:49:00Z"/>
        </w:rPr>
      </w:pPr>
    </w:p>
    <w:p>
      <w:pPr>
        <w:rPr>
          <w:del w:id="358" w:author="Master Repository Process" w:date="2021-09-25T08:49:00Z"/>
        </w:rPr>
      </w:pPr>
    </w:p>
    <w:p>
      <w:pPr>
        <w:rPr>
          <w:del w:id="359" w:author="Master Repository Process" w:date="2021-09-25T08:49:00Z"/>
          <w:sz w:val="20"/>
        </w:rPr>
      </w:pPr>
    </w:p>
    <w:p>
      <w:pPr>
        <w:rPr>
          <w:del w:id="360" w:author="Master Repository Process" w:date="2021-09-25T08:49:00Z"/>
          <w:sz w:val="20"/>
        </w:rPr>
      </w:pPr>
    </w:p>
    <w:p>
      <w:pPr>
        <w:rPr>
          <w:del w:id="361" w:author="Master Repository Process" w:date="2021-09-25T08:49:00Z"/>
          <w:sz w:val="20"/>
        </w:rPr>
      </w:pPr>
    </w:p>
    <w:p>
      <w:pPr>
        <w:rPr>
          <w:del w:id="362" w:author="Master Repository Process" w:date="2021-09-25T08:49:00Z"/>
          <w:sz w:val="20"/>
        </w:rPr>
      </w:pPr>
    </w:p>
    <w:p>
      <w:pPr>
        <w:rPr>
          <w:del w:id="363" w:author="Master Repository Process" w:date="2021-09-25T08:49:00Z"/>
          <w:sz w:val="20"/>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64" w:author="Master Repository Process" w:date="2021-09-25T08:49:00Z"/>
        </w:trPr>
        <w:tc>
          <w:tcPr>
            <w:tcW w:w="3118" w:type="dxa"/>
            <w:tcBorders>
              <w:bottom w:val="single" w:sz="4" w:space="0" w:color="auto"/>
            </w:tcBorders>
          </w:tcPr>
          <w:p>
            <w:pPr>
              <w:pStyle w:val="nTable"/>
              <w:spacing w:after="40"/>
              <w:rPr>
                <w:ins w:id="365" w:author="Master Repository Process" w:date="2021-09-25T08:49:00Z"/>
                <w:i/>
                <w:sz w:val="19"/>
              </w:rPr>
            </w:pPr>
            <w:ins w:id="366" w:author="Master Repository Process" w:date="2021-09-25T08:49:00Z">
              <w:r>
                <w:rPr>
                  <w:i/>
                  <w:sz w:val="19"/>
                </w:rPr>
                <w:t>Tobacco Products Control Amendment Regulations (No. 4) 2014</w:t>
              </w:r>
            </w:ins>
          </w:p>
        </w:tc>
        <w:tc>
          <w:tcPr>
            <w:tcW w:w="1276" w:type="dxa"/>
            <w:tcBorders>
              <w:bottom w:val="single" w:sz="4" w:space="0" w:color="auto"/>
            </w:tcBorders>
          </w:tcPr>
          <w:p>
            <w:pPr>
              <w:pStyle w:val="nTable"/>
              <w:spacing w:after="40"/>
              <w:rPr>
                <w:ins w:id="367" w:author="Master Repository Process" w:date="2021-09-25T08:49:00Z"/>
                <w:sz w:val="19"/>
              </w:rPr>
            </w:pPr>
            <w:ins w:id="368" w:author="Master Repository Process" w:date="2021-09-25T08:49:00Z">
              <w:r>
                <w:rPr>
                  <w:sz w:val="19"/>
                </w:rPr>
                <w:t>12 Dec 2014 p. 4715</w:t>
              </w:r>
              <w:r>
                <w:rPr>
                  <w:sz w:val="19"/>
                </w:rPr>
                <w:noBreakHyphen/>
                <w:t>16</w:t>
              </w:r>
            </w:ins>
          </w:p>
        </w:tc>
        <w:tc>
          <w:tcPr>
            <w:tcW w:w="2693" w:type="dxa"/>
            <w:tcBorders>
              <w:bottom w:val="single" w:sz="4" w:space="0" w:color="auto"/>
            </w:tcBorders>
          </w:tcPr>
          <w:p>
            <w:pPr>
              <w:pStyle w:val="nTable"/>
              <w:spacing w:after="40"/>
              <w:rPr>
                <w:ins w:id="369" w:author="Master Repository Process" w:date="2021-09-25T08:49:00Z"/>
                <w:bCs/>
                <w:snapToGrid w:val="0"/>
                <w:sz w:val="19"/>
              </w:rPr>
            </w:pPr>
            <w:ins w:id="370" w:author="Master Repository Process" w:date="2021-09-25T08:49:00Z">
              <w:r>
                <w:rPr>
                  <w:bCs/>
                  <w:snapToGrid w:val="0"/>
                  <w:sz w:val="19"/>
                </w:rPr>
                <w:t>r. 1 and 2: 12 Dec 2014 (see r. 2(a));</w:t>
              </w:r>
              <w:r>
                <w:rPr>
                  <w:bCs/>
                  <w:snapToGrid w:val="0"/>
                  <w:sz w:val="19"/>
                </w:rPr>
                <w:br/>
                <w:t>Regulations other than r. 1 and 2: 13 Dec 2014 (see r. 2(b))</w:t>
              </w:r>
            </w:ins>
          </w:p>
        </w:tc>
      </w:tr>
    </w:tbl>
    <w:p>
      <w:pPr>
        <w:rPr>
          <w:ins w:id="371" w:author="Master Repository Process" w:date="2021-09-25T08:49:00Z"/>
          <w:iCs/>
        </w:rPr>
      </w:pPr>
    </w:p>
    <w:p>
      <w:pPr>
        <w:rPr>
          <w:ins w:id="372" w:author="Master Repository Process" w:date="2021-09-25T08:49:00Z"/>
          <w:iC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211175728"/>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FD17C78-F203-4498-8DF7-CB134DD6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10757</Words>
  <Characters>50452</Characters>
  <Application>Microsoft Office Word</Application>
  <DocSecurity>0</DocSecurity>
  <Lines>1627</Lines>
  <Paragraphs>1003</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02-a0-00 - 02-b0-00</dc:title>
  <dc:subject/>
  <dc:creator/>
  <cp:keywords/>
  <dc:description/>
  <cp:lastModifiedBy>Master Repository Process</cp:lastModifiedBy>
  <cp:revision>2</cp:revision>
  <cp:lastPrinted>2014-11-26T07:22:00Z</cp:lastPrinted>
  <dcterms:created xsi:type="dcterms:W3CDTF">2021-09-25T00:49:00Z</dcterms:created>
  <dcterms:modified xsi:type="dcterms:W3CDTF">2021-09-25T00:49:00Z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20141213</vt:lpwstr>
  </property>
  <property fmtid="{D5CDD505-2E9C-101B-9397-08002B2CF9AE}" pid="4" name="OwlsUID">
    <vt:i4>38982</vt:i4>
  </property>
  <property fmtid="{D5CDD505-2E9C-101B-9397-08002B2CF9AE}" pid="5" name="ReprintNo">
    <vt:lpwstr>2</vt:lpwstr>
  </property>
  <property fmtid="{D5CDD505-2E9C-101B-9397-08002B2CF9AE}" pid="6" name="ReprintedAsAt">
    <vt:filetime>2014-11-20T16:00:00Z</vt:filetime>
  </property>
  <property fmtid="{D5CDD505-2E9C-101B-9397-08002B2CF9AE}" pid="7" name="DocumentType">
    <vt:lpwstr>Reg</vt:lpwstr>
  </property>
  <property fmtid="{D5CDD505-2E9C-101B-9397-08002B2CF9AE}" pid="8" name="FromSuffix">
    <vt:lpwstr>02-a0-00</vt:lpwstr>
  </property>
  <property fmtid="{D5CDD505-2E9C-101B-9397-08002B2CF9AE}" pid="9" name="FromAsAtDate">
    <vt:lpwstr>21 Nov 2014</vt:lpwstr>
  </property>
  <property fmtid="{D5CDD505-2E9C-101B-9397-08002B2CF9AE}" pid="10" name="ToSuffix">
    <vt:lpwstr>02-b0-00</vt:lpwstr>
  </property>
  <property fmtid="{D5CDD505-2E9C-101B-9397-08002B2CF9AE}" pid="11" name="ToAsAtDate">
    <vt:lpwstr>13 Dec 2014</vt:lpwstr>
  </property>
</Properties>
</file>