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0207585"/>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37231770"/>
      <w:bookmarkStart w:id="11" w:name="_Toc440254812"/>
      <w:bookmarkStart w:id="12" w:name="_Toc440266595"/>
      <w:bookmarkStart w:id="13" w:name="_Toc52255403"/>
      <w:bookmarkStart w:id="14" w:name="_Toc170207586"/>
      <w:bookmarkStart w:id="15" w:name="_Toc116986800"/>
      <w:r>
        <w:rPr>
          <w:rStyle w:val="CharSectno"/>
        </w:rPr>
        <w:t>1</w:t>
      </w:r>
      <w:r>
        <w:t>.</w:t>
      </w:r>
      <w:r>
        <w:tab/>
        <w:t>Citation</w:t>
      </w:r>
      <w:bookmarkEnd w:id="10"/>
      <w:bookmarkEnd w:id="11"/>
      <w:bookmarkEnd w:id="12"/>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6" w:name="_Toc437231771"/>
      <w:bookmarkStart w:id="17" w:name="_Toc440254813"/>
      <w:bookmarkStart w:id="18" w:name="_Toc440266596"/>
      <w:bookmarkStart w:id="19" w:name="_Toc52255404"/>
      <w:bookmarkStart w:id="20" w:name="_Toc170207587"/>
      <w:bookmarkStart w:id="21" w:name="_Toc116986801"/>
      <w:r>
        <w:rPr>
          <w:rStyle w:val="CharSectno"/>
        </w:rPr>
        <w:t>2</w:t>
      </w:r>
      <w:r>
        <w:rPr>
          <w:snapToGrid w:val="0"/>
        </w:rPr>
        <w:t>.</w:t>
      </w:r>
      <w:r>
        <w:rPr>
          <w:snapToGrid w:val="0"/>
        </w:rPr>
        <w:tab/>
        <w:t>Interpretation</w:t>
      </w:r>
      <w:bookmarkEnd w:id="16"/>
      <w:bookmarkEnd w:id="17"/>
      <w:bookmarkEnd w:id="18"/>
      <w:bookmarkEnd w:id="19"/>
      <w:bookmarkEnd w:id="20"/>
      <w:bookmarkEnd w:id="21"/>
    </w:p>
    <w:p>
      <w:pPr>
        <w:pStyle w:val="Subsection"/>
      </w:pPr>
      <w:r>
        <w:tab/>
        <w:t>(1)</w:t>
      </w:r>
      <w:r>
        <w:tab/>
        <w:t>In these regulations, unless the contrary intention appears —</w:t>
      </w:r>
    </w:p>
    <w:p>
      <w:pPr>
        <w:pStyle w:val="Defstart"/>
      </w:pPr>
      <w:r>
        <w:tab/>
      </w:r>
      <w:r>
        <w:rPr>
          <w:b/>
        </w:rPr>
        <w:t>“</w:t>
      </w:r>
      <w:r>
        <w:rPr>
          <w:rStyle w:val="CharDefText"/>
        </w:rPr>
        <w:t>Act</w:t>
      </w:r>
      <w:r>
        <w:rPr>
          <w:b/>
        </w:rPr>
        <w:t>”</w:t>
      </w:r>
      <w:r>
        <w:t xml:space="preserve"> means the </w:t>
      </w:r>
      <w:r>
        <w:rPr>
          <w:i/>
        </w:rPr>
        <w:t>Casino Control Act 1984</w:t>
      </w:r>
      <w:r>
        <w:t>;</w:t>
      </w:r>
    </w:p>
    <w:p>
      <w:pPr>
        <w:pStyle w:val="Defstart"/>
      </w:pPr>
      <w:r>
        <w:tab/>
      </w:r>
      <w:r>
        <w:rPr>
          <w:b/>
        </w:rPr>
        <w:t>“</w:t>
      </w:r>
      <w:r>
        <w:rPr>
          <w:rStyle w:val="CharDefText"/>
        </w:rPr>
        <w:t>applicant</w:t>
      </w:r>
      <w:r>
        <w:rPr>
          <w:b/>
        </w:rPr>
        <w:t>”</w:t>
      </w:r>
      <w:r>
        <w:t xml:space="preserve"> means an applicant under regulation 5 for approval to conduct junkets as a junket operator or as a junket operator’s representative;</w:t>
      </w:r>
    </w:p>
    <w:p>
      <w:pPr>
        <w:pStyle w:val="Defstart"/>
      </w:pPr>
      <w:r>
        <w:tab/>
      </w:r>
      <w:r>
        <w:rPr>
          <w:b/>
        </w:rPr>
        <w:t>“</w:t>
      </w:r>
      <w:r>
        <w:rPr>
          <w:rStyle w:val="CharDefText"/>
        </w:rPr>
        <w:t>approval</w:t>
      </w:r>
      <w:r>
        <w:rPr>
          <w:b/>
        </w:rPr>
        <w:t>”</w:t>
      </w:r>
      <w:r>
        <w:t xml:space="preserve"> means an approval given under regulation 11;</w:t>
      </w:r>
    </w:p>
    <w:p>
      <w:pPr>
        <w:pStyle w:val="Defstart"/>
      </w:pPr>
      <w:r>
        <w:tab/>
      </w:r>
      <w:r>
        <w:rPr>
          <w:b/>
        </w:rPr>
        <w:t>“</w:t>
      </w:r>
      <w:r>
        <w:rPr>
          <w:rStyle w:val="CharDefText"/>
        </w:rPr>
        <w:t>conviction</w:t>
      </w:r>
      <w:r>
        <w:rPr>
          <w:b/>
        </w:rPr>
        <w:t>”</w:t>
      </w:r>
      <w:r>
        <w:t xml:space="preserve"> has the meaning given in subregulation (2);</w:t>
      </w:r>
    </w:p>
    <w:p>
      <w:pPr>
        <w:pStyle w:val="Defstart"/>
      </w:pPr>
      <w:r>
        <w:tab/>
      </w:r>
      <w:r>
        <w:rPr>
          <w:b/>
        </w:rPr>
        <w:t>“</w:t>
      </w:r>
      <w:r>
        <w:rPr>
          <w:rStyle w:val="CharDefText"/>
        </w:rPr>
        <w:t>junket</w:t>
      </w:r>
      <w:r>
        <w:rPr>
          <w:b/>
        </w:rPr>
        <w:t>”</w:t>
      </w:r>
      <w:r>
        <w:t xml:space="preserve"> has the same meaning as in section 25A of the Act;</w:t>
      </w:r>
    </w:p>
    <w:p>
      <w:pPr>
        <w:pStyle w:val="Defstart"/>
      </w:pPr>
      <w:r>
        <w:tab/>
      </w:r>
      <w:r>
        <w:rPr>
          <w:b/>
        </w:rPr>
        <w:t>“</w:t>
      </w:r>
      <w:r>
        <w:rPr>
          <w:rStyle w:val="CharDefText"/>
        </w:rPr>
        <w:t>junket operator</w:t>
      </w:r>
      <w:r>
        <w:rPr>
          <w:b/>
        </w:rPr>
        <w:t>”</w:t>
      </w:r>
      <w:r>
        <w:t xml:space="preserve"> means a person who conducts or proposes to conduct junkets;</w:t>
      </w:r>
    </w:p>
    <w:p>
      <w:pPr>
        <w:pStyle w:val="Defstart"/>
      </w:pPr>
      <w:r>
        <w:tab/>
      </w:r>
      <w:r>
        <w:rPr>
          <w:b/>
        </w:rPr>
        <w:t>“</w:t>
      </w:r>
      <w:r>
        <w:rPr>
          <w:rStyle w:val="CharDefText"/>
        </w:rPr>
        <w:t>junket operator’s representative</w:t>
      </w:r>
      <w:r>
        <w:rPr>
          <w:b/>
        </w:rPr>
        <w:t>”</w:t>
      </w:r>
      <w:r>
        <w:t xml:space="preserve"> means a person who conducts or proposes to conduct junkets as the authorised representative of an approved junket operator.</w:t>
      </w:r>
    </w:p>
    <w:p>
      <w:pPr>
        <w:pStyle w:val="Subsection"/>
        <w:keepLines/>
      </w:pPr>
      <w:r>
        <w:lastRenderedPageBreak/>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2" w:name="_Toc82249116"/>
      <w:bookmarkStart w:id="23" w:name="_Toc91471521"/>
      <w:bookmarkStart w:id="24" w:name="_Toc91473674"/>
      <w:bookmarkStart w:id="25" w:name="_Toc93127620"/>
      <w:bookmarkStart w:id="26" w:name="_Toc93128014"/>
      <w:bookmarkStart w:id="27" w:name="_Toc96326690"/>
      <w:bookmarkStart w:id="28" w:name="_Toc116984976"/>
      <w:bookmarkStart w:id="29" w:name="_Toc116986802"/>
      <w:bookmarkStart w:id="30" w:name="_Toc170207588"/>
      <w:r>
        <w:rPr>
          <w:rStyle w:val="CharPartNo"/>
        </w:rPr>
        <w:t>Part 2</w:t>
      </w:r>
      <w:r>
        <w:rPr>
          <w:rStyle w:val="CharDivNo"/>
        </w:rPr>
        <w:t xml:space="preserve"> </w:t>
      </w:r>
      <w:r>
        <w:t>—</w:t>
      </w:r>
      <w:r>
        <w:rPr>
          <w:rStyle w:val="CharDivText"/>
        </w:rPr>
        <w:t xml:space="preserve"> </w:t>
      </w:r>
      <w:r>
        <w:rPr>
          <w:rStyle w:val="CharPartText"/>
        </w:rPr>
        <w:t>General</w:t>
      </w:r>
      <w:bookmarkEnd w:id="22"/>
      <w:bookmarkEnd w:id="23"/>
      <w:bookmarkEnd w:id="24"/>
      <w:bookmarkEnd w:id="25"/>
      <w:bookmarkEnd w:id="26"/>
      <w:bookmarkEnd w:id="27"/>
      <w:bookmarkEnd w:id="28"/>
      <w:bookmarkEnd w:id="29"/>
      <w:bookmarkEnd w:id="30"/>
    </w:p>
    <w:p>
      <w:pPr>
        <w:pStyle w:val="Heading5"/>
      </w:pPr>
      <w:bookmarkStart w:id="31" w:name="_Toc437231772"/>
      <w:bookmarkStart w:id="32" w:name="_Toc440254814"/>
      <w:bookmarkStart w:id="33" w:name="_Toc440266597"/>
      <w:bookmarkStart w:id="34" w:name="_Toc52255405"/>
      <w:bookmarkStart w:id="35" w:name="_Toc170207589"/>
      <w:bookmarkStart w:id="36" w:name="_Toc116986803"/>
      <w:r>
        <w:rPr>
          <w:rStyle w:val="CharSectno"/>
        </w:rPr>
        <w:t>3</w:t>
      </w:r>
      <w:r>
        <w:t>.</w:t>
      </w:r>
      <w:r>
        <w:tab/>
        <w:t>Unclaimed winnings</w:t>
      </w:r>
      <w:bookmarkEnd w:id="31"/>
      <w:bookmarkEnd w:id="32"/>
      <w:bookmarkEnd w:id="33"/>
      <w:bookmarkEnd w:id="34"/>
      <w:bookmarkEnd w:id="35"/>
      <w:bookmarkEnd w:id="36"/>
    </w:p>
    <w:p>
      <w:pPr>
        <w:pStyle w:val="Subsection"/>
      </w:pPr>
      <w:r>
        <w:tab/>
      </w:r>
      <w:r>
        <w:tab/>
        <w:t>For the purposes of section 15(1)(a) and (b) of the Act, the prescribed amount is 99 cents.</w:t>
      </w:r>
    </w:p>
    <w:p>
      <w:pPr>
        <w:pStyle w:val="Heading5"/>
      </w:pPr>
      <w:bookmarkStart w:id="37" w:name="_Toc437231773"/>
      <w:bookmarkStart w:id="38" w:name="_Toc440254815"/>
      <w:bookmarkStart w:id="39" w:name="_Toc440266598"/>
      <w:bookmarkStart w:id="40" w:name="_Toc52255406"/>
      <w:bookmarkStart w:id="41" w:name="_Toc170207590"/>
      <w:bookmarkStart w:id="42" w:name="_Toc116986804"/>
      <w:r>
        <w:rPr>
          <w:rStyle w:val="CharSectno"/>
        </w:rPr>
        <w:t>4</w:t>
      </w:r>
      <w:r>
        <w:t>.</w:t>
      </w:r>
      <w:r>
        <w:tab/>
        <w:t>Fee for review of direction not to enter or remain in casino</w:t>
      </w:r>
      <w:bookmarkEnd w:id="37"/>
      <w:bookmarkEnd w:id="38"/>
      <w:bookmarkEnd w:id="39"/>
      <w:bookmarkEnd w:id="40"/>
      <w:bookmarkEnd w:id="41"/>
      <w:bookmarkEnd w:id="42"/>
    </w:p>
    <w:p>
      <w:pPr>
        <w:pStyle w:val="Subsection"/>
      </w:pPr>
      <w:r>
        <w:tab/>
      </w:r>
      <w:r>
        <w:tab/>
        <w:t>For the purposes of section 26A(3)(b) of the Act, the prescribed fee is $</w:t>
      </w:r>
      <w:del w:id="43" w:author="Master Repository Process" w:date="2021-07-31T15:21:00Z">
        <w:r>
          <w:delText>110</w:delText>
        </w:r>
      </w:del>
      <w:ins w:id="44" w:author="Master Repository Process" w:date="2021-07-31T15:21:00Z">
        <w:r>
          <w:t>115</w:t>
        </w:r>
      </w:ins>
      <w:r>
        <w:t>.</w:t>
      </w:r>
    </w:p>
    <w:p>
      <w:pPr>
        <w:pStyle w:val="Footnotesection"/>
      </w:pPr>
      <w:r>
        <w:tab/>
        <w:t>[Regulation 4 amended in Gazette 2 Oct 2001 p. 5457; 26 Sep 2003 p. 4225</w:t>
      </w:r>
      <w:ins w:id="45" w:author="Master Repository Process" w:date="2021-07-31T15:21:00Z">
        <w:r>
          <w:t>; 14 Oct 2005 p. 4560</w:t>
        </w:r>
      </w:ins>
      <w:r>
        <w:t>.]</w:t>
      </w:r>
    </w:p>
    <w:p>
      <w:pPr>
        <w:pStyle w:val="Heading5"/>
      </w:pPr>
      <w:bookmarkStart w:id="46" w:name="_Toc170207591"/>
      <w:bookmarkStart w:id="47" w:name="_Toc116986805"/>
      <w:r>
        <w:rPr>
          <w:rStyle w:val="CharSectno"/>
        </w:rPr>
        <w:t>4A</w:t>
      </w:r>
      <w:r>
        <w:t>.</w:t>
      </w:r>
      <w:r>
        <w:tab/>
        <w:t>Exempt class of contract</w:t>
      </w:r>
      <w:bookmarkEnd w:id="46"/>
      <w:bookmarkEnd w:id="47"/>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b/>
        </w:rPr>
        <w:t>“</w:t>
      </w:r>
      <w:r>
        <w:rPr>
          <w:rStyle w:val="CharDefText"/>
        </w:rPr>
        <w:t>gaming technical services</w:t>
      </w:r>
      <w:r>
        <w:rPr>
          <w:b/>
        </w:rPr>
        <w:t>”</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48" w:name="_Toc82249120"/>
      <w:bookmarkStart w:id="49" w:name="_Toc91471525"/>
      <w:bookmarkStart w:id="50" w:name="_Toc91473678"/>
      <w:bookmarkStart w:id="51" w:name="_Toc93127624"/>
      <w:bookmarkStart w:id="52" w:name="_Toc93128018"/>
      <w:bookmarkStart w:id="53" w:name="_Toc96326694"/>
      <w:bookmarkStart w:id="54" w:name="_Toc116984980"/>
      <w:bookmarkStart w:id="55" w:name="_Toc116986806"/>
      <w:bookmarkStart w:id="56" w:name="_Toc170207592"/>
      <w:r>
        <w:rPr>
          <w:rStyle w:val="CharPartNo"/>
        </w:rPr>
        <w:t>Part 3</w:t>
      </w:r>
      <w:r>
        <w:rPr>
          <w:rStyle w:val="CharDivNo"/>
        </w:rPr>
        <w:t xml:space="preserve"> </w:t>
      </w:r>
      <w:r>
        <w:t>—</w:t>
      </w:r>
      <w:r>
        <w:rPr>
          <w:rStyle w:val="CharDivText"/>
        </w:rPr>
        <w:t xml:space="preserve"> </w:t>
      </w:r>
      <w:r>
        <w:rPr>
          <w:rStyle w:val="CharPartText"/>
        </w:rPr>
        <w:t>Junkets and junket operators</w:t>
      </w:r>
      <w:bookmarkEnd w:id="48"/>
      <w:bookmarkEnd w:id="49"/>
      <w:bookmarkEnd w:id="50"/>
      <w:bookmarkEnd w:id="51"/>
      <w:bookmarkEnd w:id="52"/>
      <w:bookmarkEnd w:id="53"/>
      <w:bookmarkEnd w:id="54"/>
      <w:bookmarkEnd w:id="55"/>
      <w:bookmarkEnd w:id="56"/>
    </w:p>
    <w:p>
      <w:pPr>
        <w:pStyle w:val="Heading5"/>
      </w:pPr>
      <w:bookmarkStart w:id="57" w:name="_Toc437231774"/>
      <w:bookmarkStart w:id="58" w:name="_Toc440254816"/>
      <w:bookmarkStart w:id="59" w:name="_Toc440266599"/>
      <w:bookmarkStart w:id="60" w:name="_Toc52255407"/>
      <w:bookmarkStart w:id="61" w:name="_Toc170207593"/>
      <w:bookmarkStart w:id="62" w:name="_Toc116986807"/>
      <w:r>
        <w:rPr>
          <w:rStyle w:val="CharSectno"/>
        </w:rPr>
        <w:t>5</w:t>
      </w:r>
      <w:r>
        <w:t>.</w:t>
      </w:r>
      <w:r>
        <w:tab/>
        <w:t>Applications for approval to conduct junkets (section 25A)</w:t>
      </w:r>
      <w:bookmarkEnd w:id="57"/>
      <w:bookmarkEnd w:id="58"/>
      <w:bookmarkEnd w:id="59"/>
      <w:bookmarkEnd w:id="60"/>
      <w:bookmarkEnd w:id="61"/>
      <w:bookmarkEnd w:id="62"/>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63" w:name="_Toc437231775"/>
      <w:bookmarkStart w:id="64" w:name="_Toc440254817"/>
      <w:bookmarkStart w:id="65" w:name="_Toc440266600"/>
      <w:bookmarkStart w:id="66" w:name="_Toc52255408"/>
      <w:bookmarkStart w:id="67" w:name="_Toc170207594"/>
      <w:bookmarkStart w:id="68" w:name="_Toc116986808"/>
      <w:r>
        <w:rPr>
          <w:rStyle w:val="CharSectno"/>
        </w:rPr>
        <w:t>6</w:t>
      </w:r>
      <w:r>
        <w:t>.</w:t>
      </w:r>
      <w:r>
        <w:tab/>
        <w:t>Documents to be lodged with application</w:t>
      </w:r>
      <w:bookmarkEnd w:id="63"/>
      <w:bookmarkEnd w:id="64"/>
      <w:bookmarkEnd w:id="65"/>
      <w:bookmarkEnd w:id="66"/>
      <w:bookmarkEnd w:id="67"/>
      <w:bookmarkEnd w:id="68"/>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69" w:name="_Toc437231776"/>
      <w:bookmarkStart w:id="70" w:name="_Toc440254818"/>
      <w:bookmarkStart w:id="71" w:name="_Toc440266601"/>
      <w:bookmarkStart w:id="72" w:name="_Toc52255409"/>
      <w:bookmarkStart w:id="73" w:name="_Toc170207595"/>
      <w:bookmarkStart w:id="74" w:name="_Toc116986809"/>
      <w:r>
        <w:rPr>
          <w:rStyle w:val="CharSectno"/>
        </w:rPr>
        <w:t>7</w:t>
      </w:r>
      <w:r>
        <w:t>.</w:t>
      </w:r>
      <w:r>
        <w:tab/>
        <w:t>Declarations to be made with application</w:t>
      </w:r>
      <w:bookmarkEnd w:id="69"/>
      <w:bookmarkEnd w:id="70"/>
      <w:bookmarkEnd w:id="71"/>
      <w:bookmarkEnd w:id="72"/>
      <w:bookmarkEnd w:id="73"/>
      <w:bookmarkEnd w:id="74"/>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75" w:name="_Toc437231777"/>
      <w:bookmarkStart w:id="76" w:name="_Toc440254819"/>
      <w:bookmarkStart w:id="77" w:name="_Toc440266602"/>
      <w:bookmarkStart w:id="78" w:name="_Toc52255410"/>
      <w:bookmarkStart w:id="79" w:name="_Toc170207596"/>
      <w:bookmarkStart w:id="80" w:name="_Toc116986810"/>
      <w:r>
        <w:rPr>
          <w:rStyle w:val="CharSectno"/>
        </w:rPr>
        <w:t>8</w:t>
      </w:r>
      <w:r>
        <w:t>.</w:t>
      </w:r>
      <w:r>
        <w:tab/>
        <w:t>Interim approval to conduct one junket</w:t>
      </w:r>
      <w:bookmarkEnd w:id="75"/>
      <w:bookmarkEnd w:id="76"/>
      <w:bookmarkEnd w:id="77"/>
      <w:bookmarkEnd w:id="78"/>
      <w:bookmarkEnd w:id="79"/>
      <w:bookmarkEnd w:id="80"/>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81" w:name="_Toc437231778"/>
      <w:bookmarkStart w:id="82" w:name="_Toc440254820"/>
      <w:bookmarkStart w:id="83" w:name="_Toc440266603"/>
      <w:bookmarkStart w:id="84" w:name="_Toc52255411"/>
      <w:bookmarkStart w:id="85" w:name="_Toc170207597"/>
      <w:bookmarkStart w:id="86" w:name="_Toc116986811"/>
      <w:r>
        <w:rPr>
          <w:rStyle w:val="CharSectno"/>
        </w:rPr>
        <w:t>9</w:t>
      </w:r>
      <w:r>
        <w:t>.</w:t>
      </w:r>
      <w:r>
        <w:tab/>
        <w:t>Provisional approval to conduct junkets</w:t>
      </w:r>
      <w:bookmarkEnd w:id="81"/>
      <w:bookmarkEnd w:id="82"/>
      <w:bookmarkEnd w:id="83"/>
      <w:bookmarkEnd w:id="84"/>
      <w:bookmarkEnd w:id="85"/>
      <w:bookmarkEnd w:id="86"/>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87" w:name="_Toc437231779"/>
      <w:bookmarkStart w:id="88" w:name="_Toc440254821"/>
      <w:bookmarkStart w:id="89" w:name="_Toc440266604"/>
      <w:bookmarkStart w:id="90" w:name="_Toc52255412"/>
      <w:bookmarkStart w:id="91" w:name="_Toc170207598"/>
      <w:bookmarkStart w:id="92" w:name="_Toc116986812"/>
      <w:r>
        <w:rPr>
          <w:rStyle w:val="CharSectno"/>
        </w:rPr>
        <w:t>10</w:t>
      </w:r>
      <w:r>
        <w:t>.</w:t>
      </w:r>
      <w:r>
        <w:tab/>
        <w:t>Finalizing applications for approval as a junket operator</w:t>
      </w:r>
      <w:bookmarkEnd w:id="87"/>
      <w:bookmarkEnd w:id="88"/>
      <w:bookmarkEnd w:id="89"/>
      <w:bookmarkEnd w:id="90"/>
      <w:bookmarkEnd w:id="91"/>
      <w:bookmarkEnd w:id="92"/>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93" w:name="_Toc437231780"/>
      <w:bookmarkStart w:id="94" w:name="_Toc440254822"/>
      <w:bookmarkStart w:id="95" w:name="_Toc440266605"/>
      <w:bookmarkStart w:id="96" w:name="_Toc52255413"/>
      <w:bookmarkStart w:id="97" w:name="_Toc170207599"/>
      <w:bookmarkStart w:id="98" w:name="_Toc116986813"/>
      <w:r>
        <w:rPr>
          <w:rStyle w:val="CharSectno"/>
        </w:rPr>
        <w:t>11</w:t>
      </w:r>
      <w:r>
        <w:t>.</w:t>
      </w:r>
      <w:r>
        <w:tab/>
        <w:t>Approvals</w:t>
      </w:r>
      <w:bookmarkEnd w:id="93"/>
      <w:bookmarkEnd w:id="94"/>
      <w:bookmarkEnd w:id="95"/>
      <w:bookmarkEnd w:id="96"/>
      <w:bookmarkEnd w:id="97"/>
      <w:bookmarkEnd w:id="98"/>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99" w:name="_Toc437231781"/>
      <w:bookmarkStart w:id="100" w:name="_Toc440254823"/>
      <w:bookmarkStart w:id="101" w:name="_Toc440266606"/>
      <w:bookmarkStart w:id="102" w:name="_Toc52255414"/>
      <w:bookmarkStart w:id="103" w:name="_Toc170207600"/>
      <w:bookmarkStart w:id="104" w:name="_Toc116986814"/>
      <w:r>
        <w:rPr>
          <w:rStyle w:val="CharSectno"/>
        </w:rPr>
        <w:t>12</w:t>
      </w:r>
      <w:r>
        <w:t>.</w:t>
      </w:r>
      <w:r>
        <w:tab/>
        <w:t>Further information from approval holders</w:t>
      </w:r>
      <w:bookmarkEnd w:id="99"/>
      <w:bookmarkEnd w:id="100"/>
      <w:bookmarkEnd w:id="101"/>
      <w:bookmarkEnd w:id="102"/>
      <w:bookmarkEnd w:id="103"/>
      <w:bookmarkEnd w:id="104"/>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05" w:name="_Toc437231782"/>
      <w:bookmarkStart w:id="106" w:name="_Toc440254824"/>
      <w:bookmarkStart w:id="107" w:name="_Toc440266607"/>
      <w:bookmarkStart w:id="108" w:name="_Toc52255415"/>
      <w:bookmarkStart w:id="109" w:name="_Toc170207601"/>
      <w:bookmarkStart w:id="110" w:name="_Toc116986815"/>
      <w:r>
        <w:rPr>
          <w:rStyle w:val="CharSectno"/>
        </w:rPr>
        <w:t>13</w:t>
      </w:r>
      <w:r>
        <w:t>.</w:t>
      </w:r>
      <w:r>
        <w:tab/>
        <w:t>Conditions of approvals</w:t>
      </w:r>
      <w:bookmarkEnd w:id="105"/>
      <w:bookmarkEnd w:id="106"/>
      <w:bookmarkEnd w:id="107"/>
      <w:bookmarkEnd w:id="108"/>
      <w:bookmarkEnd w:id="109"/>
      <w:bookmarkEnd w:id="110"/>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11" w:name="_Toc437231783"/>
      <w:bookmarkStart w:id="112" w:name="_Toc440254825"/>
      <w:bookmarkStart w:id="113" w:name="_Toc440266608"/>
      <w:bookmarkStart w:id="114" w:name="_Toc52255416"/>
      <w:bookmarkStart w:id="115" w:name="_Toc170207602"/>
      <w:bookmarkStart w:id="116" w:name="_Toc116986816"/>
      <w:r>
        <w:rPr>
          <w:rStyle w:val="CharSectno"/>
        </w:rPr>
        <w:t>14</w:t>
      </w:r>
      <w:r>
        <w:t>.</w:t>
      </w:r>
      <w:r>
        <w:tab/>
        <w:t>Duration of approvals</w:t>
      </w:r>
      <w:bookmarkEnd w:id="111"/>
      <w:bookmarkEnd w:id="112"/>
      <w:bookmarkEnd w:id="113"/>
      <w:bookmarkEnd w:id="114"/>
      <w:bookmarkEnd w:id="115"/>
      <w:bookmarkEnd w:id="116"/>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17" w:name="_Toc437231784"/>
      <w:bookmarkStart w:id="118" w:name="_Toc440254826"/>
      <w:bookmarkStart w:id="119" w:name="_Toc440266609"/>
      <w:bookmarkStart w:id="120" w:name="_Toc52255417"/>
      <w:bookmarkStart w:id="121" w:name="_Toc170207603"/>
      <w:bookmarkStart w:id="122" w:name="_Toc116986817"/>
      <w:r>
        <w:rPr>
          <w:rStyle w:val="CharSectno"/>
        </w:rPr>
        <w:t>15</w:t>
      </w:r>
      <w:r>
        <w:t>.</w:t>
      </w:r>
      <w:r>
        <w:tab/>
        <w:t>Cancellation or suspension of approvals</w:t>
      </w:r>
      <w:bookmarkEnd w:id="117"/>
      <w:bookmarkEnd w:id="118"/>
      <w:bookmarkEnd w:id="119"/>
      <w:bookmarkEnd w:id="120"/>
      <w:bookmarkEnd w:id="121"/>
      <w:bookmarkEnd w:id="122"/>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23" w:name="_Toc437231785"/>
      <w:bookmarkStart w:id="124" w:name="_Toc440254827"/>
      <w:bookmarkStart w:id="125" w:name="_Toc440266610"/>
      <w:bookmarkStart w:id="126" w:name="_Toc52255418"/>
      <w:bookmarkStart w:id="127" w:name="_Toc170207604"/>
      <w:bookmarkStart w:id="128" w:name="_Toc116986818"/>
      <w:r>
        <w:rPr>
          <w:rStyle w:val="CharSectno"/>
        </w:rPr>
        <w:t>16</w:t>
      </w:r>
      <w:r>
        <w:t>.</w:t>
      </w:r>
      <w:r>
        <w:tab/>
        <w:t>Notice of proposed junkets</w:t>
      </w:r>
      <w:bookmarkEnd w:id="123"/>
      <w:bookmarkEnd w:id="124"/>
      <w:bookmarkEnd w:id="125"/>
      <w:bookmarkEnd w:id="126"/>
      <w:bookmarkEnd w:id="127"/>
      <w:bookmarkEnd w:id="128"/>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29" w:name="_Toc437231786"/>
      <w:bookmarkStart w:id="130" w:name="_Toc440254828"/>
      <w:bookmarkStart w:id="131" w:name="_Toc440266611"/>
      <w:bookmarkStart w:id="132" w:name="_Toc52255419"/>
      <w:bookmarkStart w:id="133" w:name="_Toc170207605"/>
      <w:bookmarkStart w:id="134" w:name="_Toc116986819"/>
      <w:r>
        <w:rPr>
          <w:rStyle w:val="CharSectno"/>
        </w:rPr>
        <w:t>17</w:t>
      </w:r>
      <w:r>
        <w:t>.</w:t>
      </w:r>
      <w:r>
        <w:tab/>
        <w:t>Offences</w:t>
      </w:r>
      <w:bookmarkEnd w:id="129"/>
      <w:bookmarkEnd w:id="130"/>
      <w:bookmarkEnd w:id="131"/>
      <w:bookmarkEnd w:id="132"/>
      <w:bookmarkEnd w:id="133"/>
      <w:bookmarkEnd w:id="134"/>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35" w:name="_Toc82249134"/>
      <w:bookmarkStart w:id="136" w:name="_Toc91471539"/>
      <w:bookmarkStart w:id="137" w:name="_Toc91473692"/>
      <w:bookmarkStart w:id="138" w:name="_Toc93127638"/>
      <w:bookmarkStart w:id="139" w:name="_Toc93128032"/>
      <w:bookmarkStart w:id="140" w:name="_Toc96326708"/>
      <w:bookmarkStart w:id="141" w:name="_Toc116984994"/>
      <w:bookmarkStart w:id="142" w:name="_Toc116986820"/>
      <w:bookmarkStart w:id="143" w:name="_Toc170207606"/>
      <w:r>
        <w:rPr>
          <w:rStyle w:val="CharPartNo"/>
        </w:rPr>
        <w:t>Part 4</w:t>
      </w:r>
      <w:r>
        <w:rPr>
          <w:rStyle w:val="CharDivNo"/>
        </w:rPr>
        <w:t xml:space="preserve"> </w:t>
      </w:r>
      <w:r>
        <w:t>—</w:t>
      </w:r>
      <w:r>
        <w:rPr>
          <w:rStyle w:val="CharDivText"/>
        </w:rPr>
        <w:t xml:space="preserve"> </w:t>
      </w:r>
      <w:r>
        <w:rPr>
          <w:rStyle w:val="CharPartText"/>
        </w:rPr>
        <w:t>Infringement notices</w:t>
      </w:r>
      <w:bookmarkEnd w:id="135"/>
      <w:bookmarkEnd w:id="136"/>
      <w:bookmarkEnd w:id="137"/>
      <w:bookmarkEnd w:id="138"/>
      <w:bookmarkEnd w:id="139"/>
      <w:bookmarkEnd w:id="140"/>
      <w:bookmarkEnd w:id="141"/>
      <w:bookmarkEnd w:id="142"/>
      <w:bookmarkEnd w:id="143"/>
    </w:p>
    <w:p>
      <w:pPr>
        <w:pStyle w:val="Heading5"/>
      </w:pPr>
      <w:bookmarkStart w:id="144" w:name="_Toc437231787"/>
      <w:bookmarkStart w:id="145" w:name="_Toc440254829"/>
      <w:bookmarkStart w:id="146" w:name="_Toc440266612"/>
      <w:bookmarkStart w:id="147" w:name="_Toc52255420"/>
      <w:bookmarkStart w:id="148" w:name="_Toc170207607"/>
      <w:bookmarkStart w:id="149" w:name="_Toc116986821"/>
      <w:r>
        <w:rPr>
          <w:rStyle w:val="CharSectno"/>
        </w:rPr>
        <w:t>18</w:t>
      </w:r>
      <w:r>
        <w:t>.</w:t>
      </w:r>
      <w:r>
        <w:tab/>
        <w:t>Infringement notices</w:t>
      </w:r>
      <w:bookmarkEnd w:id="144"/>
      <w:bookmarkEnd w:id="145"/>
      <w:bookmarkEnd w:id="146"/>
      <w:bookmarkEnd w:id="147"/>
      <w:bookmarkEnd w:id="148"/>
      <w:bookmarkEnd w:id="14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50" w:name="_Toc437231788"/>
      <w:bookmarkStart w:id="151" w:name="_Toc440254830"/>
      <w:bookmarkStart w:id="152" w:name="_Toc440266613"/>
      <w:bookmarkStart w:id="153" w:name="_Toc52255421"/>
      <w:bookmarkStart w:id="154" w:name="_Toc170207608"/>
      <w:bookmarkStart w:id="155" w:name="_Toc116986822"/>
      <w:r>
        <w:rPr>
          <w:rStyle w:val="CharSectno"/>
        </w:rPr>
        <w:t>19</w:t>
      </w:r>
      <w:r>
        <w:t>.</w:t>
      </w:r>
      <w:r>
        <w:tab/>
        <w:t>Form of infringement notice and withdrawal notice</w:t>
      </w:r>
      <w:bookmarkEnd w:id="150"/>
      <w:bookmarkEnd w:id="151"/>
      <w:bookmarkEnd w:id="152"/>
      <w:bookmarkEnd w:id="153"/>
      <w:bookmarkEnd w:id="154"/>
      <w:bookmarkEnd w:id="15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6" w:name="_Toc116986823"/>
      <w:bookmarkStart w:id="157" w:name="_Toc170207609"/>
      <w:r>
        <w:rPr>
          <w:rStyle w:val="CharSchNo"/>
        </w:rPr>
        <w:t>Schedule 1</w:t>
      </w:r>
      <w:r>
        <w:t xml:space="preserve"> — </w:t>
      </w:r>
      <w:r>
        <w:rPr>
          <w:rStyle w:val="CharSchText"/>
        </w:rPr>
        <w:t>Prescribed forms</w:t>
      </w:r>
      <w:bookmarkEnd w:id="156"/>
      <w:bookmarkEnd w:id="157"/>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8" w:name="_Toc82249138"/>
      <w:bookmarkStart w:id="159" w:name="_Toc91471543"/>
      <w:bookmarkStart w:id="160" w:name="_Toc91473696"/>
      <w:bookmarkStart w:id="161" w:name="_Toc93127642"/>
      <w:bookmarkStart w:id="162" w:name="_Toc93128036"/>
      <w:bookmarkStart w:id="163" w:name="_Toc96326712"/>
      <w:bookmarkStart w:id="164" w:name="_Toc116984998"/>
      <w:bookmarkStart w:id="165" w:name="_Toc116986824"/>
      <w:bookmarkStart w:id="166" w:name="_Toc170207610"/>
      <w:r>
        <w:t>Notes</w:t>
      </w:r>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del w:id="167" w:author="Master Repository Process" w:date="2021-07-31T15:2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68" w:name="_Toc170207611"/>
      <w:bookmarkStart w:id="169" w:name="_Toc116986825"/>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bl>
    <w:p>
      <w:pPr>
        <w:pStyle w:val="nSubsection"/>
        <w:tabs>
          <w:tab w:val="clear" w:pos="454"/>
          <w:tab w:val="left" w:pos="567"/>
        </w:tabs>
        <w:spacing w:before="120"/>
        <w:ind w:left="567" w:hanging="567"/>
        <w:rPr>
          <w:del w:id="170" w:author="Master Repository Process" w:date="2021-07-31T15:21:00Z"/>
          <w:snapToGrid w:val="0"/>
        </w:rPr>
      </w:pPr>
      <w:del w:id="171" w:author="Master Repository Process" w:date="2021-07-31T15: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 w:author="Master Repository Process" w:date="2021-07-31T15:21:00Z"/>
        </w:rPr>
      </w:pPr>
      <w:bookmarkStart w:id="173" w:name="_Toc7405065"/>
      <w:bookmarkStart w:id="174" w:name="_Toc116984353"/>
      <w:bookmarkStart w:id="175" w:name="_Toc116986826"/>
      <w:del w:id="176" w:author="Master Repository Process" w:date="2021-07-31T15:21:00Z">
        <w:r>
          <w:delText>Provisions that have not come into operation</w:delText>
        </w:r>
        <w:bookmarkEnd w:id="173"/>
        <w:bookmarkEnd w:id="174"/>
        <w:bookmarkEnd w:id="17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7" w:author="Master Repository Process" w:date="2021-07-31T15:21:00Z"/>
        </w:trPr>
        <w:tc>
          <w:tcPr>
            <w:tcW w:w="3119" w:type="dxa"/>
            <w:tcBorders>
              <w:top w:val="single" w:sz="4" w:space="0" w:color="auto"/>
              <w:bottom w:val="single" w:sz="4" w:space="0" w:color="auto"/>
            </w:tcBorders>
          </w:tcPr>
          <w:p>
            <w:pPr>
              <w:pStyle w:val="nTable"/>
              <w:spacing w:before="60" w:after="60"/>
              <w:ind w:right="113"/>
              <w:rPr>
                <w:del w:id="178" w:author="Master Repository Process" w:date="2021-07-31T15:21:00Z"/>
                <w:b/>
                <w:sz w:val="19"/>
              </w:rPr>
            </w:pPr>
            <w:del w:id="179" w:author="Master Repository Process" w:date="2021-07-31T15:21: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180" w:author="Master Repository Process" w:date="2021-07-31T15:21:00Z"/>
                <w:b/>
                <w:sz w:val="19"/>
              </w:rPr>
            </w:pPr>
            <w:del w:id="181" w:author="Master Repository Process" w:date="2021-07-31T15:21: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182" w:author="Master Repository Process" w:date="2021-07-31T15:21:00Z"/>
                <w:b/>
                <w:sz w:val="19"/>
              </w:rPr>
            </w:pPr>
            <w:del w:id="183" w:author="Master Repository Process" w:date="2021-07-31T15:21: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Casino Control Amendment Regulations</w:t>
            </w:r>
            <w:del w:id="184" w:author="Master Repository Process" w:date="2021-07-31T15:21:00Z">
              <w:r>
                <w:rPr>
                  <w:i/>
                  <w:sz w:val="19"/>
                </w:rPr>
                <w:delText xml:space="preserve"> </w:delText>
              </w:r>
            </w:del>
            <w:ins w:id="185" w:author="Master Repository Process" w:date="2021-07-31T15:21:00Z">
              <w:r>
                <w:rPr>
                  <w:i/>
                  <w:sz w:val="19"/>
                </w:rPr>
                <w:t> </w:t>
              </w:r>
            </w:ins>
            <w:r>
              <w:rPr>
                <w:i/>
                <w:sz w:val="19"/>
              </w:rPr>
              <w:t>2005</w:t>
            </w:r>
            <w:del w:id="186" w:author="Master Repository Process" w:date="2021-07-31T15:21:00Z">
              <w:r>
                <w:rPr>
                  <w:i/>
                  <w:sz w:val="19"/>
                </w:rPr>
                <w:delText xml:space="preserve"> </w:delText>
              </w:r>
              <w:r>
                <w:rPr>
                  <w:iCs/>
                  <w:sz w:val="19"/>
                </w:rPr>
                <w:delText xml:space="preserve">r. 4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14 Oct 2005 p. 4560</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pPr>
      <w:r>
        <w:rPr>
          <w:rFonts w:ascii="Times" w:hAnsi="Times"/>
          <w:vertAlign w:val="superscript"/>
        </w:rPr>
        <w:t>2</w:t>
      </w:r>
      <w:r>
        <w:tab/>
        <w:t>The</w:t>
      </w:r>
      <w:del w:id="187" w:author="Master Repository Process" w:date="2021-07-31T15:21:00Z">
        <w:r>
          <w:delText xml:space="preserve"> </w:delText>
        </w:r>
      </w:del>
      <w:ins w:id="188" w:author="Master Repository Process" w:date="2021-07-31T15:21:00Z">
        <w:r>
          <w:t> </w:t>
        </w:r>
      </w:ins>
      <w:r>
        <w:t>commencement date of 1 Oct 2001 that was specified was before the date of gazettal.</w:t>
      </w:r>
    </w:p>
    <w:p>
      <w:pPr>
        <w:pStyle w:val="nSubsection"/>
        <w:rPr>
          <w:del w:id="189" w:author="Master Repository Process" w:date="2021-07-31T15:21:00Z"/>
          <w:snapToGrid w:val="0"/>
        </w:rPr>
      </w:pPr>
      <w:del w:id="190" w:author="Master Repository Process" w:date="2021-07-31T15:2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Casino Control Amendment Regulations 2005 </w:delText>
        </w:r>
        <w:r>
          <w:rPr>
            <w:iCs/>
          </w:rPr>
          <w:delText>r. 4</w:delText>
        </w:r>
        <w:r>
          <w:rPr>
            <w:snapToGrid w:val="0"/>
          </w:rPr>
          <w:delText xml:space="preserve"> had not come into operation.  It reads as follows:</w:delText>
        </w:r>
      </w:del>
    </w:p>
    <w:p>
      <w:pPr>
        <w:pStyle w:val="MiscOpen"/>
        <w:keepNext w:val="0"/>
        <w:spacing w:before="60"/>
        <w:rPr>
          <w:del w:id="191" w:author="Master Repository Process" w:date="2021-07-31T15:21:00Z"/>
          <w:sz w:val="20"/>
        </w:rPr>
      </w:pPr>
      <w:del w:id="192" w:author="Master Repository Process" w:date="2021-07-31T15:21:00Z">
        <w:r>
          <w:rPr>
            <w:sz w:val="20"/>
          </w:rPr>
          <w:delText>“</w:delText>
        </w:r>
      </w:del>
    </w:p>
    <w:p>
      <w:pPr>
        <w:pStyle w:val="nzHeading5"/>
        <w:rPr>
          <w:del w:id="193" w:author="Master Repository Process" w:date="2021-07-31T15:21:00Z"/>
        </w:rPr>
      </w:pPr>
      <w:del w:id="194" w:author="Master Repository Process" w:date="2021-07-31T15:21:00Z">
        <w:r>
          <w:rPr>
            <w:rStyle w:val="CharSectno"/>
          </w:rPr>
          <w:delText>4</w:delText>
        </w:r>
        <w:r>
          <w:delText>.</w:delText>
        </w:r>
        <w:r>
          <w:tab/>
          <w:delText>Regulation 4 amended</w:delText>
        </w:r>
      </w:del>
    </w:p>
    <w:p>
      <w:pPr>
        <w:pStyle w:val="nzSubsection"/>
        <w:rPr>
          <w:del w:id="195" w:author="Master Repository Process" w:date="2021-07-31T15:21:00Z"/>
        </w:rPr>
      </w:pPr>
      <w:del w:id="196" w:author="Master Repository Process" w:date="2021-07-31T15:21:00Z">
        <w:r>
          <w:tab/>
        </w:r>
        <w:r>
          <w:tab/>
          <w:delText>Regulation 4 is amended by deleting “$110.” and inserting instead —</w:delText>
        </w:r>
      </w:del>
    </w:p>
    <w:p>
      <w:pPr>
        <w:pStyle w:val="nzSubsection"/>
        <w:rPr>
          <w:del w:id="197" w:author="Master Repository Process" w:date="2021-07-31T15:21:00Z"/>
        </w:rPr>
      </w:pPr>
      <w:del w:id="198" w:author="Master Repository Process" w:date="2021-07-31T15:21:00Z">
        <w:r>
          <w:tab/>
        </w:r>
        <w:r>
          <w:tab/>
          <w:delText>“    $115.    ”.</w:delText>
        </w:r>
      </w:del>
    </w:p>
    <w:p>
      <w:pPr>
        <w:pStyle w:val="MiscClose"/>
        <w:rPr>
          <w:del w:id="199" w:author="Master Repository Process" w:date="2021-07-31T15:21:00Z"/>
        </w:rPr>
      </w:pPr>
      <w:del w:id="200" w:author="Master Repository Process" w:date="2021-07-31T15:21: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2B9081-9E0A-4F42-846B-D26166D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3120</Words>
  <Characters>16852</Characters>
  <Application>Microsoft Office Word</Application>
  <DocSecurity>0</DocSecurity>
  <Lines>526</Lines>
  <Paragraphs>350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01-b0-02 - 01-c0-04</dc:title>
  <dc:subject/>
  <dc:creator/>
  <cp:keywords/>
  <dc:description/>
  <cp:lastModifiedBy>Master Repository Process</cp:lastModifiedBy>
  <cp:revision>2</cp:revision>
  <cp:lastPrinted>2005-01-10T05:45:00Z</cp:lastPrinted>
  <dcterms:created xsi:type="dcterms:W3CDTF">2021-07-31T07:21:00Z</dcterms:created>
  <dcterms:modified xsi:type="dcterms:W3CDTF">2021-07-31T07:21:00Z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vt:i4>
  </property>
  <property fmtid="{D5CDD505-2E9C-101B-9397-08002B2CF9AE}" pid="6" name="FromSuffix">
    <vt:lpwstr>01-b0-02</vt:lpwstr>
  </property>
  <property fmtid="{D5CDD505-2E9C-101B-9397-08002B2CF9AE}" pid="7" name="FromAsAtDate">
    <vt:lpwstr>14 Oct 2005</vt:lpwstr>
  </property>
  <property fmtid="{D5CDD505-2E9C-101B-9397-08002B2CF9AE}" pid="8" name="ToSuffix">
    <vt:lpwstr>01-c0-04</vt:lpwstr>
  </property>
  <property fmtid="{D5CDD505-2E9C-101B-9397-08002B2CF9AE}" pid="9" name="ToAsAtDate">
    <vt:lpwstr>01 Jan 2006</vt:lpwstr>
  </property>
</Properties>
</file>