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2014</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21 Feb 2015</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Rules 2009</w:t>
      </w:r>
    </w:p>
    <w:p>
      <w:pPr>
        <w:pStyle w:val="Heading2"/>
        <w:pageBreakBefore w:val="0"/>
        <w:spacing w:before="240"/>
      </w:pPr>
      <w:bookmarkStart w:id="1" w:name="_Toc412208345"/>
      <w:bookmarkStart w:id="2" w:name="_Toc420507301"/>
      <w:bookmarkStart w:id="3" w:name="_Toc420507390"/>
      <w:bookmarkStart w:id="4" w:name="_Toc52501659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p>
    <w:p>
      <w:pPr>
        <w:pStyle w:val="Heading5"/>
      </w:pPr>
      <w:bookmarkStart w:id="6" w:name="_Toc412208346"/>
      <w:bookmarkStart w:id="7" w:name="_Toc420507391"/>
      <w:bookmarkStart w:id="8" w:name="_Toc525016596"/>
      <w:r>
        <w:rPr>
          <w:rStyle w:val="CharSectno"/>
        </w:rPr>
        <w:t>1</w:t>
      </w:r>
      <w:r>
        <w:t>.</w:t>
      </w:r>
      <w:r>
        <w:tab/>
        <w:t>Citation</w:t>
      </w:r>
      <w:bookmarkEnd w:id="6"/>
      <w:bookmarkEnd w:id="7"/>
      <w:bookmarkEnd w:id="8"/>
    </w:p>
    <w:p>
      <w:pPr>
        <w:pStyle w:val="Subsection"/>
        <w:rPr>
          <w:i/>
        </w:rPr>
      </w:pPr>
      <w:r>
        <w:tab/>
      </w:r>
      <w:r>
        <w:tab/>
      </w:r>
      <w:bookmarkStart w:id="9" w:name="Start_Cursor"/>
      <w:bookmarkEnd w:id="9"/>
      <w:r>
        <w:rPr>
          <w:spacing w:val="-2"/>
        </w:rPr>
        <w:t>These</w:t>
      </w:r>
      <w:r>
        <w:t xml:space="preserve"> </w:t>
      </w:r>
      <w:r>
        <w:rPr>
          <w:spacing w:val="-2"/>
        </w:rPr>
        <w:t>rules</w:t>
      </w:r>
      <w:r>
        <w:t xml:space="preserve"> are the </w:t>
      </w:r>
      <w:r>
        <w:rPr>
          <w:i/>
        </w:rPr>
        <w:t>Legal Profession Rules 2009</w:t>
      </w:r>
      <w:r>
        <w:t>.</w:t>
      </w:r>
    </w:p>
    <w:p>
      <w:pPr>
        <w:pStyle w:val="Heading5"/>
        <w:rPr>
          <w:spacing w:val="-2"/>
        </w:rPr>
      </w:pPr>
      <w:bookmarkStart w:id="10" w:name="_Toc412208347"/>
      <w:bookmarkStart w:id="11" w:name="_Toc420507392"/>
      <w:bookmarkStart w:id="12" w:name="_Toc525016597"/>
      <w:r>
        <w:rPr>
          <w:rStyle w:val="CharSectno"/>
        </w:rPr>
        <w:t>2</w:t>
      </w:r>
      <w:r>
        <w:rPr>
          <w:spacing w:val="-2"/>
        </w:rPr>
        <w:t>.</w:t>
      </w:r>
      <w:r>
        <w:rPr>
          <w:spacing w:val="-2"/>
        </w:rPr>
        <w:tab/>
        <w:t>Commencement</w:t>
      </w:r>
      <w:bookmarkEnd w:id="10"/>
      <w:bookmarkEnd w:id="11"/>
      <w:bookmarkEnd w:id="12"/>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13" w:name="_Toc412208348"/>
      <w:bookmarkStart w:id="14" w:name="_Toc420507393"/>
      <w:bookmarkStart w:id="15" w:name="_Toc525016598"/>
      <w:r>
        <w:rPr>
          <w:rStyle w:val="CharSectno"/>
        </w:rPr>
        <w:t>3A</w:t>
      </w:r>
      <w:r>
        <w:t>.</w:t>
      </w:r>
      <w:r>
        <w:tab/>
        <w:t>Supervised legal practice</w:t>
      </w:r>
      <w:bookmarkEnd w:id="13"/>
      <w:bookmarkEnd w:id="14"/>
      <w:bookmarkEnd w:id="15"/>
    </w:p>
    <w:p>
      <w:pPr>
        <w:pStyle w:val="Subsection"/>
      </w:pPr>
      <w:r>
        <w:tab/>
        <w:t>(1)</w:t>
      </w:r>
      <w:r>
        <w:tab/>
        <w:t xml:space="preserve">This rule applies for the purposes of the definition, in section 3 of the Act, of </w:t>
      </w:r>
      <w:r>
        <w:rPr>
          <w:b/>
          <w:bCs/>
          <w:i/>
          <w:iCs/>
        </w:rPr>
        <w:t>supervised legal practice</w:t>
      </w:r>
      <w:r>
        <w:t xml:space="preserve"> paragraph (f).</w:t>
      </w:r>
    </w:p>
    <w:p>
      <w:pPr>
        <w:pStyle w:val="Subsection"/>
      </w:pPr>
      <w:r>
        <w:tab/>
        <w:t>(2)</w:t>
      </w:r>
      <w:r>
        <w:tab/>
        <w:t xml:space="preserve">Legal practice is approved if it is engaged in in a capacity approved under rule 19 for the purposes of the definition, in section 50 of the Act, of </w:t>
      </w:r>
      <w:r>
        <w:rPr>
          <w:b/>
          <w:bCs/>
          <w:i/>
          <w:iCs/>
        </w:rPr>
        <w:t xml:space="preserve">restricted legal practice </w:t>
      </w:r>
      <w:r>
        <w:t>paragraph (f).</w:t>
      </w:r>
    </w:p>
    <w:p>
      <w:pPr>
        <w:pStyle w:val="Footnotesection"/>
      </w:pPr>
      <w:r>
        <w:tab/>
        <w:t>[Rule 3A inserted in Gazette 7 Apr 2009 p. 1135.]</w:t>
      </w:r>
    </w:p>
    <w:p>
      <w:pPr>
        <w:pStyle w:val="Heading2"/>
      </w:pPr>
      <w:bookmarkStart w:id="16" w:name="_Toc412208349"/>
      <w:bookmarkStart w:id="17" w:name="_Toc420507305"/>
      <w:bookmarkStart w:id="18" w:name="_Toc420507394"/>
      <w:bookmarkStart w:id="19" w:name="_Toc525016599"/>
      <w:r>
        <w:rPr>
          <w:rStyle w:val="CharPartNo"/>
        </w:rPr>
        <w:t>Part 2</w:t>
      </w:r>
      <w:r>
        <w:t> — </w:t>
      </w:r>
      <w:r>
        <w:rPr>
          <w:rStyle w:val="CharPartText"/>
        </w:rPr>
        <w:t>Australian legal practitioners</w:t>
      </w:r>
      <w:bookmarkEnd w:id="16"/>
      <w:bookmarkEnd w:id="17"/>
      <w:bookmarkEnd w:id="18"/>
      <w:bookmarkEnd w:id="19"/>
    </w:p>
    <w:p>
      <w:pPr>
        <w:pStyle w:val="Heading3"/>
      </w:pPr>
      <w:bookmarkStart w:id="20" w:name="_Toc412208350"/>
      <w:bookmarkStart w:id="21" w:name="_Toc420507306"/>
      <w:bookmarkStart w:id="22" w:name="_Toc420507395"/>
      <w:bookmarkStart w:id="23" w:name="_Toc525016600"/>
      <w:r>
        <w:rPr>
          <w:rStyle w:val="CharDivNo"/>
        </w:rPr>
        <w:t>Division 1</w:t>
      </w:r>
      <w:r>
        <w:t> — </w:t>
      </w:r>
      <w:r>
        <w:rPr>
          <w:rStyle w:val="CharDivText"/>
        </w:rPr>
        <w:t>Grant or renewal of local practising certificates</w:t>
      </w:r>
      <w:bookmarkEnd w:id="20"/>
      <w:bookmarkEnd w:id="21"/>
      <w:bookmarkEnd w:id="22"/>
      <w:bookmarkEnd w:id="23"/>
    </w:p>
    <w:p>
      <w:pPr>
        <w:pStyle w:val="Heading5"/>
      </w:pPr>
      <w:bookmarkStart w:id="24" w:name="_Toc412208351"/>
      <w:bookmarkStart w:id="25" w:name="_Toc420507396"/>
      <w:bookmarkStart w:id="26" w:name="_Toc525016601"/>
      <w:r>
        <w:rPr>
          <w:rStyle w:val="CharSectno"/>
        </w:rPr>
        <w:t>3</w:t>
      </w:r>
      <w:r>
        <w:t>.</w:t>
      </w:r>
      <w:r>
        <w:tab/>
        <w:t>Application for grant or renewal of local practising certificate (s. 43(1))</w:t>
      </w:r>
      <w:bookmarkEnd w:id="24"/>
      <w:bookmarkEnd w:id="25"/>
      <w:bookmarkEnd w:id="26"/>
    </w:p>
    <w:p>
      <w:pPr>
        <w:pStyle w:val="Subsection"/>
      </w:pPr>
      <w:r>
        <w:tab/>
        <w:t>(1)</w:t>
      </w:r>
      <w:r>
        <w:tab/>
        <w:t>An application for the grant or renewal of a local practising certificate must be accompanied by any documents or other information required by the approved form.</w:t>
      </w:r>
    </w:p>
    <w:p>
      <w:pPr>
        <w:pStyle w:val="Subsection"/>
      </w:pPr>
      <w:r>
        <w:tab/>
        <w:t>(2)</w:t>
      </w:r>
      <w:r>
        <w:tab/>
        <w:t>If the approved form provides for any document or information relating to the application to be given to the Board after the application has been made, the applicant must give the document or information to the Board within the period specified in the form.</w:t>
      </w:r>
    </w:p>
    <w:p>
      <w:pPr>
        <w:pStyle w:val="Heading5"/>
      </w:pPr>
      <w:bookmarkStart w:id="27" w:name="_Toc412208352"/>
      <w:bookmarkStart w:id="28" w:name="_Toc420507397"/>
      <w:bookmarkStart w:id="29" w:name="_Toc525016602"/>
      <w:r>
        <w:rPr>
          <w:rStyle w:val="CharSectno"/>
        </w:rPr>
        <w:t>4</w:t>
      </w:r>
      <w:r>
        <w:t>.</w:t>
      </w:r>
      <w:r>
        <w:tab/>
        <w:t>Fee for application for grant of local practising certificate (s. 43(1)(b))</w:t>
      </w:r>
      <w:bookmarkEnd w:id="27"/>
      <w:bookmarkEnd w:id="28"/>
      <w:bookmarkEnd w:id="29"/>
    </w:p>
    <w:p>
      <w:pPr>
        <w:pStyle w:val="Subsection"/>
      </w:pPr>
      <w:r>
        <w:tab/>
        <w:t>(1)</w:t>
      </w:r>
      <w:r>
        <w:tab/>
        <w:t>The fee payable for an application for the grant or renewal of a local practising certificate is the relevant fee specified in Schedule 1.</w:t>
      </w:r>
    </w:p>
    <w:p>
      <w:pPr>
        <w:pStyle w:val="Subsection"/>
      </w:pPr>
      <w:r>
        <w:tab/>
        <w:t>(2A)</w:t>
      </w:r>
      <w:r>
        <w:tab/>
        <w:t>The fee payable for an application for the grant or renewal of a local practising certificate as specified in Schedule 1 applies to a local practising certificate that takes effect within the time period specified with that fee.</w:t>
      </w:r>
    </w:p>
    <w:p>
      <w:pPr>
        <w:pStyle w:val="Subsection"/>
      </w:pPr>
      <w:r>
        <w:tab/>
        <w:t>(2)</w:t>
      </w:r>
      <w:r>
        <w:tab/>
        <w:t>An applicant for the grant of a local practising certificate is entitled to a discounted fee if —</w:t>
      </w:r>
    </w:p>
    <w:p>
      <w:pPr>
        <w:pStyle w:val="Indenta"/>
      </w:pPr>
      <w:r>
        <w:tab/>
        <w:t>(a)</w:t>
      </w:r>
      <w:r>
        <w:tab/>
        <w:t>the application is made on or after 1 January but before 30 June; and</w:t>
      </w:r>
    </w:p>
    <w:p>
      <w:pPr>
        <w:pStyle w:val="Indenta"/>
      </w:pPr>
      <w:r>
        <w:tab/>
        <w:t>(b)</w:t>
      </w:r>
      <w:r>
        <w:tab/>
        <w:t>the applicant either —</w:t>
      </w:r>
    </w:p>
    <w:p>
      <w:pPr>
        <w:pStyle w:val="Indenti"/>
      </w:pPr>
      <w:r>
        <w:tab/>
        <w:t>(i)</w:t>
      </w:r>
      <w:r>
        <w:tab/>
        <w:t>was not an Australian legal practitioner on the previous 30 June; or</w:t>
      </w:r>
    </w:p>
    <w:p>
      <w:pPr>
        <w:pStyle w:val="Indenti"/>
      </w:pPr>
      <w:r>
        <w:tab/>
        <w:t>(ii)</w:t>
      </w:r>
      <w:r>
        <w:tab/>
        <w:t>was a local legal practitioner on the previous 30 June but was not required by section 42(6) of the Act to renew his or her local practising certificate.</w:t>
      </w:r>
    </w:p>
    <w:p>
      <w:pPr>
        <w:pStyle w:val="Footnotesection"/>
      </w:pPr>
      <w:r>
        <w:tab/>
        <w:t>[Rule 4 amended in Gazette 12 Dec 2014 p. 4718-19.]</w:t>
      </w:r>
    </w:p>
    <w:p>
      <w:pPr>
        <w:pStyle w:val="Heading5"/>
      </w:pPr>
      <w:bookmarkStart w:id="30" w:name="_Toc412208353"/>
      <w:bookmarkStart w:id="31" w:name="_Toc420507398"/>
      <w:bookmarkStart w:id="32" w:name="_Toc525016603"/>
      <w:r>
        <w:rPr>
          <w:rStyle w:val="CharSectno"/>
        </w:rPr>
        <w:t>5</w:t>
      </w:r>
      <w:r>
        <w:t>.</w:t>
      </w:r>
      <w:r>
        <w:tab/>
        <w:t>Timing of application for renewal of local practising certificate (s. 44)</w:t>
      </w:r>
      <w:bookmarkEnd w:id="30"/>
      <w:bookmarkEnd w:id="31"/>
      <w:bookmarkEnd w:id="32"/>
    </w:p>
    <w:p>
      <w:pPr>
        <w:pStyle w:val="Subsection"/>
      </w:pPr>
      <w:r>
        <w:tab/>
        <w:t>(1)</w:t>
      </w:r>
      <w:r>
        <w:tab/>
        <w:t>In this rule —</w:t>
      </w:r>
    </w:p>
    <w:p>
      <w:pPr>
        <w:pStyle w:val="Defstart"/>
      </w:pPr>
      <w:r>
        <w:tab/>
      </w:r>
      <w:r>
        <w:rPr>
          <w:rStyle w:val="CharDefText"/>
        </w:rPr>
        <w:t>expiry day</w:t>
      </w:r>
      <w:r>
        <w:t>, in relation to a local practising certificate, means the day on which the certificate is due to expire.</w:t>
      </w:r>
    </w:p>
    <w:p>
      <w:pPr>
        <w:pStyle w:val="Subsection"/>
      </w:pPr>
      <w:r>
        <w:tab/>
        <w:t>(2)</w:t>
      </w:r>
      <w:r>
        <w:tab/>
        <w:t>For section 44(1)(a) of the Act the standard renewal period is the period beginning on the 1 May before the expiry day and ending on the 31 May before the expiry day.</w:t>
      </w:r>
    </w:p>
    <w:p>
      <w:pPr>
        <w:pStyle w:val="Subsection"/>
      </w:pPr>
      <w:r>
        <w:tab/>
        <w:t>(3)</w:t>
      </w:r>
      <w:r>
        <w:tab/>
        <w:t>For section 44(1)(b) of the Act the late fee period is the period beginning on the 1 June before the expiry day and ending on the expiry day.</w:t>
      </w:r>
    </w:p>
    <w:p>
      <w:pPr>
        <w:pStyle w:val="Heading5"/>
      </w:pPr>
      <w:bookmarkStart w:id="33" w:name="_Toc412208354"/>
      <w:bookmarkStart w:id="34" w:name="_Toc420507399"/>
      <w:bookmarkStart w:id="35" w:name="_Toc525016604"/>
      <w:r>
        <w:rPr>
          <w:rStyle w:val="CharSectno"/>
        </w:rPr>
        <w:t>6</w:t>
      </w:r>
      <w:r>
        <w:t>.</w:t>
      </w:r>
      <w:r>
        <w:tab/>
        <w:t>Notification of change of details</w:t>
      </w:r>
      <w:bookmarkEnd w:id="33"/>
      <w:bookmarkEnd w:id="34"/>
      <w:bookmarkEnd w:id="35"/>
    </w:p>
    <w:p>
      <w:pPr>
        <w:pStyle w:val="Subsection"/>
      </w:pPr>
      <w:r>
        <w:tab/>
        <w:t>(1)</w:t>
      </w:r>
      <w:r>
        <w:tab/>
        <w:t xml:space="preserve">A local legal practitioner must notify the Board immediately of any change in any of the information given in or with the practitioner’s most recent application for a local practising certificate. </w:t>
      </w:r>
    </w:p>
    <w:p>
      <w:pPr>
        <w:pStyle w:val="Subsection"/>
      </w:pPr>
      <w:r>
        <w:tab/>
        <w:t>(2)</w:t>
      </w:r>
      <w:r>
        <w:tab/>
        <w:t>A person who is taken to be a local legal practitioner under section 36 of the Act must notify the Board immediately of any change in the person’s name, address, telephone or fax number, email address or employer.</w:t>
      </w:r>
    </w:p>
    <w:p>
      <w:pPr>
        <w:pStyle w:val="Heading5"/>
      </w:pPr>
      <w:bookmarkStart w:id="36" w:name="_Toc412208355"/>
      <w:bookmarkStart w:id="37" w:name="_Toc420507400"/>
      <w:bookmarkStart w:id="38" w:name="_Toc525016605"/>
      <w:r>
        <w:rPr>
          <w:rStyle w:val="CharSectno"/>
        </w:rPr>
        <w:t>7A</w:t>
      </w:r>
      <w:r>
        <w:t>.</w:t>
      </w:r>
      <w:r>
        <w:tab/>
        <w:t>Contributions to Guarantee Fund (s. 337)</w:t>
      </w:r>
      <w:bookmarkEnd w:id="36"/>
      <w:bookmarkEnd w:id="37"/>
      <w:bookmarkEnd w:id="38"/>
    </w:p>
    <w:p>
      <w:pPr>
        <w:pStyle w:val="Subsection"/>
      </w:pPr>
      <w:r>
        <w:tab/>
      </w:r>
      <w:r>
        <w:tab/>
        <w:t>For the purposes of section 337 of the Act the prescribed amount is $20.</w:t>
      </w:r>
    </w:p>
    <w:p>
      <w:pPr>
        <w:pStyle w:val="Footnotesection"/>
      </w:pPr>
      <w:r>
        <w:tab/>
        <w:t>[Rule 3A inserted in Gazette 7 Apr 2009 p. 1136.]</w:t>
      </w:r>
    </w:p>
    <w:p>
      <w:pPr>
        <w:pStyle w:val="Heading3"/>
        <w:rPr>
          <w:rStyle w:val="CharDivText"/>
        </w:rPr>
      </w:pPr>
      <w:bookmarkStart w:id="39" w:name="_Toc412208356"/>
      <w:bookmarkStart w:id="40" w:name="_Toc420507312"/>
      <w:bookmarkStart w:id="41" w:name="_Toc420507401"/>
      <w:bookmarkStart w:id="42" w:name="_Toc525016606"/>
      <w:r>
        <w:rPr>
          <w:rStyle w:val="CharDivNo"/>
        </w:rPr>
        <w:t>Division 2</w:t>
      </w:r>
      <w:r>
        <w:t> — </w:t>
      </w:r>
      <w:r>
        <w:rPr>
          <w:rStyle w:val="CharDivText"/>
        </w:rPr>
        <w:t>Condition on local practising certificates: continuing professional development</w:t>
      </w:r>
      <w:bookmarkEnd w:id="39"/>
      <w:bookmarkEnd w:id="40"/>
      <w:bookmarkEnd w:id="41"/>
      <w:bookmarkEnd w:id="42"/>
    </w:p>
    <w:p>
      <w:pPr>
        <w:pStyle w:val="Heading4"/>
        <w:rPr>
          <w:ins w:id="43" w:author="Master Repository Process" w:date="2021-08-29T01:56:00Z"/>
        </w:rPr>
      </w:pPr>
      <w:bookmarkStart w:id="44" w:name="_Toc412208357"/>
      <w:bookmarkStart w:id="45" w:name="_Toc420507313"/>
      <w:bookmarkStart w:id="46" w:name="_Toc420507402"/>
      <w:ins w:id="47" w:author="Master Repository Process" w:date="2021-08-29T01:56:00Z">
        <w:r>
          <w:t>Subdivision 1 — Preliminary</w:t>
        </w:r>
        <w:bookmarkEnd w:id="44"/>
        <w:bookmarkEnd w:id="45"/>
        <w:bookmarkEnd w:id="46"/>
      </w:ins>
    </w:p>
    <w:p>
      <w:pPr>
        <w:pStyle w:val="Footnoteheading"/>
        <w:rPr>
          <w:ins w:id="48" w:author="Master Repository Process" w:date="2021-08-29T01:56:00Z"/>
        </w:rPr>
      </w:pPr>
      <w:ins w:id="49" w:author="Master Repository Process" w:date="2021-08-29T01:56:00Z">
        <w:r>
          <w:tab/>
          <w:t>[Heading inserted in Gazette 20 Feb 2015 p. 681.]</w:t>
        </w:r>
      </w:ins>
    </w:p>
    <w:p>
      <w:pPr>
        <w:pStyle w:val="Heading5"/>
      </w:pPr>
      <w:bookmarkStart w:id="50" w:name="_Toc412208358"/>
      <w:bookmarkStart w:id="51" w:name="_Toc420507403"/>
      <w:bookmarkStart w:id="52" w:name="_Toc525016607"/>
      <w:r>
        <w:rPr>
          <w:rStyle w:val="CharSectno"/>
        </w:rPr>
        <w:t>7</w:t>
      </w:r>
      <w:r>
        <w:t>.</w:t>
      </w:r>
      <w:r>
        <w:tab/>
        <w:t>Terms used</w:t>
      </w:r>
      <w:bookmarkEnd w:id="50"/>
      <w:bookmarkEnd w:id="51"/>
      <w:bookmarkEnd w:id="52"/>
    </w:p>
    <w:p>
      <w:pPr>
        <w:pStyle w:val="Subsection"/>
      </w:pPr>
      <w:r>
        <w:tab/>
      </w:r>
      <w:r>
        <w:tab/>
        <w:t xml:space="preserve">In this Division — </w:t>
      </w:r>
    </w:p>
    <w:p>
      <w:pPr>
        <w:pStyle w:val="Defstart"/>
      </w:pPr>
      <w:r>
        <w:tab/>
      </w:r>
      <w:r>
        <w:rPr>
          <w:rStyle w:val="CharDefText"/>
        </w:rPr>
        <w:t>approved CPD activity</w:t>
      </w:r>
      <w:r>
        <w:t xml:space="preserve"> means — </w:t>
      </w:r>
    </w:p>
    <w:p>
      <w:pPr>
        <w:pStyle w:val="Defpara"/>
      </w:pPr>
      <w:r>
        <w:tab/>
        <w:t>(a)</w:t>
      </w:r>
      <w:r>
        <w:tab/>
        <w:t>a professional development activity provided by a QA provider; or</w:t>
      </w:r>
    </w:p>
    <w:p>
      <w:pPr>
        <w:pStyle w:val="Defpara"/>
      </w:pPr>
      <w:r>
        <w:tab/>
        <w:t>(b)</w:t>
      </w:r>
      <w:r>
        <w:tab/>
        <w:t xml:space="preserve">a professional development activity approved under rule 15; </w:t>
      </w:r>
    </w:p>
    <w:p>
      <w:pPr>
        <w:pStyle w:val="Defstart"/>
        <w:rPr>
          <w:del w:id="53" w:author="Master Repository Process" w:date="2021-08-29T01:56:00Z"/>
        </w:rPr>
      </w:pPr>
      <w:del w:id="54" w:author="Master Repository Process" w:date="2021-08-29T01:56:00Z">
        <w:r>
          <w:tab/>
        </w:r>
        <w:r>
          <w:rPr>
            <w:rStyle w:val="CharDefText"/>
          </w:rPr>
          <w:delText>certificate year</w:delText>
        </w:r>
        <w:r>
          <w:delText xml:space="preserve"> means the period during which a local practising certificate is in force; </w:delText>
        </w:r>
      </w:del>
    </w:p>
    <w:p>
      <w:pPr>
        <w:pStyle w:val="Defstart"/>
      </w:pPr>
      <w:r>
        <w:tab/>
      </w:r>
      <w:r>
        <w:rPr>
          <w:rStyle w:val="CharDefText"/>
        </w:rPr>
        <w:t>chair</w:t>
      </w:r>
      <w:r>
        <w:t xml:space="preserve">, in relation to an interactive activity, means a person who chairs the activity but who is not a commentator; </w:t>
      </w:r>
    </w:p>
    <w:p>
      <w:pPr>
        <w:pStyle w:val="Defstart"/>
      </w:pPr>
      <w:r>
        <w:tab/>
      </w:r>
      <w:r>
        <w:rPr>
          <w:rStyle w:val="CharDefText"/>
        </w:rPr>
        <w:t>commentator</w:t>
      </w:r>
      <w:r>
        <w:t>, in relation to an interactive activity, means a person making substantive comments or leading discussion as convenor, group leader or in a similar role;</w:t>
      </w:r>
    </w:p>
    <w:p>
      <w:pPr>
        <w:pStyle w:val="Defstart"/>
        <w:rPr>
          <w:del w:id="55" w:author="Master Repository Process" w:date="2021-08-29T01:56:00Z"/>
        </w:rPr>
      </w:pPr>
      <w:del w:id="56" w:author="Master Repository Process" w:date="2021-08-29T01:56:00Z">
        <w:r>
          <w:tab/>
        </w:r>
        <w:r>
          <w:rPr>
            <w:rStyle w:val="CharDefText"/>
          </w:rPr>
          <w:delText>CPD condition</w:delText>
        </w:r>
        <w:r>
          <w:delText xml:space="preserve"> means the condition imposed on a local practising certificate by rule 8; </w:delText>
        </w:r>
      </w:del>
    </w:p>
    <w:p>
      <w:pPr>
        <w:pStyle w:val="Defstart"/>
        <w:rPr>
          <w:del w:id="57" w:author="Master Repository Process" w:date="2021-08-29T01:56:00Z"/>
        </w:rPr>
      </w:pPr>
      <w:del w:id="58" w:author="Master Repository Process" w:date="2021-08-29T01:56:00Z">
        <w:r>
          <w:tab/>
        </w:r>
        <w:r>
          <w:rPr>
            <w:rStyle w:val="CharDefText"/>
          </w:rPr>
          <w:delText>CPD point</w:delText>
        </w:r>
        <w:r>
          <w:delText xml:space="preserve"> means a point earned in accordance with rule 9; </w:delText>
        </w:r>
      </w:del>
    </w:p>
    <w:p>
      <w:pPr>
        <w:pStyle w:val="Defstart"/>
        <w:rPr>
          <w:del w:id="59" w:author="Master Repository Process" w:date="2021-08-29T01:56:00Z"/>
        </w:rPr>
      </w:pPr>
      <w:del w:id="60" w:author="Master Repository Process" w:date="2021-08-29T01:56:00Z">
        <w:r>
          <w:tab/>
        </w:r>
        <w:r>
          <w:rPr>
            <w:rStyle w:val="CharDefText"/>
          </w:rPr>
          <w:delText>individual activity</w:delText>
        </w:r>
        <w:r>
          <w:delText xml:space="preserve"> means an approved CPD activity that is not an interactive activity; </w:delText>
        </w:r>
      </w:del>
    </w:p>
    <w:p>
      <w:pPr>
        <w:pStyle w:val="Defstart"/>
      </w:pPr>
      <w:r>
        <w:tab/>
      </w:r>
      <w:r>
        <w:rPr>
          <w:rStyle w:val="CharDefText"/>
        </w:rPr>
        <w:t>interactive activity</w:t>
      </w:r>
      <w:r>
        <w:t xml:space="preserve"> means an approved CPD activity that is part of a structured learning programme and either — </w:t>
      </w:r>
    </w:p>
    <w:p>
      <w:pPr>
        <w:pStyle w:val="Defpara"/>
      </w:pPr>
      <w:r>
        <w:tab/>
        <w:t>(a)</w:t>
      </w:r>
      <w:r>
        <w:tab/>
        <w:t>involves interaction between 2 or more persons whether in person or by remote communication; or</w:t>
      </w:r>
    </w:p>
    <w:p>
      <w:pPr>
        <w:pStyle w:val="Defpara"/>
      </w:pPr>
      <w:r>
        <w:tab/>
        <w:t>(b)</w:t>
      </w:r>
      <w:r>
        <w:tab/>
        <w:t xml:space="preserve">is an interactive electronic activity; </w:t>
      </w:r>
    </w:p>
    <w:p>
      <w:pPr>
        <w:pStyle w:val="Defstart"/>
      </w:pPr>
      <w:r>
        <w:tab/>
      </w:r>
      <w:r>
        <w:rPr>
          <w:rStyle w:val="CharDefText"/>
        </w:rPr>
        <w:t>presenter</w:t>
      </w:r>
      <w:r>
        <w:t>, in relation to an interactive activity, means a person presenting the activity as a lecturer, tutor, presenter of a substantive paper or in a similar role;</w:t>
      </w:r>
    </w:p>
    <w:p>
      <w:pPr>
        <w:pStyle w:val="Defstart"/>
      </w:pPr>
      <w:r>
        <w:tab/>
      </w:r>
      <w:r>
        <w:rPr>
          <w:rStyle w:val="CharDefText"/>
        </w:rPr>
        <w:t>professional development activity</w:t>
      </w:r>
      <w:r>
        <w:t xml:space="preserve"> includes — </w:t>
      </w:r>
    </w:p>
    <w:p>
      <w:pPr>
        <w:pStyle w:val="Defpara"/>
      </w:pPr>
      <w:r>
        <w:tab/>
        <w:t>(a)</w:t>
      </w:r>
      <w:r>
        <w:tab/>
        <w:t>an educational or training activity; and</w:t>
      </w:r>
    </w:p>
    <w:p>
      <w:pPr>
        <w:pStyle w:val="Defpara"/>
      </w:pPr>
      <w:r>
        <w:tab/>
        <w:t>(b)</w:t>
      </w:r>
      <w:r>
        <w:tab/>
        <w:t>the writing of a book, article, commentary or other similar work; and</w:t>
      </w:r>
    </w:p>
    <w:p>
      <w:pPr>
        <w:pStyle w:val="Defpara"/>
      </w:pPr>
      <w:r>
        <w:tab/>
        <w:t>(c)</w:t>
      </w:r>
      <w:r>
        <w:tab/>
        <w:t>the preparation of material to be used by participants in an educational or training activity</w:t>
      </w:r>
      <w:ins w:id="61" w:author="Master Repository Process" w:date="2021-08-29T01:56:00Z">
        <w:r>
          <w:t>, whether or not the material is to be presented by the person who prepared the material</w:t>
        </w:r>
      </w:ins>
      <w:r>
        <w:t>; and</w:t>
      </w:r>
    </w:p>
    <w:p>
      <w:pPr>
        <w:pStyle w:val="Defpara"/>
      </w:pPr>
      <w:r>
        <w:tab/>
        <w:t>(d)</w:t>
      </w:r>
      <w:r>
        <w:tab/>
        <w:t>the editing</w:t>
      </w:r>
      <w:ins w:id="62" w:author="Master Repository Process" w:date="2021-08-29T01:56:00Z">
        <w:r>
          <w:t>, publishing or refereeing</w:t>
        </w:r>
      </w:ins>
      <w:r>
        <w:t xml:space="preserve"> of a journal</w:t>
      </w:r>
      <w:ins w:id="63" w:author="Master Repository Process" w:date="2021-08-29T01:56:00Z">
        <w:r>
          <w:t>, or article in a journal,</w:t>
        </w:r>
      </w:ins>
      <w:r>
        <w:t xml:space="preserve"> or similar publication (whether in print or an electronic format</w:t>
      </w:r>
      <w:del w:id="64" w:author="Master Repository Process" w:date="2021-08-29T01:56:00Z">
        <w:r>
          <w:delText xml:space="preserve">); </w:delText>
        </w:r>
      </w:del>
      <w:ins w:id="65" w:author="Master Repository Process" w:date="2021-08-29T01:56:00Z">
        <w:r>
          <w:t xml:space="preserve"> and whether in a publication primarily intended for the legal profession or otherwise);</w:t>
        </w:r>
      </w:ins>
    </w:p>
    <w:p>
      <w:pPr>
        <w:pStyle w:val="Defstart"/>
      </w:pPr>
      <w:r>
        <w:tab/>
      </w:r>
      <w:r>
        <w:rPr>
          <w:rStyle w:val="CharDefText"/>
        </w:rPr>
        <w:t>publication activity</w:t>
      </w:r>
      <w:r>
        <w:t xml:space="preserve"> means a professional development activity of a kind described in paragraphs (b), (c) and (d) of that term; </w:t>
      </w:r>
    </w:p>
    <w:p>
      <w:pPr>
        <w:pStyle w:val="Defstart"/>
      </w:pPr>
      <w:r>
        <w:tab/>
      </w:r>
      <w:r>
        <w:rPr>
          <w:rStyle w:val="CharDefText"/>
        </w:rPr>
        <w:t>QA provider</w:t>
      </w:r>
      <w:r>
        <w:t xml:space="preserve"> means — </w:t>
      </w:r>
    </w:p>
    <w:p>
      <w:pPr>
        <w:pStyle w:val="Defpara"/>
      </w:pPr>
      <w:r>
        <w:tab/>
        <w:t>(a)</w:t>
      </w:r>
      <w:r>
        <w:tab/>
        <w:t>a body that is a QA provider under rule 14(1); or</w:t>
      </w:r>
    </w:p>
    <w:p>
      <w:pPr>
        <w:pStyle w:val="Defpara"/>
      </w:pPr>
      <w:r>
        <w:tab/>
        <w:t>(b)</w:t>
      </w:r>
      <w:r>
        <w:tab/>
        <w:t>a person, body or group of persons approved as a QA provider under rule 14(2);</w:t>
      </w:r>
    </w:p>
    <w:p>
      <w:pPr>
        <w:pStyle w:val="Defstart"/>
      </w:pPr>
      <w:r>
        <w:tab/>
      </w:r>
      <w:r>
        <w:rPr>
          <w:rStyle w:val="CharDefText"/>
        </w:rPr>
        <w:t>remote communication</w:t>
      </w:r>
      <w:r>
        <w:t xml:space="preserve"> means any way of communicating at a distance including any sort of electronic, audio or audiovisual communication.</w:t>
      </w:r>
    </w:p>
    <w:p>
      <w:pPr>
        <w:pStyle w:val="Footnotesection"/>
        <w:rPr>
          <w:ins w:id="66" w:author="Master Repository Process" w:date="2021-08-29T01:56:00Z"/>
        </w:rPr>
      </w:pPr>
      <w:ins w:id="67" w:author="Master Repository Process" w:date="2021-08-29T01:56:00Z">
        <w:r>
          <w:tab/>
          <w:t>[Rule 7 amended in Gazette 20 Feb 2015 p. 681.]</w:t>
        </w:r>
      </w:ins>
    </w:p>
    <w:p>
      <w:pPr>
        <w:pStyle w:val="Heading4"/>
        <w:rPr>
          <w:ins w:id="68" w:author="Master Repository Process" w:date="2021-08-29T01:56:00Z"/>
        </w:rPr>
      </w:pPr>
      <w:bookmarkStart w:id="69" w:name="_Toc412208359"/>
      <w:bookmarkStart w:id="70" w:name="_Toc420507315"/>
      <w:bookmarkStart w:id="71" w:name="_Toc420507404"/>
      <w:ins w:id="72" w:author="Master Repository Process" w:date="2021-08-29T01:56:00Z">
        <w:r>
          <w:t>Subdivision 2 — Local practising certificates in force before 1 July 2015</w:t>
        </w:r>
        <w:bookmarkEnd w:id="69"/>
        <w:bookmarkEnd w:id="70"/>
        <w:bookmarkEnd w:id="71"/>
      </w:ins>
    </w:p>
    <w:p>
      <w:pPr>
        <w:pStyle w:val="Footnoteheading"/>
        <w:rPr>
          <w:ins w:id="73" w:author="Master Repository Process" w:date="2021-08-29T01:56:00Z"/>
        </w:rPr>
      </w:pPr>
      <w:ins w:id="74" w:author="Master Repository Process" w:date="2021-08-29T01:56:00Z">
        <w:r>
          <w:tab/>
          <w:t>[Heading inserted in Gazette 20 Feb 2015 p. 681.]</w:t>
        </w:r>
      </w:ins>
    </w:p>
    <w:p>
      <w:pPr>
        <w:pStyle w:val="Heading5"/>
        <w:rPr>
          <w:ins w:id="75" w:author="Master Repository Process" w:date="2021-08-29T01:56:00Z"/>
        </w:rPr>
      </w:pPr>
      <w:bookmarkStart w:id="76" w:name="_Toc412208360"/>
      <w:bookmarkStart w:id="77" w:name="_Toc420507405"/>
      <w:ins w:id="78" w:author="Master Repository Process" w:date="2021-08-29T01:56:00Z">
        <w:r>
          <w:rPr>
            <w:rStyle w:val="CharSectno"/>
          </w:rPr>
          <w:t>8A</w:t>
        </w:r>
        <w:r>
          <w:t>.</w:t>
        </w:r>
        <w:r>
          <w:tab/>
          <w:t>Terms used</w:t>
        </w:r>
        <w:bookmarkEnd w:id="76"/>
        <w:bookmarkEnd w:id="77"/>
      </w:ins>
    </w:p>
    <w:p>
      <w:pPr>
        <w:pStyle w:val="Subsection"/>
        <w:rPr>
          <w:ins w:id="79" w:author="Master Repository Process" w:date="2021-08-29T01:56:00Z"/>
        </w:rPr>
      </w:pPr>
      <w:ins w:id="80" w:author="Master Repository Process" w:date="2021-08-29T01:56:00Z">
        <w:r>
          <w:tab/>
        </w:r>
        <w:r>
          <w:tab/>
          <w:t xml:space="preserve">In this Subdivision — </w:t>
        </w:r>
      </w:ins>
    </w:p>
    <w:p>
      <w:pPr>
        <w:pStyle w:val="Defstart"/>
        <w:rPr>
          <w:ins w:id="81" w:author="Master Repository Process" w:date="2021-08-29T01:56:00Z"/>
        </w:rPr>
      </w:pPr>
      <w:ins w:id="82" w:author="Master Repository Process" w:date="2021-08-29T01:56:00Z">
        <w:r>
          <w:tab/>
        </w:r>
        <w:r>
          <w:rPr>
            <w:rStyle w:val="CharDefText"/>
          </w:rPr>
          <w:t>certificate year</w:t>
        </w:r>
        <w:r>
          <w:t xml:space="preserve"> means the period during which a local practising certificate is in force;</w:t>
        </w:r>
      </w:ins>
    </w:p>
    <w:p>
      <w:pPr>
        <w:pStyle w:val="Defstart"/>
        <w:rPr>
          <w:ins w:id="83" w:author="Master Repository Process" w:date="2021-08-29T01:56:00Z"/>
        </w:rPr>
      </w:pPr>
      <w:ins w:id="84" w:author="Master Repository Process" w:date="2021-08-29T01:56:00Z">
        <w:r>
          <w:tab/>
        </w:r>
        <w:r>
          <w:rPr>
            <w:rStyle w:val="CharDefText"/>
          </w:rPr>
          <w:t>CPD condition</w:t>
        </w:r>
        <w:r>
          <w:t xml:space="preserve"> means the condition imposed on a local practising certificate by rule 8(1);</w:t>
        </w:r>
      </w:ins>
    </w:p>
    <w:p>
      <w:pPr>
        <w:pStyle w:val="Subsection"/>
        <w:rPr>
          <w:ins w:id="85" w:author="Master Repository Process" w:date="2021-08-29T01:56:00Z"/>
        </w:rPr>
      </w:pPr>
      <w:ins w:id="86" w:author="Master Repository Process" w:date="2021-08-29T01:56:00Z">
        <w:r>
          <w:tab/>
        </w:r>
        <w:r>
          <w:tab/>
        </w:r>
        <w:r>
          <w:rPr>
            <w:rStyle w:val="CharDefText"/>
          </w:rPr>
          <w:t>CPD point</w:t>
        </w:r>
        <w:r>
          <w:t xml:space="preserve"> means a point earned in accordance with rule 9;</w:t>
        </w:r>
      </w:ins>
    </w:p>
    <w:p>
      <w:pPr>
        <w:pStyle w:val="Defstart"/>
        <w:rPr>
          <w:ins w:id="87" w:author="Master Repository Process" w:date="2021-08-29T01:56:00Z"/>
        </w:rPr>
      </w:pPr>
      <w:ins w:id="88" w:author="Master Repository Process" w:date="2021-08-29T01:56:00Z">
        <w:r>
          <w:tab/>
        </w:r>
        <w:r>
          <w:rPr>
            <w:rStyle w:val="CharDefText"/>
          </w:rPr>
          <w:t>individual activity</w:t>
        </w:r>
        <w:r>
          <w:t xml:space="preserve"> means an approved CPD activity that is not an interactive activity.</w:t>
        </w:r>
      </w:ins>
    </w:p>
    <w:p>
      <w:pPr>
        <w:pStyle w:val="Footnotesection"/>
        <w:rPr>
          <w:ins w:id="89" w:author="Master Repository Process" w:date="2021-08-29T01:56:00Z"/>
        </w:rPr>
      </w:pPr>
      <w:ins w:id="90" w:author="Master Repository Process" w:date="2021-08-29T01:56:00Z">
        <w:r>
          <w:tab/>
          <w:t>[Rule 8A inserted in Gazette 20 Feb 2015 p. 681.]</w:t>
        </w:r>
      </w:ins>
    </w:p>
    <w:p>
      <w:pPr>
        <w:pStyle w:val="Heading5"/>
      </w:pPr>
      <w:bookmarkStart w:id="91" w:name="_Toc412208361"/>
      <w:bookmarkStart w:id="92" w:name="_Toc420507406"/>
      <w:bookmarkStart w:id="93" w:name="_Toc525016608"/>
      <w:r>
        <w:rPr>
          <w:rStyle w:val="CharSectno"/>
        </w:rPr>
        <w:t>8</w:t>
      </w:r>
      <w:r>
        <w:t>.</w:t>
      </w:r>
      <w:r>
        <w:tab/>
        <w:t>Condition on practising certificates</w:t>
      </w:r>
      <w:ins w:id="94" w:author="Master Repository Process" w:date="2021-08-29T01:56:00Z">
        <w:r>
          <w:t xml:space="preserve"> before 1 July 2015</w:t>
        </w:r>
      </w:ins>
      <w:r>
        <w:t>: practitioner must complete professional development</w:t>
      </w:r>
      <w:bookmarkEnd w:id="91"/>
      <w:bookmarkEnd w:id="92"/>
      <w:bookmarkEnd w:id="93"/>
    </w:p>
    <w:p>
      <w:pPr>
        <w:pStyle w:val="Subsection"/>
      </w:pPr>
      <w:r>
        <w:tab/>
        <w:t>(1)</w:t>
      </w:r>
      <w:r>
        <w:tab/>
        <w:t>A local practising certificate that takes effect on or after 1 July 2009</w:t>
      </w:r>
      <w:ins w:id="95" w:author="Master Repository Process" w:date="2021-08-29T01:56:00Z">
        <w:r>
          <w:t>, but before 1 July 2015,</w:t>
        </w:r>
      </w:ins>
      <w:r>
        <w:t xml:space="preserve"> is subject to the condition that the local legal practitioner must earn 10 CPD points during the certificate year. </w:t>
      </w:r>
    </w:p>
    <w:p>
      <w:pPr>
        <w:pStyle w:val="Subsection"/>
      </w:pPr>
      <w:r>
        <w:tab/>
        <w:t>(2)</w:t>
      </w:r>
      <w:r>
        <w:tab/>
        <w:t>If requested by the Board to do so a local legal practitioner, or a person who was a local legal practitioner, must provide to the Board any document or information in relation to the person’s compliance with a condition imposed under subrule (1).</w:t>
      </w:r>
    </w:p>
    <w:p>
      <w:pPr>
        <w:pStyle w:val="Footnotesection"/>
        <w:rPr>
          <w:ins w:id="96" w:author="Master Repository Process" w:date="2021-08-29T01:56:00Z"/>
        </w:rPr>
      </w:pPr>
      <w:ins w:id="97" w:author="Master Repository Process" w:date="2021-08-29T01:56:00Z">
        <w:r>
          <w:tab/>
          <w:t>[Rule 8 amended in Gazette 20 Feb 2015 p. 682.]</w:t>
        </w:r>
      </w:ins>
    </w:p>
    <w:p>
      <w:pPr>
        <w:pStyle w:val="Heading5"/>
      </w:pPr>
      <w:bookmarkStart w:id="98" w:name="_Toc412208362"/>
      <w:bookmarkStart w:id="99" w:name="_Toc420507407"/>
      <w:bookmarkStart w:id="100" w:name="_Toc525016609"/>
      <w:r>
        <w:rPr>
          <w:rStyle w:val="CharSectno"/>
        </w:rPr>
        <w:t>9</w:t>
      </w:r>
      <w:r>
        <w:t>.</w:t>
      </w:r>
      <w:r>
        <w:tab/>
        <w:t>Earning CPD points</w:t>
      </w:r>
      <w:bookmarkEnd w:id="98"/>
      <w:bookmarkEnd w:id="99"/>
      <w:bookmarkEnd w:id="100"/>
    </w:p>
    <w:p>
      <w:pPr>
        <w:pStyle w:val="Subsection"/>
      </w:pPr>
      <w:r>
        <w:tab/>
        <w:t>(1)</w:t>
      </w:r>
      <w:r>
        <w:tab/>
        <w:t>A local legal practitioner earns CPD points by completing approved CPD activities.</w:t>
      </w:r>
    </w:p>
    <w:p>
      <w:pPr>
        <w:pStyle w:val="Subsection"/>
      </w:pPr>
      <w:r>
        <w:tab/>
        <w:t>(2)</w:t>
      </w:r>
      <w:r>
        <w:tab/>
        <w:t>The number of CPD points earned by completing a particular approved CPD activity is to be determined under rule 12.</w:t>
      </w:r>
    </w:p>
    <w:p>
      <w:pPr>
        <w:pStyle w:val="Subsection"/>
      </w:pPr>
      <w:r>
        <w:tab/>
        <w:t>(3)</w:t>
      </w:r>
      <w:r>
        <w:tab/>
        <w:t xml:space="preserve">Subject to </w:t>
      </w:r>
      <w:del w:id="101" w:author="Master Repository Process" w:date="2021-08-29T01:56:00Z">
        <w:r>
          <w:delText>subrule </w:delText>
        </w:r>
      </w:del>
      <w:ins w:id="102" w:author="Master Repository Process" w:date="2021-08-29T01:56:00Z">
        <w:r>
          <w:t xml:space="preserve">subrules </w:t>
        </w:r>
      </w:ins>
      <w:r>
        <w:t>(4)</w:t>
      </w:r>
      <w:ins w:id="103" w:author="Master Repository Process" w:date="2021-08-29T01:56:00Z">
        <w:r>
          <w:t xml:space="preserve"> and (5A),</w:t>
        </w:r>
      </w:ins>
      <w:r>
        <w:t xml:space="preserve"> a CPD point is earned in the certificate year during which the approved CPD activity is completed.</w:t>
      </w:r>
    </w:p>
    <w:p>
      <w:pPr>
        <w:pStyle w:val="Subsection"/>
      </w:pPr>
      <w:r>
        <w:tab/>
        <w:t>(4)</w:t>
      </w:r>
      <w:r>
        <w:tab/>
        <w:t>A CPD point earned by the completion of an approved CPD activity on or after 1 April but before 30 June in a year is to be taken to have been earned on 1 July of that year.</w:t>
      </w:r>
    </w:p>
    <w:p>
      <w:pPr>
        <w:pStyle w:val="Subsection"/>
        <w:rPr>
          <w:ins w:id="104" w:author="Master Repository Process" w:date="2021-08-29T01:56:00Z"/>
        </w:rPr>
      </w:pPr>
      <w:ins w:id="105" w:author="Master Repository Process" w:date="2021-08-29T01:56:00Z">
        <w:r>
          <w:tab/>
          <w:t>(5A)</w:t>
        </w:r>
        <w:r>
          <w:tab/>
          <w:t>Subrules (3) and (4) do not apply to points earned after 31 March 2015 and before 1 July 2015.</w:t>
        </w:r>
      </w:ins>
    </w:p>
    <w:p>
      <w:pPr>
        <w:pStyle w:val="Subsection"/>
      </w:pPr>
      <w:r>
        <w:tab/>
        <w:t>(5)</w:t>
      </w:r>
      <w:r>
        <w:tab/>
        <w:t xml:space="preserve">A practitioner may complete an interactive activity — </w:t>
      </w:r>
    </w:p>
    <w:p>
      <w:pPr>
        <w:pStyle w:val="Indenta"/>
      </w:pPr>
      <w:r>
        <w:tab/>
        <w:t>(a)</w:t>
      </w:r>
      <w:r>
        <w:tab/>
        <w:t>as a participant by attending in person or by remote communication; or</w:t>
      </w:r>
    </w:p>
    <w:p>
      <w:pPr>
        <w:pStyle w:val="Indenta"/>
      </w:pPr>
      <w:r>
        <w:tab/>
        <w:t>(b)</w:t>
      </w:r>
      <w:r>
        <w:tab/>
        <w:t>as a presenter, commentator or chair of the activity.</w:t>
      </w:r>
    </w:p>
    <w:p>
      <w:pPr>
        <w:pStyle w:val="NotesPerm"/>
        <w:tabs>
          <w:tab w:val="clear" w:pos="879"/>
          <w:tab w:val="left" w:pos="851"/>
        </w:tabs>
        <w:ind w:left="1418" w:hanging="1418"/>
        <w:rPr>
          <w:ins w:id="106" w:author="Master Repository Process" w:date="2021-08-29T01:56:00Z"/>
        </w:rPr>
      </w:pPr>
      <w:ins w:id="107" w:author="Master Repository Process" w:date="2021-08-29T01:56:00Z">
        <w:r>
          <w:tab/>
          <w:t>Note:</w:t>
        </w:r>
        <w:r>
          <w:tab/>
        </w:r>
      </w:ins>
    </w:p>
    <w:p>
      <w:pPr>
        <w:pStyle w:val="NotesPerm"/>
        <w:tabs>
          <w:tab w:val="clear" w:pos="879"/>
          <w:tab w:val="left" w:pos="851"/>
        </w:tabs>
        <w:ind w:left="1418" w:hanging="1418"/>
        <w:rPr>
          <w:ins w:id="108" w:author="Master Repository Process" w:date="2021-08-29T01:56:00Z"/>
        </w:rPr>
      </w:pPr>
      <w:ins w:id="109" w:author="Master Repository Process" w:date="2021-08-29T01:56:00Z">
        <w:r>
          <w:tab/>
        </w:r>
        <w:r>
          <w:tab/>
          <w:t>Subdivision 3 deals with earning CPD points after 31 March 2015.</w:t>
        </w:r>
      </w:ins>
    </w:p>
    <w:p>
      <w:pPr>
        <w:pStyle w:val="Footnotesection"/>
        <w:rPr>
          <w:ins w:id="110" w:author="Master Repository Process" w:date="2021-08-29T01:56:00Z"/>
        </w:rPr>
      </w:pPr>
      <w:ins w:id="111" w:author="Master Repository Process" w:date="2021-08-29T01:56:00Z">
        <w:r>
          <w:tab/>
          <w:t>[Rule 9 amended in Gazette 20 Feb 2015 p. 682.]</w:t>
        </w:r>
      </w:ins>
    </w:p>
    <w:p>
      <w:pPr>
        <w:pStyle w:val="Heading5"/>
      </w:pPr>
      <w:bookmarkStart w:id="112" w:name="_Toc412208363"/>
      <w:bookmarkStart w:id="113" w:name="_Toc420507408"/>
      <w:bookmarkStart w:id="114" w:name="_Toc525016610"/>
      <w:r>
        <w:rPr>
          <w:rStyle w:val="CharSectno"/>
        </w:rPr>
        <w:t>10</w:t>
      </w:r>
      <w:r>
        <w:t>.</w:t>
      </w:r>
      <w:r>
        <w:tab/>
        <w:t>Competency area requirements</w:t>
      </w:r>
      <w:bookmarkEnd w:id="112"/>
      <w:bookmarkEnd w:id="113"/>
      <w:bookmarkEnd w:id="114"/>
    </w:p>
    <w:p>
      <w:pPr>
        <w:pStyle w:val="Subsection"/>
      </w:pPr>
      <w:r>
        <w:tab/>
        <w:t>(1)</w:t>
      </w:r>
      <w:r>
        <w:tab/>
        <w:t xml:space="preserve">In this rule a local legal practitioner is an </w:t>
      </w:r>
      <w:r>
        <w:rPr>
          <w:rStyle w:val="CharDefText"/>
        </w:rPr>
        <w:t>experienced practitioner</w:t>
      </w:r>
      <w:r>
        <w:t xml:space="preserve"> for a certificate year if, at the beginning of that year, the practitioner had been engaged in legal practice for at least 5 years. </w:t>
      </w:r>
    </w:p>
    <w:p>
      <w:pPr>
        <w:pStyle w:val="Subsection"/>
      </w:pPr>
      <w:r>
        <w:tab/>
        <w:t>(2)</w:t>
      </w:r>
      <w:r>
        <w:tab/>
        <w:t xml:space="preserve">An approved CPD activity is within </w:t>
      </w:r>
      <w:r>
        <w:rPr>
          <w:rStyle w:val="CharDefText"/>
        </w:rPr>
        <w:t>competency area 1</w:t>
      </w:r>
      <w:r>
        <w:t xml:space="preserve"> if it involves professional development in the areas of legal skills or practice. </w:t>
      </w:r>
    </w:p>
    <w:p>
      <w:pPr>
        <w:pStyle w:val="Subsection"/>
      </w:pPr>
      <w:r>
        <w:tab/>
        <w:t>(3)</w:t>
      </w:r>
      <w:r>
        <w:tab/>
        <w:t xml:space="preserve">An approved CPD activity is within </w:t>
      </w:r>
      <w:r>
        <w:rPr>
          <w:rStyle w:val="CharDefText"/>
        </w:rPr>
        <w:t>competency area 2</w:t>
      </w:r>
      <w:r>
        <w:t xml:space="preserve"> if it involves professional development in the areas of ethics or professional responsibility. </w:t>
      </w:r>
    </w:p>
    <w:p>
      <w:pPr>
        <w:pStyle w:val="Subsection"/>
      </w:pPr>
      <w:r>
        <w:tab/>
        <w:t>(4)</w:t>
      </w:r>
      <w:r>
        <w:tab/>
        <w:t xml:space="preserve">An approved CPD activity is within </w:t>
      </w:r>
      <w:r>
        <w:rPr>
          <w:rStyle w:val="CharDefText"/>
        </w:rPr>
        <w:t>competency area 3</w:t>
      </w:r>
      <w:r>
        <w:t xml:space="preserve"> if it involves professional development in an area of substantive law. </w:t>
      </w:r>
    </w:p>
    <w:p>
      <w:pPr>
        <w:pStyle w:val="Subsection"/>
      </w:pPr>
      <w:r>
        <w:tab/>
        <w:t>(5)</w:t>
      </w:r>
      <w:r>
        <w:tab/>
        <w:t xml:space="preserve">An approved CPD activity is to be taken to be in the competency area determined — </w:t>
      </w:r>
    </w:p>
    <w:p>
      <w:pPr>
        <w:pStyle w:val="Indenta"/>
      </w:pPr>
      <w:r>
        <w:tab/>
        <w:t>(a)</w:t>
      </w:r>
      <w:r>
        <w:tab/>
        <w:t xml:space="preserve">if the activity is provided by a QA provider — by the provider; or </w:t>
      </w:r>
    </w:p>
    <w:p>
      <w:pPr>
        <w:pStyle w:val="Indenta"/>
      </w:pPr>
      <w:r>
        <w:tab/>
        <w:t>(b)</w:t>
      </w:r>
      <w:r>
        <w:tab/>
        <w:t>otherwise — by the Board at the time it approves the activity under rule 15(3).</w:t>
      </w:r>
    </w:p>
    <w:p>
      <w:pPr>
        <w:pStyle w:val="Subsection"/>
      </w:pPr>
      <w:r>
        <w:tab/>
        <w:t>(6)</w:t>
      </w:r>
      <w:r>
        <w:tab/>
        <w:t xml:space="preserve">If a local legal practitioner is not an experienced practitioner for a certificate year the CPD points earned to satisfy the CPD condition for that certificate year must include — </w:t>
      </w:r>
    </w:p>
    <w:p>
      <w:pPr>
        <w:pStyle w:val="Indenta"/>
      </w:pPr>
      <w:r>
        <w:tab/>
        <w:t>(a)</w:t>
      </w:r>
      <w:r>
        <w:tab/>
        <w:t xml:space="preserve">at least 4 CPD points earned by completing approved CPD activities that are within competency area 1; and </w:t>
      </w:r>
    </w:p>
    <w:p>
      <w:pPr>
        <w:pStyle w:val="Indenta"/>
      </w:pPr>
      <w:r>
        <w:tab/>
        <w:t>(b)</w:t>
      </w:r>
      <w:r>
        <w:tab/>
        <w:t>at least 4 CPD points earned by completing approved CPD activities that are within competency area 2.</w:t>
      </w:r>
    </w:p>
    <w:p>
      <w:pPr>
        <w:pStyle w:val="Subsection"/>
      </w:pPr>
      <w:r>
        <w:tab/>
        <w:t>(7)</w:t>
      </w:r>
      <w:r>
        <w:tab/>
        <w:t>If a local legal practitioner is an experienced practitioner for a certificate year the CPD points earned to satisfy the CPD condition for that certificate year must include —</w:t>
      </w:r>
    </w:p>
    <w:p>
      <w:pPr>
        <w:pStyle w:val="Indenta"/>
      </w:pPr>
      <w:r>
        <w:tab/>
        <w:t>(a)</w:t>
      </w:r>
      <w:r>
        <w:tab/>
        <w:t xml:space="preserve">at least 2 CPD points earned by completing approved CPD activities that are within competency area 1; and </w:t>
      </w:r>
    </w:p>
    <w:p>
      <w:pPr>
        <w:pStyle w:val="Indenta"/>
      </w:pPr>
      <w:r>
        <w:tab/>
        <w:t>(b)</w:t>
      </w:r>
      <w:r>
        <w:tab/>
        <w:t>at least 2 CPD points earned by completing approved CPD activities that are within competency area 2.</w:t>
      </w:r>
    </w:p>
    <w:p>
      <w:pPr>
        <w:pStyle w:val="Heading5"/>
      </w:pPr>
      <w:bookmarkStart w:id="115" w:name="_Toc412208364"/>
      <w:bookmarkStart w:id="116" w:name="_Toc420507409"/>
      <w:bookmarkStart w:id="117" w:name="_Toc525016611"/>
      <w:r>
        <w:rPr>
          <w:rStyle w:val="CharSectno"/>
        </w:rPr>
        <w:t>11</w:t>
      </w:r>
      <w:r>
        <w:t>.</w:t>
      </w:r>
      <w:r>
        <w:tab/>
        <w:t>Interactive and publishing point requirements</w:t>
      </w:r>
      <w:bookmarkEnd w:id="115"/>
      <w:bookmarkEnd w:id="116"/>
      <w:bookmarkEnd w:id="117"/>
    </w:p>
    <w:p>
      <w:pPr>
        <w:pStyle w:val="Subsection"/>
      </w:pPr>
      <w:r>
        <w:tab/>
        <w:t>(1)</w:t>
      </w:r>
      <w:r>
        <w:tab/>
        <w:t xml:space="preserve">The CPD points earned to satisfy the CPD condition for a certificate year must include at least 8 CPD points earned — </w:t>
      </w:r>
    </w:p>
    <w:p>
      <w:pPr>
        <w:pStyle w:val="Indenta"/>
      </w:pPr>
      <w:r>
        <w:tab/>
        <w:t>(a)</w:t>
      </w:r>
      <w:r>
        <w:tab/>
        <w:t>by completing interactive activities; or</w:t>
      </w:r>
    </w:p>
    <w:p>
      <w:pPr>
        <w:pStyle w:val="Indenta"/>
      </w:pPr>
      <w:r>
        <w:tab/>
        <w:t>(b)</w:t>
      </w:r>
      <w:r>
        <w:tab/>
        <w:t>by completing a combination of interactive activities and publishing activities.</w:t>
      </w:r>
    </w:p>
    <w:p>
      <w:pPr>
        <w:pStyle w:val="Subsection"/>
      </w:pPr>
      <w:r>
        <w:tab/>
        <w:t>(2)</w:t>
      </w:r>
      <w:r>
        <w:tab/>
        <w:t>The CPD points earned to satisfy the CPD condition for a certificate year cannot include more than 5 CPD points earned by completing publishing activities.</w:t>
      </w:r>
    </w:p>
    <w:p>
      <w:pPr>
        <w:pStyle w:val="Heading5"/>
      </w:pPr>
      <w:bookmarkStart w:id="118" w:name="_Toc412208365"/>
      <w:bookmarkStart w:id="119" w:name="_Toc420507410"/>
      <w:bookmarkStart w:id="120" w:name="_Toc525016612"/>
      <w:r>
        <w:rPr>
          <w:rStyle w:val="CharSectno"/>
        </w:rPr>
        <w:t>12</w:t>
      </w:r>
      <w:r>
        <w:t>.</w:t>
      </w:r>
      <w:r>
        <w:tab/>
        <w:t>CPD points for an activity</w:t>
      </w:r>
      <w:bookmarkEnd w:id="118"/>
      <w:bookmarkEnd w:id="119"/>
      <w:bookmarkEnd w:id="120"/>
    </w:p>
    <w:p>
      <w:pPr>
        <w:pStyle w:val="Subsection"/>
      </w:pPr>
      <w:r>
        <w:tab/>
        <w:t>(1)</w:t>
      </w:r>
      <w:r>
        <w:tab/>
        <w:t>Subject to subrules (2) and (3) the points earned by completing an approved CPD activity are as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rPr>
        <w:tc>
          <w:tcPr>
            <w:tcW w:w="6067" w:type="dxa"/>
            <w:gridSpan w:val="2"/>
            <w:shd w:val="clear" w:color="auto" w:fill="E0E0E0"/>
          </w:tcPr>
          <w:p>
            <w:pPr>
              <w:pStyle w:val="TableNAm"/>
              <w:rPr>
                <w:b/>
                <w:bCs/>
              </w:rPr>
            </w:pPr>
            <w:r>
              <w:rPr>
                <w:b/>
                <w:bCs/>
              </w:rPr>
              <w:t>1.</w:t>
            </w:r>
            <w:r>
              <w:rPr>
                <w:b/>
                <w:bCs/>
              </w:rPr>
              <w:tab/>
              <w:t>Interactive activity</w:t>
            </w:r>
          </w:p>
        </w:tc>
      </w:tr>
      <w:tr>
        <w:tc>
          <w:tcPr>
            <w:tcW w:w="1815" w:type="dxa"/>
          </w:tcPr>
          <w:p>
            <w:pPr>
              <w:pStyle w:val="TableNAm"/>
            </w:pPr>
            <w:r>
              <w:t xml:space="preserve">Participant </w:t>
            </w:r>
          </w:p>
        </w:tc>
        <w:tc>
          <w:tcPr>
            <w:tcW w:w="4252" w:type="dxa"/>
          </w:tcPr>
          <w:p>
            <w:pPr>
              <w:pStyle w:val="TableNAm"/>
            </w:pPr>
            <w:r>
              <w:t>0.5 points for each complete 30 minutes</w:t>
            </w:r>
          </w:p>
        </w:tc>
      </w:tr>
      <w:tr>
        <w:tc>
          <w:tcPr>
            <w:tcW w:w="1815" w:type="dxa"/>
          </w:tcPr>
          <w:p>
            <w:pPr>
              <w:pStyle w:val="TableNAm"/>
            </w:pPr>
            <w:r>
              <w:t>Presenter</w:t>
            </w:r>
          </w:p>
        </w:tc>
        <w:tc>
          <w:tcPr>
            <w:tcW w:w="4252" w:type="dxa"/>
          </w:tcPr>
          <w:p>
            <w:pPr>
              <w:pStyle w:val="TableNAm"/>
            </w:pPr>
            <w:r>
              <w:t>1.5 points for each complete 30 minutes</w:t>
            </w:r>
          </w:p>
        </w:tc>
      </w:tr>
      <w:tr>
        <w:tc>
          <w:tcPr>
            <w:tcW w:w="1815" w:type="dxa"/>
          </w:tcPr>
          <w:p>
            <w:pPr>
              <w:pStyle w:val="TableNAm"/>
              <w:rPr>
                <w:b/>
                <w:i/>
              </w:rPr>
            </w:pPr>
            <w:r>
              <w:t>Commentator</w:t>
            </w:r>
          </w:p>
        </w:tc>
        <w:tc>
          <w:tcPr>
            <w:tcW w:w="4252" w:type="dxa"/>
          </w:tcPr>
          <w:p>
            <w:pPr>
              <w:pStyle w:val="TableNAm"/>
            </w:pPr>
            <w:r>
              <w:t>1 point for each complete 30 minutes</w:t>
            </w:r>
          </w:p>
        </w:tc>
      </w:tr>
      <w:tr>
        <w:tc>
          <w:tcPr>
            <w:tcW w:w="1815" w:type="dxa"/>
          </w:tcPr>
          <w:p>
            <w:pPr>
              <w:pStyle w:val="TableNAm"/>
            </w:pPr>
            <w:r>
              <w:t>Chair</w:t>
            </w:r>
          </w:p>
        </w:tc>
        <w:tc>
          <w:tcPr>
            <w:tcW w:w="4252" w:type="dxa"/>
          </w:tcPr>
          <w:p>
            <w:pPr>
              <w:pStyle w:val="TableNAm"/>
            </w:pPr>
            <w:r>
              <w:t>0.5 points for each complete 30 minutes</w:t>
            </w:r>
          </w:p>
        </w:tc>
      </w:tr>
      <w:tr>
        <w:trPr>
          <w:cantSplit/>
        </w:trPr>
        <w:tc>
          <w:tcPr>
            <w:tcW w:w="6067" w:type="dxa"/>
            <w:gridSpan w:val="2"/>
            <w:shd w:val="clear" w:color="auto" w:fill="E0E0E0"/>
          </w:tcPr>
          <w:p>
            <w:pPr>
              <w:pStyle w:val="TableNAm"/>
              <w:rPr>
                <w:b/>
                <w:bCs/>
              </w:rPr>
            </w:pPr>
            <w:r>
              <w:rPr>
                <w:b/>
                <w:bCs/>
              </w:rPr>
              <w:t>2.</w:t>
            </w:r>
            <w:r>
              <w:rPr>
                <w:b/>
                <w:bCs/>
              </w:rPr>
              <w:tab/>
              <w:t>Individual CPD activity other than publication activity</w:t>
            </w:r>
          </w:p>
        </w:tc>
      </w:tr>
      <w:tr>
        <w:tc>
          <w:tcPr>
            <w:tcW w:w="1815" w:type="dxa"/>
          </w:tcPr>
          <w:p>
            <w:pPr>
              <w:pStyle w:val="TableNAm"/>
            </w:pPr>
            <w:r>
              <w:t xml:space="preserve">As participant </w:t>
            </w:r>
          </w:p>
        </w:tc>
        <w:tc>
          <w:tcPr>
            <w:tcW w:w="4252" w:type="dxa"/>
          </w:tcPr>
          <w:p>
            <w:pPr>
              <w:pStyle w:val="TableNAm"/>
            </w:pPr>
            <w:r>
              <w:t>0.5 points for each complete 60 minutes</w:t>
            </w:r>
          </w:p>
        </w:tc>
      </w:tr>
      <w:tr>
        <w:trPr>
          <w:cantSplit/>
        </w:trPr>
        <w:tc>
          <w:tcPr>
            <w:tcW w:w="6067" w:type="dxa"/>
            <w:gridSpan w:val="2"/>
            <w:shd w:val="clear" w:color="auto" w:fill="E0E0E0"/>
          </w:tcPr>
          <w:p>
            <w:pPr>
              <w:pStyle w:val="TableNAm"/>
              <w:keepNext/>
              <w:keepLines/>
              <w:rPr>
                <w:b/>
                <w:bCs/>
              </w:rPr>
            </w:pPr>
            <w:r>
              <w:rPr>
                <w:b/>
                <w:bCs/>
              </w:rPr>
              <w:t>3.</w:t>
            </w:r>
            <w:r>
              <w:rPr>
                <w:b/>
                <w:bCs/>
              </w:rPr>
              <w:tab/>
              <w:t>Publication activity</w:t>
            </w:r>
          </w:p>
        </w:tc>
      </w:tr>
      <w:tr>
        <w:tc>
          <w:tcPr>
            <w:tcW w:w="1815" w:type="dxa"/>
          </w:tcPr>
          <w:p>
            <w:pPr>
              <w:pStyle w:val="TableNAm"/>
            </w:pPr>
            <w:r>
              <w:t>As writer</w:t>
            </w:r>
          </w:p>
        </w:tc>
        <w:tc>
          <w:tcPr>
            <w:tcW w:w="4252" w:type="dxa"/>
          </w:tcPr>
          <w:p>
            <w:pPr>
              <w:pStyle w:val="TableNAm"/>
            </w:pPr>
            <w:r>
              <w:t>0.5 points for each complete 500 words</w:t>
            </w:r>
          </w:p>
        </w:tc>
      </w:tr>
      <w:tr>
        <w:tc>
          <w:tcPr>
            <w:tcW w:w="1815" w:type="dxa"/>
          </w:tcPr>
          <w:p>
            <w:pPr>
              <w:pStyle w:val="TableNAm"/>
            </w:pPr>
            <w:r>
              <w:t>As editor</w:t>
            </w:r>
          </w:p>
        </w:tc>
        <w:tc>
          <w:tcPr>
            <w:tcW w:w="4252" w:type="dxa"/>
          </w:tcPr>
          <w:p>
            <w:pPr>
              <w:pStyle w:val="TableNAm"/>
            </w:pPr>
            <w:r>
              <w:t>1 point per edition</w:t>
            </w:r>
          </w:p>
        </w:tc>
      </w:tr>
    </w:tbl>
    <w:p>
      <w:pPr>
        <w:pStyle w:val="Subsection"/>
        <w:rPr>
          <w:del w:id="121" w:author="Master Repository Process" w:date="2021-08-29T01:56:00Z"/>
        </w:rPr>
      </w:pPr>
      <w:del w:id="122" w:author="Master Repository Process" w:date="2021-08-29T01:56:00Z">
        <w:r>
          <w:tab/>
          <w:delText>(2)</w:delText>
        </w:r>
        <w:r>
          <w:tab/>
          <w:delText xml:space="preserve">When approving an activity under rule 15 the Board may allocate to it a number of CPD points different from that set out in the Table, in which case a person completing the activity earns the number of points allocated by the Board. </w:delText>
        </w:r>
      </w:del>
    </w:p>
    <w:p>
      <w:pPr>
        <w:pStyle w:val="Ednotesubsection"/>
        <w:rPr>
          <w:ins w:id="123" w:author="Master Repository Process" w:date="2021-08-29T01:56:00Z"/>
        </w:rPr>
      </w:pPr>
      <w:ins w:id="124" w:author="Master Repository Process" w:date="2021-08-29T01:56:00Z">
        <w:r>
          <w:tab/>
          <w:t>[(2)</w:t>
        </w:r>
        <w:r>
          <w:tab/>
          <w:t>deleted]</w:t>
        </w:r>
      </w:ins>
    </w:p>
    <w:p>
      <w:pPr>
        <w:pStyle w:val="Subsection"/>
      </w:pPr>
      <w:r>
        <w:tab/>
        <w:t>(3)</w:t>
      </w:r>
      <w:r>
        <w:tab/>
        <w:t>The maximum number of CPD points that can be earned from completing a single approved CPD activity is 7.</w:t>
      </w:r>
    </w:p>
    <w:p>
      <w:pPr>
        <w:pStyle w:val="Footnotesection"/>
        <w:rPr>
          <w:ins w:id="125" w:author="Master Repository Process" w:date="2021-08-29T01:56:00Z"/>
        </w:rPr>
      </w:pPr>
      <w:ins w:id="126" w:author="Master Repository Process" w:date="2021-08-29T01:56:00Z">
        <w:r>
          <w:tab/>
          <w:t>[Rule 12 amended in Gazette 20 Feb 2015 p. 682.]</w:t>
        </w:r>
      </w:ins>
    </w:p>
    <w:p>
      <w:pPr>
        <w:pStyle w:val="Heading4"/>
        <w:rPr>
          <w:ins w:id="127" w:author="Master Repository Process" w:date="2021-08-29T01:56:00Z"/>
        </w:rPr>
      </w:pPr>
      <w:bookmarkStart w:id="128" w:name="_Toc412208366"/>
      <w:bookmarkStart w:id="129" w:name="_Toc420507322"/>
      <w:bookmarkStart w:id="130" w:name="_Toc420507411"/>
      <w:ins w:id="131" w:author="Master Repository Process" w:date="2021-08-29T01:56:00Z">
        <w:r>
          <w:t>Subdivision 3 — Local practising certificates in force on or after 1 July 2015</w:t>
        </w:r>
        <w:bookmarkEnd w:id="128"/>
        <w:bookmarkEnd w:id="129"/>
        <w:bookmarkEnd w:id="130"/>
      </w:ins>
    </w:p>
    <w:p>
      <w:pPr>
        <w:pStyle w:val="Footnoteheading"/>
        <w:rPr>
          <w:ins w:id="132" w:author="Master Repository Process" w:date="2021-08-29T01:56:00Z"/>
        </w:rPr>
      </w:pPr>
      <w:ins w:id="133" w:author="Master Repository Process" w:date="2021-08-29T01:56:00Z">
        <w:r>
          <w:tab/>
          <w:t>[Heading inserted in Gazette 20 Feb 2015 p. 682.]</w:t>
        </w:r>
      </w:ins>
    </w:p>
    <w:p>
      <w:pPr>
        <w:pStyle w:val="Heading5"/>
        <w:rPr>
          <w:ins w:id="134" w:author="Master Repository Process" w:date="2021-08-29T01:56:00Z"/>
        </w:rPr>
      </w:pPr>
      <w:bookmarkStart w:id="135" w:name="_Toc412208367"/>
      <w:bookmarkStart w:id="136" w:name="_Toc420507412"/>
      <w:ins w:id="137" w:author="Master Repository Process" w:date="2021-08-29T01:56:00Z">
        <w:r>
          <w:rPr>
            <w:rStyle w:val="CharSectno"/>
          </w:rPr>
          <w:t>13A</w:t>
        </w:r>
        <w:r>
          <w:t>.</w:t>
        </w:r>
        <w:r>
          <w:tab/>
          <w:t>Terms used</w:t>
        </w:r>
        <w:bookmarkEnd w:id="135"/>
        <w:bookmarkEnd w:id="136"/>
      </w:ins>
    </w:p>
    <w:p>
      <w:pPr>
        <w:pStyle w:val="Subsection"/>
        <w:rPr>
          <w:ins w:id="138" w:author="Master Repository Process" w:date="2021-08-29T01:56:00Z"/>
        </w:rPr>
      </w:pPr>
      <w:ins w:id="139" w:author="Master Repository Process" w:date="2021-08-29T01:56:00Z">
        <w:r>
          <w:tab/>
        </w:r>
        <w:r>
          <w:tab/>
          <w:t xml:space="preserve">In this Subdivision — </w:t>
        </w:r>
      </w:ins>
    </w:p>
    <w:p>
      <w:pPr>
        <w:pStyle w:val="Defstart"/>
        <w:rPr>
          <w:ins w:id="140" w:author="Master Repository Process" w:date="2021-08-29T01:56:00Z"/>
        </w:rPr>
      </w:pPr>
      <w:ins w:id="141" w:author="Master Repository Process" w:date="2021-08-29T01:56:00Z">
        <w:r>
          <w:tab/>
        </w:r>
        <w:r>
          <w:rPr>
            <w:rStyle w:val="CharDefText"/>
          </w:rPr>
          <w:t>CPD condition</w:t>
        </w:r>
        <w:r>
          <w:t xml:space="preserve"> means the condition imposed on a local practising certificate by rule 13B(1) or (2);</w:t>
        </w:r>
      </w:ins>
    </w:p>
    <w:p>
      <w:pPr>
        <w:pStyle w:val="Defstart"/>
        <w:rPr>
          <w:ins w:id="142" w:author="Master Repository Process" w:date="2021-08-29T01:56:00Z"/>
        </w:rPr>
      </w:pPr>
      <w:ins w:id="143" w:author="Master Repository Process" w:date="2021-08-29T01:56:00Z">
        <w:r>
          <w:tab/>
        </w:r>
        <w:r>
          <w:rPr>
            <w:rStyle w:val="CharDefText"/>
          </w:rPr>
          <w:t>CPD period</w:t>
        </w:r>
        <w:r>
          <w:t xml:space="preserve"> means the period from 1 April to 31 March;</w:t>
        </w:r>
      </w:ins>
    </w:p>
    <w:p>
      <w:pPr>
        <w:pStyle w:val="Defstart"/>
        <w:rPr>
          <w:ins w:id="144" w:author="Master Repository Process" w:date="2021-08-29T01:56:00Z"/>
        </w:rPr>
      </w:pPr>
      <w:ins w:id="145" w:author="Master Repository Process" w:date="2021-08-29T01:56:00Z">
        <w:r>
          <w:tab/>
        </w:r>
        <w:r>
          <w:rPr>
            <w:rStyle w:val="CharDefText"/>
          </w:rPr>
          <w:t>CPD point</w:t>
        </w:r>
        <w:r>
          <w:t xml:space="preserve"> means a point earned in accordance with rule 13C;</w:t>
        </w:r>
      </w:ins>
    </w:p>
    <w:p>
      <w:pPr>
        <w:pStyle w:val="Defstart"/>
        <w:rPr>
          <w:ins w:id="146" w:author="Master Repository Process" w:date="2021-08-29T01:56:00Z"/>
        </w:rPr>
      </w:pPr>
      <w:ins w:id="147" w:author="Master Repository Process" w:date="2021-08-29T01:56:00Z">
        <w:r>
          <w:tab/>
        </w:r>
        <w:r>
          <w:rPr>
            <w:rStyle w:val="CharDefText"/>
          </w:rPr>
          <w:t>electronic activity</w:t>
        </w:r>
        <w:r>
          <w:t xml:space="preserve"> means an approved CPD activity provided by way of the electronic communication of information in the form of data, text, sound or images, or a combination of those things.</w:t>
        </w:r>
      </w:ins>
    </w:p>
    <w:p>
      <w:pPr>
        <w:pStyle w:val="Footnotesection"/>
        <w:rPr>
          <w:ins w:id="148" w:author="Master Repository Process" w:date="2021-08-29T01:56:00Z"/>
        </w:rPr>
      </w:pPr>
      <w:ins w:id="149" w:author="Master Repository Process" w:date="2021-08-29T01:56:00Z">
        <w:r>
          <w:tab/>
          <w:t>[Rule 13A inserted in Gazette 20 Feb 2015 p. 682.]</w:t>
        </w:r>
      </w:ins>
    </w:p>
    <w:p>
      <w:pPr>
        <w:pStyle w:val="Heading5"/>
        <w:rPr>
          <w:ins w:id="150" w:author="Master Repository Process" w:date="2021-08-29T01:56:00Z"/>
        </w:rPr>
      </w:pPr>
      <w:bookmarkStart w:id="151" w:name="_Toc412208368"/>
      <w:bookmarkStart w:id="152" w:name="_Toc420507413"/>
      <w:ins w:id="153" w:author="Master Repository Process" w:date="2021-08-29T01:56:00Z">
        <w:r>
          <w:rPr>
            <w:rStyle w:val="CharSectno"/>
          </w:rPr>
          <w:t>13B</w:t>
        </w:r>
        <w:r>
          <w:t>.</w:t>
        </w:r>
        <w:r>
          <w:tab/>
          <w:t>Condition on practising certificates on and after 1 July 2015: practitioner must complete professional development</w:t>
        </w:r>
        <w:bookmarkEnd w:id="151"/>
        <w:bookmarkEnd w:id="152"/>
      </w:ins>
    </w:p>
    <w:p>
      <w:pPr>
        <w:pStyle w:val="Subsection"/>
        <w:rPr>
          <w:ins w:id="154" w:author="Master Repository Process" w:date="2021-08-29T01:56:00Z"/>
        </w:rPr>
      </w:pPr>
      <w:ins w:id="155" w:author="Master Repository Process" w:date="2021-08-29T01:56:00Z">
        <w:r>
          <w:tab/>
          <w:t>(1)</w:t>
        </w:r>
        <w:r>
          <w:tab/>
          <w:t>A local practising certificate that is granted on or after 1 July 2015 is subject to the condition that the local legal practitioner must, during the CPD period that ends in the same financial year during which the certificate is in force, earn the number of CPD points set out in the Table corresponding to the month in which the certificate is granted.</w:t>
        </w:r>
      </w:ins>
    </w:p>
    <w:p>
      <w:pPr>
        <w:pStyle w:val="zTHeadingNAm"/>
        <w:rPr>
          <w:ins w:id="156" w:author="Master Repository Process" w:date="2021-08-29T01:56:00Z"/>
        </w:rPr>
      </w:pPr>
      <w:ins w:id="157" w:author="Master Repository Process" w:date="2021-08-29T01:5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158" w:author="Master Repository Process" w:date="2021-08-29T01:56:00Z"/>
        </w:trPr>
        <w:tc>
          <w:tcPr>
            <w:tcW w:w="3033" w:type="dxa"/>
          </w:tcPr>
          <w:p>
            <w:pPr>
              <w:pStyle w:val="zTablet"/>
              <w:rPr>
                <w:ins w:id="159" w:author="Master Repository Process" w:date="2021-08-29T01:56:00Z"/>
                <w:b/>
                <w:sz w:val="24"/>
                <w:szCs w:val="24"/>
              </w:rPr>
            </w:pPr>
            <w:ins w:id="160" w:author="Master Repository Process" w:date="2021-08-29T01:56:00Z">
              <w:r>
                <w:rPr>
                  <w:b/>
                  <w:sz w:val="24"/>
                  <w:szCs w:val="24"/>
                </w:rPr>
                <w:t>Month in which local practising certificate granted</w:t>
              </w:r>
            </w:ins>
          </w:p>
        </w:tc>
        <w:tc>
          <w:tcPr>
            <w:tcW w:w="3034" w:type="dxa"/>
          </w:tcPr>
          <w:p>
            <w:pPr>
              <w:pStyle w:val="zTablet"/>
              <w:rPr>
                <w:ins w:id="161" w:author="Master Repository Process" w:date="2021-08-29T01:56:00Z"/>
                <w:b/>
                <w:sz w:val="24"/>
                <w:szCs w:val="24"/>
              </w:rPr>
            </w:pPr>
            <w:ins w:id="162" w:author="Master Repository Process" w:date="2021-08-29T01:56:00Z">
              <w:r>
                <w:rPr>
                  <w:b/>
                  <w:sz w:val="24"/>
                  <w:szCs w:val="24"/>
                </w:rPr>
                <w:t>Number of CPD points to be earned in the CPD period</w:t>
              </w:r>
            </w:ins>
          </w:p>
        </w:tc>
      </w:tr>
      <w:tr>
        <w:trPr>
          <w:ins w:id="163" w:author="Master Repository Process" w:date="2021-08-29T01:56:00Z"/>
        </w:trPr>
        <w:tc>
          <w:tcPr>
            <w:tcW w:w="3033" w:type="dxa"/>
          </w:tcPr>
          <w:p>
            <w:pPr>
              <w:pStyle w:val="zTablet"/>
              <w:rPr>
                <w:ins w:id="164" w:author="Master Repository Process" w:date="2021-08-29T01:56:00Z"/>
                <w:sz w:val="24"/>
                <w:szCs w:val="24"/>
              </w:rPr>
            </w:pPr>
            <w:ins w:id="165" w:author="Master Repository Process" w:date="2021-08-29T01:56:00Z">
              <w:r>
                <w:rPr>
                  <w:sz w:val="24"/>
                  <w:szCs w:val="24"/>
                </w:rPr>
                <w:t>July</w:t>
              </w:r>
            </w:ins>
          </w:p>
        </w:tc>
        <w:tc>
          <w:tcPr>
            <w:tcW w:w="3034" w:type="dxa"/>
          </w:tcPr>
          <w:p>
            <w:pPr>
              <w:pStyle w:val="zTablet"/>
              <w:rPr>
                <w:ins w:id="166" w:author="Master Repository Process" w:date="2021-08-29T01:56:00Z"/>
                <w:sz w:val="24"/>
                <w:szCs w:val="24"/>
              </w:rPr>
            </w:pPr>
            <w:ins w:id="167" w:author="Master Repository Process" w:date="2021-08-29T01:56:00Z">
              <w:r>
                <w:rPr>
                  <w:sz w:val="24"/>
                  <w:szCs w:val="24"/>
                </w:rPr>
                <w:t>9</w:t>
              </w:r>
            </w:ins>
          </w:p>
        </w:tc>
      </w:tr>
      <w:tr>
        <w:trPr>
          <w:ins w:id="168" w:author="Master Repository Process" w:date="2021-08-29T01:56:00Z"/>
        </w:trPr>
        <w:tc>
          <w:tcPr>
            <w:tcW w:w="3033" w:type="dxa"/>
          </w:tcPr>
          <w:p>
            <w:pPr>
              <w:pStyle w:val="zTablet"/>
              <w:rPr>
                <w:ins w:id="169" w:author="Master Repository Process" w:date="2021-08-29T01:56:00Z"/>
                <w:sz w:val="24"/>
                <w:szCs w:val="24"/>
              </w:rPr>
            </w:pPr>
            <w:ins w:id="170" w:author="Master Repository Process" w:date="2021-08-29T01:56:00Z">
              <w:r>
                <w:rPr>
                  <w:sz w:val="24"/>
                  <w:szCs w:val="24"/>
                </w:rPr>
                <w:t>August</w:t>
              </w:r>
            </w:ins>
          </w:p>
        </w:tc>
        <w:tc>
          <w:tcPr>
            <w:tcW w:w="3034" w:type="dxa"/>
          </w:tcPr>
          <w:p>
            <w:pPr>
              <w:pStyle w:val="zTablet"/>
              <w:rPr>
                <w:ins w:id="171" w:author="Master Repository Process" w:date="2021-08-29T01:56:00Z"/>
                <w:sz w:val="24"/>
                <w:szCs w:val="24"/>
              </w:rPr>
            </w:pPr>
            <w:ins w:id="172" w:author="Master Repository Process" w:date="2021-08-29T01:56:00Z">
              <w:r>
                <w:rPr>
                  <w:sz w:val="24"/>
                  <w:szCs w:val="24"/>
                </w:rPr>
                <w:t>8</w:t>
              </w:r>
            </w:ins>
          </w:p>
        </w:tc>
      </w:tr>
      <w:tr>
        <w:trPr>
          <w:ins w:id="173" w:author="Master Repository Process" w:date="2021-08-29T01:56:00Z"/>
        </w:trPr>
        <w:tc>
          <w:tcPr>
            <w:tcW w:w="3033" w:type="dxa"/>
          </w:tcPr>
          <w:p>
            <w:pPr>
              <w:pStyle w:val="zTablet"/>
              <w:rPr>
                <w:ins w:id="174" w:author="Master Repository Process" w:date="2021-08-29T01:56:00Z"/>
                <w:sz w:val="24"/>
                <w:szCs w:val="24"/>
              </w:rPr>
            </w:pPr>
            <w:ins w:id="175" w:author="Master Repository Process" w:date="2021-08-29T01:56:00Z">
              <w:r>
                <w:rPr>
                  <w:sz w:val="24"/>
                  <w:szCs w:val="24"/>
                </w:rPr>
                <w:t>September</w:t>
              </w:r>
            </w:ins>
          </w:p>
        </w:tc>
        <w:tc>
          <w:tcPr>
            <w:tcW w:w="3034" w:type="dxa"/>
          </w:tcPr>
          <w:p>
            <w:pPr>
              <w:pStyle w:val="zTablet"/>
              <w:rPr>
                <w:ins w:id="176" w:author="Master Repository Process" w:date="2021-08-29T01:56:00Z"/>
                <w:sz w:val="24"/>
                <w:szCs w:val="24"/>
              </w:rPr>
            </w:pPr>
            <w:ins w:id="177" w:author="Master Repository Process" w:date="2021-08-29T01:56:00Z">
              <w:r>
                <w:rPr>
                  <w:sz w:val="24"/>
                  <w:szCs w:val="24"/>
                </w:rPr>
                <w:t>7</w:t>
              </w:r>
            </w:ins>
          </w:p>
        </w:tc>
      </w:tr>
      <w:tr>
        <w:trPr>
          <w:ins w:id="178" w:author="Master Repository Process" w:date="2021-08-29T01:56:00Z"/>
        </w:trPr>
        <w:tc>
          <w:tcPr>
            <w:tcW w:w="3033" w:type="dxa"/>
          </w:tcPr>
          <w:p>
            <w:pPr>
              <w:pStyle w:val="zTablet"/>
              <w:rPr>
                <w:ins w:id="179" w:author="Master Repository Process" w:date="2021-08-29T01:56:00Z"/>
                <w:sz w:val="24"/>
                <w:szCs w:val="24"/>
              </w:rPr>
            </w:pPr>
            <w:ins w:id="180" w:author="Master Repository Process" w:date="2021-08-29T01:56:00Z">
              <w:r>
                <w:rPr>
                  <w:sz w:val="24"/>
                  <w:szCs w:val="24"/>
                </w:rPr>
                <w:t>October</w:t>
              </w:r>
            </w:ins>
          </w:p>
        </w:tc>
        <w:tc>
          <w:tcPr>
            <w:tcW w:w="3034" w:type="dxa"/>
          </w:tcPr>
          <w:p>
            <w:pPr>
              <w:pStyle w:val="zTablet"/>
              <w:rPr>
                <w:ins w:id="181" w:author="Master Repository Process" w:date="2021-08-29T01:56:00Z"/>
                <w:sz w:val="24"/>
                <w:szCs w:val="24"/>
              </w:rPr>
            </w:pPr>
            <w:ins w:id="182" w:author="Master Repository Process" w:date="2021-08-29T01:56:00Z">
              <w:r>
                <w:rPr>
                  <w:sz w:val="24"/>
                  <w:szCs w:val="24"/>
                </w:rPr>
                <w:t>6</w:t>
              </w:r>
            </w:ins>
          </w:p>
        </w:tc>
      </w:tr>
      <w:tr>
        <w:trPr>
          <w:ins w:id="183" w:author="Master Repository Process" w:date="2021-08-29T01:56:00Z"/>
        </w:trPr>
        <w:tc>
          <w:tcPr>
            <w:tcW w:w="3033" w:type="dxa"/>
          </w:tcPr>
          <w:p>
            <w:pPr>
              <w:pStyle w:val="zTablet"/>
              <w:rPr>
                <w:ins w:id="184" w:author="Master Repository Process" w:date="2021-08-29T01:56:00Z"/>
                <w:sz w:val="24"/>
                <w:szCs w:val="24"/>
              </w:rPr>
            </w:pPr>
            <w:ins w:id="185" w:author="Master Repository Process" w:date="2021-08-29T01:56:00Z">
              <w:r>
                <w:rPr>
                  <w:sz w:val="24"/>
                  <w:szCs w:val="24"/>
                </w:rPr>
                <w:t>November</w:t>
              </w:r>
            </w:ins>
          </w:p>
        </w:tc>
        <w:tc>
          <w:tcPr>
            <w:tcW w:w="3034" w:type="dxa"/>
          </w:tcPr>
          <w:p>
            <w:pPr>
              <w:pStyle w:val="zTablet"/>
              <w:rPr>
                <w:ins w:id="186" w:author="Master Repository Process" w:date="2021-08-29T01:56:00Z"/>
                <w:sz w:val="24"/>
                <w:szCs w:val="24"/>
              </w:rPr>
            </w:pPr>
            <w:ins w:id="187" w:author="Master Repository Process" w:date="2021-08-29T01:56:00Z">
              <w:r>
                <w:rPr>
                  <w:sz w:val="24"/>
                  <w:szCs w:val="24"/>
                </w:rPr>
                <w:t>5</w:t>
              </w:r>
            </w:ins>
          </w:p>
        </w:tc>
      </w:tr>
      <w:tr>
        <w:trPr>
          <w:ins w:id="188" w:author="Master Repository Process" w:date="2021-08-29T01:56:00Z"/>
        </w:trPr>
        <w:tc>
          <w:tcPr>
            <w:tcW w:w="3033" w:type="dxa"/>
          </w:tcPr>
          <w:p>
            <w:pPr>
              <w:pStyle w:val="zTablet"/>
              <w:rPr>
                <w:ins w:id="189" w:author="Master Repository Process" w:date="2021-08-29T01:56:00Z"/>
                <w:sz w:val="24"/>
                <w:szCs w:val="24"/>
              </w:rPr>
            </w:pPr>
            <w:ins w:id="190" w:author="Master Repository Process" w:date="2021-08-29T01:56:00Z">
              <w:r>
                <w:rPr>
                  <w:sz w:val="24"/>
                  <w:szCs w:val="24"/>
                </w:rPr>
                <w:t>December</w:t>
              </w:r>
            </w:ins>
          </w:p>
        </w:tc>
        <w:tc>
          <w:tcPr>
            <w:tcW w:w="3034" w:type="dxa"/>
          </w:tcPr>
          <w:p>
            <w:pPr>
              <w:pStyle w:val="zTablet"/>
              <w:rPr>
                <w:ins w:id="191" w:author="Master Repository Process" w:date="2021-08-29T01:56:00Z"/>
                <w:sz w:val="24"/>
                <w:szCs w:val="24"/>
              </w:rPr>
            </w:pPr>
            <w:ins w:id="192" w:author="Master Repository Process" w:date="2021-08-29T01:56:00Z">
              <w:r>
                <w:rPr>
                  <w:sz w:val="24"/>
                  <w:szCs w:val="24"/>
                </w:rPr>
                <w:t>4</w:t>
              </w:r>
            </w:ins>
          </w:p>
        </w:tc>
      </w:tr>
      <w:tr>
        <w:trPr>
          <w:ins w:id="193" w:author="Master Repository Process" w:date="2021-08-29T01:56:00Z"/>
        </w:trPr>
        <w:tc>
          <w:tcPr>
            <w:tcW w:w="3033" w:type="dxa"/>
          </w:tcPr>
          <w:p>
            <w:pPr>
              <w:pStyle w:val="zTablet"/>
              <w:rPr>
                <w:ins w:id="194" w:author="Master Repository Process" w:date="2021-08-29T01:56:00Z"/>
                <w:sz w:val="24"/>
                <w:szCs w:val="24"/>
              </w:rPr>
            </w:pPr>
            <w:ins w:id="195" w:author="Master Repository Process" w:date="2021-08-29T01:56:00Z">
              <w:r>
                <w:rPr>
                  <w:sz w:val="24"/>
                  <w:szCs w:val="24"/>
                </w:rPr>
                <w:t>January</w:t>
              </w:r>
            </w:ins>
          </w:p>
        </w:tc>
        <w:tc>
          <w:tcPr>
            <w:tcW w:w="3034" w:type="dxa"/>
          </w:tcPr>
          <w:p>
            <w:pPr>
              <w:pStyle w:val="zTablet"/>
              <w:rPr>
                <w:ins w:id="196" w:author="Master Repository Process" w:date="2021-08-29T01:56:00Z"/>
                <w:sz w:val="24"/>
                <w:szCs w:val="24"/>
              </w:rPr>
            </w:pPr>
            <w:ins w:id="197" w:author="Master Repository Process" w:date="2021-08-29T01:56:00Z">
              <w:r>
                <w:rPr>
                  <w:sz w:val="24"/>
                  <w:szCs w:val="24"/>
                </w:rPr>
                <w:t>3</w:t>
              </w:r>
            </w:ins>
          </w:p>
        </w:tc>
      </w:tr>
      <w:tr>
        <w:trPr>
          <w:ins w:id="198" w:author="Master Repository Process" w:date="2021-08-29T01:56:00Z"/>
        </w:trPr>
        <w:tc>
          <w:tcPr>
            <w:tcW w:w="3033" w:type="dxa"/>
          </w:tcPr>
          <w:p>
            <w:pPr>
              <w:pStyle w:val="zTablet"/>
              <w:rPr>
                <w:ins w:id="199" w:author="Master Repository Process" w:date="2021-08-29T01:56:00Z"/>
                <w:sz w:val="24"/>
                <w:szCs w:val="24"/>
              </w:rPr>
            </w:pPr>
            <w:ins w:id="200" w:author="Master Repository Process" w:date="2021-08-29T01:56:00Z">
              <w:r>
                <w:rPr>
                  <w:sz w:val="24"/>
                  <w:szCs w:val="24"/>
                </w:rPr>
                <w:t>February</w:t>
              </w:r>
            </w:ins>
          </w:p>
        </w:tc>
        <w:tc>
          <w:tcPr>
            <w:tcW w:w="3034" w:type="dxa"/>
          </w:tcPr>
          <w:p>
            <w:pPr>
              <w:pStyle w:val="zTablet"/>
              <w:rPr>
                <w:ins w:id="201" w:author="Master Repository Process" w:date="2021-08-29T01:56:00Z"/>
                <w:sz w:val="24"/>
                <w:szCs w:val="24"/>
              </w:rPr>
            </w:pPr>
            <w:ins w:id="202" w:author="Master Repository Process" w:date="2021-08-29T01:56:00Z">
              <w:r>
                <w:rPr>
                  <w:sz w:val="24"/>
                  <w:szCs w:val="24"/>
                </w:rPr>
                <w:t>2</w:t>
              </w:r>
            </w:ins>
          </w:p>
        </w:tc>
      </w:tr>
      <w:tr>
        <w:trPr>
          <w:ins w:id="203" w:author="Master Repository Process" w:date="2021-08-29T01:56:00Z"/>
        </w:trPr>
        <w:tc>
          <w:tcPr>
            <w:tcW w:w="3033" w:type="dxa"/>
          </w:tcPr>
          <w:p>
            <w:pPr>
              <w:pStyle w:val="zTablet"/>
              <w:rPr>
                <w:ins w:id="204" w:author="Master Repository Process" w:date="2021-08-29T01:56:00Z"/>
                <w:sz w:val="24"/>
                <w:szCs w:val="24"/>
              </w:rPr>
            </w:pPr>
            <w:ins w:id="205" w:author="Master Repository Process" w:date="2021-08-29T01:56:00Z">
              <w:r>
                <w:rPr>
                  <w:sz w:val="24"/>
                  <w:szCs w:val="24"/>
                </w:rPr>
                <w:t>March</w:t>
              </w:r>
            </w:ins>
          </w:p>
        </w:tc>
        <w:tc>
          <w:tcPr>
            <w:tcW w:w="3034" w:type="dxa"/>
          </w:tcPr>
          <w:p>
            <w:pPr>
              <w:pStyle w:val="zTablet"/>
              <w:rPr>
                <w:ins w:id="206" w:author="Master Repository Process" w:date="2021-08-29T01:56:00Z"/>
                <w:sz w:val="24"/>
                <w:szCs w:val="24"/>
              </w:rPr>
            </w:pPr>
            <w:ins w:id="207" w:author="Master Repository Process" w:date="2021-08-29T01:56:00Z">
              <w:r>
                <w:rPr>
                  <w:sz w:val="24"/>
                  <w:szCs w:val="24"/>
                </w:rPr>
                <w:t>1</w:t>
              </w:r>
            </w:ins>
          </w:p>
        </w:tc>
      </w:tr>
    </w:tbl>
    <w:p>
      <w:pPr>
        <w:pStyle w:val="Subsection"/>
        <w:rPr>
          <w:ins w:id="208" w:author="Master Repository Process" w:date="2021-08-29T01:56:00Z"/>
        </w:rPr>
      </w:pPr>
      <w:ins w:id="209" w:author="Master Repository Process" w:date="2021-08-29T01:56:00Z">
        <w:r>
          <w:tab/>
          <w:t>(2)</w:t>
        </w:r>
        <w:r>
          <w:tab/>
          <w:t>A local practising certificate that is renewed on or after 1 July 2015 is subject to the condition that the local legal practitioner must earn 10 CPD points during the CPD period that ends in the same financial year during which the certificate is in force.</w:t>
        </w:r>
      </w:ins>
    </w:p>
    <w:p>
      <w:pPr>
        <w:pStyle w:val="Subsection"/>
        <w:rPr>
          <w:ins w:id="210" w:author="Master Repository Process" w:date="2021-08-29T01:56:00Z"/>
        </w:rPr>
      </w:pPr>
      <w:ins w:id="211" w:author="Master Repository Process" w:date="2021-08-29T01:56:00Z">
        <w:r>
          <w:tab/>
          <w:t>(3)</w:t>
        </w:r>
        <w:r>
          <w:tab/>
          <w:t>If requested by the Board to do so a local legal practitioner, or a person who was a local legal practitioner, must provide to the Board any document or information in relation to the person’s compliance with a condition imposed under subrule (1) or (2).</w:t>
        </w:r>
      </w:ins>
    </w:p>
    <w:p>
      <w:pPr>
        <w:pStyle w:val="Footnotesection"/>
        <w:rPr>
          <w:ins w:id="212" w:author="Master Repository Process" w:date="2021-08-29T01:56:00Z"/>
        </w:rPr>
      </w:pPr>
      <w:ins w:id="213" w:author="Master Repository Process" w:date="2021-08-29T01:56:00Z">
        <w:r>
          <w:tab/>
          <w:t>[Rule 13B inserted in Gazette 20 Feb 2015 p. 683.]</w:t>
        </w:r>
      </w:ins>
    </w:p>
    <w:p>
      <w:pPr>
        <w:pStyle w:val="Heading5"/>
        <w:rPr>
          <w:ins w:id="214" w:author="Master Repository Process" w:date="2021-08-29T01:56:00Z"/>
        </w:rPr>
      </w:pPr>
      <w:bookmarkStart w:id="215" w:name="_Toc412208369"/>
      <w:bookmarkStart w:id="216" w:name="_Toc420507414"/>
      <w:ins w:id="217" w:author="Master Repository Process" w:date="2021-08-29T01:56:00Z">
        <w:r>
          <w:rPr>
            <w:rStyle w:val="CharSectno"/>
          </w:rPr>
          <w:t>13C</w:t>
        </w:r>
        <w:r>
          <w:t>.</w:t>
        </w:r>
        <w:r>
          <w:tab/>
          <w:t>Earning CPD points</w:t>
        </w:r>
        <w:bookmarkEnd w:id="215"/>
        <w:bookmarkEnd w:id="216"/>
      </w:ins>
    </w:p>
    <w:p>
      <w:pPr>
        <w:pStyle w:val="Subsection"/>
        <w:rPr>
          <w:ins w:id="218" w:author="Master Repository Process" w:date="2021-08-29T01:56:00Z"/>
        </w:rPr>
      </w:pPr>
      <w:ins w:id="219" w:author="Master Repository Process" w:date="2021-08-29T01:56:00Z">
        <w:r>
          <w:tab/>
          <w:t>(1)</w:t>
        </w:r>
        <w:r>
          <w:tab/>
          <w:t>A local legal practitioner earns CPD points by completing approved CPD activities.</w:t>
        </w:r>
      </w:ins>
    </w:p>
    <w:p>
      <w:pPr>
        <w:pStyle w:val="Subsection"/>
        <w:rPr>
          <w:ins w:id="220" w:author="Master Repository Process" w:date="2021-08-29T01:56:00Z"/>
        </w:rPr>
      </w:pPr>
      <w:ins w:id="221" w:author="Master Repository Process" w:date="2021-08-29T01:56:00Z">
        <w:r>
          <w:tab/>
          <w:t>(2)</w:t>
        </w:r>
        <w:r>
          <w:tab/>
          <w:t>The number of CPD points earned by completing a particular approved CPD activity is to be determined under rule 13F(1), subject to rule 13F(2) and (3).</w:t>
        </w:r>
      </w:ins>
    </w:p>
    <w:p>
      <w:pPr>
        <w:pStyle w:val="Subsection"/>
        <w:rPr>
          <w:ins w:id="222" w:author="Master Repository Process" w:date="2021-08-29T01:56:00Z"/>
        </w:rPr>
      </w:pPr>
      <w:ins w:id="223" w:author="Master Repository Process" w:date="2021-08-29T01:56:00Z">
        <w:r>
          <w:tab/>
          <w:t>(3)</w:t>
        </w:r>
        <w:r>
          <w:tab/>
          <w:t xml:space="preserve">A practitioner may complete an interactive activity — </w:t>
        </w:r>
      </w:ins>
    </w:p>
    <w:p>
      <w:pPr>
        <w:pStyle w:val="Indenta"/>
        <w:rPr>
          <w:ins w:id="224" w:author="Master Repository Process" w:date="2021-08-29T01:56:00Z"/>
        </w:rPr>
      </w:pPr>
      <w:ins w:id="225" w:author="Master Repository Process" w:date="2021-08-29T01:56:00Z">
        <w:r>
          <w:tab/>
          <w:t>(a)</w:t>
        </w:r>
        <w:r>
          <w:tab/>
          <w:t>as a participant by attending in person or by remote communication; or</w:t>
        </w:r>
      </w:ins>
    </w:p>
    <w:p>
      <w:pPr>
        <w:pStyle w:val="Indenta"/>
        <w:rPr>
          <w:ins w:id="226" w:author="Master Repository Process" w:date="2021-08-29T01:56:00Z"/>
        </w:rPr>
      </w:pPr>
      <w:ins w:id="227" w:author="Master Repository Process" w:date="2021-08-29T01:56:00Z">
        <w:r>
          <w:tab/>
          <w:t>(b)</w:t>
        </w:r>
        <w:r>
          <w:tab/>
          <w:t>as a participant in an interactive electronic activity; or</w:t>
        </w:r>
      </w:ins>
    </w:p>
    <w:p>
      <w:pPr>
        <w:pStyle w:val="Indenta"/>
        <w:rPr>
          <w:ins w:id="228" w:author="Master Repository Process" w:date="2021-08-29T01:56:00Z"/>
        </w:rPr>
      </w:pPr>
      <w:ins w:id="229" w:author="Master Repository Process" w:date="2021-08-29T01:56:00Z">
        <w:r>
          <w:tab/>
          <w:t>(c)</w:t>
        </w:r>
        <w:r>
          <w:tab/>
          <w:t>as a presenter, commentator or chair of the activity.</w:t>
        </w:r>
      </w:ins>
    </w:p>
    <w:p>
      <w:pPr>
        <w:pStyle w:val="Footnotesection"/>
        <w:rPr>
          <w:ins w:id="230" w:author="Master Repository Process" w:date="2021-08-29T01:56:00Z"/>
        </w:rPr>
      </w:pPr>
      <w:ins w:id="231" w:author="Master Repository Process" w:date="2021-08-29T01:56:00Z">
        <w:r>
          <w:tab/>
          <w:t>[Rule 13C inserted in Gazette 20 Feb 2015 p. 683</w:t>
        </w:r>
        <w:r>
          <w:noBreakHyphen/>
          <w:t>4.]</w:t>
        </w:r>
      </w:ins>
    </w:p>
    <w:p>
      <w:pPr>
        <w:pStyle w:val="Heading5"/>
        <w:rPr>
          <w:ins w:id="232" w:author="Master Repository Process" w:date="2021-08-29T01:56:00Z"/>
        </w:rPr>
      </w:pPr>
      <w:bookmarkStart w:id="233" w:name="_Toc412208370"/>
      <w:bookmarkStart w:id="234" w:name="_Toc420507415"/>
      <w:ins w:id="235" w:author="Master Repository Process" w:date="2021-08-29T01:56:00Z">
        <w:r>
          <w:rPr>
            <w:rStyle w:val="CharSectno"/>
          </w:rPr>
          <w:t>13D</w:t>
        </w:r>
        <w:r>
          <w:t>.</w:t>
        </w:r>
        <w:r>
          <w:tab/>
          <w:t>Competency area requirements</w:t>
        </w:r>
        <w:bookmarkEnd w:id="233"/>
        <w:bookmarkEnd w:id="234"/>
      </w:ins>
    </w:p>
    <w:p>
      <w:pPr>
        <w:pStyle w:val="Subsection"/>
        <w:rPr>
          <w:ins w:id="236" w:author="Master Repository Process" w:date="2021-08-29T01:56:00Z"/>
        </w:rPr>
      </w:pPr>
      <w:ins w:id="237" w:author="Master Repository Process" w:date="2021-08-29T01:56:00Z">
        <w:r>
          <w:tab/>
          <w:t>(1)</w:t>
        </w:r>
        <w:r>
          <w:tab/>
          <w:t xml:space="preserve">The CPD points earned to satisfy the CPD condition for a CPD period must include — </w:t>
        </w:r>
      </w:ins>
    </w:p>
    <w:p>
      <w:pPr>
        <w:pStyle w:val="Indenta"/>
        <w:rPr>
          <w:ins w:id="238" w:author="Master Repository Process" w:date="2021-08-29T01:56:00Z"/>
        </w:rPr>
      </w:pPr>
      <w:ins w:id="239" w:author="Master Repository Process" w:date="2021-08-29T01:56:00Z">
        <w:r>
          <w:tab/>
          <w:t>(a)</w:t>
        </w:r>
        <w:r>
          <w:tab/>
          <w:t>at least one CPD point earned by completing approved CPD activities that are within competency area 1; and</w:t>
        </w:r>
      </w:ins>
    </w:p>
    <w:p>
      <w:pPr>
        <w:pStyle w:val="Indenta"/>
        <w:rPr>
          <w:ins w:id="240" w:author="Master Repository Process" w:date="2021-08-29T01:56:00Z"/>
        </w:rPr>
      </w:pPr>
      <w:ins w:id="241" w:author="Master Repository Process" w:date="2021-08-29T01:56:00Z">
        <w:r>
          <w:tab/>
          <w:t>(b)</w:t>
        </w:r>
        <w:r>
          <w:tab/>
          <w:t>at least one CPD point earned by completing approved CPD activities that are within competency area 2; and</w:t>
        </w:r>
      </w:ins>
    </w:p>
    <w:p>
      <w:pPr>
        <w:pStyle w:val="Indenta"/>
        <w:rPr>
          <w:ins w:id="242" w:author="Master Repository Process" w:date="2021-08-29T01:56:00Z"/>
        </w:rPr>
      </w:pPr>
      <w:ins w:id="243" w:author="Master Repository Process" w:date="2021-08-29T01:56:00Z">
        <w:r>
          <w:tab/>
          <w:t>(c)</w:t>
        </w:r>
        <w:r>
          <w:tab/>
          <w:t>at least one CPD point earned by completing approved CPD activities that are within competency area 3; and</w:t>
        </w:r>
      </w:ins>
    </w:p>
    <w:p>
      <w:pPr>
        <w:pStyle w:val="Indenta"/>
        <w:rPr>
          <w:ins w:id="244" w:author="Master Repository Process" w:date="2021-08-29T01:56:00Z"/>
        </w:rPr>
      </w:pPr>
      <w:ins w:id="245" w:author="Master Repository Process" w:date="2021-08-29T01:56:00Z">
        <w:r>
          <w:tab/>
          <w:t>(d)</w:t>
        </w:r>
        <w:r>
          <w:tab/>
          <w:t>at least one CPD point earned by completing approved CPD activities that are within competency area 4.</w:t>
        </w:r>
      </w:ins>
    </w:p>
    <w:p>
      <w:pPr>
        <w:pStyle w:val="Subsection"/>
        <w:rPr>
          <w:ins w:id="246" w:author="Master Repository Process" w:date="2021-08-29T01:56:00Z"/>
        </w:rPr>
      </w:pPr>
      <w:ins w:id="247" w:author="Master Repository Process" w:date="2021-08-29T01:56:00Z">
        <w:r>
          <w:tab/>
          <w:t>(2)</w:t>
        </w:r>
        <w:r>
          <w:tab/>
          <w:t xml:space="preserve">An approved CPD activity is within </w:t>
        </w:r>
        <w:r>
          <w:rPr>
            <w:rStyle w:val="CharDefText"/>
          </w:rPr>
          <w:t>competency area 1</w:t>
        </w:r>
        <w:r>
          <w:t xml:space="preserve"> if it involves professional development in an area of practice management.</w:t>
        </w:r>
      </w:ins>
    </w:p>
    <w:p>
      <w:pPr>
        <w:pStyle w:val="Subsection"/>
        <w:rPr>
          <w:ins w:id="248" w:author="Master Repository Process" w:date="2021-08-29T01:56:00Z"/>
        </w:rPr>
      </w:pPr>
      <w:ins w:id="249" w:author="Master Repository Process" w:date="2021-08-29T01:56:00Z">
        <w:r>
          <w:tab/>
          <w:t>(3)</w:t>
        </w:r>
        <w:r>
          <w:tab/>
          <w:t xml:space="preserve">An approved CPD activity is within </w:t>
        </w:r>
        <w:r>
          <w:rPr>
            <w:rStyle w:val="CharDefText"/>
          </w:rPr>
          <w:t>competency area 2</w:t>
        </w:r>
        <w:r>
          <w:t xml:space="preserve"> if it involves professional development in an area of professional skills.</w:t>
        </w:r>
      </w:ins>
    </w:p>
    <w:p>
      <w:pPr>
        <w:pStyle w:val="Subsection"/>
        <w:rPr>
          <w:ins w:id="250" w:author="Master Repository Process" w:date="2021-08-29T01:56:00Z"/>
        </w:rPr>
      </w:pPr>
      <w:ins w:id="251" w:author="Master Repository Process" w:date="2021-08-29T01:56:00Z">
        <w:r>
          <w:tab/>
          <w:t>(4)</w:t>
        </w:r>
        <w:r>
          <w:tab/>
          <w:t xml:space="preserve">An approved CPD activity is within </w:t>
        </w:r>
        <w:r>
          <w:rPr>
            <w:rStyle w:val="CharDefText"/>
          </w:rPr>
          <w:t>competency area 3</w:t>
        </w:r>
        <w:r>
          <w:t xml:space="preserve"> if it involves professional development in an area of ethics or an area of professional responsibility.</w:t>
        </w:r>
      </w:ins>
    </w:p>
    <w:p>
      <w:pPr>
        <w:pStyle w:val="Subsection"/>
        <w:rPr>
          <w:ins w:id="252" w:author="Master Repository Process" w:date="2021-08-29T01:56:00Z"/>
        </w:rPr>
      </w:pPr>
      <w:ins w:id="253" w:author="Master Repository Process" w:date="2021-08-29T01:56:00Z">
        <w:r>
          <w:tab/>
          <w:t>(5)</w:t>
        </w:r>
        <w:r>
          <w:tab/>
          <w:t xml:space="preserve">An approved CPD activity is within </w:t>
        </w:r>
        <w:r>
          <w:rPr>
            <w:rStyle w:val="CharDefText"/>
          </w:rPr>
          <w:t>competency area 4</w:t>
        </w:r>
        <w:r>
          <w:t xml:space="preserve"> if it involves professional development in an area of substantive law.</w:t>
        </w:r>
      </w:ins>
    </w:p>
    <w:p>
      <w:pPr>
        <w:pStyle w:val="Subsection"/>
        <w:rPr>
          <w:ins w:id="254" w:author="Master Repository Process" w:date="2021-08-29T01:56:00Z"/>
        </w:rPr>
      </w:pPr>
      <w:ins w:id="255" w:author="Master Repository Process" w:date="2021-08-29T01:56:00Z">
        <w:r>
          <w:tab/>
          <w:t>(6)</w:t>
        </w:r>
        <w:r>
          <w:tab/>
          <w:t xml:space="preserve">An approved CPD activity is to be taken to be in the competency area determined — </w:t>
        </w:r>
      </w:ins>
    </w:p>
    <w:p>
      <w:pPr>
        <w:pStyle w:val="Indenta"/>
        <w:rPr>
          <w:ins w:id="256" w:author="Master Repository Process" w:date="2021-08-29T01:56:00Z"/>
        </w:rPr>
      </w:pPr>
      <w:ins w:id="257" w:author="Master Repository Process" w:date="2021-08-29T01:56:00Z">
        <w:r>
          <w:tab/>
          <w:t>(a)</w:t>
        </w:r>
        <w:r>
          <w:tab/>
          <w:t>if the activity is provided by a QA provider — by the provider; or</w:t>
        </w:r>
      </w:ins>
    </w:p>
    <w:p>
      <w:pPr>
        <w:pStyle w:val="Indenta"/>
        <w:rPr>
          <w:ins w:id="258" w:author="Master Repository Process" w:date="2021-08-29T01:56:00Z"/>
        </w:rPr>
      </w:pPr>
      <w:ins w:id="259" w:author="Master Repository Process" w:date="2021-08-29T01:56:00Z">
        <w:r>
          <w:tab/>
          <w:t>(b)</w:t>
        </w:r>
        <w:r>
          <w:tab/>
          <w:t>otherwise — by the Board at the time it approves the activity under rule 15.</w:t>
        </w:r>
      </w:ins>
    </w:p>
    <w:p>
      <w:pPr>
        <w:pStyle w:val="Footnotesection"/>
        <w:rPr>
          <w:ins w:id="260" w:author="Master Repository Process" w:date="2021-08-29T01:56:00Z"/>
        </w:rPr>
      </w:pPr>
      <w:ins w:id="261" w:author="Master Repository Process" w:date="2021-08-29T01:56:00Z">
        <w:r>
          <w:tab/>
          <w:t>[Rule 13D inserted in Gazette 20 Feb 2015 p. 684.]</w:t>
        </w:r>
      </w:ins>
    </w:p>
    <w:p>
      <w:pPr>
        <w:pStyle w:val="Heading5"/>
        <w:rPr>
          <w:ins w:id="262" w:author="Master Repository Process" w:date="2021-08-29T01:56:00Z"/>
        </w:rPr>
      </w:pPr>
      <w:bookmarkStart w:id="263" w:name="_Toc412208371"/>
      <w:bookmarkStart w:id="264" w:name="_Toc420507416"/>
      <w:ins w:id="265" w:author="Master Repository Process" w:date="2021-08-29T01:56:00Z">
        <w:r>
          <w:rPr>
            <w:rStyle w:val="CharSectno"/>
          </w:rPr>
          <w:t>13E</w:t>
        </w:r>
        <w:r>
          <w:t>.</w:t>
        </w:r>
        <w:r>
          <w:tab/>
          <w:t>Requirements for interactive and publication CPD points</w:t>
        </w:r>
        <w:bookmarkEnd w:id="263"/>
        <w:bookmarkEnd w:id="264"/>
      </w:ins>
    </w:p>
    <w:p>
      <w:pPr>
        <w:pStyle w:val="Subsection"/>
        <w:rPr>
          <w:ins w:id="266" w:author="Master Repository Process" w:date="2021-08-29T01:56:00Z"/>
        </w:rPr>
      </w:pPr>
      <w:ins w:id="267" w:author="Master Repository Process" w:date="2021-08-29T01:56:00Z">
        <w:r>
          <w:tab/>
          <w:t>(1)</w:t>
        </w:r>
        <w:r>
          <w:tab/>
          <w:t xml:space="preserve">The CPD points earned to satisfy the CPD condition for a CPD period must include at least 6 CPD points earned — </w:t>
        </w:r>
      </w:ins>
    </w:p>
    <w:p>
      <w:pPr>
        <w:pStyle w:val="Indenta"/>
        <w:rPr>
          <w:ins w:id="268" w:author="Master Repository Process" w:date="2021-08-29T01:56:00Z"/>
        </w:rPr>
      </w:pPr>
      <w:ins w:id="269" w:author="Master Repository Process" w:date="2021-08-29T01:56:00Z">
        <w:r>
          <w:tab/>
          <w:t>(a)</w:t>
        </w:r>
        <w:r>
          <w:tab/>
          <w:t>by completing interactive activities; or</w:t>
        </w:r>
      </w:ins>
    </w:p>
    <w:p>
      <w:pPr>
        <w:pStyle w:val="Indenta"/>
        <w:rPr>
          <w:ins w:id="270" w:author="Master Repository Process" w:date="2021-08-29T01:56:00Z"/>
        </w:rPr>
      </w:pPr>
      <w:ins w:id="271" w:author="Master Repository Process" w:date="2021-08-29T01:56:00Z">
        <w:r>
          <w:tab/>
          <w:t>(b)</w:t>
        </w:r>
        <w:r>
          <w:tab/>
          <w:t>by completing a combination of interactive activities and publication activities.</w:t>
        </w:r>
      </w:ins>
    </w:p>
    <w:p>
      <w:pPr>
        <w:pStyle w:val="Subsection"/>
        <w:rPr>
          <w:ins w:id="272" w:author="Master Repository Process" w:date="2021-08-29T01:56:00Z"/>
        </w:rPr>
      </w:pPr>
      <w:ins w:id="273" w:author="Master Repository Process" w:date="2021-08-29T01:56:00Z">
        <w:r>
          <w:tab/>
          <w:t>(2)</w:t>
        </w:r>
        <w:r>
          <w:tab/>
          <w:t>The CPD points earned to satisfy the CPD condition for a CPD period cannot include more than 5 CPD points earned by completing publication activities.</w:t>
        </w:r>
      </w:ins>
    </w:p>
    <w:p>
      <w:pPr>
        <w:pStyle w:val="Footnotesection"/>
        <w:rPr>
          <w:ins w:id="274" w:author="Master Repository Process" w:date="2021-08-29T01:56:00Z"/>
        </w:rPr>
      </w:pPr>
      <w:ins w:id="275" w:author="Master Repository Process" w:date="2021-08-29T01:56:00Z">
        <w:r>
          <w:tab/>
          <w:t>[Rule 13E inserted in Gazette 20 Feb 2015 p. 685.]</w:t>
        </w:r>
      </w:ins>
    </w:p>
    <w:p>
      <w:pPr>
        <w:pStyle w:val="Heading5"/>
        <w:rPr>
          <w:ins w:id="276" w:author="Master Repository Process" w:date="2021-08-29T01:56:00Z"/>
        </w:rPr>
      </w:pPr>
      <w:bookmarkStart w:id="277" w:name="_Toc412208372"/>
      <w:bookmarkStart w:id="278" w:name="_Toc420507417"/>
      <w:ins w:id="279" w:author="Master Repository Process" w:date="2021-08-29T01:56:00Z">
        <w:r>
          <w:rPr>
            <w:rStyle w:val="CharSectno"/>
          </w:rPr>
          <w:t>13F</w:t>
        </w:r>
        <w:r>
          <w:t>.</w:t>
        </w:r>
        <w:r>
          <w:tab/>
          <w:t>CPD points for particular approved CPD activities</w:t>
        </w:r>
        <w:bookmarkEnd w:id="277"/>
        <w:bookmarkEnd w:id="278"/>
      </w:ins>
    </w:p>
    <w:p>
      <w:pPr>
        <w:pStyle w:val="Subsection"/>
        <w:rPr>
          <w:ins w:id="280" w:author="Master Repository Process" w:date="2021-08-29T01:56:00Z"/>
        </w:rPr>
      </w:pPr>
      <w:ins w:id="281" w:author="Master Repository Process" w:date="2021-08-29T01:56:00Z">
        <w:r>
          <w:tab/>
          <w:t>(1)</w:t>
        </w:r>
        <w:r>
          <w:tab/>
          <w:t>The CPD points earned by completing an approved CPD activity are as set out in the Table.</w:t>
        </w:r>
      </w:ins>
    </w:p>
    <w:p>
      <w:pPr>
        <w:pStyle w:val="zTHeadingNAm"/>
        <w:ind w:left="851"/>
        <w:rPr>
          <w:ins w:id="282" w:author="Master Repository Process" w:date="2021-08-29T01:56:00Z"/>
        </w:rPr>
      </w:pPr>
      <w:ins w:id="283" w:author="Master Repository Process" w:date="2021-08-29T01:56: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ins w:id="284" w:author="Master Repository Process" w:date="2021-08-29T01:56:00Z"/>
        </w:trPr>
        <w:tc>
          <w:tcPr>
            <w:tcW w:w="6067" w:type="dxa"/>
            <w:gridSpan w:val="2"/>
            <w:shd w:val="clear" w:color="auto" w:fill="E0E0E0"/>
          </w:tcPr>
          <w:p>
            <w:pPr>
              <w:pStyle w:val="zTablet"/>
              <w:tabs>
                <w:tab w:val="left" w:pos="573"/>
              </w:tabs>
              <w:rPr>
                <w:ins w:id="285" w:author="Master Repository Process" w:date="2021-08-29T01:56:00Z"/>
                <w:b/>
              </w:rPr>
            </w:pPr>
            <w:ins w:id="286" w:author="Master Repository Process" w:date="2021-08-29T01:56:00Z">
              <w:r>
                <w:rPr>
                  <w:b/>
                </w:rPr>
                <w:t>1.</w:t>
              </w:r>
              <w:r>
                <w:rPr>
                  <w:b/>
                </w:rPr>
                <w:tab/>
                <w:t>Interactive activity</w:t>
              </w:r>
            </w:ins>
          </w:p>
        </w:tc>
      </w:tr>
      <w:tr>
        <w:trPr>
          <w:ins w:id="287" w:author="Master Repository Process" w:date="2021-08-29T01:56:00Z"/>
        </w:trPr>
        <w:tc>
          <w:tcPr>
            <w:tcW w:w="1815" w:type="dxa"/>
          </w:tcPr>
          <w:p>
            <w:pPr>
              <w:pStyle w:val="zTablet"/>
              <w:rPr>
                <w:ins w:id="288" w:author="Master Repository Process" w:date="2021-08-29T01:56:00Z"/>
              </w:rPr>
            </w:pPr>
            <w:ins w:id="289" w:author="Master Repository Process" w:date="2021-08-29T01:56:00Z">
              <w:r>
                <w:t>Participant</w:t>
              </w:r>
            </w:ins>
          </w:p>
        </w:tc>
        <w:tc>
          <w:tcPr>
            <w:tcW w:w="4252" w:type="dxa"/>
          </w:tcPr>
          <w:p>
            <w:pPr>
              <w:pStyle w:val="zTablet"/>
              <w:rPr>
                <w:ins w:id="290" w:author="Master Repository Process" w:date="2021-08-29T01:56:00Z"/>
              </w:rPr>
            </w:pPr>
            <w:ins w:id="291" w:author="Master Repository Process" w:date="2021-08-29T01:56:00Z">
              <w:r>
                <w:t>0.5 points for each complete 30 minutes</w:t>
              </w:r>
            </w:ins>
          </w:p>
        </w:tc>
      </w:tr>
      <w:tr>
        <w:trPr>
          <w:ins w:id="292" w:author="Master Repository Process" w:date="2021-08-29T01:56:00Z"/>
        </w:trPr>
        <w:tc>
          <w:tcPr>
            <w:tcW w:w="1815" w:type="dxa"/>
          </w:tcPr>
          <w:p>
            <w:pPr>
              <w:pStyle w:val="zTablet"/>
              <w:rPr>
                <w:ins w:id="293" w:author="Master Repository Process" w:date="2021-08-29T01:56:00Z"/>
              </w:rPr>
            </w:pPr>
            <w:ins w:id="294" w:author="Master Repository Process" w:date="2021-08-29T01:56:00Z">
              <w:r>
                <w:t>Presenter who prepared the material used in the activity</w:t>
              </w:r>
            </w:ins>
          </w:p>
        </w:tc>
        <w:tc>
          <w:tcPr>
            <w:tcW w:w="4252" w:type="dxa"/>
          </w:tcPr>
          <w:p>
            <w:pPr>
              <w:pStyle w:val="zTablet"/>
              <w:rPr>
                <w:ins w:id="295" w:author="Master Repository Process" w:date="2021-08-29T01:56:00Z"/>
              </w:rPr>
            </w:pPr>
            <w:ins w:id="296" w:author="Master Repository Process" w:date="2021-08-29T01:56:00Z">
              <w:r>
                <w:t>1.5 points for each complete 30 minutes</w:t>
              </w:r>
            </w:ins>
          </w:p>
        </w:tc>
      </w:tr>
      <w:tr>
        <w:trPr>
          <w:ins w:id="297" w:author="Master Repository Process" w:date="2021-08-29T01:56:00Z"/>
        </w:trPr>
        <w:tc>
          <w:tcPr>
            <w:tcW w:w="1815" w:type="dxa"/>
          </w:tcPr>
          <w:p>
            <w:pPr>
              <w:pStyle w:val="zTablet"/>
              <w:rPr>
                <w:ins w:id="298" w:author="Master Repository Process" w:date="2021-08-29T01:56:00Z"/>
              </w:rPr>
            </w:pPr>
            <w:ins w:id="299" w:author="Master Repository Process" w:date="2021-08-29T01:56:00Z">
              <w:r>
                <w:t>Presenter who presents material prepared by someone else</w:t>
              </w:r>
            </w:ins>
          </w:p>
        </w:tc>
        <w:tc>
          <w:tcPr>
            <w:tcW w:w="4252" w:type="dxa"/>
          </w:tcPr>
          <w:p>
            <w:pPr>
              <w:pStyle w:val="zTablet"/>
              <w:rPr>
                <w:ins w:id="300" w:author="Master Repository Process" w:date="2021-08-29T01:56:00Z"/>
              </w:rPr>
            </w:pPr>
            <w:ins w:id="301" w:author="Master Repository Process" w:date="2021-08-29T01:56:00Z">
              <w:r>
                <w:t>1 point for each complete 30 minutes</w:t>
              </w:r>
            </w:ins>
          </w:p>
        </w:tc>
      </w:tr>
      <w:tr>
        <w:trPr>
          <w:ins w:id="302" w:author="Master Repository Process" w:date="2021-08-29T01:56:00Z"/>
        </w:trPr>
        <w:tc>
          <w:tcPr>
            <w:tcW w:w="1815" w:type="dxa"/>
          </w:tcPr>
          <w:p>
            <w:pPr>
              <w:pStyle w:val="zTablet"/>
              <w:rPr>
                <w:ins w:id="303" w:author="Master Repository Process" w:date="2021-08-29T01:56:00Z"/>
                <w:i/>
              </w:rPr>
            </w:pPr>
            <w:ins w:id="304" w:author="Master Repository Process" w:date="2021-08-29T01:56:00Z">
              <w:r>
                <w:t>Commentator</w:t>
              </w:r>
            </w:ins>
          </w:p>
        </w:tc>
        <w:tc>
          <w:tcPr>
            <w:tcW w:w="4252" w:type="dxa"/>
          </w:tcPr>
          <w:p>
            <w:pPr>
              <w:pStyle w:val="zTablet"/>
              <w:rPr>
                <w:ins w:id="305" w:author="Master Repository Process" w:date="2021-08-29T01:56:00Z"/>
              </w:rPr>
            </w:pPr>
            <w:ins w:id="306" w:author="Master Repository Process" w:date="2021-08-29T01:56:00Z">
              <w:r>
                <w:t>1 point for each complete 30 minutes</w:t>
              </w:r>
            </w:ins>
          </w:p>
        </w:tc>
      </w:tr>
      <w:tr>
        <w:trPr>
          <w:ins w:id="307" w:author="Master Repository Process" w:date="2021-08-29T01:56:00Z"/>
        </w:trPr>
        <w:tc>
          <w:tcPr>
            <w:tcW w:w="1815" w:type="dxa"/>
          </w:tcPr>
          <w:p>
            <w:pPr>
              <w:pStyle w:val="zTablet"/>
              <w:rPr>
                <w:ins w:id="308" w:author="Master Repository Process" w:date="2021-08-29T01:56:00Z"/>
              </w:rPr>
            </w:pPr>
            <w:ins w:id="309" w:author="Master Repository Process" w:date="2021-08-29T01:56:00Z">
              <w:r>
                <w:t>Chair</w:t>
              </w:r>
            </w:ins>
          </w:p>
        </w:tc>
        <w:tc>
          <w:tcPr>
            <w:tcW w:w="4252" w:type="dxa"/>
          </w:tcPr>
          <w:p>
            <w:pPr>
              <w:pStyle w:val="zTablet"/>
              <w:rPr>
                <w:ins w:id="310" w:author="Master Repository Process" w:date="2021-08-29T01:56:00Z"/>
              </w:rPr>
            </w:pPr>
            <w:ins w:id="311" w:author="Master Repository Process" w:date="2021-08-29T01:56:00Z">
              <w:r>
                <w:t>0.5 points for each complete 30 minutes</w:t>
              </w:r>
            </w:ins>
          </w:p>
        </w:tc>
      </w:tr>
      <w:tr>
        <w:trPr>
          <w:cantSplit/>
          <w:ins w:id="312" w:author="Master Repository Process" w:date="2021-08-29T01:56:00Z"/>
        </w:trPr>
        <w:tc>
          <w:tcPr>
            <w:tcW w:w="6067" w:type="dxa"/>
            <w:gridSpan w:val="2"/>
            <w:shd w:val="clear" w:color="auto" w:fill="E0E0E0"/>
          </w:tcPr>
          <w:p>
            <w:pPr>
              <w:pStyle w:val="zTablet"/>
              <w:tabs>
                <w:tab w:val="left" w:pos="573"/>
              </w:tabs>
              <w:rPr>
                <w:ins w:id="313" w:author="Master Repository Process" w:date="2021-08-29T01:56:00Z"/>
                <w:b/>
              </w:rPr>
            </w:pPr>
            <w:ins w:id="314" w:author="Master Repository Process" w:date="2021-08-29T01:56:00Z">
              <w:r>
                <w:rPr>
                  <w:b/>
                </w:rPr>
                <w:t>2.</w:t>
              </w:r>
              <w:r>
                <w:rPr>
                  <w:b/>
                </w:rPr>
                <w:tab/>
                <w:t>Publication activity</w:t>
              </w:r>
            </w:ins>
          </w:p>
        </w:tc>
      </w:tr>
      <w:tr>
        <w:trPr>
          <w:ins w:id="315" w:author="Master Repository Process" w:date="2021-08-29T01:56:00Z"/>
        </w:trPr>
        <w:tc>
          <w:tcPr>
            <w:tcW w:w="1815" w:type="dxa"/>
          </w:tcPr>
          <w:p>
            <w:pPr>
              <w:pStyle w:val="zTablet"/>
              <w:rPr>
                <w:ins w:id="316" w:author="Master Repository Process" w:date="2021-08-29T01:56:00Z"/>
              </w:rPr>
            </w:pPr>
            <w:ins w:id="317" w:author="Master Repository Process" w:date="2021-08-29T01:56:00Z">
              <w:r>
                <w:t>All publication activities</w:t>
              </w:r>
            </w:ins>
          </w:p>
        </w:tc>
        <w:tc>
          <w:tcPr>
            <w:tcW w:w="4252" w:type="dxa"/>
          </w:tcPr>
          <w:p>
            <w:pPr>
              <w:pStyle w:val="zTablet"/>
              <w:rPr>
                <w:ins w:id="318" w:author="Master Repository Process" w:date="2021-08-29T01:56:00Z"/>
              </w:rPr>
            </w:pPr>
            <w:ins w:id="319" w:author="Master Repository Process" w:date="2021-08-29T01:56:00Z">
              <w:r>
                <w:t>0.5 points for each set of 500 words to a maximum of 5 points for a single article</w:t>
              </w:r>
            </w:ins>
          </w:p>
        </w:tc>
      </w:tr>
      <w:tr>
        <w:trPr>
          <w:ins w:id="320" w:author="Master Repository Process" w:date="2021-08-29T01:56:00Z"/>
        </w:trPr>
        <w:tc>
          <w:tcPr>
            <w:tcW w:w="1815" w:type="dxa"/>
          </w:tcPr>
          <w:p>
            <w:pPr>
              <w:pStyle w:val="zTablet"/>
              <w:rPr>
                <w:ins w:id="321" w:author="Master Repository Process" w:date="2021-08-29T01:56:00Z"/>
              </w:rPr>
            </w:pPr>
            <w:ins w:id="322" w:author="Master Repository Process" w:date="2021-08-29T01:56:00Z">
              <w:r>
                <w:t>As editor, as an alternative to the previous item</w:t>
              </w:r>
            </w:ins>
          </w:p>
        </w:tc>
        <w:tc>
          <w:tcPr>
            <w:tcW w:w="4252" w:type="dxa"/>
          </w:tcPr>
          <w:p>
            <w:pPr>
              <w:pStyle w:val="zTablet"/>
              <w:rPr>
                <w:ins w:id="323" w:author="Master Repository Process" w:date="2021-08-29T01:56:00Z"/>
              </w:rPr>
            </w:pPr>
            <w:ins w:id="324" w:author="Master Repository Process" w:date="2021-08-29T01:56:00Z">
              <w:r>
                <w:t>1 point for each edition to a maximum of 5 editions</w:t>
              </w:r>
            </w:ins>
          </w:p>
        </w:tc>
      </w:tr>
      <w:tr>
        <w:trPr>
          <w:cantSplit/>
          <w:ins w:id="325" w:author="Master Repository Process" w:date="2021-08-29T01:56:00Z"/>
        </w:trPr>
        <w:tc>
          <w:tcPr>
            <w:tcW w:w="6067" w:type="dxa"/>
            <w:gridSpan w:val="2"/>
            <w:shd w:val="clear" w:color="auto" w:fill="E0E0E0"/>
          </w:tcPr>
          <w:p>
            <w:pPr>
              <w:pStyle w:val="zTablet"/>
              <w:ind w:left="573" w:hanging="567"/>
              <w:rPr>
                <w:ins w:id="326" w:author="Master Repository Process" w:date="2021-08-29T01:56:00Z"/>
                <w:b/>
              </w:rPr>
            </w:pPr>
            <w:ins w:id="327" w:author="Master Repository Process" w:date="2021-08-29T01:56:00Z">
              <w:r>
                <w:rPr>
                  <w:b/>
                </w:rPr>
                <w:t>3.</w:t>
              </w:r>
              <w:r>
                <w:rPr>
                  <w:b/>
                </w:rPr>
                <w:tab/>
                <w:t>Electronic activity that is not an interactive activity or a publication activity</w:t>
              </w:r>
            </w:ins>
          </w:p>
        </w:tc>
      </w:tr>
      <w:tr>
        <w:trPr>
          <w:ins w:id="328" w:author="Master Repository Process" w:date="2021-08-29T01:56:00Z"/>
        </w:trPr>
        <w:tc>
          <w:tcPr>
            <w:tcW w:w="1815" w:type="dxa"/>
          </w:tcPr>
          <w:p>
            <w:pPr>
              <w:pStyle w:val="zTablet"/>
              <w:rPr>
                <w:ins w:id="329" w:author="Master Repository Process" w:date="2021-08-29T01:56:00Z"/>
              </w:rPr>
            </w:pPr>
            <w:ins w:id="330" w:author="Master Repository Process" w:date="2021-08-29T01:56:00Z">
              <w:r>
                <w:t>As participant</w:t>
              </w:r>
            </w:ins>
          </w:p>
        </w:tc>
        <w:tc>
          <w:tcPr>
            <w:tcW w:w="4252" w:type="dxa"/>
          </w:tcPr>
          <w:p>
            <w:pPr>
              <w:pStyle w:val="zTablet"/>
              <w:rPr>
                <w:ins w:id="331" w:author="Master Repository Process" w:date="2021-08-29T01:56:00Z"/>
              </w:rPr>
            </w:pPr>
            <w:ins w:id="332" w:author="Master Repository Process" w:date="2021-08-29T01:56:00Z">
              <w:r>
                <w:t>1 point for each complete 60 minutes to a maximum of 4 points for a conference, course or other event comprising one or more approved CPD activities</w:t>
              </w:r>
            </w:ins>
          </w:p>
        </w:tc>
      </w:tr>
    </w:tbl>
    <w:p>
      <w:pPr>
        <w:pStyle w:val="Subsection"/>
        <w:rPr>
          <w:ins w:id="333" w:author="Master Repository Process" w:date="2021-08-29T01:56:00Z"/>
        </w:rPr>
      </w:pPr>
      <w:ins w:id="334" w:author="Master Repository Process" w:date="2021-08-29T01:56:00Z">
        <w:r>
          <w:tab/>
          <w:t>(2)</w:t>
        </w:r>
        <w:r>
          <w:tab/>
          <w:t>The maximum number of CPD points that can be earned from attending a conference, course or other event comprising one or more interactive activities is 6.</w:t>
        </w:r>
      </w:ins>
    </w:p>
    <w:p>
      <w:pPr>
        <w:pStyle w:val="Subsection"/>
        <w:rPr>
          <w:ins w:id="335" w:author="Master Repository Process" w:date="2021-08-29T01:56:00Z"/>
        </w:rPr>
      </w:pPr>
      <w:ins w:id="336" w:author="Master Repository Process" w:date="2021-08-29T01:56:00Z">
        <w:r>
          <w:tab/>
          <w:t>(3)</w:t>
        </w:r>
        <w:r>
          <w:tab/>
          <w:t xml:space="preserve">CPD points cannot be earned by completing an electronic activity, whether interactive or not, unless the material for the activity — </w:t>
        </w:r>
      </w:ins>
    </w:p>
    <w:p>
      <w:pPr>
        <w:pStyle w:val="Indenta"/>
        <w:rPr>
          <w:ins w:id="337" w:author="Master Repository Process" w:date="2021-08-29T01:56:00Z"/>
        </w:rPr>
      </w:pPr>
      <w:ins w:id="338" w:author="Master Repository Process" w:date="2021-08-29T01:56:00Z">
        <w:r>
          <w:tab/>
          <w:t>(a)</w:t>
        </w:r>
        <w:r>
          <w:tab/>
          <w:t>was prepared in the period of 12 months before completion of the electronic activity; or</w:t>
        </w:r>
      </w:ins>
    </w:p>
    <w:p>
      <w:pPr>
        <w:pStyle w:val="Indenta"/>
        <w:rPr>
          <w:ins w:id="339" w:author="Master Repository Process" w:date="2021-08-29T01:56:00Z"/>
        </w:rPr>
      </w:pPr>
      <w:ins w:id="340" w:author="Master Repository Process" w:date="2021-08-29T01:56:00Z">
        <w:r>
          <w:tab/>
          <w:t>(b)</w:t>
        </w:r>
        <w:r>
          <w:tab/>
          <w:t>has been reviewed and, if necessary, updated in that period.</w:t>
        </w:r>
      </w:ins>
    </w:p>
    <w:p>
      <w:pPr>
        <w:pStyle w:val="Footnotesection"/>
        <w:rPr>
          <w:ins w:id="341" w:author="Master Repository Process" w:date="2021-08-29T01:56:00Z"/>
        </w:rPr>
      </w:pPr>
      <w:ins w:id="342" w:author="Master Repository Process" w:date="2021-08-29T01:56:00Z">
        <w:r>
          <w:tab/>
          <w:t>[Rule 13F inserted in Gazette 20 Feb 2015 p. 685</w:t>
        </w:r>
        <w:r>
          <w:noBreakHyphen/>
          <w:t>6.]</w:t>
        </w:r>
      </w:ins>
    </w:p>
    <w:p>
      <w:pPr>
        <w:pStyle w:val="Heading4"/>
        <w:rPr>
          <w:ins w:id="343" w:author="Master Repository Process" w:date="2021-08-29T01:56:00Z"/>
        </w:rPr>
      </w:pPr>
      <w:bookmarkStart w:id="344" w:name="_Toc412208373"/>
      <w:bookmarkStart w:id="345" w:name="_Toc420507329"/>
      <w:bookmarkStart w:id="346" w:name="_Toc420507418"/>
      <w:ins w:id="347" w:author="Master Repository Process" w:date="2021-08-29T01:56:00Z">
        <w:r>
          <w:t>Subdivision 4 — Other matters about continuing professional development</w:t>
        </w:r>
        <w:bookmarkEnd w:id="344"/>
        <w:bookmarkEnd w:id="345"/>
        <w:bookmarkEnd w:id="346"/>
      </w:ins>
    </w:p>
    <w:p>
      <w:pPr>
        <w:pStyle w:val="Footnoteheading"/>
        <w:rPr>
          <w:ins w:id="348" w:author="Master Repository Process" w:date="2021-08-29T01:56:00Z"/>
        </w:rPr>
      </w:pPr>
      <w:ins w:id="349" w:author="Master Repository Process" w:date="2021-08-29T01:56:00Z">
        <w:r>
          <w:tab/>
          <w:t>[Heading inserted in Gazette 20 Feb 2015 p. 686.]</w:t>
        </w:r>
      </w:ins>
    </w:p>
    <w:p>
      <w:pPr>
        <w:pStyle w:val="Heading5"/>
      </w:pPr>
      <w:bookmarkStart w:id="350" w:name="_Toc412208374"/>
      <w:bookmarkStart w:id="351" w:name="_Toc420507419"/>
      <w:bookmarkStart w:id="352" w:name="_Toc525016613"/>
      <w:r>
        <w:rPr>
          <w:rStyle w:val="CharSectno"/>
        </w:rPr>
        <w:t>13</w:t>
      </w:r>
      <w:r>
        <w:t>.</w:t>
      </w:r>
      <w:r>
        <w:tab/>
        <w:t>Points for repeated activities</w:t>
      </w:r>
      <w:bookmarkEnd w:id="350"/>
      <w:bookmarkEnd w:id="351"/>
      <w:bookmarkEnd w:id="352"/>
    </w:p>
    <w:p>
      <w:pPr>
        <w:pStyle w:val="Subsection"/>
        <w:rPr>
          <w:ins w:id="353" w:author="Master Repository Process" w:date="2021-08-29T01:56:00Z"/>
        </w:rPr>
      </w:pPr>
      <w:ins w:id="354" w:author="Master Repository Process" w:date="2021-08-29T01:56:00Z">
        <w:r>
          <w:tab/>
          <w:t>(1A)</w:t>
        </w:r>
        <w:r>
          <w:tab/>
          <w:t xml:space="preserve">In this rule — </w:t>
        </w:r>
      </w:ins>
    </w:p>
    <w:p>
      <w:pPr>
        <w:pStyle w:val="Defstart"/>
        <w:rPr>
          <w:ins w:id="355" w:author="Master Repository Process" w:date="2021-08-29T01:56:00Z"/>
        </w:rPr>
      </w:pPr>
      <w:ins w:id="356" w:author="Master Repository Process" w:date="2021-08-29T01:56:00Z">
        <w:r>
          <w:tab/>
        </w:r>
        <w:r>
          <w:rPr>
            <w:rStyle w:val="CharDefText"/>
          </w:rPr>
          <w:t>CPD points</w:t>
        </w:r>
        <w:r>
          <w:t xml:space="preserve"> means points earned in accordance with rule 9 or 13C, as is relevant to the case.</w:t>
        </w:r>
      </w:ins>
    </w:p>
    <w:p>
      <w:pPr>
        <w:pStyle w:val="Subsection"/>
      </w:pPr>
      <w:r>
        <w:tab/>
        <w:t>(1)</w:t>
      </w:r>
      <w:r>
        <w:tab/>
        <w:t>If a local legal practitioner repeats an approved CPD activity the practitioner earns the CPD points for completing the activity only once, but the practitioner may choose from which repetition of the activity he or she earns the points.</w:t>
      </w:r>
    </w:p>
    <w:p>
      <w:pPr>
        <w:pStyle w:val="Subsection"/>
      </w:pPr>
      <w:r>
        <w:tab/>
        <w:t>(2)</w:t>
      </w:r>
      <w:r>
        <w:tab/>
        <w:t xml:space="preserve">If a local legal practitioner — </w:t>
      </w:r>
    </w:p>
    <w:p>
      <w:pPr>
        <w:pStyle w:val="Indenta"/>
      </w:pPr>
      <w:r>
        <w:tab/>
        <w:t>(a)</w:t>
      </w:r>
      <w:r>
        <w:tab/>
        <w:t xml:space="preserve">completes a publication activity of a kind described in paragraph (b) or (c) of the definition of </w:t>
      </w:r>
      <w:r>
        <w:rPr>
          <w:b/>
          <w:bCs/>
          <w:i/>
          <w:iCs/>
        </w:rPr>
        <w:t>professional development activity</w:t>
      </w:r>
      <w:r>
        <w:t xml:space="preserve">; and </w:t>
      </w:r>
    </w:p>
    <w:p>
      <w:pPr>
        <w:pStyle w:val="Indenta"/>
      </w:pPr>
      <w:r>
        <w:tab/>
        <w:t>(b)</w:t>
      </w:r>
      <w:r>
        <w:tab/>
        <w:t xml:space="preserve">presents substantially the same material as a presenter or commentator of an interactive activity, </w:t>
      </w:r>
    </w:p>
    <w:p>
      <w:pPr>
        <w:pStyle w:val="Subsection"/>
      </w:pPr>
      <w:r>
        <w:tab/>
      </w:r>
      <w:r>
        <w:tab/>
        <w:t>the practitioner earns the CPD points for the publication activity or the interactive activity but not both, but the practitioner may choose from which activity he or she earns the points.</w:t>
      </w:r>
    </w:p>
    <w:p>
      <w:pPr>
        <w:pStyle w:val="Footnotesection"/>
        <w:rPr>
          <w:ins w:id="357" w:author="Master Repository Process" w:date="2021-08-29T01:56:00Z"/>
        </w:rPr>
      </w:pPr>
      <w:ins w:id="358" w:author="Master Repository Process" w:date="2021-08-29T01:56:00Z">
        <w:r>
          <w:tab/>
          <w:t>[Rule 13 amended in Gazette 20 Feb 2015 p. 686.]</w:t>
        </w:r>
      </w:ins>
    </w:p>
    <w:p>
      <w:pPr>
        <w:pStyle w:val="Heading5"/>
      </w:pPr>
      <w:bookmarkStart w:id="359" w:name="_Toc412208375"/>
      <w:bookmarkStart w:id="360" w:name="_Toc420507420"/>
      <w:bookmarkStart w:id="361" w:name="_Toc525016614"/>
      <w:r>
        <w:rPr>
          <w:rStyle w:val="CharSectno"/>
        </w:rPr>
        <w:t>14</w:t>
      </w:r>
      <w:r>
        <w:t>.</w:t>
      </w:r>
      <w:r>
        <w:tab/>
      </w:r>
      <w:del w:id="362" w:author="Master Repository Process" w:date="2021-08-29T01:56:00Z">
        <w:r>
          <w:delText xml:space="preserve">Approval of </w:delText>
        </w:r>
      </w:del>
      <w:r>
        <w:t>QA</w:t>
      </w:r>
      <w:del w:id="363" w:author="Master Repository Process" w:date="2021-08-29T01:56:00Z">
        <w:r>
          <w:delText> </w:delText>
        </w:r>
      </w:del>
      <w:ins w:id="364" w:author="Master Repository Process" w:date="2021-08-29T01:56:00Z">
        <w:r>
          <w:t xml:space="preserve"> </w:t>
        </w:r>
      </w:ins>
      <w:r>
        <w:t>providers</w:t>
      </w:r>
      <w:bookmarkEnd w:id="359"/>
      <w:bookmarkEnd w:id="360"/>
      <w:bookmarkEnd w:id="361"/>
    </w:p>
    <w:p>
      <w:pPr>
        <w:pStyle w:val="Subsection"/>
      </w:pPr>
      <w:r>
        <w:tab/>
        <w:t>(1)</w:t>
      </w:r>
      <w:r>
        <w:tab/>
        <w:t xml:space="preserve">The following are QA providers — </w:t>
      </w:r>
    </w:p>
    <w:p>
      <w:pPr>
        <w:pStyle w:val="Indenta"/>
      </w:pPr>
      <w:r>
        <w:tab/>
        <w:t>(a)</w:t>
      </w:r>
      <w:r>
        <w:tab/>
        <w:t xml:space="preserve">the Board; </w:t>
      </w:r>
    </w:p>
    <w:p>
      <w:pPr>
        <w:pStyle w:val="Indenta"/>
      </w:pPr>
      <w:r>
        <w:tab/>
        <w:t>(b)</w:t>
      </w:r>
      <w:r>
        <w:tab/>
        <w:t xml:space="preserve">all courts and tribunals created by a written law of this State, the Commonwealth, any other State or a territory; </w:t>
      </w:r>
    </w:p>
    <w:p>
      <w:pPr>
        <w:pStyle w:val="Indenta"/>
      </w:pPr>
      <w:r>
        <w:tab/>
        <w:t>(c)</w:t>
      </w:r>
      <w:r>
        <w:tab/>
        <w:t>The Western Australian Industrial Relations Commission and the Australian Industrial Relations Commission.</w:t>
      </w:r>
    </w:p>
    <w:p>
      <w:pPr>
        <w:pStyle w:val="Ednotepara"/>
      </w:pPr>
      <w:r>
        <w:tab/>
        <w:t>[(d)</w:t>
      </w:r>
      <w:r>
        <w:tab/>
        <w:t>deleted]</w:t>
      </w:r>
    </w:p>
    <w:p>
      <w:pPr>
        <w:pStyle w:val="Subsection"/>
      </w:pPr>
      <w:r>
        <w:tab/>
        <w:t>(2)</w:t>
      </w:r>
      <w:r>
        <w:tab/>
        <w:t>The Board may approve any other person, body or group of persons as a QA provider.</w:t>
      </w:r>
    </w:p>
    <w:p>
      <w:pPr>
        <w:pStyle w:val="Subsection"/>
        <w:rPr>
          <w:ins w:id="365" w:author="Master Repository Process" w:date="2021-08-29T01:56:00Z"/>
        </w:rPr>
      </w:pPr>
      <w:ins w:id="366" w:author="Master Repository Process" w:date="2021-08-29T01:56:00Z">
        <w:r>
          <w:tab/>
          <w:t>(3)</w:t>
        </w:r>
        <w:r>
          <w:tab/>
          <w:t>The Board may audit, or cause to be audited, a person, body or group of persons approved as a QA provider under subrule (2) in relation to the provision by the QA provider of professional development activities.</w:t>
        </w:r>
      </w:ins>
    </w:p>
    <w:p>
      <w:pPr>
        <w:pStyle w:val="Footnotesection"/>
      </w:pPr>
      <w:r>
        <w:tab/>
        <w:t>[Rule 14 amended in Gazette 26 Oct 2010 p. 5290</w:t>
      </w:r>
      <w:ins w:id="367" w:author="Master Repository Process" w:date="2021-08-29T01:56:00Z">
        <w:r>
          <w:t>; 20 Feb 2015 p. 686</w:t>
        </w:r>
      </w:ins>
      <w:r>
        <w:t>.]</w:t>
      </w:r>
    </w:p>
    <w:p>
      <w:pPr>
        <w:pStyle w:val="Heading5"/>
      </w:pPr>
      <w:bookmarkStart w:id="368" w:name="_Toc412208376"/>
      <w:bookmarkStart w:id="369" w:name="_Toc420507421"/>
      <w:bookmarkStart w:id="370" w:name="_Toc525016615"/>
      <w:r>
        <w:rPr>
          <w:rStyle w:val="CharSectno"/>
        </w:rPr>
        <w:t>15</w:t>
      </w:r>
      <w:r>
        <w:t>.</w:t>
      </w:r>
      <w:r>
        <w:tab/>
        <w:t>Approval of professional development activities</w:t>
      </w:r>
      <w:bookmarkEnd w:id="368"/>
      <w:bookmarkEnd w:id="369"/>
      <w:bookmarkEnd w:id="370"/>
      <w:r>
        <w:t xml:space="preserve"> </w:t>
      </w:r>
    </w:p>
    <w:p>
      <w:pPr>
        <w:pStyle w:val="Subsection"/>
      </w:pPr>
      <w:r>
        <w:tab/>
        <w:t>(1)</w:t>
      </w:r>
      <w:r>
        <w:tab/>
        <w:t>The Board may, on the application of a person who is not, or a body or group of persons that is not, a QA provider, approve a professional development activity provided, or to be provided, by the applicant as an approved CPD activity.</w:t>
      </w:r>
    </w:p>
    <w:p>
      <w:pPr>
        <w:pStyle w:val="Subsection"/>
      </w:pPr>
      <w:r>
        <w:tab/>
        <w:t>(2)</w:t>
      </w:r>
      <w:r>
        <w:tab/>
        <w:t xml:space="preserve">The Board may, on the application of a local legal practitioner, approve a professional development activity undertaken, or to be undertaken, by that practitioner as an approved CPD activity for that practitioner. </w:t>
      </w:r>
    </w:p>
    <w:p>
      <w:pPr>
        <w:pStyle w:val="Subsection"/>
      </w:pPr>
      <w:r>
        <w:tab/>
        <w:t>(3)</w:t>
      </w:r>
      <w:r>
        <w:tab/>
        <w:t>When approving an activity under this rule the Board is to determine which competency area the activity is in for the purposes of rule</w:t>
      </w:r>
      <w:del w:id="371" w:author="Master Repository Process" w:date="2021-08-29T01:56:00Z">
        <w:r>
          <w:delText xml:space="preserve"> </w:delText>
        </w:r>
      </w:del>
      <w:ins w:id="372" w:author="Master Repository Process" w:date="2021-08-29T01:56:00Z">
        <w:r>
          <w:t> </w:t>
        </w:r>
      </w:ins>
      <w:r>
        <w:t>10</w:t>
      </w:r>
      <w:ins w:id="373" w:author="Master Repository Process" w:date="2021-08-29T01:56:00Z">
        <w:r>
          <w:t xml:space="preserve"> or 13D</w:t>
        </w:r>
      </w:ins>
      <w:r>
        <w:t>.</w:t>
      </w:r>
    </w:p>
    <w:p>
      <w:pPr>
        <w:pStyle w:val="Subsection"/>
        <w:rPr>
          <w:ins w:id="374" w:author="Master Repository Process" w:date="2021-08-29T01:56:00Z"/>
        </w:rPr>
      </w:pPr>
      <w:ins w:id="375" w:author="Master Repository Process" w:date="2021-08-29T01:56:00Z">
        <w:r>
          <w:tab/>
          <w:t>(4)</w:t>
        </w:r>
        <w:r>
          <w:tab/>
          <w:t>When approving an activity under this rule the Board may allocate to it a number of CPD points different from that set out in the Table to rule 12(1) or the Table to rule 13F(1), as is relevant to the case, in which case a person completing the activity earns the number of points allocated by the Board.</w:t>
        </w:r>
      </w:ins>
    </w:p>
    <w:p>
      <w:pPr>
        <w:pStyle w:val="Footnotesection"/>
        <w:rPr>
          <w:ins w:id="376" w:author="Master Repository Process" w:date="2021-08-29T01:56:00Z"/>
        </w:rPr>
      </w:pPr>
      <w:ins w:id="377" w:author="Master Repository Process" w:date="2021-08-29T01:56:00Z">
        <w:r>
          <w:tab/>
          <w:t>[Rule 15 amended in Gazette 20 Feb 2015 p. 686</w:t>
        </w:r>
        <w:r>
          <w:noBreakHyphen/>
          <w:t>7.]</w:t>
        </w:r>
      </w:ins>
    </w:p>
    <w:p>
      <w:pPr>
        <w:pStyle w:val="Heading5"/>
      </w:pPr>
      <w:bookmarkStart w:id="378" w:name="_Toc412208377"/>
      <w:bookmarkStart w:id="379" w:name="_Toc420507422"/>
      <w:bookmarkStart w:id="380" w:name="_Toc525016616"/>
      <w:r>
        <w:rPr>
          <w:rStyle w:val="CharSectno"/>
        </w:rPr>
        <w:t>16</w:t>
      </w:r>
      <w:r>
        <w:t>.</w:t>
      </w:r>
      <w:r>
        <w:tab/>
        <w:t>Approvals generally</w:t>
      </w:r>
      <w:bookmarkEnd w:id="378"/>
      <w:bookmarkEnd w:id="379"/>
      <w:bookmarkEnd w:id="380"/>
    </w:p>
    <w:p>
      <w:pPr>
        <w:pStyle w:val="Subsection"/>
      </w:pPr>
      <w:r>
        <w:tab/>
      </w:r>
      <w:r>
        <w:tab/>
        <w:t>An approval under rule 14</w:t>
      </w:r>
      <w:ins w:id="381" w:author="Master Repository Process" w:date="2021-08-29T01:56:00Z">
        <w:r>
          <w:t>(2)</w:t>
        </w:r>
      </w:ins>
      <w:r>
        <w:t xml:space="preserve"> or 15 — </w:t>
      </w:r>
    </w:p>
    <w:p>
      <w:pPr>
        <w:pStyle w:val="Indenta"/>
      </w:pPr>
      <w:r>
        <w:tab/>
        <w:t>(a)</w:t>
      </w:r>
      <w:r>
        <w:tab/>
        <w:t>may be granted subject to any conditions the Board thinks fit; and</w:t>
      </w:r>
    </w:p>
    <w:p>
      <w:pPr>
        <w:pStyle w:val="Indenta"/>
      </w:pPr>
      <w:r>
        <w:tab/>
        <w:t>(b)</w:t>
      </w:r>
      <w:r>
        <w:tab/>
        <w:t>takes effect from the day specified in it, which may be before the day on which it is granted; and</w:t>
      </w:r>
    </w:p>
    <w:p>
      <w:pPr>
        <w:pStyle w:val="Indenta"/>
      </w:pPr>
      <w:r>
        <w:tab/>
        <w:t>(c)</w:t>
      </w:r>
      <w:r>
        <w:tab/>
        <w:t xml:space="preserve">may be revoked by the Board at any time. </w:t>
      </w:r>
    </w:p>
    <w:p>
      <w:pPr>
        <w:pStyle w:val="Footnotesection"/>
        <w:rPr>
          <w:ins w:id="382" w:author="Master Repository Process" w:date="2021-08-29T01:56:00Z"/>
        </w:rPr>
      </w:pPr>
      <w:ins w:id="383" w:author="Master Repository Process" w:date="2021-08-29T01:56:00Z">
        <w:r>
          <w:tab/>
          <w:t>[Rule 16 amended in Gazette 20 Feb 2015 p. 687.]</w:t>
        </w:r>
      </w:ins>
    </w:p>
    <w:p>
      <w:pPr>
        <w:pStyle w:val="Heading5"/>
      </w:pPr>
      <w:bookmarkStart w:id="384" w:name="_Toc412208378"/>
      <w:bookmarkStart w:id="385" w:name="_Toc420507423"/>
      <w:bookmarkStart w:id="386" w:name="_Toc525016617"/>
      <w:r>
        <w:rPr>
          <w:rStyle w:val="CharSectno"/>
        </w:rPr>
        <w:t>17</w:t>
      </w:r>
      <w:r>
        <w:t>.</w:t>
      </w:r>
      <w:r>
        <w:tab/>
        <w:t>Variations</w:t>
      </w:r>
      <w:bookmarkEnd w:id="384"/>
      <w:bookmarkEnd w:id="385"/>
      <w:bookmarkEnd w:id="386"/>
    </w:p>
    <w:p>
      <w:pPr>
        <w:pStyle w:val="Subsection"/>
      </w:pPr>
      <w:r>
        <w:tab/>
        <w:t>(1)</w:t>
      </w:r>
      <w:r>
        <w:tab/>
        <w:t xml:space="preserve">In this rule — </w:t>
      </w:r>
    </w:p>
    <w:p>
      <w:pPr>
        <w:pStyle w:val="Defstart"/>
      </w:pPr>
      <w:r>
        <w:tab/>
      </w:r>
      <w:r>
        <w:rPr>
          <w:rStyle w:val="CharDefText"/>
        </w:rPr>
        <w:t>reduce</w:t>
      </w:r>
      <w:r>
        <w:t xml:space="preserve"> includes reduce to zero. </w:t>
      </w:r>
    </w:p>
    <w:p>
      <w:pPr>
        <w:pStyle w:val="Subsection"/>
      </w:pPr>
      <w:r>
        <w:tab/>
        <w:t>(2)</w:t>
      </w:r>
      <w:r>
        <w:tab/>
        <w:t xml:space="preserve">The Board may vary the </w:t>
      </w:r>
      <w:del w:id="387" w:author="Master Repository Process" w:date="2021-08-29T01:56:00Z">
        <w:r>
          <w:delText xml:space="preserve">CPD </w:delText>
        </w:r>
      </w:del>
      <w:r>
        <w:t xml:space="preserve">condition </w:t>
      </w:r>
      <w:ins w:id="388" w:author="Master Repository Process" w:date="2021-08-29T01:56:00Z">
        <w:r>
          <w:t xml:space="preserve">imposed </w:t>
        </w:r>
      </w:ins>
      <w:r>
        <w:t>on a practising certificate</w:t>
      </w:r>
      <w:ins w:id="389" w:author="Master Repository Process" w:date="2021-08-29T01:56:00Z">
        <w:r>
          <w:t xml:space="preserve"> by rule 8(1) or 13B(1) or (2)</w:t>
        </w:r>
      </w:ins>
      <w:r>
        <w:t xml:space="preserve"> by doing either or both of the following — </w:t>
      </w:r>
    </w:p>
    <w:p>
      <w:pPr>
        <w:pStyle w:val="Indenta"/>
      </w:pPr>
      <w:r>
        <w:tab/>
        <w:t>(a)</w:t>
      </w:r>
      <w:r>
        <w:tab/>
        <w:t>reducing the number of CPD points the local legal practitioner is required to earn;</w:t>
      </w:r>
      <w:del w:id="390" w:author="Master Repository Process" w:date="2021-08-29T01:56:00Z">
        <w:r>
          <w:delText xml:space="preserve"> </w:delText>
        </w:r>
      </w:del>
    </w:p>
    <w:p>
      <w:pPr>
        <w:pStyle w:val="Indenta"/>
      </w:pPr>
      <w:r>
        <w:tab/>
        <w:t>(b)</w:t>
      </w:r>
      <w:r>
        <w:tab/>
        <w:t>reducing the minimum points requirements imposed by rules 10 and 11</w:t>
      </w:r>
      <w:ins w:id="391" w:author="Master Repository Process" w:date="2021-08-29T01:56:00Z">
        <w:r>
          <w:t xml:space="preserve"> or 13D and 13E, as is relevant to the case</w:t>
        </w:r>
      </w:ins>
      <w:r>
        <w:t>.</w:t>
      </w:r>
    </w:p>
    <w:p>
      <w:pPr>
        <w:pStyle w:val="Subsection"/>
      </w:pPr>
      <w:r>
        <w:tab/>
        <w:t>(3)</w:t>
      </w:r>
      <w:r>
        <w:tab/>
        <w:t xml:space="preserve">Without limiting the matters to which the Board may have regard in deciding whether to exercise a power under subrule (2), the Board may have regard to any or all of the following — </w:t>
      </w:r>
    </w:p>
    <w:p>
      <w:pPr>
        <w:pStyle w:val="Indenta"/>
      </w:pPr>
      <w:r>
        <w:tab/>
        <w:t>(a)</w:t>
      </w:r>
      <w:r>
        <w:tab/>
        <w:t xml:space="preserve">the </w:t>
      </w:r>
      <w:ins w:id="392" w:author="Master Repository Process" w:date="2021-08-29T01:56:00Z">
        <w:r>
          <w:t xml:space="preserve">time when, or </w:t>
        </w:r>
      </w:ins>
      <w:r>
        <w:t xml:space="preserve">length of the </w:t>
      </w:r>
      <w:ins w:id="393" w:author="Master Repository Process" w:date="2021-08-29T01:56:00Z">
        <w:r>
          <w:t xml:space="preserve">period during which, the </w:t>
        </w:r>
      </w:ins>
      <w:r>
        <w:t xml:space="preserve">certificate </w:t>
      </w:r>
      <w:del w:id="394" w:author="Master Repository Process" w:date="2021-08-29T01:56:00Z">
        <w:r>
          <w:delText xml:space="preserve">year; </w:delText>
        </w:r>
      </w:del>
      <w:ins w:id="395" w:author="Master Repository Process" w:date="2021-08-29T01:56:00Z">
        <w:r>
          <w:t>is in force;</w:t>
        </w:r>
      </w:ins>
    </w:p>
    <w:p>
      <w:pPr>
        <w:pStyle w:val="Indenta"/>
      </w:pPr>
      <w:r>
        <w:tab/>
        <w:t>(b)</w:t>
      </w:r>
      <w:r>
        <w:tab/>
        <w:t>any disability, injury or illness suffered by the practitioner;</w:t>
      </w:r>
    </w:p>
    <w:p>
      <w:pPr>
        <w:pStyle w:val="Indenta"/>
      </w:pPr>
      <w:r>
        <w:tab/>
        <w:t>(c)</w:t>
      </w:r>
      <w:r>
        <w:tab/>
        <w:t>any restrictions on the practitioner’s right to practice;</w:t>
      </w:r>
    </w:p>
    <w:p>
      <w:pPr>
        <w:pStyle w:val="Indenta"/>
      </w:pPr>
      <w:r>
        <w:tab/>
        <w:t>(d)</w:t>
      </w:r>
      <w:r>
        <w:tab/>
        <w:t xml:space="preserve">any period of absence from legal practice (whether on leave or otherwise) by the practitioner during the </w:t>
      </w:r>
      <w:ins w:id="396" w:author="Master Repository Process" w:date="2021-08-29T01:56:00Z">
        <w:r>
          <w:t xml:space="preserve">period during which the </w:t>
        </w:r>
      </w:ins>
      <w:r>
        <w:t xml:space="preserve">certificate </w:t>
      </w:r>
      <w:del w:id="397" w:author="Master Repository Process" w:date="2021-08-29T01:56:00Z">
        <w:r>
          <w:delText xml:space="preserve">year; </w:delText>
        </w:r>
      </w:del>
      <w:ins w:id="398" w:author="Master Repository Process" w:date="2021-08-29T01:56:00Z">
        <w:r>
          <w:t>is in force;</w:t>
        </w:r>
      </w:ins>
    </w:p>
    <w:p>
      <w:pPr>
        <w:pStyle w:val="Indenta"/>
      </w:pPr>
      <w:r>
        <w:tab/>
        <w:t>(e)</w:t>
      </w:r>
      <w:r>
        <w:tab/>
        <w:t xml:space="preserve">the location of the practitioner’s principal place of practice; </w:t>
      </w:r>
    </w:p>
    <w:p>
      <w:pPr>
        <w:pStyle w:val="Indenta"/>
      </w:pPr>
      <w:r>
        <w:tab/>
        <w:t>(f)</w:t>
      </w:r>
      <w:r>
        <w:tab/>
        <w:t xml:space="preserve">the length of time for which the practitioner has been engaged in legal practice; </w:t>
      </w:r>
    </w:p>
    <w:p>
      <w:pPr>
        <w:pStyle w:val="Indenta"/>
      </w:pPr>
      <w:r>
        <w:tab/>
        <w:t>(g)</w:t>
      </w:r>
      <w:r>
        <w:tab/>
        <w:t xml:space="preserve">any other professional development or educational activities undertaken by the practitioner; </w:t>
      </w:r>
    </w:p>
    <w:p>
      <w:pPr>
        <w:pStyle w:val="Indenta"/>
      </w:pPr>
      <w:r>
        <w:tab/>
        <w:t>(h)</w:t>
      </w:r>
      <w:r>
        <w:tab/>
        <w:t xml:space="preserve">whether compliance with the CPD condition would otherwise cause unreasonable hardship. </w:t>
      </w:r>
    </w:p>
    <w:p>
      <w:pPr>
        <w:pStyle w:val="Heading5"/>
        <w:rPr>
          <w:del w:id="399" w:author="Master Repository Process" w:date="2021-08-29T01:56:00Z"/>
        </w:rPr>
      </w:pPr>
      <w:bookmarkStart w:id="400" w:name="_Toc525016618"/>
      <w:del w:id="401" w:author="Master Repository Process" w:date="2021-08-29T01:56:00Z">
        <w:r>
          <w:rPr>
            <w:rStyle w:val="CharSectno"/>
          </w:rPr>
          <w:delText>18</w:delText>
        </w:r>
        <w:r>
          <w:delText>.</w:delText>
        </w:r>
        <w:r>
          <w:tab/>
          <w:delText>Transitional arrangements</w:delText>
        </w:r>
        <w:bookmarkEnd w:id="400"/>
      </w:del>
    </w:p>
    <w:p>
      <w:pPr>
        <w:pStyle w:val="Footnotesection"/>
        <w:rPr>
          <w:ins w:id="402" w:author="Master Repository Process" w:date="2021-08-29T01:56:00Z"/>
        </w:rPr>
      </w:pPr>
      <w:ins w:id="403" w:author="Master Repository Process" w:date="2021-08-29T01:56:00Z">
        <w:r>
          <w:tab/>
          <w:t>[Rule 17 amended in Gazette 20 Feb 2015 p. 687.]</w:t>
        </w:r>
      </w:ins>
    </w:p>
    <w:p>
      <w:pPr>
        <w:pStyle w:val="Heading5"/>
        <w:rPr>
          <w:ins w:id="404" w:author="Master Repository Process" w:date="2021-08-29T01:56:00Z"/>
        </w:rPr>
      </w:pPr>
      <w:bookmarkStart w:id="405" w:name="_Toc412208379"/>
      <w:bookmarkStart w:id="406" w:name="_Toc420507424"/>
      <w:ins w:id="407" w:author="Master Repository Process" w:date="2021-08-29T01:56:00Z">
        <w:r>
          <w:rPr>
            <w:rStyle w:val="CharSectno"/>
          </w:rPr>
          <w:t>18</w:t>
        </w:r>
        <w:r>
          <w:t>.</w:t>
        </w:r>
        <w:r>
          <w:tab/>
          <w:t>Electronic activities to be reviewed yearly</w:t>
        </w:r>
        <w:bookmarkEnd w:id="405"/>
        <w:bookmarkEnd w:id="406"/>
      </w:ins>
    </w:p>
    <w:p>
      <w:pPr>
        <w:pStyle w:val="Subsection"/>
      </w:pPr>
      <w:r>
        <w:tab/>
        <w:t>(1)</w:t>
      </w:r>
      <w:r>
        <w:tab/>
        <w:t xml:space="preserve">In this rule — </w:t>
      </w:r>
    </w:p>
    <w:p>
      <w:pPr>
        <w:pStyle w:val="Defstart"/>
        <w:rPr>
          <w:del w:id="408" w:author="Master Repository Process" w:date="2021-08-29T01:56:00Z"/>
        </w:rPr>
      </w:pPr>
      <w:del w:id="409" w:author="Master Repository Process" w:date="2021-08-29T01:56:00Z">
        <w:r>
          <w:tab/>
        </w:r>
        <w:r>
          <w:rPr>
            <w:rStyle w:val="CharDefText"/>
          </w:rPr>
          <w:delText>applicable CPD points</w:delText>
        </w:r>
        <w:r>
          <w:delText xml:space="preserve">, in relation to an activity, means the CPD points that a practitioner would have earned by completing the activity had this Division been in force on the completion day; </w:delText>
        </w:r>
      </w:del>
    </w:p>
    <w:p>
      <w:pPr>
        <w:pStyle w:val="Defstart"/>
        <w:rPr>
          <w:del w:id="410" w:author="Master Repository Process" w:date="2021-08-29T01:56:00Z"/>
        </w:rPr>
      </w:pPr>
      <w:del w:id="411" w:author="Master Repository Process" w:date="2021-08-29T01:56:00Z">
        <w:r>
          <w:tab/>
        </w:r>
        <w:r>
          <w:rPr>
            <w:rStyle w:val="CharDefText"/>
          </w:rPr>
          <w:delText>commencement day</w:delText>
        </w:r>
        <w:r>
          <w:delText xml:space="preserve"> means the day on which this rule comes into operation; </w:delText>
        </w:r>
      </w:del>
    </w:p>
    <w:p>
      <w:pPr>
        <w:pStyle w:val="Defstart"/>
        <w:rPr>
          <w:del w:id="412" w:author="Master Repository Process" w:date="2021-08-29T01:56:00Z"/>
        </w:rPr>
      </w:pPr>
      <w:del w:id="413" w:author="Master Repository Process" w:date="2021-08-29T01:56:00Z">
        <w:r>
          <w:tab/>
        </w:r>
        <w:r>
          <w:rPr>
            <w:rStyle w:val="CharDefText"/>
          </w:rPr>
          <w:delText>completion day</w:delText>
        </w:r>
        <w:r>
          <w:delText xml:space="preserve">, in relation to an activity, means the day on which the practitioner completed the activity; </w:delText>
        </w:r>
      </w:del>
    </w:p>
    <w:p>
      <w:pPr>
        <w:pStyle w:val="Defstart"/>
        <w:rPr>
          <w:del w:id="414" w:author="Master Repository Process" w:date="2021-08-29T01:56:00Z"/>
        </w:rPr>
      </w:pPr>
      <w:del w:id="415" w:author="Master Repository Process" w:date="2021-08-29T01:56:00Z">
        <w:r>
          <w:tab/>
        </w:r>
        <w:r>
          <w:rPr>
            <w:rStyle w:val="CharDefText"/>
          </w:rPr>
          <w:delText>existing certificate</w:delText>
        </w:r>
        <w:r>
          <w:delText xml:space="preserve"> means a certificate to which section 606 of the Act applies.</w:delText>
        </w:r>
      </w:del>
    </w:p>
    <w:p>
      <w:pPr>
        <w:pStyle w:val="Subsection"/>
        <w:rPr>
          <w:del w:id="416" w:author="Master Repository Process" w:date="2021-08-29T01:56:00Z"/>
        </w:rPr>
      </w:pPr>
      <w:del w:id="417" w:author="Master Repository Process" w:date="2021-08-29T01:56:00Z">
        <w:r>
          <w:tab/>
          <w:delText>(2)</w:delText>
        </w:r>
        <w:r>
          <w:tab/>
          <w:delText>On the commencement day an existing certificate becomes subject to the condition that the local legal practitioner must earn 10 CPD points during the certificate year.</w:delText>
        </w:r>
      </w:del>
    </w:p>
    <w:p>
      <w:pPr>
        <w:pStyle w:val="Subsection"/>
        <w:rPr>
          <w:del w:id="418" w:author="Master Repository Process" w:date="2021-08-29T01:56:00Z"/>
        </w:rPr>
      </w:pPr>
      <w:del w:id="419" w:author="Master Repository Process" w:date="2021-08-29T01:56:00Z">
        <w:r>
          <w:tab/>
          <w:delText>(3)</w:delText>
        </w:r>
        <w:r>
          <w:tab/>
          <w:delText xml:space="preserve">If — </w:delText>
        </w:r>
      </w:del>
    </w:p>
    <w:p>
      <w:pPr>
        <w:pStyle w:val="Defstart"/>
        <w:rPr>
          <w:ins w:id="420" w:author="Master Repository Process" w:date="2021-08-29T01:56:00Z"/>
        </w:rPr>
      </w:pPr>
      <w:del w:id="421" w:author="Master Repository Process" w:date="2021-08-29T01:56:00Z">
        <w:r>
          <w:tab/>
          <w:delText>(a)</w:delText>
        </w:r>
        <w:r>
          <w:tab/>
          <w:delText>a local legal practitioner who holds an existing certificate completed</w:delText>
        </w:r>
      </w:del>
      <w:ins w:id="422" w:author="Master Repository Process" w:date="2021-08-29T01:56:00Z">
        <w:r>
          <w:tab/>
        </w:r>
        <w:r>
          <w:rPr>
            <w:rStyle w:val="CharDefText"/>
          </w:rPr>
          <w:t>provider</w:t>
        </w:r>
        <w:r>
          <w:t xml:space="preserve"> means — </w:t>
        </w:r>
      </w:ins>
    </w:p>
    <w:p>
      <w:pPr>
        <w:pStyle w:val="Defpara"/>
        <w:rPr>
          <w:ins w:id="423" w:author="Master Repository Process" w:date="2021-08-29T01:56:00Z"/>
        </w:rPr>
      </w:pPr>
      <w:ins w:id="424" w:author="Master Repository Process" w:date="2021-08-29T01:56:00Z">
        <w:r>
          <w:tab/>
          <w:t>(a)</w:t>
        </w:r>
        <w:r>
          <w:tab/>
          <w:t>a QA provider; or</w:t>
        </w:r>
      </w:ins>
    </w:p>
    <w:p>
      <w:pPr>
        <w:pStyle w:val="Indenta"/>
        <w:rPr>
          <w:del w:id="425" w:author="Master Repository Process" w:date="2021-08-29T01:56:00Z"/>
        </w:rPr>
      </w:pPr>
      <w:ins w:id="426" w:author="Master Repository Process" w:date="2021-08-29T01:56:00Z">
        <w:r>
          <w:tab/>
          <w:t>(b)</w:t>
        </w:r>
        <w:r>
          <w:tab/>
          <w:t>a person, body or group of persons providing</w:t>
        </w:r>
      </w:ins>
      <w:r>
        <w:t xml:space="preserve"> a professional development activity</w:t>
      </w:r>
      <w:del w:id="427" w:author="Master Repository Process" w:date="2021-08-29T01:56:00Z">
        <w:r>
          <w:delText xml:space="preserve"> — </w:delText>
        </w:r>
      </w:del>
    </w:p>
    <w:p>
      <w:pPr>
        <w:pStyle w:val="Indenti"/>
        <w:rPr>
          <w:del w:id="428" w:author="Master Repository Process" w:date="2021-08-29T01:56:00Z"/>
        </w:rPr>
      </w:pPr>
      <w:del w:id="429" w:author="Master Repository Process" w:date="2021-08-29T01:56:00Z">
        <w:r>
          <w:tab/>
          <w:delText>(i)</w:delText>
        </w:r>
        <w:r>
          <w:tab/>
          <w:delText>on or after 1 April 2007; but</w:delText>
        </w:r>
      </w:del>
    </w:p>
    <w:p>
      <w:pPr>
        <w:pStyle w:val="Indenti"/>
        <w:rPr>
          <w:del w:id="430" w:author="Master Repository Process" w:date="2021-08-29T01:56:00Z"/>
        </w:rPr>
      </w:pPr>
      <w:del w:id="431" w:author="Master Repository Process" w:date="2021-08-29T01:56:00Z">
        <w:r>
          <w:tab/>
          <w:delText>(ii)</w:delText>
        </w:r>
        <w:r>
          <w:tab/>
          <w:delText xml:space="preserve">before the commencement day; </w:delText>
        </w:r>
      </w:del>
    </w:p>
    <w:p>
      <w:pPr>
        <w:pStyle w:val="Indenta"/>
        <w:rPr>
          <w:del w:id="432" w:author="Master Repository Process" w:date="2021-08-29T01:56:00Z"/>
        </w:rPr>
      </w:pPr>
      <w:del w:id="433" w:author="Master Repository Process" w:date="2021-08-29T01:56:00Z">
        <w:r>
          <w:tab/>
        </w:r>
        <w:r>
          <w:tab/>
          <w:delText xml:space="preserve">and </w:delText>
        </w:r>
      </w:del>
    </w:p>
    <w:p>
      <w:pPr>
        <w:pStyle w:val="Indenta"/>
        <w:rPr>
          <w:del w:id="434" w:author="Master Repository Process" w:date="2021-08-29T01:56:00Z"/>
        </w:rPr>
      </w:pPr>
      <w:del w:id="435" w:author="Master Repository Process" w:date="2021-08-29T01:56:00Z">
        <w:r>
          <w:tab/>
          <w:delText>(b)</w:delText>
        </w:r>
        <w:r>
          <w:tab/>
          <w:delText xml:space="preserve">before 1 June 2009 either — </w:delText>
        </w:r>
      </w:del>
    </w:p>
    <w:p>
      <w:pPr>
        <w:pStyle w:val="Indenti"/>
        <w:rPr>
          <w:del w:id="436" w:author="Master Repository Process" w:date="2021-08-29T01:56:00Z"/>
        </w:rPr>
      </w:pPr>
      <w:del w:id="437" w:author="Master Repository Process" w:date="2021-08-29T01:56:00Z">
        <w:r>
          <w:tab/>
          <w:delText>(i)</w:delText>
        </w:r>
        <w:r>
          <w:tab/>
          <w:delText>the provider of the activity becomes a QA provider; or</w:delText>
        </w:r>
      </w:del>
    </w:p>
    <w:p>
      <w:pPr>
        <w:pStyle w:val="Defpara"/>
      </w:pPr>
      <w:del w:id="438" w:author="Master Repository Process" w:date="2021-08-29T01:56:00Z">
        <w:r>
          <w:tab/>
          <w:delText>(ii)</w:delText>
        </w:r>
        <w:r>
          <w:tab/>
          <w:delText>the activity is</w:delText>
        </w:r>
      </w:del>
      <w:r>
        <w:t xml:space="preserve"> approved under rule</w:t>
      </w:r>
      <w:del w:id="439" w:author="Master Repository Process" w:date="2021-08-29T01:56:00Z">
        <w:r>
          <w:delText xml:space="preserve"> </w:delText>
        </w:r>
      </w:del>
      <w:ins w:id="440" w:author="Master Repository Process" w:date="2021-08-29T01:56:00Z">
        <w:r>
          <w:t> </w:t>
        </w:r>
      </w:ins>
      <w:r>
        <w:t>15</w:t>
      </w:r>
      <w:del w:id="441" w:author="Master Repository Process" w:date="2021-08-29T01:56:00Z">
        <w:r>
          <w:delText>,</w:delText>
        </w:r>
      </w:del>
      <w:ins w:id="442" w:author="Master Repository Process" w:date="2021-08-29T01:56:00Z">
        <w:r>
          <w:t>.</w:t>
        </w:r>
      </w:ins>
    </w:p>
    <w:p>
      <w:pPr>
        <w:pStyle w:val="Subsection"/>
        <w:rPr>
          <w:del w:id="443" w:author="Master Repository Process" w:date="2021-08-29T01:56:00Z"/>
        </w:rPr>
      </w:pPr>
      <w:r>
        <w:tab/>
      </w:r>
      <w:del w:id="444" w:author="Master Repository Process" w:date="2021-08-29T01:56:00Z">
        <w:r>
          <w:tab/>
          <w:delText>the practitioner is to be taken to have earned any applicable CPD points on the commencement day.</w:delText>
        </w:r>
      </w:del>
    </w:p>
    <w:p>
      <w:pPr>
        <w:pStyle w:val="Subsection"/>
        <w:rPr>
          <w:ins w:id="445" w:author="Master Repository Process" w:date="2021-08-29T01:56:00Z"/>
        </w:rPr>
      </w:pPr>
      <w:del w:id="446" w:author="Master Repository Process" w:date="2021-08-29T01:56:00Z">
        <w:r>
          <w:tab/>
          <w:delText>(4)</w:delText>
        </w:r>
        <w:r>
          <w:tab/>
          <w:delText>If a local legal practitioner who holds an existing certificate earns a CPD point by the completion</w:delText>
        </w:r>
      </w:del>
      <w:ins w:id="447" w:author="Master Repository Process" w:date="2021-08-29T01:56:00Z">
        <w:r>
          <w:t>(2)</w:t>
        </w:r>
        <w:r>
          <w:tab/>
          <w:t>The provider</w:t>
        </w:r>
      </w:ins>
      <w:r>
        <w:t xml:space="preserve"> of an </w:t>
      </w:r>
      <w:del w:id="448" w:author="Master Repository Process" w:date="2021-08-29T01:56:00Z">
        <w:r>
          <w:delText>approved CPD</w:delText>
        </w:r>
      </w:del>
      <w:ins w:id="449" w:author="Master Repository Process" w:date="2021-08-29T01:56:00Z">
        <w:r>
          <w:t>electronic</w:t>
        </w:r>
      </w:ins>
      <w:r>
        <w:t xml:space="preserve"> activity</w:t>
      </w:r>
      <w:del w:id="450" w:author="Master Repository Process" w:date="2021-08-29T01:56:00Z">
        <w:r>
          <w:delText xml:space="preserve"> on</w:delText>
        </w:r>
      </w:del>
      <w:ins w:id="451" w:author="Master Repository Process" w:date="2021-08-29T01:56:00Z">
        <w:r>
          <w:t>, whether interactive</w:t>
        </w:r>
      </w:ins>
      <w:r>
        <w:t xml:space="preserve"> or </w:t>
      </w:r>
      <w:del w:id="452" w:author="Master Repository Process" w:date="2021-08-29T01:56:00Z">
        <w:r>
          <w:delText>after 1 April 2009 but before 1 June 2009, the practitioner may choose</w:delText>
        </w:r>
      </w:del>
      <w:ins w:id="453" w:author="Master Repository Process" w:date="2021-08-29T01:56:00Z">
        <w:r>
          <w:t>not, must review and, if necessary, update the material</w:t>
        </w:r>
      </w:ins>
      <w:r>
        <w:t xml:space="preserve"> for the </w:t>
      </w:r>
      <w:del w:id="454" w:author="Master Repository Process" w:date="2021-08-29T01:56:00Z">
        <w:r>
          <w:delText xml:space="preserve">point to be taken to have been earned in the certificate year for that certificate, in which case rule 9(4) does not apply in relation to that point. </w:delText>
        </w:r>
      </w:del>
      <w:ins w:id="455" w:author="Master Repository Process" w:date="2021-08-29T01:56:00Z">
        <w:r>
          <w:t>activity at least every 12 months.</w:t>
        </w:r>
      </w:ins>
    </w:p>
    <w:p>
      <w:pPr>
        <w:pStyle w:val="Footnotesection"/>
        <w:rPr>
          <w:ins w:id="456" w:author="Master Repository Process" w:date="2021-08-29T01:56:00Z"/>
        </w:rPr>
      </w:pPr>
      <w:ins w:id="457" w:author="Master Repository Process" w:date="2021-08-29T01:56:00Z">
        <w:r>
          <w:tab/>
          <w:t>[Rule 18 inserted in Gazette 20 Feb 2015 p. 687</w:t>
        </w:r>
        <w:r>
          <w:noBreakHyphen/>
          <w:t>8.]</w:t>
        </w:r>
      </w:ins>
    </w:p>
    <w:p>
      <w:pPr>
        <w:pStyle w:val="Subsection"/>
      </w:pPr>
    </w:p>
    <w:p>
      <w:pPr>
        <w:pStyle w:val="Heading3"/>
      </w:pPr>
      <w:bookmarkStart w:id="458" w:name="_Toc412208380"/>
      <w:bookmarkStart w:id="459" w:name="_Toc420507336"/>
      <w:bookmarkStart w:id="460" w:name="_Toc420507425"/>
      <w:bookmarkStart w:id="461" w:name="_Toc525016619"/>
      <w:r>
        <w:rPr>
          <w:rStyle w:val="CharDivNo"/>
        </w:rPr>
        <w:t>Division 3</w:t>
      </w:r>
      <w:r>
        <w:t> — </w:t>
      </w:r>
      <w:r>
        <w:rPr>
          <w:rStyle w:val="CharDivText"/>
        </w:rPr>
        <w:t>Other conditions on local practising certificates</w:t>
      </w:r>
      <w:bookmarkEnd w:id="458"/>
      <w:bookmarkEnd w:id="459"/>
      <w:bookmarkEnd w:id="460"/>
      <w:bookmarkEnd w:id="461"/>
    </w:p>
    <w:p>
      <w:pPr>
        <w:pStyle w:val="Heading5"/>
      </w:pPr>
      <w:bookmarkStart w:id="462" w:name="_Toc412208381"/>
      <w:bookmarkStart w:id="463" w:name="_Toc420507426"/>
      <w:bookmarkStart w:id="464" w:name="_Toc525016620"/>
      <w:r>
        <w:rPr>
          <w:rStyle w:val="CharSectno"/>
        </w:rPr>
        <w:t>19</w:t>
      </w:r>
      <w:r>
        <w:t>.</w:t>
      </w:r>
      <w:r>
        <w:tab/>
        <w:t>Restricted legal practice (s. 50)</w:t>
      </w:r>
      <w:bookmarkEnd w:id="462"/>
      <w:bookmarkEnd w:id="463"/>
      <w:bookmarkEnd w:id="464"/>
    </w:p>
    <w:p>
      <w:pPr>
        <w:pStyle w:val="Subsection"/>
      </w:pPr>
      <w:r>
        <w:tab/>
        <w:t>(1)</w:t>
      </w:r>
      <w:r>
        <w:tab/>
        <w:t xml:space="preserve">This rule applies for the purposes of the definition, in section 50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3"/>
      </w:pPr>
      <w:bookmarkStart w:id="465" w:name="_Toc412208382"/>
      <w:bookmarkStart w:id="466" w:name="_Toc420507338"/>
      <w:bookmarkStart w:id="467" w:name="_Toc420507427"/>
      <w:bookmarkStart w:id="468" w:name="_Toc525016621"/>
      <w:r>
        <w:rPr>
          <w:rStyle w:val="CharDivNo"/>
        </w:rPr>
        <w:t>Division 4</w:t>
      </w:r>
      <w:r>
        <w:t> — </w:t>
      </w:r>
      <w:r>
        <w:rPr>
          <w:rStyle w:val="CharDivText"/>
        </w:rPr>
        <w:t>Local legal practitioner with articled clerk</w:t>
      </w:r>
      <w:bookmarkEnd w:id="465"/>
      <w:bookmarkEnd w:id="466"/>
      <w:bookmarkEnd w:id="467"/>
      <w:bookmarkEnd w:id="468"/>
    </w:p>
    <w:p>
      <w:pPr>
        <w:pStyle w:val="Heading5"/>
      </w:pPr>
      <w:bookmarkStart w:id="469" w:name="_Toc412208383"/>
      <w:bookmarkStart w:id="470" w:name="_Toc420507428"/>
      <w:bookmarkStart w:id="471" w:name="_Toc525016622"/>
      <w:r>
        <w:rPr>
          <w:rStyle w:val="CharSectno"/>
        </w:rPr>
        <w:t>20</w:t>
      </w:r>
      <w:r>
        <w:t>.</w:t>
      </w:r>
      <w:r>
        <w:tab/>
        <w:t>Terms used</w:t>
      </w:r>
      <w:bookmarkEnd w:id="469"/>
      <w:bookmarkEnd w:id="470"/>
      <w:bookmarkEnd w:id="471"/>
    </w:p>
    <w:p>
      <w:pPr>
        <w:pStyle w:val="Subsection"/>
      </w:pPr>
      <w:r>
        <w:tab/>
      </w:r>
      <w:r>
        <w:tab/>
        <w:t xml:space="preserve">A term has the same meaning in this Division as it has in the </w:t>
      </w:r>
      <w:r>
        <w:rPr>
          <w:i/>
          <w:iCs/>
        </w:rPr>
        <w:t>Legal Profession (Admission) Rules </w:t>
      </w:r>
      <w:r>
        <w:t xml:space="preserve">2009 Part 3. </w:t>
      </w:r>
    </w:p>
    <w:p>
      <w:pPr>
        <w:pStyle w:val="Heading5"/>
      </w:pPr>
      <w:bookmarkStart w:id="472" w:name="_Toc412208384"/>
      <w:bookmarkStart w:id="473" w:name="_Toc420507429"/>
      <w:bookmarkStart w:id="474" w:name="_Toc525016623"/>
      <w:r>
        <w:rPr>
          <w:rStyle w:val="CharSectno"/>
        </w:rPr>
        <w:t>21</w:t>
      </w:r>
      <w:r>
        <w:t>.</w:t>
      </w:r>
      <w:r>
        <w:tab/>
        <w:t>Supervision of articled clerks</w:t>
      </w:r>
      <w:bookmarkEnd w:id="472"/>
      <w:bookmarkEnd w:id="473"/>
      <w:bookmarkEnd w:id="474"/>
    </w:p>
    <w:p>
      <w:pPr>
        <w:pStyle w:val="Subsection"/>
      </w:pPr>
      <w:r>
        <w:rPr>
          <w:snapToGrid w:val="0"/>
        </w:rPr>
        <w:tab/>
      </w:r>
      <w:r>
        <w:rPr>
          <w:snapToGrid w:val="0"/>
        </w:rPr>
        <w:tab/>
      </w:r>
      <w:r>
        <w:t xml:space="preserve">For the purposes of the </w:t>
      </w:r>
      <w:r>
        <w:rPr>
          <w:i/>
          <w:iCs/>
        </w:rPr>
        <w:t>Legal Profession (Admission) Rules </w:t>
      </w:r>
      <w:r>
        <w:t>2009 rule 19(1)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Heading5"/>
      </w:pPr>
      <w:bookmarkStart w:id="475" w:name="_Toc412208385"/>
      <w:bookmarkStart w:id="476" w:name="_Toc420507430"/>
      <w:bookmarkStart w:id="477" w:name="_Toc525016624"/>
      <w:r>
        <w:rPr>
          <w:rStyle w:val="CharSectno"/>
        </w:rPr>
        <w:t>22</w:t>
      </w:r>
      <w:r>
        <w:t>.</w:t>
      </w:r>
      <w:r>
        <w:tab/>
        <w:t>Conduct of principal for articled clerk</w:t>
      </w:r>
      <w:bookmarkEnd w:id="475"/>
      <w:bookmarkEnd w:id="476"/>
      <w:bookmarkEnd w:id="477"/>
    </w:p>
    <w:p>
      <w:pPr>
        <w:pStyle w:val="Subsection"/>
      </w:pPr>
      <w:r>
        <w:tab/>
      </w:r>
      <w:r>
        <w:tab/>
        <w:t>A local legal practitioner who is the principal for an articled clerk under articles of clerkship must comply with that deed.</w:t>
      </w:r>
    </w:p>
    <w:p>
      <w:pPr>
        <w:pStyle w:val="Heading3"/>
      </w:pPr>
      <w:bookmarkStart w:id="478" w:name="_Toc412208386"/>
      <w:bookmarkStart w:id="479" w:name="_Toc420507342"/>
      <w:bookmarkStart w:id="480" w:name="_Toc420507431"/>
      <w:bookmarkStart w:id="481" w:name="_Toc525016625"/>
      <w:r>
        <w:rPr>
          <w:rStyle w:val="CharDivNo"/>
        </w:rPr>
        <w:t>Division 5</w:t>
      </w:r>
      <w:r>
        <w:t> — </w:t>
      </w:r>
      <w:r>
        <w:rPr>
          <w:rStyle w:val="CharDivText"/>
        </w:rPr>
        <w:t>Interstate legal practitioners</w:t>
      </w:r>
      <w:bookmarkEnd w:id="478"/>
      <w:bookmarkEnd w:id="479"/>
      <w:bookmarkEnd w:id="480"/>
      <w:bookmarkEnd w:id="481"/>
    </w:p>
    <w:p>
      <w:pPr>
        <w:pStyle w:val="Heading5"/>
      </w:pPr>
      <w:bookmarkStart w:id="482" w:name="_Toc412208387"/>
      <w:bookmarkStart w:id="483" w:name="_Toc420507432"/>
      <w:bookmarkStart w:id="484" w:name="_Toc525016626"/>
      <w:r>
        <w:rPr>
          <w:rStyle w:val="CharSectno"/>
        </w:rPr>
        <w:t>23</w:t>
      </w:r>
      <w:r>
        <w:t>.</w:t>
      </w:r>
      <w:r>
        <w:tab/>
        <w:t>Notification requirements for interstate legal practitioners (s. 71)</w:t>
      </w:r>
      <w:bookmarkEnd w:id="482"/>
      <w:bookmarkEnd w:id="483"/>
      <w:bookmarkEnd w:id="484"/>
    </w:p>
    <w:p>
      <w:pPr>
        <w:pStyle w:val="Subsection"/>
      </w:pPr>
      <w:r>
        <w:tab/>
      </w:r>
      <w:r>
        <w:tab/>
        <w:t>An interstate legal practitioner who has given a notice under section 71 of the Act must give written notice to the Board of any change in the particulars or circumstances described in section 71(2)(a) to (e) or (g) or (h) within 28 days of the change occurring.</w:t>
      </w:r>
    </w:p>
    <w:p>
      <w:pPr>
        <w:pStyle w:val="Heading5"/>
      </w:pPr>
      <w:bookmarkStart w:id="485" w:name="_Toc412208388"/>
      <w:bookmarkStart w:id="486" w:name="_Toc420507433"/>
      <w:bookmarkStart w:id="487" w:name="_Toc525016627"/>
      <w:r>
        <w:rPr>
          <w:rStyle w:val="CharSectno"/>
        </w:rPr>
        <w:t>24</w:t>
      </w:r>
      <w:r>
        <w:t>.</w:t>
      </w:r>
      <w:r>
        <w:tab/>
        <w:t>Restricted legal practice by interstate legal practitioner (s. 72)</w:t>
      </w:r>
      <w:bookmarkEnd w:id="485"/>
      <w:bookmarkEnd w:id="486"/>
      <w:bookmarkEnd w:id="487"/>
    </w:p>
    <w:p>
      <w:pPr>
        <w:pStyle w:val="Subsection"/>
      </w:pPr>
      <w:r>
        <w:tab/>
        <w:t>(1)</w:t>
      </w:r>
      <w:r>
        <w:tab/>
        <w:t xml:space="preserve">This rule applies for the purposes of the definition, in section 72 of the Act, of </w:t>
      </w:r>
      <w:r>
        <w:rPr>
          <w:b/>
          <w:bCs/>
          <w:i/>
          <w:iCs/>
        </w:rPr>
        <w:t>restricted legal practice</w:t>
      </w:r>
      <w:r>
        <w:t xml:space="preserve"> paragraph (f).</w:t>
      </w:r>
    </w:p>
    <w:p>
      <w:pPr>
        <w:pStyle w:val="Subsection"/>
      </w:pPr>
      <w:r>
        <w:tab/>
        <w:t>(2)</w:t>
      </w:r>
      <w:r>
        <w:tab/>
        <w:t>Legal practice is approved if it is engaged in —</w:t>
      </w:r>
    </w:p>
    <w:p>
      <w:pPr>
        <w:pStyle w:val="Indenta"/>
      </w:pPr>
      <w:r>
        <w:tab/>
        <w:t>(a)</w:t>
      </w:r>
      <w:r>
        <w:tab/>
        <w:t xml:space="preserve">as an employee or other member of the staff of — </w:t>
      </w:r>
    </w:p>
    <w:p>
      <w:pPr>
        <w:pStyle w:val="Indenti"/>
      </w:pPr>
      <w:r>
        <w:tab/>
        <w:t>(i)</w:t>
      </w:r>
      <w:r>
        <w:tab/>
        <w:t xml:space="preserve">the Legal Aid Commission of Western Australia established by the </w:t>
      </w:r>
      <w:r>
        <w:rPr>
          <w:i/>
        </w:rPr>
        <w:t>Legal Aid Commission Act 1976</w:t>
      </w:r>
      <w:r>
        <w:t xml:space="preserve">; or </w:t>
      </w:r>
    </w:p>
    <w:p>
      <w:pPr>
        <w:pStyle w:val="Indenti"/>
      </w:pPr>
      <w:r>
        <w:tab/>
        <w:t>(ii)</w:t>
      </w:r>
      <w:r>
        <w:tab/>
        <w:t>the Aboriginal Legal Service of Western Australia (Inc.); or</w:t>
      </w:r>
    </w:p>
    <w:p>
      <w:pPr>
        <w:pStyle w:val="Indenti"/>
      </w:pPr>
      <w:r>
        <w:tab/>
        <w:t>(iii)</w:t>
      </w:r>
      <w:r>
        <w:tab/>
        <w:t xml:space="preserve">a community legal centre within the meaning given in section 388(1) of the Act; </w:t>
      </w:r>
    </w:p>
    <w:p>
      <w:pPr>
        <w:pStyle w:val="Indenta"/>
      </w:pPr>
      <w:r>
        <w:tab/>
      </w:r>
      <w:r>
        <w:tab/>
        <w:t xml:space="preserve">and </w:t>
      </w:r>
    </w:p>
    <w:p>
      <w:pPr>
        <w:pStyle w:val="Indenta"/>
      </w:pPr>
      <w:r>
        <w:tab/>
        <w:t>(b)</w:t>
      </w:r>
      <w:r>
        <w:tab/>
        <w:t>under the supervision of an Australian legal practitioner who holds an unrestricted practising certificate.</w:t>
      </w:r>
    </w:p>
    <w:p>
      <w:pPr>
        <w:pStyle w:val="Heading2"/>
      </w:pPr>
      <w:bookmarkStart w:id="488" w:name="_Toc412208389"/>
      <w:bookmarkStart w:id="489" w:name="_Toc420507345"/>
      <w:bookmarkStart w:id="490" w:name="_Toc420507434"/>
      <w:bookmarkStart w:id="491" w:name="_Toc525016628"/>
      <w:r>
        <w:rPr>
          <w:rStyle w:val="CharPartNo"/>
        </w:rPr>
        <w:t>Part 3</w:t>
      </w:r>
      <w:r>
        <w:rPr>
          <w:rStyle w:val="CharDivNo"/>
        </w:rPr>
        <w:t> </w:t>
      </w:r>
      <w:r>
        <w:t>—</w:t>
      </w:r>
      <w:r>
        <w:rPr>
          <w:rStyle w:val="CharDivText"/>
        </w:rPr>
        <w:t> </w:t>
      </w:r>
      <w:r>
        <w:rPr>
          <w:rStyle w:val="CharPartText"/>
        </w:rPr>
        <w:t>Foreign lawyers</w:t>
      </w:r>
      <w:bookmarkEnd w:id="488"/>
      <w:bookmarkEnd w:id="489"/>
      <w:bookmarkEnd w:id="490"/>
      <w:bookmarkEnd w:id="491"/>
    </w:p>
    <w:p>
      <w:pPr>
        <w:pStyle w:val="Heading5"/>
      </w:pPr>
      <w:bookmarkStart w:id="492" w:name="_Toc412208390"/>
      <w:bookmarkStart w:id="493" w:name="_Toc420507435"/>
      <w:bookmarkStart w:id="494" w:name="_Toc525016629"/>
      <w:r>
        <w:rPr>
          <w:rStyle w:val="CharSectno"/>
        </w:rPr>
        <w:t>25</w:t>
      </w:r>
      <w:r>
        <w:t>.</w:t>
      </w:r>
      <w:r>
        <w:tab/>
        <w:t>Fee for application for grant or renewal of registration (s. 168)</w:t>
      </w:r>
      <w:bookmarkEnd w:id="492"/>
      <w:bookmarkEnd w:id="493"/>
      <w:bookmarkEnd w:id="494"/>
    </w:p>
    <w:p>
      <w:pPr>
        <w:pStyle w:val="Subsection"/>
      </w:pPr>
      <w:r>
        <w:tab/>
      </w:r>
      <w:r>
        <w:tab/>
        <w:t>The fee payable for an application for the grant or renewal of registration as a foreign lawyer is the relevant fee specified in Schedule 1.</w:t>
      </w:r>
    </w:p>
    <w:p>
      <w:pPr>
        <w:pStyle w:val="Heading5"/>
      </w:pPr>
      <w:bookmarkStart w:id="495" w:name="_Toc412208391"/>
      <w:bookmarkStart w:id="496" w:name="_Toc420507436"/>
      <w:bookmarkStart w:id="497" w:name="_Toc525016630"/>
      <w:r>
        <w:rPr>
          <w:rStyle w:val="CharSectno"/>
        </w:rPr>
        <w:t>26</w:t>
      </w:r>
      <w:r>
        <w:t>.</w:t>
      </w:r>
      <w:r>
        <w:tab/>
        <w:t>Conditions regarding notification of offence (s. 191)</w:t>
      </w:r>
      <w:bookmarkEnd w:id="495"/>
      <w:bookmarkEnd w:id="496"/>
      <w:bookmarkEnd w:id="497"/>
    </w:p>
    <w:p>
      <w:pPr>
        <w:pStyle w:val="Subsection"/>
      </w:pPr>
      <w:r>
        <w:tab/>
      </w:r>
      <w:r>
        <w:tab/>
        <w:t>A notice under section 191 of the Act must be in an approved form.</w:t>
      </w:r>
    </w:p>
    <w:p>
      <w:pPr>
        <w:pStyle w:val="Heading5"/>
      </w:pPr>
      <w:bookmarkStart w:id="498" w:name="_Toc412208392"/>
      <w:bookmarkStart w:id="499" w:name="_Toc420507437"/>
      <w:bookmarkStart w:id="500" w:name="_Toc525016631"/>
      <w:r>
        <w:rPr>
          <w:rStyle w:val="CharSectno"/>
        </w:rPr>
        <w:t>27</w:t>
      </w:r>
      <w:r>
        <w:t>.</w:t>
      </w:r>
      <w:r>
        <w:tab/>
        <w:t>Notification requirements for interstate</w:t>
      </w:r>
      <w:r>
        <w:noBreakHyphen/>
        <w:t>registered foreign lawyers (s. 196)</w:t>
      </w:r>
      <w:bookmarkEnd w:id="498"/>
      <w:bookmarkEnd w:id="499"/>
      <w:bookmarkEnd w:id="500"/>
    </w:p>
    <w:p>
      <w:pPr>
        <w:pStyle w:val="Subsection"/>
      </w:pPr>
      <w:r>
        <w:tab/>
      </w:r>
      <w:r>
        <w:tab/>
        <w:t>An interstate</w:t>
      </w:r>
      <w:r>
        <w:noBreakHyphen/>
        <w:t>registered foreign lawyer who has given a notice under section 196 of the Act must give written notice to the Board of any change in the particulars or circumstances described in section 196(2)(a) to (e) or (g) or (h) within 28 days of the change occurring.</w:t>
      </w:r>
    </w:p>
    <w:p>
      <w:pPr>
        <w:pStyle w:val="Heading2"/>
      </w:pPr>
      <w:bookmarkStart w:id="501" w:name="_Toc412208393"/>
      <w:bookmarkStart w:id="502" w:name="_Toc420507349"/>
      <w:bookmarkStart w:id="503" w:name="_Toc420507438"/>
      <w:bookmarkStart w:id="504" w:name="_Toc525016632"/>
      <w:r>
        <w:rPr>
          <w:rStyle w:val="CharPartNo"/>
        </w:rPr>
        <w:t>Part 4</w:t>
      </w:r>
      <w:r>
        <w:t> — </w:t>
      </w:r>
      <w:r>
        <w:rPr>
          <w:rStyle w:val="CharPartText"/>
        </w:rPr>
        <w:t>Legal Practice Board</w:t>
      </w:r>
      <w:bookmarkEnd w:id="501"/>
      <w:bookmarkEnd w:id="502"/>
      <w:bookmarkEnd w:id="503"/>
      <w:bookmarkEnd w:id="504"/>
    </w:p>
    <w:p>
      <w:pPr>
        <w:pStyle w:val="Heading3"/>
      </w:pPr>
      <w:bookmarkStart w:id="505" w:name="_Toc412208394"/>
      <w:bookmarkStart w:id="506" w:name="_Toc420507350"/>
      <w:bookmarkStart w:id="507" w:name="_Toc420507439"/>
      <w:bookmarkStart w:id="508" w:name="_Toc525016633"/>
      <w:r>
        <w:rPr>
          <w:rStyle w:val="CharDivNo"/>
        </w:rPr>
        <w:t>Division 1</w:t>
      </w:r>
      <w:r>
        <w:t> — </w:t>
      </w:r>
      <w:r>
        <w:rPr>
          <w:rStyle w:val="CharDivText"/>
        </w:rPr>
        <w:t>Preliminary matters</w:t>
      </w:r>
      <w:bookmarkEnd w:id="505"/>
      <w:bookmarkEnd w:id="506"/>
      <w:bookmarkEnd w:id="507"/>
      <w:bookmarkEnd w:id="508"/>
    </w:p>
    <w:p>
      <w:pPr>
        <w:pStyle w:val="Heading5"/>
      </w:pPr>
      <w:bookmarkStart w:id="509" w:name="_Toc412208395"/>
      <w:bookmarkStart w:id="510" w:name="_Toc420507440"/>
      <w:bookmarkStart w:id="511" w:name="_Toc525016634"/>
      <w:r>
        <w:rPr>
          <w:rStyle w:val="CharSectno"/>
        </w:rPr>
        <w:t>28</w:t>
      </w:r>
      <w:r>
        <w:t>.</w:t>
      </w:r>
      <w:r>
        <w:tab/>
        <w:t>Term used: secretary</w:t>
      </w:r>
      <w:bookmarkEnd w:id="509"/>
      <w:bookmarkEnd w:id="510"/>
      <w:bookmarkEnd w:id="511"/>
    </w:p>
    <w:p>
      <w:pPr>
        <w:pStyle w:val="Subsection"/>
      </w:pPr>
      <w:r>
        <w:tab/>
      </w:r>
      <w:r>
        <w:tab/>
        <w:t xml:space="preserve">In this Part — </w:t>
      </w:r>
    </w:p>
    <w:p>
      <w:pPr>
        <w:pStyle w:val="Defstart"/>
      </w:pPr>
      <w:r>
        <w:tab/>
      </w:r>
      <w:r>
        <w:rPr>
          <w:rStyle w:val="CharDefText"/>
        </w:rPr>
        <w:t>secretary</w:t>
      </w:r>
      <w:r>
        <w:t xml:space="preserve"> means the secretary of the Board engaged or employed under section 553 of the Act.</w:t>
      </w:r>
    </w:p>
    <w:p>
      <w:pPr>
        <w:pStyle w:val="Heading3"/>
      </w:pPr>
      <w:bookmarkStart w:id="512" w:name="_Toc412208396"/>
      <w:bookmarkStart w:id="513" w:name="_Toc420507352"/>
      <w:bookmarkStart w:id="514" w:name="_Toc420507441"/>
      <w:bookmarkStart w:id="515" w:name="_Toc525016635"/>
      <w:r>
        <w:rPr>
          <w:rStyle w:val="CharDivNo"/>
        </w:rPr>
        <w:t>Division 2</w:t>
      </w:r>
      <w:r>
        <w:t> — </w:t>
      </w:r>
      <w:r>
        <w:rPr>
          <w:rStyle w:val="CharDivText"/>
        </w:rPr>
        <w:t>Election of members of the Board</w:t>
      </w:r>
      <w:bookmarkEnd w:id="512"/>
      <w:bookmarkEnd w:id="513"/>
      <w:bookmarkEnd w:id="514"/>
      <w:bookmarkEnd w:id="515"/>
    </w:p>
    <w:p>
      <w:pPr>
        <w:pStyle w:val="Heading5"/>
      </w:pPr>
      <w:bookmarkStart w:id="516" w:name="_Toc412208397"/>
      <w:bookmarkStart w:id="517" w:name="_Toc420507442"/>
      <w:bookmarkStart w:id="518" w:name="_Toc525016636"/>
      <w:r>
        <w:rPr>
          <w:rStyle w:val="CharSectno"/>
        </w:rPr>
        <w:t>29</w:t>
      </w:r>
      <w:r>
        <w:t>.</w:t>
      </w:r>
      <w:r>
        <w:tab/>
        <w:t>Annual election date</w:t>
      </w:r>
      <w:bookmarkEnd w:id="516"/>
      <w:bookmarkEnd w:id="517"/>
      <w:bookmarkEnd w:id="518"/>
    </w:p>
    <w:p>
      <w:pPr>
        <w:pStyle w:val="Subsection"/>
        <w:rPr>
          <w:snapToGrid w:val="0"/>
        </w:rPr>
      </w:pPr>
      <w:r>
        <w:rPr>
          <w:snapToGrid w:val="0"/>
        </w:rPr>
        <w:tab/>
        <w:t>(1)</w:t>
      </w:r>
      <w:r>
        <w:rPr>
          <w:snapToGrid w:val="0"/>
        </w:rPr>
        <w:tab/>
        <w:t>Elections to elect members of the Board for the purposes of section 536(1)(d)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519" w:name="_Toc412208398"/>
      <w:bookmarkStart w:id="520" w:name="_Toc420507443"/>
      <w:bookmarkStart w:id="521" w:name="_Toc525016637"/>
      <w:r>
        <w:rPr>
          <w:rStyle w:val="CharSectno"/>
        </w:rPr>
        <w:t>30</w:t>
      </w:r>
      <w:r>
        <w:t>.</w:t>
      </w:r>
      <w:r>
        <w:tab/>
        <w:t>Returning officers</w:t>
      </w:r>
      <w:bookmarkEnd w:id="519"/>
      <w:bookmarkEnd w:id="520"/>
      <w:bookmarkEnd w:id="521"/>
    </w:p>
    <w:p>
      <w:pPr>
        <w:pStyle w:val="Subsection"/>
        <w:rPr>
          <w:snapToGrid w:val="0"/>
        </w:rPr>
      </w:pPr>
      <w:r>
        <w:rPr>
          <w:snapToGrid w:val="0"/>
        </w:rPr>
        <w:tab/>
        <w:t>(1)</w:t>
      </w:r>
      <w:r>
        <w:rPr>
          <w:snapToGrid w:val="0"/>
        </w:rPr>
        <w:tab/>
        <w:t>The Board is to appoint a returning officer and an assistant returning officer for each election.</w:t>
      </w:r>
    </w:p>
    <w:p>
      <w:pPr>
        <w:pStyle w:val="Subsection"/>
      </w:pPr>
      <w:r>
        <w:tab/>
        <w:t>(2)</w:t>
      </w:r>
      <w:r>
        <w:tab/>
        <w:t>The secretary cannot be appointed under subrule (1).</w:t>
      </w:r>
    </w:p>
    <w:p>
      <w:pPr>
        <w:pStyle w:val="Heading5"/>
      </w:pPr>
      <w:bookmarkStart w:id="522" w:name="_Toc412208399"/>
      <w:bookmarkStart w:id="523" w:name="_Toc420507444"/>
      <w:bookmarkStart w:id="524" w:name="_Toc525016638"/>
      <w:r>
        <w:rPr>
          <w:rStyle w:val="CharSectno"/>
        </w:rPr>
        <w:t>31</w:t>
      </w:r>
      <w:r>
        <w:t>.</w:t>
      </w:r>
      <w:r>
        <w:tab/>
        <w:t>Nomination of candidates</w:t>
      </w:r>
      <w:bookmarkEnd w:id="522"/>
      <w:bookmarkEnd w:id="523"/>
      <w:bookmarkEnd w:id="524"/>
    </w:p>
    <w:p>
      <w:pPr>
        <w:pStyle w:val="Subsection"/>
        <w:rPr>
          <w:snapToGrid w:val="0"/>
        </w:rPr>
      </w:pPr>
      <w:r>
        <w:rPr>
          <w:snapToGrid w:val="0"/>
        </w:rPr>
        <w:tab/>
        <w:t>(1)</w:t>
      </w:r>
      <w:r>
        <w:rPr>
          <w:snapToGrid w:val="0"/>
        </w:rPr>
        <w:tab/>
        <w:t>A local legal practitioner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signed by the nominee and countersigned by another local legal practitioner.</w:t>
      </w:r>
    </w:p>
    <w:p>
      <w:pPr>
        <w:pStyle w:val="Heading5"/>
      </w:pPr>
      <w:bookmarkStart w:id="525" w:name="_Toc412208400"/>
      <w:bookmarkStart w:id="526" w:name="_Toc420507445"/>
      <w:bookmarkStart w:id="527" w:name="_Toc525016639"/>
      <w:r>
        <w:rPr>
          <w:rStyle w:val="CharSectno"/>
        </w:rPr>
        <w:t>32</w:t>
      </w:r>
      <w:r>
        <w:t>.</w:t>
      </w:r>
      <w:r>
        <w:tab/>
        <w:t>Candidates elected when nominations equal vacancies</w:t>
      </w:r>
      <w:bookmarkEnd w:id="525"/>
      <w:bookmarkEnd w:id="526"/>
      <w:bookmarkEnd w:id="527"/>
    </w:p>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528" w:name="_Toc412208401"/>
      <w:bookmarkStart w:id="529" w:name="_Toc420507446"/>
      <w:bookmarkStart w:id="530" w:name="_Toc525016640"/>
      <w:r>
        <w:rPr>
          <w:rStyle w:val="CharSectno"/>
        </w:rPr>
        <w:t>33</w:t>
      </w:r>
      <w:r>
        <w:t>.</w:t>
      </w:r>
      <w:r>
        <w:tab/>
        <w:t>Ballot papers</w:t>
      </w:r>
      <w:bookmarkEnd w:id="528"/>
      <w:bookmarkEnd w:id="529"/>
      <w:bookmarkEnd w:id="530"/>
    </w:p>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local legal practitioner.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ballot paper is to be given to a local legal practitioner — </w:t>
      </w:r>
    </w:p>
    <w:p>
      <w:pPr>
        <w:pStyle w:val="Indenta"/>
      </w:pPr>
      <w:r>
        <w:tab/>
        <w:t>(a)</w:t>
      </w:r>
      <w:r>
        <w:tab/>
        <w:t>with a ballot paper envelope for the purposes of rule 34(1)(b); and</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531" w:name="_Toc412208402"/>
      <w:bookmarkStart w:id="532" w:name="_Toc420507447"/>
      <w:bookmarkStart w:id="533" w:name="_Toc525016641"/>
      <w:r>
        <w:rPr>
          <w:rStyle w:val="CharSectno"/>
        </w:rPr>
        <w:t>34</w:t>
      </w:r>
      <w:r>
        <w:t>.</w:t>
      </w:r>
      <w:r>
        <w:tab/>
        <w:t>Voting</w:t>
      </w:r>
      <w:bookmarkEnd w:id="531"/>
      <w:bookmarkEnd w:id="532"/>
      <w:bookmarkEnd w:id="533"/>
    </w:p>
    <w:p>
      <w:pPr>
        <w:pStyle w:val="Subsection"/>
        <w:rPr>
          <w:snapToGrid w:val="0"/>
        </w:rPr>
      </w:pPr>
      <w:r>
        <w:tab/>
        <w:t>(1)</w:t>
      </w:r>
      <w:r>
        <w:tab/>
        <w:t>A</w:t>
      </w:r>
      <w:r>
        <w:rPr>
          <w:snapToGrid w:val="0"/>
        </w:rPr>
        <w:t xml:space="preserve"> local legal practitioner may cast his or her vote by — </w:t>
      </w:r>
    </w:p>
    <w:p>
      <w:pPr>
        <w:pStyle w:val="Indenta"/>
        <w:rPr>
          <w:snapToGrid w:val="0"/>
        </w:rPr>
      </w:pPr>
      <w:r>
        <w:tab/>
        <w:t>(a)</w:t>
      </w:r>
      <w:r>
        <w:tab/>
      </w:r>
      <w:r>
        <w:rPr>
          <w:snapToGrid w:val="0"/>
        </w:rPr>
        <w:t>indicating on the ballot paper, by clearly scoring through them, the names of the candidates for whom the practitioner does not wish to vote; and</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local legal practitioner must not cast more than one vote in an election.</w:t>
      </w:r>
    </w:p>
    <w:p>
      <w:pPr>
        <w:pStyle w:val="Subsection"/>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 and</w:t>
      </w:r>
    </w:p>
    <w:p>
      <w:pPr>
        <w:pStyle w:val="Indenta"/>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 and</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534" w:name="_Toc412208403"/>
      <w:bookmarkStart w:id="535" w:name="_Toc420507448"/>
      <w:bookmarkStart w:id="536" w:name="_Toc525016642"/>
      <w:r>
        <w:rPr>
          <w:rStyle w:val="CharSectno"/>
        </w:rPr>
        <w:t>35</w:t>
      </w:r>
      <w:r>
        <w:t>.</w:t>
      </w:r>
      <w:r>
        <w:tab/>
        <w:t>Commencement of term of office</w:t>
      </w:r>
      <w:bookmarkEnd w:id="534"/>
      <w:bookmarkEnd w:id="535"/>
      <w:bookmarkEnd w:id="536"/>
    </w:p>
    <w:p>
      <w:pPr>
        <w:pStyle w:val="Subsection"/>
      </w:pPr>
      <w:r>
        <w:tab/>
      </w:r>
      <w:r>
        <w:tab/>
        <w:t>A person elected under rule 32 or 34 takes office on the Thursday after the election date.</w:t>
      </w:r>
    </w:p>
    <w:p>
      <w:pPr>
        <w:pStyle w:val="Heading5"/>
      </w:pPr>
      <w:bookmarkStart w:id="537" w:name="_Toc412208404"/>
      <w:bookmarkStart w:id="538" w:name="_Toc420507449"/>
      <w:bookmarkStart w:id="539" w:name="_Toc525016643"/>
      <w:r>
        <w:rPr>
          <w:rStyle w:val="CharSectno"/>
        </w:rPr>
        <w:t>36</w:t>
      </w:r>
      <w:r>
        <w:t>.</w:t>
      </w:r>
      <w:r>
        <w:tab/>
        <w:t xml:space="preserve">Results to be published in </w:t>
      </w:r>
      <w:r>
        <w:rPr>
          <w:i/>
          <w:iCs/>
        </w:rPr>
        <w:t>Gazette</w:t>
      </w:r>
      <w:bookmarkEnd w:id="537"/>
      <w:bookmarkEnd w:id="538"/>
      <w:bookmarkEnd w:id="539"/>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540" w:name="_Toc412208405"/>
      <w:bookmarkStart w:id="541" w:name="_Toc420507450"/>
      <w:bookmarkStart w:id="542" w:name="_Toc525016644"/>
      <w:r>
        <w:rPr>
          <w:rStyle w:val="CharSectno"/>
        </w:rPr>
        <w:t>37</w:t>
      </w:r>
      <w:r>
        <w:t>.</w:t>
      </w:r>
      <w:r>
        <w:tab/>
        <w:t>Non-receipt of ballot papers</w:t>
      </w:r>
      <w:bookmarkEnd w:id="540"/>
      <w:bookmarkEnd w:id="541"/>
      <w:bookmarkEnd w:id="542"/>
    </w:p>
    <w:p>
      <w:pPr>
        <w:pStyle w:val="Subsection"/>
      </w:pPr>
      <w:r>
        <w:tab/>
      </w:r>
      <w:r>
        <w:tab/>
        <w:t xml:space="preserve">A failure by the secretary to give a ballot paper to a local </w:t>
      </w:r>
      <w:r>
        <w:rPr>
          <w:snapToGrid w:val="0"/>
        </w:rPr>
        <w:t xml:space="preserve">legal </w:t>
      </w:r>
      <w:r>
        <w:t>practitioner in accordance with rule 33, or the non</w:t>
      </w:r>
      <w:r>
        <w:noBreakHyphen/>
        <w:t xml:space="preserve">receipt of a ballot paper by a local </w:t>
      </w:r>
      <w:r>
        <w:rPr>
          <w:snapToGrid w:val="0"/>
        </w:rPr>
        <w:t xml:space="preserve">legal </w:t>
      </w:r>
      <w:r>
        <w:t>practitioner, does not affect the validity of an election.</w:t>
      </w:r>
    </w:p>
    <w:p>
      <w:pPr>
        <w:pStyle w:val="Heading3"/>
      </w:pPr>
      <w:bookmarkStart w:id="543" w:name="_Toc412208406"/>
      <w:bookmarkStart w:id="544" w:name="_Toc420507362"/>
      <w:bookmarkStart w:id="545" w:name="_Toc420507451"/>
      <w:bookmarkStart w:id="546" w:name="_Toc525016645"/>
      <w:r>
        <w:rPr>
          <w:rStyle w:val="CharDivNo"/>
        </w:rPr>
        <w:t>Division 3</w:t>
      </w:r>
      <w:r>
        <w:t> — </w:t>
      </w:r>
      <w:r>
        <w:rPr>
          <w:rStyle w:val="CharDivText"/>
        </w:rPr>
        <w:t>Board meetings</w:t>
      </w:r>
      <w:bookmarkEnd w:id="543"/>
      <w:bookmarkEnd w:id="544"/>
      <w:bookmarkEnd w:id="545"/>
      <w:bookmarkEnd w:id="546"/>
    </w:p>
    <w:p>
      <w:pPr>
        <w:pStyle w:val="Heading5"/>
      </w:pPr>
      <w:bookmarkStart w:id="547" w:name="_Toc412208407"/>
      <w:bookmarkStart w:id="548" w:name="_Toc420507452"/>
      <w:bookmarkStart w:id="549" w:name="_Toc525016646"/>
      <w:r>
        <w:rPr>
          <w:rStyle w:val="CharSectno"/>
        </w:rPr>
        <w:t>38</w:t>
      </w:r>
      <w:r>
        <w:t>.</w:t>
      </w:r>
      <w:r>
        <w:tab/>
        <w:t>Board meetings</w:t>
      </w:r>
      <w:bookmarkEnd w:id="547"/>
      <w:bookmarkEnd w:id="548"/>
      <w:bookmarkEnd w:id="549"/>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550" w:name="_Toc412208408"/>
      <w:bookmarkStart w:id="551" w:name="_Toc420507453"/>
      <w:bookmarkStart w:id="552" w:name="_Toc525016647"/>
      <w:r>
        <w:rPr>
          <w:rStyle w:val="CharSectno"/>
        </w:rPr>
        <w:t>39</w:t>
      </w:r>
      <w:r>
        <w:t>.</w:t>
      </w:r>
      <w:r>
        <w:tab/>
        <w:t>Holding meetings remotely</w:t>
      </w:r>
      <w:bookmarkEnd w:id="550"/>
      <w:bookmarkEnd w:id="551"/>
      <w:bookmarkEnd w:id="552"/>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553" w:name="_Toc412208409"/>
      <w:bookmarkStart w:id="554" w:name="_Toc420507454"/>
      <w:bookmarkStart w:id="555" w:name="_Toc525016648"/>
      <w:r>
        <w:rPr>
          <w:rStyle w:val="CharSectno"/>
        </w:rPr>
        <w:t>40</w:t>
      </w:r>
      <w:r>
        <w:t>.</w:t>
      </w:r>
      <w:r>
        <w:tab/>
        <w:t>Urgent meetings</w:t>
      </w:r>
      <w:bookmarkEnd w:id="553"/>
      <w:bookmarkEnd w:id="554"/>
      <w:bookmarkEnd w:id="555"/>
    </w:p>
    <w:p>
      <w:pPr>
        <w:pStyle w:val="Subsection"/>
      </w:pPr>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 38 does not apply to a meeting held under subrule (1). </w:t>
      </w:r>
    </w:p>
    <w:p>
      <w:pPr>
        <w:pStyle w:val="Heading5"/>
      </w:pPr>
      <w:bookmarkStart w:id="556" w:name="_Toc412208410"/>
      <w:bookmarkStart w:id="557" w:name="_Toc420507455"/>
      <w:bookmarkStart w:id="558" w:name="_Toc525016649"/>
      <w:r>
        <w:rPr>
          <w:rStyle w:val="CharSectno"/>
        </w:rPr>
        <w:t>41</w:t>
      </w:r>
      <w:r>
        <w:t>.</w:t>
      </w:r>
      <w:r>
        <w:tab/>
        <w:t>Resolution without meeting</w:t>
      </w:r>
      <w:bookmarkEnd w:id="556"/>
      <w:bookmarkEnd w:id="557"/>
      <w:bookmarkEnd w:id="558"/>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Heading5"/>
      </w:pPr>
      <w:bookmarkStart w:id="559" w:name="_Toc412208411"/>
      <w:bookmarkStart w:id="560" w:name="_Toc420507456"/>
      <w:bookmarkStart w:id="561" w:name="_Toc525016650"/>
      <w:r>
        <w:rPr>
          <w:rStyle w:val="CharSectno"/>
        </w:rPr>
        <w:t>42</w:t>
      </w:r>
      <w:r>
        <w:t>.</w:t>
      </w:r>
      <w:r>
        <w:tab/>
        <w:t>Rescission or amendment</w:t>
      </w:r>
      <w:bookmarkEnd w:id="559"/>
      <w:bookmarkEnd w:id="560"/>
      <w:bookmarkEnd w:id="561"/>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562" w:name="_Toc412208412"/>
      <w:bookmarkStart w:id="563" w:name="_Toc420507457"/>
      <w:bookmarkStart w:id="564" w:name="_Toc525016651"/>
      <w:r>
        <w:rPr>
          <w:rStyle w:val="CharSectno"/>
        </w:rPr>
        <w:t>43</w:t>
      </w:r>
      <w:r>
        <w:t>.</w:t>
      </w:r>
      <w:r>
        <w:tab/>
        <w:t>Minutes</w:t>
      </w:r>
      <w:bookmarkEnd w:id="562"/>
      <w:bookmarkEnd w:id="563"/>
      <w:bookmarkEnd w:id="564"/>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prima facie evidence of the matters contained in the minutes.</w:t>
      </w:r>
    </w:p>
    <w:p>
      <w:pPr>
        <w:pStyle w:val="Heading3"/>
      </w:pPr>
      <w:bookmarkStart w:id="565" w:name="_Toc412208413"/>
      <w:bookmarkStart w:id="566" w:name="_Toc420507369"/>
      <w:bookmarkStart w:id="567" w:name="_Toc420507458"/>
      <w:bookmarkStart w:id="568" w:name="_Toc525016652"/>
      <w:r>
        <w:rPr>
          <w:rStyle w:val="CharDivNo"/>
        </w:rPr>
        <w:t>Division 4</w:t>
      </w:r>
      <w:r>
        <w:t> — </w:t>
      </w:r>
      <w:r>
        <w:rPr>
          <w:rStyle w:val="CharDivText"/>
        </w:rPr>
        <w:t>Committees</w:t>
      </w:r>
      <w:bookmarkEnd w:id="565"/>
      <w:bookmarkEnd w:id="566"/>
      <w:bookmarkEnd w:id="567"/>
      <w:bookmarkEnd w:id="568"/>
    </w:p>
    <w:p>
      <w:pPr>
        <w:pStyle w:val="Heading5"/>
      </w:pPr>
      <w:bookmarkStart w:id="569" w:name="_Toc412208414"/>
      <w:bookmarkStart w:id="570" w:name="_Toc420507459"/>
      <w:bookmarkStart w:id="571" w:name="_Toc525016653"/>
      <w:r>
        <w:rPr>
          <w:rStyle w:val="CharSectno"/>
        </w:rPr>
        <w:t>44</w:t>
      </w:r>
      <w:r>
        <w:t>.</w:t>
      </w:r>
      <w:r>
        <w:tab/>
        <w:t>Convenor and deputy convenor</w:t>
      </w:r>
      <w:bookmarkEnd w:id="569"/>
      <w:bookmarkEnd w:id="570"/>
      <w:bookmarkEnd w:id="571"/>
    </w:p>
    <w:p>
      <w:pPr>
        <w:pStyle w:val="Subsection"/>
      </w:pPr>
      <w:r>
        <w:tab/>
        <w:t>(1)</w:t>
      </w:r>
      <w:r>
        <w:tab/>
        <w:t>The Board is to appoint a convenor and deputy convenor for each committee.</w:t>
      </w:r>
    </w:p>
    <w:p>
      <w:pPr>
        <w:pStyle w:val="Subsection"/>
      </w:pPr>
      <w:r>
        <w:tab/>
        <w:t>(2)</w:t>
      </w:r>
      <w:r>
        <w:tab/>
        <w:t xml:space="preserve">Section 541(2) to (6) of the Act apply to a convenor and deputy convenor of a committee. </w:t>
      </w:r>
    </w:p>
    <w:p>
      <w:pPr>
        <w:pStyle w:val="Heading5"/>
      </w:pPr>
      <w:bookmarkStart w:id="572" w:name="_Toc412208415"/>
      <w:bookmarkStart w:id="573" w:name="_Toc420507460"/>
      <w:bookmarkStart w:id="574" w:name="_Toc525016654"/>
      <w:r>
        <w:rPr>
          <w:rStyle w:val="CharSectno"/>
        </w:rPr>
        <w:t>45</w:t>
      </w:r>
      <w:r>
        <w:t>.</w:t>
      </w:r>
      <w:r>
        <w:tab/>
        <w:t>Committee meetings</w:t>
      </w:r>
      <w:bookmarkEnd w:id="572"/>
      <w:bookmarkEnd w:id="573"/>
      <w:bookmarkEnd w:id="574"/>
    </w:p>
    <w:p>
      <w:pPr>
        <w:pStyle w:val="Subsection"/>
      </w:pPr>
      <w:r>
        <w:tab/>
        <w:t>(1)</w:t>
      </w:r>
      <w:r>
        <w:tab/>
        <w:t>Section 543, 544 and 545 of the Act and rules 38, 39, 41, 42 and 43(1) apply to committee meetings.</w:t>
      </w:r>
    </w:p>
    <w:p>
      <w:pPr>
        <w:pStyle w:val="Subsection"/>
        <w:rPr>
          <w:snapToGrid w:val="0"/>
        </w:rPr>
      </w:pPr>
      <w:r>
        <w:rPr>
          <w:snapToGrid w:val="0"/>
        </w:rPr>
        <w:tab/>
        <w:t>(2)</w:t>
      </w:r>
      <w:r>
        <w:rPr>
          <w:snapToGrid w:val="0"/>
        </w:rPr>
        <w:tab/>
        <w:t>The minutes of a committee meeting, when signed by the convenor of that meeting or by the chairperson, are prima facie evidence of the matters contained in the minutes.</w:t>
      </w:r>
    </w:p>
    <w:p>
      <w:pPr>
        <w:pStyle w:val="Heading5"/>
      </w:pPr>
      <w:bookmarkStart w:id="575" w:name="_Toc412208416"/>
      <w:bookmarkStart w:id="576" w:name="_Toc420507461"/>
      <w:bookmarkStart w:id="577" w:name="_Toc525016655"/>
      <w:r>
        <w:rPr>
          <w:rStyle w:val="CharSectno"/>
        </w:rPr>
        <w:t>46</w:t>
      </w:r>
      <w:r>
        <w:t>.</w:t>
      </w:r>
      <w:r>
        <w:tab/>
        <w:t>Application of applied provisions</w:t>
      </w:r>
      <w:bookmarkEnd w:id="575"/>
      <w:bookmarkEnd w:id="576"/>
      <w:bookmarkEnd w:id="577"/>
    </w:p>
    <w:p>
      <w:pPr>
        <w:pStyle w:val="Subsection"/>
      </w:pPr>
      <w:r>
        <w:tab/>
      </w:r>
      <w:r>
        <w:tab/>
        <w:t>For the purpose of applying the provisions referred to in rules 44(2) and 45(1) —</w:t>
      </w:r>
    </w:p>
    <w:p>
      <w:pPr>
        <w:pStyle w:val="Indenta"/>
      </w:pPr>
      <w:r>
        <w:tab/>
        <w:t>(a)</w:t>
      </w:r>
      <w:r>
        <w:tab/>
        <w:t>a reference in those provisions to the Board, is to be read as a reference to the committee; and</w:t>
      </w:r>
    </w:p>
    <w:p>
      <w:pPr>
        <w:pStyle w:val="Indenta"/>
      </w:pPr>
      <w:r>
        <w:tab/>
        <w:t>(b)</w:t>
      </w:r>
      <w:r>
        <w:tab/>
        <w:t>a reference in those provisions to the chairperson, is to be read as a reference to the convenor; and</w:t>
      </w:r>
    </w:p>
    <w:p>
      <w:pPr>
        <w:pStyle w:val="Indenta"/>
      </w:pPr>
      <w:r>
        <w:tab/>
        <w:t>(c)</w:t>
      </w:r>
      <w:r>
        <w:tab/>
        <w:t>a reference in those provisions to the deputy chairperson, is to be read as a reference to the deputy convenor; and</w:t>
      </w:r>
    </w:p>
    <w:p>
      <w:pPr>
        <w:pStyle w:val="Indenta"/>
      </w:pPr>
      <w:r>
        <w:tab/>
        <w:t>(d)</w:t>
      </w:r>
      <w:r>
        <w:tab/>
        <w:t>a reference in those provisions to a member of the Board, is to be read as a reference to a member of the committee.</w:t>
      </w:r>
    </w:p>
    <w:p>
      <w:pPr>
        <w:pStyle w:val="Heading2"/>
      </w:pPr>
      <w:bookmarkStart w:id="578" w:name="_Toc412208417"/>
      <w:bookmarkStart w:id="579" w:name="_Toc420507373"/>
      <w:bookmarkStart w:id="580" w:name="_Toc420507462"/>
      <w:bookmarkStart w:id="581" w:name="_Toc525016656"/>
      <w:r>
        <w:rPr>
          <w:rStyle w:val="CharPartNo"/>
        </w:rPr>
        <w:t>Part 5</w:t>
      </w:r>
      <w:r>
        <w:rPr>
          <w:rStyle w:val="CharDivNo"/>
        </w:rPr>
        <w:t> </w:t>
      </w:r>
      <w:r>
        <w:t>—</w:t>
      </w:r>
      <w:r>
        <w:rPr>
          <w:rStyle w:val="CharDivText"/>
        </w:rPr>
        <w:t> </w:t>
      </w:r>
      <w:r>
        <w:rPr>
          <w:rStyle w:val="CharPartText"/>
        </w:rPr>
        <w:t>Law Library at Supreme Court</w:t>
      </w:r>
      <w:bookmarkEnd w:id="578"/>
      <w:bookmarkEnd w:id="579"/>
      <w:bookmarkEnd w:id="580"/>
      <w:bookmarkEnd w:id="581"/>
    </w:p>
    <w:p>
      <w:pPr>
        <w:pStyle w:val="Heading5"/>
      </w:pPr>
      <w:bookmarkStart w:id="582" w:name="_Toc412208418"/>
      <w:bookmarkStart w:id="583" w:name="_Toc420507463"/>
      <w:bookmarkStart w:id="584" w:name="_Toc525016657"/>
      <w:r>
        <w:rPr>
          <w:rStyle w:val="CharSectno"/>
        </w:rPr>
        <w:t>47</w:t>
      </w:r>
      <w:r>
        <w:t>.</w:t>
      </w:r>
      <w:r>
        <w:tab/>
        <w:t>Terms used</w:t>
      </w:r>
      <w:bookmarkEnd w:id="582"/>
      <w:bookmarkEnd w:id="583"/>
      <w:bookmarkEnd w:id="584"/>
    </w:p>
    <w:p>
      <w:pPr>
        <w:pStyle w:val="Subsection"/>
        <w:rPr>
          <w:snapToGrid w:val="0"/>
        </w:rPr>
      </w:pPr>
      <w:r>
        <w:tab/>
      </w:r>
      <w:r>
        <w:tab/>
      </w:r>
      <w:r>
        <w:rPr>
          <w:snapToGrid w:val="0"/>
        </w:rPr>
        <w:t>In this Part —</w:t>
      </w:r>
    </w:p>
    <w:p>
      <w:pPr>
        <w:pStyle w:val="Defstart"/>
      </w:pPr>
      <w:r>
        <w:tab/>
      </w:r>
      <w:r>
        <w:rPr>
          <w:rStyle w:val="CharDefText"/>
        </w:rPr>
        <w:t>book</w:t>
      </w:r>
      <w:r>
        <w:t xml:space="preserve"> includes a document, film, tape, recording, disc or other thing forming part of the contents of the library;</w:t>
      </w:r>
    </w:p>
    <w:p>
      <w:pPr>
        <w:pStyle w:val="Defstart"/>
      </w:pPr>
      <w:r>
        <w:tab/>
      </w:r>
      <w:r>
        <w:rPr>
          <w:rStyle w:val="CharDefText"/>
        </w:rPr>
        <w:t>committee</w:t>
      </w:r>
      <w:r>
        <w:t xml:space="preserve"> means the committee of the Board to which the Board has delegated authority to oversee the management of the library;</w:t>
      </w:r>
    </w:p>
    <w:p>
      <w:pPr>
        <w:pStyle w:val="Defstart"/>
      </w:pPr>
      <w:r>
        <w:tab/>
      </w:r>
      <w:r>
        <w:rPr>
          <w:rStyle w:val="CharDefText"/>
        </w:rPr>
        <w:t>librarian</w:t>
      </w:r>
      <w:r>
        <w:t xml:space="preserve"> means the person employed or appointed</w:t>
      </w:r>
      <w:r>
        <w:rPr>
          <w:i/>
        </w:rPr>
        <w:t xml:space="preserve"> </w:t>
      </w:r>
      <w:r>
        <w:t>to manage the library, or anyone acting in that position, and in rules 51 and 52 includes any staff under the librarian’s supervision;</w:t>
      </w:r>
    </w:p>
    <w:p>
      <w:pPr>
        <w:pStyle w:val="Defstart"/>
      </w:pPr>
      <w:r>
        <w:tab/>
      </w:r>
      <w:r>
        <w:rPr>
          <w:rStyle w:val="CharDefText"/>
        </w:rPr>
        <w:t>library</w:t>
      </w:r>
      <w:r>
        <w:t xml:space="preserve"> means the Law Library at the Supreme Court and the branch of that library at the Central Law Courts.</w:t>
      </w:r>
    </w:p>
    <w:p>
      <w:pPr>
        <w:pStyle w:val="Heading5"/>
      </w:pPr>
      <w:bookmarkStart w:id="585" w:name="_Toc412208419"/>
      <w:bookmarkStart w:id="586" w:name="_Toc420507464"/>
      <w:bookmarkStart w:id="587" w:name="_Toc525016658"/>
      <w:r>
        <w:rPr>
          <w:rStyle w:val="CharSectno"/>
        </w:rPr>
        <w:t>48</w:t>
      </w:r>
      <w:r>
        <w:t>.</w:t>
      </w:r>
      <w:r>
        <w:tab/>
        <w:t>People entitled to use the library</w:t>
      </w:r>
      <w:bookmarkEnd w:id="585"/>
      <w:bookmarkEnd w:id="586"/>
      <w:bookmarkEnd w:id="587"/>
    </w:p>
    <w:p>
      <w:pPr>
        <w:pStyle w:val="Subsection"/>
      </w:pPr>
      <w:r>
        <w:tab/>
        <w:t>(1)</w:t>
      </w:r>
      <w:r>
        <w:tab/>
        <w:t>The following people may use the library free of charge —</w:t>
      </w:r>
    </w:p>
    <w:p>
      <w:pPr>
        <w:pStyle w:val="Indenta"/>
      </w:pPr>
      <w:r>
        <w:tab/>
        <w:t>(a)</w:t>
      </w:r>
      <w:r>
        <w:tab/>
        <w:t>judges and magistrates;</w:t>
      </w:r>
    </w:p>
    <w:p>
      <w:pPr>
        <w:pStyle w:val="Indenta"/>
      </w:pPr>
      <w:r>
        <w:tab/>
        <w:t>(b)</w:t>
      </w:r>
      <w:r>
        <w:tab/>
        <w:t>members and officers of State or Commonwealth courts, tribunals, boards or similar bodies;</w:t>
      </w:r>
    </w:p>
    <w:p>
      <w:pPr>
        <w:pStyle w:val="Indenta"/>
      </w:pPr>
      <w:r>
        <w:tab/>
        <w:t>(c)</w:t>
      </w:r>
      <w:r>
        <w:tab/>
        <w:t>local legal practitioners;</w:t>
      </w:r>
    </w:p>
    <w:p>
      <w:pPr>
        <w:pStyle w:val="Indenta"/>
      </w:pPr>
      <w:r>
        <w:tab/>
        <w:t>(d)</w:t>
      </w:r>
      <w:r>
        <w:tab/>
        <w:t>articled clerks and other persons undertaking approved practical legal training requirements (within the meaning given in section 21 of the Act);</w:t>
      </w:r>
    </w:p>
    <w:p>
      <w:pPr>
        <w:pStyle w:val="Indenta"/>
      </w:pPr>
      <w:r>
        <w:tab/>
        <w:t>(e)</w:t>
      </w:r>
      <w:r>
        <w:tab/>
        <w:t>members of Parliament;</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w:t>
      </w:r>
    </w:p>
    <w:p>
      <w:pPr>
        <w:pStyle w:val="Indenta"/>
      </w:pPr>
      <w:r>
        <w:tab/>
        <w:t>(h)</w:t>
      </w:r>
      <w:r>
        <w:tab/>
        <w:t>holders of an office, post or position established under an Act;</w:t>
      </w:r>
    </w:p>
    <w:p>
      <w:pPr>
        <w:pStyle w:val="Indenta"/>
      </w:pPr>
      <w:r>
        <w:tab/>
        <w:t>(i)</w:t>
      </w:r>
      <w:r>
        <w:tab/>
        <w:t xml:space="preserve">public service officers and employees within the meaning given in the </w:t>
      </w:r>
      <w:r>
        <w:rPr>
          <w:i/>
        </w:rPr>
        <w:t>Public Sector Management Act 1994</w:t>
      </w:r>
      <w:r>
        <w:t>;</w:t>
      </w:r>
    </w:p>
    <w:p>
      <w:pPr>
        <w:pStyle w:val="Indenta"/>
      </w:pPr>
      <w:r>
        <w:tab/>
        <w:t>(j)</w:t>
      </w:r>
      <w:r>
        <w:tab/>
        <w:t>employees of persons referred to in any of paragraphs (a) to (i) acting in the course of their employment.</w:t>
      </w:r>
    </w:p>
    <w:p>
      <w:pPr>
        <w:pStyle w:val="Subsection"/>
      </w:pPr>
      <w:r>
        <w:tab/>
        <w:t>(2)</w:t>
      </w:r>
      <w:r>
        <w:tab/>
        <w:t>Law students may use the library free of charge subject to any restrictions determined by the committee.</w:t>
      </w:r>
    </w:p>
    <w:p>
      <w:pPr>
        <w:pStyle w:val="Subsection"/>
      </w:pPr>
      <w:r>
        <w:tab/>
        <w:t>(3)</w:t>
      </w:r>
      <w:r>
        <w:tab/>
        <w:t>The following people may use the library subject to any restrictions, including as to payment of a fee, determined by the committee —</w:t>
      </w:r>
    </w:p>
    <w:p>
      <w:pPr>
        <w:pStyle w:val="Indenta"/>
        <w:rPr>
          <w:snapToGrid w:val="0"/>
        </w:rPr>
      </w:pPr>
      <w:r>
        <w:rPr>
          <w:snapToGrid w:val="0"/>
        </w:rPr>
        <w:tab/>
        <w:t>(a)</w:t>
      </w:r>
      <w:r>
        <w:rPr>
          <w:snapToGrid w:val="0"/>
        </w:rPr>
        <w:tab/>
        <w:t xml:space="preserve">interstate legal practitioners; </w:t>
      </w:r>
    </w:p>
    <w:p>
      <w:pPr>
        <w:pStyle w:val="Indenta"/>
      </w:pPr>
      <w:r>
        <w:tab/>
        <w:t>(b)</w:t>
      </w:r>
      <w:r>
        <w:tab/>
        <w:t>Australian</w:t>
      </w:r>
      <w:r>
        <w:noBreakHyphen/>
        <w:t>registered foreign lawyers;</w:t>
      </w:r>
    </w:p>
    <w:p>
      <w:pPr>
        <w:pStyle w:val="Indenta"/>
        <w:rPr>
          <w:snapToGrid w:val="0"/>
        </w:rPr>
      </w:pPr>
      <w:r>
        <w:tab/>
        <w:t>(c)</w:t>
      </w:r>
      <w:r>
        <w:tab/>
        <w:t>employees of persons referred to in paragraphs (a) or (b) acting in the course of their employment;</w:t>
      </w:r>
    </w:p>
    <w:p>
      <w:pPr>
        <w:pStyle w:val="Indenta"/>
        <w:rPr>
          <w:snapToGrid w:val="0"/>
        </w:rPr>
      </w:pPr>
      <w:r>
        <w:rPr>
          <w:snapToGrid w:val="0"/>
        </w:rPr>
        <w:tab/>
        <w:t>(d)</w:t>
      </w:r>
      <w:r>
        <w:rPr>
          <w:snapToGrid w:val="0"/>
        </w:rPr>
        <w:tab/>
        <w:t>litigants in person, and officers and employees of corporate litigants;</w:t>
      </w:r>
    </w:p>
    <w:p>
      <w:pPr>
        <w:pStyle w:val="Indenta"/>
      </w:pPr>
      <w:r>
        <w:tab/>
        <w:t>(e)</w:t>
      </w:r>
      <w:r>
        <w:tab/>
        <w:t>any other person, or class of people, determined by the committee.</w:t>
      </w:r>
    </w:p>
    <w:p>
      <w:pPr>
        <w:pStyle w:val="Heading5"/>
      </w:pPr>
      <w:bookmarkStart w:id="588" w:name="_Toc412208420"/>
      <w:bookmarkStart w:id="589" w:name="_Toc420507465"/>
      <w:bookmarkStart w:id="590" w:name="_Toc525016659"/>
      <w:r>
        <w:rPr>
          <w:rStyle w:val="CharSectno"/>
        </w:rPr>
        <w:t>49</w:t>
      </w:r>
      <w:r>
        <w:t>.</w:t>
      </w:r>
      <w:r>
        <w:tab/>
        <w:t>Librarian may suspend or restrict entitlement to use library</w:t>
      </w:r>
      <w:bookmarkEnd w:id="588"/>
      <w:bookmarkEnd w:id="589"/>
      <w:bookmarkEnd w:id="590"/>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The librarian may revoke or alter the terms of a suspension or restriction.</w:t>
      </w:r>
    </w:p>
    <w:p>
      <w:pPr>
        <w:pStyle w:val="Subsection"/>
      </w:pPr>
      <w:r>
        <w:tab/>
        <w:t>(3)</w:t>
      </w:r>
      <w:r>
        <w:tab/>
        <w:t>The librarian must notify the committee of any suspension or restriction imposed by the librarian and the revocation or any alteration of it.</w:t>
      </w:r>
    </w:p>
    <w:p>
      <w:pPr>
        <w:pStyle w:val="Subsection"/>
      </w:pPr>
      <w:r>
        <w:tab/>
        <w:t>(4)</w:t>
      </w:r>
      <w:r>
        <w:tab/>
        <w:t>The committee may confirm, revoke, or alter the terms of, a suspension or restriction imposed by the librarian.</w:t>
      </w:r>
    </w:p>
    <w:p>
      <w:pPr>
        <w:pStyle w:val="Subsection"/>
      </w:pPr>
      <w:r>
        <w:tab/>
        <w:t>(5)</w:t>
      </w:r>
      <w:r>
        <w:tab/>
        <w:t>Whether or not the committee has acted under subrule (4), the Board may confirm, revoke, or alter the terms of, a suspension or restriction imposed by the librarian.</w:t>
      </w:r>
    </w:p>
    <w:p>
      <w:pPr>
        <w:pStyle w:val="Heading5"/>
      </w:pPr>
      <w:bookmarkStart w:id="591" w:name="_Toc412208421"/>
      <w:bookmarkStart w:id="592" w:name="_Toc420507466"/>
      <w:bookmarkStart w:id="593" w:name="_Toc525016660"/>
      <w:r>
        <w:rPr>
          <w:rStyle w:val="CharSectno"/>
        </w:rPr>
        <w:t>50</w:t>
      </w:r>
      <w:r>
        <w:t>.</w:t>
      </w:r>
      <w:r>
        <w:tab/>
        <w:t>Board may suspend or restrict entitlement to use library</w:t>
      </w:r>
      <w:bookmarkEnd w:id="591"/>
      <w:bookmarkEnd w:id="592"/>
      <w:bookmarkEnd w:id="593"/>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The Board may revoke or alter the terms of a suspension or restriction.</w:t>
      </w:r>
    </w:p>
    <w:p>
      <w:pPr>
        <w:pStyle w:val="Heading5"/>
      </w:pPr>
      <w:bookmarkStart w:id="594" w:name="_Toc412208422"/>
      <w:bookmarkStart w:id="595" w:name="_Toc420507467"/>
      <w:bookmarkStart w:id="596" w:name="_Toc525016661"/>
      <w:r>
        <w:rPr>
          <w:rStyle w:val="CharSectno"/>
        </w:rPr>
        <w:t>51</w:t>
      </w:r>
      <w:r>
        <w:t>.</w:t>
      </w:r>
      <w:r>
        <w:tab/>
        <w:t>Use of the library and books</w:t>
      </w:r>
      <w:bookmarkEnd w:id="594"/>
      <w:bookmarkEnd w:id="595"/>
      <w:bookmarkEnd w:id="596"/>
    </w:p>
    <w:p>
      <w:pPr>
        <w:pStyle w:val="Subsection"/>
      </w:pPr>
      <w:r>
        <w:tab/>
        <w:t>(1)</w:t>
      </w:r>
      <w:r>
        <w:tab/>
        <w:t>If required by the librarian to do so, a person must register with the librarian before using the library or any books.</w:t>
      </w:r>
    </w:p>
    <w:p>
      <w:pPr>
        <w:pStyle w:val="Subsection"/>
      </w:pPr>
      <w:r>
        <w:tab/>
        <w:t>(2)</w:t>
      </w:r>
      <w:r>
        <w:tab/>
        <w:t>A person entitled to use the library may do so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at other times by arrangement with the librarian.</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t>A person who uses a book —</w:t>
      </w:r>
    </w:p>
    <w:p>
      <w:pPr>
        <w:pStyle w:val="Indenta"/>
      </w:pPr>
      <w:r>
        <w:tab/>
        <w:t>(a)</w:t>
      </w:r>
      <w:r>
        <w:tab/>
        <w:t>must not mark or damage it; and</w:t>
      </w:r>
    </w:p>
    <w:p>
      <w:pPr>
        <w:pStyle w:val="Indenta"/>
        <w:rPr>
          <w:snapToGrid w:val="0"/>
        </w:rPr>
      </w:pPr>
      <w:r>
        <w:rPr>
          <w:snapToGrid w:val="0"/>
        </w:rPr>
        <w:tab/>
        <w:t>(b)</w:t>
      </w:r>
      <w:r>
        <w:rPr>
          <w:snapToGrid w:val="0"/>
        </w:rPr>
        <w:tab/>
        <w:t>must report to the librarian any mark or damage on or to it; and</w:t>
      </w:r>
    </w:p>
    <w:p>
      <w:pPr>
        <w:pStyle w:val="Indenta"/>
      </w:pPr>
      <w:r>
        <w:tab/>
        <w:t>(c)</w:t>
      </w:r>
      <w:r>
        <w:tab/>
        <w:t>must not leave it unattended; and</w:t>
      </w:r>
    </w:p>
    <w:p>
      <w:pPr>
        <w:pStyle w:val="Indenta"/>
        <w:rPr>
          <w:snapToGrid w:val="0"/>
        </w:rPr>
      </w:pPr>
      <w:r>
        <w:tab/>
        <w:t>(d)</w:t>
      </w:r>
      <w:r>
        <w:tab/>
        <w:t xml:space="preserve">when finished with it, must </w:t>
      </w:r>
      <w:r>
        <w:rPr>
          <w:snapToGrid w:val="0"/>
        </w:rPr>
        <w:t>return it to its proper place in the library or to a place provided by the librarian for the return of books.</w:t>
      </w:r>
    </w:p>
    <w:p>
      <w:pPr>
        <w:pStyle w:val="Subsection"/>
      </w:pPr>
      <w:r>
        <w:tab/>
        <w:t>(5)</w:t>
      </w:r>
      <w:r>
        <w:tab/>
        <w:t>A person must not eat, drink or smoke in the library.</w:t>
      </w:r>
    </w:p>
    <w:p>
      <w:pPr>
        <w:pStyle w:val="Subsection"/>
        <w:rPr>
          <w:snapToGrid w:val="0"/>
        </w:rPr>
      </w:pPr>
      <w:r>
        <w:rPr>
          <w:snapToGrid w:val="0"/>
        </w:rPr>
        <w:tab/>
        <w:t>(6)</w:t>
      </w:r>
      <w:r>
        <w:rPr>
          <w:snapToGrid w:val="0"/>
        </w:rPr>
        <w:tab/>
        <w:t>A person in the library must open for inspection any bag or other receptacle in the person’s possession at the request of the librarian.</w:t>
      </w:r>
    </w:p>
    <w:p>
      <w:pPr>
        <w:pStyle w:val="Subsection"/>
        <w:rPr>
          <w:snapToGrid w:val="0"/>
        </w:rPr>
      </w:pPr>
      <w:r>
        <w:tab/>
        <w:t>(7)</w:t>
      </w:r>
      <w:r>
        <w:tab/>
        <w:t>T</w:t>
      </w:r>
      <w:r>
        <w:rPr>
          <w:snapToGrid w:val="0"/>
        </w:rPr>
        <w:t>he librarian may open and inspect any bag or other receptacle found unattended in the library.</w:t>
      </w:r>
    </w:p>
    <w:p>
      <w:pPr>
        <w:pStyle w:val="Subsection"/>
        <w:rPr>
          <w:snapToGrid w:val="0"/>
        </w:rPr>
      </w:pPr>
      <w:r>
        <w:tab/>
        <w:t>(8)</w:t>
      </w:r>
      <w:r>
        <w:tab/>
        <w:t xml:space="preserve">A </w:t>
      </w:r>
      <w:r>
        <w:rPr>
          <w:snapToGrid w:val="0"/>
        </w:rPr>
        <w:t>person must not obstruct or hinder the librarian in the performance of his or her duties.</w:t>
      </w:r>
    </w:p>
    <w:p>
      <w:pPr>
        <w:pStyle w:val="Heading5"/>
      </w:pPr>
      <w:bookmarkStart w:id="597" w:name="_Toc412208423"/>
      <w:bookmarkStart w:id="598" w:name="_Toc420507468"/>
      <w:bookmarkStart w:id="599" w:name="_Toc525016662"/>
      <w:r>
        <w:rPr>
          <w:rStyle w:val="CharSectno"/>
        </w:rPr>
        <w:t>52</w:t>
      </w:r>
      <w:r>
        <w:t>.</w:t>
      </w:r>
      <w:r>
        <w:tab/>
        <w:t>Borrowing books</w:t>
      </w:r>
      <w:bookmarkEnd w:id="597"/>
      <w:bookmarkEnd w:id="598"/>
      <w:bookmarkEnd w:id="599"/>
    </w:p>
    <w:p>
      <w:pPr>
        <w:pStyle w:val="Subsection"/>
      </w:pPr>
      <w:r>
        <w:tab/>
        <w:t>(1)</w:t>
      </w:r>
      <w:r>
        <w:tab/>
        <w:t>A person must not remove a book from the library unless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the librarian has authorised the removal of the book.</w:t>
      </w:r>
    </w:p>
    <w:p>
      <w:pPr>
        <w:pStyle w:val="Subsection"/>
      </w:pPr>
      <w:r>
        <w:tab/>
        <w:t>(2)</w:t>
      </w:r>
      <w:r>
        <w:tab/>
        <w:t>Subrule (1)(a) does not apply to a book labelled as being not to be removed from the library.</w:t>
      </w:r>
    </w:p>
    <w:p>
      <w:pPr>
        <w:pStyle w:val="Subsection"/>
      </w:pPr>
      <w:r>
        <w:tab/>
        <w:t>(3)</w:t>
      </w:r>
      <w:r>
        <w:tab/>
        <w:t>Before removing a book from the library a person must record on a form provided by the librarian —</w:t>
      </w:r>
    </w:p>
    <w:p>
      <w:pPr>
        <w:pStyle w:val="Indenta"/>
      </w:pPr>
      <w:r>
        <w:tab/>
        <w:t>(a)</w:t>
      </w:r>
      <w:r>
        <w:tab/>
        <w:t>his or her name; and</w:t>
      </w:r>
    </w:p>
    <w:p>
      <w:pPr>
        <w:pStyle w:val="Indenta"/>
      </w:pPr>
      <w:r>
        <w:tab/>
        <w:t>(b)</w:t>
      </w:r>
      <w:r>
        <w:tab/>
        <w:t>his or her office or the name of the firm, department or other body of which he or she is a member, officer or employee; and</w:t>
      </w:r>
    </w:p>
    <w:p>
      <w:pPr>
        <w:pStyle w:val="Indenta"/>
      </w:pPr>
      <w:r>
        <w:tab/>
        <w:t>(c)</w:t>
      </w:r>
      <w:r>
        <w:tab/>
        <w:t>the title of the book; and</w:t>
      </w:r>
    </w:p>
    <w:p>
      <w:pPr>
        <w:pStyle w:val="Indenta"/>
      </w:pPr>
      <w:r>
        <w:tab/>
        <w:t>(d)</w:t>
      </w:r>
      <w:r>
        <w:tab/>
        <w:t>the date and time.</w:t>
      </w:r>
    </w:p>
    <w:p>
      <w:pPr>
        <w:pStyle w:val="Subsection"/>
      </w:pPr>
      <w:r>
        <w:tab/>
        <w:t>(4)</w:t>
      </w:r>
      <w:r>
        <w:tab/>
        <w:t>Unless otherwise authorised by the librarian, a person removing a book from the library for the purposes of a hearing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600" w:name="_Toc412208424"/>
      <w:bookmarkStart w:id="601" w:name="_Toc420507469"/>
      <w:bookmarkStart w:id="602" w:name="_Toc525016663"/>
      <w:r>
        <w:rPr>
          <w:rStyle w:val="CharSectno"/>
        </w:rPr>
        <w:t>53</w:t>
      </w:r>
      <w:r>
        <w:t>.</w:t>
      </w:r>
      <w:r>
        <w:tab/>
        <w:t>Removal of unauthorised people and retrieval of books</w:t>
      </w:r>
      <w:bookmarkEnd w:id="600"/>
      <w:bookmarkEnd w:id="601"/>
      <w:bookmarkEnd w:id="602"/>
    </w:p>
    <w:p>
      <w:pPr>
        <w:pStyle w:val="Subsection"/>
      </w:pPr>
      <w:r>
        <w:tab/>
        <w:t>(1)</w:t>
      </w:r>
      <w:r>
        <w:tab/>
        <w:t>The librarian may exclude or remove from the library a person who appears to the librarian —</w:t>
      </w:r>
    </w:p>
    <w:p>
      <w:pPr>
        <w:pStyle w:val="Indenta"/>
      </w:pPr>
      <w:r>
        <w:tab/>
        <w:t>(a)</w:t>
      </w:r>
      <w:r>
        <w:tab/>
        <w:t>not to be entitled to use the library; or</w:t>
      </w:r>
    </w:p>
    <w:p>
      <w:pPr>
        <w:pStyle w:val="Indenta"/>
      </w:pPr>
      <w:r>
        <w:tab/>
        <w:t>(b)</w:t>
      </w:r>
      <w:r>
        <w:tab/>
        <w:t>to be in breach of rule 51 or 52.</w:t>
      </w:r>
    </w:p>
    <w:p>
      <w:pPr>
        <w:pStyle w:val="Subsection"/>
      </w:pPr>
      <w:r>
        <w:tab/>
        <w:t>(2)</w:t>
      </w:r>
      <w:r>
        <w:tab/>
        <w:t>The librarian may retrieve a book if it appears to the librarian that —</w:t>
      </w:r>
    </w:p>
    <w:p>
      <w:pPr>
        <w:pStyle w:val="Indenta"/>
      </w:pPr>
      <w:r>
        <w:tab/>
        <w:t>(a)</w:t>
      </w:r>
      <w:r>
        <w:tab/>
        <w:t>it was removed from the library in breach of rule 52; or</w:t>
      </w:r>
    </w:p>
    <w:p>
      <w:pPr>
        <w:pStyle w:val="Indenta"/>
      </w:pPr>
      <w:r>
        <w:tab/>
        <w:t>(b)</w:t>
      </w:r>
      <w:r>
        <w:tab/>
        <w:t>the person who removed it is in breach of rule 51.</w:t>
      </w:r>
    </w:p>
    <w:p>
      <w:pPr>
        <w:pStyle w:val="Heading2"/>
      </w:pPr>
      <w:bookmarkStart w:id="603" w:name="_Toc412208425"/>
      <w:bookmarkStart w:id="604" w:name="_Toc420507381"/>
      <w:bookmarkStart w:id="605" w:name="_Toc420507470"/>
      <w:bookmarkStart w:id="606" w:name="_Toc525016664"/>
      <w:r>
        <w:rPr>
          <w:rStyle w:val="CharPartNo"/>
        </w:rPr>
        <w:t>Part 6</w:t>
      </w:r>
      <w:r>
        <w:rPr>
          <w:rStyle w:val="CharDivNo"/>
        </w:rPr>
        <w:t> </w:t>
      </w:r>
      <w:r>
        <w:t>—</w:t>
      </w:r>
      <w:r>
        <w:rPr>
          <w:rStyle w:val="CharDivText"/>
        </w:rPr>
        <w:t> </w:t>
      </w:r>
      <w:r>
        <w:rPr>
          <w:rStyle w:val="CharPartText"/>
        </w:rPr>
        <w:t>General matters</w:t>
      </w:r>
      <w:bookmarkEnd w:id="603"/>
      <w:bookmarkEnd w:id="604"/>
      <w:bookmarkEnd w:id="605"/>
      <w:bookmarkEnd w:id="606"/>
    </w:p>
    <w:p>
      <w:pPr>
        <w:pStyle w:val="Heading5"/>
      </w:pPr>
      <w:bookmarkStart w:id="607" w:name="_Toc412208426"/>
      <w:bookmarkStart w:id="608" w:name="_Toc420507471"/>
      <w:bookmarkStart w:id="609" w:name="_Toc525016665"/>
      <w:r>
        <w:rPr>
          <w:rStyle w:val="CharSectno"/>
        </w:rPr>
        <w:t>54</w:t>
      </w:r>
      <w:r>
        <w:t>.</w:t>
      </w:r>
      <w:r>
        <w:tab/>
        <w:t>Documents given to or by the Board</w:t>
      </w:r>
      <w:bookmarkEnd w:id="607"/>
      <w:bookmarkEnd w:id="608"/>
      <w:bookmarkEnd w:id="609"/>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610" w:name="_Toc412208427"/>
      <w:bookmarkStart w:id="611" w:name="_Toc420507472"/>
      <w:bookmarkStart w:id="612" w:name="_Toc525016666"/>
      <w:r>
        <w:rPr>
          <w:rStyle w:val="CharSectno"/>
        </w:rPr>
        <w:t>55</w:t>
      </w:r>
      <w:r>
        <w:t>.</w:t>
      </w:r>
      <w:r>
        <w:tab/>
        <w:t>Board may excuse noncompliance</w:t>
      </w:r>
      <w:bookmarkEnd w:id="610"/>
      <w:bookmarkEnd w:id="611"/>
      <w:bookmarkEnd w:id="612"/>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5"/>
        <w:rPr>
          <w:snapToGrid w:val="0"/>
        </w:rPr>
      </w:pPr>
      <w:bookmarkStart w:id="613" w:name="_Toc412208428"/>
      <w:bookmarkStart w:id="614" w:name="_Toc420507473"/>
      <w:bookmarkStart w:id="615" w:name="_Toc525016667"/>
      <w:r>
        <w:rPr>
          <w:rStyle w:val="CharSectno"/>
        </w:rPr>
        <w:t>56</w:t>
      </w:r>
      <w:r>
        <w:rPr>
          <w:snapToGrid w:val="0"/>
        </w:rPr>
        <w:t>.</w:t>
      </w:r>
      <w:r>
        <w:rPr>
          <w:snapToGrid w:val="0"/>
        </w:rPr>
        <w:tab/>
        <w:t>Rules repealed</w:t>
      </w:r>
      <w:bookmarkEnd w:id="613"/>
      <w:bookmarkEnd w:id="614"/>
      <w:bookmarkEnd w:id="615"/>
    </w:p>
    <w:p>
      <w:pPr>
        <w:pStyle w:val="Subsection"/>
        <w:rPr>
          <w:iCs/>
        </w:rPr>
      </w:pPr>
      <w:r>
        <w:rPr>
          <w:iCs/>
        </w:rPr>
        <w:tab/>
      </w:r>
      <w:r>
        <w:rPr>
          <w:iCs/>
        </w:rPr>
        <w:tab/>
        <w:t xml:space="preserve">The </w:t>
      </w:r>
      <w:r>
        <w:rPr>
          <w:i/>
          <w:iCs/>
        </w:rPr>
        <w:t>Legal Practice Board Rules 2004</w:t>
      </w:r>
      <w:r>
        <w:rPr>
          <w:iCs/>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16" w:name="_Toc412208429"/>
      <w:bookmarkStart w:id="617" w:name="_Toc420507385"/>
      <w:bookmarkStart w:id="618" w:name="_Toc420507474"/>
      <w:bookmarkStart w:id="619" w:name="_Toc525016668"/>
      <w:r>
        <w:rPr>
          <w:rStyle w:val="CharSchNo"/>
        </w:rPr>
        <w:t>Schedule 1</w:t>
      </w:r>
      <w:r>
        <w:rPr>
          <w:rStyle w:val="CharSDivNo"/>
        </w:rPr>
        <w:t> </w:t>
      </w:r>
      <w:r>
        <w:t>—</w:t>
      </w:r>
      <w:bookmarkStart w:id="620" w:name="AutoSch"/>
      <w:bookmarkEnd w:id="620"/>
      <w:r>
        <w:rPr>
          <w:rStyle w:val="CharSDivText"/>
        </w:rPr>
        <w:t> </w:t>
      </w:r>
      <w:r>
        <w:rPr>
          <w:rStyle w:val="CharSchText"/>
        </w:rPr>
        <w:t>Fees</w:t>
      </w:r>
      <w:bookmarkEnd w:id="616"/>
      <w:bookmarkEnd w:id="617"/>
      <w:bookmarkEnd w:id="618"/>
      <w:bookmarkEnd w:id="619"/>
    </w:p>
    <w:p>
      <w:pPr>
        <w:pStyle w:val="yShoulderClause"/>
        <w:spacing w:after="60"/>
      </w:pPr>
      <w:r>
        <w:t>[r. 4 and 25]</w:t>
      </w:r>
    </w:p>
    <w:p>
      <w:pPr>
        <w:pStyle w:val="yHeading5"/>
      </w:pPr>
      <w:bookmarkStart w:id="621" w:name="_Toc412208430"/>
      <w:bookmarkStart w:id="622" w:name="_Toc420507475"/>
      <w:bookmarkStart w:id="623" w:name="_Toc525016669"/>
      <w:r>
        <w:rPr>
          <w:rStyle w:val="CharSClsNo"/>
        </w:rPr>
        <w:t>1</w:t>
      </w:r>
      <w:r>
        <w:t>.</w:t>
      </w:r>
      <w:r>
        <w:tab/>
        <w:t>Terms used</w:t>
      </w:r>
      <w:bookmarkEnd w:id="621"/>
      <w:bookmarkEnd w:id="622"/>
      <w:bookmarkEnd w:id="623"/>
    </w:p>
    <w:p>
      <w:pPr>
        <w:pStyle w:val="ySubsection"/>
      </w:pPr>
      <w:r>
        <w:tab/>
      </w:r>
      <w:r>
        <w:tab/>
        <w:t xml:space="preserve">In this Schedule — </w:t>
      </w:r>
    </w:p>
    <w:p>
      <w:pPr>
        <w:pStyle w:val="yDefstart"/>
      </w:pPr>
      <w:r>
        <w:tab/>
      </w:r>
      <w:r>
        <w:rPr>
          <w:rStyle w:val="CharDefText"/>
        </w:rPr>
        <w:t>after the overdue period</w:t>
      </w:r>
      <w:r>
        <w:t xml:space="preserve"> means the period commencing on the 1 August after the expiry of a local practising certificate, and ending 6 months after the expiry of the local practising certificate;</w:t>
      </w:r>
    </w:p>
    <w:p>
      <w:pPr>
        <w:pStyle w:val="yDefstart"/>
      </w:pPr>
      <w:r>
        <w:tab/>
      </w:r>
      <w:r>
        <w:rPr>
          <w:rStyle w:val="CharDefText"/>
        </w:rPr>
        <w:t>late fee period</w:t>
      </w:r>
      <w:r>
        <w:t xml:space="preserve"> means the period prescribed by rule 5(3);</w:t>
      </w:r>
    </w:p>
    <w:p>
      <w:pPr>
        <w:pStyle w:val="yDefstart"/>
      </w:pPr>
      <w:r>
        <w:tab/>
      </w:r>
      <w:r>
        <w:rPr>
          <w:rStyle w:val="CharDefText"/>
        </w:rPr>
        <w:t>overdue period</w:t>
      </w:r>
      <w:r>
        <w:t xml:space="preserve"> means the period ending on the 31 July after the expiry of a local practising certificate;</w:t>
      </w:r>
    </w:p>
    <w:p>
      <w:pPr>
        <w:pStyle w:val="yDefstart"/>
      </w:pPr>
      <w:r>
        <w:tab/>
      </w:r>
      <w:r>
        <w:rPr>
          <w:rStyle w:val="CharDefText"/>
        </w:rPr>
        <w:t>standard fee</w:t>
      </w:r>
      <w:r>
        <w:t xml:space="preserve"> means $1 000 (before 1 July 2015) or $1 250 (on or after 1 July 2015); </w:t>
      </w:r>
    </w:p>
    <w:p>
      <w:pPr>
        <w:pStyle w:val="yDefstart"/>
      </w:pPr>
      <w:r>
        <w:tab/>
      </w:r>
      <w:r>
        <w:rPr>
          <w:rStyle w:val="CharDefText"/>
        </w:rPr>
        <w:t>standard renewal period</w:t>
      </w:r>
      <w:r>
        <w:t xml:space="preserve"> means the period prescribed by rule 5(2).</w:t>
      </w:r>
    </w:p>
    <w:p>
      <w:pPr>
        <w:pStyle w:val="yFootnotesection"/>
      </w:pPr>
      <w:r>
        <w:tab/>
        <w:t>[Clause 1 amended in Gazette 12 Apr 2011 p. 1311; 12 Dec 2014 p. 4719.]</w:t>
      </w:r>
    </w:p>
    <w:p>
      <w:pPr>
        <w:pStyle w:val="yHeading5"/>
      </w:pPr>
      <w:bookmarkStart w:id="624" w:name="_Toc412208431"/>
      <w:bookmarkStart w:id="625" w:name="_Toc420507476"/>
      <w:bookmarkStart w:id="626" w:name="_Toc525016670"/>
      <w:r>
        <w:rPr>
          <w:rStyle w:val="CharSClsNo"/>
        </w:rPr>
        <w:t>2</w:t>
      </w:r>
      <w:r>
        <w:t>.</w:t>
      </w:r>
      <w:r>
        <w:tab/>
        <w:t>Fees</w:t>
      </w:r>
      <w:bookmarkEnd w:id="624"/>
      <w:bookmarkEnd w:id="625"/>
      <w:bookmarkEnd w:id="626"/>
    </w:p>
    <w:p>
      <w:pPr>
        <w:pStyle w:val="ySubsection"/>
      </w:pPr>
      <w:r>
        <w:tab/>
      </w:r>
      <w:r>
        <w:tab/>
        <w:t>The fees payable in respect of the matters listed in the Table are the fees specified in the Table.</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1559"/>
      </w:tblGrid>
      <w:tr>
        <w:trPr>
          <w:tblHeader/>
        </w:trPr>
        <w:tc>
          <w:tcPr>
            <w:tcW w:w="709" w:type="dxa"/>
            <w:tcBorders>
              <w:top w:val="single" w:sz="4" w:space="0" w:color="auto"/>
              <w:left w:val="nil"/>
              <w:bottom w:val="single" w:sz="4" w:space="0" w:color="auto"/>
              <w:right w:val="nil"/>
            </w:tcBorders>
          </w:tcPr>
          <w:p>
            <w:pPr>
              <w:pStyle w:val="yTableNAm"/>
              <w:jc w:val="center"/>
              <w:rPr>
                <w:b/>
              </w:rPr>
            </w:pPr>
            <w:r>
              <w:rPr>
                <w:b/>
              </w:rPr>
              <w:t>Rule</w:t>
            </w:r>
          </w:p>
        </w:tc>
        <w:tc>
          <w:tcPr>
            <w:tcW w:w="3969" w:type="dxa"/>
            <w:tcBorders>
              <w:top w:val="single" w:sz="4" w:space="0" w:color="auto"/>
              <w:left w:val="nil"/>
              <w:bottom w:val="single" w:sz="4" w:space="0" w:color="auto"/>
              <w:right w:val="nil"/>
            </w:tcBorders>
          </w:tcPr>
          <w:p>
            <w:pPr>
              <w:pStyle w:val="yTableNAm"/>
              <w:jc w:val="center"/>
              <w:rPr>
                <w:b/>
              </w:rPr>
            </w:pPr>
            <w:r>
              <w:rPr>
                <w:b/>
              </w:rPr>
              <w:t>Subject matter</w:t>
            </w:r>
          </w:p>
        </w:tc>
        <w:tc>
          <w:tcPr>
            <w:tcW w:w="1559" w:type="dxa"/>
            <w:tcBorders>
              <w:top w:val="single" w:sz="4" w:space="0" w:color="auto"/>
              <w:left w:val="nil"/>
              <w:bottom w:val="single" w:sz="4" w:space="0" w:color="auto"/>
              <w:right w:val="nil"/>
            </w:tcBorders>
          </w:tcPr>
          <w:p>
            <w:pPr>
              <w:pStyle w:val="yTableNAm"/>
              <w:jc w:val="center"/>
              <w:rPr>
                <w:b/>
              </w:rPr>
            </w:pPr>
            <w:r>
              <w:rPr>
                <w:b/>
              </w:rPr>
              <w:t>Fee</w:t>
            </w:r>
          </w:p>
        </w:tc>
      </w:tr>
      <w:tr>
        <w:tc>
          <w:tcPr>
            <w:tcW w:w="709" w:type="dxa"/>
            <w:tcBorders>
              <w:top w:val="single" w:sz="4" w:space="0" w:color="auto"/>
              <w:left w:val="nil"/>
              <w:bottom w:val="nil"/>
              <w:right w:val="nil"/>
            </w:tcBorders>
          </w:tcPr>
          <w:p>
            <w:pPr>
              <w:pStyle w:val="yTableNAm"/>
            </w:pPr>
            <w:r>
              <w:t>r. 4</w:t>
            </w:r>
          </w:p>
        </w:tc>
        <w:tc>
          <w:tcPr>
            <w:tcW w:w="3969" w:type="dxa"/>
            <w:tcBorders>
              <w:top w:val="single" w:sz="4" w:space="0" w:color="auto"/>
              <w:left w:val="nil"/>
              <w:bottom w:val="nil"/>
              <w:right w:val="nil"/>
            </w:tcBorders>
          </w:tcPr>
          <w:p>
            <w:pPr>
              <w:pStyle w:val="yTableNAm"/>
            </w:pPr>
            <w:r>
              <w:t xml:space="preserve">Grant of local practising certificate — </w:t>
            </w:r>
          </w:p>
        </w:tc>
        <w:tc>
          <w:tcPr>
            <w:tcW w:w="1559" w:type="dxa"/>
            <w:tcBorders>
              <w:top w:val="single" w:sz="4" w:space="0" w:color="auto"/>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s>
              <w:ind w:left="459" w:hanging="459"/>
            </w:pPr>
            <w:r>
              <w:t>(a)</w:t>
            </w:r>
            <w:r>
              <w:tab/>
              <w:t xml:space="preserve">applicant is entitled to a discount under rule 4(2)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45%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50%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50% of standard fee</w:t>
            </w:r>
          </w:p>
        </w:tc>
      </w:tr>
      <w:tr>
        <w:tc>
          <w:tcPr>
            <w:tcW w:w="709" w:type="dxa"/>
            <w:tcBorders>
              <w:top w:val="nil"/>
              <w:left w:val="nil"/>
              <w:bottom w:val="nil"/>
              <w:right w:val="nil"/>
            </w:tcBorders>
          </w:tcPr>
          <w:p>
            <w:pPr>
              <w:pStyle w:val="yTableNAm"/>
            </w:pPr>
            <w:r>
              <w:rPr>
                <w:sz w:val="24"/>
              </w:rPr>
              <w:br w:type="page"/>
            </w:r>
          </w:p>
        </w:tc>
        <w:tc>
          <w:tcPr>
            <w:tcW w:w="3969" w:type="dxa"/>
            <w:tcBorders>
              <w:top w:val="nil"/>
              <w:left w:val="nil"/>
              <w:bottom w:val="nil"/>
              <w:right w:val="nil"/>
            </w:tcBorders>
          </w:tcPr>
          <w:p>
            <w:pPr>
              <w:pStyle w:val="yTableNAm"/>
              <w:tabs>
                <w:tab w:val="clear" w:pos="567"/>
                <w:tab w:val="left" w:pos="459"/>
              </w:tabs>
              <w:ind w:left="459" w:hanging="459"/>
            </w:pPr>
            <w:r>
              <w:t>(b)</w:t>
            </w:r>
            <w:r>
              <w:tab/>
              <w:t xml:space="preserve">applicant not entitled to discount under rule 4(2) — </w:t>
            </w:r>
          </w:p>
        </w:tc>
        <w:tc>
          <w:tcPr>
            <w:tcW w:w="1559" w:type="dxa"/>
            <w:tcBorders>
              <w:top w:val="nil"/>
              <w:left w:val="nil"/>
              <w:bottom w:val="nil"/>
              <w:right w:val="nil"/>
            </w:tcBorders>
          </w:tcPr>
          <w:p>
            <w:pPr>
              <w:pStyle w:val="yTableNAm"/>
            </w:pPr>
            <w:r>
              <w:br/>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w:t>
            </w:r>
            <w:r>
              <w:tab/>
              <w:t>application made through website for practising certificate for period ending 30 June 2011</w:t>
            </w:r>
            <w:r>
              <w:tab/>
            </w:r>
          </w:p>
        </w:tc>
        <w:tc>
          <w:tcPr>
            <w:tcW w:w="1559" w:type="dxa"/>
            <w:tcBorders>
              <w:top w:val="nil"/>
              <w:left w:val="nil"/>
              <w:bottom w:val="nil"/>
              <w:right w:val="nil"/>
            </w:tcBorders>
          </w:tcPr>
          <w:p>
            <w:pPr>
              <w:pStyle w:val="yTableNAm"/>
            </w:pPr>
            <w:r>
              <w:br/>
            </w:r>
            <w:r>
              <w:br/>
            </w:r>
            <w:r>
              <w:br/>
              <w:t>95% of 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w:t>
            </w:r>
            <w:r>
              <w:tab/>
              <w:t>application made through website for practising certificate for period commencing on or after 1 July 2011</w:t>
            </w:r>
            <w:r>
              <w:tab/>
            </w:r>
          </w:p>
        </w:tc>
        <w:tc>
          <w:tcPr>
            <w:tcW w:w="1559" w:type="dxa"/>
            <w:tcBorders>
              <w:top w:val="nil"/>
              <w:left w:val="nil"/>
              <w:bottom w:val="nil"/>
              <w:right w:val="nil"/>
            </w:tcBorders>
          </w:tcPr>
          <w:p>
            <w:pPr>
              <w:pStyle w:val="yTableNAm"/>
            </w:pPr>
            <w:r>
              <w:br/>
            </w:r>
            <w:r>
              <w:br/>
            </w:r>
            <w:r>
              <w:br/>
            </w:r>
            <w:r>
              <w:br/>
              <w:t>standard fee</w:t>
            </w:r>
          </w:p>
        </w:tc>
      </w:tr>
      <w:tr>
        <w:tc>
          <w:tcPr>
            <w:tcW w:w="709" w:type="dxa"/>
            <w:tcBorders>
              <w:top w:val="nil"/>
              <w:left w:val="nil"/>
              <w:bottom w:val="nil"/>
              <w:right w:val="nil"/>
            </w:tcBorders>
          </w:tcPr>
          <w:p>
            <w:pPr>
              <w:pStyle w:val="yTableNAm"/>
              <w:rPr>
                <w:sz w:val="24"/>
              </w:rPr>
            </w:pPr>
          </w:p>
        </w:tc>
        <w:tc>
          <w:tcPr>
            <w:tcW w:w="3969" w:type="dxa"/>
            <w:tcBorders>
              <w:top w:val="nil"/>
              <w:left w:val="nil"/>
              <w:bottom w:val="nil"/>
              <w:right w:val="nil"/>
            </w:tcBorders>
          </w:tcPr>
          <w:p>
            <w:pPr>
              <w:pStyle w:val="yTableNAm"/>
              <w:tabs>
                <w:tab w:val="clear" w:pos="567"/>
                <w:tab w:val="left" w:pos="398"/>
                <w:tab w:val="left" w:pos="849"/>
                <w:tab w:val="right" w:leader="dot" w:pos="3753"/>
              </w:tabs>
              <w:ind w:left="884" w:right="34" w:hanging="884"/>
            </w:pPr>
            <w:r>
              <w:tab/>
              <w:t>(iii)</w:t>
            </w:r>
            <w:r>
              <w:tab/>
              <w:t>written application</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4</w:t>
            </w:r>
          </w:p>
        </w:tc>
        <w:tc>
          <w:tcPr>
            <w:tcW w:w="3969" w:type="dxa"/>
            <w:tcBorders>
              <w:top w:val="nil"/>
              <w:left w:val="nil"/>
              <w:bottom w:val="nil"/>
              <w:right w:val="nil"/>
            </w:tcBorders>
          </w:tcPr>
          <w:p>
            <w:pPr>
              <w:pStyle w:val="yTableNAm"/>
            </w:pPr>
            <w:r>
              <w:t xml:space="preserve">Renewal of local practising certificate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during standard renewal period</w:t>
            </w:r>
            <w:r>
              <w:tab/>
            </w:r>
          </w:p>
        </w:tc>
        <w:tc>
          <w:tcPr>
            <w:tcW w:w="1559" w:type="dxa"/>
            <w:tcBorders>
              <w:top w:val="nil"/>
              <w:left w:val="nil"/>
              <w:bottom w:val="nil"/>
              <w:right w:val="nil"/>
            </w:tcBorders>
          </w:tcPr>
          <w:p>
            <w:pPr>
              <w:pStyle w:val="yTableNAm"/>
            </w:pPr>
            <w:r>
              <w:br/>
              <w:t>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(b)</w:t>
            </w:r>
            <w:r>
              <w:tab/>
              <w:t>application made during late fee period</w:t>
            </w:r>
            <w:r>
              <w:tab/>
            </w:r>
          </w:p>
        </w:tc>
        <w:tc>
          <w:tcPr>
            <w:tcW w:w="1559" w:type="dxa"/>
            <w:tcBorders>
              <w:top w:val="nil"/>
              <w:left w:val="nil"/>
              <w:bottom w:val="nil"/>
              <w:right w:val="nil"/>
            </w:tcBorders>
          </w:tcPr>
          <w:p>
            <w:pPr>
              <w:pStyle w:val="yTableNAm"/>
            </w:pPr>
            <w:r>
              <w:br/>
              <w:t>125% of standard fee</w:t>
            </w: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(c)</w:t>
            </w:r>
            <w:r>
              <w:tab/>
              <w:t>application made under section 44(4) of the Act during the overdue period</w:t>
            </w:r>
            <w:r>
              <w:tab/>
            </w:r>
          </w:p>
        </w:tc>
        <w:tc>
          <w:tcPr>
            <w:tcW w:w="1559" w:type="dxa"/>
            <w:tcBorders>
              <w:top w:val="nil"/>
              <w:left w:val="nil"/>
              <w:bottom w:val="nil"/>
              <w:right w:val="nil"/>
            </w:tcBorders>
          </w:tcPr>
          <w:p>
            <w:pPr>
              <w:pStyle w:val="yTableNAm"/>
            </w:pPr>
            <w:r>
              <w:br/>
              <w:t>150% of standard fee</w:t>
            </w:r>
          </w:p>
        </w:tc>
      </w:tr>
      <w:tr>
        <w:tc>
          <w:tcPr>
            <w:tcW w:w="709" w:type="dxa"/>
            <w:tcBorders>
              <w:top w:val="nil"/>
              <w:left w:val="nil"/>
              <w:bottom w:val="nil"/>
              <w:right w:val="nil"/>
            </w:tcBorders>
          </w:tcPr>
          <w:p>
            <w:pPr>
              <w:pStyle w:val="yTableNAm"/>
              <w:keepNext/>
            </w:pPr>
          </w:p>
        </w:tc>
        <w:tc>
          <w:tcPr>
            <w:tcW w:w="3969" w:type="dxa"/>
            <w:tcBorders>
              <w:top w:val="nil"/>
              <w:left w:val="nil"/>
              <w:bottom w:val="nil"/>
              <w:right w:val="nil"/>
            </w:tcBorders>
          </w:tcPr>
          <w:p>
            <w:pPr>
              <w:pStyle w:val="yTableNAm"/>
              <w:keepNext/>
              <w:tabs>
                <w:tab w:val="clear" w:pos="567"/>
                <w:tab w:val="left" w:pos="459"/>
                <w:tab w:val="right" w:leader="dot" w:pos="3753"/>
              </w:tabs>
              <w:ind w:left="459" w:hanging="459"/>
            </w:pPr>
            <w:r>
              <w:t>(d)</w:t>
            </w:r>
            <w:r>
              <w:tab/>
              <w:t>application made under section 44(4) of the Act after the overdue period</w:t>
            </w:r>
            <w:r>
              <w:tab/>
            </w:r>
          </w:p>
        </w:tc>
        <w:tc>
          <w:tcPr>
            <w:tcW w:w="1559" w:type="dxa"/>
            <w:tcBorders>
              <w:top w:val="nil"/>
              <w:left w:val="nil"/>
              <w:bottom w:val="nil"/>
              <w:right w:val="nil"/>
            </w:tcBorders>
          </w:tcPr>
          <w:p>
            <w:pPr>
              <w:pStyle w:val="yTableNAm"/>
              <w:keepLines/>
            </w:pPr>
            <w:r>
              <w:br/>
              <w:t>200% of 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tabs>
                <w:tab w:val="right" w:leader="dot" w:pos="3753"/>
              </w:tabs>
            </w:pPr>
            <w:r>
              <w:t>Grant of registration as a foreign lawyer</w:t>
            </w:r>
            <w:r>
              <w:tab/>
            </w:r>
          </w:p>
        </w:tc>
        <w:tc>
          <w:tcPr>
            <w:tcW w:w="1559" w:type="dxa"/>
            <w:tcBorders>
              <w:top w:val="nil"/>
              <w:left w:val="nil"/>
              <w:bottom w:val="nil"/>
              <w:right w:val="nil"/>
            </w:tcBorders>
          </w:tcPr>
          <w:p>
            <w:pPr>
              <w:pStyle w:val="yTableNAm"/>
            </w:pPr>
            <w:r>
              <w:t>standard fee</w:t>
            </w:r>
          </w:p>
        </w:tc>
      </w:tr>
      <w:tr>
        <w:tc>
          <w:tcPr>
            <w:tcW w:w="709" w:type="dxa"/>
            <w:tcBorders>
              <w:top w:val="nil"/>
              <w:left w:val="nil"/>
              <w:bottom w:val="nil"/>
              <w:right w:val="nil"/>
            </w:tcBorders>
          </w:tcPr>
          <w:p>
            <w:pPr>
              <w:pStyle w:val="yTableNAm"/>
            </w:pPr>
            <w:r>
              <w:t>r. 25</w:t>
            </w:r>
          </w:p>
        </w:tc>
        <w:tc>
          <w:tcPr>
            <w:tcW w:w="3969" w:type="dxa"/>
            <w:tcBorders>
              <w:top w:val="nil"/>
              <w:left w:val="nil"/>
              <w:bottom w:val="nil"/>
              <w:right w:val="nil"/>
            </w:tcBorders>
          </w:tcPr>
          <w:p>
            <w:pPr>
              <w:pStyle w:val="yTableNAm"/>
            </w:pPr>
            <w:r>
              <w:t xml:space="preserve">Renewal of registration as a foreign lawyer — </w:t>
            </w:r>
          </w:p>
        </w:tc>
        <w:tc>
          <w:tcPr>
            <w:tcW w:w="1559" w:type="dxa"/>
            <w:tcBorders>
              <w:top w:val="nil"/>
              <w:left w:val="nil"/>
              <w:bottom w:val="nil"/>
              <w:right w:val="nil"/>
            </w:tcBorders>
          </w:tcPr>
          <w:p>
            <w:pPr>
              <w:pStyle w:val="yTableNAm"/>
            </w:pPr>
          </w:p>
        </w:tc>
      </w:tr>
      <w:tr>
        <w:tc>
          <w:tcPr>
            <w:tcW w:w="709" w:type="dxa"/>
            <w:tcBorders>
              <w:top w:val="nil"/>
              <w:left w:val="nil"/>
              <w:bottom w:val="nil"/>
              <w:right w:val="nil"/>
            </w:tcBorders>
          </w:tcPr>
          <w:p>
            <w:pPr>
              <w:pStyle w:val="yTableNAm"/>
            </w:pPr>
          </w:p>
        </w:tc>
        <w:tc>
          <w:tcPr>
            <w:tcW w:w="3969" w:type="dxa"/>
            <w:tcBorders>
              <w:top w:val="nil"/>
              <w:left w:val="nil"/>
              <w:bottom w:val="nil"/>
              <w:right w:val="nil"/>
            </w:tcBorders>
          </w:tcPr>
          <w:p>
            <w:pPr>
              <w:pStyle w:val="yTableNAm"/>
              <w:tabs>
                <w:tab w:val="clear" w:pos="567"/>
                <w:tab w:val="left" w:pos="459"/>
                <w:tab w:val="right" w:leader="dot" w:pos="3753"/>
              </w:tabs>
              <w:ind w:left="459" w:hanging="459"/>
            </w:pPr>
            <w:r>
              <w:t>(a)</w:t>
            </w:r>
            <w:r>
              <w:tab/>
              <w:t>application made before 1 June in the year in which the registration is due to expire</w:t>
            </w:r>
            <w:r>
              <w:tab/>
            </w:r>
          </w:p>
        </w:tc>
        <w:tc>
          <w:tcPr>
            <w:tcW w:w="1559" w:type="dxa"/>
            <w:tcBorders>
              <w:top w:val="nil"/>
              <w:left w:val="nil"/>
              <w:bottom w:val="nil"/>
              <w:right w:val="nil"/>
            </w:tcBorders>
          </w:tcPr>
          <w:p>
            <w:pPr>
              <w:pStyle w:val="yTableNAm"/>
            </w:pPr>
            <w:r>
              <w:br/>
            </w:r>
            <w:r>
              <w:br/>
              <w:t>standard fee</w:t>
            </w:r>
          </w:p>
        </w:tc>
      </w:tr>
      <w:tr>
        <w:tc>
          <w:tcPr>
            <w:tcW w:w="709" w:type="dxa"/>
            <w:tcBorders>
              <w:top w:val="nil"/>
              <w:left w:val="nil"/>
              <w:bottom w:val="single" w:sz="4" w:space="0" w:color="auto"/>
              <w:right w:val="nil"/>
            </w:tcBorders>
          </w:tcPr>
          <w:p>
            <w:pPr>
              <w:pStyle w:val="yTableNAm"/>
            </w:pPr>
          </w:p>
        </w:tc>
        <w:tc>
          <w:tcPr>
            <w:tcW w:w="3969" w:type="dxa"/>
            <w:tcBorders>
              <w:top w:val="nil"/>
              <w:left w:val="nil"/>
              <w:bottom w:val="single" w:sz="4" w:space="0" w:color="auto"/>
              <w:right w:val="nil"/>
            </w:tcBorders>
          </w:tcPr>
          <w:p>
            <w:pPr>
              <w:pStyle w:val="yTableNAm"/>
              <w:tabs>
                <w:tab w:val="clear" w:pos="567"/>
                <w:tab w:val="left" w:pos="459"/>
                <w:tab w:val="right" w:leader="dot" w:pos="3753"/>
              </w:tabs>
              <w:ind w:left="459" w:hanging="459"/>
            </w:pPr>
            <w:r>
              <w:t>(b)</w:t>
            </w:r>
            <w:r>
              <w:tab/>
              <w:t xml:space="preserve">application made on or after 1 June in the year in which the registration is due to expire </w:t>
            </w:r>
            <w:r>
              <w:tab/>
            </w:r>
          </w:p>
        </w:tc>
        <w:tc>
          <w:tcPr>
            <w:tcW w:w="1559" w:type="dxa"/>
            <w:tcBorders>
              <w:top w:val="nil"/>
              <w:left w:val="nil"/>
              <w:bottom w:val="single" w:sz="4" w:space="0" w:color="auto"/>
              <w:right w:val="nil"/>
            </w:tcBorders>
          </w:tcPr>
          <w:p>
            <w:pPr>
              <w:pStyle w:val="yTableNAm"/>
            </w:pPr>
            <w:r>
              <w:br/>
            </w:r>
            <w:r>
              <w:br/>
              <w:t>125% of standard fee</w:t>
            </w:r>
          </w:p>
        </w:tc>
      </w:tr>
    </w:tbl>
    <w:p>
      <w:pPr>
        <w:pStyle w:val="yFootnotesection"/>
      </w:pPr>
      <w:r>
        <w:tab/>
        <w:t>[Clause 2 amended in Gazette 12 Apr 2011 p. 1311-13.]</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628" w:name="_Toc412208432"/>
      <w:bookmarkStart w:id="629" w:name="_Toc420507388"/>
      <w:bookmarkStart w:id="630" w:name="_Toc420507477"/>
      <w:bookmarkStart w:id="631" w:name="_Toc525016671"/>
      <w:r>
        <w:t>Notes</w:t>
      </w:r>
      <w:bookmarkEnd w:id="628"/>
      <w:bookmarkEnd w:id="629"/>
      <w:bookmarkEnd w:id="630"/>
      <w:bookmarkEnd w:id="631"/>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Rules 2009</w:t>
      </w:r>
      <w:r>
        <w:rPr>
          <w:snapToGrid w:val="0"/>
        </w:rPr>
        <w:t xml:space="preserve"> and includes the amendments made by the other written laws referred to in the following table.</w:t>
      </w:r>
    </w:p>
    <w:p>
      <w:pPr>
        <w:pStyle w:val="nHeading3"/>
      </w:pPr>
      <w:bookmarkStart w:id="632" w:name="_Toc412208433"/>
      <w:bookmarkStart w:id="633" w:name="_Toc420507478"/>
      <w:bookmarkStart w:id="634" w:name="_Toc525016672"/>
      <w:r>
        <w:t>Compilation table</w:t>
      </w:r>
      <w:bookmarkEnd w:id="632"/>
      <w:bookmarkEnd w:id="633"/>
      <w:bookmarkEnd w:id="6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Rules 2009</w:t>
            </w:r>
          </w:p>
        </w:tc>
        <w:tc>
          <w:tcPr>
            <w:tcW w:w="1276" w:type="dxa"/>
            <w:tcBorders>
              <w:bottom w:val="nil"/>
            </w:tcBorders>
          </w:tcPr>
          <w:p>
            <w:pPr>
              <w:pStyle w:val="nTable"/>
              <w:spacing w:after="40"/>
            </w:pPr>
            <w:r>
              <w:t>24 Feb 2009 p. 411</w:t>
            </w:r>
            <w:r>
              <w:noBreakHyphen/>
              <w:t>47</w:t>
            </w:r>
          </w:p>
        </w:tc>
        <w:tc>
          <w:tcPr>
            <w:tcW w:w="2693" w:type="dxa"/>
            <w:tcBorders>
              <w:bottom w:val="nil"/>
            </w:tcBorders>
          </w:tcPr>
          <w:p>
            <w:pPr>
              <w:pStyle w:val="nTable"/>
              <w:spacing w:after="40"/>
            </w:pPr>
            <w:r>
              <w:rPr>
                <w:snapToGrid w:val="0"/>
                <w:spacing w:val="-2"/>
              </w:rPr>
              <w:t>r. 1 and 2: 24 Feb 2009 (see r. 2(a));</w:t>
            </w:r>
            <w:r>
              <w:rPr>
                <w:snapToGrid w:val="0"/>
                <w:spacing w:val="-2"/>
              </w:rPr>
              <w:br/>
              <w:t xml:space="preserve">Rules other than r. 1 and 2: 1 Mar 2009 (see r. 2(b) and </w:t>
            </w:r>
            <w:r>
              <w:rPr>
                <w:i/>
                <w:iCs/>
                <w:snapToGrid w:val="0"/>
                <w:spacing w:val="-2"/>
              </w:rPr>
              <w:t>Gazette</w:t>
            </w:r>
            <w:r>
              <w:rPr>
                <w:snapToGrid w:val="0"/>
                <w:spacing w:val="-2"/>
              </w:rPr>
              <w:t xml:space="preserve"> 27 Feb 2009 p. 511)</w:t>
            </w:r>
          </w:p>
        </w:tc>
      </w:tr>
      <w:tr>
        <w:tc>
          <w:tcPr>
            <w:tcW w:w="3118" w:type="dxa"/>
            <w:tcBorders>
              <w:top w:val="nil"/>
              <w:bottom w:val="nil"/>
            </w:tcBorders>
          </w:tcPr>
          <w:p>
            <w:pPr>
              <w:pStyle w:val="nTable"/>
              <w:spacing w:after="40"/>
            </w:pPr>
            <w:r>
              <w:rPr>
                <w:i/>
              </w:rPr>
              <w:t>Legal Profession Amendment Rules 2009</w:t>
            </w:r>
          </w:p>
        </w:tc>
        <w:tc>
          <w:tcPr>
            <w:tcW w:w="1276" w:type="dxa"/>
            <w:tcBorders>
              <w:top w:val="nil"/>
              <w:bottom w:val="nil"/>
            </w:tcBorders>
          </w:tcPr>
          <w:p>
            <w:pPr>
              <w:pStyle w:val="nTable"/>
              <w:spacing w:after="40"/>
            </w:pPr>
            <w:r>
              <w:t>7 Apr 2009 p. 1135</w:t>
            </w:r>
            <w:r>
              <w:noBreakHyphen/>
              <w:t>6</w:t>
            </w:r>
          </w:p>
        </w:tc>
        <w:tc>
          <w:tcPr>
            <w:tcW w:w="2693" w:type="dxa"/>
            <w:tcBorders>
              <w:top w:val="nil"/>
              <w:bottom w:val="nil"/>
            </w:tcBorders>
          </w:tcPr>
          <w:p>
            <w:pPr>
              <w:pStyle w:val="nTable"/>
              <w:spacing w:after="40"/>
              <w:rPr>
                <w:snapToGrid w:val="0"/>
                <w:spacing w:val="-2"/>
              </w:rPr>
            </w:pPr>
            <w:r>
              <w:rPr>
                <w:snapToGrid w:val="0"/>
                <w:spacing w:val="-2"/>
              </w:rPr>
              <w:t>r. 1 and 2: 7 Apr 2009 (see r. 2(a));</w:t>
            </w:r>
            <w:r>
              <w:rPr>
                <w:snapToGrid w:val="0"/>
                <w:spacing w:val="-2"/>
              </w:rPr>
              <w:br/>
              <w:t>Rules other than r. 1 and 2: 8 Apr 2009 (see r. 2(b))</w:t>
            </w:r>
          </w:p>
        </w:tc>
      </w:tr>
      <w:tr>
        <w:tc>
          <w:tcPr>
            <w:tcW w:w="3118" w:type="dxa"/>
            <w:tcBorders>
              <w:top w:val="nil"/>
              <w:bottom w:val="nil"/>
            </w:tcBorders>
          </w:tcPr>
          <w:p>
            <w:pPr>
              <w:pStyle w:val="nTable"/>
              <w:spacing w:after="40"/>
              <w:rPr>
                <w:i/>
              </w:rPr>
            </w:pPr>
            <w:r>
              <w:rPr>
                <w:i/>
              </w:rPr>
              <w:t>Legal Profession Amendment Rules 2010</w:t>
            </w:r>
          </w:p>
        </w:tc>
        <w:tc>
          <w:tcPr>
            <w:tcW w:w="1276" w:type="dxa"/>
            <w:tcBorders>
              <w:top w:val="nil"/>
              <w:bottom w:val="nil"/>
            </w:tcBorders>
          </w:tcPr>
          <w:p>
            <w:pPr>
              <w:pStyle w:val="nTable"/>
              <w:spacing w:after="40"/>
            </w:pPr>
            <w:r>
              <w:t>26 Oct 2010 p. 5290</w:t>
            </w:r>
          </w:p>
        </w:tc>
        <w:tc>
          <w:tcPr>
            <w:tcW w:w="2693" w:type="dxa"/>
            <w:tcBorders>
              <w:top w:val="nil"/>
              <w:bottom w:val="nil"/>
            </w:tcBorders>
          </w:tcPr>
          <w:p>
            <w:pPr>
              <w:pStyle w:val="nTable"/>
              <w:spacing w:after="40"/>
              <w:rPr>
                <w:snapToGrid w:val="0"/>
                <w:spacing w:val="-2"/>
              </w:rPr>
            </w:pPr>
            <w:r>
              <w:rPr>
                <w:snapToGrid w:val="0"/>
                <w:spacing w:val="-2"/>
              </w:rPr>
              <w:t>r. 1 and 2: 26 Oct 2010 (see r. 2(a));</w:t>
            </w:r>
            <w:r>
              <w:rPr>
                <w:snapToGrid w:val="0"/>
                <w:spacing w:val="-2"/>
              </w:rPr>
              <w:br/>
              <w:t>Rules other than r. 1 and 2: 27 Oct 2010 (see r. 2(b))</w:t>
            </w:r>
          </w:p>
        </w:tc>
      </w:tr>
      <w:tr>
        <w:tc>
          <w:tcPr>
            <w:tcW w:w="3118" w:type="dxa"/>
            <w:tcBorders>
              <w:top w:val="nil"/>
              <w:bottom w:val="nil"/>
            </w:tcBorders>
          </w:tcPr>
          <w:p>
            <w:pPr>
              <w:pStyle w:val="nTable"/>
              <w:spacing w:after="40"/>
              <w:rPr>
                <w:i/>
              </w:rPr>
            </w:pPr>
            <w:r>
              <w:rPr>
                <w:i/>
              </w:rPr>
              <w:t>Legal Profession Amendment Rules 2011</w:t>
            </w:r>
          </w:p>
        </w:tc>
        <w:tc>
          <w:tcPr>
            <w:tcW w:w="1276" w:type="dxa"/>
            <w:tcBorders>
              <w:top w:val="nil"/>
              <w:bottom w:val="nil"/>
            </w:tcBorders>
          </w:tcPr>
          <w:p>
            <w:pPr>
              <w:pStyle w:val="nTable"/>
              <w:spacing w:after="40"/>
            </w:pPr>
            <w:r>
              <w:t>12 Apr 2011 p. 1311-13</w:t>
            </w:r>
          </w:p>
        </w:tc>
        <w:tc>
          <w:tcPr>
            <w:tcW w:w="2693" w:type="dxa"/>
            <w:tcBorders>
              <w:top w:val="nil"/>
              <w:bottom w:val="nil"/>
            </w:tcBorders>
          </w:tcPr>
          <w:p>
            <w:pPr>
              <w:pStyle w:val="nTable"/>
              <w:spacing w:after="40"/>
              <w:rPr>
                <w:snapToGrid w:val="0"/>
                <w:spacing w:val="-2"/>
              </w:rPr>
            </w:pPr>
            <w:r>
              <w:rPr>
                <w:snapToGrid w:val="0"/>
                <w:spacing w:val="-2"/>
              </w:rPr>
              <w:t>r. 1 and 2: 12 Apr 2011 (see r. 2(a));</w:t>
            </w:r>
            <w:r>
              <w:rPr>
                <w:snapToGrid w:val="0"/>
                <w:spacing w:val="-2"/>
              </w:rPr>
              <w:br/>
              <w:t>Rules other than r. 1 and 2: 13 Apr 2011 (see r. 2(b))</w:t>
            </w:r>
          </w:p>
        </w:tc>
      </w:tr>
      <w:tr>
        <w:tc>
          <w:tcPr>
            <w:tcW w:w="3118" w:type="dxa"/>
            <w:tcBorders>
              <w:top w:val="nil"/>
              <w:bottom w:val="nil"/>
            </w:tcBorders>
          </w:tcPr>
          <w:p>
            <w:pPr>
              <w:pStyle w:val="nTable"/>
              <w:spacing w:after="40"/>
              <w:rPr>
                <w:i/>
              </w:rPr>
            </w:pPr>
            <w:r>
              <w:rPr>
                <w:i/>
              </w:rPr>
              <w:t>Legal Profession Amendment Rules (No. 2) 2014</w:t>
            </w:r>
          </w:p>
        </w:tc>
        <w:tc>
          <w:tcPr>
            <w:tcW w:w="1276" w:type="dxa"/>
            <w:tcBorders>
              <w:top w:val="nil"/>
              <w:bottom w:val="nil"/>
            </w:tcBorders>
          </w:tcPr>
          <w:p>
            <w:pPr>
              <w:pStyle w:val="nTable"/>
              <w:spacing w:after="40"/>
            </w:pPr>
            <w:r>
              <w:t>12 Dec 2014 p. 4718-19</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12 Dec 2014 (see r. 2(a));</w:t>
            </w:r>
            <w:r>
              <w:rPr>
                <w:rFonts w:ascii="Times" w:hAnsi="Times"/>
                <w:bCs/>
                <w:snapToGrid w:val="0"/>
                <w:spacing w:val="-2"/>
              </w:rPr>
              <w:br/>
              <w:t>Rules other than r. 1 and 2: 13 Dec 2014 (see r. 2(b))</w:t>
            </w:r>
          </w:p>
        </w:tc>
      </w:tr>
      <w:tr>
        <w:trPr>
          <w:ins w:id="635" w:author="Master Repository Process" w:date="2021-08-29T01:56:00Z"/>
        </w:trPr>
        <w:tc>
          <w:tcPr>
            <w:tcW w:w="3118" w:type="dxa"/>
            <w:tcBorders>
              <w:top w:val="nil"/>
              <w:bottom w:val="single" w:sz="4" w:space="0" w:color="auto"/>
            </w:tcBorders>
          </w:tcPr>
          <w:p>
            <w:pPr>
              <w:pStyle w:val="nTable"/>
              <w:spacing w:after="40"/>
              <w:rPr>
                <w:ins w:id="636" w:author="Master Repository Process" w:date="2021-08-29T01:56:00Z"/>
                <w:i/>
              </w:rPr>
            </w:pPr>
            <w:ins w:id="637" w:author="Master Repository Process" w:date="2021-08-29T01:56:00Z">
              <w:r>
                <w:rPr>
                  <w:i/>
                </w:rPr>
                <w:t>Legal Profession Amendment Rules 2015</w:t>
              </w:r>
            </w:ins>
          </w:p>
        </w:tc>
        <w:tc>
          <w:tcPr>
            <w:tcW w:w="1276" w:type="dxa"/>
            <w:tcBorders>
              <w:top w:val="nil"/>
              <w:bottom w:val="single" w:sz="4" w:space="0" w:color="auto"/>
            </w:tcBorders>
          </w:tcPr>
          <w:p>
            <w:pPr>
              <w:pStyle w:val="nTable"/>
              <w:spacing w:after="40"/>
              <w:rPr>
                <w:ins w:id="638" w:author="Master Repository Process" w:date="2021-08-29T01:56:00Z"/>
              </w:rPr>
            </w:pPr>
            <w:ins w:id="639" w:author="Master Repository Process" w:date="2021-08-29T01:56:00Z">
              <w:r>
                <w:t>20 Feb 2015 p. 680</w:t>
              </w:r>
              <w:r>
                <w:noBreakHyphen/>
                <w:t>8</w:t>
              </w:r>
            </w:ins>
          </w:p>
        </w:tc>
        <w:tc>
          <w:tcPr>
            <w:tcW w:w="2693" w:type="dxa"/>
            <w:tcBorders>
              <w:top w:val="nil"/>
              <w:bottom w:val="single" w:sz="4" w:space="0" w:color="auto"/>
            </w:tcBorders>
          </w:tcPr>
          <w:p>
            <w:pPr>
              <w:pStyle w:val="nTable"/>
              <w:spacing w:after="40"/>
              <w:rPr>
                <w:ins w:id="640" w:author="Master Repository Process" w:date="2021-08-29T01:56:00Z"/>
                <w:rFonts w:ascii="Times" w:hAnsi="Times"/>
                <w:bCs/>
                <w:snapToGrid w:val="0"/>
                <w:spacing w:val="-2"/>
              </w:rPr>
            </w:pPr>
            <w:ins w:id="641" w:author="Master Repository Process" w:date="2021-08-29T01:56:00Z">
              <w:r>
                <w:rPr>
                  <w:rFonts w:ascii="Times" w:hAnsi="Times"/>
                  <w:bCs/>
                  <w:snapToGrid w:val="0"/>
                  <w:spacing w:val="-2"/>
                </w:rPr>
                <w:t>r. 1 and 2: 20 Feb 2015 (see r. 2(a));</w:t>
              </w:r>
              <w:r>
                <w:rPr>
                  <w:rFonts w:ascii="Times" w:hAnsi="Times"/>
                  <w:bCs/>
                  <w:snapToGrid w:val="0"/>
                  <w:spacing w:val="-2"/>
                </w:rPr>
                <w:br/>
                <w:t>Rules other than r. 1 and 2: 21 Feb 2015 (see r. 2(b))</w:t>
              </w:r>
            </w:ins>
          </w:p>
        </w:tc>
      </w:tr>
    </w:tbl>
    <w:p>
      <w:pPr>
        <w:rPr>
          <w:iCs/>
        </w:rPr>
      </w:pPr>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2" w:name="Compilation"/>
    <w:bookmarkEnd w:id="6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3" w:name="Coversheet"/>
    <w:bookmarkEnd w:id="6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Rules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7" w:name="Schedule"/>
    <w:bookmarkEnd w:id="6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302"/>
    <w:docVar w:name="WAFER_20140109100459" w:val="RemoveTocBookmarks,RemoveUnusedBookmarks,RemoveLanguageTags,UsedStyles,ResetPageSize,UpdateArrangement"/>
    <w:docVar w:name="WAFER_20140109100459_GUID" w:val="425a96da-d782-44b8-a9ea-42d1c053fd7d"/>
    <w:docVar w:name="WAFER_20140109101459" w:val="RemoveTocBookmarks,RunningHeaders"/>
    <w:docVar w:name="WAFER_20140109101459_GUID" w:val="79de5b6d-6671-4108-885b-915d2e4dd677"/>
    <w:docVar w:name="WAFER_20141211154412" w:val="RemoveTocBookmarks,RemoveUnusedBookmarks,RemoveLanguageTags,UsedStyles,ResetPageSize,UpdateArrangement"/>
    <w:docVar w:name="WAFER_20141211154412_GUID" w:val="790a4b11-24da-46c5-933b-69932e6b2304"/>
    <w:docVar w:name="WAFER_20141212084715" w:val="RemoveTocBookmarks,RunningHeaders"/>
    <w:docVar w:name="WAFER_20141212084715_GUID" w:val="35ff798b-5b84-40ee-96b1-6b89da2949dc"/>
    <w:docVar w:name="WAFER_20150220150835" w:val="RemoveTocBookmarks,RunningHeaders"/>
    <w:docVar w:name="WAFER_20150220150835_GUID" w:val="9c21d4ea-38e3-4130-9016-fe3379faeffd"/>
    <w:docVar w:name="WAFER_20150527161625" w:val="ResetPageSize,UpdateArrangement,UpdateNTable"/>
    <w:docVar w:name="WAFER_20150527161625_GUID" w:val="eccd4dad-c9ca-4e94-86ff-2114aa56dbd2"/>
    <w:docVar w:name="WAFER_20151216143302" w:val="RemoveTrackChanges"/>
    <w:docVar w:name="WAFER_20151216143302_GUID" w:val="52e920d8-0d6e-4a5a-aa52-c20fee36c5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B58A9F-7DF9-4BF5-A7DF-A15DE195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Subsection"/>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tabs>
        <w:tab w:val="left" w:pos="884"/>
        <w:tab w:val="right" w:leader="dot" w:pos="5387"/>
      </w:tabs>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Normal"/>
    <w:pPr>
      <w:keepNext/>
      <w:spacing w:before="160" w:after="60" w:line="260" w:lineRule="atLeast"/>
      <w:ind w:left="142" w:right="142"/>
      <w:jc w:val="center"/>
    </w:pPr>
    <w:rPr>
      <w:b/>
      <w:bCs/>
      <w:sz w:val="22"/>
    </w:rPr>
  </w:style>
  <w:style w:type="paragraph" w:customStyle="1" w:styleId="TableNAm">
    <w:name w:val="TableNAm"/>
    <w:basedOn w:val="TableAm"/>
  </w:style>
  <w:style w:type="paragraph" w:customStyle="1" w:styleId="THeadingNAm">
    <w:name w:val="THeadingNAm"/>
    <w:basedOn w:val="Normal"/>
    <w:pPr>
      <w:keepNext/>
      <w:spacing w:before="160" w:after="60" w:line="260" w:lineRule="atLeast"/>
      <w:ind w:left="879" w:right="142"/>
      <w:jc w:val="center"/>
    </w:pPr>
    <w:rPr>
      <w:b/>
      <w:bCs/>
    </w:rPr>
  </w:style>
  <w:style w:type="paragraph" w:customStyle="1" w:styleId="zTableNAm">
    <w:name w:val="zTableNAm"/>
    <w:basedOn w:val="TableAm"/>
  </w:style>
  <w:style w:type="paragraph" w:customStyle="1" w:styleId="zTHeadingNAm">
    <w:name w:val="zTHeadingNAm"/>
    <w:basedOn w:val="Normal"/>
    <w:pPr>
      <w:keepNext/>
      <w:spacing w:before="160" w:after="60" w:line="260" w:lineRule="atLeast"/>
      <w:ind w:left="1446" w:right="142"/>
      <w:jc w:val="center"/>
    </w:pPr>
    <w:rPr>
      <w:b/>
      <w:bCs/>
    </w:rPr>
  </w:style>
  <w:style w:type="character" w:customStyle="1" w:styleId="SubsectionChar">
    <w:name w:val="Subsection Char"/>
    <w:link w:val="Subsection"/>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4Char">
    <w:name w:val="Heading 4 Char"/>
    <w:basedOn w:val="DefaultParagraphFont"/>
    <w:link w:val="Heading4"/>
    <w:rPr>
      <w:b/>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7879</Words>
  <Characters>37507</Characters>
  <Application>Microsoft Office Word</Application>
  <DocSecurity>0</DocSecurity>
  <Lines>1172</Lines>
  <Paragraphs>732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Rules 2009 00-e0-01 - 00-f0-03</dc:title>
  <dc:subject/>
  <dc:creator/>
  <cp:keywords/>
  <dc:description/>
  <cp:lastModifiedBy>Master Repository Process</cp:lastModifiedBy>
  <cp:revision>2</cp:revision>
  <cp:lastPrinted>2009-02-18T08:27:00Z</cp:lastPrinted>
  <dcterms:created xsi:type="dcterms:W3CDTF">2021-08-28T17:55:00Z</dcterms:created>
  <dcterms:modified xsi:type="dcterms:W3CDTF">2021-08-28T17:56:00Z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411-47</vt:lpwstr>
  </property>
  <property fmtid="{D5CDD505-2E9C-101B-9397-08002B2CF9AE}" pid="3" name="CommencementDate">
    <vt:lpwstr>20150221</vt:lpwstr>
  </property>
  <property fmtid="{D5CDD505-2E9C-101B-9397-08002B2CF9AE}" pid="4" name="OwlsUID">
    <vt:i4>41036</vt:i4>
  </property>
  <property fmtid="{D5CDD505-2E9C-101B-9397-08002B2CF9AE}" pid="5" name="DocumentType">
    <vt:lpwstr>Reg</vt:lpwstr>
  </property>
  <property fmtid="{D5CDD505-2E9C-101B-9397-08002B2CF9AE}" pid="6" name="FromSuffix">
    <vt:lpwstr>00-e0-01</vt:lpwstr>
  </property>
  <property fmtid="{D5CDD505-2E9C-101B-9397-08002B2CF9AE}" pid="7" name="FromAsAtDate">
    <vt:lpwstr>13 Dec 2014</vt:lpwstr>
  </property>
  <property fmtid="{D5CDD505-2E9C-101B-9397-08002B2CF9AE}" pid="8" name="ToSuffix">
    <vt:lpwstr>00-f0-03</vt:lpwstr>
  </property>
  <property fmtid="{D5CDD505-2E9C-101B-9397-08002B2CF9AE}" pid="9" name="ToAsAtDate">
    <vt:lpwstr>21 Feb 2015</vt:lpwstr>
  </property>
</Properties>
</file>