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2015</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411342590"/>
      <w:bookmarkStart w:id="2" w:name="_Toc417555394"/>
      <w:bookmarkStart w:id="3" w:name="_Toc416878601"/>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5" w:name="_Toc411342591"/>
      <w:bookmarkStart w:id="6" w:name="_Toc417555395"/>
      <w:bookmarkStart w:id="7" w:name="_Toc416878602"/>
      <w:r>
        <w:rPr>
          <w:rStyle w:val="CharSectno"/>
        </w:rPr>
        <w:t>2</w:t>
      </w:r>
      <w:r>
        <w:rPr>
          <w:spacing w:val="-2"/>
        </w:rPr>
        <w:t>.</w:t>
      </w:r>
      <w:r>
        <w:rPr>
          <w:spacing w:val="-2"/>
        </w:rPr>
        <w:tab/>
        <w:t>Commencement</w:t>
      </w:r>
      <w:bookmarkEnd w:id="5"/>
      <w:bookmarkEnd w:id="6"/>
      <w:bookmarkEnd w:id="7"/>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8" w:name="_Toc411342592"/>
      <w:bookmarkStart w:id="9" w:name="_Toc417555396"/>
      <w:bookmarkStart w:id="10" w:name="_Toc416878603"/>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11" w:name="_Toc411342593"/>
      <w:bookmarkStart w:id="12" w:name="_Toc417555397"/>
      <w:bookmarkStart w:id="13" w:name="_Toc416878604"/>
      <w:r>
        <w:rPr>
          <w:rStyle w:val="CharSectno"/>
        </w:rPr>
        <w:t>4</w:t>
      </w:r>
      <w:r>
        <w:t>.</w:t>
      </w:r>
      <w:r>
        <w:tab/>
      </w:r>
      <w:r>
        <w:rPr>
          <w:snapToGrid w:val="0"/>
        </w:rPr>
        <w:t>Fees to be charged (Act s. 42)</w:t>
      </w:r>
      <w:bookmarkEnd w:id="11"/>
      <w:bookmarkEnd w:id="12"/>
      <w:bookmarkEnd w:id="1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14" w:name="_Toc411342594"/>
      <w:bookmarkStart w:id="15" w:name="_Toc417555398"/>
      <w:bookmarkStart w:id="16" w:name="_Toc416878605"/>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14"/>
      <w:bookmarkEnd w:id="15"/>
      <w:bookmarkEnd w:id="16"/>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17" w:name="_Toc411342595"/>
      <w:bookmarkStart w:id="18" w:name="_Toc417555399"/>
      <w:bookmarkStart w:id="19" w:name="_Toc416878606"/>
      <w:r>
        <w:rPr>
          <w:rStyle w:val="CharSectno"/>
        </w:rPr>
        <w:t>6</w:t>
      </w:r>
      <w:r>
        <w:t>.</w:t>
      </w:r>
      <w:r>
        <w:tab/>
        <w:t>Some fees subject to conditions or must be waived</w:t>
      </w:r>
      <w:bookmarkEnd w:id="17"/>
      <w:bookmarkEnd w:id="18"/>
      <w:bookmarkEnd w:id="1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20" w:name="_Toc411342596"/>
      <w:bookmarkStart w:id="21" w:name="_Toc417555400"/>
      <w:bookmarkStart w:id="22" w:name="_Toc416878607"/>
      <w:r>
        <w:rPr>
          <w:rStyle w:val="CharSectno"/>
        </w:rPr>
        <w:t>7</w:t>
      </w:r>
      <w:r>
        <w:t>.</w:t>
      </w:r>
      <w:r>
        <w:tab/>
      </w:r>
      <w:r>
        <w:rPr>
          <w:rStyle w:val="CharSectno"/>
        </w:rPr>
        <w:t>F</w:t>
      </w:r>
      <w:r>
        <w:rPr>
          <w:snapToGrid w:val="0"/>
        </w:rPr>
        <w:t>ees to be paid before documents etc. filed</w:t>
      </w:r>
      <w:bookmarkEnd w:id="20"/>
      <w:bookmarkEnd w:id="21"/>
      <w:bookmarkEnd w:id="22"/>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23" w:name="_Toc411342597"/>
      <w:bookmarkStart w:id="24" w:name="_Toc417555401"/>
      <w:bookmarkStart w:id="25" w:name="_Toc416878608"/>
      <w:r>
        <w:rPr>
          <w:rStyle w:val="CharSectno"/>
        </w:rPr>
        <w:t>8</w:t>
      </w:r>
      <w:r>
        <w:t>.</w:t>
      </w:r>
      <w:r>
        <w:tab/>
        <w:t>Financial hardship etc., waiving etc. fees in cases of</w:t>
      </w:r>
      <w:bookmarkEnd w:id="23"/>
      <w:bookmarkEnd w:id="24"/>
      <w:bookmarkEnd w:id="25"/>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26" w:name="_Toc411342598"/>
      <w:bookmarkStart w:id="27" w:name="_Toc417555402"/>
      <w:bookmarkStart w:id="28" w:name="_Toc416878609"/>
      <w:r>
        <w:rPr>
          <w:rStyle w:val="CharSectno"/>
        </w:rPr>
        <w:t>9</w:t>
      </w:r>
      <w:r>
        <w:t>.</w:t>
      </w:r>
      <w:r>
        <w:tab/>
      </w:r>
      <w:r>
        <w:rPr>
          <w:snapToGrid w:val="0"/>
        </w:rPr>
        <w:t>Conventions</w:t>
      </w:r>
      <w:bookmarkEnd w:id="26"/>
      <w:bookmarkEnd w:id="27"/>
      <w:bookmarkEnd w:id="28"/>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9" w:name="_Toc411342599"/>
      <w:bookmarkStart w:id="30" w:name="_Toc417555403"/>
      <w:bookmarkStart w:id="31" w:name="_Toc416878610"/>
      <w:r>
        <w:rPr>
          <w:rStyle w:val="CharSectno"/>
        </w:rPr>
        <w:t>10</w:t>
      </w:r>
      <w:r>
        <w:t>.</w:t>
      </w:r>
      <w:r>
        <w:tab/>
        <w:t>Fee for allocation of hearing dates etc. (Sch. 1 Div. 2 it. 5), when to be paid</w:t>
      </w:r>
      <w:bookmarkEnd w:id="29"/>
      <w:bookmarkEnd w:id="30"/>
      <w:bookmarkEnd w:id="31"/>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32" w:name="_Toc411342600"/>
      <w:bookmarkStart w:id="33" w:name="_Toc417555404"/>
      <w:bookmarkStart w:id="34" w:name="_Toc416878611"/>
      <w:r>
        <w:rPr>
          <w:rStyle w:val="CharSectno"/>
        </w:rPr>
        <w:t>11</w:t>
      </w:r>
      <w:r>
        <w:t>.</w:t>
      </w:r>
      <w:r>
        <w:tab/>
        <w:t>Half daily hearing fee (Sch. 1 Div. 2 it. 6)</w:t>
      </w:r>
      <w:bookmarkEnd w:id="32"/>
      <w:bookmarkEnd w:id="33"/>
      <w:bookmarkEnd w:id="3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35" w:name="_Toc411342601"/>
      <w:bookmarkStart w:id="36" w:name="_Toc417555405"/>
      <w:bookmarkStart w:id="37" w:name="_Toc416878612"/>
      <w:r>
        <w:rPr>
          <w:rStyle w:val="CharSectno"/>
        </w:rPr>
        <w:t>12</w:t>
      </w:r>
      <w:r>
        <w:t>.</w:t>
      </w:r>
      <w:r>
        <w:tab/>
        <w:t>Court information, fees for</w:t>
      </w:r>
      <w:bookmarkEnd w:id="35"/>
      <w:bookmarkEnd w:id="36"/>
      <w:bookmarkEnd w:id="37"/>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38" w:name="_Toc411342602"/>
      <w:bookmarkStart w:id="39" w:name="_Toc417555406"/>
      <w:bookmarkStart w:id="40" w:name="_Toc416878613"/>
      <w:r>
        <w:rPr>
          <w:rStyle w:val="CharSectno"/>
        </w:rPr>
        <w:t>13</w:t>
      </w:r>
      <w:r>
        <w:t>.</w:t>
      </w:r>
      <w:r>
        <w:tab/>
        <w:t>Disputes as to fees, determination of</w:t>
      </w:r>
      <w:bookmarkEnd w:id="38"/>
      <w:bookmarkEnd w:id="39"/>
      <w:bookmarkEnd w:id="40"/>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41" w:name="_Toc411342603"/>
      <w:bookmarkStart w:id="42" w:name="_Toc417555407"/>
      <w:bookmarkStart w:id="43" w:name="_Toc416878614"/>
      <w:r>
        <w:rPr>
          <w:rStyle w:val="CharSectno"/>
        </w:rPr>
        <w:t>14</w:t>
      </w:r>
      <w:r>
        <w:t>.</w:t>
      </w:r>
      <w:r>
        <w:tab/>
        <w:t>Unpaid fees, recovery of</w:t>
      </w:r>
      <w:bookmarkEnd w:id="41"/>
      <w:bookmarkEnd w:id="42"/>
      <w:bookmarkEnd w:id="43"/>
    </w:p>
    <w:p>
      <w:pPr>
        <w:pStyle w:val="Subsection"/>
      </w:pPr>
      <w:r>
        <w:tab/>
      </w:r>
      <w:r>
        <w:tab/>
        <w:t>Any unpaid fee is a debt due to the State and may be recovered by action in a court of competent jurisdiction.</w:t>
      </w:r>
    </w:p>
    <w:p>
      <w:pPr>
        <w:pStyle w:val="Heading5"/>
      </w:pPr>
      <w:bookmarkStart w:id="44" w:name="_Toc411342604"/>
      <w:bookmarkStart w:id="45" w:name="_Toc417555408"/>
      <w:bookmarkStart w:id="46" w:name="_Toc416878615"/>
      <w:r>
        <w:rPr>
          <w:rStyle w:val="CharSectno"/>
        </w:rPr>
        <w:t>15</w:t>
      </w:r>
      <w:r>
        <w:t>.</w:t>
      </w:r>
      <w:r>
        <w:tab/>
        <w:t>Transitional provisions</w:t>
      </w:r>
      <w:bookmarkEnd w:id="44"/>
      <w:bookmarkEnd w:id="45"/>
      <w:bookmarkEnd w:id="4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 w:name="_Toc391909112"/>
      <w:bookmarkStart w:id="48" w:name="_Toc411342605"/>
      <w:bookmarkStart w:id="49" w:name="_Toc416878590"/>
      <w:bookmarkStart w:id="50" w:name="_Toc416878616"/>
      <w:bookmarkStart w:id="51" w:name="_Toc417555262"/>
      <w:bookmarkStart w:id="52" w:name="_Toc417555409"/>
      <w:r>
        <w:rPr>
          <w:rStyle w:val="CharSchNo"/>
        </w:rPr>
        <w:t>Schedule 1</w:t>
      </w:r>
      <w:r>
        <w:t> — </w:t>
      </w:r>
      <w:r>
        <w:rPr>
          <w:rStyle w:val="CharSchText"/>
        </w:rPr>
        <w:t>Fees</w:t>
      </w:r>
      <w:bookmarkEnd w:id="47"/>
      <w:bookmarkEnd w:id="48"/>
      <w:bookmarkEnd w:id="49"/>
      <w:bookmarkEnd w:id="50"/>
      <w:bookmarkEnd w:id="51"/>
      <w:bookmarkEnd w:id="52"/>
    </w:p>
    <w:p>
      <w:pPr>
        <w:pStyle w:val="yShoulderClause"/>
      </w:pPr>
      <w:r>
        <w:t>[r. 4]</w:t>
      </w:r>
    </w:p>
    <w:p>
      <w:pPr>
        <w:pStyle w:val="yFootnoteheading"/>
      </w:pPr>
      <w:r>
        <w:tab/>
        <w:t>[Heading inserted in Gazette 4 Sep 2009 p. 3473.]</w:t>
      </w:r>
    </w:p>
    <w:p>
      <w:pPr>
        <w:pStyle w:val="yHeading3"/>
      </w:pPr>
      <w:bookmarkStart w:id="53" w:name="_Toc391909113"/>
      <w:bookmarkStart w:id="54" w:name="_Toc411342606"/>
      <w:bookmarkStart w:id="55" w:name="_Toc416878591"/>
      <w:bookmarkStart w:id="56" w:name="_Toc416878617"/>
      <w:bookmarkStart w:id="57" w:name="_Toc417555263"/>
      <w:bookmarkStart w:id="58" w:name="_Toc417555410"/>
      <w:r>
        <w:rPr>
          <w:rStyle w:val="CharSDivNo"/>
        </w:rPr>
        <w:t>Division 1</w:t>
      </w:r>
      <w:r>
        <w:t> — </w:t>
      </w:r>
      <w:r>
        <w:rPr>
          <w:rStyle w:val="CharSDivText"/>
        </w:rPr>
        <w:t>General</w:t>
      </w:r>
      <w:bookmarkEnd w:id="53"/>
      <w:bookmarkEnd w:id="54"/>
      <w:bookmarkEnd w:id="55"/>
      <w:bookmarkEnd w:id="56"/>
      <w:bookmarkEnd w:id="57"/>
      <w:bookmarkEnd w:id="58"/>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ind w:right="175"/>
              <w:jc w:val="right"/>
            </w:pPr>
            <w:r>
              <w:rPr>
                <w:szCs w:val="22"/>
              </w:rPr>
              <w:tab/>
              <w:t>56.50</w:t>
            </w:r>
          </w:p>
        </w:tc>
      </w:tr>
      <w:tr>
        <w:trPr>
          <w:cantSplit/>
        </w:trPr>
        <w:tc>
          <w:tcPr>
            <w:tcW w:w="6662"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1.45</w:t>
            </w:r>
          </w:p>
          <w:p>
            <w:pPr>
              <w:pStyle w:val="yTableNAm"/>
              <w:tabs>
                <w:tab w:val="clear" w:pos="567"/>
                <w:tab w:val="decimal" w:pos="585"/>
              </w:tabs>
              <w:ind w:right="175"/>
              <w:jc w:val="right"/>
            </w:pPr>
            <w:r>
              <w:rPr>
                <w:szCs w:val="22"/>
              </w:rPr>
              <w:br/>
              <w:t>1.60</w:t>
            </w:r>
          </w:p>
        </w:tc>
      </w:tr>
      <w:tr>
        <w:trPr>
          <w:cantSplit/>
        </w:trPr>
        <w:tc>
          <w:tcPr>
            <w:tcW w:w="6662"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ind w:right="175"/>
              <w:jc w:val="right"/>
              <w:rPr>
                <w:szCs w:val="22"/>
              </w:rPr>
            </w:pPr>
            <w:r>
              <w:br/>
            </w:r>
            <w:r>
              <w:br/>
            </w:r>
            <w:r>
              <w:br/>
            </w:r>
            <w:r>
              <w:rPr>
                <w:szCs w:val="22"/>
              </w:rPr>
              <w:t>32.70</w:t>
            </w:r>
          </w:p>
          <w:p>
            <w:pPr>
              <w:pStyle w:val="yTableNAm"/>
              <w:tabs>
                <w:tab w:val="clear" w:pos="567"/>
                <w:tab w:val="decimal" w:pos="585"/>
              </w:tabs>
              <w:ind w:right="175"/>
              <w:jc w:val="right"/>
              <w:rPr>
                <w:szCs w:val="22"/>
              </w:rPr>
            </w:pPr>
            <w:r>
              <w:rPr>
                <w:szCs w:val="22"/>
              </w:rPr>
              <w:br/>
            </w:r>
            <w:r>
              <w:rPr>
                <w:szCs w:val="22"/>
              </w:rPr>
              <w:br/>
              <w:t>32.70</w:t>
            </w:r>
          </w:p>
          <w:p>
            <w:pPr>
              <w:pStyle w:val="yTableNAm"/>
              <w:tabs>
                <w:tab w:val="clear" w:pos="567"/>
                <w:tab w:val="decimal" w:pos="585"/>
              </w:tabs>
              <w:ind w:right="175"/>
              <w:jc w:val="right"/>
            </w:pPr>
            <w:r>
              <w:rPr>
                <w:szCs w:val="22"/>
              </w:rPr>
              <w:br/>
              <w:t>81.00</w:t>
            </w:r>
          </w:p>
        </w:tc>
      </w:tr>
      <w:tr>
        <w:trPr>
          <w:cantSplit/>
        </w:trPr>
        <w:tc>
          <w:tcPr>
            <w:tcW w:w="6662"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ind w:right="175"/>
              <w:jc w:val="right"/>
            </w:pPr>
            <w:r>
              <w:br/>
            </w:r>
            <w:r>
              <w:br/>
            </w:r>
          </w:p>
          <w:p>
            <w:pPr>
              <w:pStyle w:val="yTableNAm"/>
              <w:tabs>
                <w:tab w:val="clear" w:pos="567"/>
                <w:tab w:val="decimal" w:pos="585"/>
              </w:tabs>
              <w:ind w:right="175"/>
              <w:jc w:val="right"/>
              <w:rPr>
                <w:szCs w:val="22"/>
              </w:rPr>
            </w:pPr>
            <w:r>
              <w:rPr>
                <w:szCs w:val="22"/>
              </w:rPr>
              <w:t>1.45</w:t>
            </w:r>
          </w:p>
          <w:p>
            <w:pPr>
              <w:pStyle w:val="yTableNAm"/>
              <w:tabs>
                <w:tab w:val="clear" w:pos="567"/>
                <w:tab w:val="left" w:pos="252"/>
                <w:tab w:val="decimal" w:pos="585"/>
              </w:tabs>
              <w:ind w:left="-99" w:right="175"/>
              <w:jc w:val="right"/>
            </w:pPr>
            <w:r>
              <w:rPr>
                <w:szCs w:val="22"/>
              </w:rPr>
              <w:br/>
              <w:t>47 057.00</w:t>
            </w:r>
          </w:p>
        </w:tc>
      </w:tr>
      <w:tr>
        <w:trPr>
          <w:cantSplit/>
        </w:trPr>
        <w:tc>
          <w:tcPr>
            <w:tcW w:w="6662"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ind w:right="175"/>
              <w:jc w:val="right"/>
            </w:pPr>
            <w:r>
              <w:br/>
            </w:r>
            <w:r>
              <w:br/>
            </w:r>
            <w:r>
              <w:br/>
            </w:r>
            <w:r>
              <w:rPr>
                <w:szCs w:val="22"/>
              </w:rPr>
              <w:t>48.10</w:t>
            </w:r>
          </w:p>
          <w:p>
            <w:pPr>
              <w:pStyle w:val="yTableNAm"/>
              <w:tabs>
                <w:tab w:val="clear" w:pos="567"/>
                <w:tab w:val="decimal" w:pos="585"/>
              </w:tabs>
              <w:ind w:right="175"/>
              <w:jc w:val="right"/>
            </w:pPr>
            <w:r>
              <w:br/>
            </w:r>
            <w:r>
              <w:br/>
            </w:r>
            <w:r>
              <w:br/>
            </w:r>
            <w:r>
              <w:br/>
            </w:r>
            <w:r>
              <w:br/>
            </w:r>
            <w:r>
              <w:rPr>
                <w:szCs w:val="22"/>
              </w:rPr>
              <w:t>81.00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11.40</w:t>
            </w:r>
          </w:p>
          <w:p>
            <w:pPr>
              <w:pStyle w:val="yTableNAm"/>
              <w:tabs>
                <w:tab w:val="clear" w:pos="567"/>
                <w:tab w:val="decimal" w:pos="585"/>
              </w:tabs>
              <w:ind w:right="175"/>
              <w:jc w:val="right"/>
              <w:rPr>
                <w:szCs w:val="22"/>
              </w:rPr>
            </w:pPr>
            <w:r>
              <w:rPr>
                <w:szCs w:val="22"/>
              </w:rPr>
              <w:br/>
              <w:t>1.45</w:t>
            </w:r>
          </w:p>
          <w:p>
            <w:pPr>
              <w:pStyle w:val="yTableNAm"/>
              <w:tabs>
                <w:tab w:val="clear" w:pos="567"/>
                <w:tab w:val="decimal" w:pos="585"/>
              </w:tabs>
              <w:ind w:right="175"/>
              <w:jc w:val="right"/>
            </w:pPr>
            <w:r>
              <w:rPr>
                <w:szCs w:val="22"/>
              </w:rPr>
              <w:br/>
              <w:t>15.75</w:t>
            </w:r>
          </w:p>
        </w:tc>
      </w:tr>
      <w:tr>
        <w:trPr>
          <w:cantSplit/>
        </w:trPr>
        <w:tc>
          <w:tcPr>
            <w:tcW w:w="6662" w:type="dxa"/>
            <w:gridSpan w:val="3"/>
          </w:tcPr>
          <w:p>
            <w:pPr>
              <w:pStyle w:val="yTableNAm"/>
              <w:ind w:right="175"/>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ind w:right="175"/>
              <w:jc w:val="right"/>
              <w:rPr>
                <w:szCs w:val="22"/>
              </w:rPr>
            </w:pPr>
            <w:r>
              <w:br/>
            </w:r>
            <w:r>
              <w:rPr>
                <w:szCs w:val="22"/>
              </w:rPr>
              <w:t>6.35</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15.75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662" w:type="dxa"/>
            <w:gridSpan w:val="3"/>
          </w:tcPr>
          <w:p>
            <w:pPr>
              <w:pStyle w:val="yTableNAm"/>
              <w:ind w:right="175"/>
            </w:pPr>
            <w:r>
              <w:t>NOTE 1</w:t>
            </w:r>
            <w:r>
              <w:br/>
              <w:t xml:space="preserve">A minimum fee of </w:t>
            </w:r>
            <w:r>
              <w:rPr>
                <w:szCs w:val="22"/>
              </w:rPr>
              <w:t xml:space="preserve">$22.60 </w:t>
            </w:r>
            <w:r>
              <w:t>is payable under item 8(a).</w:t>
            </w:r>
          </w:p>
        </w:tc>
      </w:tr>
      <w:tr>
        <w:trPr>
          <w:cantSplit/>
        </w:trPr>
        <w:tc>
          <w:tcPr>
            <w:tcW w:w="6662" w:type="dxa"/>
            <w:gridSpan w:val="3"/>
          </w:tcPr>
          <w:p>
            <w:pPr>
              <w:pStyle w:val="yTableNAm"/>
              <w:keepNext/>
              <w:ind w:right="175"/>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 15 Nov 2013 p. 5248-9; 27 Jun 2014 p. 2342-3.]</w:t>
      </w:r>
    </w:p>
    <w:p>
      <w:pPr>
        <w:pStyle w:val="yHeading3"/>
        <w:keepLines/>
      </w:pPr>
      <w:bookmarkStart w:id="59" w:name="_Toc391909114"/>
      <w:bookmarkStart w:id="60" w:name="_Toc411342607"/>
      <w:bookmarkStart w:id="61" w:name="_Toc416878592"/>
      <w:bookmarkStart w:id="62" w:name="_Toc416878618"/>
      <w:bookmarkStart w:id="63" w:name="_Toc417555264"/>
      <w:bookmarkStart w:id="64" w:name="_Toc417555411"/>
      <w:r>
        <w:rPr>
          <w:rStyle w:val="CharSDivNo"/>
        </w:rPr>
        <w:t>Division 2</w:t>
      </w:r>
      <w:r>
        <w:rPr>
          <w:b w:val="0"/>
        </w:rPr>
        <w:t> — </w:t>
      </w:r>
      <w:r>
        <w:rPr>
          <w:rStyle w:val="CharSDivText"/>
        </w:rPr>
        <w:t>Civil jurisdiction</w:t>
      </w:r>
      <w:bookmarkEnd w:id="59"/>
      <w:bookmarkEnd w:id="60"/>
      <w:bookmarkEnd w:id="61"/>
      <w:bookmarkEnd w:id="62"/>
      <w:bookmarkEnd w:id="63"/>
      <w:bookmarkEnd w:id="64"/>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94.50</w:t>
            </w:r>
          </w:p>
        </w:tc>
        <w:tc>
          <w:tcPr>
            <w:tcW w:w="806" w:type="dxa"/>
            <w:tcBorders>
              <w:top w:val="single" w:sz="4" w:space="0" w:color="auto"/>
            </w:tcBorders>
            <w:vAlign w:val="bottom"/>
          </w:tcPr>
          <w:p>
            <w:pPr>
              <w:pStyle w:val="yTableNAm"/>
              <w:keepNext/>
              <w:keepLines/>
              <w:jc w:val="center"/>
              <w:rPr>
                <w:sz w:val="18"/>
                <w:szCs w:val="18"/>
              </w:rPr>
            </w:pPr>
            <w:r>
              <w:rPr>
                <w:sz w:val="18"/>
                <w:szCs w:val="18"/>
              </w:rPr>
              <w:t>184.00</w:t>
            </w:r>
          </w:p>
        </w:tc>
        <w:tc>
          <w:tcPr>
            <w:tcW w:w="850" w:type="dxa"/>
            <w:tcBorders>
              <w:top w:val="single" w:sz="4" w:space="0" w:color="auto"/>
            </w:tcBorders>
            <w:vAlign w:val="bottom"/>
          </w:tcPr>
          <w:p>
            <w:pPr>
              <w:pStyle w:val="yTableNAm"/>
              <w:keepNext/>
              <w:keepLines/>
              <w:jc w:val="center"/>
              <w:rPr>
                <w:sz w:val="18"/>
                <w:szCs w:val="18"/>
              </w:rPr>
            </w:pPr>
            <w:r>
              <w:rPr>
                <w:sz w:val="18"/>
                <w:szCs w:val="18"/>
              </w:rPr>
              <w:t>240.00</w:t>
            </w:r>
          </w:p>
        </w:tc>
        <w:tc>
          <w:tcPr>
            <w:tcW w:w="851" w:type="dxa"/>
            <w:tcBorders>
              <w:top w:val="single" w:sz="4" w:space="0" w:color="auto"/>
            </w:tcBorders>
            <w:vAlign w:val="bottom"/>
          </w:tcPr>
          <w:p>
            <w:pPr>
              <w:pStyle w:val="yTableNAm"/>
              <w:keepNext/>
              <w:keepLines/>
              <w:jc w:val="center"/>
              <w:rPr>
                <w:sz w:val="18"/>
                <w:szCs w:val="18"/>
              </w:rPr>
            </w:pPr>
            <w:r>
              <w:rPr>
                <w:sz w:val="18"/>
                <w:szCs w:val="18"/>
              </w:rPr>
              <w:t>470.00</w:t>
            </w:r>
          </w:p>
        </w:tc>
        <w:tc>
          <w:tcPr>
            <w:tcW w:w="850" w:type="dxa"/>
            <w:tcBorders>
              <w:top w:val="single" w:sz="4" w:space="0" w:color="auto"/>
            </w:tcBorders>
            <w:vAlign w:val="bottom"/>
          </w:tcPr>
          <w:p>
            <w:pPr>
              <w:pStyle w:val="yTableNAm"/>
              <w:keepNext/>
              <w:keepLines/>
              <w:jc w:val="center"/>
              <w:rPr>
                <w:sz w:val="18"/>
                <w:szCs w:val="18"/>
              </w:rPr>
            </w:pPr>
            <w:r>
              <w:rPr>
                <w:sz w:val="18"/>
                <w:szCs w:val="18"/>
              </w:rPr>
              <w:t>383.00</w:t>
            </w:r>
          </w:p>
        </w:tc>
        <w:tc>
          <w:tcPr>
            <w:tcW w:w="851" w:type="dxa"/>
            <w:tcBorders>
              <w:top w:val="single" w:sz="4" w:space="0" w:color="auto"/>
            </w:tcBorders>
            <w:vAlign w:val="bottom"/>
          </w:tcPr>
          <w:p>
            <w:pPr>
              <w:pStyle w:val="yTableNAm"/>
              <w:keepNext/>
              <w:keepLines/>
              <w:jc w:val="center"/>
              <w:rPr>
                <w:sz w:val="18"/>
                <w:szCs w:val="18"/>
              </w:rPr>
            </w:pPr>
            <w:r>
              <w:rPr>
                <w:sz w:val="18"/>
                <w:szCs w:val="18"/>
              </w:rPr>
              <w:t>745.00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61.00</w:t>
            </w:r>
          </w:p>
        </w:tc>
        <w:tc>
          <w:tcPr>
            <w:tcW w:w="851" w:type="dxa"/>
            <w:gridSpan w:val="2"/>
            <w:vAlign w:val="bottom"/>
          </w:tcPr>
          <w:p>
            <w:pPr>
              <w:pStyle w:val="yTableNAm"/>
              <w:jc w:val="center"/>
              <w:rPr>
                <w:sz w:val="18"/>
                <w:szCs w:val="18"/>
              </w:rPr>
            </w:pPr>
            <w:r>
              <w:rPr>
                <w:sz w:val="18"/>
                <w:szCs w:val="18"/>
              </w:rPr>
              <w:t>119.50</w:t>
            </w:r>
          </w:p>
        </w:tc>
        <w:tc>
          <w:tcPr>
            <w:tcW w:w="850" w:type="dxa"/>
            <w:vAlign w:val="bottom"/>
          </w:tcPr>
          <w:p>
            <w:pPr>
              <w:pStyle w:val="yTableNAm"/>
              <w:jc w:val="center"/>
              <w:rPr>
                <w:sz w:val="18"/>
                <w:szCs w:val="18"/>
              </w:rPr>
            </w:pPr>
            <w:r>
              <w:rPr>
                <w:sz w:val="18"/>
                <w:szCs w:val="18"/>
              </w:rPr>
              <w:t>112.00</w:t>
            </w:r>
          </w:p>
        </w:tc>
        <w:tc>
          <w:tcPr>
            <w:tcW w:w="851" w:type="dxa"/>
            <w:vAlign w:val="bottom"/>
          </w:tcPr>
          <w:p>
            <w:pPr>
              <w:pStyle w:val="yTableNAm"/>
              <w:jc w:val="center"/>
              <w:rPr>
                <w:sz w:val="18"/>
                <w:szCs w:val="18"/>
              </w:rPr>
            </w:pPr>
            <w:r>
              <w:rPr>
                <w:sz w:val="18"/>
                <w:szCs w:val="18"/>
              </w:rPr>
              <w:t>186.00</w:t>
            </w:r>
          </w:p>
        </w:tc>
        <w:tc>
          <w:tcPr>
            <w:tcW w:w="850" w:type="dxa"/>
            <w:vAlign w:val="bottom"/>
          </w:tcPr>
          <w:p>
            <w:pPr>
              <w:pStyle w:val="yTableNAm"/>
              <w:jc w:val="center"/>
              <w:rPr>
                <w:sz w:val="18"/>
                <w:szCs w:val="18"/>
              </w:rPr>
            </w:pPr>
            <w:r>
              <w:rPr>
                <w:sz w:val="18"/>
                <w:szCs w:val="18"/>
              </w:rPr>
              <w:t>178.50</w:t>
            </w:r>
          </w:p>
        </w:tc>
        <w:tc>
          <w:tcPr>
            <w:tcW w:w="851" w:type="dxa"/>
            <w:vAlign w:val="bottom"/>
          </w:tcPr>
          <w:p>
            <w:pPr>
              <w:pStyle w:val="yTableNAm"/>
              <w:jc w:val="center"/>
              <w:rPr>
                <w:sz w:val="18"/>
                <w:szCs w:val="18"/>
              </w:rPr>
            </w:pPr>
            <w:r>
              <w:rPr>
                <w:sz w:val="18"/>
                <w:szCs w:val="18"/>
              </w:rPr>
              <w:t>298.00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31.50</w:t>
            </w:r>
          </w:p>
        </w:tc>
        <w:tc>
          <w:tcPr>
            <w:tcW w:w="851" w:type="dxa"/>
            <w:gridSpan w:val="2"/>
          </w:tcPr>
          <w:p>
            <w:pPr>
              <w:pStyle w:val="yTableNAm"/>
              <w:jc w:val="center"/>
              <w:rPr>
                <w:sz w:val="18"/>
              </w:rPr>
            </w:pPr>
            <w:r>
              <w:rPr>
                <w:sz w:val="18"/>
              </w:rPr>
              <w:br/>
            </w:r>
            <w:r>
              <w:rPr>
                <w:sz w:val="18"/>
                <w:szCs w:val="18"/>
              </w:rPr>
              <w:t>81.00</w:t>
            </w:r>
          </w:p>
        </w:tc>
        <w:tc>
          <w:tcPr>
            <w:tcW w:w="850" w:type="dxa"/>
          </w:tcPr>
          <w:p>
            <w:pPr>
              <w:pStyle w:val="yTableNAm"/>
              <w:jc w:val="center"/>
              <w:rPr>
                <w:sz w:val="18"/>
              </w:rPr>
            </w:pPr>
            <w:r>
              <w:rPr>
                <w:sz w:val="18"/>
              </w:rPr>
              <w:br/>
            </w:r>
            <w:r>
              <w:rPr>
                <w:sz w:val="18"/>
                <w:szCs w:val="18"/>
              </w:rPr>
              <w:t>47.50</w:t>
            </w:r>
          </w:p>
        </w:tc>
        <w:tc>
          <w:tcPr>
            <w:tcW w:w="851" w:type="dxa"/>
          </w:tcPr>
          <w:p>
            <w:pPr>
              <w:pStyle w:val="yTableNAm"/>
              <w:jc w:val="center"/>
              <w:rPr>
                <w:sz w:val="18"/>
              </w:rPr>
            </w:pPr>
            <w:r>
              <w:rPr>
                <w:sz w:val="18"/>
              </w:rPr>
              <w:br/>
            </w:r>
            <w:r>
              <w:rPr>
                <w:sz w:val="18"/>
                <w:szCs w:val="18"/>
              </w:rPr>
              <w:t>123.50</w:t>
            </w:r>
          </w:p>
        </w:tc>
        <w:tc>
          <w:tcPr>
            <w:tcW w:w="850" w:type="dxa"/>
          </w:tcPr>
          <w:p>
            <w:pPr>
              <w:pStyle w:val="yTableNAm"/>
              <w:jc w:val="center"/>
              <w:rPr>
                <w:sz w:val="18"/>
              </w:rPr>
            </w:pPr>
            <w:r>
              <w:rPr>
                <w:sz w:val="18"/>
              </w:rPr>
              <w:br/>
            </w:r>
            <w:r>
              <w:rPr>
                <w:sz w:val="18"/>
                <w:szCs w:val="18"/>
              </w:rPr>
              <w:t>63.50</w:t>
            </w:r>
          </w:p>
        </w:tc>
        <w:tc>
          <w:tcPr>
            <w:tcW w:w="851" w:type="dxa"/>
          </w:tcPr>
          <w:p>
            <w:pPr>
              <w:pStyle w:val="yTableNAm"/>
              <w:jc w:val="center"/>
              <w:rPr>
                <w:sz w:val="18"/>
              </w:rPr>
            </w:pPr>
            <w:r>
              <w:rPr>
                <w:sz w:val="18"/>
              </w:rPr>
              <w:br/>
            </w:r>
            <w:r>
              <w:rPr>
                <w:sz w:val="18"/>
                <w:szCs w:val="18"/>
              </w:rPr>
              <w:t>165.50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149.50</w:t>
            </w:r>
          </w:p>
        </w:tc>
        <w:tc>
          <w:tcPr>
            <w:tcW w:w="851" w:type="dxa"/>
            <w:gridSpan w:val="2"/>
          </w:tcPr>
          <w:p>
            <w:pPr>
              <w:pStyle w:val="yTableNAm"/>
              <w:jc w:val="center"/>
              <w:rPr>
                <w:sz w:val="18"/>
              </w:rPr>
            </w:pPr>
            <w:r>
              <w:rPr>
                <w:sz w:val="18"/>
              </w:rPr>
              <w:br/>
            </w:r>
            <w:r>
              <w:rPr>
                <w:sz w:val="18"/>
                <w:szCs w:val="18"/>
              </w:rPr>
              <w:t>290.00</w:t>
            </w:r>
          </w:p>
        </w:tc>
        <w:tc>
          <w:tcPr>
            <w:tcW w:w="850" w:type="dxa"/>
          </w:tcPr>
          <w:p>
            <w:pPr>
              <w:pStyle w:val="yTableNAm"/>
              <w:jc w:val="center"/>
              <w:rPr>
                <w:sz w:val="18"/>
              </w:rPr>
            </w:pPr>
            <w:r>
              <w:rPr>
                <w:sz w:val="18"/>
              </w:rPr>
              <w:br/>
            </w:r>
            <w:r>
              <w:rPr>
                <w:sz w:val="18"/>
                <w:szCs w:val="18"/>
              </w:rPr>
              <w:t>272.00</w:t>
            </w:r>
          </w:p>
        </w:tc>
        <w:tc>
          <w:tcPr>
            <w:tcW w:w="851" w:type="dxa"/>
          </w:tcPr>
          <w:p>
            <w:pPr>
              <w:pStyle w:val="yTableNAm"/>
              <w:jc w:val="center"/>
              <w:rPr>
                <w:sz w:val="18"/>
              </w:rPr>
            </w:pPr>
            <w:r>
              <w:rPr>
                <w:sz w:val="18"/>
              </w:rPr>
              <w:br/>
            </w:r>
            <w:r>
              <w:rPr>
                <w:sz w:val="18"/>
                <w:szCs w:val="18"/>
              </w:rPr>
              <w:t>525.00</w:t>
            </w:r>
          </w:p>
        </w:tc>
        <w:tc>
          <w:tcPr>
            <w:tcW w:w="850" w:type="dxa"/>
          </w:tcPr>
          <w:p>
            <w:pPr>
              <w:pStyle w:val="yTableNAm"/>
              <w:jc w:val="center"/>
              <w:rPr>
                <w:sz w:val="18"/>
              </w:rPr>
            </w:pPr>
            <w:r>
              <w:rPr>
                <w:sz w:val="18"/>
              </w:rPr>
              <w:br/>
            </w:r>
            <w:r>
              <w:rPr>
                <w:sz w:val="18"/>
                <w:szCs w:val="18"/>
              </w:rPr>
              <w:t>302.00</w:t>
            </w:r>
          </w:p>
        </w:tc>
        <w:tc>
          <w:tcPr>
            <w:tcW w:w="851" w:type="dxa"/>
          </w:tcPr>
          <w:p>
            <w:pPr>
              <w:pStyle w:val="yTableNAm"/>
              <w:jc w:val="center"/>
              <w:rPr>
                <w:sz w:val="18"/>
              </w:rPr>
            </w:pPr>
            <w:r>
              <w:rPr>
                <w:sz w:val="18"/>
              </w:rPr>
              <w:br/>
            </w:r>
            <w:r>
              <w:rPr>
                <w:sz w:val="18"/>
                <w:szCs w:val="18"/>
              </w:rPr>
              <w:t>586.00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86.00</w:t>
            </w:r>
          </w:p>
        </w:tc>
        <w:tc>
          <w:tcPr>
            <w:tcW w:w="851" w:type="dxa"/>
            <w:gridSpan w:val="2"/>
            <w:vAlign w:val="bottom"/>
          </w:tcPr>
          <w:p>
            <w:pPr>
              <w:pStyle w:val="yTableNAm"/>
              <w:jc w:val="center"/>
              <w:rPr>
                <w:sz w:val="18"/>
              </w:rPr>
            </w:pPr>
            <w:r>
              <w:rPr>
                <w:sz w:val="18"/>
                <w:szCs w:val="18"/>
              </w:rPr>
              <w:t>225.00</w:t>
            </w:r>
          </w:p>
        </w:tc>
        <w:tc>
          <w:tcPr>
            <w:tcW w:w="850" w:type="dxa"/>
            <w:vAlign w:val="bottom"/>
          </w:tcPr>
          <w:p>
            <w:pPr>
              <w:pStyle w:val="yTableNAm"/>
              <w:jc w:val="center"/>
              <w:rPr>
                <w:sz w:val="18"/>
              </w:rPr>
            </w:pPr>
            <w:r>
              <w:rPr>
                <w:sz w:val="18"/>
                <w:szCs w:val="18"/>
              </w:rPr>
              <w:t>151.50</w:t>
            </w:r>
          </w:p>
        </w:tc>
        <w:tc>
          <w:tcPr>
            <w:tcW w:w="851" w:type="dxa"/>
            <w:vAlign w:val="bottom"/>
          </w:tcPr>
          <w:p>
            <w:pPr>
              <w:pStyle w:val="yTableNAm"/>
              <w:jc w:val="center"/>
              <w:rPr>
                <w:sz w:val="18"/>
              </w:rPr>
            </w:pPr>
            <w:r>
              <w:rPr>
                <w:sz w:val="18"/>
                <w:szCs w:val="18"/>
              </w:rPr>
              <w:t>393.00</w:t>
            </w:r>
          </w:p>
        </w:tc>
        <w:tc>
          <w:tcPr>
            <w:tcW w:w="850" w:type="dxa"/>
            <w:vAlign w:val="bottom"/>
          </w:tcPr>
          <w:p>
            <w:pPr>
              <w:pStyle w:val="yTableNAm"/>
              <w:jc w:val="center"/>
              <w:rPr>
                <w:sz w:val="18"/>
              </w:rPr>
            </w:pPr>
            <w:r>
              <w:rPr>
                <w:sz w:val="18"/>
                <w:szCs w:val="18"/>
              </w:rPr>
              <w:t>216.00</w:t>
            </w:r>
          </w:p>
        </w:tc>
        <w:tc>
          <w:tcPr>
            <w:tcW w:w="851" w:type="dxa"/>
            <w:vAlign w:val="bottom"/>
          </w:tcPr>
          <w:p>
            <w:pPr>
              <w:pStyle w:val="yTableNAm"/>
              <w:jc w:val="center"/>
              <w:rPr>
                <w:sz w:val="18"/>
              </w:rPr>
            </w:pPr>
            <w:r>
              <w:rPr>
                <w:sz w:val="18"/>
                <w:szCs w:val="18"/>
              </w:rPr>
              <w:t>560.00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86.00</w:t>
            </w:r>
          </w:p>
        </w:tc>
        <w:tc>
          <w:tcPr>
            <w:tcW w:w="851" w:type="dxa"/>
            <w:gridSpan w:val="2"/>
            <w:vAlign w:val="bottom"/>
          </w:tcPr>
          <w:p>
            <w:pPr>
              <w:pStyle w:val="yTableNAm"/>
              <w:keepNext/>
              <w:jc w:val="center"/>
              <w:rPr>
                <w:sz w:val="18"/>
              </w:rPr>
            </w:pPr>
            <w:r>
              <w:rPr>
                <w:sz w:val="18"/>
                <w:szCs w:val="18"/>
              </w:rPr>
              <w:t>225.00</w:t>
            </w:r>
          </w:p>
        </w:tc>
        <w:tc>
          <w:tcPr>
            <w:tcW w:w="850" w:type="dxa"/>
            <w:vAlign w:val="bottom"/>
          </w:tcPr>
          <w:p>
            <w:pPr>
              <w:pStyle w:val="yTableNAm"/>
              <w:keepNext/>
              <w:jc w:val="center"/>
              <w:rPr>
                <w:sz w:val="18"/>
              </w:rPr>
            </w:pPr>
            <w:r>
              <w:rPr>
                <w:sz w:val="18"/>
                <w:szCs w:val="18"/>
              </w:rPr>
              <w:t>151.50</w:t>
            </w:r>
          </w:p>
        </w:tc>
        <w:tc>
          <w:tcPr>
            <w:tcW w:w="851" w:type="dxa"/>
            <w:vAlign w:val="bottom"/>
          </w:tcPr>
          <w:p>
            <w:pPr>
              <w:pStyle w:val="yTableNAm"/>
              <w:keepNext/>
              <w:jc w:val="center"/>
              <w:rPr>
                <w:sz w:val="18"/>
              </w:rPr>
            </w:pPr>
            <w:r>
              <w:rPr>
                <w:sz w:val="18"/>
                <w:szCs w:val="18"/>
              </w:rPr>
              <w:t>393.00</w:t>
            </w:r>
          </w:p>
        </w:tc>
        <w:tc>
          <w:tcPr>
            <w:tcW w:w="850" w:type="dxa"/>
            <w:vAlign w:val="bottom"/>
          </w:tcPr>
          <w:p>
            <w:pPr>
              <w:pStyle w:val="yTableNAm"/>
              <w:keepNext/>
              <w:jc w:val="center"/>
              <w:rPr>
                <w:sz w:val="18"/>
              </w:rPr>
            </w:pPr>
            <w:r>
              <w:rPr>
                <w:sz w:val="18"/>
                <w:szCs w:val="18"/>
              </w:rPr>
              <w:t>216.00</w:t>
            </w:r>
          </w:p>
        </w:tc>
        <w:tc>
          <w:tcPr>
            <w:tcW w:w="851" w:type="dxa"/>
            <w:vAlign w:val="bottom"/>
          </w:tcPr>
          <w:p>
            <w:pPr>
              <w:pStyle w:val="yTableNAm"/>
              <w:keepNext/>
              <w:jc w:val="center"/>
              <w:rPr>
                <w:sz w:val="18"/>
              </w:rPr>
            </w:pPr>
            <w:r>
              <w:rPr>
                <w:sz w:val="18"/>
                <w:szCs w:val="18"/>
              </w:rPr>
              <w:t>560.00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79.00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153.00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95.00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184.00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128.00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251.00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79.00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153.00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95.00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184.00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128.00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251.00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102.50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102.50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27.20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w:t>
            </w:r>
            <w:del w:id="65" w:author="Master Repository Process" w:date="2021-08-29T10:46:00Z">
              <w:r>
                <w:rPr>
                  <w:i/>
                  <w:sz w:val="18"/>
                </w:rPr>
                <w:delText>Act 1974</w:delText>
              </w:r>
            </w:del>
            <w:ins w:id="66" w:author="Master Repository Process" w:date="2021-08-29T10:46:00Z">
              <w:r>
                <w:rPr>
                  <w:i/>
                  <w:sz w:val="18"/>
                </w:rPr>
                <w:t xml:space="preserve">(Authorisation to Drive) Act 2008 </w:t>
              </w:r>
              <w:r>
                <w:rPr>
                  <w:sz w:val="18"/>
                </w:rPr>
                <w:t>section 27</w:t>
              </w:r>
            </w:ins>
          </w:p>
        </w:tc>
        <w:tc>
          <w:tcPr>
            <w:tcW w:w="1088" w:type="dxa"/>
          </w:tcPr>
          <w:p>
            <w:pPr>
              <w:pStyle w:val="yTableNAm"/>
              <w:tabs>
                <w:tab w:val="clear" w:pos="567"/>
              </w:tabs>
              <w:ind w:right="191"/>
              <w:jc w:val="right"/>
              <w:rPr>
                <w:sz w:val="18"/>
              </w:rPr>
            </w:pPr>
            <w:r>
              <w:rPr>
                <w:sz w:val="18"/>
              </w:rPr>
              <w:br/>
              <w:t>162.50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94.00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w:t>
      </w:r>
      <w:ins w:id="67" w:author="Master Repository Process" w:date="2021-08-29T10:46:00Z">
        <w:r>
          <w:t>; 10 Feb 2015 p. 613</w:t>
        </w:r>
      </w:ins>
      <w:r>
        <w:t>.]</w:t>
      </w:r>
    </w:p>
    <w:p>
      <w:pPr>
        <w:pStyle w:val="yHeading3"/>
      </w:pPr>
      <w:bookmarkStart w:id="68" w:name="_Toc391909115"/>
      <w:bookmarkStart w:id="69" w:name="_Toc411342608"/>
      <w:bookmarkStart w:id="70" w:name="_Toc416878593"/>
      <w:bookmarkStart w:id="71" w:name="_Toc416878619"/>
      <w:bookmarkStart w:id="72" w:name="_Toc417555265"/>
      <w:bookmarkStart w:id="73" w:name="_Toc417555412"/>
      <w:r>
        <w:rPr>
          <w:rStyle w:val="CharSDivNo"/>
        </w:rPr>
        <w:t>Division 3</w:t>
      </w:r>
      <w:r>
        <w:rPr>
          <w:b w:val="0"/>
        </w:rPr>
        <w:t> — </w:t>
      </w:r>
      <w:r>
        <w:rPr>
          <w:rStyle w:val="CharSDivText"/>
        </w:rPr>
        <w:t>Criminal jurisdiction</w:t>
      </w:r>
      <w:bookmarkEnd w:id="68"/>
      <w:bookmarkEnd w:id="69"/>
      <w:bookmarkEnd w:id="70"/>
      <w:bookmarkEnd w:id="71"/>
      <w:bookmarkEnd w:id="72"/>
      <w:bookmarkEnd w:id="73"/>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79.00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15.10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79.00</w:t>
            </w:r>
          </w:p>
          <w:p>
            <w:pPr>
              <w:pStyle w:val="yTableNAm"/>
              <w:jc w:val="center"/>
            </w:pPr>
            <w:r>
              <w:rPr>
                <w:szCs w:val="22"/>
              </w:rPr>
              <w:t>102.50</w:t>
            </w:r>
          </w:p>
        </w:tc>
      </w:tr>
    </w:tbl>
    <w:p>
      <w:pPr>
        <w:pStyle w:val="yFootnotesection"/>
      </w:pPr>
      <w:r>
        <w:tab/>
        <w:t>[Division 3 inserted in Gazette 4 Sep 2009 p. 3478</w:t>
      </w:r>
      <w:r>
        <w:noBreakHyphen/>
        <w:t>9; amended in Gazette 8 Mar 2011 p. 790; 17 Jan 2012 p. 465; 30 Nov 2012 p. 5793; 15 Nov 2013 p. 5250; 27 Jun 2014 p. 2344.]</w:t>
      </w:r>
    </w:p>
    <w:p>
      <w:pPr>
        <w:sectPr>
          <w:headerReference w:type="even" r:id="rId21"/>
          <w:headerReference w:type="default" r:id="rId22"/>
          <w:endnotePr>
            <w:numFmt w:val="decimal"/>
          </w:endnotePr>
          <w:pgSz w:w="11907" w:h="16840" w:code="9"/>
          <w:pgMar w:top="1809" w:right="2405" w:bottom="3542" w:left="2405" w:header="706" w:footer="3380" w:gutter="0"/>
          <w:cols w:space="720"/>
          <w:noEndnote/>
          <w:docGrid w:linePitch="326"/>
        </w:sectPr>
      </w:pPr>
    </w:p>
    <w:p>
      <w:pPr>
        <w:pStyle w:val="yScheduleHeading"/>
      </w:pPr>
      <w:bookmarkStart w:id="75" w:name="_Toc391909116"/>
      <w:bookmarkStart w:id="76" w:name="_Toc411342609"/>
      <w:bookmarkStart w:id="77" w:name="_Toc416878594"/>
      <w:bookmarkStart w:id="78" w:name="_Toc416878620"/>
      <w:bookmarkStart w:id="79" w:name="_Toc417555266"/>
      <w:bookmarkStart w:id="80" w:name="_Toc417555413"/>
      <w:r>
        <w:rPr>
          <w:rStyle w:val="CharSchNo"/>
        </w:rPr>
        <w:t>Schedule 2</w:t>
      </w:r>
      <w:r>
        <w:rPr>
          <w:rStyle w:val="CharSDivNo"/>
        </w:rPr>
        <w:t> </w:t>
      </w:r>
      <w:r>
        <w:t>—</w:t>
      </w:r>
      <w:r>
        <w:rPr>
          <w:rStyle w:val="CharSDivText"/>
        </w:rPr>
        <w:t> </w:t>
      </w:r>
      <w:r>
        <w:rPr>
          <w:rStyle w:val="CharSchText"/>
        </w:rPr>
        <w:t>Forms</w:t>
      </w:r>
      <w:bookmarkEnd w:id="75"/>
      <w:bookmarkEnd w:id="76"/>
      <w:bookmarkEnd w:id="77"/>
      <w:bookmarkEnd w:id="78"/>
      <w:bookmarkEnd w:id="79"/>
      <w:bookmarkEnd w:id="80"/>
    </w:p>
    <w:p>
      <w:pPr>
        <w:pStyle w:val="yShoulderClause"/>
      </w:pPr>
      <w:r>
        <w:t>[r. 4(6), 8(6), 13(2)]</w:t>
      </w:r>
    </w:p>
    <w:p>
      <w:pPr>
        <w:pStyle w:val="yHeading5"/>
        <w:spacing w:after="120"/>
      </w:pPr>
      <w:bookmarkStart w:id="81" w:name="_Toc411342610"/>
      <w:bookmarkStart w:id="82" w:name="_Toc417555414"/>
      <w:bookmarkStart w:id="83" w:name="_Toc416878621"/>
      <w:r>
        <w:rPr>
          <w:rStyle w:val="CharSClsNo"/>
        </w:rPr>
        <w:t>1</w:t>
      </w:r>
      <w:r>
        <w:t>.</w:t>
      </w:r>
      <w:r>
        <w:tab/>
        <w:t>Declaration that a person is a small business or a non</w:t>
      </w:r>
      <w:r>
        <w:noBreakHyphen/>
        <w:t>profit association</w:t>
      </w:r>
      <w:bookmarkEnd w:id="81"/>
      <w:bookmarkEnd w:id="82"/>
      <w:bookmarkEnd w:id="8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84" w:name="_Toc411342611"/>
      <w:bookmarkStart w:id="85" w:name="_Toc417555415"/>
      <w:bookmarkStart w:id="86" w:name="_Toc416878622"/>
      <w:r>
        <w:rPr>
          <w:rStyle w:val="CharSClsNo"/>
        </w:rPr>
        <w:t>2</w:t>
      </w:r>
      <w:r>
        <w:t>.</w:t>
      </w:r>
      <w:r>
        <w:tab/>
        <w:t>Application to remit fees</w:t>
      </w:r>
      <w:bookmarkEnd w:id="84"/>
      <w:bookmarkEnd w:id="85"/>
      <w:bookmarkEnd w:id="8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87" w:name="_Toc411342612"/>
      <w:bookmarkStart w:id="88" w:name="_Toc417555416"/>
      <w:bookmarkStart w:id="89" w:name="_Toc416878623"/>
      <w:r>
        <w:rPr>
          <w:rStyle w:val="CharSClsNo"/>
        </w:rPr>
        <w:t>3</w:t>
      </w:r>
      <w:r>
        <w:t>.</w:t>
      </w:r>
      <w:r>
        <w:tab/>
        <w:t>Application for determination of dispute about fees</w:t>
      </w:r>
      <w:bookmarkEnd w:id="87"/>
      <w:bookmarkEnd w:id="88"/>
      <w:bookmarkEnd w:id="8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90" w:name="_Toc391909120"/>
      <w:bookmarkStart w:id="91" w:name="_Toc411342613"/>
      <w:bookmarkStart w:id="92" w:name="_Toc416878598"/>
      <w:bookmarkStart w:id="93" w:name="_Toc416878624"/>
      <w:bookmarkStart w:id="94" w:name="_Toc417555270"/>
      <w:bookmarkStart w:id="95" w:name="_Toc417555417"/>
      <w:r>
        <w:t>Notes</w:t>
      </w:r>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w:t>
      </w:r>
      <w:del w:id="96" w:author="Master Repository Process" w:date="2021-08-29T10:4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97" w:name="_Toc411342614"/>
      <w:bookmarkStart w:id="98" w:name="_Toc417555418"/>
      <w:bookmarkStart w:id="99" w:name="_Toc416878625"/>
      <w:r>
        <w:t>Compilation table</w:t>
      </w:r>
      <w:bookmarkEnd w:id="97"/>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2</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c>
          <w:tcPr>
            <w:tcW w:w="3118" w:type="dxa"/>
          </w:tcPr>
          <w:p>
            <w:pPr>
              <w:pStyle w:val="nTable"/>
              <w:keepNext/>
              <w:spacing w:after="40"/>
              <w:rPr>
                <w:rFonts w:ascii="Times" w:hAnsi="Times"/>
                <w:i/>
              </w:rPr>
            </w:pPr>
            <w:r>
              <w:rPr>
                <w:rFonts w:ascii="Times" w:hAnsi="Times"/>
                <w:i/>
              </w:rPr>
              <w:t>Magistrates Court (Fees) Amendment Regulations (No. 3) 2014</w:t>
            </w:r>
          </w:p>
        </w:tc>
        <w:tc>
          <w:tcPr>
            <w:tcW w:w="1276" w:type="dxa"/>
          </w:tcPr>
          <w:p>
            <w:pPr>
              <w:pStyle w:val="nTable"/>
              <w:keepNext/>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bl>
    <w:p>
      <w:pPr>
        <w:pStyle w:val="nSubsection"/>
        <w:tabs>
          <w:tab w:val="clear" w:pos="454"/>
          <w:tab w:val="left" w:pos="567"/>
        </w:tabs>
        <w:spacing w:before="120"/>
        <w:ind w:left="567" w:hanging="567"/>
        <w:rPr>
          <w:del w:id="100" w:author="Master Repository Process" w:date="2021-08-29T10:46:00Z"/>
          <w:snapToGrid w:val="0"/>
        </w:rPr>
      </w:pPr>
      <w:del w:id="101" w:author="Master Repository Process" w:date="2021-08-29T10: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 w:author="Master Repository Process" w:date="2021-08-29T10:46:00Z"/>
        </w:rPr>
      </w:pPr>
      <w:bookmarkStart w:id="103" w:name="_Toc7405065"/>
      <w:bookmarkStart w:id="104" w:name="_Toc411342615"/>
      <w:bookmarkStart w:id="105" w:name="_Toc416878626"/>
      <w:del w:id="106" w:author="Master Repository Process" w:date="2021-08-29T10:46:00Z">
        <w:r>
          <w:delText>Provisions that have not come into operation</w:delText>
        </w:r>
        <w:bookmarkEnd w:id="103"/>
        <w:bookmarkEnd w:id="104"/>
        <w:bookmarkEnd w:id="105"/>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07" w:author="Master Repository Process" w:date="2021-08-29T10:46:00Z"/>
        </w:trPr>
        <w:tc>
          <w:tcPr>
            <w:tcW w:w="3118" w:type="dxa"/>
            <w:tcBorders>
              <w:top w:val="single" w:sz="8" w:space="0" w:color="auto"/>
              <w:bottom w:val="single" w:sz="8" w:space="0" w:color="auto"/>
            </w:tcBorders>
          </w:tcPr>
          <w:p>
            <w:pPr>
              <w:pStyle w:val="nTable"/>
              <w:spacing w:after="40"/>
              <w:rPr>
                <w:del w:id="108" w:author="Master Repository Process" w:date="2021-08-29T10:46:00Z"/>
                <w:b/>
              </w:rPr>
            </w:pPr>
            <w:del w:id="109" w:author="Master Repository Process" w:date="2021-08-29T10:46:00Z">
              <w:r>
                <w:rPr>
                  <w:b/>
                </w:rPr>
                <w:delText>Citation</w:delText>
              </w:r>
            </w:del>
          </w:p>
        </w:tc>
        <w:tc>
          <w:tcPr>
            <w:tcW w:w="1276" w:type="dxa"/>
            <w:tcBorders>
              <w:top w:val="single" w:sz="8" w:space="0" w:color="auto"/>
              <w:bottom w:val="single" w:sz="8" w:space="0" w:color="auto"/>
            </w:tcBorders>
          </w:tcPr>
          <w:p>
            <w:pPr>
              <w:pStyle w:val="nTable"/>
              <w:spacing w:after="40"/>
              <w:rPr>
                <w:del w:id="110" w:author="Master Repository Process" w:date="2021-08-29T10:46:00Z"/>
                <w:b/>
              </w:rPr>
            </w:pPr>
            <w:del w:id="111" w:author="Master Repository Process" w:date="2021-08-29T10:46:00Z">
              <w:r>
                <w:rPr>
                  <w:b/>
                </w:rPr>
                <w:delText>Gazettal</w:delText>
              </w:r>
            </w:del>
          </w:p>
        </w:tc>
        <w:tc>
          <w:tcPr>
            <w:tcW w:w="2693" w:type="dxa"/>
            <w:tcBorders>
              <w:top w:val="single" w:sz="8" w:space="0" w:color="auto"/>
              <w:bottom w:val="single" w:sz="8" w:space="0" w:color="auto"/>
            </w:tcBorders>
          </w:tcPr>
          <w:p>
            <w:pPr>
              <w:pStyle w:val="nTable"/>
              <w:spacing w:after="40"/>
              <w:rPr>
                <w:del w:id="112" w:author="Master Repository Process" w:date="2021-08-29T10:46:00Z"/>
                <w:b/>
              </w:rPr>
            </w:pPr>
            <w:del w:id="113" w:author="Master Repository Process" w:date="2021-08-29T10:46:00Z">
              <w:r>
                <w:rPr>
                  <w:b/>
                </w:rPr>
                <w:delText>Commencement</w:delText>
              </w:r>
            </w:del>
          </w:p>
        </w:tc>
      </w:tr>
      <w:tr>
        <w:tc>
          <w:tcPr>
            <w:tcW w:w="3118" w:type="dxa"/>
            <w:tcBorders>
              <w:bottom w:val="single" w:sz="4" w:space="0" w:color="auto"/>
            </w:tcBorders>
          </w:tcPr>
          <w:p>
            <w:pPr>
              <w:pStyle w:val="nTable"/>
              <w:keepNext/>
              <w:spacing w:after="40"/>
              <w:rPr>
                <w:rFonts w:ascii="Times" w:hAnsi="Times"/>
                <w:i/>
              </w:rPr>
            </w:pPr>
            <w:r>
              <w:rPr>
                <w:i/>
              </w:rPr>
              <w:t>Magistrates Court (Fees) Amendment Regulations 2015</w:t>
            </w:r>
            <w:del w:id="114" w:author="Master Repository Process" w:date="2021-08-29T10:46:00Z">
              <w:r>
                <w:rPr>
                  <w:i/>
                </w:rPr>
                <w:delText xml:space="preserve"> </w:delText>
              </w:r>
              <w:r>
                <w:delText>r. 3 and 4 </w:delText>
              </w:r>
              <w:r>
                <w:rPr>
                  <w:vertAlign w:val="superscript"/>
                </w:rPr>
                <w:delText>3</w:delText>
              </w:r>
            </w:del>
          </w:p>
        </w:tc>
        <w:tc>
          <w:tcPr>
            <w:tcW w:w="1276" w:type="dxa"/>
            <w:tcBorders>
              <w:bottom w:val="single" w:sz="4" w:space="0" w:color="auto"/>
            </w:tcBorders>
          </w:tcPr>
          <w:p>
            <w:pPr>
              <w:pStyle w:val="nTable"/>
              <w:keepNext/>
              <w:spacing w:after="40"/>
              <w:rPr>
                <w:rFonts w:ascii="Times" w:hAnsi="Times"/>
              </w:rPr>
            </w:pPr>
            <w:r>
              <w:t>10 Feb 2015 p. 613</w:t>
            </w:r>
          </w:p>
        </w:tc>
        <w:tc>
          <w:tcPr>
            <w:tcW w:w="2693" w:type="dxa"/>
            <w:tcBorders>
              <w:bottom w:val="single" w:sz="4" w:space="0" w:color="auto"/>
            </w:tcBorders>
          </w:tcPr>
          <w:p>
            <w:pPr>
              <w:pStyle w:val="nTable"/>
              <w:keepNext/>
              <w:spacing w:after="40"/>
              <w:rPr>
                <w:rFonts w:ascii="Times" w:hAnsi="Times"/>
                <w:snapToGrid w:val="0"/>
              </w:rPr>
            </w:pPr>
            <w:del w:id="115" w:author="Master Repository Process" w:date="2021-08-29T10:46:00Z">
              <w:r>
                <w:delText xml:space="preserve">Operative on the day fixed under the </w:delText>
              </w:r>
              <w:r>
                <w:rPr>
                  <w:i/>
                </w:rPr>
                <w:delText>Road Traffic (Administration) Act 2008</w:delText>
              </w:r>
              <w:r>
                <w:delText xml:space="preserve"> section 2(b) (see r. 2(b))</w:delText>
              </w:r>
            </w:del>
            <w:ins w:id="116" w:author="Master Repository Process" w:date="2021-08-29T10:46:00Z">
              <w:r>
                <w:rPr>
                  <w:rFonts w:ascii="Times" w:hAnsi="Times"/>
                  <w:snapToGrid w:val="0"/>
                  <w:spacing w:val="-2"/>
                </w:rPr>
                <w:t>r. 1 and 2: 10 Feb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ins>
          </w:p>
        </w:tc>
      </w:tr>
    </w:tbl>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Pr>
        <w:pStyle w:val="nSubsection"/>
        <w:keepNext/>
        <w:keepLines/>
        <w:rPr>
          <w:del w:id="117" w:author="Master Repository Process" w:date="2021-08-29T10:46:00Z"/>
          <w:snapToGrid w:val="0"/>
        </w:rPr>
      </w:pPr>
      <w:del w:id="118" w:author="Master Repository Process" w:date="2021-08-29T10:4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Magistrates Court (Fees) Amendment Regulations 2015 </w:delText>
        </w:r>
        <w:r>
          <w:delText xml:space="preserve">r. 3 and 4 </w:delText>
        </w:r>
        <w:r>
          <w:rPr>
            <w:snapToGrid w:val="0"/>
          </w:rPr>
          <w:delText>had not come into operation.  They read as follows:</w:delText>
        </w:r>
      </w:del>
    </w:p>
    <w:p>
      <w:pPr>
        <w:pStyle w:val="BlankClose"/>
        <w:rPr>
          <w:del w:id="119" w:author="Master Repository Process" w:date="2021-08-29T10:46:00Z"/>
        </w:rPr>
      </w:pPr>
    </w:p>
    <w:p>
      <w:pPr>
        <w:pStyle w:val="nzHeading5"/>
        <w:rPr>
          <w:del w:id="120" w:author="Master Repository Process" w:date="2021-08-29T10:46:00Z"/>
          <w:snapToGrid w:val="0"/>
        </w:rPr>
      </w:pPr>
      <w:del w:id="121" w:author="Master Repository Process" w:date="2021-08-29T10:46:00Z">
        <w:r>
          <w:rPr>
            <w:rStyle w:val="CharSectno"/>
          </w:rPr>
          <w:delText>3</w:delText>
        </w:r>
        <w:r>
          <w:rPr>
            <w:snapToGrid w:val="0"/>
          </w:rPr>
          <w:delText>.</w:delText>
        </w:r>
        <w:r>
          <w:rPr>
            <w:snapToGrid w:val="0"/>
          </w:rPr>
          <w:tab/>
          <w:delText>Regulations amended</w:delText>
        </w:r>
      </w:del>
    </w:p>
    <w:p>
      <w:pPr>
        <w:pStyle w:val="nzSubsection"/>
        <w:rPr>
          <w:del w:id="122" w:author="Master Repository Process" w:date="2021-08-29T10:46:00Z"/>
        </w:rPr>
      </w:pPr>
      <w:del w:id="123" w:author="Master Repository Process" w:date="2021-08-29T10:46:00Z">
        <w:r>
          <w:tab/>
        </w:r>
        <w:r>
          <w:tab/>
        </w:r>
        <w:r>
          <w:rPr>
            <w:spacing w:val="-2"/>
          </w:rPr>
          <w:delText>These</w:delText>
        </w:r>
        <w:r>
          <w:delText xml:space="preserve"> regulations amend the </w:delText>
        </w:r>
        <w:r>
          <w:rPr>
            <w:i/>
          </w:rPr>
          <w:delText>Magistrates Court (Fees) Regulations 2005</w:delText>
        </w:r>
        <w:r>
          <w:delText>.</w:delText>
        </w:r>
      </w:del>
    </w:p>
    <w:p>
      <w:pPr>
        <w:pStyle w:val="nzHeading5"/>
        <w:rPr>
          <w:del w:id="124" w:author="Master Repository Process" w:date="2021-08-29T10:46:00Z"/>
        </w:rPr>
      </w:pPr>
      <w:del w:id="125" w:author="Master Repository Process" w:date="2021-08-29T10:46:00Z">
        <w:r>
          <w:rPr>
            <w:rStyle w:val="CharSectno"/>
          </w:rPr>
          <w:delText>4</w:delText>
        </w:r>
        <w:r>
          <w:delText>.</w:delText>
        </w:r>
        <w:r>
          <w:tab/>
          <w:delText>Schedule 1 amended</w:delText>
        </w:r>
      </w:del>
    </w:p>
    <w:p>
      <w:pPr>
        <w:pStyle w:val="nzSubsection"/>
        <w:rPr>
          <w:del w:id="126" w:author="Master Repository Process" w:date="2021-08-29T10:46:00Z"/>
        </w:rPr>
      </w:pPr>
      <w:del w:id="127" w:author="Master Repository Process" w:date="2021-08-29T10:46:00Z">
        <w:r>
          <w:tab/>
        </w:r>
        <w:r>
          <w:tab/>
          <w:delText>In Schedule 1 Division 2 item 10 delete “</w:delText>
        </w:r>
        <w:r>
          <w:rPr>
            <w:i/>
            <w:sz w:val="18"/>
          </w:rPr>
          <w:delText>Road Traffic Act 1974</w:delText>
        </w:r>
        <w:r>
          <w:delText>” and insert:</w:delText>
        </w:r>
      </w:del>
    </w:p>
    <w:p>
      <w:pPr>
        <w:pStyle w:val="BlankOpen"/>
        <w:rPr>
          <w:del w:id="128" w:author="Master Repository Process" w:date="2021-08-29T10:46:00Z"/>
        </w:rPr>
      </w:pPr>
    </w:p>
    <w:p>
      <w:pPr>
        <w:pStyle w:val="nzSubsection"/>
        <w:rPr>
          <w:del w:id="129" w:author="Master Repository Process" w:date="2021-08-29T10:46:00Z"/>
        </w:rPr>
      </w:pPr>
      <w:del w:id="130" w:author="Master Repository Process" w:date="2021-08-29T10:46:00Z">
        <w:r>
          <w:rPr>
            <w:sz w:val="18"/>
          </w:rPr>
          <w:tab/>
        </w:r>
        <w:r>
          <w:rPr>
            <w:sz w:val="18"/>
          </w:rPr>
          <w:tab/>
        </w:r>
        <w:r>
          <w:rPr>
            <w:i/>
            <w:sz w:val="18"/>
          </w:rPr>
          <w:delText xml:space="preserve">Road Traffic (Authorisation to Drive) Act 2008 </w:delText>
        </w:r>
        <w:r>
          <w:rPr>
            <w:sz w:val="18"/>
          </w:rPr>
          <w:delText>section 27</w:delText>
        </w:r>
      </w:del>
    </w:p>
    <w:p>
      <w:pPr>
        <w:pStyle w:val="BlankClose"/>
        <w:rPr>
          <w:del w:id="131" w:author="Master Repository Process" w:date="2021-08-29T10:46:00Z"/>
        </w:rPr>
      </w:pPr>
    </w:p>
    <w:p>
      <w:pPr>
        <w:pStyle w:val="BlankClose"/>
        <w:rPr>
          <w:del w:id="132" w:author="Master Repository Process" w:date="2021-08-29T10:46: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719"/>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68309563-8031-49C4-BF1B-B19D1033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D80A-781F-4E66-AAC4-386FCDE0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6897</Words>
  <Characters>35865</Characters>
  <Application>Microsoft Office Word</Application>
  <DocSecurity>0</DocSecurity>
  <Lines>1494</Lines>
  <Paragraphs>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02-f0-01 - 02-g0-02</dc:title>
  <dc:subject/>
  <dc:creator/>
  <cp:keywords/>
  <dc:description/>
  <cp:lastModifiedBy>Master Repository Process</cp:lastModifiedBy>
  <cp:revision>2</cp:revision>
  <cp:lastPrinted>2012-04-04T08:07:00Z</cp:lastPrinted>
  <dcterms:created xsi:type="dcterms:W3CDTF">2021-08-29T02:46:00Z</dcterms:created>
  <dcterms:modified xsi:type="dcterms:W3CDTF">2021-08-29T02:46:00Z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ReprintNo">
    <vt:lpwstr>2</vt:lpwstr>
  </property>
  <property fmtid="{D5CDD505-2E9C-101B-9397-08002B2CF9AE}" pid="4" name="ReprintedAsAt">
    <vt:filetime>2012-04-05T16:00:00Z</vt:filetime>
  </property>
  <property fmtid="{D5CDD505-2E9C-101B-9397-08002B2CF9AE}" pid="5" name="CommencementDate">
    <vt:lpwstr>20150427</vt:lpwstr>
  </property>
  <property fmtid="{D5CDD505-2E9C-101B-9397-08002B2CF9AE}" pid="6" name="OWLSUId">
    <vt:i4>9257</vt:i4>
  </property>
  <property fmtid="{D5CDD505-2E9C-101B-9397-08002B2CF9AE}" pid="7" name="DocumentType">
    <vt:lpwstr>Reg</vt:lpwstr>
  </property>
  <property fmtid="{D5CDD505-2E9C-101B-9397-08002B2CF9AE}" pid="8" name="FromSuffix">
    <vt:lpwstr>02-f0-01</vt:lpwstr>
  </property>
  <property fmtid="{D5CDD505-2E9C-101B-9397-08002B2CF9AE}" pid="9" name="FromAsAtDate">
    <vt:lpwstr>10 Feb 2015</vt:lpwstr>
  </property>
  <property fmtid="{D5CDD505-2E9C-101B-9397-08002B2CF9AE}" pid="10" name="ToSuffix">
    <vt:lpwstr>02-g0-02</vt:lpwstr>
  </property>
  <property fmtid="{D5CDD505-2E9C-101B-9397-08002B2CF9AE}" pid="11" name="ToAsAtDate">
    <vt:lpwstr>27 Apr 2015</vt:lpwstr>
  </property>
</Properties>
</file>