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00-j0-01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00-k0-05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400"/>
        <w:ind w:left="357" w:right="488"/>
      </w:pPr>
      <w:r>
        <w:t>Owner-Drivers (Contracts and Disputes) Act 2007</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pStyle w:val="Heading2"/>
      </w:pPr>
      <w:bookmarkStart w:id="2" w:name="_Toc379462968"/>
      <w:bookmarkStart w:id="3" w:name="_Toc379463074"/>
      <w:bookmarkStart w:id="4" w:name="_Toc392504019"/>
      <w:bookmarkStart w:id="5" w:name="_Toc397950364"/>
      <w:bookmarkStart w:id="6" w:name="_Toc397950470"/>
      <w:bookmarkStart w:id="7" w:name="_Toc416961398"/>
      <w:bookmarkStart w:id="8" w:name="_Toc416961501"/>
      <w:bookmarkStart w:id="9" w:name="_Toc43016501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397950471"/>
      <w:bookmarkStart w:id="11" w:name="_Toc430165018"/>
      <w:bookmarkStart w:id="12" w:name="_Toc416961502"/>
      <w:r>
        <w:rPr>
          <w:rStyle w:val="CharSectno"/>
        </w:rPr>
        <w:t>1</w:t>
      </w:r>
      <w:r>
        <w:t>.</w:t>
      </w:r>
      <w:r>
        <w:tab/>
      </w:r>
      <w:r>
        <w:rPr>
          <w:snapToGrid w:val="0"/>
        </w:rPr>
        <w:t>Short title</w:t>
      </w:r>
      <w:bookmarkEnd w:id="10"/>
      <w:bookmarkEnd w:id="11"/>
      <w:bookmarkEnd w:id="12"/>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3" w:name="_Toc397950472"/>
      <w:bookmarkStart w:id="14" w:name="_Toc430165019"/>
      <w:bookmarkStart w:id="15" w:name="_Toc416961503"/>
      <w:r>
        <w:rPr>
          <w:rStyle w:val="CharSectno"/>
        </w:rPr>
        <w:t>2</w:t>
      </w:r>
      <w:r>
        <w:rPr>
          <w:snapToGrid w:val="0"/>
        </w:rPr>
        <w:t>.</w:t>
      </w:r>
      <w:r>
        <w:rPr>
          <w:snapToGrid w:val="0"/>
        </w:rPr>
        <w:tab/>
      </w:r>
      <w:r>
        <w:t>Commencement</w:t>
      </w:r>
      <w:bookmarkEnd w:id="13"/>
      <w:bookmarkEnd w:id="14"/>
      <w:bookmarkEnd w:id="15"/>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PermNoteHeading"/>
        <w:rPr>
          <w:ins w:id="16" w:author="svcMRProcess" w:date="2018-09-06T07:40:00Z"/>
        </w:rPr>
      </w:pPr>
      <w:r>
        <w:tab/>
        <w:t>Note</w:t>
      </w:r>
      <w:del w:id="17" w:author="svcMRProcess" w:date="2018-09-06T07:40:00Z">
        <w:r>
          <w:delText>:</w:delText>
        </w:r>
      </w:del>
      <w:ins w:id="18" w:author="svcMRProcess" w:date="2018-09-06T07:40:00Z">
        <w:r>
          <w:t xml:space="preserve"> for this section:</w:t>
        </w:r>
      </w:ins>
    </w:p>
    <w:p>
      <w:pPr>
        <w:pStyle w:val="PermNoteText"/>
      </w:pPr>
      <w:ins w:id="19" w:author="svcMRProcess" w:date="2018-09-06T07:40:00Z">
        <w:r>
          <w:tab/>
        </w:r>
      </w:ins>
      <w:r>
        <w:tab/>
        <w:t xml:space="preserve">Under section 22 of the </w:t>
      </w:r>
      <w:r>
        <w:rPr>
          <w:i/>
        </w:rPr>
        <w:t>Interpretation Act 1984</w:t>
      </w:r>
      <w:r>
        <w:t>, this section and section 1 come into operation on the day on which this Act receives the Royal Assent.</w:t>
      </w:r>
    </w:p>
    <w:p>
      <w:pPr>
        <w:pStyle w:val="Heading5"/>
      </w:pPr>
      <w:bookmarkStart w:id="20" w:name="_Toc397950473"/>
      <w:bookmarkStart w:id="21" w:name="_Toc430165020"/>
      <w:bookmarkStart w:id="22" w:name="_Toc416961504"/>
      <w:r>
        <w:rPr>
          <w:rStyle w:val="CharSectno"/>
        </w:rPr>
        <w:t>3</w:t>
      </w:r>
      <w:r>
        <w:t>.</w:t>
      </w:r>
      <w:r>
        <w:tab/>
        <w:t>Terms used in this Act</w:t>
      </w:r>
      <w:bookmarkEnd w:id="20"/>
      <w:bookmarkEnd w:id="21"/>
      <w:bookmarkEnd w:id="22"/>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Freight Transport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rPr>
          <w:del w:id="23" w:author="svcMRProcess" w:date="2018-09-06T07:40:00Z"/>
        </w:rPr>
      </w:pPr>
      <w:del w:id="24" w:author="svcMRProcess" w:date="2018-09-06T07:40:00Z">
        <w:r>
          <w:rPr>
            <w:b/>
          </w:rPr>
          <w:tab/>
        </w:r>
        <w:r>
          <w:rPr>
            <w:rStyle w:val="CharDefText"/>
          </w:rPr>
          <w:delText>gross vehicle mass</w:delText>
        </w:r>
        <w:r>
          <w:delText xml:space="preserve"> has the same meaning as it has in the </w:delText>
        </w:r>
        <w:r>
          <w:rPr>
            <w:i/>
            <w:iCs/>
          </w:rPr>
          <w:delText>Road Traffic Act 1974</w:delText>
        </w:r>
        <w:r>
          <w:delText xml:space="preserve"> section 111AB(4);</w:delText>
        </w:r>
      </w:del>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w:t>
      </w:r>
      <w:del w:id="25" w:author="svcMRProcess" w:date="2018-09-06T07:40:00Z">
        <w:r>
          <w:delText xml:space="preserve">means a vehicle, as defined </w:delText>
        </w:r>
      </w:del>
      <w:ins w:id="26" w:author="svcMRProcess" w:date="2018-09-06T07:40:00Z">
        <w:r>
          <w:t xml:space="preserve">has the meaning given </w:t>
        </w:r>
      </w:ins>
      <w:r>
        <w:t xml:space="preserve">in the </w:t>
      </w:r>
      <w:r>
        <w:rPr>
          <w:i/>
          <w:iCs/>
        </w:rPr>
        <w:t xml:space="preserve">Road Traffic </w:t>
      </w:r>
      <w:ins w:id="27" w:author="svcMRProcess" w:date="2018-09-06T07:40:00Z">
        <w:r>
          <w:rPr>
            <w:i/>
            <w:iCs/>
          </w:rPr>
          <w:t xml:space="preserve">(Vehicles) </w:t>
        </w:r>
      </w:ins>
      <w:r>
        <w:rPr>
          <w:i/>
          <w:iCs/>
        </w:rPr>
        <w:t>Act </w:t>
      </w:r>
      <w:del w:id="28" w:author="svcMRProcess" w:date="2018-09-06T07:40:00Z">
        <w:r>
          <w:rPr>
            <w:i/>
            <w:iCs/>
          </w:rPr>
          <w:delText>1974</w:delText>
        </w:r>
        <w:r>
          <w:delText>, with a gross vehicle mass of more than 4.5 tonnes;</w:delText>
        </w:r>
      </w:del>
      <w:ins w:id="29" w:author="svcMRProcess" w:date="2018-09-06T07:40:00Z">
        <w:r>
          <w:rPr>
            <w:i/>
            <w:iCs/>
          </w:rPr>
          <w:t>2012</w:t>
        </w:r>
        <w:r>
          <w:t xml:space="preserve"> section 3(1);</w:t>
        </w:r>
      </w:ins>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lastRenderedPageBreak/>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pPr>
      <w:r>
        <w:tab/>
        <w:t>[Section 3 amended by No. 47 of 2011 s. </w:t>
      </w:r>
      <w:del w:id="30" w:author="svcMRProcess" w:date="2018-09-06T07:40:00Z">
        <w:r>
          <w:delText>27</w:delText>
        </w:r>
      </w:del>
      <w:ins w:id="31" w:author="svcMRProcess" w:date="2018-09-06T07:40:00Z">
        <w:r>
          <w:t>27; No. 8 of 2012 s. 151</w:t>
        </w:r>
      </w:ins>
      <w:r>
        <w:t>; No. 17 of 2014 s. 30.]</w:t>
      </w:r>
    </w:p>
    <w:p>
      <w:pPr>
        <w:pStyle w:val="Heading5"/>
      </w:pPr>
      <w:bookmarkStart w:id="32" w:name="_Toc397950474"/>
      <w:bookmarkStart w:id="33" w:name="_Toc430165021"/>
      <w:bookmarkStart w:id="34" w:name="_Toc416961505"/>
      <w:r>
        <w:rPr>
          <w:rStyle w:val="CharSectno"/>
        </w:rPr>
        <w:t>4</w:t>
      </w:r>
      <w:r>
        <w:t>.</w:t>
      </w:r>
      <w:r>
        <w:tab/>
        <w:t>Meaning of “owner</w:t>
      </w:r>
      <w:r>
        <w:noBreakHyphen/>
        <w:t>driver”</w:t>
      </w:r>
      <w:bookmarkEnd w:id="32"/>
      <w:bookmarkEnd w:id="33"/>
      <w:bookmarkEnd w:id="34"/>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35" w:name="_Toc397950475"/>
      <w:bookmarkStart w:id="36" w:name="_Toc430165022"/>
      <w:bookmarkStart w:id="37" w:name="_Toc416961506"/>
      <w:r>
        <w:rPr>
          <w:rStyle w:val="CharSectno"/>
        </w:rPr>
        <w:t>5</w:t>
      </w:r>
      <w:r>
        <w:t>.</w:t>
      </w:r>
      <w:r>
        <w:tab/>
        <w:t>Meaning of “owner</w:t>
      </w:r>
      <w:r>
        <w:noBreakHyphen/>
        <w:t>driver contract”</w:t>
      </w:r>
      <w:bookmarkEnd w:id="35"/>
      <w:bookmarkEnd w:id="36"/>
      <w:bookmarkEnd w:id="37"/>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38" w:name="_Toc397950476"/>
      <w:bookmarkStart w:id="39" w:name="_Toc430165023"/>
      <w:bookmarkStart w:id="40" w:name="_Toc416961507"/>
      <w:r>
        <w:rPr>
          <w:rStyle w:val="CharSectno"/>
        </w:rPr>
        <w:t>6</w:t>
      </w:r>
      <w:r>
        <w:t>.</w:t>
      </w:r>
      <w:r>
        <w:tab/>
        <w:t>Application of Act</w:t>
      </w:r>
      <w:bookmarkEnd w:id="38"/>
      <w:bookmarkEnd w:id="39"/>
      <w:bookmarkEnd w:id="40"/>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 xml:space="preserve">driver contract that is entered into in </w:t>
      </w:r>
      <w:smartTag w:uri="urn:schemas-microsoft-com:office:smarttags" w:element="State">
        <w:r>
          <w:t>Western Australia</w:t>
        </w:r>
      </w:smartTag>
      <w:r>
        <w:t xml:space="preserve"> or that is subject to the law of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transport goods wholly within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to transport goods from </w:t>
      </w:r>
      <w:smartTag w:uri="urn:schemas-microsoft-com:office:smarttags" w:element="State">
        <w:r>
          <w:t>Western Australia</w:t>
        </w:r>
      </w:smartTag>
      <w:r>
        <w:t xml:space="preserve"> to another place, or from another place to </w:t>
      </w:r>
      <w:smartTag w:uri="urn:schemas-microsoft-com:office:smarttags" w:element="State">
        <w:r>
          <w:t>Western Australia</w:t>
        </w:r>
      </w:smartTag>
      <w:r>
        <w:t>, if a substantial part of the services under the owner</w:t>
      </w:r>
      <w:r>
        <w:noBreakHyphen/>
        <w:t xml:space="preserve">driver contract are performed in </w:t>
      </w:r>
      <w:smartTag w:uri="urn:schemas-microsoft-com:office:smarttags" w:element="place">
        <w:smartTag w:uri="urn:schemas-microsoft-com:office:smarttags" w:element="State">
          <w:r>
            <w:t>Western Australia</w:t>
          </w:r>
        </w:smartTag>
      </w:smartTag>
      <w:r>
        <w:t>.</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w:t>
      </w:r>
      <w:smartTag w:uri="urn:schemas-microsoft-com:office:smarttags" w:element="place">
        <w:smartTag w:uri="urn:schemas-microsoft-com:office:smarttags" w:element="State">
          <w:r>
            <w:t>Victoria</w:t>
          </w:r>
        </w:smartTag>
      </w:smartTag>
      <w:r>
        <w:t>,</w:t>
      </w:r>
    </w:p>
    <w:p>
      <w:pPr>
        <w:pStyle w:val="Subsection"/>
      </w:pPr>
      <w:r>
        <w:tab/>
      </w:r>
      <w:r>
        <w:tab/>
        <w:t>in relation to the contract.</w:t>
      </w:r>
    </w:p>
    <w:p>
      <w:pPr>
        <w:pStyle w:val="Heading5"/>
      </w:pPr>
      <w:bookmarkStart w:id="41" w:name="_Toc397950477"/>
      <w:bookmarkStart w:id="42" w:name="_Toc430165024"/>
      <w:bookmarkStart w:id="43" w:name="_Toc416961508"/>
      <w:r>
        <w:rPr>
          <w:rStyle w:val="CharSectno"/>
        </w:rPr>
        <w:t>7</w:t>
      </w:r>
      <w:r>
        <w:t>.</w:t>
      </w:r>
      <w:r>
        <w:tab/>
        <w:t>Act prevails over owner</w:t>
      </w:r>
      <w:r>
        <w:noBreakHyphen/>
        <w:t>driver contracts</w:t>
      </w:r>
      <w:bookmarkEnd w:id="41"/>
      <w:bookmarkEnd w:id="42"/>
      <w:bookmarkEnd w:id="43"/>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44" w:name="_Toc397950478"/>
      <w:bookmarkStart w:id="45" w:name="_Toc430165025"/>
      <w:bookmarkStart w:id="46" w:name="_Toc416961509"/>
      <w:r>
        <w:rPr>
          <w:rStyle w:val="CharSectno"/>
        </w:rPr>
        <w:t>8</w:t>
      </w:r>
      <w:r>
        <w:t>.</w:t>
      </w:r>
      <w:r>
        <w:tab/>
        <w:t>Act binds Crown</w:t>
      </w:r>
      <w:bookmarkEnd w:id="44"/>
      <w:bookmarkEnd w:id="45"/>
      <w:bookmarkEnd w:id="46"/>
    </w:p>
    <w:p>
      <w:pPr>
        <w:pStyle w:val="Subsection"/>
      </w:pPr>
      <w:r>
        <w:tab/>
      </w:r>
      <w:r>
        <w:tab/>
        <w:t>This Act binds the Crown in right of the State and, so far as the legislative power of Parliament permits, in all its other capacities.</w:t>
      </w:r>
    </w:p>
    <w:p>
      <w:pPr>
        <w:pStyle w:val="Heading2"/>
      </w:pPr>
      <w:bookmarkStart w:id="47" w:name="_Toc379462977"/>
      <w:bookmarkStart w:id="48" w:name="_Toc379463083"/>
      <w:bookmarkStart w:id="49" w:name="_Toc392504028"/>
      <w:bookmarkStart w:id="50" w:name="_Toc397950373"/>
      <w:bookmarkStart w:id="51" w:name="_Toc397950479"/>
      <w:bookmarkStart w:id="52" w:name="_Toc416961407"/>
      <w:bookmarkStart w:id="53" w:name="_Toc416961510"/>
      <w:bookmarkStart w:id="54" w:name="_Toc430165026"/>
      <w:r>
        <w:rPr>
          <w:rStyle w:val="CharPartNo"/>
        </w:rPr>
        <w:t>Part 2</w:t>
      </w:r>
      <w:r>
        <w:t> — </w:t>
      </w:r>
      <w:r>
        <w:rPr>
          <w:rStyle w:val="CharPartText"/>
        </w:rPr>
        <w:t>Content of owner</w:t>
      </w:r>
      <w:r>
        <w:rPr>
          <w:rStyle w:val="CharPartText"/>
        </w:rPr>
        <w:noBreakHyphen/>
        <w:t>driver contracts</w:t>
      </w:r>
      <w:bookmarkEnd w:id="47"/>
      <w:bookmarkEnd w:id="48"/>
      <w:bookmarkEnd w:id="49"/>
      <w:bookmarkEnd w:id="50"/>
      <w:bookmarkEnd w:id="51"/>
      <w:bookmarkEnd w:id="52"/>
      <w:bookmarkEnd w:id="53"/>
      <w:bookmarkEnd w:id="54"/>
    </w:p>
    <w:p>
      <w:pPr>
        <w:pStyle w:val="Heading3"/>
      </w:pPr>
      <w:bookmarkStart w:id="55" w:name="_Toc379462978"/>
      <w:bookmarkStart w:id="56" w:name="_Toc379463084"/>
      <w:bookmarkStart w:id="57" w:name="_Toc392504029"/>
      <w:bookmarkStart w:id="58" w:name="_Toc397950374"/>
      <w:bookmarkStart w:id="59" w:name="_Toc397950480"/>
      <w:bookmarkStart w:id="60" w:name="_Toc416961408"/>
      <w:bookmarkStart w:id="61" w:name="_Toc416961511"/>
      <w:bookmarkStart w:id="62" w:name="_Toc430165027"/>
      <w:r>
        <w:rPr>
          <w:rStyle w:val="CharDivNo"/>
        </w:rPr>
        <w:t>Division 1</w:t>
      </w:r>
      <w:r>
        <w:t> — </w:t>
      </w:r>
      <w:r>
        <w:rPr>
          <w:rStyle w:val="CharDivText"/>
        </w:rPr>
        <w:t>Prohibited provisions</w:t>
      </w:r>
      <w:bookmarkEnd w:id="55"/>
      <w:bookmarkEnd w:id="56"/>
      <w:bookmarkEnd w:id="57"/>
      <w:bookmarkEnd w:id="58"/>
      <w:bookmarkEnd w:id="59"/>
      <w:bookmarkEnd w:id="60"/>
      <w:bookmarkEnd w:id="61"/>
      <w:bookmarkEnd w:id="62"/>
    </w:p>
    <w:p>
      <w:pPr>
        <w:pStyle w:val="Heading5"/>
      </w:pPr>
      <w:bookmarkStart w:id="63" w:name="_Toc397950481"/>
      <w:bookmarkStart w:id="64" w:name="_Toc430165028"/>
      <w:bookmarkStart w:id="65" w:name="_Toc416961512"/>
      <w:r>
        <w:rPr>
          <w:rStyle w:val="CharSectno"/>
        </w:rPr>
        <w:t>9</w:t>
      </w:r>
      <w:r>
        <w:t>.</w:t>
      </w:r>
      <w:r>
        <w:tab/>
        <w:t>Prohibited: pay if paid/when paid provisions</w:t>
      </w:r>
      <w:bookmarkEnd w:id="63"/>
      <w:bookmarkEnd w:id="64"/>
      <w:bookmarkEnd w:id="65"/>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66" w:name="_Toc397950482"/>
      <w:bookmarkStart w:id="67" w:name="_Toc430165029"/>
      <w:bookmarkStart w:id="68" w:name="_Toc416961513"/>
      <w:r>
        <w:rPr>
          <w:rStyle w:val="CharSectno"/>
        </w:rPr>
        <w:t>10</w:t>
      </w:r>
      <w:r>
        <w:t>.</w:t>
      </w:r>
      <w:r>
        <w:tab/>
        <w:t>Prohibited: provisions requiring payment to be made after 30 days</w:t>
      </w:r>
      <w:bookmarkEnd w:id="66"/>
      <w:bookmarkEnd w:id="67"/>
      <w:bookmarkEnd w:id="68"/>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69" w:name="_Toc397950483"/>
      <w:bookmarkStart w:id="70" w:name="_Toc430165030"/>
      <w:bookmarkStart w:id="71" w:name="_Toc416961514"/>
      <w:r>
        <w:rPr>
          <w:rStyle w:val="CharSectno"/>
        </w:rPr>
        <w:t>11</w:t>
      </w:r>
      <w:r>
        <w:t>.</w:t>
      </w:r>
      <w:r>
        <w:tab/>
        <w:t>Prohibited: prescribed provisions</w:t>
      </w:r>
      <w:bookmarkEnd w:id="69"/>
      <w:bookmarkEnd w:id="70"/>
      <w:bookmarkEnd w:id="71"/>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72" w:name="_Toc397950484"/>
      <w:bookmarkStart w:id="73" w:name="_Toc430165031"/>
      <w:bookmarkStart w:id="74" w:name="_Toc416961515"/>
      <w:r>
        <w:rPr>
          <w:rStyle w:val="CharSectno"/>
        </w:rPr>
        <w:t>12</w:t>
      </w:r>
      <w:r>
        <w:t>.</w:t>
      </w:r>
      <w:r>
        <w:tab/>
        <w:t>Other provisions of contract not affected</w:t>
      </w:r>
      <w:bookmarkEnd w:id="72"/>
      <w:bookmarkEnd w:id="73"/>
      <w:bookmarkEnd w:id="74"/>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75" w:name="_Toc379462983"/>
      <w:bookmarkStart w:id="76" w:name="_Toc379463089"/>
      <w:bookmarkStart w:id="77" w:name="_Toc392504034"/>
      <w:bookmarkStart w:id="78" w:name="_Toc397950379"/>
      <w:bookmarkStart w:id="79" w:name="_Toc397950485"/>
      <w:bookmarkStart w:id="80" w:name="_Toc416961413"/>
      <w:bookmarkStart w:id="81" w:name="_Toc416961516"/>
      <w:bookmarkStart w:id="82" w:name="_Toc430165032"/>
      <w:r>
        <w:rPr>
          <w:rStyle w:val="CharDivNo"/>
        </w:rPr>
        <w:t>Division 2</w:t>
      </w:r>
      <w:r>
        <w:t> — </w:t>
      </w:r>
      <w:r>
        <w:rPr>
          <w:rStyle w:val="CharDivText"/>
        </w:rPr>
        <w:t>Implied provisions</w:t>
      </w:r>
      <w:bookmarkEnd w:id="75"/>
      <w:bookmarkEnd w:id="76"/>
      <w:bookmarkEnd w:id="77"/>
      <w:bookmarkEnd w:id="78"/>
      <w:bookmarkEnd w:id="79"/>
      <w:bookmarkEnd w:id="80"/>
      <w:bookmarkEnd w:id="81"/>
      <w:bookmarkEnd w:id="82"/>
    </w:p>
    <w:p>
      <w:pPr>
        <w:pStyle w:val="Heading5"/>
      </w:pPr>
      <w:bookmarkStart w:id="83" w:name="_Toc397950486"/>
      <w:bookmarkStart w:id="84" w:name="_Toc430165033"/>
      <w:bookmarkStart w:id="85" w:name="_Toc416961517"/>
      <w:r>
        <w:rPr>
          <w:rStyle w:val="CharSectno"/>
        </w:rPr>
        <w:t>13</w:t>
      </w:r>
      <w:r>
        <w:t>.</w:t>
      </w:r>
      <w:r>
        <w:tab/>
        <w:t>Time for payment</w:t>
      </w:r>
      <w:bookmarkEnd w:id="83"/>
      <w:bookmarkEnd w:id="84"/>
      <w:bookmarkEnd w:id="85"/>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86" w:name="_Toc397950487"/>
      <w:bookmarkStart w:id="87" w:name="_Toc430165034"/>
      <w:bookmarkStart w:id="88" w:name="_Toc416961518"/>
      <w:r>
        <w:rPr>
          <w:rStyle w:val="CharSectno"/>
        </w:rPr>
        <w:t>14</w:t>
      </w:r>
      <w:r>
        <w:t>.</w:t>
      </w:r>
      <w:r>
        <w:tab/>
        <w:t>Interest on overdue payments</w:t>
      </w:r>
      <w:bookmarkEnd w:id="86"/>
      <w:bookmarkEnd w:id="87"/>
      <w:bookmarkEnd w:id="88"/>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89" w:name="_Toc397950488"/>
      <w:bookmarkStart w:id="90" w:name="_Toc430165035"/>
      <w:bookmarkStart w:id="91" w:name="_Toc416961519"/>
      <w:r>
        <w:rPr>
          <w:rStyle w:val="CharSectno"/>
        </w:rPr>
        <w:t>15</w:t>
      </w:r>
      <w:r>
        <w:t>.</w:t>
      </w:r>
      <w:r>
        <w:tab/>
        <w:t>Making payment claims</w:t>
      </w:r>
      <w:bookmarkEnd w:id="89"/>
      <w:bookmarkEnd w:id="90"/>
      <w:bookmarkEnd w:id="91"/>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92" w:name="_Toc397950489"/>
      <w:bookmarkStart w:id="93" w:name="_Toc430165036"/>
      <w:bookmarkStart w:id="94" w:name="_Toc416961520"/>
      <w:r>
        <w:rPr>
          <w:rStyle w:val="CharSectno"/>
        </w:rPr>
        <w:t>16</w:t>
      </w:r>
      <w:r>
        <w:t>.</w:t>
      </w:r>
      <w:r>
        <w:tab/>
        <w:t>Interpretation of implied provisions</w:t>
      </w:r>
      <w:bookmarkEnd w:id="92"/>
      <w:bookmarkEnd w:id="93"/>
      <w:bookmarkEnd w:id="94"/>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95" w:name="_Toc379462988"/>
      <w:bookmarkStart w:id="96" w:name="_Toc379463094"/>
      <w:bookmarkStart w:id="97" w:name="_Toc392504039"/>
      <w:bookmarkStart w:id="98" w:name="_Toc397950384"/>
      <w:bookmarkStart w:id="99" w:name="_Toc397950490"/>
      <w:bookmarkStart w:id="100" w:name="_Toc416961418"/>
      <w:bookmarkStart w:id="101" w:name="_Toc416961521"/>
      <w:bookmarkStart w:id="102" w:name="_Toc430165037"/>
      <w:r>
        <w:rPr>
          <w:rStyle w:val="CharPartNo"/>
        </w:rPr>
        <w:t>Part 3</w:t>
      </w:r>
      <w:r>
        <w:rPr>
          <w:rStyle w:val="CharDivNo"/>
        </w:rPr>
        <w:t> </w:t>
      </w:r>
      <w:r>
        <w:t>—</w:t>
      </w:r>
      <w:r>
        <w:rPr>
          <w:rStyle w:val="CharDivText"/>
        </w:rPr>
        <w:t> </w:t>
      </w:r>
      <w:r>
        <w:rPr>
          <w:rStyle w:val="CharPartText"/>
        </w:rPr>
        <w:t>Road Freight Transport Industry Council</w:t>
      </w:r>
      <w:bookmarkEnd w:id="95"/>
      <w:bookmarkEnd w:id="96"/>
      <w:bookmarkEnd w:id="97"/>
      <w:bookmarkEnd w:id="98"/>
      <w:bookmarkEnd w:id="99"/>
      <w:bookmarkEnd w:id="100"/>
      <w:bookmarkEnd w:id="101"/>
      <w:bookmarkEnd w:id="102"/>
    </w:p>
    <w:p>
      <w:pPr>
        <w:pStyle w:val="Heading5"/>
      </w:pPr>
      <w:bookmarkStart w:id="103" w:name="_Toc397950491"/>
      <w:bookmarkStart w:id="104" w:name="_Toc430165038"/>
      <w:bookmarkStart w:id="105" w:name="_Toc416961522"/>
      <w:r>
        <w:rPr>
          <w:rStyle w:val="CharSectno"/>
        </w:rPr>
        <w:t>17</w:t>
      </w:r>
      <w:r>
        <w:t>.</w:t>
      </w:r>
      <w:r>
        <w:tab/>
        <w:t>Road Freight Transport Industry Council established</w:t>
      </w:r>
      <w:bookmarkEnd w:id="103"/>
      <w:bookmarkEnd w:id="104"/>
      <w:bookmarkEnd w:id="105"/>
    </w:p>
    <w:p>
      <w:pPr>
        <w:pStyle w:val="Subsection"/>
      </w:pPr>
      <w:r>
        <w:tab/>
      </w:r>
      <w:r>
        <w:tab/>
        <w:t>A body called the Road Freight Transport Industry Council is established.</w:t>
      </w:r>
    </w:p>
    <w:p>
      <w:pPr>
        <w:pStyle w:val="Heading5"/>
      </w:pPr>
      <w:bookmarkStart w:id="106" w:name="_Toc397950492"/>
      <w:bookmarkStart w:id="107" w:name="_Toc430165039"/>
      <w:bookmarkStart w:id="108" w:name="_Toc416961523"/>
      <w:r>
        <w:rPr>
          <w:rStyle w:val="CharSectno"/>
        </w:rPr>
        <w:t>18</w:t>
      </w:r>
      <w:r>
        <w:t>.</w:t>
      </w:r>
      <w:r>
        <w:tab/>
        <w:t>Membership of Council</w:t>
      </w:r>
      <w:bookmarkEnd w:id="106"/>
      <w:bookmarkEnd w:id="107"/>
      <w:bookmarkEnd w:id="108"/>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 and</w:t>
      </w:r>
    </w:p>
    <w:p>
      <w:pPr>
        <w:pStyle w:val="Indenta"/>
      </w:pPr>
      <w:r>
        <w:tab/>
        <w:t>(d)</w:t>
      </w:r>
      <w:r>
        <w:tab/>
        <w:t xml:space="preserve">any other person or body from which the Minister considers it appropriate to seek nominations and will specifically seek nominations from persons able to represent the interests of regional </w:t>
      </w:r>
      <w:smartTag w:uri="urn:schemas-microsoft-com:office:smarttags" w:element="place">
        <w:smartTag w:uri="urn:schemas-microsoft-com:office:smarttags" w:element="State">
          <w:r>
            <w:t>Western Australia</w:t>
          </w:r>
        </w:smartTag>
      </w:smartTag>
      <w:r>
        <w:t>.</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109" w:name="_Toc397950493"/>
      <w:bookmarkStart w:id="110" w:name="_Toc430165040"/>
      <w:bookmarkStart w:id="111" w:name="_Toc416961524"/>
      <w:r>
        <w:rPr>
          <w:rStyle w:val="CharSectno"/>
        </w:rPr>
        <w:t>19</w:t>
      </w:r>
      <w:r>
        <w:t>.</w:t>
      </w:r>
      <w:r>
        <w:tab/>
        <w:t>Functions</w:t>
      </w:r>
      <w:bookmarkEnd w:id="109"/>
      <w:bookmarkEnd w:id="110"/>
      <w:bookmarkEnd w:id="111"/>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112" w:name="_Toc397950494"/>
      <w:bookmarkStart w:id="113" w:name="_Toc430165041"/>
      <w:bookmarkStart w:id="114" w:name="_Toc416961525"/>
      <w:r>
        <w:rPr>
          <w:rStyle w:val="CharSectno"/>
        </w:rPr>
        <w:t>20</w:t>
      </w:r>
      <w:r>
        <w:t>.</w:t>
      </w:r>
      <w:r>
        <w:tab/>
        <w:t>Powers</w:t>
      </w:r>
      <w:bookmarkEnd w:id="112"/>
      <w:bookmarkEnd w:id="113"/>
      <w:bookmarkEnd w:id="114"/>
    </w:p>
    <w:p>
      <w:pPr>
        <w:pStyle w:val="Subsection"/>
      </w:pPr>
      <w:r>
        <w:tab/>
      </w:r>
      <w:r>
        <w:tab/>
        <w:t>The Council has all the powers it needs to perform its functions.</w:t>
      </w:r>
    </w:p>
    <w:p>
      <w:pPr>
        <w:pStyle w:val="Heading5"/>
      </w:pPr>
      <w:bookmarkStart w:id="115" w:name="_Toc397950495"/>
      <w:bookmarkStart w:id="116" w:name="_Toc430165042"/>
      <w:bookmarkStart w:id="117" w:name="_Toc416961526"/>
      <w:r>
        <w:rPr>
          <w:rStyle w:val="CharSectno"/>
        </w:rPr>
        <w:t>21</w:t>
      </w:r>
      <w:r>
        <w:t>.</w:t>
      </w:r>
      <w:r>
        <w:tab/>
        <w:t>Minister may give directions</w:t>
      </w:r>
      <w:bookmarkEnd w:id="115"/>
      <w:bookmarkEnd w:id="116"/>
      <w:bookmarkEnd w:id="117"/>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authority of the Department under the </w:t>
      </w:r>
      <w:r>
        <w:rPr>
          <w:i/>
          <w:iCs/>
        </w:rPr>
        <w:t>Financial Management Act 2006</w:t>
      </w:r>
      <w:r>
        <w:t xml:space="preserve"> Part 5.</w:t>
      </w:r>
    </w:p>
    <w:p>
      <w:pPr>
        <w:pStyle w:val="Footnotesection"/>
      </w:pPr>
      <w:r>
        <w:tab/>
        <w:t>[Section 21 amended by No. 47 of 2011 s. 13.]</w:t>
      </w:r>
    </w:p>
    <w:p>
      <w:pPr>
        <w:pStyle w:val="Heading5"/>
      </w:pPr>
      <w:bookmarkStart w:id="118" w:name="_Toc397950496"/>
      <w:bookmarkStart w:id="119" w:name="_Toc430165043"/>
      <w:bookmarkStart w:id="120" w:name="_Toc416961527"/>
      <w:r>
        <w:rPr>
          <w:rStyle w:val="CharSectno"/>
        </w:rPr>
        <w:t>22</w:t>
      </w:r>
      <w:r>
        <w:t>.</w:t>
      </w:r>
      <w:r>
        <w:tab/>
        <w:t>Minister to have access to information</w:t>
      </w:r>
      <w:bookmarkEnd w:id="118"/>
      <w:bookmarkEnd w:id="119"/>
      <w:bookmarkEnd w:id="120"/>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121" w:name="_Toc397950497"/>
      <w:bookmarkStart w:id="122" w:name="_Toc430165044"/>
      <w:bookmarkStart w:id="123" w:name="_Toc416961528"/>
      <w:r>
        <w:rPr>
          <w:rStyle w:val="CharSectno"/>
        </w:rPr>
        <w:t>23</w:t>
      </w:r>
      <w:r>
        <w:t>.</w:t>
      </w:r>
      <w:r>
        <w:tab/>
        <w:t>Constitution and proceedings of Council</w:t>
      </w:r>
      <w:bookmarkEnd w:id="121"/>
      <w:bookmarkEnd w:id="122"/>
      <w:bookmarkEnd w:id="123"/>
    </w:p>
    <w:p>
      <w:pPr>
        <w:pStyle w:val="Subsection"/>
      </w:pPr>
      <w:r>
        <w:tab/>
      </w:r>
      <w:r>
        <w:tab/>
        <w:t>Schedule 2 sets out provisions as to the constitution and proceedings of the Council.</w:t>
      </w:r>
    </w:p>
    <w:p>
      <w:pPr>
        <w:pStyle w:val="Heading5"/>
      </w:pPr>
      <w:bookmarkStart w:id="124" w:name="_Toc397950498"/>
      <w:bookmarkStart w:id="125" w:name="_Toc430165045"/>
      <w:bookmarkStart w:id="126" w:name="_Toc416961529"/>
      <w:r>
        <w:rPr>
          <w:rStyle w:val="CharSectno"/>
        </w:rPr>
        <w:t>24</w:t>
      </w:r>
      <w:r>
        <w:t>.</w:t>
      </w:r>
      <w:r>
        <w:tab/>
        <w:t>Remuneration and allowances</w:t>
      </w:r>
      <w:bookmarkEnd w:id="124"/>
      <w:bookmarkEnd w:id="125"/>
      <w:bookmarkEnd w:id="126"/>
    </w:p>
    <w:p>
      <w:pPr>
        <w:pStyle w:val="Subsection"/>
      </w:pPr>
      <w:r>
        <w:tab/>
      </w:r>
      <w:r>
        <w:tab/>
        <w:t>Each Council member is to be paid the remuneration and allowances that the Minister, on the recommendation of the Public Sector Commissioner, determines in the case of that member.</w:t>
      </w:r>
    </w:p>
    <w:p>
      <w:pPr>
        <w:pStyle w:val="Footnotesection"/>
      </w:pPr>
      <w:r>
        <w:tab/>
        <w:t>[Section 24 amended by No. 39 of 2010 s. 89.]</w:t>
      </w:r>
    </w:p>
    <w:p>
      <w:pPr>
        <w:pStyle w:val="Heading5"/>
      </w:pPr>
      <w:bookmarkStart w:id="127" w:name="_Toc397950499"/>
      <w:bookmarkStart w:id="128" w:name="_Toc430165046"/>
      <w:bookmarkStart w:id="129" w:name="_Toc416961530"/>
      <w:r>
        <w:rPr>
          <w:rStyle w:val="CharSectno"/>
        </w:rPr>
        <w:t>25</w:t>
      </w:r>
      <w:r>
        <w:t>.</w:t>
      </w:r>
      <w:r>
        <w:tab/>
        <w:t>Department to provide support services to Council</w:t>
      </w:r>
      <w:bookmarkEnd w:id="127"/>
      <w:bookmarkEnd w:id="128"/>
      <w:bookmarkEnd w:id="129"/>
    </w:p>
    <w:p>
      <w:pPr>
        <w:pStyle w:val="Subsection"/>
      </w:pPr>
      <w:r>
        <w:tab/>
      </w:r>
      <w:r>
        <w:tab/>
        <w:t>The Department must provide the Council with any support services that the Council reasonably requires.</w:t>
      </w:r>
    </w:p>
    <w:p>
      <w:pPr>
        <w:pStyle w:val="Heading2"/>
      </w:pPr>
      <w:bookmarkStart w:id="130" w:name="_Toc379462998"/>
      <w:bookmarkStart w:id="131" w:name="_Toc379463104"/>
      <w:bookmarkStart w:id="132" w:name="_Toc392504049"/>
      <w:bookmarkStart w:id="133" w:name="_Toc397950394"/>
      <w:bookmarkStart w:id="134" w:name="_Toc397950500"/>
      <w:bookmarkStart w:id="135" w:name="_Toc416961428"/>
      <w:bookmarkStart w:id="136" w:name="_Toc416961531"/>
      <w:bookmarkStart w:id="137" w:name="_Toc430165047"/>
      <w:r>
        <w:rPr>
          <w:rStyle w:val="CharPartNo"/>
        </w:rPr>
        <w:t>Part 4</w:t>
      </w:r>
      <w:r>
        <w:rPr>
          <w:rStyle w:val="CharDivNo"/>
        </w:rPr>
        <w:t> </w:t>
      </w:r>
      <w:r>
        <w:t>—</w:t>
      </w:r>
      <w:r>
        <w:rPr>
          <w:rStyle w:val="CharDivText"/>
        </w:rPr>
        <w:t> </w:t>
      </w:r>
      <w:r>
        <w:rPr>
          <w:rStyle w:val="CharPartText"/>
        </w:rPr>
        <w:t>Code of conduct</w:t>
      </w:r>
      <w:bookmarkEnd w:id="130"/>
      <w:bookmarkEnd w:id="131"/>
      <w:bookmarkEnd w:id="132"/>
      <w:bookmarkEnd w:id="133"/>
      <w:bookmarkEnd w:id="134"/>
      <w:bookmarkEnd w:id="135"/>
      <w:bookmarkEnd w:id="136"/>
      <w:bookmarkEnd w:id="137"/>
    </w:p>
    <w:p>
      <w:pPr>
        <w:pStyle w:val="Heading5"/>
      </w:pPr>
      <w:bookmarkStart w:id="138" w:name="_Toc397950501"/>
      <w:bookmarkStart w:id="139" w:name="_Toc430165048"/>
      <w:bookmarkStart w:id="140" w:name="_Toc416961532"/>
      <w:r>
        <w:rPr>
          <w:rStyle w:val="CharSectno"/>
        </w:rPr>
        <w:t>26</w:t>
      </w:r>
      <w:r>
        <w:t>.</w:t>
      </w:r>
      <w:r>
        <w:tab/>
        <w:t>Regulations may prescribe code of conduct</w:t>
      </w:r>
      <w:bookmarkEnd w:id="138"/>
      <w:bookmarkEnd w:id="139"/>
      <w:bookmarkEnd w:id="140"/>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141" w:name="_Toc397950502"/>
      <w:bookmarkStart w:id="142" w:name="_Toc430165049"/>
      <w:bookmarkStart w:id="143" w:name="_Toc416961533"/>
      <w:r>
        <w:rPr>
          <w:rStyle w:val="CharSectno"/>
        </w:rPr>
        <w:t>27</w:t>
      </w:r>
      <w:r>
        <w:t>.</w:t>
      </w:r>
      <w:r>
        <w:tab/>
        <w:t>Content of code of conduct</w:t>
      </w:r>
      <w:bookmarkEnd w:id="141"/>
      <w:bookmarkEnd w:id="142"/>
      <w:bookmarkEnd w:id="143"/>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144" w:name="_Toc379463001"/>
      <w:bookmarkStart w:id="145" w:name="_Toc379463107"/>
      <w:bookmarkStart w:id="146" w:name="_Toc392504052"/>
      <w:bookmarkStart w:id="147" w:name="_Toc397950397"/>
      <w:bookmarkStart w:id="148" w:name="_Toc397950503"/>
      <w:bookmarkStart w:id="149" w:name="_Toc416961431"/>
      <w:bookmarkStart w:id="150" w:name="_Toc416961534"/>
      <w:bookmarkStart w:id="151" w:name="_Toc430165050"/>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144"/>
      <w:bookmarkEnd w:id="145"/>
      <w:bookmarkEnd w:id="146"/>
      <w:bookmarkEnd w:id="147"/>
      <w:bookmarkEnd w:id="148"/>
      <w:bookmarkEnd w:id="149"/>
      <w:bookmarkEnd w:id="150"/>
      <w:bookmarkEnd w:id="151"/>
    </w:p>
    <w:p>
      <w:pPr>
        <w:pStyle w:val="Heading5"/>
      </w:pPr>
      <w:bookmarkStart w:id="152" w:name="_Toc397950504"/>
      <w:bookmarkStart w:id="153" w:name="_Toc430165051"/>
      <w:bookmarkStart w:id="154" w:name="_Toc416961535"/>
      <w:r>
        <w:rPr>
          <w:rStyle w:val="CharSectno"/>
        </w:rPr>
        <w:t>28</w:t>
      </w:r>
      <w:r>
        <w:t>.</w:t>
      </w:r>
      <w:r>
        <w:tab/>
        <w:t>Negotiating agents for owner</w:t>
      </w:r>
      <w:r>
        <w:noBreakHyphen/>
        <w:t>drivers</w:t>
      </w:r>
      <w:bookmarkEnd w:id="152"/>
      <w:bookmarkEnd w:id="153"/>
      <w:bookmarkEnd w:id="154"/>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155" w:name="_Toc397950505"/>
      <w:bookmarkStart w:id="156" w:name="_Toc430165052"/>
      <w:bookmarkStart w:id="157" w:name="_Toc416961536"/>
      <w:r>
        <w:rPr>
          <w:rStyle w:val="CharSectno"/>
        </w:rPr>
        <w:t>29</w:t>
      </w:r>
      <w:r>
        <w:t>.</w:t>
      </w:r>
      <w:r>
        <w:tab/>
        <w:t>Negotiating agents for hirers</w:t>
      </w:r>
      <w:bookmarkEnd w:id="155"/>
      <w:bookmarkEnd w:id="156"/>
      <w:bookmarkEnd w:id="157"/>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158" w:name="_Toc379463004"/>
      <w:bookmarkStart w:id="159" w:name="_Toc379463110"/>
      <w:bookmarkStart w:id="160" w:name="_Toc392504055"/>
      <w:bookmarkStart w:id="161" w:name="_Toc397950400"/>
      <w:bookmarkStart w:id="162" w:name="_Toc397950506"/>
      <w:bookmarkStart w:id="163" w:name="_Toc416961434"/>
      <w:bookmarkStart w:id="164" w:name="_Toc416961537"/>
      <w:bookmarkStart w:id="165" w:name="_Toc430165053"/>
      <w:r>
        <w:rPr>
          <w:rStyle w:val="CharPartNo"/>
        </w:rPr>
        <w:t>Part 6</w:t>
      </w:r>
      <w:r>
        <w:rPr>
          <w:rStyle w:val="CharDivNo"/>
        </w:rPr>
        <w:t> </w:t>
      </w:r>
      <w:r>
        <w:t>—</w:t>
      </w:r>
      <w:r>
        <w:rPr>
          <w:rStyle w:val="CharDivText"/>
        </w:rPr>
        <w:t> </w:t>
      </w:r>
      <w:r>
        <w:rPr>
          <w:rStyle w:val="CharPartText"/>
        </w:rPr>
        <w:t>Unconscionable conduct</w:t>
      </w:r>
      <w:bookmarkEnd w:id="158"/>
      <w:bookmarkEnd w:id="159"/>
      <w:bookmarkEnd w:id="160"/>
      <w:bookmarkEnd w:id="161"/>
      <w:bookmarkEnd w:id="162"/>
      <w:bookmarkEnd w:id="163"/>
      <w:bookmarkEnd w:id="164"/>
      <w:bookmarkEnd w:id="165"/>
    </w:p>
    <w:p>
      <w:pPr>
        <w:pStyle w:val="Heading5"/>
      </w:pPr>
      <w:bookmarkStart w:id="166" w:name="_Toc397950507"/>
      <w:bookmarkStart w:id="167" w:name="_Toc430165054"/>
      <w:bookmarkStart w:id="168" w:name="_Toc416961538"/>
      <w:r>
        <w:rPr>
          <w:rStyle w:val="CharSectno"/>
        </w:rPr>
        <w:t>30</w:t>
      </w:r>
      <w:r>
        <w:t>.</w:t>
      </w:r>
      <w:r>
        <w:tab/>
        <w:t>Unconscionable conduct by hirers</w:t>
      </w:r>
      <w:bookmarkEnd w:id="166"/>
      <w:bookmarkEnd w:id="167"/>
      <w:bookmarkEnd w:id="168"/>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169" w:name="_Toc397950508"/>
      <w:bookmarkStart w:id="170" w:name="_Toc430165055"/>
      <w:bookmarkStart w:id="171" w:name="_Toc416961539"/>
      <w:r>
        <w:rPr>
          <w:rStyle w:val="CharSectno"/>
        </w:rPr>
        <w:t>31</w:t>
      </w:r>
      <w:r>
        <w:t>.</w:t>
      </w:r>
      <w:r>
        <w:tab/>
        <w:t>Unconscionable conduct by owner</w:t>
      </w:r>
      <w:r>
        <w:noBreakHyphen/>
        <w:t>drivers</w:t>
      </w:r>
      <w:bookmarkEnd w:id="169"/>
      <w:bookmarkEnd w:id="170"/>
      <w:bookmarkEnd w:id="171"/>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172" w:name="_Toc379463007"/>
      <w:bookmarkStart w:id="173" w:name="_Toc379463113"/>
      <w:bookmarkStart w:id="174" w:name="_Toc392504058"/>
      <w:bookmarkStart w:id="175" w:name="_Toc397950403"/>
      <w:bookmarkStart w:id="176" w:name="_Toc397950509"/>
      <w:bookmarkStart w:id="177" w:name="_Toc416961437"/>
      <w:bookmarkStart w:id="178" w:name="_Toc416961540"/>
      <w:bookmarkStart w:id="179" w:name="_Toc430165056"/>
      <w:r>
        <w:rPr>
          <w:rStyle w:val="CharPartNo"/>
        </w:rPr>
        <w:t>Part 7</w:t>
      </w:r>
      <w:r>
        <w:rPr>
          <w:rStyle w:val="CharDivNo"/>
        </w:rPr>
        <w:t> </w:t>
      </w:r>
      <w:r>
        <w:t>—</w:t>
      </w:r>
      <w:r>
        <w:rPr>
          <w:rStyle w:val="CharDivText"/>
        </w:rPr>
        <w:t> </w:t>
      </w:r>
      <w:r>
        <w:rPr>
          <w:rStyle w:val="CharPartText"/>
        </w:rPr>
        <w:t>Inspectors</w:t>
      </w:r>
      <w:bookmarkEnd w:id="172"/>
      <w:bookmarkEnd w:id="173"/>
      <w:bookmarkEnd w:id="174"/>
      <w:bookmarkEnd w:id="175"/>
      <w:bookmarkEnd w:id="176"/>
      <w:bookmarkEnd w:id="177"/>
      <w:bookmarkEnd w:id="178"/>
      <w:bookmarkEnd w:id="179"/>
    </w:p>
    <w:p>
      <w:pPr>
        <w:pStyle w:val="Heading5"/>
      </w:pPr>
      <w:bookmarkStart w:id="180" w:name="_Toc397950510"/>
      <w:bookmarkStart w:id="181" w:name="_Toc430165057"/>
      <w:bookmarkStart w:id="182" w:name="_Toc416961541"/>
      <w:r>
        <w:rPr>
          <w:rStyle w:val="CharSectno"/>
        </w:rPr>
        <w:t>32</w:t>
      </w:r>
      <w:r>
        <w:t>.</w:t>
      </w:r>
      <w:r>
        <w:tab/>
        <w:t>Functions of inspectors</w:t>
      </w:r>
      <w:bookmarkEnd w:id="180"/>
      <w:bookmarkEnd w:id="181"/>
      <w:bookmarkEnd w:id="182"/>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183" w:name="_Toc397950511"/>
      <w:bookmarkStart w:id="184" w:name="_Toc430165058"/>
      <w:bookmarkStart w:id="185" w:name="_Toc416961542"/>
      <w:r>
        <w:rPr>
          <w:rStyle w:val="CharSectno"/>
        </w:rPr>
        <w:t>33</w:t>
      </w:r>
      <w:r>
        <w:t>.</w:t>
      </w:r>
      <w:r>
        <w:tab/>
        <w:t>Obstructing or hindering inspector</w:t>
      </w:r>
      <w:bookmarkEnd w:id="183"/>
      <w:bookmarkEnd w:id="184"/>
      <w:bookmarkEnd w:id="185"/>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 </w:t>
      </w:r>
    </w:p>
    <w:p>
      <w:pPr>
        <w:pStyle w:val="Indenta"/>
      </w:pPr>
      <w:r>
        <w:tab/>
        <w:t>(a)</w:t>
      </w:r>
      <w:r>
        <w:tab/>
        <w:t>fail to 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186" w:name="_Toc379463010"/>
      <w:bookmarkStart w:id="187" w:name="_Toc379463116"/>
      <w:bookmarkStart w:id="188" w:name="_Toc392504061"/>
      <w:bookmarkStart w:id="189" w:name="_Toc397950406"/>
      <w:bookmarkStart w:id="190" w:name="_Toc397950512"/>
      <w:bookmarkStart w:id="191" w:name="_Toc416961440"/>
      <w:bookmarkStart w:id="192" w:name="_Toc416961543"/>
      <w:bookmarkStart w:id="193" w:name="_Toc430165059"/>
      <w:r>
        <w:rPr>
          <w:rStyle w:val="CharPartNo"/>
        </w:rPr>
        <w:t>Part 8</w:t>
      </w:r>
      <w:r>
        <w:rPr>
          <w:rStyle w:val="CharDivNo"/>
        </w:rPr>
        <w:t> </w:t>
      </w:r>
      <w:r>
        <w:t>—</w:t>
      </w:r>
      <w:r>
        <w:rPr>
          <w:rStyle w:val="CharDivText"/>
        </w:rPr>
        <w:t> </w:t>
      </w:r>
      <w:r>
        <w:rPr>
          <w:rStyle w:val="CharPartText"/>
        </w:rPr>
        <w:t>Rights of entry, inspection and access to records</w:t>
      </w:r>
      <w:bookmarkEnd w:id="186"/>
      <w:bookmarkEnd w:id="187"/>
      <w:bookmarkEnd w:id="188"/>
      <w:bookmarkEnd w:id="189"/>
      <w:bookmarkEnd w:id="190"/>
      <w:bookmarkEnd w:id="191"/>
      <w:bookmarkEnd w:id="192"/>
      <w:bookmarkEnd w:id="193"/>
    </w:p>
    <w:p>
      <w:pPr>
        <w:pStyle w:val="Heading5"/>
      </w:pPr>
      <w:bookmarkStart w:id="194" w:name="_Toc397950513"/>
      <w:bookmarkStart w:id="195" w:name="_Toc430165060"/>
      <w:bookmarkStart w:id="196" w:name="_Toc416961544"/>
      <w:r>
        <w:rPr>
          <w:rStyle w:val="CharSectno"/>
        </w:rPr>
        <w:t>34</w:t>
      </w:r>
      <w:r>
        <w:t>.</w:t>
      </w:r>
      <w:r>
        <w:tab/>
        <w:t>Access to records</w:t>
      </w:r>
      <w:bookmarkEnd w:id="194"/>
      <w:bookmarkEnd w:id="195"/>
      <w:bookmarkEnd w:id="196"/>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r>
        <w:t>[</w:t>
      </w:r>
      <w:r>
        <w:rPr>
          <w:b/>
        </w:rPr>
        <w:t>35, 36.</w:t>
      </w:r>
      <w:r>
        <w:rPr>
          <w:b/>
        </w:rPr>
        <w:tab/>
      </w:r>
      <w:r>
        <w:t>Have not come into operation </w:t>
      </w:r>
      <w:r>
        <w:rPr>
          <w:i w:val="0"/>
          <w:vertAlign w:val="superscript"/>
        </w:rPr>
        <w:t>2</w:t>
      </w:r>
      <w:r>
        <w:t>.]</w:t>
      </w:r>
    </w:p>
    <w:p>
      <w:pPr>
        <w:pStyle w:val="Heading2"/>
      </w:pPr>
      <w:bookmarkStart w:id="197" w:name="_Toc379463012"/>
      <w:bookmarkStart w:id="198" w:name="_Toc379463118"/>
      <w:bookmarkStart w:id="199" w:name="_Toc392504063"/>
      <w:bookmarkStart w:id="200" w:name="_Toc397950408"/>
      <w:bookmarkStart w:id="201" w:name="_Toc397950514"/>
      <w:bookmarkStart w:id="202" w:name="_Toc416961442"/>
      <w:bookmarkStart w:id="203" w:name="_Toc416961545"/>
      <w:bookmarkStart w:id="204" w:name="_Toc430165061"/>
      <w:r>
        <w:rPr>
          <w:rStyle w:val="CharPartNo"/>
        </w:rPr>
        <w:t>Part 9</w:t>
      </w:r>
      <w:r>
        <w:rPr>
          <w:rStyle w:val="CharDivNo"/>
        </w:rPr>
        <w:t> </w:t>
      </w:r>
      <w:r>
        <w:t>—</w:t>
      </w:r>
      <w:r>
        <w:rPr>
          <w:rStyle w:val="CharDivText"/>
        </w:rPr>
        <w:t> </w:t>
      </w:r>
      <w:r>
        <w:rPr>
          <w:rStyle w:val="CharPartText"/>
        </w:rPr>
        <w:t>Road Freight Transport Industry Tribunal</w:t>
      </w:r>
      <w:bookmarkEnd w:id="197"/>
      <w:bookmarkEnd w:id="198"/>
      <w:bookmarkEnd w:id="199"/>
      <w:bookmarkEnd w:id="200"/>
      <w:bookmarkEnd w:id="201"/>
      <w:bookmarkEnd w:id="202"/>
      <w:bookmarkEnd w:id="203"/>
      <w:bookmarkEnd w:id="204"/>
    </w:p>
    <w:p>
      <w:pPr>
        <w:pStyle w:val="Heading5"/>
      </w:pPr>
      <w:bookmarkStart w:id="205" w:name="_Toc397950515"/>
      <w:bookmarkStart w:id="206" w:name="_Toc430165062"/>
      <w:bookmarkStart w:id="207" w:name="_Toc416961546"/>
      <w:r>
        <w:rPr>
          <w:rStyle w:val="CharSectno"/>
        </w:rPr>
        <w:t>37</w:t>
      </w:r>
      <w:r>
        <w:t>.</w:t>
      </w:r>
      <w:r>
        <w:tab/>
        <w:t>Terms used in this Part</w:t>
      </w:r>
      <w:bookmarkEnd w:id="205"/>
      <w:bookmarkEnd w:id="206"/>
      <w:bookmarkEnd w:id="207"/>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208" w:name="_Toc397950516"/>
      <w:bookmarkStart w:id="209" w:name="_Toc430165063"/>
      <w:bookmarkStart w:id="210" w:name="_Toc416961547"/>
      <w:r>
        <w:rPr>
          <w:rStyle w:val="CharSectno"/>
        </w:rPr>
        <w:t>38</w:t>
      </w:r>
      <w:r>
        <w:t>.</w:t>
      </w:r>
      <w:r>
        <w:tab/>
        <w:t>Industrial Relations Commission sitting as the Road Freight Transport Industry Tribunal</w:t>
      </w:r>
      <w:bookmarkEnd w:id="208"/>
      <w:bookmarkEnd w:id="209"/>
      <w:bookmarkEnd w:id="210"/>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211" w:name="_Toc397950517"/>
      <w:bookmarkStart w:id="212" w:name="_Toc430165064"/>
      <w:bookmarkStart w:id="213" w:name="_Toc416961548"/>
      <w:r>
        <w:rPr>
          <w:rStyle w:val="CharSectno"/>
        </w:rPr>
        <w:t>39</w:t>
      </w:r>
      <w:r>
        <w:t>.</w:t>
      </w:r>
      <w:r>
        <w:tab/>
        <w:t>Jurisdiction to be exercised by Commissioner with necessary qualifications</w:t>
      </w:r>
      <w:bookmarkEnd w:id="211"/>
      <w:bookmarkEnd w:id="212"/>
      <w:bookmarkEnd w:id="213"/>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214" w:name="_Toc397950518"/>
      <w:bookmarkStart w:id="215" w:name="_Toc430165065"/>
      <w:bookmarkStart w:id="216" w:name="_Toc416961549"/>
      <w:r>
        <w:rPr>
          <w:rStyle w:val="CharSectno"/>
        </w:rPr>
        <w:t>40</w:t>
      </w:r>
      <w:r>
        <w:t>.</w:t>
      </w:r>
      <w:r>
        <w:tab/>
        <w:t>Persons who may refer disputes and matters to the Tribunal</w:t>
      </w:r>
      <w:bookmarkEnd w:id="214"/>
      <w:bookmarkEnd w:id="215"/>
      <w:bookmarkEnd w:id="216"/>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217" w:name="_Toc397950519"/>
      <w:bookmarkStart w:id="218" w:name="_Toc430165066"/>
      <w:bookmarkStart w:id="219" w:name="_Toc416961550"/>
      <w:r>
        <w:rPr>
          <w:rStyle w:val="CharSectno"/>
        </w:rPr>
        <w:t>41</w:t>
      </w:r>
      <w:r>
        <w:t>.</w:t>
      </w:r>
      <w:r>
        <w:tab/>
        <w:t>Intervention in proceeding</w:t>
      </w:r>
      <w:bookmarkEnd w:id="217"/>
      <w:bookmarkEnd w:id="218"/>
      <w:bookmarkEnd w:id="219"/>
    </w:p>
    <w:p>
      <w:pPr>
        <w:pStyle w:val="Subsection"/>
      </w:pPr>
      <w:r>
        <w:tab/>
      </w:r>
      <w:r>
        <w:tab/>
        <w:t>The Minister may, on behalf of the State and by leave of the Tribunal, intervene in a proceeding of the Tribunal in which the State has an interest.</w:t>
      </w:r>
    </w:p>
    <w:p>
      <w:pPr>
        <w:pStyle w:val="Heading5"/>
      </w:pPr>
      <w:bookmarkStart w:id="220" w:name="_Toc397950520"/>
      <w:bookmarkStart w:id="221" w:name="_Toc430165067"/>
      <w:bookmarkStart w:id="222" w:name="_Toc416961551"/>
      <w:r>
        <w:rPr>
          <w:rStyle w:val="CharSectno"/>
        </w:rPr>
        <w:t>42</w:t>
      </w:r>
      <w:r>
        <w:t>.</w:t>
      </w:r>
      <w:r>
        <w:tab/>
        <w:t>Representation</w:t>
      </w:r>
      <w:bookmarkEnd w:id="220"/>
      <w:bookmarkEnd w:id="221"/>
      <w:bookmarkEnd w:id="222"/>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223" w:name="_Toc397950521"/>
      <w:bookmarkStart w:id="224" w:name="_Toc430165068"/>
      <w:bookmarkStart w:id="225" w:name="_Toc416961552"/>
      <w:r>
        <w:rPr>
          <w:rStyle w:val="CharSectno"/>
        </w:rPr>
        <w:t>43</w:t>
      </w:r>
      <w:r>
        <w:t>.</w:t>
      </w:r>
      <w:r>
        <w:tab/>
        <w:t>Applied provisions: practice, procedure and appeals</w:t>
      </w:r>
      <w:bookmarkEnd w:id="223"/>
      <w:bookmarkEnd w:id="224"/>
      <w:bookmarkEnd w:id="225"/>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226" w:name="_Toc397950522"/>
      <w:bookmarkStart w:id="227" w:name="_Toc430165069"/>
      <w:bookmarkStart w:id="228" w:name="_Toc416961553"/>
      <w:r>
        <w:rPr>
          <w:rStyle w:val="CharSectno"/>
        </w:rPr>
        <w:t>44</w:t>
      </w:r>
      <w:r>
        <w:t>.</w:t>
      </w:r>
      <w:r>
        <w:tab/>
        <w:t>Conciliation</w:t>
      </w:r>
      <w:bookmarkEnd w:id="226"/>
      <w:bookmarkEnd w:id="227"/>
      <w:bookmarkEnd w:id="228"/>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229" w:name="_Toc397950523"/>
      <w:bookmarkStart w:id="230" w:name="_Toc430165070"/>
      <w:bookmarkStart w:id="231" w:name="_Toc416961554"/>
      <w:r>
        <w:rPr>
          <w:rStyle w:val="CharSectno"/>
        </w:rPr>
        <w:t>45</w:t>
      </w:r>
      <w:r>
        <w:t>.</w:t>
      </w:r>
      <w:r>
        <w:tab/>
        <w:t>Compulsory attendance at conciliation</w:t>
      </w:r>
      <w:bookmarkEnd w:id="229"/>
      <w:bookmarkEnd w:id="230"/>
      <w:bookmarkEnd w:id="231"/>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232" w:name="_Toc397950524"/>
      <w:bookmarkStart w:id="233" w:name="_Toc430165071"/>
      <w:bookmarkStart w:id="234" w:name="_Toc416961555"/>
      <w:r>
        <w:rPr>
          <w:rStyle w:val="CharSectno"/>
        </w:rPr>
        <w:t>46</w:t>
      </w:r>
      <w:r>
        <w:t>.</w:t>
      </w:r>
      <w:r>
        <w:tab/>
        <w:t>Enforcement for the purposes of sections 44 and 45</w:t>
      </w:r>
      <w:bookmarkEnd w:id="232"/>
      <w:bookmarkEnd w:id="233"/>
      <w:bookmarkEnd w:id="234"/>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235" w:name="_Toc397950525"/>
      <w:bookmarkStart w:id="236" w:name="_Toc430165072"/>
      <w:bookmarkStart w:id="237" w:name="_Toc416961556"/>
      <w:r>
        <w:rPr>
          <w:rStyle w:val="CharSectno"/>
        </w:rPr>
        <w:t>47</w:t>
      </w:r>
      <w:r>
        <w:t>.</w:t>
      </w:r>
      <w:r>
        <w:tab/>
        <w:t>Determination of dispute where no resolution by conciliation</w:t>
      </w:r>
      <w:bookmarkEnd w:id="235"/>
      <w:bookmarkEnd w:id="236"/>
      <w:bookmarkEnd w:id="237"/>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238" w:name="_Toc397950526"/>
      <w:bookmarkStart w:id="239" w:name="_Toc430165073"/>
      <w:bookmarkStart w:id="240" w:name="_Toc416961557"/>
      <w:r>
        <w:rPr>
          <w:rStyle w:val="CharSectno"/>
        </w:rPr>
        <w:t>48</w:t>
      </w:r>
      <w:r>
        <w:t>.</w:t>
      </w:r>
      <w:r>
        <w:tab/>
        <w:t>Order to prevent entering into of owner</w:t>
      </w:r>
      <w:r>
        <w:noBreakHyphen/>
        <w:t>driver contracts</w:t>
      </w:r>
      <w:bookmarkEnd w:id="238"/>
      <w:bookmarkEnd w:id="239"/>
      <w:bookmarkEnd w:id="240"/>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241" w:name="_Toc397950527"/>
      <w:bookmarkStart w:id="242" w:name="_Toc430165074"/>
      <w:bookmarkStart w:id="243" w:name="_Toc416961558"/>
      <w:r>
        <w:rPr>
          <w:rStyle w:val="CharSectno"/>
        </w:rPr>
        <w:t>49</w:t>
      </w:r>
      <w:r>
        <w:t>.</w:t>
      </w:r>
      <w:r>
        <w:tab/>
        <w:t>Other jurisdictions</w:t>
      </w:r>
      <w:bookmarkEnd w:id="241"/>
      <w:bookmarkEnd w:id="242"/>
      <w:bookmarkEnd w:id="243"/>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244" w:name="_Toc397950528"/>
      <w:bookmarkStart w:id="245" w:name="_Toc430165075"/>
      <w:bookmarkStart w:id="246" w:name="_Toc416961559"/>
      <w:r>
        <w:rPr>
          <w:rStyle w:val="CharSectno"/>
        </w:rPr>
        <w:t>50</w:t>
      </w:r>
      <w:r>
        <w:t>.</w:t>
      </w:r>
      <w:r>
        <w:tab/>
        <w:t>Enforcement of monetary order</w:t>
      </w:r>
      <w:bookmarkEnd w:id="244"/>
      <w:bookmarkEnd w:id="245"/>
      <w:bookmarkEnd w:id="246"/>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247" w:name="_Toc397950529"/>
      <w:bookmarkStart w:id="248" w:name="_Toc430165076"/>
      <w:bookmarkStart w:id="249" w:name="_Toc416961560"/>
      <w:r>
        <w:rPr>
          <w:rStyle w:val="CharSectno"/>
        </w:rPr>
        <w:t>51</w:t>
      </w:r>
      <w:r>
        <w:t>.</w:t>
      </w:r>
      <w:r>
        <w:tab/>
        <w:t>Enforcement of order other than conciliation or monetary order</w:t>
      </w:r>
      <w:bookmarkEnd w:id="247"/>
      <w:bookmarkEnd w:id="248"/>
      <w:bookmarkEnd w:id="249"/>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 xml:space="preserve">A person who fails to comply with an order to which this section applies is to be taken to commit a contempt of the </w:t>
      </w:r>
      <w:smartTag w:uri="urn:schemas-microsoft-com:office:smarttags" w:element="address">
        <w:smartTag w:uri="urn:schemas-microsoft-com:office:smarttags" w:element="Street">
          <w:r>
            <w:t>Industrial Appeal Court</w:t>
          </w:r>
        </w:smartTag>
      </w:smartTag>
      <w:r>
        <w:t xml:space="preserve"> and is punishable by that court under the IR Act</w:t>
      </w:r>
      <w:r>
        <w:rPr>
          <w:i/>
          <w:iCs/>
        </w:rPr>
        <w:t xml:space="preserve"> </w:t>
      </w:r>
      <w:r>
        <w:t>section 92.</w:t>
      </w:r>
    </w:p>
    <w:p>
      <w:pPr>
        <w:pStyle w:val="Heading2"/>
      </w:pPr>
      <w:bookmarkStart w:id="250" w:name="_Toc379463028"/>
      <w:bookmarkStart w:id="251" w:name="_Toc379463134"/>
      <w:bookmarkStart w:id="252" w:name="_Toc392504079"/>
      <w:bookmarkStart w:id="253" w:name="_Toc397950424"/>
      <w:bookmarkStart w:id="254" w:name="_Toc397950530"/>
      <w:bookmarkStart w:id="255" w:name="_Toc416961458"/>
      <w:bookmarkStart w:id="256" w:name="_Toc416961561"/>
      <w:bookmarkStart w:id="257" w:name="_Toc430165077"/>
      <w:r>
        <w:rPr>
          <w:rStyle w:val="CharPartNo"/>
        </w:rPr>
        <w:t>Part 10</w:t>
      </w:r>
      <w:r>
        <w:rPr>
          <w:rStyle w:val="CharDivNo"/>
        </w:rPr>
        <w:t> </w:t>
      </w:r>
      <w:r>
        <w:t>—</w:t>
      </w:r>
      <w:r>
        <w:rPr>
          <w:rStyle w:val="CharDivText"/>
        </w:rPr>
        <w:t> </w:t>
      </w:r>
      <w:r>
        <w:rPr>
          <w:rStyle w:val="CharPartText"/>
        </w:rPr>
        <w:t>Miscellaneous</w:t>
      </w:r>
      <w:bookmarkEnd w:id="250"/>
      <w:bookmarkEnd w:id="251"/>
      <w:bookmarkEnd w:id="252"/>
      <w:bookmarkEnd w:id="253"/>
      <w:bookmarkEnd w:id="254"/>
      <w:bookmarkEnd w:id="255"/>
      <w:bookmarkEnd w:id="256"/>
      <w:bookmarkEnd w:id="257"/>
    </w:p>
    <w:p>
      <w:pPr>
        <w:pStyle w:val="Heading5"/>
      </w:pPr>
      <w:bookmarkStart w:id="258" w:name="_Toc397950531"/>
      <w:bookmarkStart w:id="259" w:name="_Toc430165078"/>
      <w:bookmarkStart w:id="260" w:name="_Toc416961562"/>
      <w:r>
        <w:rPr>
          <w:rStyle w:val="CharSectno"/>
        </w:rPr>
        <w:t>52</w:t>
      </w:r>
      <w:r>
        <w:t>.</w:t>
      </w:r>
      <w:r>
        <w:tab/>
        <w:t>Trade Practices Act and Competition Code</w:t>
      </w:r>
      <w:bookmarkEnd w:id="258"/>
      <w:bookmarkEnd w:id="259"/>
      <w:bookmarkEnd w:id="260"/>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261" w:name="_Toc397950532"/>
      <w:bookmarkStart w:id="262" w:name="_Toc430165079"/>
      <w:bookmarkStart w:id="263" w:name="_Toc416961563"/>
      <w:r>
        <w:rPr>
          <w:rStyle w:val="CharSectno"/>
        </w:rPr>
        <w:t>53</w:t>
      </w:r>
      <w:r>
        <w:t>.</w:t>
      </w:r>
      <w:r>
        <w:tab/>
        <w:t>Confidentiality</w:t>
      </w:r>
      <w:bookmarkEnd w:id="261"/>
      <w:bookmarkEnd w:id="262"/>
      <w:bookmarkEnd w:id="263"/>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264" w:name="_Toc397950533"/>
      <w:bookmarkStart w:id="265" w:name="_Toc430165080"/>
      <w:bookmarkStart w:id="266" w:name="_Toc416961564"/>
      <w:r>
        <w:rPr>
          <w:rStyle w:val="CharSectno"/>
        </w:rPr>
        <w:t>54</w:t>
      </w:r>
      <w:r>
        <w:t>.</w:t>
      </w:r>
      <w:r>
        <w:tab/>
        <w:t>Laying documents before Parliament</w:t>
      </w:r>
      <w:bookmarkEnd w:id="264"/>
      <w:bookmarkEnd w:id="265"/>
      <w:bookmarkEnd w:id="266"/>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267" w:name="_Toc397950534"/>
      <w:bookmarkStart w:id="268" w:name="_Toc430165081"/>
      <w:bookmarkStart w:id="269" w:name="_Toc416961565"/>
      <w:r>
        <w:rPr>
          <w:rStyle w:val="CharSectno"/>
        </w:rPr>
        <w:t>55</w:t>
      </w:r>
      <w:r>
        <w:t>.</w:t>
      </w:r>
      <w:r>
        <w:tab/>
        <w:t>Protection from liability</w:t>
      </w:r>
      <w:bookmarkEnd w:id="267"/>
      <w:bookmarkEnd w:id="268"/>
      <w:bookmarkEnd w:id="26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270" w:name="_Toc397950535"/>
      <w:bookmarkStart w:id="271" w:name="_Toc430165082"/>
      <w:bookmarkStart w:id="272" w:name="_Toc416961566"/>
      <w:r>
        <w:rPr>
          <w:rStyle w:val="CharSectno"/>
        </w:rPr>
        <w:t>56</w:t>
      </w:r>
      <w:r>
        <w:t>.</w:t>
      </w:r>
      <w:r>
        <w:tab/>
        <w:t>Protection for compliance with this Act</w:t>
      </w:r>
      <w:bookmarkEnd w:id="270"/>
      <w:bookmarkEnd w:id="271"/>
      <w:bookmarkEnd w:id="27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73" w:name="_Toc397950536"/>
      <w:bookmarkStart w:id="274" w:name="_Toc430165083"/>
      <w:bookmarkStart w:id="275" w:name="_Toc416961567"/>
      <w:r>
        <w:rPr>
          <w:rStyle w:val="CharSectno"/>
        </w:rPr>
        <w:t>57</w:t>
      </w:r>
      <w:r>
        <w:t>.</w:t>
      </w:r>
      <w:r>
        <w:tab/>
        <w:t>Regulations</w:t>
      </w:r>
      <w:bookmarkEnd w:id="273"/>
      <w:bookmarkEnd w:id="274"/>
      <w:bookmarkEnd w:id="2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276" w:name="_Toc397950537"/>
      <w:bookmarkStart w:id="277" w:name="_Toc430165084"/>
      <w:bookmarkStart w:id="278" w:name="_Toc416961568"/>
      <w:r>
        <w:rPr>
          <w:rStyle w:val="CharSectno"/>
        </w:rPr>
        <w:t>58</w:t>
      </w:r>
      <w:r>
        <w:t>.</w:t>
      </w:r>
      <w:r>
        <w:tab/>
        <w:t>Consequential amendments</w:t>
      </w:r>
      <w:bookmarkEnd w:id="276"/>
      <w:bookmarkEnd w:id="277"/>
      <w:bookmarkEnd w:id="278"/>
    </w:p>
    <w:p>
      <w:pPr>
        <w:pStyle w:val="Subsection"/>
      </w:pPr>
      <w:r>
        <w:tab/>
      </w:r>
      <w:r>
        <w:tab/>
        <w:t>The Acts mentioned in Schedule 3 are amended as set out in that Schedule.</w:t>
      </w:r>
    </w:p>
    <w:p>
      <w:pPr>
        <w:pStyle w:val="Heading5"/>
      </w:pPr>
      <w:bookmarkStart w:id="279" w:name="_Toc397950538"/>
      <w:bookmarkStart w:id="280" w:name="_Toc430165085"/>
      <w:bookmarkStart w:id="281" w:name="_Toc416961569"/>
      <w:r>
        <w:rPr>
          <w:rStyle w:val="CharSectno"/>
        </w:rPr>
        <w:t>59</w:t>
      </w:r>
      <w:r>
        <w:t>.</w:t>
      </w:r>
      <w:r>
        <w:tab/>
        <w:t>Review of Act</w:t>
      </w:r>
      <w:bookmarkEnd w:id="279"/>
      <w:bookmarkEnd w:id="280"/>
      <w:bookmarkEnd w:id="281"/>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cols w:space="720"/>
          <w:titlePg/>
          <w:docGrid w:linePitch="326"/>
        </w:sectPr>
      </w:pPr>
    </w:p>
    <w:p>
      <w:pPr>
        <w:pStyle w:val="yScheduleHeading"/>
      </w:pPr>
      <w:bookmarkStart w:id="282" w:name="_Toc379463037"/>
      <w:bookmarkStart w:id="283" w:name="_Toc379463143"/>
      <w:bookmarkStart w:id="284" w:name="_Toc392504088"/>
      <w:bookmarkStart w:id="285" w:name="_Toc397950433"/>
      <w:bookmarkStart w:id="286" w:name="_Toc397950539"/>
      <w:bookmarkStart w:id="287" w:name="_Toc416961467"/>
      <w:bookmarkStart w:id="288" w:name="_Toc416961570"/>
      <w:bookmarkStart w:id="289" w:name="_Toc430165086"/>
      <w:r>
        <w:rPr>
          <w:rStyle w:val="CharSchNo"/>
        </w:rPr>
        <w:t>Schedule 1</w:t>
      </w:r>
      <w:r>
        <w:t> — </w:t>
      </w:r>
      <w:r>
        <w:rPr>
          <w:rStyle w:val="CharSchText"/>
        </w:rPr>
        <w:t>Implied provisions</w:t>
      </w:r>
      <w:bookmarkEnd w:id="282"/>
      <w:bookmarkEnd w:id="283"/>
      <w:bookmarkEnd w:id="284"/>
      <w:bookmarkEnd w:id="285"/>
      <w:bookmarkEnd w:id="286"/>
      <w:bookmarkEnd w:id="287"/>
      <w:bookmarkEnd w:id="288"/>
      <w:bookmarkEnd w:id="289"/>
    </w:p>
    <w:p>
      <w:pPr>
        <w:pStyle w:val="yShoulderClause"/>
      </w:pPr>
      <w:r>
        <w:t>[s. 13, 14, 15, 16]</w:t>
      </w:r>
    </w:p>
    <w:p>
      <w:pPr>
        <w:pStyle w:val="yHeading3"/>
      </w:pPr>
      <w:bookmarkStart w:id="290" w:name="_Toc379463038"/>
      <w:bookmarkStart w:id="291" w:name="_Toc379463144"/>
      <w:bookmarkStart w:id="292" w:name="_Toc392504089"/>
      <w:bookmarkStart w:id="293" w:name="_Toc397950434"/>
      <w:bookmarkStart w:id="294" w:name="_Toc397950540"/>
      <w:bookmarkStart w:id="295" w:name="_Toc416961468"/>
      <w:bookmarkStart w:id="296" w:name="_Toc416961571"/>
      <w:bookmarkStart w:id="297" w:name="_Toc430165087"/>
      <w:r>
        <w:rPr>
          <w:rStyle w:val="CharSDivNo"/>
        </w:rPr>
        <w:t>Division 1</w:t>
      </w:r>
      <w:r>
        <w:t> — </w:t>
      </w:r>
      <w:r>
        <w:rPr>
          <w:rStyle w:val="CharSDivText"/>
        </w:rPr>
        <w:t>Responding to claims for payment</w:t>
      </w:r>
      <w:bookmarkEnd w:id="290"/>
      <w:bookmarkEnd w:id="291"/>
      <w:bookmarkEnd w:id="292"/>
      <w:bookmarkEnd w:id="293"/>
      <w:bookmarkEnd w:id="294"/>
      <w:bookmarkEnd w:id="295"/>
      <w:bookmarkEnd w:id="296"/>
      <w:bookmarkEnd w:id="297"/>
    </w:p>
    <w:p>
      <w:pPr>
        <w:pStyle w:val="yHeading5"/>
      </w:pPr>
      <w:bookmarkStart w:id="298" w:name="_Toc397950541"/>
      <w:bookmarkStart w:id="299" w:name="_Toc430165088"/>
      <w:bookmarkStart w:id="300" w:name="_Toc416961572"/>
      <w:r>
        <w:rPr>
          <w:rStyle w:val="CharSClsNo"/>
        </w:rPr>
        <w:t>1</w:t>
      </w:r>
      <w:r>
        <w:t>.</w:t>
      </w:r>
      <w:r>
        <w:tab/>
        <w:t>Responding to a payment claim</w:t>
      </w:r>
      <w:bookmarkEnd w:id="298"/>
      <w:bookmarkEnd w:id="299"/>
      <w:bookmarkEnd w:id="300"/>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301" w:name="_Toc379463040"/>
      <w:bookmarkStart w:id="302" w:name="_Toc379463146"/>
      <w:bookmarkStart w:id="303" w:name="_Toc392504091"/>
      <w:bookmarkStart w:id="304" w:name="_Toc397950436"/>
      <w:bookmarkStart w:id="305" w:name="_Toc397950542"/>
      <w:bookmarkStart w:id="306" w:name="_Toc416961470"/>
      <w:bookmarkStart w:id="307" w:name="_Toc416961573"/>
      <w:bookmarkStart w:id="308" w:name="_Toc430165089"/>
      <w:r>
        <w:rPr>
          <w:rStyle w:val="CharSDivNo"/>
        </w:rPr>
        <w:t>Division 2</w:t>
      </w:r>
      <w:r>
        <w:t> — </w:t>
      </w:r>
      <w:r>
        <w:rPr>
          <w:rStyle w:val="CharSDivText"/>
        </w:rPr>
        <w:t>Interest on overdue amounts</w:t>
      </w:r>
      <w:bookmarkEnd w:id="301"/>
      <w:bookmarkEnd w:id="302"/>
      <w:bookmarkEnd w:id="303"/>
      <w:bookmarkEnd w:id="304"/>
      <w:bookmarkEnd w:id="305"/>
      <w:bookmarkEnd w:id="306"/>
      <w:bookmarkEnd w:id="307"/>
      <w:bookmarkEnd w:id="308"/>
    </w:p>
    <w:p>
      <w:pPr>
        <w:pStyle w:val="yHeading5"/>
      </w:pPr>
      <w:bookmarkStart w:id="309" w:name="_Toc397950543"/>
      <w:bookmarkStart w:id="310" w:name="_Toc430165090"/>
      <w:bookmarkStart w:id="311" w:name="_Toc416961574"/>
      <w:r>
        <w:rPr>
          <w:rStyle w:val="CharSClsNo"/>
        </w:rPr>
        <w:t>2</w:t>
      </w:r>
      <w:r>
        <w:t>.</w:t>
      </w:r>
      <w:r>
        <w:tab/>
        <w:t>Interest payable on overdue amounts</w:t>
      </w:r>
      <w:bookmarkEnd w:id="309"/>
      <w:bookmarkEnd w:id="310"/>
      <w:bookmarkEnd w:id="311"/>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312" w:name="_Toc379463042"/>
      <w:bookmarkStart w:id="313" w:name="_Toc379463148"/>
      <w:bookmarkStart w:id="314" w:name="_Toc392504093"/>
      <w:bookmarkStart w:id="315" w:name="_Toc397950438"/>
      <w:bookmarkStart w:id="316" w:name="_Toc397950544"/>
      <w:bookmarkStart w:id="317" w:name="_Toc416961472"/>
      <w:bookmarkStart w:id="318" w:name="_Toc416961575"/>
      <w:bookmarkStart w:id="319" w:name="_Toc430165091"/>
      <w:r>
        <w:rPr>
          <w:rStyle w:val="CharSDivNo"/>
        </w:rPr>
        <w:t>Division 3</w:t>
      </w:r>
      <w:r>
        <w:t> — </w:t>
      </w:r>
      <w:r>
        <w:rPr>
          <w:rStyle w:val="CharSDivText"/>
        </w:rPr>
        <w:t>Making claims for payment</w:t>
      </w:r>
      <w:bookmarkEnd w:id="312"/>
      <w:bookmarkEnd w:id="313"/>
      <w:bookmarkEnd w:id="314"/>
      <w:bookmarkEnd w:id="315"/>
      <w:bookmarkEnd w:id="316"/>
      <w:bookmarkEnd w:id="317"/>
      <w:bookmarkEnd w:id="318"/>
      <w:bookmarkEnd w:id="319"/>
    </w:p>
    <w:p>
      <w:pPr>
        <w:pStyle w:val="yHeading5"/>
      </w:pPr>
      <w:bookmarkStart w:id="320" w:name="_Toc397950545"/>
      <w:bookmarkStart w:id="321" w:name="_Toc430165092"/>
      <w:bookmarkStart w:id="322" w:name="_Toc416961576"/>
      <w:r>
        <w:rPr>
          <w:rStyle w:val="CharSClsNo"/>
        </w:rPr>
        <w:t>3</w:t>
      </w:r>
      <w:r>
        <w:t>.</w:t>
      </w:r>
      <w:r>
        <w:tab/>
        <w:t>Content of claim for payment</w:t>
      </w:r>
      <w:bookmarkEnd w:id="320"/>
      <w:bookmarkEnd w:id="321"/>
      <w:bookmarkEnd w:id="322"/>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323" w:name="_Toc379463044"/>
      <w:bookmarkStart w:id="324" w:name="_Toc379463150"/>
      <w:bookmarkStart w:id="325" w:name="_Toc392504095"/>
      <w:bookmarkStart w:id="326" w:name="_Toc397950440"/>
      <w:bookmarkStart w:id="327" w:name="_Toc397950546"/>
      <w:bookmarkStart w:id="328" w:name="_Toc416961474"/>
      <w:bookmarkStart w:id="329" w:name="_Toc416961577"/>
      <w:bookmarkStart w:id="330" w:name="_Toc430165093"/>
      <w:r>
        <w:rPr>
          <w:rStyle w:val="CharSchNo"/>
        </w:rPr>
        <w:t>Schedule 2</w:t>
      </w:r>
      <w:r>
        <w:t> — </w:t>
      </w:r>
      <w:r>
        <w:rPr>
          <w:rStyle w:val="CharSchText"/>
        </w:rPr>
        <w:t>Constitution and proceedings of Council</w:t>
      </w:r>
      <w:bookmarkEnd w:id="323"/>
      <w:bookmarkEnd w:id="324"/>
      <w:bookmarkEnd w:id="325"/>
      <w:bookmarkEnd w:id="326"/>
      <w:bookmarkEnd w:id="327"/>
      <w:bookmarkEnd w:id="328"/>
      <w:bookmarkEnd w:id="329"/>
      <w:bookmarkEnd w:id="330"/>
    </w:p>
    <w:p>
      <w:pPr>
        <w:pStyle w:val="yShoulderClause"/>
      </w:pPr>
      <w:r>
        <w:t>[s. 23]</w:t>
      </w:r>
    </w:p>
    <w:p>
      <w:pPr>
        <w:pStyle w:val="yHeading3"/>
      </w:pPr>
      <w:bookmarkStart w:id="331" w:name="_Toc379463045"/>
      <w:bookmarkStart w:id="332" w:name="_Toc379463151"/>
      <w:bookmarkStart w:id="333" w:name="_Toc392504096"/>
      <w:bookmarkStart w:id="334" w:name="_Toc397950441"/>
      <w:bookmarkStart w:id="335" w:name="_Toc397950547"/>
      <w:bookmarkStart w:id="336" w:name="_Toc416961475"/>
      <w:bookmarkStart w:id="337" w:name="_Toc416961578"/>
      <w:bookmarkStart w:id="338" w:name="_Toc430165094"/>
      <w:r>
        <w:rPr>
          <w:rStyle w:val="CharSDivNo"/>
        </w:rPr>
        <w:t>Division 1</w:t>
      </w:r>
      <w:r>
        <w:t> — </w:t>
      </w:r>
      <w:r>
        <w:rPr>
          <w:rStyle w:val="CharSDivText"/>
        </w:rPr>
        <w:t>General provisions</w:t>
      </w:r>
      <w:bookmarkEnd w:id="331"/>
      <w:bookmarkEnd w:id="332"/>
      <w:bookmarkEnd w:id="333"/>
      <w:bookmarkEnd w:id="334"/>
      <w:bookmarkEnd w:id="335"/>
      <w:bookmarkEnd w:id="336"/>
      <w:bookmarkEnd w:id="337"/>
      <w:bookmarkEnd w:id="338"/>
    </w:p>
    <w:p>
      <w:pPr>
        <w:pStyle w:val="yHeading5"/>
      </w:pPr>
      <w:bookmarkStart w:id="339" w:name="_Toc397950548"/>
      <w:bookmarkStart w:id="340" w:name="_Toc430165095"/>
      <w:bookmarkStart w:id="341" w:name="_Toc416961579"/>
      <w:r>
        <w:rPr>
          <w:rStyle w:val="CharSClsNo"/>
        </w:rPr>
        <w:t>1</w:t>
      </w:r>
      <w:r>
        <w:t>.</w:t>
      </w:r>
      <w:r>
        <w:tab/>
        <w:t>Term of office</w:t>
      </w:r>
      <w:bookmarkEnd w:id="339"/>
      <w:bookmarkEnd w:id="340"/>
      <w:bookmarkEnd w:id="341"/>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342" w:name="_Toc397950549"/>
      <w:bookmarkStart w:id="343" w:name="_Toc430165096"/>
      <w:bookmarkStart w:id="344" w:name="_Toc416961580"/>
      <w:r>
        <w:rPr>
          <w:rStyle w:val="CharSClsNo"/>
        </w:rPr>
        <w:t>2</w:t>
      </w:r>
      <w:r>
        <w:t>.</w:t>
      </w:r>
      <w:r>
        <w:tab/>
        <w:t>Chairman and deputy chairman</w:t>
      </w:r>
      <w:bookmarkEnd w:id="342"/>
      <w:bookmarkEnd w:id="343"/>
      <w:bookmarkEnd w:id="344"/>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345" w:name="_Toc397950550"/>
      <w:bookmarkStart w:id="346" w:name="_Toc430165097"/>
      <w:bookmarkStart w:id="347" w:name="_Toc416961581"/>
      <w:r>
        <w:rPr>
          <w:rStyle w:val="CharSClsNo"/>
        </w:rPr>
        <w:t>3</w:t>
      </w:r>
      <w:r>
        <w:t>.</w:t>
      </w:r>
      <w:r>
        <w:tab/>
        <w:t>Resignation, removal, etc.</w:t>
      </w:r>
      <w:bookmarkEnd w:id="345"/>
      <w:bookmarkEnd w:id="346"/>
      <w:bookmarkEnd w:id="347"/>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348" w:name="_Toc397950551"/>
      <w:bookmarkStart w:id="349" w:name="_Toc430165098"/>
      <w:bookmarkStart w:id="350" w:name="_Toc416961582"/>
      <w:r>
        <w:rPr>
          <w:rStyle w:val="CharSClsNo"/>
        </w:rPr>
        <w:t>4</w:t>
      </w:r>
      <w:r>
        <w:t>.</w:t>
      </w:r>
      <w:r>
        <w:tab/>
        <w:t>Leave of absence</w:t>
      </w:r>
      <w:bookmarkEnd w:id="348"/>
      <w:bookmarkEnd w:id="349"/>
      <w:bookmarkEnd w:id="350"/>
    </w:p>
    <w:p>
      <w:pPr>
        <w:pStyle w:val="ySubsection"/>
      </w:pPr>
      <w:r>
        <w:tab/>
      </w:r>
      <w:r>
        <w:tab/>
        <w:t>The Council may grant leave of absence to a Council member on the terms and conditions that it thinks fit.</w:t>
      </w:r>
    </w:p>
    <w:p>
      <w:pPr>
        <w:pStyle w:val="yHeading5"/>
      </w:pPr>
      <w:bookmarkStart w:id="351" w:name="_Toc397950552"/>
      <w:bookmarkStart w:id="352" w:name="_Toc430165099"/>
      <w:bookmarkStart w:id="353" w:name="_Toc416961583"/>
      <w:r>
        <w:rPr>
          <w:rStyle w:val="CharSClsNo"/>
        </w:rPr>
        <w:t>5</w:t>
      </w:r>
      <w:r>
        <w:t>.</w:t>
      </w:r>
      <w:r>
        <w:tab/>
        <w:t>Council member unable to act</w:t>
      </w:r>
      <w:bookmarkEnd w:id="351"/>
      <w:bookmarkEnd w:id="352"/>
      <w:bookmarkEnd w:id="353"/>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354" w:name="_Toc397950553"/>
      <w:bookmarkStart w:id="355" w:name="_Toc430165100"/>
      <w:bookmarkStart w:id="356" w:name="_Toc416961584"/>
      <w:r>
        <w:rPr>
          <w:rStyle w:val="CharSClsNo"/>
        </w:rPr>
        <w:t>6</w:t>
      </w:r>
      <w:r>
        <w:t>.</w:t>
      </w:r>
      <w:r>
        <w:tab/>
        <w:t>Savings</w:t>
      </w:r>
      <w:bookmarkEnd w:id="354"/>
      <w:bookmarkEnd w:id="355"/>
      <w:bookmarkEnd w:id="356"/>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357" w:name="_Toc397950554"/>
      <w:bookmarkStart w:id="358" w:name="_Toc430165101"/>
      <w:bookmarkStart w:id="359" w:name="_Toc416961585"/>
      <w:r>
        <w:rPr>
          <w:rStyle w:val="CharSClsNo"/>
        </w:rPr>
        <w:t>7</w:t>
      </w:r>
      <w:r>
        <w:t>.</w:t>
      </w:r>
      <w:r>
        <w:tab/>
        <w:t>Calling of meetings</w:t>
      </w:r>
      <w:bookmarkEnd w:id="357"/>
      <w:bookmarkEnd w:id="358"/>
      <w:bookmarkEnd w:id="359"/>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360" w:name="_Toc397950555"/>
      <w:bookmarkStart w:id="361" w:name="_Toc430165102"/>
      <w:bookmarkStart w:id="362" w:name="_Toc416961586"/>
      <w:r>
        <w:rPr>
          <w:rStyle w:val="CharSClsNo"/>
        </w:rPr>
        <w:t>8</w:t>
      </w:r>
      <w:r>
        <w:t>.</w:t>
      </w:r>
      <w:r>
        <w:tab/>
        <w:t>Presiding officer</w:t>
      </w:r>
      <w:bookmarkEnd w:id="360"/>
      <w:bookmarkEnd w:id="361"/>
      <w:bookmarkEnd w:id="362"/>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363" w:name="_Toc397950556"/>
      <w:bookmarkStart w:id="364" w:name="_Toc430165103"/>
      <w:bookmarkStart w:id="365" w:name="_Toc416961587"/>
      <w:r>
        <w:rPr>
          <w:rStyle w:val="CharSClsNo"/>
        </w:rPr>
        <w:t>9</w:t>
      </w:r>
      <w:r>
        <w:t>.</w:t>
      </w:r>
      <w:r>
        <w:tab/>
        <w:t>Quorum</w:t>
      </w:r>
      <w:bookmarkEnd w:id="363"/>
      <w:bookmarkEnd w:id="364"/>
      <w:bookmarkEnd w:id="365"/>
    </w:p>
    <w:p>
      <w:pPr>
        <w:pStyle w:val="ySubsection"/>
      </w:pPr>
      <w:r>
        <w:tab/>
      </w:r>
      <w:r>
        <w:tab/>
        <w:t>A quorum for a meeting of the Council is at least one half of the number of Council members.</w:t>
      </w:r>
    </w:p>
    <w:p>
      <w:pPr>
        <w:pStyle w:val="yHeading5"/>
      </w:pPr>
      <w:bookmarkStart w:id="366" w:name="_Toc397950557"/>
      <w:bookmarkStart w:id="367" w:name="_Toc430165104"/>
      <w:bookmarkStart w:id="368" w:name="_Toc416961588"/>
      <w:r>
        <w:rPr>
          <w:rStyle w:val="CharSClsNo"/>
        </w:rPr>
        <w:t>10</w:t>
      </w:r>
      <w:r>
        <w:t>.</w:t>
      </w:r>
      <w:r>
        <w:tab/>
        <w:t>Voting</w:t>
      </w:r>
      <w:bookmarkEnd w:id="366"/>
      <w:bookmarkEnd w:id="367"/>
      <w:bookmarkEnd w:id="368"/>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369" w:name="_Toc397950558"/>
      <w:bookmarkStart w:id="370" w:name="_Toc430165105"/>
      <w:bookmarkStart w:id="371" w:name="_Toc416961589"/>
      <w:r>
        <w:rPr>
          <w:rStyle w:val="CharSClsNo"/>
        </w:rPr>
        <w:t>11</w:t>
      </w:r>
      <w:r>
        <w:t>.</w:t>
      </w:r>
      <w:r>
        <w:tab/>
        <w:t>Minutes</w:t>
      </w:r>
      <w:bookmarkEnd w:id="369"/>
      <w:bookmarkEnd w:id="370"/>
      <w:bookmarkEnd w:id="371"/>
    </w:p>
    <w:p>
      <w:pPr>
        <w:pStyle w:val="ySubsection"/>
      </w:pPr>
      <w:r>
        <w:tab/>
      </w:r>
      <w:r>
        <w:tab/>
        <w:t>The Council is to cause accurate minutes to be kept of the proceedings at its meetings.</w:t>
      </w:r>
    </w:p>
    <w:p>
      <w:pPr>
        <w:pStyle w:val="yHeading5"/>
      </w:pPr>
      <w:bookmarkStart w:id="372" w:name="_Toc397950559"/>
      <w:bookmarkStart w:id="373" w:name="_Toc430165106"/>
      <w:bookmarkStart w:id="374" w:name="_Toc416961590"/>
      <w:r>
        <w:rPr>
          <w:rStyle w:val="CharSClsNo"/>
        </w:rPr>
        <w:t>12</w:t>
      </w:r>
      <w:r>
        <w:t>.</w:t>
      </w:r>
      <w:r>
        <w:tab/>
        <w:t>Resolution without meeting</w:t>
      </w:r>
      <w:bookmarkEnd w:id="372"/>
      <w:bookmarkEnd w:id="373"/>
      <w:bookmarkEnd w:id="374"/>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375" w:name="_Toc397950560"/>
      <w:bookmarkStart w:id="376" w:name="_Toc430165107"/>
      <w:bookmarkStart w:id="377" w:name="_Toc416961591"/>
      <w:r>
        <w:rPr>
          <w:rStyle w:val="CharSClsNo"/>
        </w:rPr>
        <w:t>13</w:t>
      </w:r>
      <w:r>
        <w:t>.</w:t>
      </w:r>
      <w:r>
        <w:tab/>
        <w:t>Holding meetings remotely</w:t>
      </w:r>
      <w:bookmarkEnd w:id="375"/>
      <w:bookmarkEnd w:id="376"/>
      <w:bookmarkEnd w:id="377"/>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378" w:name="_Toc397950561"/>
      <w:bookmarkStart w:id="379" w:name="_Toc430165108"/>
      <w:bookmarkStart w:id="380" w:name="_Toc416961592"/>
      <w:r>
        <w:rPr>
          <w:rStyle w:val="CharSClsNo"/>
        </w:rPr>
        <w:t>14</w:t>
      </w:r>
      <w:r>
        <w:t>.</w:t>
      </w:r>
      <w:r>
        <w:tab/>
        <w:t>Committees</w:t>
      </w:r>
      <w:bookmarkEnd w:id="378"/>
      <w:bookmarkEnd w:id="379"/>
      <w:bookmarkEnd w:id="380"/>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381" w:name="_Toc397950562"/>
      <w:bookmarkStart w:id="382" w:name="_Toc430165109"/>
      <w:bookmarkStart w:id="383" w:name="_Toc416961593"/>
      <w:r>
        <w:rPr>
          <w:rStyle w:val="CharSClsNo"/>
        </w:rPr>
        <w:t>15</w:t>
      </w:r>
      <w:r>
        <w:t>.</w:t>
      </w:r>
      <w:r>
        <w:tab/>
        <w:t>Council to determine own procedures</w:t>
      </w:r>
      <w:bookmarkEnd w:id="381"/>
      <w:bookmarkEnd w:id="382"/>
      <w:bookmarkEnd w:id="383"/>
    </w:p>
    <w:p>
      <w:pPr>
        <w:pStyle w:val="ySubsection"/>
      </w:pPr>
      <w:r>
        <w:tab/>
      </w:r>
      <w:r>
        <w:tab/>
        <w:t>Subject to this Act, the Council is to determine its own procedures.</w:t>
      </w:r>
    </w:p>
    <w:p>
      <w:pPr>
        <w:pStyle w:val="yHeading3"/>
      </w:pPr>
      <w:bookmarkStart w:id="384" w:name="_Toc379463061"/>
      <w:bookmarkStart w:id="385" w:name="_Toc379463167"/>
      <w:bookmarkStart w:id="386" w:name="_Toc392504112"/>
      <w:bookmarkStart w:id="387" w:name="_Toc397950457"/>
      <w:bookmarkStart w:id="388" w:name="_Toc397950563"/>
      <w:bookmarkStart w:id="389" w:name="_Toc416961491"/>
      <w:bookmarkStart w:id="390" w:name="_Toc416961594"/>
      <w:bookmarkStart w:id="391" w:name="_Toc430165110"/>
      <w:r>
        <w:rPr>
          <w:rStyle w:val="CharSDivNo"/>
        </w:rPr>
        <w:t>Division 2</w:t>
      </w:r>
      <w:r>
        <w:t> — </w:t>
      </w:r>
      <w:r>
        <w:rPr>
          <w:rStyle w:val="CharSDivText"/>
        </w:rPr>
        <w:t>Disclosure of interests etc.</w:t>
      </w:r>
      <w:bookmarkEnd w:id="384"/>
      <w:bookmarkEnd w:id="385"/>
      <w:bookmarkEnd w:id="386"/>
      <w:bookmarkEnd w:id="387"/>
      <w:bookmarkEnd w:id="388"/>
      <w:bookmarkEnd w:id="389"/>
      <w:bookmarkEnd w:id="390"/>
      <w:bookmarkEnd w:id="391"/>
    </w:p>
    <w:p>
      <w:pPr>
        <w:pStyle w:val="yHeading5"/>
      </w:pPr>
      <w:bookmarkStart w:id="392" w:name="_Toc397950564"/>
      <w:bookmarkStart w:id="393" w:name="_Toc430165111"/>
      <w:bookmarkStart w:id="394" w:name="_Toc416961595"/>
      <w:r>
        <w:rPr>
          <w:rStyle w:val="CharSClsNo"/>
        </w:rPr>
        <w:t>16</w:t>
      </w:r>
      <w:r>
        <w:t>.</w:t>
      </w:r>
      <w:r>
        <w:tab/>
        <w:t>Disclosure of interests</w:t>
      </w:r>
      <w:bookmarkEnd w:id="392"/>
      <w:bookmarkEnd w:id="393"/>
      <w:bookmarkEnd w:id="394"/>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395" w:name="_Toc397950565"/>
      <w:bookmarkStart w:id="396" w:name="_Toc430165112"/>
      <w:bookmarkStart w:id="397" w:name="_Toc416961596"/>
      <w:r>
        <w:rPr>
          <w:rStyle w:val="CharSClsNo"/>
        </w:rPr>
        <w:t>17</w:t>
      </w:r>
      <w:r>
        <w:t>.</w:t>
      </w:r>
      <w:r>
        <w:tab/>
        <w:t>Voting by interested members</w:t>
      </w:r>
      <w:bookmarkEnd w:id="395"/>
      <w:bookmarkEnd w:id="396"/>
      <w:bookmarkEnd w:id="397"/>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398" w:name="_Toc397950566"/>
      <w:bookmarkStart w:id="399" w:name="_Toc430165113"/>
      <w:bookmarkStart w:id="400" w:name="_Toc416961597"/>
      <w:r>
        <w:rPr>
          <w:rStyle w:val="CharSClsNo"/>
        </w:rPr>
        <w:t>18</w:t>
      </w:r>
      <w:r>
        <w:t>.</w:t>
      </w:r>
      <w:r>
        <w:tab/>
        <w:t>Clause 17 may be declared inapplicable</w:t>
      </w:r>
      <w:bookmarkEnd w:id="398"/>
      <w:bookmarkEnd w:id="399"/>
      <w:bookmarkEnd w:id="400"/>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401" w:name="_Toc397950567"/>
      <w:bookmarkStart w:id="402" w:name="_Toc430165114"/>
      <w:bookmarkStart w:id="403" w:name="_Toc416961598"/>
      <w:r>
        <w:rPr>
          <w:rStyle w:val="CharSClsNo"/>
        </w:rPr>
        <w:t>19</w:t>
      </w:r>
      <w:r>
        <w:t>.</w:t>
      </w:r>
      <w:r>
        <w:tab/>
        <w:t>Quorum where clause 17 applies</w:t>
      </w:r>
      <w:bookmarkEnd w:id="401"/>
      <w:bookmarkEnd w:id="402"/>
      <w:bookmarkEnd w:id="403"/>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404" w:name="_Toc397950568"/>
      <w:bookmarkStart w:id="405" w:name="_Toc430165115"/>
      <w:bookmarkStart w:id="406" w:name="_Toc416961599"/>
      <w:r>
        <w:rPr>
          <w:rStyle w:val="CharSClsNo"/>
        </w:rPr>
        <w:t>20</w:t>
      </w:r>
      <w:r>
        <w:t>.</w:t>
      </w:r>
      <w:r>
        <w:tab/>
        <w:t>Minister may declare clauses 17 and 19 inapplicable</w:t>
      </w:r>
      <w:bookmarkEnd w:id="404"/>
      <w:bookmarkEnd w:id="405"/>
      <w:bookmarkEnd w:id="406"/>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407" w:name="_Toc379463067"/>
      <w:bookmarkStart w:id="408" w:name="_Toc379463173"/>
      <w:bookmarkStart w:id="409" w:name="_Toc392504118"/>
      <w:bookmarkStart w:id="410" w:name="_Toc397950463"/>
      <w:bookmarkStart w:id="411" w:name="_Toc397950569"/>
      <w:bookmarkStart w:id="412" w:name="_Toc416961497"/>
      <w:bookmarkStart w:id="413" w:name="_Toc416961600"/>
      <w:bookmarkStart w:id="414" w:name="_Toc430165116"/>
      <w:r>
        <w:rPr>
          <w:rStyle w:val="CharSchNo"/>
        </w:rPr>
        <w:t>Schedule 3</w:t>
      </w:r>
      <w:r>
        <w:rPr>
          <w:rStyle w:val="CharSDivNo"/>
        </w:rPr>
        <w:t> </w:t>
      </w:r>
      <w:r>
        <w:t>—</w:t>
      </w:r>
      <w:r>
        <w:rPr>
          <w:rStyle w:val="CharSDivText"/>
        </w:rPr>
        <w:t> </w:t>
      </w:r>
      <w:r>
        <w:rPr>
          <w:rStyle w:val="CharSchText"/>
        </w:rPr>
        <w:t>Consequential amendments</w:t>
      </w:r>
      <w:bookmarkEnd w:id="407"/>
      <w:bookmarkEnd w:id="408"/>
      <w:bookmarkEnd w:id="409"/>
      <w:bookmarkEnd w:id="410"/>
      <w:bookmarkEnd w:id="411"/>
      <w:bookmarkEnd w:id="412"/>
      <w:bookmarkEnd w:id="413"/>
      <w:bookmarkEnd w:id="414"/>
    </w:p>
    <w:p>
      <w:pPr>
        <w:pStyle w:val="yShoulderClause"/>
      </w:pPr>
      <w:r>
        <w:t>[s. 58]</w:t>
      </w:r>
    </w:p>
    <w:p>
      <w:pPr>
        <w:pStyle w:val="yHeading5"/>
        <w:spacing w:before="120"/>
      </w:pPr>
      <w:bookmarkStart w:id="415" w:name="_Toc397950570"/>
      <w:bookmarkStart w:id="416" w:name="_Toc430165117"/>
      <w:bookmarkStart w:id="417" w:name="_Toc416961601"/>
      <w:r>
        <w:rPr>
          <w:rStyle w:val="CharSClsNo"/>
        </w:rPr>
        <w:t>1</w:t>
      </w:r>
      <w:r>
        <w:t>.</w:t>
      </w:r>
      <w:r>
        <w:tab/>
      </w:r>
      <w:r>
        <w:rPr>
          <w:i/>
          <w:iCs/>
        </w:rPr>
        <w:t xml:space="preserve">Industrial Relations Act 1979 </w:t>
      </w:r>
      <w:r>
        <w:t>amended</w:t>
      </w:r>
      <w:bookmarkEnd w:id="415"/>
      <w:bookmarkEnd w:id="416"/>
      <w:bookmarkEnd w:id="417"/>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418" w:name="_Toc397950571"/>
      <w:bookmarkStart w:id="419" w:name="_Toc430165118"/>
      <w:bookmarkStart w:id="420" w:name="_Toc416961602"/>
      <w:r>
        <w:rPr>
          <w:rStyle w:val="CharSClsNo"/>
        </w:rPr>
        <w:t>2</w:t>
      </w:r>
      <w:r>
        <w:t>.</w:t>
      </w:r>
      <w:r>
        <w:tab/>
      </w:r>
      <w:r>
        <w:rPr>
          <w:i/>
          <w:iCs/>
        </w:rPr>
        <w:t xml:space="preserve">Constitution Acts Amendment Act 1899 </w:t>
      </w:r>
      <w:r>
        <w:t>amended</w:t>
      </w:r>
      <w:bookmarkEnd w:id="418"/>
      <w:bookmarkEnd w:id="419"/>
      <w:bookmarkEnd w:id="420"/>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z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outlineLvl w:val="0"/>
        <w:sectPr>
          <w:headerReference w:type="even" r:id="rId21"/>
          <w:headerReference w:type="default" r:id="rId22"/>
          <w:pgSz w:w="11907" w:h="16840" w:code="9"/>
          <w:pgMar w:top="2381" w:right="2410" w:bottom="3544" w:left="2410" w:header="720" w:footer="3544" w:gutter="0"/>
          <w:cols w:space="720"/>
        </w:sectPr>
      </w:pPr>
    </w:p>
    <w:p>
      <w:pPr>
        <w:pStyle w:val="nHeading2"/>
        <w:rPr>
          <w:ins w:id="422" w:author="svcMRProcess" w:date="2018-09-06T07:40:00Z"/>
        </w:rPr>
      </w:pPr>
      <w:bookmarkStart w:id="423" w:name="_Toc379463070"/>
      <w:bookmarkStart w:id="424" w:name="_Toc379463176"/>
      <w:bookmarkStart w:id="425" w:name="_Toc392504121"/>
      <w:bookmarkStart w:id="426" w:name="_Toc397950466"/>
      <w:bookmarkStart w:id="427" w:name="_Toc397950572"/>
      <w:bookmarkStart w:id="428" w:name="_Toc430165119"/>
      <w:ins w:id="429" w:author="svcMRProcess" w:date="2018-09-06T07:40:00Z">
        <w:r>
          <w:t>Notes</w:t>
        </w:r>
        <w:bookmarkEnd w:id="423"/>
        <w:bookmarkEnd w:id="424"/>
        <w:bookmarkEnd w:id="425"/>
        <w:bookmarkEnd w:id="426"/>
        <w:bookmarkEnd w:id="427"/>
        <w:bookmarkEnd w:id="428"/>
      </w:ins>
    </w:p>
    <w:p>
      <w:pPr>
        <w:pStyle w:val="nSubsection"/>
        <w:rPr>
          <w:ins w:id="430" w:author="svcMRProcess" w:date="2018-09-06T07:40:00Z"/>
          <w:snapToGrid w:val="0"/>
        </w:rPr>
      </w:pPr>
      <w:ins w:id="431" w:author="svcMRProcess" w:date="2018-09-06T07:40:00Z">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ins>
    </w:p>
    <w:p>
      <w:pPr>
        <w:pStyle w:val="nHeading3"/>
        <w:rPr>
          <w:ins w:id="432" w:author="svcMRProcess" w:date="2018-09-06T07:40:00Z"/>
          <w:snapToGrid w:val="0"/>
        </w:rPr>
      </w:pPr>
      <w:bookmarkStart w:id="433" w:name="_Toc397950573"/>
      <w:bookmarkStart w:id="434" w:name="_Toc430165120"/>
      <w:ins w:id="435" w:author="svcMRProcess" w:date="2018-09-06T07:40:00Z">
        <w:r>
          <w:rPr>
            <w:snapToGrid w:val="0"/>
          </w:rPr>
          <w:t>Compilation table</w:t>
        </w:r>
        <w:bookmarkEnd w:id="433"/>
        <w:bookmarkEnd w:id="43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36" w:author="svcMRProcess" w:date="2018-09-06T07:40:00Z"/>
        </w:trPr>
        <w:tc>
          <w:tcPr>
            <w:tcW w:w="2268" w:type="dxa"/>
            <w:tcBorders>
              <w:top w:val="single" w:sz="4" w:space="0" w:color="auto"/>
              <w:bottom w:val="single" w:sz="4" w:space="0" w:color="auto"/>
            </w:tcBorders>
          </w:tcPr>
          <w:p>
            <w:pPr>
              <w:pStyle w:val="nTable"/>
              <w:spacing w:after="40"/>
              <w:rPr>
                <w:ins w:id="437" w:author="svcMRProcess" w:date="2018-09-06T07:40:00Z"/>
                <w:b/>
              </w:rPr>
            </w:pPr>
            <w:ins w:id="438" w:author="svcMRProcess" w:date="2018-09-06T07:40:00Z">
              <w:r>
                <w:rPr>
                  <w:b/>
                </w:rPr>
                <w:t>Short title</w:t>
              </w:r>
            </w:ins>
          </w:p>
        </w:tc>
        <w:tc>
          <w:tcPr>
            <w:tcW w:w="1134" w:type="dxa"/>
            <w:tcBorders>
              <w:top w:val="single" w:sz="4" w:space="0" w:color="auto"/>
              <w:bottom w:val="single" w:sz="4" w:space="0" w:color="auto"/>
            </w:tcBorders>
          </w:tcPr>
          <w:p>
            <w:pPr>
              <w:pStyle w:val="nTable"/>
              <w:spacing w:after="40"/>
              <w:rPr>
                <w:ins w:id="439" w:author="svcMRProcess" w:date="2018-09-06T07:40:00Z"/>
                <w:b/>
              </w:rPr>
            </w:pPr>
            <w:ins w:id="440" w:author="svcMRProcess" w:date="2018-09-06T07:40:00Z">
              <w:r>
                <w:rPr>
                  <w:b/>
                </w:rPr>
                <w:t>Number and year</w:t>
              </w:r>
            </w:ins>
          </w:p>
        </w:tc>
        <w:tc>
          <w:tcPr>
            <w:tcW w:w="1134" w:type="dxa"/>
            <w:tcBorders>
              <w:top w:val="single" w:sz="4" w:space="0" w:color="auto"/>
              <w:bottom w:val="single" w:sz="4" w:space="0" w:color="auto"/>
            </w:tcBorders>
          </w:tcPr>
          <w:p>
            <w:pPr>
              <w:pStyle w:val="nTable"/>
              <w:spacing w:after="40"/>
              <w:rPr>
                <w:ins w:id="441" w:author="svcMRProcess" w:date="2018-09-06T07:40:00Z"/>
                <w:b/>
              </w:rPr>
            </w:pPr>
            <w:ins w:id="442" w:author="svcMRProcess" w:date="2018-09-06T07:40:00Z">
              <w:r>
                <w:rPr>
                  <w:b/>
                </w:rPr>
                <w:t>Assent</w:t>
              </w:r>
            </w:ins>
          </w:p>
        </w:tc>
        <w:tc>
          <w:tcPr>
            <w:tcW w:w="2552" w:type="dxa"/>
            <w:tcBorders>
              <w:top w:val="single" w:sz="4" w:space="0" w:color="auto"/>
              <w:bottom w:val="single" w:sz="4" w:space="0" w:color="auto"/>
            </w:tcBorders>
          </w:tcPr>
          <w:p>
            <w:pPr>
              <w:pStyle w:val="nTable"/>
              <w:spacing w:after="40"/>
              <w:rPr>
                <w:ins w:id="443" w:author="svcMRProcess" w:date="2018-09-06T07:40:00Z"/>
                <w:b/>
              </w:rPr>
            </w:pPr>
            <w:ins w:id="444" w:author="svcMRProcess" w:date="2018-09-06T07:40:00Z">
              <w:r>
                <w:rPr>
                  <w:b/>
                </w:rPr>
                <w:t>Commencement</w:t>
              </w:r>
            </w:ins>
          </w:p>
        </w:tc>
      </w:tr>
      <w:tr>
        <w:trPr>
          <w:ins w:id="445" w:author="svcMRProcess" w:date="2018-09-06T07:40:00Z"/>
        </w:trPr>
        <w:tc>
          <w:tcPr>
            <w:tcW w:w="2268" w:type="dxa"/>
            <w:tcBorders>
              <w:top w:val="single" w:sz="4" w:space="0" w:color="auto"/>
              <w:bottom w:val="nil"/>
            </w:tcBorders>
          </w:tcPr>
          <w:p>
            <w:pPr>
              <w:pStyle w:val="nTable"/>
              <w:spacing w:after="40"/>
              <w:rPr>
                <w:ins w:id="446" w:author="svcMRProcess" w:date="2018-09-06T07:40:00Z"/>
              </w:rPr>
            </w:pPr>
            <w:ins w:id="447" w:author="svcMRProcess" w:date="2018-09-06T07:40:00Z">
              <w:r>
                <w:rPr>
                  <w:i/>
                </w:rPr>
                <w:t>Owner-Drivers (Contracts and Disputes) Act 2007</w:t>
              </w:r>
              <w:r>
                <w:t xml:space="preserve"> </w:t>
              </w:r>
            </w:ins>
          </w:p>
        </w:tc>
        <w:tc>
          <w:tcPr>
            <w:tcW w:w="1134" w:type="dxa"/>
            <w:tcBorders>
              <w:top w:val="single" w:sz="4" w:space="0" w:color="auto"/>
              <w:bottom w:val="nil"/>
            </w:tcBorders>
          </w:tcPr>
          <w:p>
            <w:pPr>
              <w:pStyle w:val="nTable"/>
              <w:spacing w:after="40"/>
              <w:rPr>
                <w:ins w:id="448" w:author="svcMRProcess" w:date="2018-09-06T07:40:00Z"/>
              </w:rPr>
            </w:pPr>
            <w:ins w:id="449" w:author="svcMRProcess" w:date="2018-09-06T07:40:00Z">
              <w:r>
                <w:t>7 of 2007</w:t>
              </w:r>
            </w:ins>
          </w:p>
        </w:tc>
        <w:tc>
          <w:tcPr>
            <w:tcW w:w="1134" w:type="dxa"/>
            <w:tcBorders>
              <w:top w:val="single" w:sz="4" w:space="0" w:color="auto"/>
              <w:bottom w:val="nil"/>
            </w:tcBorders>
          </w:tcPr>
          <w:p>
            <w:pPr>
              <w:pStyle w:val="nTable"/>
              <w:spacing w:after="40"/>
              <w:rPr>
                <w:ins w:id="450" w:author="svcMRProcess" w:date="2018-09-06T07:40:00Z"/>
              </w:rPr>
            </w:pPr>
            <w:ins w:id="451" w:author="svcMRProcess" w:date="2018-09-06T07:40:00Z">
              <w:r>
                <w:t>6 Jun 2007</w:t>
              </w:r>
            </w:ins>
          </w:p>
        </w:tc>
        <w:tc>
          <w:tcPr>
            <w:tcW w:w="2552" w:type="dxa"/>
            <w:tcBorders>
              <w:top w:val="single" w:sz="4" w:space="0" w:color="auto"/>
              <w:bottom w:val="nil"/>
            </w:tcBorders>
          </w:tcPr>
          <w:p>
            <w:pPr>
              <w:pStyle w:val="nTable"/>
              <w:spacing w:after="40"/>
              <w:rPr>
                <w:ins w:id="452" w:author="svcMRProcess" w:date="2018-09-06T07:40:00Z"/>
              </w:rPr>
            </w:pPr>
            <w:ins w:id="453" w:author="svcMRProcess" w:date="2018-09-06T07:40:00Z">
              <w:r>
                <w:t>s. 1 and 2: 6 Jun 2007;</w:t>
              </w:r>
              <w:r>
                <w:br/>
                <w:t>Act other than s. 1, 2, 35 and 36: 1 Aug 2008</w:t>
              </w:r>
              <w:r>
                <w:rPr>
                  <w:snapToGrid w:val="0"/>
                </w:rPr>
                <w:t xml:space="preserve"> (see s. 2 and  </w:t>
              </w:r>
              <w:r>
                <w:rPr>
                  <w:i/>
                  <w:snapToGrid w:val="0"/>
                </w:rPr>
                <w:t xml:space="preserve">Gazette </w:t>
              </w:r>
              <w:r>
                <w:rPr>
                  <w:iCs/>
                  <w:snapToGrid w:val="0"/>
                </w:rPr>
                <w:t>18 Jul 2008 p. 3329)</w:t>
              </w:r>
            </w:ins>
          </w:p>
        </w:tc>
      </w:tr>
      <w:tr>
        <w:trPr>
          <w:ins w:id="454" w:author="svcMRProcess" w:date="2018-09-06T07:40:00Z"/>
        </w:trPr>
        <w:tc>
          <w:tcPr>
            <w:tcW w:w="2268" w:type="dxa"/>
            <w:tcBorders>
              <w:top w:val="nil"/>
              <w:bottom w:val="nil"/>
            </w:tcBorders>
          </w:tcPr>
          <w:p>
            <w:pPr>
              <w:pStyle w:val="nTable"/>
              <w:spacing w:after="40"/>
              <w:rPr>
                <w:ins w:id="455" w:author="svcMRProcess" w:date="2018-09-06T07:40:00Z"/>
                <w:iCs/>
              </w:rPr>
            </w:pPr>
            <w:ins w:id="456" w:author="svcMRProcess" w:date="2018-09-06T07:40:00Z">
              <w:r>
                <w:rPr>
                  <w:i/>
                  <w:iCs/>
                  <w:snapToGrid w:val="0"/>
                </w:rPr>
                <w:t>Public Sector Reform Act 2010</w:t>
              </w:r>
              <w:r>
                <w:rPr>
                  <w:iCs/>
                  <w:snapToGrid w:val="0"/>
                </w:rPr>
                <w:t xml:space="preserve"> s. 89</w:t>
              </w:r>
            </w:ins>
          </w:p>
        </w:tc>
        <w:tc>
          <w:tcPr>
            <w:tcW w:w="1134" w:type="dxa"/>
            <w:tcBorders>
              <w:top w:val="nil"/>
              <w:bottom w:val="nil"/>
            </w:tcBorders>
          </w:tcPr>
          <w:p>
            <w:pPr>
              <w:pStyle w:val="nTable"/>
              <w:spacing w:after="40"/>
              <w:rPr>
                <w:ins w:id="457" w:author="svcMRProcess" w:date="2018-09-06T07:40:00Z"/>
              </w:rPr>
            </w:pPr>
            <w:ins w:id="458" w:author="svcMRProcess" w:date="2018-09-06T07:40:00Z">
              <w:r>
                <w:rPr>
                  <w:snapToGrid w:val="0"/>
                </w:rPr>
                <w:t>39 of 2010</w:t>
              </w:r>
            </w:ins>
          </w:p>
        </w:tc>
        <w:tc>
          <w:tcPr>
            <w:tcW w:w="1134" w:type="dxa"/>
            <w:tcBorders>
              <w:top w:val="nil"/>
              <w:bottom w:val="nil"/>
            </w:tcBorders>
          </w:tcPr>
          <w:p>
            <w:pPr>
              <w:pStyle w:val="nTable"/>
              <w:spacing w:after="40"/>
              <w:rPr>
                <w:ins w:id="459" w:author="svcMRProcess" w:date="2018-09-06T07:40:00Z"/>
              </w:rPr>
            </w:pPr>
            <w:ins w:id="460" w:author="svcMRProcess" w:date="2018-09-06T07:40:00Z">
              <w:r>
                <w:t>1 Oct 2010</w:t>
              </w:r>
            </w:ins>
          </w:p>
        </w:tc>
        <w:tc>
          <w:tcPr>
            <w:tcW w:w="2552" w:type="dxa"/>
            <w:tcBorders>
              <w:top w:val="nil"/>
              <w:bottom w:val="nil"/>
            </w:tcBorders>
          </w:tcPr>
          <w:p>
            <w:pPr>
              <w:pStyle w:val="nTable"/>
              <w:spacing w:after="40"/>
              <w:rPr>
                <w:ins w:id="461" w:author="svcMRProcess" w:date="2018-09-06T07:40:00Z"/>
              </w:rPr>
            </w:pPr>
            <w:ins w:id="462" w:author="svcMRProcess" w:date="2018-09-06T07:40:00Z">
              <w:r>
                <w:rPr>
                  <w:snapToGrid w:val="0"/>
                </w:rPr>
                <w:t xml:space="preserve">1 Dec 2010 (see s. 2(b) and </w:t>
              </w:r>
              <w:r>
                <w:rPr>
                  <w:i/>
                  <w:iCs/>
                  <w:snapToGrid w:val="0"/>
                </w:rPr>
                <w:t>Gazette</w:t>
              </w:r>
              <w:r>
                <w:rPr>
                  <w:snapToGrid w:val="0"/>
                </w:rPr>
                <w:t xml:space="preserve"> 5 Nov 2010 p. 5563)</w:t>
              </w:r>
            </w:ins>
          </w:p>
        </w:tc>
      </w:tr>
      <w:tr>
        <w:trPr>
          <w:ins w:id="463" w:author="svcMRProcess" w:date="2018-09-06T07:40:00Z"/>
        </w:trPr>
        <w:tc>
          <w:tcPr>
            <w:tcW w:w="2268" w:type="dxa"/>
            <w:tcBorders>
              <w:top w:val="nil"/>
              <w:bottom w:val="nil"/>
            </w:tcBorders>
          </w:tcPr>
          <w:p>
            <w:pPr>
              <w:pStyle w:val="nTable"/>
              <w:spacing w:after="40"/>
              <w:rPr>
                <w:ins w:id="464" w:author="svcMRProcess" w:date="2018-09-06T07:40:00Z"/>
                <w:iCs/>
                <w:snapToGrid w:val="0"/>
              </w:rPr>
            </w:pPr>
            <w:ins w:id="465" w:author="svcMRProcess" w:date="2018-09-06T07:40:00Z">
              <w:r>
                <w:rPr>
                  <w:i/>
                  <w:iCs/>
                  <w:snapToGrid w:val="0"/>
                </w:rPr>
                <w:t>Statutes (Repeals and Minor Amendments) Act 2011</w:t>
              </w:r>
              <w:r>
                <w:rPr>
                  <w:iCs/>
                  <w:snapToGrid w:val="0"/>
                </w:rPr>
                <w:t xml:space="preserve"> s. 13 and 27</w:t>
              </w:r>
            </w:ins>
          </w:p>
        </w:tc>
        <w:tc>
          <w:tcPr>
            <w:tcW w:w="1134" w:type="dxa"/>
            <w:tcBorders>
              <w:top w:val="nil"/>
              <w:bottom w:val="nil"/>
            </w:tcBorders>
          </w:tcPr>
          <w:p>
            <w:pPr>
              <w:pStyle w:val="nTable"/>
              <w:spacing w:after="40"/>
              <w:rPr>
                <w:ins w:id="466" w:author="svcMRProcess" w:date="2018-09-06T07:40:00Z"/>
                <w:snapToGrid w:val="0"/>
              </w:rPr>
            </w:pPr>
            <w:ins w:id="467" w:author="svcMRProcess" w:date="2018-09-06T07:40:00Z">
              <w:r>
                <w:rPr>
                  <w:snapToGrid w:val="0"/>
                </w:rPr>
                <w:t>47 of 2011</w:t>
              </w:r>
            </w:ins>
          </w:p>
        </w:tc>
        <w:tc>
          <w:tcPr>
            <w:tcW w:w="1134" w:type="dxa"/>
            <w:tcBorders>
              <w:top w:val="nil"/>
              <w:bottom w:val="nil"/>
            </w:tcBorders>
          </w:tcPr>
          <w:p>
            <w:pPr>
              <w:pStyle w:val="nTable"/>
              <w:spacing w:after="40"/>
              <w:rPr>
                <w:ins w:id="468" w:author="svcMRProcess" w:date="2018-09-06T07:40:00Z"/>
              </w:rPr>
            </w:pPr>
            <w:ins w:id="469" w:author="svcMRProcess" w:date="2018-09-06T07:40:00Z">
              <w:r>
                <w:rPr>
                  <w:snapToGrid w:val="0"/>
                </w:rPr>
                <w:t>25 Oct 2011</w:t>
              </w:r>
            </w:ins>
          </w:p>
        </w:tc>
        <w:tc>
          <w:tcPr>
            <w:tcW w:w="2552" w:type="dxa"/>
            <w:tcBorders>
              <w:top w:val="nil"/>
              <w:bottom w:val="nil"/>
            </w:tcBorders>
          </w:tcPr>
          <w:p>
            <w:pPr>
              <w:pStyle w:val="nTable"/>
              <w:spacing w:after="40"/>
              <w:rPr>
                <w:ins w:id="470" w:author="svcMRProcess" w:date="2018-09-06T07:40:00Z"/>
                <w:snapToGrid w:val="0"/>
              </w:rPr>
            </w:pPr>
            <w:ins w:id="471" w:author="svcMRProcess" w:date="2018-09-06T07:40:00Z">
              <w:r>
                <w:rPr>
                  <w:snapToGrid w:val="0"/>
                </w:rPr>
                <w:t>26 Oct 2011 (see s. 2(b))</w:t>
              </w:r>
            </w:ins>
          </w:p>
        </w:tc>
      </w:tr>
      <w:tr>
        <w:trPr>
          <w:ins w:id="472" w:author="svcMRProcess" w:date="2018-09-06T07:40:00Z"/>
        </w:trPr>
        <w:tc>
          <w:tcPr>
            <w:tcW w:w="2268" w:type="dxa"/>
            <w:tcBorders>
              <w:top w:val="nil"/>
              <w:bottom w:val="nil"/>
            </w:tcBorders>
          </w:tcPr>
          <w:p>
            <w:pPr>
              <w:pStyle w:val="nTable"/>
              <w:spacing w:after="40"/>
              <w:rPr>
                <w:ins w:id="473" w:author="svcMRProcess" w:date="2018-09-06T07:40:00Z"/>
                <w:i/>
                <w:iCs/>
                <w:snapToGrid w:val="0"/>
              </w:rPr>
            </w:pPr>
            <w:ins w:id="474" w:author="svcMRProcess" w:date="2018-09-06T07:40:00Z">
              <w:r>
                <w:rPr>
                  <w:i/>
                  <w:snapToGrid w:val="0"/>
                </w:rPr>
                <w:t xml:space="preserve">Road Traffic Legislation Amendment Act 2012 </w:t>
              </w:r>
              <w:r>
                <w:rPr>
                  <w:snapToGrid w:val="0"/>
                </w:rPr>
                <w:t>Pt. 4 Div. 37</w:t>
              </w:r>
            </w:ins>
          </w:p>
        </w:tc>
        <w:tc>
          <w:tcPr>
            <w:tcW w:w="1134" w:type="dxa"/>
            <w:tcBorders>
              <w:top w:val="nil"/>
              <w:bottom w:val="nil"/>
            </w:tcBorders>
          </w:tcPr>
          <w:p>
            <w:pPr>
              <w:pStyle w:val="nTable"/>
              <w:spacing w:after="40"/>
              <w:rPr>
                <w:ins w:id="475" w:author="svcMRProcess" w:date="2018-09-06T07:40:00Z"/>
                <w:snapToGrid w:val="0"/>
              </w:rPr>
            </w:pPr>
            <w:ins w:id="476" w:author="svcMRProcess" w:date="2018-09-06T07:40:00Z">
              <w:r>
                <w:rPr>
                  <w:snapToGrid w:val="0"/>
                </w:rPr>
                <w:t>8 of 2012</w:t>
              </w:r>
            </w:ins>
          </w:p>
        </w:tc>
        <w:tc>
          <w:tcPr>
            <w:tcW w:w="1134" w:type="dxa"/>
            <w:tcBorders>
              <w:top w:val="nil"/>
              <w:bottom w:val="nil"/>
            </w:tcBorders>
          </w:tcPr>
          <w:p>
            <w:pPr>
              <w:pStyle w:val="nTable"/>
              <w:spacing w:after="40"/>
              <w:rPr>
                <w:ins w:id="477" w:author="svcMRProcess" w:date="2018-09-06T07:40:00Z"/>
                <w:snapToGrid w:val="0"/>
              </w:rPr>
            </w:pPr>
            <w:ins w:id="478" w:author="svcMRProcess" w:date="2018-09-06T07:40:00Z">
              <w:r>
                <w:t>21 May 2012</w:t>
              </w:r>
            </w:ins>
          </w:p>
        </w:tc>
        <w:tc>
          <w:tcPr>
            <w:tcW w:w="2552" w:type="dxa"/>
            <w:tcBorders>
              <w:top w:val="nil"/>
              <w:bottom w:val="nil"/>
            </w:tcBorders>
          </w:tcPr>
          <w:p>
            <w:pPr>
              <w:pStyle w:val="nTable"/>
              <w:spacing w:after="40"/>
              <w:rPr>
                <w:ins w:id="479" w:author="svcMRProcess" w:date="2018-09-06T07:40:00Z"/>
                <w:snapToGrid w:val="0"/>
              </w:rPr>
            </w:pPr>
            <w:ins w:id="480" w:author="svcMRProcess" w:date="2018-09-06T07:40:00Z">
              <w:r>
                <w:rPr>
                  <w:iCs/>
                  <w:snapToGrid w:val="0"/>
                  <w:spacing w:val="-2"/>
                </w:rPr>
                <w:t xml:space="preserve">27 Apr 2015 (see s. 2(d) and </w:t>
              </w:r>
              <w:r>
                <w:rPr>
                  <w:i/>
                  <w:iCs/>
                  <w:snapToGrid w:val="0"/>
                  <w:spacing w:val="-2"/>
                </w:rPr>
                <w:t>Gazette</w:t>
              </w:r>
              <w:r>
                <w:rPr>
                  <w:iCs/>
                  <w:snapToGrid w:val="0"/>
                  <w:spacing w:val="-2"/>
                </w:rPr>
                <w:t xml:space="preserve"> 17 Apr 2015 p. 1371)</w:t>
              </w:r>
            </w:ins>
          </w:p>
        </w:tc>
      </w:tr>
      <w:tr>
        <w:trPr>
          <w:ins w:id="481" w:author="svcMRProcess" w:date="2018-09-06T07:40:00Z"/>
        </w:trPr>
        <w:tc>
          <w:tcPr>
            <w:tcW w:w="2268" w:type="dxa"/>
            <w:tcBorders>
              <w:top w:val="nil"/>
              <w:bottom w:val="single" w:sz="4" w:space="0" w:color="auto"/>
            </w:tcBorders>
          </w:tcPr>
          <w:p>
            <w:pPr>
              <w:pStyle w:val="nTable"/>
              <w:spacing w:after="40"/>
              <w:rPr>
                <w:ins w:id="482" w:author="svcMRProcess" w:date="2018-09-06T07:40:00Z"/>
                <w:i/>
                <w:iCs/>
                <w:snapToGrid w:val="0"/>
              </w:rPr>
            </w:pPr>
            <w:ins w:id="483" w:author="svcMRProcess" w:date="2018-09-06T07:40:00Z">
              <w:r>
                <w:rPr>
                  <w:i/>
                  <w:iCs/>
                  <w:snapToGrid w:val="0"/>
                </w:rPr>
                <w:t>Statutes (Repeals and Minor Amendments) Act 2014</w:t>
              </w:r>
              <w:r>
                <w:rPr>
                  <w:iCs/>
                  <w:snapToGrid w:val="0"/>
                </w:rPr>
                <w:t xml:space="preserve"> s. 30</w:t>
              </w:r>
            </w:ins>
          </w:p>
        </w:tc>
        <w:tc>
          <w:tcPr>
            <w:tcW w:w="1134" w:type="dxa"/>
            <w:tcBorders>
              <w:top w:val="nil"/>
              <w:bottom w:val="single" w:sz="4" w:space="0" w:color="auto"/>
            </w:tcBorders>
          </w:tcPr>
          <w:p>
            <w:pPr>
              <w:pStyle w:val="nTable"/>
              <w:spacing w:after="40"/>
              <w:rPr>
                <w:ins w:id="484" w:author="svcMRProcess" w:date="2018-09-06T07:40:00Z"/>
                <w:snapToGrid w:val="0"/>
              </w:rPr>
            </w:pPr>
            <w:ins w:id="485" w:author="svcMRProcess" w:date="2018-09-06T07:40:00Z">
              <w:r>
                <w:rPr>
                  <w:snapToGrid w:val="0"/>
                </w:rPr>
                <w:t>17 of 2014</w:t>
              </w:r>
            </w:ins>
          </w:p>
        </w:tc>
        <w:tc>
          <w:tcPr>
            <w:tcW w:w="1134" w:type="dxa"/>
            <w:tcBorders>
              <w:top w:val="nil"/>
              <w:bottom w:val="single" w:sz="4" w:space="0" w:color="auto"/>
            </w:tcBorders>
          </w:tcPr>
          <w:p>
            <w:pPr>
              <w:pStyle w:val="nTable"/>
              <w:spacing w:after="40"/>
              <w:rPr>
                <w:ins w:id="486" w:author="svcMRProcess" w:date="2018-09-06T07:40:00Z"/>
                <w:snapToGrid w:val="0"/>
              </w:rPr>
            </w:pPr>
            <w:ins w:id="487" w:author="svcMRProcess" w:date="2018-09-06T07:40:00Z">
              <w:r>
                <w:rPr>
                  <w:snapToGrid w:val="0"/>
                </w:rPr>
                <w:t>2 Jul 2014</w:t>
              </w:r>
            </w:ins>
          </w:p>
        </w:tc>
        <w:tc>
          <w:tcPr>
            <w:tcW w:w="2552" w:type="dxa"/>
            <w:tcBorders>
              <w:top w:val="nil"/>
              <w:bottom w:val="single" w:sz="4" w:space="0" w:color="auto"/>
            </w:tcBorders>
          </w:tcPr>
          <w:p>
            <w:pPr>
              <w:pStyle w:val="nTable"/>
              <w:spacing w:after="40"/>
              <w:rPr>
                <w:ins w:id="488" w:author="svcMRProcess" w:date="2018-09-06T07:40:00Z"/>
                <w:snapToGrid w:val="0"/>
              </w:rPr>
            </w:pPr>
            <w:ins w:id="489" w:author="svcMRProcess" w:date="2018-09-06T07:40:00Z">
              <w:r>
                <w:rPr>
                  <w:snapToGrid w:val="0"/>
                </w:rPr>
                <w:t xml:space="preserve">6 Sep 2014 (see s. 2(b) and </w:t>
              </w:r>
              <w:r>
                <w:rPr>
                  <w:i/>
                  <w:snapToGrid w:val="0"/>
                </w:rPr>
                <w:t>Gazette</w:t>
              </w:r>
              <w:r>
                <w:rPr>
                  <w:snapToGrid w:val="0"/>
                </w:rPr>
                <w:t xml:space="preserve"> 5 Sep 2014 p. 3213)</w:t>
              </w:r>
            </w:ins>
          </w:p>
        </w:tc>
      </w:tr>
    </w:tbl>
    <w:p>
      <w:pPr>
        <w:pStyle w:val="nSubsection"/>
        <w:rPr>
          <w:ins w:id="490" w:author="svcMRProcess" w:date="2018-09-06T07:40:00Z"/>
          <w:snapToGrid w:val="0"/>
        </w:rPr>
      </w:pPr>
      <w:ins w:id="491" w:author="svcMRProcess" w:date="2018-09-06T07:4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2" w:author="svcMRProcess" w:date="2018-09-06T07:40:00Z"/>
          <w:snapToGrid w:val="0"/>
        </w:rPr>
      </w:pPr>
      <w:bookmarkStart w:id="493" w:name="_Toc397950574"/>
      <w:bookmarkStart w:id="494" w:name="_Toc430165121"/>
      <w:ins w:id="495" w:author="svcMRProcess" w:date="2018-09-06T07:40:00Z">
        <w:r>
          <w:rPr>
            <w:snapToGrid w:val="0"/>
          </w:rPr>
          <w:t>Provisions that have not come into operation</w:t>
        </w:r>
        <w:bookmarkEnd w:id="493"/>
        <w:bookmarkEnd w:id="494"/>
      </w:ins>
    </w:p>
    <w:tbl>
      <w:tblPr>
        <w:tblW w:w="7209"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73"/>
      </w:tblGrid>
      <w:tr>
        <w:trPr>
          <w:ins w:id="496" w:author="svcMRProcess" w:date="2018-09-06T07:40:00Z"/>
        </w:trPr>
        <w:tc>
          <w:tcPr>
            <w:tcW w:w="2268" w:type="dxa"/>
            <w:tcBorders>
              <w:top w:val="single" w:sz="4" w:space="0" w:color="auto"/>
              <w:bottom w:val="single" w:sz="4" w:space="0" w:color="auto"/>
            </w:tcBorders>
          </w:tcPr>
          <w:p>
            <w:pPr>
              <w:pStyle w:val="nTable"/>
              <w:spacing w:after="40"/>
              <w:rPr>
                <w:ins w:id="497" w:author="svcMRProcess" w:date="2018-09-06T07:40:00Z"/>
                <w:b/>
                <w:snapToGrid w:val="0"/>
              </w:rPr>
            </w:pPr>
            <w:ins w:id="498" w:author="svcMRProcess" w:date="2018-09-06T07:40:00Z">
              <w:r>
                <w:rPr>
                  <w:b/>
                  <w:snapToGrid w:val="0"/>
                </w:rPr>
                <w:t>Short title</w:t>
              </w:r>
            </w:ins>
          </w:p>
        </w:tc>
        <w:tc>
          <w:tcPr>
            <w:tcW w:w="1134" w:type="dxa"/>
            <w:tcBorders>
              <w:top w:val="single" w:sz="4" w:space="0" w:color="auto"/>
              <w:bottom w:val="single" w:sz="4" w:space="0" w:color="auto"/>
            </w:tcBorders>
          </w:tcPr>
          <w:p>
            <w:pPr>
              <w:pStyle w:val="nTable"/>
              <w:spacing w:after="40"/>
              <w:rPr>
                <w:ins w:id="499" w:author="svcMRProcess" w:date="2018-09-06T07:40:00Z"/>
                <w:b/>
                <w:snapToGrid w:val="0"/>
              </w:rPr>
            </w:pPr>
            <w:ins w:id="500" w:author="svcMRProcess" w:date="2018-09-06T07:40:00Z">
              <w:r>
                <w:rPr>
                  <w:b/>
                  <w:snapToGrid w:val="0"/>
                </w:rPr>
                <w:t>Number and year</w:t>
              </w:r>
            </w:ins>
          </w:p>
        </w:tc>
        <w:tc>
          <w:tcPr>
            <w:tcW w:w="1134" w:type="dxa"/>
            <w:tcBorders>
              <w:top w:val="single" w:sz="4" w:space="0" w:color="auto"/>
              <w:bottom w:val="single" w:sz="4" w:space="0" w:color="auto"/>
            </w:tcBorders>
          </w:tcPr>
          <w:p>
            <w:pPr>
              <w:pStyle w:val="nTable"/>
              <w:spacing w:after="40"/>
              <w:rPr>
                <w:ins w:id="501" w:author="svcMRProcess" w:date="2018-09-06T07:40:00Z"/>
                <w:b/>
                <w:snapToGrid w:val="0"/>
              </w:rPr>
            </w:pPr>
            <w:ins w:id="502" w:author="svcMRProcess" w:date="2018-09-06T07:40:00Z">
              <w:r>
                <w:rPr>
                  <w:b/>
                  <w:snapToGrid w:val="0"/>
                </w:rPr>
                <w:t>Assent</w:t>
              </w:r>
            </w:ins>
          </w:p>
        </w:tc>
        <w:tc>
          <w:tcPr>
            <w:tcW w:w="2673" w:type="dxa"/>
            <w:tcBorders>
              <w:top w:val="single" w:sz="4" w:space="0" w:color="auto"/>
              <w:bottom w:val="single" w:sz="4" w:space="0" w:color="auto"/>
            </w:tcBorders>
          </w:tcPr>
          <w:p>
            <w:pPr>
              <w:pStyle w:val="nTable"/>
              <w:spacing w:after="40"/>
              <w:rPr>
                <w:ins w:id="503" w:author="svcMRProcess" w:date="2018-09-06T07:40:00Z"/>
                <w:b/>
                <w:snapToGrid w:val="0"/>
              </w:rPr>
            </w:pPr>
            <w:ins w:id="504" w:author="svcMRProcess" w:date="2018-09-06T07:40:00Z">
              <w:r>
                <w:rPr>
                  <w:b/>
                  <w:snapToGrid w:val="0"/>
                </w:rPr>
                <w:t>Commencement</w:t>
              </w:r>
            </w:ins>
          </w:p>
        </w:tc>
      </w:tr>
      <w:tr>
        <w:trPr>
          <w:ins w:id="505" w:author="svcMRProcess" w:date="2018-09-06T07:40:00Z"/>
        </w:trPr>
        <w:tc>
          <w:tcPr>
            <w:tcW w:w="2268" w:type="dxa"/>
            <w:tcBorders>
              <w:top w:val="single" w:sz="4" w:space="0" w:color="auto"/>
              <w:bottom w:val="single" w:sz="4" w:space="0" w:color="auto"/>
            </w:tcBorders>
          </w:tcPr>
          <w:p>
            <w:pPr>
              <w:pStyle w:val="nTable"/>
              <w:spacing w:after="40"/>
              <w:rPr>
                <w:ins w:id="506" w:author="svcMRProcess" w:date="2018-09-06T07:40:00Z"/>
                <w:vertAlign w:val="superscript"/>
              </w:rPr>
            </w:pPr>
            <w:ins w:id="507" w:author="svcMRProcess" w:date="2018-09-06T07:40:00Z">
              <w:r>
                <w:rPr>
                  <w:i/>
                </w:rPr>
                <w:t>Owner-Drivers (Contracts and Disputes) Act 2007</w:t>
              </w:r>
              <w:r>
                <w:t xml:space="preserve"> s. 35 and 36 </w:t>
              </w:r>
              <w:r>
                <w:rPr>
                  <w:vertAlign w:val="superscript"/>
                </w:rPr>
                <w:t>2</w:t>
              </w:r>
            </w:ins>
          </w:p>
        </w:tc>
        <w:tc>
          <w:tcPr>
            <w:tcW w:w="1134" w:type="dxa"/>
            <w:tcBorders>
              <w:top w:val="single" w:sz="4" w:space="0" w:color="auto"/>
              <w:bottom w:val="single" w:sz="4" w:space="0" w:color="auto"/>
            </w:tcBorders>
          </w:tcPr>
          <w:p>
            <w:pPr>
              <w:pStyle w:val="nTable"/>
              <w:spacing w:after="40"/>
              <w:rPr>
                <w:ins w:id="508" w:author="svcMRProcess" w:date="2018-09-06T07:40:00Z"/>
              </w:rPr>
            </w:pPr>
            <w:ins w:id="509" w:author="svcMRProcess" w:date="2018-09-06T07:40:00Z">
              <w:r>
                <w:t>7 of 2007</w:t>
              </w:r>
            </w:ins>
          </w:p>
        </w:tc>
        <w:tc>
          <w:tcPr>
            <w:tcW w:w="1134" w:type="dxa"/>
            <w:tcBorders>
              <w:top w:val="single" w:sz="4" w:space="0" w:color="auto"/>
              <w:bottom w:val="single" w:sz="4" w:space="0" w:color="auto"/>
            </w:tcBorders>
          </w:tcPr>
          <w:p>
            <w:pPr>
              <w:pStyle w:val="nTable"/>
              <w:spacing w:after="40"/>
              <w:rPr>
                <w:ins w:id="510" w:author="svcMRProcess" w:date="2018-09-06T07:40:00Z"/>
              </w:rPr>
            </w:pPr>
            <w:ins w:id="511" w:author="svcMRProcess" w:date="2018-09-06T07:40:00Z">
              <w:r>
                <w:t>6 Jun 2007</w:t>
              </w:r>
            </w:ins>
          </w:p>
        </w:tc>
        <w:tc>
          <w:tcPr>
            <w:tcW w:w="2673" w:type="dxa"/>
            <w:tcBorders>
              <w:top w:val="single" w:sz="4" w:space="0" w:color="auto"/>
              <w:bottom w:val="single" w:sz="4" w:space="0" w:color="auto"/>
            </w:tcBorders>
          </w:tcPr>
          <w:p>
            <w:pPr>
              <w:pStyle w:val="nTable"/>
              <w:spacing w:after="40"/>
              <w:rPr>
                <w:ins w:id="512" w:author="svcMRProcess" w:date="2018-09-06T07:40:00Z"/>
                <w:snapToGrid w:val="0"/>
              </w:rPr>
            </w:pPr>
            <w:ins w:id="513" w:author="svcMRProcess" w:date="2018-09-06T07:40:00Z">
              <w:r>
                <w:rPr>
                  <w:iCs/>
                  <w:snapToGrid w:val="0"/>
                </w:rPr>
                <w:t>To</w:t>
              </w:r>
              <w:r>
                <w:rPr>
                  <w:snapToGrid w:val="0"/>
                </w:rPr>
                <w:t xml:space="preserve"> be proclaimed (see s. 2)</w:t>
              </w:r>
            </w:ins>
          </w:p>
        </w:tc>
      </w:tr>
    </w:tbl>
    <w:p>
      <w:pPr>
        <w:pStyle w:val="nSubsection"/>
        <w:rPr>
          <w:ins w:id="514" w:author="svcMRProcess" w:date="2018-09-06T07:40:00Z"/>
          <w:snapToGrid w:val="0"/>
        </w:rPr>
      </w:pPr>
      <w:ins w:id="515" w:author="svcMRProcess" w:date="2018-09-06T07:40:00Z">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xml:space="preserve">. 35 and 36 </w:t>
        </w:r>
        <w:r>
          <w:rPr>
            <w:snapToGrid w:val="0"/>
          </w:rPr>
          <w:t>had not come into operation.  They read as follows:</w:t>
        </w:r>
      </w:ins>
    </w:p>
    <w:p>
      <w:pPr>
        <w:pStyle w:val="MiscOpen"/>
        <w:rPr>
          <w:ins w:id="516" w:author="svcMRProcess" w:date="2018-09-06T07:40:00Z"/>
          <w:snapToGrid w:val="0"/>
        </w:rPr>
      </w:pPr>
      <w:ins w:id="517" w:author="svcMRProcess" w:date="2018-09-06T07:40:00Z">
        <w:r>
          <w:rPr>
            <w:snapToGrid w:val="0"/>
          </w:rPr>
          <w:t>“</w:t>
        </w:r>
      </w:ins>
    </w:p>
    <w:p>
      <w:pPr>
        <w:pStyle w:val="nzHeading5"/>
        <w:rPr>
          <w:ins w:id="518" w:author="svcMRProcess" w:date="2018-09-06T07:40:00Z"/>
        </w:rPr>
      </w:pPr>
      <w:ins w:id="519" w:author="svcMRProcess" w:date="2018-09-06T07:40:00Z">
        <w:r>
          <w:rPr>
            <w:rStyle w:val="CharSectno"/>
          </w:rPr>
          <w:t>35</w:t>
        </w:r>
        <w:r>
          <w:t>.</w:t>
        </w:r>
        <w:r>
          <w:tab/>
          <w:t>Right of entry by representative to investigate breaches</w:t>
        </w:r>
      </w:ins>
    </w:p>
    <w:p>
      <w:pPr>
        <w:pStyle w:val="nzSubsection"/>
        <w:rPr>
          <w:ins w:id="520" w:author="svcMRProcess" w:date="2018-09-06T07:40:00Z"/>
        </w:rPr>
      </w:pPr>
      <w:ins w:id="521" w:author="svcMRProcess" w:date="2018-09-06T07:40:00Z">
        <w:r>
          <w:tab/>
          <w:t>(1)</w:t>
        </w:r>
        <w:r>
          <w:tab/>
          <w:t xml:space="preserve">In this section — </w:t>
        </w:r>
      </w:ins>
    </w:p>
    <w:p>
      <w:pPr>
        <w:pStyle w:val="nzDefstart"/>
        <w:rPr>
          <w:ins w:id="522" w:author="svcMRProcess" w:date="2018-09-06T07:40:00Z"/>
        </w:rPr>
      </w:pPr>
      <w:ins w:id="523" w:author="svcMRProcess" w:date="2018-09-06T07:40:00Z">
        <w:r>
          <w:rPr>
            <w:b/>
          </w:rPr>
          <w:tab/>
        </w:r>
        <w:r>
          <w:rPr>
            <w:rStyle w:val="CharDefText"/>
          </w:rPr>
          <w:t>occupier</w:t>
        </w:r>
        <w:r>
          <w:t>, of a workplace, includes a person in charge of the workplace;</w:t>
        </w:r>
      </w:ins>
    </w:p>
    <w:p>
      <w:pPr>
        <w:pStyle w:val="nzDefstart"/>
        <w:rPr>
          <w:ins w:id="524" w:author="svcMRProcess" w:date="2018-09-06T07:40:00Z"/>
        </w:rPr>
      </w:pPr>
      <w:ins w:id="525" w:author="svcMRProcess" w:date="2018-09-06T07:40:00Z">
        <w:r>
          <w:rPr>
            <w:b/>
          </w:rPr>
          <w:tab/>
        </w:r>
        <w:r>
          <w:rPr>
            <w:rStyle w:val="CharDefText"/>
          </w:rPr>
          <w:t>records</w:t>
        </w:r>
        <w:r>
          <w:t xml:space="preserve"> means records required to be kept under a code of conduct;</w:t>
        </w:r>
      </w:ins>
    </w:p>
    <w:p>
      <w:pPr>
        <w:pStyle w:val="nzDefstart"/>
        <w:rPr>
          <w:ins w:id="526" w:author="svcMRProcess" w:date="2018-09-06T07:40:00Z"/>
        </w:rPr>
      </w:pPr>
      <w:ins w:id="527" w:author="svcMRProcess" w:date="2018-09-06T07:40:00Z">
        <w:r>
          <w:rPr>
            <w:b/>
          </w:rPr>
          <w:tab/>
        </w:r>
        <w:r>
          <w:rPr>
            <w:rStyle w:val="CharDefText"/>
          </w:rPr>
          <w:t>representative</w:t>
        </w:r>
        <w:r>
          <w:t>, in relation to an owner</w:t>
        </w:r>
        <w:r>
          <w:noBreakHyphen/>
          <w:t>driver, means a person authorised in writing by the owner</w:t>
        </w:r>
        <w:r>
          <w:noBreakHyphen/>
          <w:t>driver to act on behalf of the owner</w:t>
        </w:r>
        <w:r>
          <w:noBreakHyphen/>
          <w:t>driver for the purposes of this section.</w:t>
        </w:r>
      </w:ins>
    </w:p>
    <w:p>
      <w:pPr>
        <w:pStyle w:val="nzSubsection"/>
        <w:rPr>
          <w:ins w:id="528" w:author="svcMRProcess" w:date="2018-09-06T07:40:00Z"/>
        </w:rPr>
      </w:pPr>
      <w:ins w:id="529" w:author="svcMRProcess" w:date="2018-09-06T07:40:00Z">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ins>
    </w:p>
    <w:p>
      <w:pPr>
        <w:pStyle w:val="nzSubsection"/>
        <w:rPr>
          <w:ins w:id="530" w:author="svcMRProcess" w:date="2018-09-06T07:40:00Z"/>
        </w:rPr>
      </w:pPr>
      <w:ins w:id="531" w:author="svcMRProcess" w:date="2018-09-06T07:40:00Z">
        <w:r>
          <w:tab/>
          <w:t>(3)</w:t>
        </w:r>
        <w:r>
          <w:tab/>
          <w:t xml:space="preserve">If — </w:t>
        </w:r>
      </w:ins>
    </w:p>
    <w:p>
      <w:pPr>
        <w:pStyle w:val="nzIndenta"/>
        <w:rPr>
          <w:ins w:id="532" w:author="svcMRProcess" w:date="2018-09-06T07:40:00Z"/>
        </w:rPr>
      </w:pPr>
      <w:ins w:id="533" w:author="svcMRProcess" w:date="2018-09-06T07:40:00Z">
        <w:r>
          <w:tab/>
          <w:t>(a)</w:t>
        </w:r>
        <w:r>
          <w:tab/>
          <w:t>a representative proposes to enter, or is in, a workplace in accordance with subsection (2); and</w:t>
        </w:r>
      </w:ins>
    </w:p>
    <w:p>
      <w:pPr>
        <w:pStyle w:val="nzIndenta"/>
        <w:rPr>
          <w:ins w:id="534" w:author="svcMRProcess" w:date="2018-09-06T07:40:00Z"/>
        </w:rPr>
      </w:pPr>
      <w:ins w:id="535" w:author="svcMRProcess" w:date="2018-09-06T07:40:00Z">
        <w:r>
          <w:tab/>
          <w:t>(b)</w:t>
        </w:r>
        <w:r>
          <w:tab/>
          <w:t>the occupier requests the representative to show the representative’s written authorisation to act on behalf of the owner</w:t>
        </w:r>
        <w:r>
          <w:noBreakHyphen/>
          <w:t>driver,</w:t>
        </w:r>
      </w:ins>
    </w:p>
    <w:p>
      <w:pPr>
        <w:pStyle w:val="nzSubsection"/>
        <w:rPr>
          <w:ins w:id="536" w:author="svcMRProcess" w:date="2018-09-06T07:40:00Z"/>
        </w:rPr>
      </w:pPr>
      <w:ins w:id="537" w:author="svcMRProcess" w:date="2018-09-06T07:40:00Z">
        <w:r>
          <w:tab/>
        </w:r>
        <w:r>
          <w:tab/>
          <w:t>the representative is not entitled under subsection (2) to enter or remain in the workplace unless the representative shows the occupier the written authorisation.</w:t>
        </w:r>
      </w:ins>
    </w:p>
    <w:p>
      <w:pPr>
        <w:pStyle w:val="nzSubsection"/>
        <w:rPr>
          <w:ins w:id="538" w:author="svcMRProcess" w:date="2018-09-06T07:40:00Z"/>
        </w:rPr>
      </w:pPr>
      <w:ins w:id="539" w:author="svcMRProcess" w:date="2018-09-06T07:40:00Z">
        <w:r>
          <w:tab/>
          <w:t>(4)</w:t>
        </w:r>
        <w:r>
          <w:tab/>
          <w:t xml:space="preserve">For the purpose of investigating a suspected breach referred to in subsection (2), the representative may — </w:t>
        </w:r>
      </w:ins>
    </w:p>
    <w:p>
      <w:pPr>
        <w:pStyle w:val="nzIndenta"/>
        <w:rPr>
          <w:ins w:id="540" w:author="svcMRProcess" w:date="2018-09-06T07:40:00Z"/>
        </w:rPr>
      </w:pPr>
      <w:ins w:id="541" w:author="svcMRProcess" w:date="2018-09-06T07:40:00Z">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ins>
    </w:p>
    <w:p>
      <w:pPr>
        <w:pStyle w:val="nzIndenta"/>
        <w:rPr>
          <w:ins w:id="542" w:author="svcMRProcess" w:date="2018-09-06T07:40:00Z"/>
        </w:rPr>
      </w:pPr>
      <w:ins w:id="543" w:author="svcMRProcess" w:date="2018-09-06T07:40:00Z">
        <w:r>
          <w:tab/>
          <w:t>(b)</w:t>
        </w:r>
        <w:r>
          <w:tab/>
          <w:t>make copies of the entries in the records or documents related to the suspected breach; and</w:t>
        </w:r>
      </w:ins>
    </w:p>
    <w:p>
      <w:pPr>
        <w:pStyle w:val="nzIndenta"/>
        <w:rPr>
          <w:ins w:id="544" w:author="svcMRProcess" w:date="2018-09-06T07:40:00Z"/>
        </w:rPr>
      </w:pPr>
      <w:ins w:id="545" w:author="svcMRProcess" w:date="2018-09-06T07:40:00Z">
        <w:r>
          <w:tab/>
          <w:t>(c)</w:t>
        </w:r>
        <w:r>
          <w:tab/>
          <w:t>during working hours, inspect or view any work, material, machinery or appliance, that is relevant to the suspected breach.</w:t>
        </w:r>
      </w:ins>
    </w:p>
    <w:p>
      <w:pPr>
        <w:pStyle w:val="nzSubsection"/>
        <w:rPr>
          <w:ins w:id="546" w:author="svcMRProcess" w:date="2018-09-06T07:40:00Z"/>
        </w:rPr>
      </w:pPr>
      <w:ins w:id="547" w:author="svcMRProcess" w:date="2018-09-06T07:40:00Z">
        <w:r>
          <w:tab/>
          <w:t>(5)</w:t>
        </w:r>
        <w:r>
          <w:tab/>
          <w:t xml:space="preserve">A representative is not entitled to require the production of records or other documents unless, before exercising the power, the representative has given the hirer concerned — </w:t>
        </w:r>
      </w:ins>
    </w:p>
    <w:p>
      <w:pPr>
        <w:pStyle w:val="nzIndenta"/>
        <w:rPr>
          <w:ins w:id="548" w:author="svcMRProcess" w:date="2018-09-06T07:40:00Z"/>
        </w:rPr>
      </w:pPr>
      <w:ins w:id="549" w:author="svcMRProcess" w:date="2018-09-06T07:40:00Z">
        <w:r>
          <w:tab/>
          <w:t>(a)</w:t>
        </w:r>
        <w:r>
          <w:tab/>
          <w:t>if the records or other documents are kept at the workplace concerned, at least 24 hours’ written notice of the requirement; or</w:t>
        </w:r>
      </w:ins>
    </w:p>
    <w:p>
      <w:pPr>
        <w:pStyle w:val="nzIndenta"/>
        <w:rPr>
          <w:ins w:id="550" w:author="svcMRProcess" w:date="2018-09-06T07:40:00Z"/>
        </w:rPr>
      </w:pPr>
      <w:ins w:id="551" w:author="svcMRProcess" w:date="2018-09-06T07:40:00Z">
        <w:r>
          <w:tab/>
          <w:t>(b)</w:t>
        </w:r>
        <w:r>
          <w:tab/>
          <w:t>if the records or other documents are kept elsewhere, at least 48 hours’ written notice of the requirement.</w:t>
        </w:r>
      </w:ins>
    </w:p>
    <w:p>
      <w:pPr>
        <w:pStyle w:val="nzSubsection"/>
        <w:rPr>
          <w:ins w:id="552" w:author="svcMRProcess" w:date="2018-09-06T07:40:00Z"/>
        </w:rPr>
      </w:pPr>
      <w:ins w:id="553" w:author="svcMRProcess" w:date="2018-09-06T07:40:00Z">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ins>
    </w:p>
    <w:p>
      <w:pPr>
        <w:pStyle w:val="nzSubsection"/>
        <w:rPr>
          <w:ins w:id="554" w:author="svcMRProcess" w:date="2018-09-06T07:40:00Z"/>
        </w:rPr>
      </w:pPr>
      <w:ins w:id="555" w:author="svcMRProcess" w:date="2018-09-06T07:40:00Z">
        <w:r>
          <w:tab/>
          <w:t>(7)</w:t>
        </w:r>
        <w:r>
          <w:tab/>
          <w:t xml:space="preserve">If the requirement for notice is waived under subsection (6) — </w:t>
        </w:r>
      </w:ins>
    </w:p>
    <w:p>
      <w:pPr>
        <w:pStyle w:val="nzIndenta"/>
        <w:rPr>
          <w:ins w:id="556" w:author="svcMRProcess" w:date="2018-09-06T07:40:00Z"/>
        </w:rPr>
      </w:pPr>
      <w:ins w:id="557" w:author="svcMRProcess" w:date="2018-09-06T07:40:00Z">
        <w:r>
          <w:tab/>
          <w:t>(a)</w:t>
        </w:r>
        <w:r>
          <w:tab/>
          <w:t>the Tribunal must give the representative a certificate authorising the exercise of the power without notice; and</w:t>
        </w:r>
      </w:ins>
    </w:p>
    <w:p>
      <w:pPr>
        <w:pStyle w:val="nzIndenta"/>
        <w:rPr>
          <w:ins w:id="558" w:author="svcMRProcess" w:date="2018-09-06T07:40:00Z"/>
        </w:rPr>
      </w:pPr>
      <w:ins w:id="559" w:author="svcMRProcess" w:date="2018-09-06T07:40:00Z">
        <w:r>
          <w:tab/>
          <w:t>(b)</w:t>
        </w:r>
        <w:r>
          <w:tab/>
          <w:t>the representative must, after entering the workplace and before requiring the production of the records or documents, give the person who is apparently in charge of the workplace the certificate or a copy of the certificate.</w:t>
        </w:r>
      </w:ins>
    </w:p>
    <w:p>
      <w:pPr>
        <w:pStyle w:val="nzSubsection"/>
        <w:rPr>
          <w:ins w:id="560" w:author="svcMRProcess" w:date="2018-09-06T07:40:00Z"/>
        </w:rPr>
      </w:pPr>
      <w:ins w:id="561" w:author="svcMRProcess" w:date="2018-09-06T07:40:00Z">
        <w:r>
          <w:tab/>
          <w:t>(8)</w:t>
        </w:r>
        <w:r>
          <w:tab/>
          <w:t>Nothing in this section limits or otherwise affects the powers of an inspector under this Act.</w:t>
        </w:r>
      </w:ins>
    </w:p>
    <w:p>
      <w:pPr>
        <w:pStyle w:val="nzHeading5"/>
        <w:rPr>
          <w:ins w:id="562" w:author="svcMRProcess" w:date="2018-09-06T07:40:00Z"/>
        </w:rPr>
      </w:pPr>
      <w:ins w:id="563" w:author="svcMRProcess" w:date="2018-09-06T07:40:00Z">
        <w:r>
          <w:rPr>
            <w:rStyle w:val="CharSectno"/>
          </w:rPr>
          <w:t>36</w:t>
        </w:r>
        <w:r>
          <w:t>.</w:t>
        </w:r>
        <w:r>
          <w:tab/>
          <w:t>Enforcement of section 35</w:t>
        </w:r>
      </w:ins>
    </w:p>
    <w:p>
      <w:pPr>
        <w:pStyle w:val="nzSubsection"/>
        <w:rPr>
          <w:ins w:id="564" w:author="svcMRProcess" w:date="2018-09-06T07:40:00Z"/>
        </w:rPr>
      </w:pPr>
      <w:ins w:id="565" w:author="svcMRProcess" w:date="2018-09-06T07:40:00Z">
        <w:r>
          <w:tab/>
          <w:t>(1)</w:t>
        </w:r>
        <w:r>
          <w:tab/>
          <w:t>An occupier of a workplace must not refuse, or intentionally and unduly delay, entry to a workplace by a person entitled to enter the workplace under section 35(2).</w:t>
        </w:r>
      </w:ins>
    </w:p>
    <w:p>
      <w:pPr>
        <w:pStyle w:val="nzSubsection"/>
        <w:rPr>
          <w:ins w:id="566" w:author="svcMRProcess" w:date="2018-09-06T07:40:00Z"/>
        </w:rPr>
      </w:pPr>
      <w:ins w:id="567" w:author="svcMRProcess" w:date="2018-09-06T07:40:00Z">
        <w:r>
          <w:tab/>
          <w:t>(2)</w:t>
        </w:r>
        <w:r>
          <w:tab/>
          <w:t>A person must not intentionally and unduly hinder or obstruct a representative in the exercise of the powers conferred by section 35.</w:t>
        </w:r>
      </w:ins>
    </w:p>
    <w:p>
      <w:pPr>
        <w:pStyle w:val="nzSubsection"/>
        <w:rPr>
          <w:ins w:id="568" w:author="svcMRProcess" w:date="2018-09-06T07:40:00Z"/>
        </w:rPr>
      </w:pPr>
      <w:ins w:id="569" w:author="svcMRProcess" w:date="2018-09-06T07:40:00Z">
        <w:r>
          <w:tab/>
          <w:t>(3)</w:t>
        </w:r>
        <w:r>
          <w:tab/>
          <w:t>A contravention of subsection (1) or (2) is not an offence but those subsections are civil penalty provisions for the purposes of the IR Act section 83E.</w:t>
        </w:r>
      </w:ins>
    </w:p>
    <w:p>
      <w:pPr>
        <w:pStyle w:val="MiscClose"/>
        <w:rPr>
          <w:ins w:id="570" w:author="svcMRProcess" w:date="2018-09-06T07:40:00Z"/>
        </w:rPr>
      </w:pPr>
      <w:ins w:id="571" w:author="svcMRProcess" w:date="2018-09-06T07:40:00Z">
        <w:r>
          <w:t>”.</w:t>
        </w:r>
      </w:ins>
    </w:p>
    <w:p>
      <w:pPr>
        <w:rPr>
          <w:ins w:id="572" w:author="svcMRProcess" w:date="2018-09-06T07:40:00Z"/>
          <w:snapToGrid w:val="0"/>
        </w:rPr>
      </w:pPr>
    </w:p>
    <w:p>
      <w:pPr>
        <w:rPr>
          <w:ins w:id="573" w:author="svcMRProcess" w:date="2018-09-06T07:40:00Z"/>
        </w:rPr>
        <w:sectPr>
          <w:headerReference w:type="even" r:id="rId23"/>
          <w:headerReference w:type="default" r:id="rId24"/>
          <w:pgSz w:w="11907" w:h="16840" w:code="9"/>
          <w:pgMar w:top="2376" w:right="2405" w:bottom="3542" w:left="2405" w:header="706" w:footer="3380" w:gutter="0"/>
          <w:cols w:space="720"/>
          <w:noEndnote/>
          <w:docGrid w:linePitch="326"/>
        </w:sectPr>
      </w:pPr>
    </w:p>
    <w:p>
      <w:bookmarkStart w:id="575" w:name="DefinedTerms"/>
      <w:bookmarkEnd w:id="575"/>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4" w:name="Compilation"/>
    <w:bookmarkEnd w:id="57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6" w:name="Coversheet"/>
    <w:bookmarkEnd w:id="5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21" w:name="Schedule"/>
    <w:bookmarkEnd w:id="4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39E44D6"/>
    <w:multiLevelType w:val="hybridMultilevel"/>
    <w:tmpl w:val="280CB924"/>
    <w:lvl w:ilvl="0" w:tplc="B8C4D776">
      <w:start w:val="1"/>
      <w:numFmt w:val="bullet"/>
      <w:lvlText w:val=""/>
      <w:lvlJc w:val="left"/>
      <w:pPr>
        <w:tabs>
          <w:tab w:val="num" w:pos="720"/>
        </w:tabs>
        <w:ind w:left="720" w:hanging="360"/>
      </w:pPr>
      <w:rPr>
        <w:rFonts w:ascii="Symbol" w:hAnsi="Symbol" w:hint="default"/>
      </w:rPr>
    </w:lvl>
    <w:lvl w:ilvl="1" w:tplc="42926A88" w:tentative="1">
      <w:start w:val="1"/>
      <w:numFmt w:val="bullet"/>
      <w:lvlText w:val="o"/>
      <w:lvlJc w:val="left"/>
      <w:pPr>
        <w:tabs>
          <w:tab w:val="num" w:pos="1440"/>
        </w:tabs>
        <w:ind w:left="1440" w:hanging="360"/>
      </w:pPr>
      <w:rPr>
        <w:rFonts w:ascii="Courier New" w:hAnsi="Courier New" w:hint="default"/>
      </w:rPr>
    </w:lvl>
    <w:lvl w:ilvl="2" w:tplc="3F446A68" w:tentative="1">
      <w:start w:val="1"/>
      <w:numFmt w:val="bullet"/>
      <w:lvlText w:val=""/>
      <w:lvlJc w:val="left"/>
      <w:pPr>
        <w:tabs>
          <w:tab w:val="num" w:pos="2160"/>
        </w:tabs>
        <w:ind w:left="2160" w:hanging="360"/>
      </w:pPr>
      <w:rPr>
        <w:rFonts w:ascii="Wingdings" w:hAnsi="Wingdings" w:hint="default"/>
      </w:rPr>
    </w:lvl>
    <w:lvl w:ilvl="3" w:tplc="AF3C1ADA" w:tentative="1">
      <w:start w:val="1"/>
      <w:numFmt w:val="bullet"/>
      <w:lvlText w:val=""/>
      <w:lvlJc w:val="left"/>
      <w:pPr>
        <w:tabs>
          <w:tab w:val="num" w:pos="2880"/>
        </w:tabs>
        <w:ind w:left="2880" w:hanging="360"/>
      </w:pPr>
      <w:rPr>
        <w:rFonts w:ascii="Symbol" w:hAnsi="Symbol" w:hint="default"/>
      </w:rPr>
    </w:lvl>
    <w:lvl w:ilvl="4" w:tplc="9DD46ECA" w:tentative="1">
      <w:start w:val="1"/>
      <w:numFmt w:val="bullet"/>
      <w:lvlText w:val="o"/>
      <w:lvlJc w:val="left"/>
      <w:pPr>
        <w:tabs>
          <w:tab w:val="num" w:pos="3600"/>
        </w:tabs>
        <w:ind w:left="3600" w:hanging="360"/>
      </w:pPr>
      <w:rPr>
        <w:rFonts w:ascii="Courier New" w:hAnsi="Courier New" w:hint="default"/>
      </w:rPr>
    </w:lvl>
    <w:lvl w:ilvl="5" w:tplc="B2249ECE" w:tentative="1">
      <w:start w:val="1"/>
      <w:numFmt w:val="bullet"/>
      <w:lvlText w:val=""/>
      <w:lvlJc w:val="left"/>
      <w:pPr>
        <w:tabs>
          <w:tab w:val="num" w:pos="4320"/>
        </w:tabs>
        <w:ind w:left="4320" w:hanging="360"/>
      </w:pPr>
      <w:rPr>
        <w:rFonts w:ascii="Wingdings" w:hAnsi="Wingdings" w:hint="default"/>
      </w:rPr>
    </w:lvl>
    <w:lvl w:ilvl="6" w:tplc="AB9AD46E" w:tentative="1">
      <w:start w:val="1"/>
      <w:numFmt w:val="bullet"/>
      <w:lvlText w:val=""/>
      <w:lvlJc w:val="left"/>
      <w:pPr>
        <w:tabs>
          <w:tab w:val="num" w:pos="5040"/>
        </w:tabs>
        <w:ind w:left="5040" w:hanging="360"/>
      </w:pPr>
      <w:rPr>
        <w:rFonts w:ascii="Symbol" w:hAnsi="Symbol" w:hint="default"/>
      </w:rPr>
    </w:lvl>
    <w:lvl w:ilvl="7" w:tplc="0A407BE2" w:tentative="1">
      <w:start w:val="1"/>
      <w:numFmt w:val="bullet"/>
      <w:lvlText w:val="o"/>
      <w:lvlJc w:val="left"/>
      <w:pPr>
        <w:tabs>
          <w:tab w:val="num" w:pos="5760"/>
        </w:tabs>
        <w:ind w:left="5760" w:hanging="360"/>
      </w:pPr>
      <w:rPr>
        <w:rFonts w:ascii="Courier New" w:hAnsi="Courier New" w:hint="default"/>
      </w:rPr>
    </w:lvl>
    <w:lvl w:ilvl="8" w:tplc="06BE0AEC" w:tentative="1">
      <w:start w:val="1"/>
      <w:numFmt w:val="bullet"/>
      <w:lvlText w:val=""/>
      <w:lvlJc w:val="left"/>
      <w:pPr>
        <w:tabs>
          <w:tab w:val="num" w:pos="6480"/>
        </w:tabs>
        <w:ind w:left="6480" w:hanging="360"/>
      </w:pPr>
      <w:rPr>
        <w:rFonts w:ascii="Wingdings" w:hAnsi="Wingdings" w:hint="default"/>
      </w:r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C52298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15059"/>
    <w:docVar w:name="WAFER_20140122111255" w:val="RemoveTocBookmarks,RemoveUnusedBookmarks,RemoveLanguageTags,UsedStyles,ResetPageSize"/>
    <w:docVar w:name="WAFER_20140122111255_GUID" w:val="3f158cda-2f01-4424-ac38-57fd259d360e"/>
    <w:docVar w:name="WAFER_20140122111335" w:val="RemoveTocBookmarks,RemoveUnusedBookmarks,RemoveLanguageTags,UsedStyles,ResetPageSize,UpdateArrangement"/>
    <w:docVar w:name="WAFER_20140122111335_GUID" w:val="f3887606-d0e5-454d-8223-1579ba229db7"/>
    <w:docVar w:name="WAFER_20140122114743" w:val="RemoveTocBookmarks,RunningHeaders"/>
    <w:docVar w:name="WAFER_20140122114743_GUID" w:val="c9c1839c-2ac1-4506-8b1a-ea3a8c80ecb2"/>
    <w:docVar w:name="WAFER_20140206150619" w:val="RemoveTocBookmarks,RemoveUnusedBookmarks,RemoveLanguageTags,UsedStyles,ResetPageSize,UpdateArrangement"/>
    <w:docVar w:name="WAFER_20140206150619_GUID" w:val="fb08909f-a982-4f42-b723-e2a1f94724a2"/>
    <w:docVar w:name="WAFER_20140206150916" w:val="RemoveTocBookmarks,RunningHeaders"/>
    <w:docVar w:name="WAFER_20140206150916_GUID" w:val="6f55f63f-4d89-4895-858f-659d451cd823"/>
    <w:docVar w:name="WAFER_20150416145139" w:val="ResetPageSize,UpdateArrangement,UpdateNTable"/>
    <w:docVar w:name="WAFER_20150416145139_GUID" w:val="795c200b-b37b-4208-b30f-af397ef2c85f"/>
    <w:docVar w:name="WAFER_20150916104531" w:val="ResetPageSize,UpdateArrangement,UpdateNTable"/>
    <w:docVar w:name="WAFER_20150916104531_GUID" w:val="366e7782-dfb4-40fc-b7e7-c617fa5b2f02"/>
    <w:docVar w:name="WAFER_20151123114825" w:val="UpdateStyles"/>
    <w:docVar w:name="WAFER_20151123114825_GUID" w:val="df696039-8a4b-450d-9234-6ba0f946e528"/>
    <w:docVar w:name="WAFER_20151123115059" w:val="UsedStyles"/>
    <w:docVar w:name="WAFER_20151123115059_GUID" w:val="66c285a6-f66d-4d33-bf66-93cbdf5fbc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10306</Words>
  <Characters>49883</Characters>
  <Application>Microsoft Office Word</Application>
  <DocSecurity>0</DocSecurity>
  <Lines>1348</Lines>
  <Paragraphs>781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59408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00-j0-01 - 00-k0-05</dc:title>
  <dc:subject/>
  <dc:creator/>
  <cp:keywords/>
  <dc:description/>
  <cp:lastModifiedBy>svcMRProcess</cp:lastModifiedBy>
  <cp:revision>2</cp:revision>
  <cp:lastPrinted>2007-06-06T03:31:00Z</cp:lastPrinted>
  <dcterms:created xsi:type="dcterms:W3CDTF">2018-09-05T23:40:00Z</dcterms:created>
  <dcterms:modified xsi:type="dcterms:W3CDTF">2018-09-05T23:40:00Z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20150427</vt:lpwstr>
  </property>
  <property fmtid="{D5CDD505-2E9C-101B-9397-08002B2CF9AE}" pid="4" name="OwlsUID">
    <vt:i4>146614</vt:i4>
  </property>
  <property fmtid="{D5CDD505-2E9C-101B-9397-08002B2CF9AE}" pid="5" name="DocumentType">
    <vt:lpwstr>Act</vt:lpwstr>
  </property>
  <property fmtid="{D5CDD505-2E9C-101B-9397-08002B2CF9AE}" pid="6" name="FromSuffix">
    <vt:lpwstr>00-j0-01</vt:lpwstr>
  </property>
  <property fmtid="{D5CDD505-2E9C-101B-9397-08002B2CF9AE}" pid="7" name="FromAsAtDate">
    <vt:lpwstr>06 Sep 2014</vt:lpwstr>
  </property>
  <property fmtid="{D5CDD505-2E9C-101B-9397-08002B2CF9AE}" pid="8" name="ToSuffix">
    <vt:lpwstr>00-k0-05</vt:lpwstr>
  </property>
  <property fmtid="{D5CDD505-2E9C-101B-9397-08002B2CF9AE}" pid="9" name="ToAsAtDate">
    <vt:lpwstr>27 Apr 2015</vt:lpwstr>
  </property>
</Properties>
</file>