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06 Jun 2015</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421536931"/>
      <w:bookmarkStart w:id="3" w:name="_Toc417656643"/>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21536932"/>
      <w:bookmarkStart w:id="7" w:name="_Toc417656644"/>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8" w:name="_Toc408482374"/>
      <w:bookmarkStart w:id="9" w:name="_Toc421536933"/>
      <w:bookmarkStart w:id="10" w:name="_Toc417656645"/>
      <w:r>
        <w:rPr>
          <w:rStyle w:val="CharSectno"/>
        </w:rPr>
        <w:t>3</w:t>
      </w:r>
      <w:r>
        <w:t>.</w:t>
      </w:r>
      <w:r>
        <w:tab/>
        <w:t>Rate of interest for refunds and credits (section 39)</w:t>
      </w:r>
      <w:bookmarkEnd w:id="8"/>
      <w:bookmarkEnd w:id="9"/>
      <w:bookmarkEnd w:id="10"/>
    </w:p>
    <w:p>
      <w:pPr>
        <w:pStyle w:val="Subsection"/>
        <w:spacing w:before="140"/>
      </w:pPr>
      <w:r>
        <w:tab/>
      </w:r>
      <w:r>
        <w:tab/>
        <w:t>The rate of interest payable for the purposes of section 39(2) of the Act is 2.7% per annum.</w:t>
      </w:r>
    </w:p>
    <w:p>
      <w:pPr>
        <w:pStyle w:val="Footnotesection"/>
      </w:pPr>
      <w:r>
        <w:tab/>
        <w:t>[Regulation 3 amended in Gazette 17 May 2013 p. 1985; 17 Dec 2013 p. 6240.]</w:t>
      </w:r>
    </w:p>
    <w:p>
      <w:pPr>
        <w:pStyle w:val="Heading5"/>
        <w:spacing w:before="200"/>
      </w:pPr>
      <w:bookmarkStart w:id="11" w:name="_Toc408482375"/>
      <w:bookmarkStart w:id="12" w:name="_Toc421536934"/>
      <w:bookmarkStart w:id="13" w:name="_Toc417656646"/>
      <w:r>
        <w:rPr>
          <w:rStyle w:val="CharSectno"/>
        </w:rPr>
        <w:t>4</w:t>
      </w:r>
      <w:r>
        <w:t>.</w:t>
      </w:r>
      <w:r>
        <w:tab/>
        <w:t>Rate of interest for overpaid amounts (section 43)</w:t>
      </w:r>
      <w:bookmarkEnd w:id="11"/>
      <w:bookmarkEnd w:id="12"/>
      <w:bookmarkEnd w:id="13"/>
    </w:p>
    <w:p>
      <w:pPr>
        <w:pStyle w:val="Subsection"/>
      </w:pPr>
      <w:r>
        <w:tab/>
      </w:r>
      <w:r>
        <w:tab/>
        <w:t>The rate of interest payable for the purposes of section 43(3) of the Act is 2.7% per annum.</w:t>
      </w:r>
    </w:p>
    <w:p>
      <w:pPr>
        <w:pStyle w:val="Footnotesection"/>
        <w:ind w:left="890" w:hanging="890"/>
      </w:pPr>
      <w:r>
        <w:tab/>
        <w:t>[Regulation 4 amended in Gazette 17 May 2013 p. 1985; 17 Dec 2013 p. 6241.]</w:t>
      </w:r>
    </w:p>
    <w:p>
      <w:pPr>
        <w:pStyle w:val="Heading5"/>
      </w:pPr>
      <w:bookmarkStart w:id="14" w:name="_Toc408482376"/>
      <w:bookmarkStart w:id="15" w:name="_Toc421536935"/>
      <w:bookmarkStart w:id="16" w:name="_Toc417656647"/>
      <w:r>
        <w:rPr>
          <w:rStyle w:val="CharSectno"/>
        </w:rPr>
        <w:t>5</w:t>
      </w:r>
      <w:r>
        <w:t>.</w:t>
      </w:r>
      <w:r>
        <w:tab/>
        <w:t>Rate of interest for outstanding amounts (section 47)</w:t>
      </w:r>
      <w:bookmarkEnd w:id="14"/>
      <w:bookmarkEnd w:id="15"/>
      <w:bookmarkEnd w:id="16"/>
    </w:p>
    <w:p>
      <w:pPr>
        <w:pStyle w:val="Subsection"/>
      </w:pPr>
      <w:r>
        <w:tab/>
      </w:r>
      <w:r>
        <w:tab/>
        <w:t>The rate of interest payable for the purposes of section 47(3) of the Act is 10.7% per annum.</w:t>
      </w:r>
    </w:p>
    <w:p>
      <w:pPr>
        <w:pStyle w:val="Footnotesection"/>
        <w:ind w:left="890" w:hanging="890"/>
      </w:pPr>
      <w:r>
        <w:tab/>
        <w:t>[Regulation 5 amended in Gazette 13 Aug 2004 p. 3253; 28 Feb 2007 p. 639; 14 Mar 2008 p. 837; 17 May 2013 p. 1985; 17 Dec 2013 p. 6241.]</w:t>
      </w:r>
    </w:p>
    <w:p>
      <w:pPr>
        <w:pStyle w:val="Heading5"/>
      </w:pPr>
      <w:bookmarkStart w:id="17" w:name="_Toc408482377"/>
      <w:bookmarkStart w:id="18" w:name="_Toc421536936"/>
      <w:bookmarkStart w:id="19" w:name="_Toc417656648"/>
      <w:r>
        <w:rPr>
          <w:rStyle w:val="CharSectno"/>
        </w:rPr>
        <w:t>5A</w:t>
      </w:r>
      <w:r>
        <w:t>.</w:t>
      </w:r>
      <w:r>
        <w:tab/>
        <w:t>Special tax return arrangements: corrections and alterations (section 50(1)(f))</w:t>
      </w:r>
      <w:bookmarkEnd w:id="17"/>
      <w:bookmarkEnd w:id="18"/>
      <w:bookmarkEnd w:id="1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0" w:name="_Toc408482378"/>
      <w:bookmarkStart w:id="21" w:name="_Toc421536937"/>
      <w:bookmarkStart w:id="22" w:name="_Toc417656649"/>
      <w:r>
        <w:rPr>
          <w:rStyle w:val="CharSectno"/>
        </w:rPr>
        <w:t>5B</w:t>
      </w:r>
      <w:r>
        <w:t>.</w:t>
      </w:r>
      <w:r>
        <w:tab/>
        <w:t>Rate of interest for refunds (section 54(2A))</w:t>
      </w:r>
      <w:bookmarkEnd w:id="20"/>
      <w:bookmarkEnd w:id="21"/>
      <w:bookmarkEnd w:id="22"/>
    </w:p>
    <w:p>
      <w:pPr>
        <w:pStyle w:val="Subsection"/>
      </w:pPr>
      <w:r>
        <w:tab/>
      </w:r>
      <w:r>
        <w:tab/>
        <w:t>The rate of interest payable for the purposes of section 54(2A) of the Act is 2.7% per annum.</w:t>
      </w:r>
    </w:p>
    <w:p>
      <w:pPr>
        <w:pStyle w:val="Footnotesection"/>
      </w:pPr>
      <w:r>
        <w:tab/>
        <w:t>[Regulation 5B inserted in Gazette 17 Dec 2013 p. 6241.]</w:t>
      </w:r>
    </w:p>
    <w:p>
      <w:pPr>
        <w:pStyle w:val="Heading5"/>
      </w:pPr>
      <w:bookmarkStart w:id="23" w:name="_Toc408482379"/>
      <w:bookmarkStart w:id="24" w:name="_Toc421536938"/>
      <w:bookmarkStart w:id="25" w:name="_Toc417656650"/>
      <w:r>
        <w:rPr>
          <w:rStyle w:val="CharSectno"/>
        </w:rPr>
        <w:t>6A</w:t>
      </w:r>
      <w:r>
        <w:t>.</w:t>
      </w:r>
      <w:r>
        <w:tab/>
        <w:t>Amount for writing off unused credit (section 55A(1)(a))</w:t>
      </w:r>
      <w:bookmarkEnd w:id="23"/>
      <w:bookmarkEnd w:id="24"/>
      <w:bookmarkEnd w:id="25"/>
    </w:p>
    <w:p>
      <w:pPr>
        <w:pStyle w:val="Subsection"/>
      </w:pPr>
      <w:r>
        <w:tab/>
      </w:r>
      <w:r>
        <w:tab/>
        <w:t>The amount for the purposes of writing off credits under section 55A(1)(a) of the Act is $</w:t>
      </w:r>
      <w:del w:id="26" w:author="Master Repository Process" w:date="2021-09-19T01:54:00Z">
        <w:r>
          <w:delText>5</w:delText>
        </w:r>
      </w:del>
      <w:ins w:id="27" w:author="Master Repository Process" w:date="2021-09-19T01:54:00Z">
        <w:r>
          <w:t>20</w:t>
        </w:r>
      </w:ins>
      <w:r>
        <w:t>.01.</w:t>
      </w:r>
    </w:p>
    <w:p>
      <w:pPr>
        <w:pStyle w:val="Footnotesection"/>
      </w:pPr>
      <w:r>
        <w:tab/>
        <w:t>[Regulation 6A inserted in Gazette 11 Nov 2008 p. </w:t>
      </w:r>
      <w:del w:id="28" w:author="Master Repository Process" w:date="2021-09-19T01:54:00Z">
        <w:r>
          <w:delText>4845</w:delText>
        </w:r>
      </w:del>
      <w:ins w:id="29" w:author="Master Repository Process" w:date="2021-09-19T01:54:00Z">
        <w:r>
          <w:t>4845; amended in Gazette 5 Jun 2015 p. 1976</w:t>
        </w:r>
      </w:ins>
      <w:r>
        <w:t>.]</w:t>
      </w:r>
    </w:p>
    <w:p>
      <w:pPr>
        <w:pStyle w:val="Heading5"/>
      </w:pPr>
      <w:bookmarkStart w:id="30" w:name="_Toc408482380"/>
      <w:bookmarkStart w:id="31" w:name="_Toc421536939"/>
      <w:bookmarkStart w:id="32" w:name="_Toc417656651"/>
      <w:r>
        <w:rPr>
          <w:rStyle w:val="CharSectno"/>
        </w:rPr>
        <w:t>6</w:t>
      </w:r>
      <w:r>
        <w:t>.</w:t>
      </w:r>
      <w:r>
        <w:tab/>
        <w:t>Limit for waiving payment of tax (section 56)</w:t>
      </w:r>
      <w:bookmarkEnd w:id="30"/>
      <w:bookmarkEnd w:id="31"/>
      <w:bookmarkEnd w:id="32"/>
    </w:p>
    <w:p>
      <w:pPr>
        <w:pStyle w:val="Subsection"/>
      </w:pPr>
      <w:r>
        <w:tab/>
      </w:r>
      <w:r>
        <w:tab/>
        <w:t>The limit for waiving payment of tax for the purposes of section 56(1) of the Act is $20.</w:t>
      </w:r>
    </w:p>
    <w:p>
      <w:pPr>
        <w:pStyle w:val="Heading5"/>
      </w:pPr>
      <w:bookmarkStart w:id="33" w:name="_Toc408482381"/>
      <w:bookmarkStart w:id="34" w:name="_Toc421536940"/>
      <w:bookmarkStart w:id="35" w:name="_Toc417656652"/>
      <w:r>
        <w:rPr>
          <w:rStyle w:val="CharSectno"/>
        </w:rPr>
        <w:t>7</w:t>
      </w:r>
      <w:r>
        <w:t>.</w:t>
      </w:r>
      <w:r>
        <w:tab/>
        <w:t>Statutory administrator of a taxpayer’s assets (section 64)</w:t>
      </w:r>
      <w:bookmarkEnd w:id="33"/>
      <w:bookmarkEnd w:id="34"/>
      <w:bookmarkEnd w:id="3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6" w:name="_Toc408482382"/>
      <w:bookmarkStart w:id="37" w:name="_Toc421536941"/>
      <w:bookmarkStart w:id="38" w:name="_Toc417656653"/>
      <w:r>
        <w:rPr>
          <w:rStyle w:val="CharSectno"/>
        </w:rPr>
        <w:t>8</w:t>
      </w:r>
      <w:r>
        <w:t>.</w:t>
      </w:r>
      <w:r>
        <w:tab/>
        <w:t>Fee for certificate (section 80)</w:t>
      </w:r>
      <w:bookmarkEnd w:id="36"/>
      <w:bookmarkEnd w:id="37"/>
      <w:bookmarkEnd w:id="38"/>
    </w:p>
    <w:p>
      <w:pPr>
        <w:pStyle w:val="Subsection"/>
      </w:pPr>
      <w:r>
        <w:tab/>
      </w:r>
      <w:r>
        <w:tab/>
        <w:t>The prescribed fee for the issue of a certificate under section 80 of the Act is $35.</w:t>
      </w:r>
    </w:p>
    <w:p>
      <w:pPr>
        <w:pStyle w:val="Footnotesection"/>
        <w:ind w:left="890" w:hanging="890"/>
      </w:pPr>
      <w:r>
        <w:tab/>
        <w:t>[Regulation 8 inserted in Gazette 25 Jun 2010 p. 2880.]</w:t>
      </w:r>
    </w:p>
    <w:p>
      <w:pPr>
        <w:pStyle w:val="Heading5"/>
      </w:pPr>
      <w:bookmarkStart w:id="39" w:name="_Toc408482383"/>
      <w:bookmarkStart w:id="40" w:name="_Toc421536942"/>
      <w:bookmarkStart w:id="41" w:name="_Toc417656654"/>
      <w:r>
        <w:rPr>
          <w:rStyle w:val="CharSectno"/>
        </w:rPr>
        <w:t>9</w:t>
      </w:r>
      <w:r>
        <w:t>.</w:t>
      </w:r>
      <w:r>
        <w:tab/>
        <w:t>Where tax records to be kept (section 89)</w:t>
      </w:r>
      <w:bookmarkEnd w:id="39"/>
      <w:bookmarkEnd w:id="40"/>
      <w:bookmarkEnd w:id="41"/>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42" w:name="_Toc408482384"/>
      <w:bookmarkStart w:id="43" w:name="_Toc421536943"/>
      <w:bookmarkStart w:id="44" w:name="_Toc417656655"/>
      <w:r>
        <w:rPr>
          <w:rStyle w:val="CharSectno"/>
        </w:rPr>
        <w:t>10</w:t>
      </w:r>
      <w:r>
        <w:t>.</w:t>
      </w:r>
      <w:r>
        <w:tab/>
        <w:t>Exemption from requirement to keep tax records (section 91)</w:t>
      </w:r>
      <w:bookmarkEnd w:id="42"/>
      <w:bookmarkEnd w:id="43"/>
      <w:bookmarkEnd w:id="44"/>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5" w:name="_Toc408482385"/>
      <w:bookmarkStart w:id="46" w:name="_Toc421536944"/>
      <w:bookmarkStart w:id="47" w:name="_Toc417656656"/>
      <w:r>
        <w:rPr>
          <w:rStyle w:val="CharSectno"/>
        </w:rPr>
        <w:t>11</w:t>
      </w:r>
      <w:r>
        <w:t>.</w:t>
      </w:r>
      <w:r>
        <w:tab/>
        <w:t>Expenses of witnesses (section 95)</w:t>
      </w:r>
      <w:bookmarkEnd w:id="45"/>
      <w:bookmarkEnd w:id="46"/>
      <w:bookmarkEnd w:id="47"/>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48" w:name="_Toc408482386"/>
      <w:bookmarkStart w:id="49" w:name="_Toc421536945"/>
      <w:bookmarkStart w:id="50" w:name="_Toc417656657"/>
      <w:r>
        <w:rPr>
          <w:rStyle w:val="CharSectno"/>
        </w:rPr>
        <w:t>12</w:t>
      </w:r>
      <w:r>
        <w:t>.</w:t>
      </w:r>
      <w:r>
        <w:tab/>
        <w:t>Law enforcement agency authorised to receive confidential information (section 114)</w:t>
      </w:r>
      <w:bookmarkEnd w:id="48"/>
      <w:bookmarkEnd w:id="49"/>
      <w:bookmarkEnd w:id="50"/>
    </w:p>
    <w:p>
      <w:pPr>
        <w:pStyle w:val="Subsection"/>
      </w:pPr>
      <w:r>
        <w:tab/>
      </w:r>
      <w:r>
        <w:tab/>
        <w:t>For the purposes of section 114(3)(a)(iv) of the Act, the Australian Crime Commission is authorised to receive confidential information.</w:t>
      </w:r>
    </w:p>
    <w:p>
      <w:pPr>
        <w:pStyle w:val="Heading5"/>
        <w:spacing w:before="180"/>
      </w:pPr>
      <w:bookmarkStart w:id="51" w:name="_Toc408482387"/>
      <w:bookmarkStart w:id="52" w:name="_Toc421536946"/>
      <w:bookmarkStart w:id="53" w:name="_Toc417656658"/>
      <w:r>
        <w:rPr>
          <w:rStyle w:val="CharSectno"/>
        </w:rPr>
        <w:t>13A</w:t>
      </w:r>
      <w:r>
        <w:t>.</w:t>
      </w:r>
      <w:r>
        <w:tab/>
        <w:t>Disclosure of information about vehicle licensing (section 114(3)(g))</w:t>
      </w:r>
      <w:bookmarkEnd w:id="51"/>
      <w:bookmarkEnd w:id="52"/>
      <w:bookmarkEnd w:id="53"/>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54" w:name="_Toc408482388"/>
      <w:bookmarkStart w:id="55" w:name="_Toc421536947"/>
      <w:bookmarkStart w:id="56" w:name="_Toc417656659"/>
      <w:r>
        <w:rPr>
          <w:rStyle w:val="CharSectno"/>
        </w:rPr>
        <w:t>13B</w:t>
      </w:r>
      <w:r>
        <w:t>.</w:t>
      </w:r>
      <w:r>
        <w:tab/>
        <w:t>Disclosure of information about petroleum matters (section 114(3)(g))</w:t>
      </w:r>
      <w:bookmarkEnd w:id="54"/>
      <w:bookmarkEnd w:id="55"/>
      <w:bookmarkEnd w:id="5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57" w:name="_Toc408482389"/>
      <w:bookmarkStart w:id="58" w:name="_Toc421536948"/>
      <w:bookmarkStart w:id="59" w:name="_Toc417656660"/>
      <w:r>
        <w:rPr>
          <w:rStyle w:val="CharSectno"/>
        </w:rPr>
        <w:t>13C</w:t>
      </w:r>
      <w:r>
        <w:t>.</w:t>
      </w:r>
      <w:r>
        <w:tab/>
        <w:t>Disclosure of information about land transfers (section 114(3)(g))</w:t>
      </w:r>
      <w:bookmarkEnd w:id="57"/>
      <w:bookmarkEnd w:id="58"/>
      <w:bookmarkEnd w:id="5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60" w:name="_Toc408482390"/>
      <w:bookmarkStart w:id="61" w:name="_Toc421536949"/>
      <w:bookmarkStart w:id="62" w:name="_Toc417656661"/>
      <w:r>
        <w:rPr>
          <w:rStyle w:val="CharSectno"/>
        </w:rPr>
        <w:t>13D</w:t>
      </w:r>
      <w:r>
        <w:t>.</w:t>
      </w:r>
      <w:r>
        <w:tab/>
        <w:t>Disclosure of information about a person’s taxation affairs (section 114(3)(g))</w:t>
      </w:r>
      <w:bookmarkEnd w:id="60"/>
      <w:bookmarkEnd w:id="61"/>
      <w:bookmarkEnd w:id="6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3" w:name="_Toc408482391"/>
      <w:bookmarkStart w:id="64" w:name="_Toc421536950"/>
      <w:bookmarkStart w:id="65" w:name="_Toc417656662"/>
      <w:r>
        <w:rPr>
          <w:rStyle w:val="CharSectno"/>
        </w:rPr>
        <w:t>13E</w:t>
      </w:r>
      <w:r>
        <w:t>.</w:t>
      </w:r>
      <w:r>
        <w:tab/>
        <w:t>Disclosure of information to interstate official: first home owner grant (section 114(3)(g))</w:t>
      </w:r>
      <w:bookmarkEnd w:id="63"/>
      <w:bookmarkEnd w:id="64"/>
      <w:bookmarkEnd w:id="6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66" w:name="_Toc408482392"/>
      <w:bookmarkStart w:id="67" w:name="_Toc421536951"/>
      <w:bookmarkStart w:id="68" w:name="_Toc417656663"/>
      <w:r>
        <w:rPr>
          <w:rStyle w:val="CharSectno"/>
        </w:rPr>
        <w:t>13</w:t>
      </w:r>
      <w:r>
        <w:t>.</w:t>
      </w:r>
      <w:r>
        <w:tab/>
        <w:t>Disclosure of information about pastoral lessees (section 114(3)(g))</w:t>
      </w:r>
      <w:bookmarkEnd w:id="66"/>
      <w:bookmarkEnd w:id="67"/>
      <w:bookmarkEnd w:id="68"/>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69" w:name="_Toc408482393"/>
      <w:bookmarkStart w:id="70" w:name="_Toc421536952"/>
      <w:bookmarkStart w:id="71" w:name="_Toc417656664"/>
      <w:r>
        <w:rPr>
          <w:rStyle w:val="CharSectno"/>
        </w:rPr>
        <w:t>14A</w:t>
      </w:r>
      <w:r>
        <w:t>.</w:t>
      </w:r>
      <w:r>
        <w:tab/>
        <w:t>Disclosure of information about settlement agents (section 114)</w:t>
      </w:r>
      <w:bookmarkEnd w:id="69"/>
      <w:bookmarkEnd w:id="70"/>
      <w:bookmarkEnd w:id="71"/>
    </w:p>
    <w:p>
      <w:pPr>
        <w:pStyle w:val="Subsection"/>
        <w:spacing w:before="180"/>
      </w:pPr>
      <w:r>
        <w:tab/>
        <w:t>(1)</w:t>
      </w:r>
      <w:r>
        <w:tab/>
        <w:t xml:space="preserve">In this regulation — </w:t>
      </w:r>
    </w:p>
    <w:p>
      <w:pPr>
        <w:pStyle w:val="Defstart"/>
        <w:rPr>
          <w:del w:id="72" w:author="Master Repository Process" w:date="2021-09-19T01:54:00Z"/>
        </w:rPr>
      </w:pPr>
      <w:del w:id="73" w:author="Master Repository Process" w:date="2021-09-19T01:54:00Z">
        <w:r>
          <w:rPr>
            <w:b/>
          </w:rPr>
          <w:tab/>
        </w:r>
        <w:r>
          <w:rPr>
            <w:rStyle w:val="CharDefText"/>
          </w:rPr>
          <w:delText>senior Board member</w:delText>
        </w:r>
        <w:r>
          <w:delText xml:space="preserve"> means — </w:delText>
        </w:r>
      </w:del>
    </w:p>
    <w:p>
      <w:pPr>
        <w:pStyle w:val="Defpara"/>
        <w:rPr>
          <w:del w:id="74" w:author="Master Repository Process" w:date="2021-09-19T01:54:00Z"/>
        </w:rPr>
      </w:pPr>
      <w:del w:id="75" w:author="Master Repository Process" w:date="2021-09-19T01:54:00Z">
        <w:r>
          <w:tab/>
          <w:delText>(a)</w:delText>
        </w:r>
        <w:r>
          <w:tab/>
          <w:delText>a member of the Settlement Agents Supervisory Board</w:delText>
        </w:r>
        <w:r>
          <w:rPr>
            <w:vertAlign w:val="superscript"/>
          </w:rPr>
          <w:delText> 2</w:delText>
        </w:r>
        <w:r>
          <w:delText xml:space="preserve"> established by the </w:delText>
        </w:r>
        <w:r>
          <w:rPr>
            <w:i/>
          </w:rPr>
          <w:delText>Settlement Agents Act 1981</w:delText>
        </w:r>
        <w:r>
          <w:rPr>
            <w:iCs/>
          </w:rPr>
          <w:delText xml:space="preserve"> section 5 appointed under section 6(1)(a), (b) or (c) of that Act</w:delText>
        </w:r>
        <w:r>
          <w:rPr>
            <w:iCs/>
            <w:vertAlign w:val="superscript"/>
          </w:rPr>
          <w:delText> 3</w:delText>
        </w:r>
        <w:r>
          <w:delText>; or</w:delText>
        </w:r>
      </w:del>
    </w:p>
    <w:p>
      <w:pPr>
        <w:pStyle w:val="Defpara"/>
        <w:rPr>
          <w:del w:id="76" w:author="Master Repository Process" w:date="2021-09-19T01:54:00Z"/>
        </w:rPr>
      </w:pPr>
      <w:del w:id="77" w:author="Master Repository Process" w:date="2021-09-19T01:54:00Z">
        <w:r>
          <w:tab/>
          <w:delText>(b)</w:delText>
        </w:r>
        <w:r>
          <w:tab/>
          <w:delText>the Registrar of that Board</w:delText>
        </w:r>
        <w:r>
          <w:rPr>
            <w:vertAlign w:val="superscript"/>
          </w:rPr>
          <w:delText> 4</w:delText>
        </w:r>
        <w:r>
          <w:delText>;</w:delText>
        </w:r>
      </w:del>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w:t>
      </w:r>
      <w:del w:id="78" w:author="Master Repository Process" w:date="2021-09-19T01:54:00Z">
        <w:r>
          <w:delText>a senior Board member</w:delText>
        </w:r>
      </w:del>
      <w:ins w:id="79" w:author="Master Repository Process" w:date="2021-09-19T01:54:00Z">
        <w:r>
          <w:t xml:space="preserve">the person for the time being designated as the Commissioner under the </w:t>
        </w:r>
        <w:r>
          <w:rPr>
            <w:i/>
          </w:rPr>
          <w:t>Fair Trading Act 2010</w:t>
        </w:r>
        <w:r>
          <w:t xml:space="preserve"> section 55</w:t>
        </w:r>
      </w:ins>
      <w:r>
        <w:t>.</w:t>
      </w:r>
    </w:p>
    <w:p>
      <w:pPr>
        <w:pStyle w:val="Footnotesection"/>
      </w:pPr>
      <w:r>
        <w:tab/>
        <w:t>[Regulation 14A inserted in Gazette 22 Jul 2008 p. 3355</w:t>
      </w:r>
      <w:r>
        <w:noBreakHyphen/>
        <w:t>6</w:t>
      </w:r>
      <w:ins w:id="80" w:author="Master Repository Process" w:date="2021-09-19T01:54:00Z">
        <w:r>
          <w:t>; amended in Gazette 5 Jun 2015 p. 1977</w:t>
        </w:r>
      </w:ins>
      <w:r>
        <w:t>.]</w:t>
      </w:r>
    </w:p>
    <w:p>
      <w:pPr>
        <w:pStyle w:val="Heading5"/>
      </w:pPr>
      <w:bookmarkStart w:id="81" w:name="_Toc408482394"/>
      <w:bookmarkStart w:id="82" w:name="_Toc421536953"/>
      <w:bookmarkStart w:id="83" w:name="_Toc417656665"/>
      <w:r>
        <w:rPr>
          <w:rStyle w:val="CharSectno"/>
        </w:rPr>
        <w:t>14</w:t>
      </w:r>
      <w:r>
        <w:t>.</w:t>
      </w:r>
      <w:r>
        <w:tab/>
        <w:t>Service on Commissioner (section 115)</w:t>
      </w:r>
      <w:bookmarkEnd w:id="81"/>
      <w:bookmarkEnd w:id="82"/>
      <w:bookmarkEnd w:id="83"/>
    </w:p>
    <w:p>
      <w:pPr>
        <w:pStyle w:val="Subsection"/>
        <w:rPr>
          <w:del w:id="84" w:author="Master Repository Process" w:date="2021-09-19T01:54:00Z"/>
        </w:rPr>
      </w:pPr>
      <w:del w:id="85" w:author="Master Repository Process" w:date="2021-09-19T01:54:00Z">
        <w:r>
          <w:tab/>
          <w:delText>(1)</w:delText>
        </w:r>
        <w:r>
          <w:tab/>
          <w:delText xml:space="preserve">For the purposes of section 115(c) of the Act, the fax number for service of a document is — </w:delText>
        </w:r>
      </w:del>
    </w:p>
    <w:p>
      <w:pPr>
        <w:pStyle w:val="Indenta"/>
        <w:rPr>
          <w:del w:id="86" w:author="Master Repository Process" w:date="2021-09-19T01:54:00Z"/>
        </w:rPr>
      </w:pPr>
      <w:del w:id="87" w:author="Master Repository Process" w:date="2021-09-19T01:54:00Z">
        <w:r>
          <w:tab/>
          <w:delText>(a)</w:delText>
        </w:r>
        <w:r>
          <w:tab/>
          <w:delText>for land tax — (08) 9226 0837; and</w:delText>
        </w:r>
      </w:del>
    </w:p>
    <w:p>
      <w:pPr>
        <w:pStyle w:val="Indenta"/>
        <w:rPr>
          <w:del w:id="88" w:author="Master Repository Process" w:date="2021-09-19T01:54:00Z"/>
        </w:rPr>
      </w:pPr>
      <w:del w:id="89" w:author="Master Repository Process" w:date="2021-09-19T01:54:00Z">
        <w:r>
          <w:tab/>
          <w:delText>(b)</w:delText>
        </w:r>
        <w:r>
          <w:tab/>
          <w:delText>for stamp duty — (08) 9226 0834; and</w:delText>
        </w:r>
      </w:del>
    </w:p>
    <w:p>
      <w:pPr>
        <w:pStyle w:val="Indenta"/>
        <w:rPr>
          <w:del w:id="90" w:author="Master Repository Process" w:date="2021-09-19T01:54:00Z"/>
        </w:rPr>
      </w:pPr>
      <w:del w:id="91" w:author="Master Repository Process" w:date="2021-09-19T01:54:00Z">
        <w:r>
          <w:tab/>
          <w:delText>(c)</w:delText>
        </w:r>
        <w:r>
          <w:tab/>
          <w:delText>for pay</w:delText>
        </w:r>
        <w:r>
          <w:noBreakHyphen/>
          <w:delText>roll tax — (08) 9226 0841; and</w:delText>
        </w:r>
      </w:del>
    </w:p>
    <w:p>
      <w:pPr>
        <w:pStyle w:val="Indenta"/>
        <w:rPr>
          <w:del w:id="92" w:author="Master Repository Process" w:date="2021-09-19T01:54:00Z"/>
        </w:rPr>
      </w:pPr>
      <w:del w:id="93" w:author="Master Repository Process" w:date="2021-09-19T01:54:00Z">
        <w:r>
          <w:tab/>
          <w:delText>(d)</w:delText>
        </w:r>
        <w:r>
          <w:tab/>
          <w:delText xml:space="preserve">for duties under the </w:delText>
        </w:r>
        <w:r>
          <w:rPr>
            <w:i/>
            <w:iCs/>
          </w:rPr>
          <w:delText>Duties Act 2008</w:delText>
        </w:r>
        <w:r>
          <w:rPr>
            <w:iCs/>
          </w:rPr>
          <w:delText> — (08) 9226 0834.</w:delText>
        </w:r>
      </w:del>
    </w:p>
    <w:p>
      <w:pPr>
        <w:pStyle w:val="Ednotesubsection"/>
        <w:rPr>
          <w:ins w:id="94" w:author="Master Repository Process" w:date="2021-09-19T01:54:00Z"/>
        </w:rPr>
      </w:pPr>
      <w:ins w:id="95" w:author="Master Repository Process" w:date="2021-09-19T01:54:00Z">
        <w:r>
          <w:tab/>
          <w:t>[(1)</w:t>
        </w:r>
        <w:r>
          <w:tab/>
          <w:t>deleted]</w:t>
        </w:r>
      </w:ins>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w:t>
      </w:r>
      <w:ins w:id="96" w:author="Master Repository Process" w:date="2021-09-19T01:54:00Z">
        <w:r>
          <w:t>; 5 Jun 2015 p. 1977</w:t>
        </w:r>
      </w:ins>
      <w:r>
        <w:t>.]</w:t>
      </w:r>
    </w:p>
    <w:p>
      <w:pPr>
        <w:pStyle w:val="Heading5"/>
      </w:pPr>
      <w:bookmarkStart w:id="97" w:name="_Toc408482395"/>
      <w:bookmarkStart w:id="98" w:name="_Toc421536954"/>
      <w:bookmarkStart w:id="99" w:name="_Toc417656666"/>
      <w:r>
        <w:rPr>
          <w:rStyle w:val="CharSectno"/>
        </w:rPr>
        <w:t>15</w:t>
      </w:r>
      <w:r>
        <w:t>.</w:t>
      </w:r>
      <w:r>
        <w:tab/>
        <w:t>Prescription of Commissioner as State taxation officer</w:t>
      </w:r>
      <w:bookmarkEnd w:id="97"/>
      <w:bookmarkEnd w:id="98"/>
      <w:bookmarkEnd w:id="99"/>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0" w:name="_Toc408482396"/>
      <w:bookmarkStart w:id="101" w:name="_Toc417464582"/>
      <w:bookmarkStart w:id="102" w:name="_Toc417656667"/>
      <w:bookmarkStart w:id="103" w:name="_Toc421265595"/>
      <w:bookmarkStart w:id="104" w:name="_Toc421536755"/>
      <w:bookmarkStart w:id="105" w:name="_Toc421536795"/>
      <w:bookmarkStart w:id="106" w:name="_Toc421536955"/>
      <w:r>
        <w:t>Notes</w:t>
      </w:r>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ins w:id="107" w:author="Master Repository Process" w:date="2021-09-19T01:54:00Z">
        <w:r>
          <w:rPr>
            <w:snapToGrid w:val="0"/>
          </w:rPr>
          <w:t> </w:t>
        </w:r>
        <w:r>
          <w:rPr>
            <w:snapToGrid w:val="0"/>
            <w:vertAlign w:val="superscript"/>
          </w:rPr>
          <w:t>1a</w:t>
        </w:r>
      </w:ins>
      <w:r>
        <w:rPr>
          <w:snapToGrid w:val="0"/>
        </w:rPr>
        <w:t>.  The table also contains information about any reprint.</w:t>
      </w:r>
    </w:p>
    <w:p>
      <w:pPr>
        <w:pStyle w:val="nHeading3"/>
      </w:pPr>
      <w:bookmarkStart w:id="108" w:name="_Toc408482397"/>
      <w:bookmarkStart w:id="109" w:name="_Toc421536956"/>
      <w:bookmarkStart w:id="110" w:name="_Toc417656668"/>
      <w:r>
        <w:t>Compilation table</w:t>
      </w:r>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ins w:id="111" w:author="Master Repository Process" w:date="2021-09-19T01:54:00Z"/>
        </w:trPr>
        <w:tc>
          <w:tcPr>
            <w:tcW w:w="3119" w:type="dxa"/>
            <w:tcBorders>
              <w:bottom w:val="single" w:sz="4" w:space="0" w:color="auto"/>
            </w:tcBorders>
            <w:shd w:val="clear" w:color="auto" w:fill="auto"/>
          </w:tcPr>
          <w:p>
            <w:pPr>
              <w:pStyle w:val="nTable"/>
              <w:spacing w:after="40"/>
              <w:rPr>
                <w:ins w:id="112" w:author="Master Repository Process" w:date="2021-09-19T01:54:00Z"/>
                <w:i/>
              </w:rPr>
            </w:pPr>
            <w:ins w:id="113" w:author="Master Repository Process" w:date="2021-09-19T01:54:00Z">
              <w:r>
                <w:rPr>
                  <w:i/>
                </w:rPr>
                <w:t>Taxation Administration Amendment Regulations 2015</w:t>
              </w:r>
              <w:r>
                <w:t xml:space="preserve"> ( other than r. 5)</w:t>
              </w:r>
            </w:ins>
          </w:p>
        </w:tc>
        <w:tc>
          <w:tcPr>
            <w:tcW w:w="1276" w:type="dxa"/>
            <w:tcBorders>
              <w:bottom w:val="single" w:sz="4" w:space="0" w:color="auto"/>
            </w:tcBorders>
            <w:shd w:val="clear" w:color="auto" w:fill="auto"/>
          </w:tcPr>
          <w:p>
            <w:pPr>
              <w:pStyle w:val="nTable"/>
              <w:spacing w:after="40"/>
              <w:rPr>
                <w:ins w:id="114" w:author="Master Repository Process" w:date="2021-09-19T01:54:00Z"/>
              </w:rPr>
            </w:pPr>
            <w:ins w:id="115" w:author="Master Repository Process" w:date="2021-09-19T01:54:00Z">
              <w:r>
                <w:t>5 Jun 2015 p. 1976-7</w:t>
              </w:r>
            </w:ins>
          </w:p>
        </w:tc>
        <w:tc>
          <w:tcPr>
            <w:tcW w:w="2693" w:type="dxa"/>
            <w:tcBorders>
              <w:bottom w:val="single" w:sz="4" w:space="0" w:color="auto"/>
            </w:tcBorders>
            <w:shd w:val="clear" w:color="auto" w:fill="auto"/>
          </w:tcPr>
          <w:p>
            <w:pPr>
              <w:pStyle w:val="nTable"/>
              <w:spacing w:after="40"/>
              <w:rPr>
                <w:ins w:id="116" w:author="Master Repository Process" w:date="2021-09-19T01:54:00Z"/>
                <w:snapToGrid w:val="0"/>
                <w:spacing w:val="-2"/>
              </w:rPr>
            </w:pPr>
            <w:ins w:id="117" w:author="Master Repository Process" w:date="2021-09-19T01:54:00Z">
              <w:r>
                <w:rPr>
                  <w:bCs/>
                  <w:snapToGrid w:val="0"/>
                  <w:spacing w:val="-2"/>
                </w:rPr>
                <w:t>r. 1 and 2: 5 Jun 2015 (see r. 2(a));</w:t>
              </w:r>
              <w:r>
                <w:rPr>
                  <w:bCs/>
                  <w:snapToGrid w:val="0"/>
                  <w:spacing w:val="-2"/>
                </w:rPr>
                <w:br/>
                <w:t>Regulations other than r. 1, 2 and 5: 6 Jun 2015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spacing w:before="280"/>
        <w:ind w:left="482" w:hanging="482"/>
        <w:rPr>
          <w:ins w:id="118" w:author="Master Repository Process" w:date="2021-09-19T01:54:00Z"/>
        </w:rPr>
      </w:pPr>
      <w:ins w:id="119" w:author="Master Repository Process" w:date="2021-09-19T01:5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20" w:author="Master Repository Process" w:date="2021-09-19T01:54:00Z"/>
        </w:rPr>
      </w:pPr>
      <w:bookmarkStart w:id="121" w:name="_Toc404007775"/>
      <w:bookmarkStart w:id="122" w:name="_Toc413142799"/>
      <w:bookmarkStart w:id="123" w:name="_Toc421536957"/>
      <w:ins w:id="124" w:author="Master Repository Process" w:date="2021-09-19T01:54:00Z">
        <w:r>
          <w:t>Provisions that have not come into operation</w:t>
        </w:r>
        <w:bookmarkEnd w:id="121"/>
        <w:bookmarkEnd w:id="122"/>
        <w:bookmarkEnd w:id="12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25" w:author="Master Repository Process" w:date="2021-09-19T01:54:00Z"/>
        </w:trPr>
        <w:tc>
          <w:tcPr>
            <w:tcW w:w="3119" w:type="dxa"/>
            <w:tcBorders>
              <w:top w:val="single" w:sz="8" w:space="0" w:color="auto"/>
              <w:bottom w:val="single" w:sz="8" w:space="0" w:color="auto"/>
            </w:tcBorders>
            <w:shd w:val="clear" w:color="auto" w:fill="auto"/>
          </w:tcPr>
          <w:p>
            <w:pPr>
              <w:pStyle w:val="nTable"/>
              <w:spacing w:after="40"/>
              <w:rPr>
                <w:ins w:id="126" w:author="Master Repository Process" w:date="2021-09-19T01:54:00Z"/>
                <w:b/>
              </w:rPr>
            </w:pPr>
            <w:ins w:id="127" w:author="Master Repository Process" w:date="2021-09-19T01:54: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28" w:author="Master Repository Process" w:date="2021-09-19T01:54:00Z"/>
                <w:b/>
              </w:rPr>
            </w:pPr>
            <w:ins w:id="129" w:author="Master Repository Process" w:date="2021-09-19T01:54: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30" w:author="Master Repository Process" w:date="2021-09-19T01:54:00Z"/>
                <w:b/>
              </w:rPr>
            </w:pPr>
            <w:ins w:id="131" w:author="Master Repository Process" w:date="2021-09-19T01:54:00Z">
              <w:r>
                <w:rPr>
                  <w:b/>
                </w:rPr>
                <w:t>Commencement</w:t>
              </w:r>
            </w:ins>
          </w:p>
        </w:tc>
      </w:tr>
      <w:tr>
        <w:trPr>
          <w:ins w:id="132" w:author="Master Repository Process" w:date="2021-09-19T01:54:00Z"/>
        </w:trPr>
        <w:tc>
          <w:tcPr>
            <w:tcW w:w="3119" w:type="dxa"/>
            <w:tcBorders>
              <w:top w:val="single" w:sz="8" w:space="0" w:color="auto"/>
              <w:bottom w:val="single" w:sz="8" w:space="0" w:color="auto"/>
            </w:tcBorders>
          </w:tcPr>
          <w:p>
            <w:pPr>
              <w:pStyle w:val="nTable"/>
              <w:spacing w:after="40"/>
              <w:rPr>
                <w:ins w:id="133" w:author="Master Repository Process" w:date="2021-09-19T01:54:00Z"/>
                <w:vertAlign w:val="superscript"/>
              </w:rPr>
            </w:pPr>
            <w:ins w:id="134" w:author="Master Repository Process" w:date="2021-09-19T01:54:00Z">
              <w:r>
                <w:rPr>
                  <w:i/>
                </w:rPr>
                <w:t>Taxation Administration Amendment Regulations 2015</w:t>
              </w:r>
              <w:r>
                <w:t xml:space="preserve"> r. 5 </w:t>
              </w:r>
              <w:r>
                <w:rPr>
                  <w:vertAlign w:val="superscript"/>
                </w:rPr>
                <w:t>5</w:t>
              </w:r>
            </w:ins>
          </w:p>
        </w:tc>
        <w:tc>
          <w:tcPr>
            <w:tcW w:w="1276" w:type="dxa"/>
            <w:tcBorders>
              <w:top w:val="single" w:sz="8" w:space="0" w:color="auto"/>
              <w:bottom w:val="single" w:sz="8" w:space="0" w:color="auto"/>
            </w:tcBorders>
          </w:tcPr>
          <w:p>
            <w:pPr>
              <w:pStyle w:val="nTable"/>
              <w:spacing w:after="40"/>
              <w:rPr>
                <w:ins w:id="135" w:author="Master Repository Process" w:date="2021-09-19T01:54:00Z"/>
              </w:rPr>
            </w:pPr>
            <w:ins w:id="136" w:author="Master Repository Process" w:date="2021-09-19T01:54:00Z">
              <w:r>
                <w:t>5 Jun 2015 p. 1976-7</w:t>
              </w:r>
            </w:ins>
          </w:p>
        </w:tc>
        <w:tc>
          <w:tcPr>
            <w:tcW w:w="2693" w:type="dxa"/>
            <w:tcBorders>
              <w:top w:val="single" w:sz="8" w:space="0" w:color="auto"/>
              <w:bottom w:val="single" w:sz="8" w:space="0" w:color="auto"/>
            </w:tcBorders>
          </w:tcPr>
          <w:p>
            <w:pPr>
              <w:pStyle w:val="nTable"/>
              <w:spacing w:after="40"/>
              <w:rPr>
                <w:ins w:id="137" w:author="Master Repository Process" w:date="2021-09-19T01:54:00Z"/>
              </w:rPr>
            </w:pPr>
            <w:ins w:id="138" w:author="Master Repository Process" w:date="2021-09-19T01:54:00Z">
              <w:r>
                <w:t>1 Jul 2015 (see r. 2(c))</w:t>
              </w:r>
            </w:ins>
          </w:p>
        </w:tc>
      </w:tr>
    </w:tbl>
    <w:p>
      <w:pPr>
        <w:pStyle w:val="nSubsection"/>
        <w:rPr>
          <w:ins w:id="139" w:author="Master Repository Process" w:date="2021-09-19T01:54:00Z"/>
          <w:vertAlign w:val="superscript"/>
        </w:rPr>
      </w:pP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keepNext/>
        <w:rPr>
          <w:ins w:id="140" w:author="Master Repository Process" w:date="2021-09-19T01:54:00Z"/>
        </w:rPr>
      </w:pPr>
      <w:bookmarkStart w:id="141" w:name="Start_Cursor"/>
      <w:bookmarkEnd w:id="141"/>
      <w:ins w:id="142" w:author="Master Repository Process" w:date="2021-09-19T01:54:00Z">
        <w:r>
          <w:rPr>
            <w:vertAlign w:val="superscript"/>
          </w:rPr>
          <w:t>5</w:t>
        </w:r>
        <w:r>
          <w:tab/>
          <w:t xml:space="preserve">On the date as at which this compilation was prepared, the </w:t>
        </w:r>
        <w:r>
          <w:rPr>
            <w:i/>
          </w:rPr>
          <w:t>Taxation Administration Amendment Regulations 2015</w:t>
        </w:r>
        <w:r>
          <w:t xml:space="preserve"> r. 5 had not come into operation.  It reads as follows:</w:t>
        </w:r>
      </w:ins>
    </w:p>
    <w:p>
      <w:pPr>
        <w:pStyle w:val="BlankOpen"/>
        <w:rPr>
          <w:ins w:id="143" w:author="Master Repository Process" w:date="2021-09-19T01:54:00Z"/>
        </w:rPr>
      </w:pPr>
    </w:p>
    <w:p>
      <w:pPr>
        <w:pStyle w:val="nzHeading5"/>
        <w:rPr>
          <w:ins w:id="144" w:author="Master Repository Process" w:date="2021-09-19T01:54:00Z"/>
        </w:rPr>
      </w:pPr>
      <w:ins w:id="145" w:author="Master Repository Process" w:date="2021-09-19T01:54:00Z">
        <w:r>
          <w:rPr>
            <w:rStyle w:val="CharSectno"/>
          </w:rPr>
          <w:t>5</w:t>
        </w:r>
        <w:r>
          <w:t>.</w:t>
        </w:r>
        <w:r>
          <w:tab/>
          <w:t>Regulation 8 amended</w:t>
        </w:r>
      </w:ins>
    </w:p>
    <w:p>
      <w:pPr>
        <w:pStyle w:val="nzSubsection"/>
        <w:rPr>
          <w:ins w:id="146" w:author="Master Repository Process" w:date="2021-09-19T01:54:00Z"/>
        </w:rPr>
      </w:pPr>
      <w:ins w:id="147" w:author="Master Repository Process" w:date="2021-09-19T01:54:00Z">
        <w:r>
          <w:tab/>
        </w:r>
        <w:r>
          <w:tab/>
          <w:t>In regulation 8 delete “$35.” and insert:</w:t>
        </w:r>
      </w:ins>
    </w:p>
    <w:p>
      <w:pPr>
        <w:pStyle w:val="BlankOpen"/>
        <w:rPr>
          <w:ins w:id="148" w:author="Master Repository Process" w:date="2021-09-19T01:54:00Z"/>
        </w:rPr>
      </w:pPr>
    </w:p>
    <w:p>
      <w:pPr>
        <w:pStyle w:val="nzSubsection"/>
        <w:rPr>
          <w:ins w:id="149" w:author="Master Repository Process" w:date="2021-09-19T01:54:00Z"/>
        </w:rPr>
      </w:pPr>
      <w:ins w:id="150" w:author="Master Repository Process" w:date="2021-09-19T01:54:00Z">
        <w:r>
          <w:tab/>
        </w:r>
        <w:r>
          <w:tab/>
          <w:t>$38.50.</w:t>
        </w:r>
      </w:ins>
    </w:p>
    <w:p>
      <w:pPr>
        <w:pStyle w:val="BlankClose"/>
        <w:rPr>
          <w:ins w:id="151" w:author="Master Repository Process" w:date="2021-09-19T01:54:00Z"/>
        </w:rPr>
      </w:pPr>
    </w:p>
    <w:p>
      <w:pPr>
        <w:pStyle w:val="BlankClose"/>
      </w:pPr>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211132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8E6B413-C3F1-48DD-BEDF-0632D08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3110</Words>
  <Characters>15334</Characters>
  <Application>Microsoft Office Word</Application>
  <DocSecurity>0</DocSecurity>
  <Lines>479</Lines>
  <Paragraphs>275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03-c0-00 - 03-d0-00</dc:title>
  <dc:subject/>
  <dc:creator/>
  <cp:keywords/>
  <dc:description/>
  <cp:lastModifiedBy>Master Repository Process</cp:lastModifiedBy>
  <cp:revision>2</cp:revision>
  <cp:lastPrinted>2014-08-12T01:49:00Z</cp:lastPrinted>
  <dcterms:created xsi:type="dcterms:W3CDTF">2021-09-18T17:54:00Z</dcterms:created>
  <dcterms:modified xsi:type="dcterms:W3CDTF">2021-09-18T17:54:00Z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20150606</vt:lpwstr>
  </property>
  <property fmtid="{D5CDD505-2E9C-101B-9397-08002B2CF9AE}" pid="8" name="FromSuffix">
    <vt:lpwstr>03-c0-00</vt:lpwstr>
  </property>
  <property fmtid="{D5CDD505-2E9C-101B-9397-08002B2CF9AE}" pid="9" name="FromAsAtDate">
    <vt:lpwstr>27 Apr 2015</vt:lpwstr>
  </property>
  <property fmtid="{D5CDD505-2E9C-101B-9397-08002B2CF9AE}" pid="10" name="ToSuffix">
    <vt:lpwstr>03-d0-00</vt:lpwstr>
  </property>
  <property fmtid="{D5CDD505-2E9C-101B-9397-08002B2CF9AE}" pid="11" name="ToAsAtDate">
    <vt:lpwstr>06 Jun 2015</vt:lpwstr>
  </property>
</Properties>
</file>