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2012</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06 Aug 2015</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Electricity Act 1945</w:t>
      </w:r>
    </w:p>
    <w:p>
      <w:pPr>
        <w:pStyle w:val="NameofActReg"/>
        <w:spacing w:after="720"/>
      </w:pPr>
      <w:r>
        <w:t>Electricity (Supply Standards and System Safety) Regulations 2001</w:t>
      </w:r>
    </w:p>
    <w:p>
      <w:pPr>
        <w:pStyle w:val="Heading2"/>
        <w:pageBreakBefore w:val="0"/>
        <w:spacing w:before="240"/>
      </w:pPr>
      <w:bookmarkStart w:id="1" w:name="_Toc426538182"/>
      <w:bookmarkStart w:id="2" w:name="_Toc426538659"/>
      <w:bookmarkStart w:id="3" w:name="_Toc426538745"/>
      <w:bookmarkStart w:id="4" w:name="_Toc426541639"/>
      <w:bookmarkStart w:id="5" w:name="_Toc377373984"/>
      <w:bookmarkStart w:id="6" w:name="_Toc416703324"/>
      <w:bookmarkStart w:id="7" w:name="_Toc416703379"/>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26541640"/>
      <w:bookmarkStart w:id="10" w:name="_Toc377373985"/>
      <w:bookmarkStart w:id="11" w:name="_Toc416703380"/>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rPr>
          <w:vertAlign w:val="superscript"/>
        </w:rPr>
        <w:t> 1</w:t>
      </w:r>
      <w:r>
        <w:t>.</w:t>
      </w:r>
    </w:p>
    <w:p>
      <w:pPr>
        <w:pStyle w:val="Heading5"/>
        <w:rPr>
          <w:spacing w:val="-2"/>
        </w:rPr>
      </w:pPr>
      <w:bookmarkStart w:id="12" w:name="_Toc426541641"/>
      <w:bookmarkStart w:id="13" w:name="_Toc377373986"/>
      <w:bookmarkStart w:id="14" w:name="_Toc416703381"/>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rPr>
          <w:vertAlign w:val="superscript"/>
        </w:rPr>
        <w:t> 1</w:t>
      </w:r>
      <w:r>
        <w:t>.</w:t>
      </w:r>
    </w:p>
    <w:p>
      <w:pPr>
        <w:pStyle w:val="Heading5"/>
      </w:pPr>
      <w:bookmarkStart w:id="15" w:name="_Toc426541642"/>
      <w:bookmarkStart w:id="16" w:name="_Toc377373987"/>
      <w:bookmarkStart w:id="17" w:name="_Toc416703382"/>
      <w:r>
        <w:rPr>
          <w:rStyle w:val="CharSectno"/>
        </w:rPr>
        <w:t>3</w:t>
      </w:r>
      <w:r>
        <w:t>.</w:t>
      </w:r>
      <w:r>
        <w:tab/>
        <w:t>Terms used</w:t>
      </w:r>
      <w:bookmarkEnd w:id="15"/>
      <w:bookmarkEnd w:id="16"/>
      <w:bookmarkEnd w:id="17"/>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31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lastRenderedPageBreak/>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the, or anything related to the,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r>
        <w:rPr>
          <w:b/>
          <w:bCs/>
          <w:i/>
          <w:iCs/>
        </w:rPr>
        <w:t>network</w:t>
      </w:r>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r>
        <w:rPr>
          <w:b/>
          <w:bCs/>
          <w:i/>
          <w:iCs/>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 13 Apr 2012 p. 1657.]</w:t>
      </w:r>
    </w:p>
    <w:p>
      <w:pPr>
        <w:pStyle w:val="Ednotesection"/>
      </w:pPr>
      <w:r>
        <w:t>[</w:t>
      </w:r>
      <w:r>
        <w:rPr>
          <w:b/>
          <w:bCs/>
        </w:rPr>
        <w:t>4.</w:t>
      </w:r>
      <w:r>
        <w:tab/>
        <w:t>Deleted in Gazette 29 Sep 2009 p. 3845.]</w:t>
      </w:r>
    </w:p>
    <w:p>
      <w:pPr>
        <w:pStyle w:val="Ednotepart"/>
      </w:pPr>
      <w:r>
        <w:t>[Part 2 (r. 5</w:t>
      </w:r>
      <w:r>
        <w:noBreakHyphen/>
        <w:t>7) deleted in Gazette 13 Dec 2005 p. 5978.]</w:t>
      </w:r>
    </w:p>
    <w:p>
      <w:pPr>
        <w:pStyle w:val="Heading2"/>
      </w:pPr>
      <w:bookmarkStart w:id="18" w:name="_Toc426538186"/>
      <w:bookmarkStart w:id="19" w:name="_Toc426538663"/>
      <w:bookmarkStart w:id="20" w:name="_Toc426538749"/>
      <w:bookmarkStart w:id="21" w:name="_Toc426541643"/>
      <w:bookmarkStart w:id="22" w:name="_Toc377373988"/>
      <w:bookmarkStart w:id="23" w:name="_Toc416703328"/>
      <w:bookmarkStart w:id="24" w:name="_Toc416703383"/>
      <w:r>
        <w:rPr>
          <w:rStyle w:val="CharPartNo"/>
        </w:rPr>
        <w:t>Part 3</w:t>
      </w:r>
      <w:r>
        <w:rPr>
          <w:rStyle w:val="CharDivNo"/>
        </w:rPr>
        <w:t xml:space="preserve"> </w:t>
      </w:r>
      <w:r>
        <w:t>—</w:t>
      </w:r>
      <w:r>
        <w:rPr>
          <w:rStyle w:val="CharDivText"/>
        </w:rPr>
        <w:t xml:space="preserve"> </w:t>
      </w:r>
      <w:r>
        <w:rPr>
          <w:rStyle w:val="CharPartText"/>
        </w:rPr>
        <w:t>Metering</w:t>
      </w:r>
      <w:bookmarkEnd w:id="18"/>
      <w:bookmarkEnd w:id="19"/>
      <w:bookmarkEnd w:id="20"/>
      <w:bookmarkEnd w:id="21"/>
      <w:bookmarkEnd w:id="22"/>
      <w:bookmarkEnd w:id="23"/>
      <w:bookmarkEnd w:id="24"/>
    </w:p>
    <w:p>
      <w:pPr>
        <w:pStyle w:val="Heading5"/>
      </w:pPr>
      <w:bookmarkStart w:id="25" w:name="_Toc426541644"/>
      <w:bookmarkStart w:id="26" w:name="_Toc377373989"/>
      <w:bookmarkStart w:id="27" w:name="_Toc416703384"/>
      <w:r>
        <w:rPr>
          <w:rStyle w:val="CharSectno"/>
        </w:rPr>
        <w:t>8</w:t>
      </w:r>
      <w:r>
        <w:t>.</w:t>
      </w:r>
      <w:r>
        <w:rPr>
          <w:rStyle w:val="CharSectno"/>
        </w:rPr>
        <w:tab/>
      </w:r>
      <w:r>
        <w:t>Term used: commencement</w:t>
      </w:r>
      <w:bookmarkEnd w:id="25"/>
      <w:bookmarkEnd w:id="26"/>
      <w:bookmarkEnd w:id="27"/>
    </w:p>
    <w:p>
      <w:pPr>
        <w:pStyle w:val="Subsection"/>
      </w:pPr>
      <w:r>
        <w:tab/>
      </w:r>
      <w:r>
        <w:tab/>
        <w:t>In this Part —</w:t>
      </w:r>
    </w:p>
    <w:p>
      <w:pPr>
        <w:pStyle w:val="Defstart"/>
      </w:pPr>
      <w:r>
        <w:tab/>
      </w:r>
      <w:r>
        <w:rPr>
          <w:rStyle w:val="CharDefText"/>
        </w:rPr>
        <w:t>commencement</w:t>
      </w:r>
      <w:r>
        <w:t xml:space="preserve"> means the day on which these regulations come into operation</w:t>
      </w:r>
      <w:r>
        <w:rPr>
          <w:vertAlign w:val="superscript"/>
        </w:rPr>
        <w:t> 1</w:t>
      </w:r>
      <w:r>
        <w:t>.</w:t>
      </w:r>
    </w:p>
    <w:p>
      <w:pPr>
        <w:pStyle w:val="Heading5"/>
      </w:pPr>
      <w:bookmarkStart w:id="28" w:name="_Toc426541645"/>
      <w:bookmarkStart w:id="29" w:name="_Toc377373990"/>
      <w:bookmarkStart w:id="30" w:name="_Toc416703385"/>
      <w:r>
        <w:rPr>
          <w:rStyle w:val="CharSectno"/>
        </w:rPr>
        <w:t>9</w:t>
      </w:r>
      <w:r>
        <w:t>.</w:t>
      </w:r>
      <w:r>
        <w:tab/>
        <w:t>Maximum error for revenue meters</w:t>
      </w:r>
      <w:bookmarkEnd w:id="28"/>
      <w:bookmarkEnd w:id="29"/>
      <w:bookmarkEnd w:id="30"/>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31" w:name="_Toc426538189"/>
      <w:bookmarkStart w:id="32" w:name="_Toc426538666"/>
      <w:bookmarkStart w:id="33" w:name="_Toc426538752"/>
      <w:bookmarkStart w:id="34" w:name="_Toc426541646"/>
      <w:bookmarkStart w:id="35" w:name="_Toc377373991"/>
      <w:bookmarkStart w:id="36" w:name="_Toc416703331"/>
      <w:bookmarkStart w:id="37" w:name="_Toc416703386"/>
      <w:r>
        <w:rPr>
          <w:rStyle w:val="CharPartNo"/>
        </w:rPr>
        <w:t>Part 4</w:t>
      </w:r>
      <w:r>
        <w:t xml:space="preserve"> — </w:t>
      </w:r>
      <w:r>
        <w:rPr>
          <w:rStyle w:val="CharPartText"/>
        </w:rPr>
        <w:t>Network safety</w:t>
      </w:r>
      <w:bookmarkEnd w:id="31"/>
      <w:bookmarkEnd w:id="32"/>
      <w:bookmarkEnd w:id="33"/>
      <w:bookmarkEnd w:id="34"/>
      <w:bookmarkEnd w:id="35"/>
      <w:bookmarkEnd w:id="36"/>
      <w:bookmarkEnd w:id="37"/>
    </w:p>
    <w:p>
      <w:pPr>
        <w:pStyle w:val="Heading3"/>
      </w:pPr>
      <w:bookmarkStart w:id="38" w:name="_Toc426538190"/>
      <w:bookmarkStart w:id="39" w:name="_Toc426538667"/>
      <w:bookmarkStart w:id="40" w:name="_Toc426538753"/>
      <w:bookmarkStart w:id="41" w:name="_Toc426541647"/>
      <w:bookmarkStart w:id="42" w:name="_Toc377373992"/>
      <w:bookmarkStart w:id="43" w:name="_Toc416703332"/>
      <w:bookmarkStart w:id="44" w:name="_Toc416703387"/>
      <w:r>
        <w:rPr>
          <w:rStyle w:val="CharDivNo"/>
        </w:rPr>
        <w:t>Division 1</w:t>
      </w:r>
      <w:r>
        <w:t xml:space="preserve"> — </w:t>
      </w:r>
      <w:r>
        <w:rPr>
          <w:rStyle w:val="CharDivText"/>
        </w:rPr>
        <w:t>Obligations related to the carrying out of prescribed activities</w:t>
      </w:r>
      <w:bookmarkEnd w:id="38"/>
      <w:bookmarkEnd w:id="39"/>
      <w:bookmarkEnd w:id="40"/>
      <w:bookmarkEnd w:id="41"/>
      <w:bookmarkEnd w:id="42"/>
      <w:bookmarkEnd w:id="43"/>
      <w:bookmarkEnd w:id="44"/>
    </w:p>
    <w:p>
      <w:pPr>
        <w:pStyle w:val="Heading5"/>
      </w:pPr>
      <w:bookmarkStart w:id="45" w:name="_Toc426541648"/>
      <w:bookmarkStart w:id="46" w:name="_Toc377373993"/>
      <w:bookmarkStart w:id="47" w:name="_Toc416703388"/>
      <w:r>
        <w:rPr>
          <w:rStyle w:val="CharSectno"/>
        </w:rPr>
        <w:t>10</w:t>
      </w:r>
      <w:r>
        <w:t>.</w:t>
      </w:r>
      <w:r>
        <w:rPr>
          <w:rStyle w:val="CharSectno"/>
        </w:rPr>
        <w:tab/>
      </w:r>
      <w:r>
        <w:t>Management of prescribed activities</w:t>
      </w:r>
      <w:bookmarkEnd w:id="45"/>
      <w:bookmarkEnd w:id="46"/>
      <w:bookmarkEnd w:id="47"/>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48" w:name="_Toc426541649"/>
      <w:bookmarkStart w:id="49" w:name="_Toc377373994"/>
      <w:bookmarkStart w:id="50" w:name="_Toc416703389"/>
      <w:r>
        <w:rPr>
          <w:rStyle w:val="CharSectno"/>
        </w:rPr>
        <w:t>11</w:t>
      </w:r>
      <w:r>
        <w:t>.</w:t>
      </w:r>
      <w:r>
        <w:rPr>
          <w:rStyle w:val="CharSectno"/>
        </w:rPr>
        <w:tab/>
      </w:r>
      <w:r>
        <w:t>Evidence of compliance: standards and codes</w:t>
      </w:r>
      <w:bookmarkEnd w:id="48"/>
      <w:bookmarkEnd w:id="49"/>
      <w:bookmarkEnd w:id="50"/>
    </w:p>
    <w:p>
      <w:pPr>
        <w:pStyle w:val="Subsection"/>
      </w:pPr>
      <w:r>
        <w:tab/>
        <w:t>(1)</w:t>
      </w:r>
      <w:r>
        <w:tab/>
        <w:t>Compliance by a network operator to whom Division 2 applies with a relevant provision of —</w:t>
      </w:r>
    </w:p>
    <w:p>
      <w:pPr>
        <w:pStyle w:val="Indent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51" w:name="_Toc426541650"/>
      <w:bookmarkStart w:id="52" w:name="_Toc377373995"/>
      <w:bookmarkStart w:id="53" w:name="_Toc416703390"/>
      <w:r>
        <w:rPr>
          <w:rStyle w:val="CharSectno"/>
        </w:rPr>
        <w:t>12.</w:t>
      </w:r>
      <w:r>
        <w:rPr>
          <w:rStyle w:val="CharSectno"/>
        </w:rPr>
        <w:tab/>
      </w:r>
      <w:r>
        <w:t>Evidence of compliance: accepted safety case</w:t>
      </w:r>
      <w:bookmarkEnd w:id="51"/>
      <w:bookmarkEnd w:id="52"/>
      <w:bookmarkEnd w:id="53"/>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54" w:name="_Toc426541651"/>
      <w:bookmarkStart w:id="55" w:name="_Toc377373996"/>
      <w:bookmarkStart w:id="56" w:name="_Toc416703391"/>
      <w:r>
        <w:rPr>
          <w:rStyle w:val="CharSectno"/>
        </w:rPr>
        <w:t>13</w:t>
      </w:r>
      <w:r>
        <w:t>.</w:t>
      </w:r>
      <w:r>
        <w:rPr>
          <w:rStyle w:val="CharSectno"/>
        </w:rPr>
        <w:tab/>
      </w:r>
      <w:r>
        <w:t>Persons carrying out prescribed activities</w:t>
      </w:r>
      <w:bookmarkEnd w:id="54"/>
      <w:bookmarkEnd w:id="55"/>
      <w:bookmarkEnd w:id="56"/>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57" w:name="_Toc426541652"/>
      <w:bookmarkStart w:id="58" w:name="_Toc377373997"/>
      <w:bookmarkStart w:id="59" w:name="_Toc416703392"/>
      <w:r>
        <w:rPr>
          <w:rStyle w:val="CharSectno"/>
        </w:rPr>
        <w:t>14</w:t>
      </w:r>
      <w:r>
        <w:t>.</w:t>
      </w:r>
      <w:r>
        <w:rPr>
          <w:rStyle w:val="CharSectno"/>
        </w:rPr>
        <w:tab/>
      </w:r>
      <w:r>
        <w:t>Network operator to notify Director of proposed major activities</w:t>
      </w:r>
      <w:bookmarkEnd w:id="57"/>
      <w:bookmarkEnd w:id="58"/>
      <w:bookmarkEnd w:id="59"/>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60" w:name="_Toc426538196"/>
      <w:bookmarkStart w:id="61" w:name="_Toc426538673"/>
      <w:bookmarkStart w:id="62" w:name="_Toc426538759"/>
      <w:bookmarkStart w:id="63" w:name="_Toc426541653"/>
      <w:bookmarkStart w:id="64" w:name="_Toc377373998"/>
      <w:bookmarkStart w:id="65" w:name="_Toc416703338"/>
      <w:bookmarkStart w:id="66" w:name="_Toc416703393"/>
      <w:r>
        <w:rPr>
          <w:rStyle w:val="CharDivNo"/>
        </w:rPr>
        <w:t>Division 2</w:t>
      </w:r>
      <w:r>
        <w:t xml:space="preserve"> — </w:t>
      </w:r>
      <w:r>
        <w:rPr>
          <w:rStyle w:val="CharDivText"/>
        </w:rPr>
        <w:t>Provisions applicable in absence of accepted safety case</w:t>
      </w:r>
      <w:bookmarkEnd w:id="60"/>
      <w:bookmarkEnd w:id="61"/>
      <w:bookmarkEnd w:id="62"/>
      <w:bookmarkEnd w:id="63"/>
      <w:bookmarkEnd w:id="64"/>
      <w:bookmarkEnd w:id="65"/>
      <w:bookmarkEnd w:id="66"/>
    </w:p>
    <w:p>
      <w:pPr>
        <w:pStyle w:val="Heading5"/>
      </w:pPr>
      <w:bookmarkStart w:id="67" w:name="_Toc426541654"/>
      <w:bookmarkStart w:id="68" w:name="_Toc377373999"/>
      <w:bookmarkStart w:id="69" w:name="_Toc416703394"/>
      <w:r>
        <w:rPr>
          <w:rStyle w:val="CharSectno"/>
        </w:rPr>
        <w:t>15</w:t>
      </w:r>
      <w:r>
        <w:t>.</w:t>
      </w:r>
      <w:r>
        <w:rPr>
          <w:rStyle w:val="CharSectno"/>
        </w:rPr>
        <w:tab/>
      </w:r>
      <w:r>
        <w:t>Application of Division</w:t>
      </w:r>
      <w:bookmarkEnd w:id="67"/>
      <w:bookmarkEnd w:id="68"/>
      <w:bookmarkEnd w:id="69"/>
    </w:p>
    <w:p>
      <w:pPr>
        <w:pStyle w:val="Subsection"/>
      </w:pPr>
      <w:r>
        <w:tab/>
      </w:r>
      <w:r>
        <w:tab/>
        <w:t>This Division applies to a network operator unless an accepted safety case has effect in relation to the network of the network operator.</w:t>
      </w:r>
    </w:p>
    <w:p>
      <w:pPr>
        <w:pStyle w:val="Heading5"/>
      </w:pPr>
      <w:bookmarkStart w:id="70" w:name="_Toc426541655"/>
      <w:bookmarkStart w:id="71" w:name="_Toc377374000"/>
      <w:bookmarkStart w:id="72" w:name="_Toc416703395"/>
      <w:r>
        <w:rPr>
          <w:rStyle w:val="CharSectno"/>
        </w:rPr>
        <w:t>16.</w:t>
      </w:r>
      <w:r>
        <w:rPr>
          <w:rStyle w:val="CharSectno"/>
        </w:rPr>
        <w:tab/>
      </w:r>
      <w:r>
        <w:t>Obligatory standards and codes</w:t>
      </w:r>
      <w:bookmarkEnd w:id="70"/>
      <w:bookmarkEnd w:id="71"/>
      <w:bookmarkEnd w:id="72"/>
    </w:p>
    <w:p>
      <w:pPr>
        <w:pStyle w:val="Subsection"/>
      </w:pPr>
      <w:r>
        <w:tab/>
        <w:t>(1)</w:t>
      </w:r>
      <w:r>
        <w:tab/>
        <w:t>A network operator must ensure that a prescribed activity is carried out in such a way as to comply with any provision of a standard or code specified in Schedule 3.</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73" w:name="_Toc426541656"/>
      <w:bookmarkStart w:id="74" w:name="_Toc377374001"/>
      <w:bookmarkStart w:id="75" w:name="_Toc416703396"/>
      <w:r>
        <w:rPr>
          <w:rStyle w:val="CharSectno"/>
        </w:rPr>
        <w:t>17</w:t>
      </w:r>
      <w:r>
        <w:t>.</w:t>
      </w:r>
      <w:r>
        <w:rPr>
          <w:rStyle w:val="CharSectno"/>
        </w:rPr>
        <w:tab/>
      </w:r>
      <w:r>
        <w:t>Information and training</w:t>
      </w:r>
      <w:bookmarkEnd w:id="73"/>
      <w:bookmarkEnd w:id="74"/>
      <w:bookmarkEnd w:id="75"/>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76" w:name="_Toc426541657"/>
      <w:bookmarkStart w:id="77" w:name="_Toc377374002"/>
      <w:bookmarkStart w:id="78" w:name="_Toc416703397"/>
      <w:r>
        <w:rPr>
          <w:rStyle w:val="CharSectno"/>
        </w:rPr>
        <w:t>18</w:t>
      </w:r>
      <w:r>
        <w:t>.</w:t>
      </w:r>
      <w:r>
        <w:rPr>
          <w:rStyle w:val="CharSectno"/>
        </w:rPr>
        <w:tab/>
      </w:r>
      <w:r>
        <w:t>Action when danger reported</w:t>
      </w:r>
      <w:bookmarkEnd w:id="76"/>
      <w:bookmarkEnd w:id="77"/>
      <w:bookmarkEnd w:id="78"/>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79" w:name="_Toc426538201"/>
      <w:bookmarkStart w:id="80" w:name="_Toc426538678"/>
      <w:bookmarkStart w:id="81" w:name="_Toc426538764"/>
      <w:bookmarkStart w:id="82" w:name="_Toc426541658"/>
      <w:bookmarkStart w:id="83" w:name="_Toc377374003"/>
      <w:bookmarkStart w:id="84" w:name="_Toc416703343"/>
      <w:bookmarkStart w:id="85" w:name="_Toc416703398"/>
      <w:r>
        <w:rPr>
          <w:rStyle w:val="CharDivNo"/>
        </w:rPr>
        <w:t>Division 3</w:t>
      </w:r>
      <w:r>
        <w:t xml:space="preserve"> — </w:t>
      </w:r>
      <w:r>
        <w:rPr>
          <w:rStyle w:val="CharDivText"/>
        </w:rPr>
        <w:t>Safety case provisions</w:t>
      </w:r>
      <w:bookmarkEnd w:id="79"/>
      <w:bookmarkEnd w:id="80"/>
      <w:bookmarkEnd w:id="81"/>
      <w:bookmarkEnd w:id="82"/>
      <w:bookmarkEnd w:id="83"/>
      <w:bookmarkEnd w:id="84"/>
      <w:bookmarkEnd w:id="85"/>
    </w:p>
    <w:p>
      <w:pPr>
        <w:pStyle w:val="Heading5"/>
      </w:pPr>
      <w:bookmarkStart w:id="86" w:name="_Toc426541659"/>
      <w:bookmarkStart w:id="87" w:name="_Toc377374004"/>
      <w:bookmarkStart w:id="88" w:name="_Toc416703399"/>
      <w:r>
        <w:rPr>
          <w:rStyle w:val="CharSectno"/>
        </w:rPr>
        <w:t>19</w:t>
      </w:r>
      <w:r>
        <w:t>.</w:t>
      </w:r>
      <w:r>
        <w:rPr>
          <w:rStyle w:val="CharSectno"/>
        </w:rPr>
        <w:tab/>
      </w:r>
      <w:r>
        <w:t>Submission of safety case</w:t>
      </w:r>
      <w:bookmarkEnd w:id="86"/>
      <w:bookmarkEnd w:id="87"/>
      <w:bookmarkEnd w:id="88"/>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89" w:name="_Toc426541660"/>
      <w:bookmarkStart w:id="90" w:name="_Toc377374005"/>
      <w:bookmarkStart w:id="91" w:name="_Toc416703400"/>
      <w:r>
        <w:rPr>
          <w:rStyle w:val="CharSectno"/>
        </w:rPr>
        <w:t>20</w:t>
      </w:r>
      <w:r>
        <w:t>.</w:t>
      </w:r>
      <w:r>
        <w:rPr>
          <w:rStyle w:val="CharSectno"/>
        </w:rPr>
        <w:tab/>
      </w:r>
      <w:r>
        <w:t>Exemption</w:t>
      </w:r>
      <w:bookmarkEnd w:id="89"/>
      <w:bookmarkEnd w:id="90"/>
      <w:bookmarkEnd w:id="91"/>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92" w:name="_Toc426541661"/>
      <w:bookmarkStart w:id="93" w:name="_Toc377374006"/>
      <w:bookmarkStart w:id="94" w:name="_Toc416703401"/>
      <w:r>
        <w:rPr>
          <w:rStyle w:val="CharSectno"/>
        </w:rPr>
        <w:t>21</w:t>
      </w:r>
      <w:r>
        <w:t>.</w:t>
      </w:r>
      <w:r>
        <w:rPr>
          <w:rStyle w:val="CharSectno"/>
        </w:rPr>
        <w:tab/>
      </w:r>
      <w:r>
        <w:t>Guidelines</w:t>
      </w:r>
      <w:bookmarkEnd w:id="92"/>
      <w:bookmarkEnd w:id="93"/>
      <w:bookmarkEnd w:id="94"/>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95" w:name="_Toc426541662"/>
      <w:bookmarkStart w:id="96" w:name="_Toc377374007"/>
      <w:bookmarkStart w:id="97" w:name="_Toc416703402"/>
      <w:r>
        <w:rPr>
          <w:rStyle w:val="CharSectno"/>
        </w:rPr>
        <w:t>22.</w:t>
      </w:r>
      <w:r>
        <w:rPr>
          <w:rStyle w:val="CharSectno"/>
        </w:rPr>
        <w:tab/>
      </w:r>
      <w:r>
        <w:t>Nomination of person to perform auditing role</w:t>
      </w:r>
      <w:bookmarkEnd w:id="95"/>
      <w:bookmarkEnd w:id="96"/>
      <w:bookmarkEnd w:id="97"/>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98" w:name="_Toc426541663"/>
      <w:bookmarkStart w:id="99" w:name="_Toc377374008"/>
      <w:bookmarkStart w:id="100" w:name="_Toc416703403"/>
      <w:r>
        <w:rPr>
          <w:rStyle w:val="CharSectno"/>
        </w:rPr>
        <w:t>23</w:t>
      </w:r>
      <w:r>
        <w:t>.</w:t>
      </w:r>
      <w:r>
        <w:rPr>
          <w:rStyle w:val="CharSectno"/>
        </w:rPr>
        <w:tab/>
      </w:r>
      <w:r>
        <w:t>Preliminary certification of safety case</w:t>
      </w:r>
      <w:bookmarkEnd w:id="98"/>
      <w:bookmarkEnd w:id="99"/>
      <w:bookmarkEnd w:id="100"/>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w:t>
      </w:r>
      <w:r>
        <w:noBreakHyphen/>
        <w:t>6.]</w:t>
      </w:r>
    </w:p>
    <w:p>
      <w:pPr>
        <w:pStyle w:val="Heading5"/>
      </w:pPr>
      <w:bookmarkStart w:id="101" w:name="_Toc426541664"/>
      <w:bookmarkStart w:id="102" w:name="_Toc377374009"/>
      <w:bookmarkStart w:id="103" w:name="_Toc416703404"/>
      <w:r>
        <w:rPr>
          <w:rStyle w:val="CharSectno"/>
        </w:rPr>
        <w:t>24</w:t>
      </w:r>
      <w:r>
        <w:t>.</w:t>
      </w:r>
      <w:r>
        <w:rPr>
          <w:rStyle w:val="CharSectno"/>
        </w:rPr>
        <w:tab/>
      </w:r>
      <w:r>
        <w:t>Approval of safety case for purposes of final certification</w:t>
      </w:r>
      <w:bookmarkEnd w:id="101"/>
      <w:bookmarkEnd w:id="102"/>
      <w:bookmarkEnd w:id="103"/>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104" w:name="_Toc426541665"/>
      <w:bookmarkStart w:id="105" w:name="_Toc377374010"/>
      <w:bookmarkStart w:id="106" w:name="_Toc416703405"/>
      <w:r>
        <w:rPr>
          <w:rStyle w:val="CharSectno"/>
        </w:rPr>
        <w:t>25</w:t>
      </w:r>
      <w:r>
        <w:t>.</w:t>
      </w:r>
      <w:r>
        <w:rPr>
          <w:rStyle w:val="CharSectno"/>
        </w:rPr>
        <w:tab/>
      </w:r>
      <w:r>
        <w:t>Final certification of safety case</w:t>
      </w:r>
      <w:bookmarkEnd w:id="104"/>
      <w:bookmarkEnd w:id="105"/>
      <w:bookmarkEnd w:id="106"/>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107" w:name="_Toc426541666"/>
      <w:bookmarkStart w:id="108" w:name="_Toc377374011"/>
      <w:bookmarkStart w:id="109" w:name="_Toc416703406"/>
      <w:r>
        <w:rPr>
          <w:rStyle w:val="CharSectno"/>
        </w:rPr>
        <w:t>26.</w:t>
      </w:r>
      <w:r>
        <w:rPr>
          <w:rStyle w:val="CharSectno"/>
        </w:rPr>
        <w:tab/>
      </w:r>
      <w:r>
        <w:t>Acceptance or rejection of safety case</w:t>
      </w:r>
      <w:bookmarkEnd w:id="107"/>
      <w:bookmarkEnd w:id="108"/>
      <w:bookmarkEnd w:id="109"/>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110" w:name="_Toc426541667"/>
      <w:bookmarkStart w:id="111" w:name="_Toc377374012"/>
      <w:bookmarkStart w:id="112" w:name="_Toc416703407"/>
      <w:r>
        <w:rPr>
          <w:rStyle w:val="CharSectno"/>
        </w:rPr>
        <w:t>27</w:t>
      </w:r>
      <w:r>
        <w:t>.</w:t>
      </w:r>
      <w:r>
        <w:rPr>
          <w:rStyle w:val="CharSectno"/>
        </w:rPr>
        <w:tab/>
      </w:r>
      <w:r>
        <w:t>Implementation of safety case</w:t>
      </w:r>
      <w:bookmarkEnd w:id="110"/>
      <w:bookmarkEnd w:id="111"/>
      <w:bookmarkEnd w:id="112"/>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113" w:name="_Toc426541668"/>
      <w:bookmarkStart w:id="114" w:name="_Toc377374013"/>
      <w:bookmarkStart w:id="115" w:name="_Toc416703408"/>
      <w:r>
        <w:rPr>
          <w:rStyle w:val="CharSectno"/>
        </w:rPr>
        <w:t>28</w:t>
      </w:r>
      <w:r>
        <w:t>.</w:t>
      </w:r>
      <w:r>
        <w:rPr>
          <w:rStyle w:val="CharSectno"/>
        </w:rPr>
        <w:tab/>
      </w:r>
      <w:r>
        <w:t>Period of operation of accepted safety case</w:t>
      </w:r>
      <w:bookmarkEnd w:id="113"/>
      <w:bookmarkEnd w:id="114"/>
      <w:bookmarkEnd w:id="115"/>
    </w:p>
    <w:p>
      <w:pPr>
        <w:pStyle w:val="Subsection"/>
      </w:pPr>
      <w:r>
        <w:tab/>
      </w:r>
      <w:r>
        <w:tab/>
        <w:t>Subject to regulation 32(6), an accepted safety case has effect in relation to a network for the period of 5 years beginning on implementation day.</w:t>
      </w:r>
    </w:p>
    <w:p>
      <w:pPr>
        <w:pStyle w:val="Heading5"/>
      </w:pPr>
      <w:bookmarkStart w:id="116" w:name="_Toc426541669"/>
      <w:bookmarkStart w:id="117" w:name="_Toc377374014"/>
      <w:bookmarkStart w:id="118" w:name="_Toc416703409"/>
      <w:r>
        <w:rPr>
          <w:rStyle w:val="CharSectno"/>
        </w:rPr>
        <w:t>29</w:t>
      </w:r>
      <w:r>
        <w:t>.</w:t>
      </w:r>
      <w:r>
        <w:rPr>
          <w:rStyle w:val="CharSectno"/>
        </w:rPr>
        <w:tab/>
      </w:r>
      <w:r>
        <w:t>Compliance with accepted safety case</w:t>
      </w:r>
      <w:bookmarkEnd w:id="116"/>
      <w:bookmarkEnd w:id="117"/>
      <w:bookmarkEnd w:id="118"/>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19" w:name="_Toc426541670"/>
      <w:bookmarkStart w:id="120" w:name="_Toc377374015"/>
      <w:bookmarkStart w:id="121" w:name="_Toc416703410"/>
      <w:r>
        <w:rPr>
          <w:rStyle w:val="CharSectno"/>
        </w:rPr>
        <w:t>30</w:t>
      </w:r>
      <w:r>
        <w:t>.</w:t>
      </w:r>
      <w:r>
        <w:rPr>
          <w:rStyle w:val="CharSectno"/>
        </w:rPr>
        <w:tab/>
      </w:r>
      <w:r>
        <w:t>Periodical audit</w:t>
      </w:r>
      <w:bookmarkEnd w:id="119"/>
      <w:bookmarkEnd w:id="120"/>
      <w:bookmarkEnd w:id="121"/>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30 amended in Gazette 29 Sep 2009 p. 3846.]</w:t>
      </w:r>
    </w:p>
    <w:p>
      <w:pPr>
        <w:pStyle w:val="Heading5"/>
      </w:pPr>
      <w:bookmarkStart w:id="122" w:name="_Toc426541671"/>
      <w:bookmarkStart w:id="123" w:name="_Toc377374016"/>
      <w:bookmarkStart w:id="124" w:name="_Toc416703411"/>
      <w:r>
        <w:rPr>
          <w:rStyle w:val="CharSectno"/>
        </w:rPr>
        <w:t>31</w:t>
      </w:r>
      <w:r>
        <w:t>.</w:t>
      </w:r>
      <w:r>
        <w:rPr>
          <w:rStyle w:val="CharSectno"/>
        </w:rPr>
        <w:tab/>
      </w:r>
      <w:r>
        <w:t>Amendment of accepted safety case</w:t>
      </w:r>
      <w:bookmarkEnd w:id="122"/>
      <w:bookmarkEnd w:id="123"/>
      <w:bookmarkEnd w:id="124"/>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25" w:name="_Toc426541672"/>
      <w:bookmarkStart w:id="126" w:name="_Toc377374017"/>
      <w:bookmarkStart w:id="127" w:name="_Toc416703412"/>
      <w:r>
        <w:rPr>
          <w:rStyle w:val="CharSectno"/>
        </w:rPr>
        <w:t>32</w:t>
      </w:r>
      <w:r>
        <w:t>.</w:t>
      </w:r>
      <w:r>
        <w:rPr>
          <w:rStyle w:val="CharSectno"/>
        </w:rPr>
        <w:tab/>
      </w:r>
      <w:r>
        <w:t>Director may require amendment of accepted safety case</w:t>
      </w:r>
      <w:bookmarkEnd w:id="125"/>
      <w:bookmarkEnd w:id="126"/>
      <w:bookmarkEnd w:id="127"/>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128" w:name="_Toc426541673"/>
      <w:bookmarkStart w:id="129" w:name="_Toc377374018"/>
      <w:bookmarkStart w:id="130" w:name="_Toc416703413"/>
      <w:r>
        <w:rPr>
          <w:rStyle w:val="CharSectno"/>
        </w:rPr>
        <w:t>33</w:t>
      </w:r>
      <w:r>
        <w:t>.</w:t>
      </w:r>
      <w:r>
        <w:rPr>
          <w:rStyle w:val="CharSectno"/>
        </w:rPr>
        <w:tab/>
      </w:r>
      <w:r>
        <w:t>Records</w:t>
      </w:r>
      <w:bookmarkEnd w:id="128"/>
      <w:bookmarkEnd w:id="129"/>
      <w:bookmarkEnd w:id="130"/>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131" w:name="_Toc426538217"/>
      <w:bookmarkStart w:id="132" w:name="_Toc426538694"/>
      <w:bookmarkStart w:id="133" w:name="_Toc426538780"/>
      <w:bookmarkStart w:id="134" w:name="_Toc426541674"/>
      <w:bookmarkStart w:id="135" w:name="_Toc377374019"/>
      <w:bookmarkStart w:id="136" w:name="_Toc416703359"/>
      <w:bookmarkStart w:id="137" w:name="_Toc416703414"/>
      <w:r>
        <w:rPr>
          <w:rStyle w:val="CharDivNo"/>
        </w:rPr>
        <w:t>Division 4</w:t>
      </w:r>
      <w:r>
        <w:t xml:space="preserve"> — </w:t>
      </w:r>
      <w:r>
        <w:rPr>
          <w:rStyle w:val="CharDivText"/>
        </w:rPr>
        <w:t>Notification, investigation and reporting of incidents</w:t>
      </w:r>
      <w:bookmarkEnd w:id="131"/>
      <w:bookmarkEnd w:id="132"/>
      <w:bookmarkEnd w:id="133"/>
      <w:bookmarkEnd w:id="134"/>
      <w:bookmarkEnd w:id="135"/>
      <w:bookmarkEnd w:id="136"/>
      <w:bookmarkEnd w:id="137"/>
    </w:p>
    <w:p>
      <w:pPr>
        <w:pStyle w:val="Heading5"/>
      </w:pPr>
      <w:bookmarkStart w:id="138" w:name="_Toc426541675"/>
      <w:bookmarkStart w:id="139" w:name="_Toc377374020"/>
      <w:bookmarkStart w:id="140" w:name="_Toc416703415"/>
      <w:r>
        <w:rPr>
          <w:rStyle w:val="CharSectno"/>
        </w:rPr>
        <w:t>34</w:t>
      </w:r>
      <w:r>
        <w:t>.</w:t>
      </w:r>
      <w:r>
        <w:rPr>
          <w:rStyle w:val="CharSectno"/>
        </w:rPr>
        <w:tab/>
      </w:r>
      <w:r>
        <w:t>Terms used</w:t>
      </w:r>
      <w:bookmarkEnd w:id="138"/>
      <w:bookmarkEnd w:id="139"/>
      <w:bookmarkEnd w:id="140"/>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141" w:name="_Toc426541676"/>
      <w:bookmarkStart w:id="142" w:name="_Toc377374021"/>
      <w:bookmarkStart w:id="143" w:name="_Toc416703416"/>
      <w:r>
        <w:rPr>
          <w:rStyle w:val="CharSectno"/>
        </w:rPr>
        <w:t>35</w:t>
      </w:r>
      <w:r>
        <w:t>.</w:t>
      </w:r>
      <w:r>
        <w:rPr>
          <w:rStyle w:val="CharSectno"/>
        </w:rPr>
        <w:tab/>
      </w:r>
      <w:r>
        <w:t>Notifiable incidents</w:t>
      </w:r>
      <w:bookmarkEnd w:id="141"/>
      <w:bookmarkEnd w:id="142"/>
      <w:bookmarkEnd w:id="143"/>
    </w:p>
    <w:p>
      <w:pPr>
        <w:pStyle w:val="Subsection"/>
        <w:spacing w:before="120"/>
      </w:pPr>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Footnotesection"/>
        <w:keepLines w:val="0"/>
      </w:pPr>
      <w:r>
        <w:tab/>
        <w:t>[Regulation 35 amended in Gazette 13 Dec 2005 p. 5979.]</w:t>
      </w:r>
    </w:p>
    <w:p>
      <w:pPr>
        <w:pStyle w:val="Heading5"/>
        <w:keepLines w:val="0"/>
      </w:pPr>
      <w:bookmarkStart w:id="144" w:name="_Toc426541677"/>
      <w:bookmarkStart w:id="145" w:name="_Toc377374022"/>
      <w:bookmarkStart w:id="146" w:name="_Toc416703417"/>
      <w:r>
        <w:rPr>
          <w:rStyle w:val="CharSectno"/>
        </w:rPr>
        <w:t>36</w:t>
      </w:r>
      <w:r>
        <w:t>.</w:t>
      </w:r>
      <w:r>
        <w:rPr>
          <w:rStyle w:val="CharSectno"/>
        </w:rPr>
        <w:tab/>
      </w:r>
      <w:r>
        <w:t>Network operator to investigate and report on notifiable incidents</w:t>
      </w:r>
      <w:bookmarkEnd w:id="144"/>
      <w:bookmarkEnd w:id="145"/>
      <w:bookmarkEnd w:id="146"/>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147" w:name="_Toc426541678"/>
      <w:bookmarkStart w:id="148" w:name="_Toc377374023"/>
      <w:bookmarkStart w:id="149" w:name="_Toc416703418"/>
      <w:r>
        <w:rPr>
          <w:rStyle w:val="CharSectno"/>
        </w:rPr>
        <w:t>37</w:t>
      </w:r>
      <w:r>
        <w:t>.</w:t>
      </w:r>
      <w:r>
        <w:rPr>
          <w:rStyle w:val="CharSectno"/>
        </w:rPr>
        <w:tab/>
      </w:r>
      <w:r>
        <w:t>Investigation of notifiable incidents by Director</w:t>
      </w:r>
      <w:bookmarkEnd w:id="147"/>
      <w:bookmarkEnd w:id="148"/>
      <w:bookmarkEnd w:id="149"/>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150" w:name="_Toc426541679"/>
      <w:bookmarkStart w:id="151" w:name="_Toc377374024"/>
      <w:bookmarkStart w:id="152" w:name="_Toc416703419"/>
      <w:r>
        <w:rPr>
          <w:rStyle w:val="CharSectno"/>
        </w:rPr>
        <w:t>38.</w:t>
      </w:r>
      <w:r>
        <w:rPr>
          <w:rStyle w:val="CharSectno"/>
        </w:rPr>
        <w:tab/>
      </w:r>
      <w:r>
        <w:t>Examination of site of notifiable incident</w:t>
      </w:r>
      <w:bookmarkEnd w:id="150"/>
      <w:bookmarkEnd w:id="151"/>
      <w:bookmarkEnd w:id="152"/>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153" w:name="_Toc426541680"/>
      <w:bookmarkStart w:id="154" w:name="_Toc377374025"/>
      <w:bookmarkStart w:id="155" w:name="_Toc416703420"/>
      <w:r>
        <w:rPr>
          <w:rStyle w:val="CharSectno"/>
        </w:rPr>
        <w:t>39</w:t>
      </w:r>
      <w:r>
        <w:t>.</w:t>
      </w:r>
      <w:r>
        <w:rPr>
          <w:rStyle w:val="CharSectno"/>
        </w:rPr>
        <w:tab/>
      </w:r>
      <w:r>
        <w:t>Reporting requirements for electrical incidents</w:t>
      </w:r>
      <w:bookmarkEnd w:id="153"/>
      <w:bookmarkEnd w:id="154"/>
      <w:bookmarkEnd w:id="155"/>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156" w:name="_Toc426538224"/>
      <w:bookmarkStart w:id="157" w:name="_Toc426538701"/>
      <w:bookmarkStart w:id="158" w:name="_Toc426538787"/>
      <w:bookmarkStart w:id="159" w:name="_Toc426541681"/>
      <w:bookmarkStart w:id="160" w:name="_Toc377374026"/>
      <w:bookmarkStart w:id="161" w:name="_Toc416703366"/>
      <w:bookmarkStart w:id="162" w:name="_Toc416703421"/>
      <w:r>
        <w:rPr>
          <w:rStyle w:val="CharPartNo"/>
        </w:rPr>
        <w:t>Part 5</w:t>
      </w:r>
      <w:r>
        <w:rPr>
          <w:rStyle w:val="CharDivNo"/>
        </w:rPr>
        <w:t xml:space="preserve"> </w:t>
      </w:r>
      <w:r>
        <w:t>—</w:t>
      </w:r>
      <w:r>
        <w:rPr>
          <w:rStyle w:val="CharDivText"/>
        </w:rPr>
        <w:t xml:space="preserve"> </w:t>
      </w:r>
      <w:r>
        <w:rPr>
          <w:rStyle w:val="CharPartText"/>
        </w:rPr>
        <w:t>Review of decisions</w:t>
      </w:r>
      <w:bookmarkEnd w:id="156"/>
      <w:bookmarkEnd w:id="157"/>
      <w:bookmarkEnd w:id="158"/>
      <w:bookmarkEnd w:id="159"/>
      <w:bookmarkEnd w:id="160"/>
      <w:bookmarkEnd w:id="161"/>
      <w:bookmarkEnd w:id="162"/>
    </w:p>
    <w:p>
      <w:pPr>
        <w:pStyle w:val="Heading5"/>
      </w:pPr>
      <w:bookmarkStart w:id="163" w:name="_Toc426541682"/>
      <w:bookmarkStart w:id="164" w:name="_Toc377374027"/>
      <w:bookmarkStart w:id="165" w:name="_Toc416703422"/>
      <w:r>
        <w:rPr>
          <w:rStyle w:val="CharSectno"/>
        </w:rPr>
        <w:t>40</w:t>
      </w:r>
      <w:r>
        <w:t>.</w:t>
      </w:r>
      <w:r>
        <w:rPr>
          <w:rStyle w:val="CharSectno"/>
        </w:rPr>
        <w:tab/>
      </w:r>
      <w:r>
        <w:t>Terms used</w:t>
      </w:r>
      <w:bookmarkEnd w:id="163"/>
      <w:bookmarkEnd w:id="164"/>
      <w:bookmarkEnd w:id="165"/>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166" w:name="_Toc426541683"/>
      <w:bookmarkStart w:id="167" w:name="_Toc377374028"/>
      <w:bookmarkStart w:id="168" w:name="_Toc416703423"/>
      <w:r>
        <w:rPr>
          <w:rStyle w:val="CharSectno"/>
        </w:rPr>
        <w:t>41.</w:t>
      </w:r>
      <w:r>
        <w:rPr>
          <w:rStyle w:val="CharSectno"/>
        </w:rPr>
        <w:tab/>
      </w:r>
      <w:r>
        <w:t>Decisions to which this Part applies</w:t>
      </w:r>
      <w:bookmarkEnd w:id="166"/>
      <w:bookmarkEnd w:id="167"/>
      <w:bookmarkEnd w:id="168"/>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r>
        <w:tab/>
      </w:r>
      <w:r>
        <w:tab/>
        <w:t>[Regulation 41 amended in Gazette 13 Dec 2005 p. 5979.]</w:t>
      </w:r>
    </w:p>
    <w:p>
      <w:pPr>
        <w:pStyle w:val="Heading5"/>
      </w:pPr>
      <w:bookmarkStart w:id="169" w:name="_Toc426541684"/>
      <w:bookmarkStart w:id="170" w:name="_Toc377374029"/>
      <w:bookmarkStart w:id="171" w:name="_Toc416703424"/>
      <w:r>
        <w:rPr>
          <w:rStyle w:val="CharSectno"/>
        </w:rPr>
        <w:t>42</w:t>
      </w:r>
      <w:r>
        <w:t>.</w:t>
      </w:r>
      <w:r>
        <w:rPr>
          <w:rStyle w:val="CharSectno"/>
        </w:rPr>
        <w:tab/>
      </w:r>
      <w:r>
        <w:t>Application for review</w:t>
      </w:r>
      <w:bookmarkEnd w:id="169"/>
      <w:bookmarkEnd w:id="170"/>
      <w:bookmarkEnd w:id="171"/>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172" w:name="_Toc426541685"/>
      <w:bookmarkStart w:id="173" w:name="_Toc377374030"/>
      <w:bookmarkStart w:id="174" w:name="_Toc416703425"/>
      <w:r>
        <w:rPr>
          <w:rStyle w:val="CharSectno"/>
        </w:rPr>
        <w:t>43.</w:t>
      </w:r>
      <w:r>
        <w:rPr>
          <w:rStyle w:val="CharSectno"/>
        </w:rPr>
        <w:tab/>
      </w:r>
      <w:r>
        <w:t>Review panel</w:t>
      </w:r>
      <w:bookmarkEnd w:id="172"/>
      <w:bookmarkEnd w:id="173"/>
      <w:bookmarkEnd w:id="174"/>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175" w:name="_Toc426541686"/>
      <w:bookmarkStart w:id="176" w:name="_Toc377374031"/>
      <w:bookmarkStart w:id="177" w:name="_Toc416703426"/>
      <w:r>
        <w:rPr>
          <w:rStyle w:val="CharSectno"/>
        </w:rPr>
        <w:t>44.</w:t>
      </w:r>
      <w:r>
        <w:rPr>
          <w:rStyle w:val="CharSectno"/>
        </w:rPr>
        <w:tab/>
      </w:r>
      <w:r>
        <w:t>Procedure on review</w:t>
      </w:r>
      <w:bookmarkEnd w:id="175"/>
      <w:bookmarkEnd w:id="176"/>
      <w:bookmarkEnd w:id="177"/>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78" w:name="_Toc426541687"/>
      <w:bookmarkStart w:id="179" w:name="_Toc377374032"/>
      <w:bookmarkStart w:id="180" w:name="_Toc416703427"/>
      <w:r>
        <w:rPr>
          <w:rStyle w:val="CharSectno"/>
        </w:rPr>
        <w:t>45</w:t>
      </w:r>
      <w:r>
        <w:t>.</w:t>
      </w:r>
      <w:r>
        <w:rPr>
          <w:rStyle w:val="CharSectno"/>
        </w:rPr>
        <w:tab/>
      </w:r>
      <w:r>
        <w:t>Costs</w:t>
      </w:r>
      <w:bookmarkEnd w:id="178"/>
      <w:bookmarkEnd w:id="179"/>
      <w:bookmarkEnd w:id="180"/>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181" w:name="_Toc426538231"/>
      <w:bookmarkStart w:id="182" w:name="_Toc426538708"/>
      <w:bookmarkStart w:id="183" w:name="_Toc426538794"/>
      <w:bookmarkStart w:id="184" w:name="_Toc426541688"/>
      <w:bookmarkStart w:id="185" w:name="_Toc377374033"/>
      <w:bookmarkStart w:id="186" w:name="_Toc416703373"/>
      <w:bookmarkStart w:id="187" w:name="_Toc416703428"/>
      <w:r>
        <w:rPr>
          <w:rStyle w:val="CharPartNo"/>
        </w:rPr>
        <w:t>Part 6</w:t>
      </w:r>
      <w:r>
        <w:rPr>
          <w:rStyle w:val="CharDivNo"/>
        </w:rPr>
        <w:t xml:space="preserve"> </w:t>
      </w:r>
      <w:r>
        <w:t>—</w:t>
      </w:r>
      <w:r>
        <w:rPr>
          <w:rStyle w:val="CharDivText"/>
        </w:rPr>
        <w:t xml:space="preserve"> </w:t>
      </w:r>
      <w:r>
        <w:rPr>
          <w:rStyle w:val="CharPartText"/>
        </w:rPr>
        <w:t>Penalties</w:t>
      </w:r>
      <w:bookmarkEnd w:id="181"/>
      <w:bookmarkEnd w:id="182"/>
      <w:bookmarkEnd w:id="183"/>
      <w:bookmarkEnd w:id="184"/>
      <w:bookmarkEnd w:id="185"/>
      <w:bookmarkEnd w:id="186"/>
      <w:bookmarkEnd w:id="187"/>
    </w:p>
    <w:p>
      <w:pPr>
        <w:pStyle w:val="Heading5"/>
      </w:pPr>
      <w:bookmarkStart w:id="188" w:name="_Toc426541689"/>
      <w:bookmarkStart w:id="189" w:name="_Toc377374034"/>
      <w:bookmarkStart w:id="190" w:name="_Toc416703429"/>
      <w:r>
        <w:rPr>
          <w:rStyle w:val="CharSectno"/>
        </w:rPr>
        <w:t>46</w:t>
      </w:r>
      <w:r>
        <w:t>.</w:t>
      </w:r>
      <w:r>
        <w:tab/>
        <w:t>General offence and penalty</w:t>
      </w:r>
      <w:bookmarkEnd w:id="188"/>
      <w:bookmarkEnd w:id="189"/>
      <w:bookmarkEnd w:id="190"/>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r>
        <w:t>[Schedule 1 deleted in Gazette 13 Dec 2005 p. 5979.]</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91" w:name="_Toc426538233"/>
      <w:bookmarkStart w:id="192" w:name="_Toc426538710"/>
      <w:bookmarkStart w:id="193" w:name="_Toc426538796"/>
      <w:bookmarkStart w:id="194" w:name="_Toc426541690"/>
      <w:bookmarkStart w:id="195" w:name="_Toc377374035"/>
      <w:bookmarkStart w:id="196" w:name="_Toc416703375"/>
      <w:bookmarkStart w:id="197" w:name="_Toc416703430"/>
      <w:r>
        <w:rPr>
          <w:rStyle w:val="CharSchNo"/>
        </w:rPr>
        <w:t>Schedule 2</w:t>
      </w:r>
      <w:r>
        <w:t xml:space="preserve"> — </w:t>
      </w:r>
      <w:r>
        <w:rPr>
          <w:rStyle w:val="CharSchText"/>
        </w:rPr>
        <w:t>Standards and codes containing provisions compliance with which may be evidence</w:t>
      </w:r>
      <w:bookmarkEnd w:id="191"/>
      <w:bookmarkEnd w:id="192"/>
      <w:bookmarkEnd w:id="193"/>
      <w:bookmarkEnd w:id="194"/>
      <w:bookmarkEnd w:id="195"/>
      <w:bookmarkEnd w:id="196"/>
      <w:bookmarkEnd w:id="197"/>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 xml:space="preserve">Guidelines for Electricity Transmission and Distribution work in </w:t>
      </w:r>
      <w:smartTag w:uri="urn:schemas-microsoft-com:office:smarttags" w:element="State">
        <w:smartTag w:uri="urn:schemas-microsoft-com:office:smarttags" w:element="place">
          <w:r>
            <w:t>Western Australia</w:t>
          </w:r>
        </w:smartTag>
      </w:smartTag>
      <w:r>
        <w:t xml:space="preserve"> (Office of Energy WA).</w:t>
      </w:r>
    </w:p>
    <w:p>
      <w:pPr>
        <w:pStyle w:val="yMiscellaneousBody"/>
      </w:pPr>
      <w:r>
        <w:t>Code of Practice, Safe electrical work on low voltage electrical installations (Office of Energy WA).</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 xml:space="preserve">Electrical installations (known as the Australia/New </w:t>
      </w:r>
      <w:smartTag w:uri="urn:schemas-microsoft-com:office:smarttags" w:element="place">
        <w:r>
          <w:rPr>
            <w:i/>
          </w:rPr>
          <w:t>Zealand</w:t>
        </w:r>
      </w:smartTag>
      <w:r>
        <w:rPr>
          <w:i/>
        </w:rPr>
        <w:t xml:space="preserve">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r>
        <w:rPr>
          <w:spacing w:val="-2"/>
        </w:rPr>
        <w:t>  </w:t>
      </w:r>
      <w:r>
        <w:rPr>
          <w:i/>
        </w:rPr>
        <w:t>(CJC1)  Joint use of poles: The placement on poles of power lines and paired cable telecommunications lines</w:t>
      </w:r>
      <w:r>
        <w:t>.</w:t>
      </w:r>
    </w:p>
    <w:p>
      <w:pPr>
        <w:pStyle w:val="yMiscellaneousBody"/>
      </w:pPr>
      <w:r>
        <w:t>HB100 – 2000</w:t>
      </w:r>
      <w:r>
        <w:rPr>
          <w:spacing w:val="-2"/>
        </w:rPr>
        <w:t>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r>
        <w:rPr>
          <w:spacing w:val="-2"/>
        </w:rPr>
        <w:t>  </w:t>
      </w:r>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spacing w:val="-2"/>
        </w:rPr>
        <w:t>  </w:t>
      </w:r>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 xml:space="preserve">Coordination of power and telecommunications – Earth Potential Rise (EPR) – Isolation arrangements for paired cable telemetering/telecontrol services in </w:t>
      </w:r>
      <w:smartTag w:uri="urn:schemas-microsoft-com:office:smarttags" w:element="place">
        <w:smartTag w:uri="urn:schemas-microsoft-com:office:smarttags" w:element="City">
          <w:r>
            <w:rPr>
              <w:i/>
            </w:rPr>
            <w:t>LV</w:t>
          </w:r>
        </w:smartTag>
      </w:smartTag>
      <w:r>
        <w:rPr>
          <w:i/>
        </w:rPr>
        <w:t xml:space="preserve"> areas and HV sites</w:t>
      </w:r>
      <w:r>
        <w:t>.</w:t>
      </w:r>
    </w:p>
    <w:p>
      <w:pPr>
        <w:pStyle w:val="yScheduleHeading"/>
      </w:pPr>
      <w:bookmarkStart w:id="198" w:name="_Toc426538234"/>
      <w:bookmarkStart w:id="199" w:name="_Toc426538711"/>
      <w:bookmarkStart w:id="200" w:name="_Toc426538797"/>
      <w:bookmarkStart w:id="201" w:name="_Toc426541691"/>
      <w:bookmarkStart w:id="202" w:name="_Toc377374036"/>
      <w:bookmarkStart w:id="203" w:name="_Toc416703376"/>
      <w:bookmarkStart w:id="204" w:name="_Toc416703431"/>
      <w:r>
        <w:rPr>
          <w:rStyle w:val="CharSchNo"/>
        </w:rPr>
        <w:t>Schedule 3</w:t>
      </w:r>
      <w:r>
        <w:t xml:space="preserve"> — </w:t>
      </w:r>
      <w:r>
        <w:rPr>
          <w:rStyle w:val="CharSchText"/>
        </w:rPr>
        <w:t>Standards and codes containing obligatory provisions for network operators</w:t>
      </w:r>
      <w:bookmarkEnd w:id="198"/>
      <w:bookmarkEnd w:id="199"/>
      <w:bookmarkEnd w:id="200"/>
      <w:bookmarkEnd w:id="201"/>
      <w:bookmarkEnd w:id="202"/>
      <w:bookmarkEnd w:id="203"/>
      <w:bookmarkEnd w:id="204"/>
    </w:p>
    <w:p>
      <w:pPr>
        <w:pStyle w:val="yShoulderClause"/>
      </w:pPr>
      <w:r>
        <w:t>[r. 16(1)]</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Bare overhead – Aluminium and aluminium alloy</w:t>
      </w:r>
      <w:r>
        <w:t>.</w:t>
      </w:r>
    </w:p>
    <w:p>
      <w:pPr>
        <w:pStyle w:val="yMiscellaneousBody"/>
      </w:pPr>
      <w:r>
        <w:t>AS 1746 – 1991  </w:t>
      </w:r>
      <w:r>
        <w:rPr>
          <w:i/>
        </w:rPr>
        <w:t>Conductors – Bare overhead – Hard drawn copper</w:t>
      </w:r>
      <w:r>
        <w:t>.</w:t>
      </w:r>
    </w:p>
    <w:p>
      <w:pPr>
        <w:pStyle w:val="yMiscellaneousBody"/>
      </w:pPr>
      <w:r>
        <w:t>AS 3607 – 1989  </w:t>
      </w:r>
      <w:r>
        <w:rPr>
          <w:i/>
        </w:rPr>
        <w:t>Conductors –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r>
        <w:t>[Schedules 4 and 5 deleted in Gazette 13 Dec 2005 p. 5979.]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nHeading2"/>
      </w:pPr>
      <w:bookmarkStart w:id="206" w:name="_Toc426538235"/>
      <w:bookmarkStart w:id="207" w:name="_Toc426538712"/>
      <w:bookmarkStart w:id="208" w:name="_Toc426538798"/>
      <w:bookmarkStart w:id="209" w:name="_Toc426541692"/>
      <w:bookmarkStart w:id="210" w:name="_Toc377374037"/>
      <w:bookmarkStart w:id="211" w:name="_Toc416703377"/>
      <w:bookmarkStart w:id="212" w:name="_Toc416703432"/>
      <w:r>
        <w:t>Notes</w:t>
      </w:r>
      <w:bookmarkEnd w:id="206"/>
      <w:bookmarkEnd w:id="207"/>
      <w:bookmarkEnd w:id="208"/>
      <w:bookmarkEnd w:id="209"/>
      <w:bookmarkEnd w:id="210"/>
      <w:bookmarkEnd w:id="211"/>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(Supply Standards and System Safety)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13" w:name="_Toc426541693"/>
      <w:bookmarkStart w:id="214" w:name="_Toc377374038"/>
      <w:bookmarkStart w:id="215" w:name="_Toc416703433"/>
      <w:r>
        <w:t>Compilation table</w:t>
      </w:r>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rPr>
                <w:i/>
              </w:rPr>
            </w:pPr>
            <w:r>
              <w:rPr>
                <w:i/>
              </w:rPr>
              <w:t>Electricity (Supply Standards and System Safety) Regulations 2001</w:t>
            </w:r>
          </w:p>
        </w:tc>
        <w:tc>
          <w:tcPr>
            <w:tcW w:w="1276" w:type="dxa"/>
          </w:tcPr>
          <w:p>
            <w:pPr>
              <w:pStyle w:val="nTable"/>
              <w:spacing w:after="40"/>
            </w:pPr>
            <w:r>
              <w:t>7 Dec 2001 p. 6221</w:t>
            </w:r>
            <w:r>
              <w:noBreakHyphen/>
              <w:t>73</w:t>
            </w:r>
          </w:p>
        </w:tc>
        <w:tc>
          <w:tcPr>
            <w:tcW w:w="2693" w:type="dxa"/>
          </w:tcPr>
          <w:p>
            <w:pPr>
              <w:pStyle w:val="nTable"/>
              <w:spacing w:after="40"/>
            </w:pPr>
            <w:r>
              <w:t>4 Jan 2002 (see r. 2)</w:t>
            </w:r>
          </w:p>
        </w:tc>
      </w:tr>
      <w:tr>
        <w:tc>
          <w:tcPr>
            <w:tcW w:w="3119" w:type="dxa"/>
          </w:tcPr>
          <w:p>
            <w:pPr>
              <w:pStyle w:val="nTable"/>
              <w:spacing w:after="40"/>
              <w:rPr>
                <w:i/>
              </w:rPr>
            </w:pPr>
            <w:r>
              <w:rPr>
                <w:i/>
              </w:rPr>
              <w:t>Electricity (Supply Standards and System Safety) Amendment Regulations 2005</w:t>
            </w:r>
          </w:p>
        </w:tc>
        <w:tc>
          <w:tcPr>
            <w:tcW w:w="1276" w:type="dxa"/>
          </w:tcPr>
          <w:p>
            <w:pPr>
              <w:pStyle w:val="nTable"/>
              <w:spacing w:after="40"/>
            </w:pPr>
            <w:r>
              <w:t>13 Dec 2005 p. 5978</w:t>
            </w:r>
            <w:r>
              <w:noBreakHyphen/>
              <w:t>9</w:t>
            </w:r>
          </w:p>
        </w:tc>
        <w:tc>
          <w:tcPr>
            <w:tcW w:w="2693" w:type="dxa"/>
          </w:tcPr>
          <w:p>
            <w:pPr>
              <w:pStyle w:val="nTable"/>
              <w:spacing w:after="40"/>
            </w:pPr>
            <w:r>
              <w:t>1 Jan 2006 (see r. 2)</w:t>
            </w:r>
          </w:p>
        </w:tc>
      </w:tr>
      <w:tr>
        <w:tc>
          <w:tcPr>
            <w:tcW w:w="3119" w:type="dxa"/>
          </w:tcPr>
          <w:p>
            <w:pPr>
              <w:pStyle w:val="nTable"/>
              <w:spacing w:after="40"/>
            </w:pPr>
            <w:r>
              <w:rPr>
                <w:i/>
              </w:rPr>
              <w:t>Electricity Corporations (Consequential Amendments) Regulations 2006</w:t>
            </w:r>
            <w:r>
              <w:rPr>
                <w:iCs/>
              </w:rPr>
              <w:t xml:space="preserve"> r. 77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rPr>
                <w:i/>
              </w:rPr>
            </w:pPr>
            <w:r>
              <w:rPr>
                <w:i/>
              </w:rPr>
              <w:t>Electricity (Supply Standards and System Safety) Amendment Regulations (No. 2) 2009</w:t>
            </w:r>
          </w:p>
        </w:tc>
        <w:tc>
          <w:tcPr>
            <w:tcW w:w="1276" w:type="dxa"/>
          </w:tcPr>
          <w:p>
            <w:pPr>
              <w:pStyle w:val="nTable"/>
              <w:spacing w:after="40"/>
            </w:pPr>
            <w:r>
              <w:t>29 Sep 2009 p. 3845</w:t>
            </w:r>
            <w:r>
              <w:noBreakHyphen/>
              <w:t>6</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Electricity (Supply Standards and System Safety) Regulations 2001 </w:t>
            </w:r>
            <w:r>
              <w:rPr>
                <w:b/>
                <w:bCs/>
                <w:snapToGrid w:val="0"/>
                <w:spacing w:val="-2"/>
              </w:rPr>
              <w:t>as at 8 Jan 2010</w:t>
            </w:r>
            <w:r>
              <w:rPr>
                <w:snapToGrid w:val="0"/>
                <w:spacing w:val="-2"/>
              </w:rPr>
              <w:t xml:space="preserve"> (includes amendments listed above)</w:t>
            </w:r>
          </w:p>
        </w:tc>
      </w:tr>
      <w:tr>
        <w:tc>
          <w:tcPr>
            <w:tcW w:w="3119" w:type="dxa"/>
          </w:tcPr>
          <w:p>
            <w:pPr>
              <w:pStyle w:val="nTable"/>
              <w:spacing w:after="40"/>
              <w:rPr>
                <w:i/>
              </w:rPr>
            </w:pPr>
            <w:r>
              <w:rPr>
                <w:i/>
              </w:rPr>
              <w:t>Electricity (Supply Standards and System Safety) Amendment Regulations 2012</w:t>
            </w:r>
          </w:p>
        </w:tc>
        <w:tc>
          <w:tcPr>
            <w:tcW w:w="1276" w:type="dxa"/>
          </w:tcPr>
          <w:p>
            <w:pPr>
              <w:pStyle w:val="nTable"/>
              <w:spacing w:after="40"/>
            </w:pPr>
            <w:r>
              <w:t>13 Apr 2012 p. 1656</w:t>
            </w:r>
            <w:r>
              <w:noBreakHyphen/>
              <w:t>7</w:t>
            </w:r>
          </w:p>
        </w:tc>
        <w:tc>
          <w:tcPr>
            <w:tcW w:w="2693" w:type="dxa"/>
          </w:tcPr>
          <w:p>
            <w:pPr>
              <w:pStyle w:val="nTable"/>
              <w:spacing w:after="40"/>
            </w:pPr>
            <w:r>
              <w:rPr>
                <w:snapToGrid w:val="0"/>
                <w:spacing w:val="-2"/>
              </w:rPr>
              <w:t>r. 1 and 2: 13 Apr 2012 (see r. 2(a));</w:t>
            </w:r>
            <w:r>
              <w:rPr>
                <w:snapToGrid w:val="0"/>
                <w:spacing w:val="-2"/>
              </w:rPr>
              <w:br/>
              <w:t>Regulations other than r. 1 and 2: 14 Apr 2012 (see r. 2(b))</w:t>
            </w:r>
          </w:p>
        </w:tc>
      </w:tr>
    </w:tbl>
    <w:p>
      <w:pPr>
        <w:rPr>
          <w:del w:id="216" w:author="Master Repository Process" w:date="2021-08-01T11:26:00Z"/>
        </w:rPr>
      </w:pPr>
    </w:p>
    <w:p>
      <w:pPr>
        <w:rPr>
          <w:del w:id="217" w:author="Master Repository Process" w:date="2021-08-01T11:26: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rPr>
          <w:del w:id="218" w:author="Master Repository Process" w:date="2021-08-01T11:26:00Z"/>
        </w:rPr>
      </w:pPr>
    </w:p>
    <w:p>
      <w:pPr>
        <w:rPr>
          <w:del w:id="219" w:author="Master Repository Process" w:date="2021-08-01T11:26:00Z"/>
        </w:rPr>
      </w:pPr>
    </w:p>
    <w:p>
      <w:pPr>
        <w:rPr>
          <w:del w:id="220" w:author="Master Repository Process" w:date="2021-08-01T11:26:00Z"/>
        </w:rPr>
      </w:pPr>
    </w:p>
    <w:p>
      <w:pPr>
        <w:rPr>
          <w:del w:id="221" w:author="Master Repository Process" w:date="2021-08-01T11:26:00Z"/>
        </w:rPr>
      </w:pPr>
    </w:p>
    <w:p>
      <w:pPr>
        <w:rPr>
          <w:del w:id="222" w:author="Master Repository Process" w:date="2021-08-01T11:26:00Z"/>
        </w:rPr>
      </w:pPr>
    </w:p>
    <w:p>
      <w:pPr>
        <w:rPr>
          <w:del w:id="223" w:author="Master Repository Process" w:date="2021-08-01T11:26:00Z"/>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224" w:author="Master Repository Process" w:date="2021-08-01T11:26:00Z"/>
        </w:trPr>
        <w:tc>
          <w:tcPr>
            <w:tcW w:w="7088" w:type="dxa"/>
            <w:tcBorders>
              <w:bottom w:val="single" w:sz="4" w:space="0" w:color="auto"/>
            </w:tcBorders>
          </w:tcPr>
          <w:p>
            <w:pPr>
              <w:pStyle w:val="nTable"/>
              <w:spacing w:after="40"/>
              <w:rPr>
                <w:ins w:id="225" w:author="Master Repository Process" w:date="2021-08-01T11:26:00Z"/>
                <w:b/>
                <w:snapToGrid w:val="0"/>
                <w:color w:val="FF0000"/>
                <w:spacing w:val="-2"/>
              </w:rPr>
            </w:pPr>
            <w:ins w:id="226" w:author="Master Repository Process" w:date="2021-08-01T11:26:00Z">
              <w:r>
                <w:rPr>
                  <w:b/>
                  <w:snapToGrid w:val="0"/>
                  <w:color w:val="FF0000"/>
                  <w:spacing w:val="-2"/>
                </w:rPr>
                <w:t xml:space="preserve">These regulations were repealed by the </w:t>
              </w:r>
              <w:r>
                <w:rPr>
                  <w:b/>
                  <w:i/>
                  <w:color w:val="FF0000"/>
                </w:rPr>
                <w:t xml:space="preserve">Electricity (Network Safety) Regulations 2015 </w:t>
              </w:r>
              <w:r>
                <w:rPr>
                  <w:b/>
                  <w:color w:val="FF0000"/>
                </w:rPr>
                <w:t>r.</w:t>
              </w:r>
              <w:r>
                <w:rPr>
                  <w:b/>
                  <w:i/>
                  <w:color w:val="FF0000"/>
                </w:rPr>
                <w:t> </w:t>
              </w:r>
              <w:r>
                <w:rPr>
                  <w:b/>
                  <w:color w:val="FF0000"/>
                </w:rPr>
                <w:t xml:space="preserve">42 as at 6 Aug 2015 (see r. 2(b) and </w:t>
              </w:r>
              <w:r>
                <w:rPr>
                  <w:b/>
                  <w:i/>
                  <w:color w:val="FF0000"/>
                </w:rPr>
                <w:t xml:space="preserve">Gazette </w:t>
              </w:r>
              <w:r>
                <w:rPr>
                  <w:b/>
                  <w:color w:val="FF0000"/>
                </w:rPr>
                <w:t>5 Aug 2015 p. 3184)</w:t>
              </w:r>
            </w:ins>
          </w:p>
        </w:tc>
      </w:tr>
    </w:tbl>
    <w:p>
      <w:pPr>
        <w:rPr>
          <w:ins w:id="227" w:author="Master Repository Process" w:date="2021-08-01T11:26:00Z"/>
        </w:rPr>
      </w:pPr>
    </w:p>
    <w:p>
      <w:pPr>
        <w:rPr>
          <w:ins w:id="228" w:author="Master Repository Process" w:date="2021-08-01T11:26: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02AB3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C860180"/>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100302"/>
    <w:docVar w:name="WAFER_20140113105230" w:val="RemoveTocBookmarks,RemoveUnusedBookmarks,RemoveLanguageTags,UsedStyles,ResetPageSize,UpdateArrangement"/>
    <w:docVar w:name="WAFER_20140113105230_GUID" w:val="4c4d036f-ec00-42f7-a8f9-5348d6f7520a"/>
    <w:docVar w:name="WAFER_20140113105236" w:val="RemoveTocBookmarks,RunningHeaders"/>
    <w:docVar w:name="WAFER_20140113105236_GUID" w:val="d3632f45-26bf-4f52-8926-b7d75bf042f8"/>
    <w:docVar w:name="WAFER_20150413150445" w:val="ResetPageSize,UpdateArrangement,UpdateNTable"/>
    <w:docVar w:name="WAFER_20150413150445_GUID" w:val="c34b6796-27af-472f-95f5-f0b0c4ec88b3"/>
    <w:docVar w:name="WAFER_20150805113445" w:val="RemoveTocBookmarks,RemoveUnusedBookmarks,RemoveLanguageTags,UsedStyles,ResetPageSize"/>
    <w:docVar w:name="WAFER_20150805113445_GUID" w:val="24a31ffd-72ba-4b2d-af30-85aff56c5c0e"/>
    <w:docVar w:name="WAFER_20151118100302" w:val="UsedStyles"/>
    <w:docVar w:name="WAFER_20151118100302_GUID" w:val="5bf482f8-f2ff-4008-a59d-d2ec89d023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FAAD3CC-5AAF-4973-BC60-C92FC808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7392</Words>
  <Characters>38218</Characters>
  <Application>Microsoft Office Word</Application>
  <DocSecurity>0</DocSecurity>
  <Lines>979</Lines>
  <Paragraphs>549</Paragraphs>
  <ScaleCrop>false</ScaleCrop>
  <HeadingPairs>
    <vt:vector size="2" baseType="variant">
      <vt:variant>
        <vt:lpstr>Title</vt:lpstr>
      </vt:variant>
      <vt:variant>
        <vt:i4>1</vt:i4>
      </vt:variant>
    </vt:vector>
  </HeadingPairs>
  <TitlesOfParts>
    <vt:vector size="1" baseType="lpstr">
      <vt:lpstr>Electricity (Supply Standards and System Safety) Regulations 2001</vt:lpstr>
    </vt:vector>
  </TitlesOfParts>
  <Manager/>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01-b0-03 - 01-c0-02</dc:title>
  <dc:subject/>
  <dc:creator/>
  <cp:keywords/>
  <dc:description/>
  <cp:lastModifiedBy>Master Repository Process</cp:lastModifiedBy>
  <cp:revision>2</cp:revision>
  <cp:lastPrinted>2009-12-14T02:14:00Z</cp:lastPrinted>
  <dcterms:created xsi:type="dcterms:W3CDTF">2021-08-01T03:26:00Z</dcterms:created>
  <dcterms:modified xsi:type="dcterms:W3CDTF">2021-08-01T03:26:00Z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DocumentType">
    <vt:lpwstr>Reg</vt:lpwstr>
  </property>
  <property fmtid="{D5CDD505-2E9C-101B-9397-08002B2CF9AE}" pid="4" name="OwlsUID">
    <vt:i4>2783</vt:i4>
  </property>
  <property fmtid="{D5CDD505-2E9C-101B-9397-08002B2CF9AE}" pid="5" name="ReprintNo">
    <vt:lpwstr>1</vt:lpwstr>
  </property>
  <property fmtid="{D5CDD505-2E9C-101B-9397-08002B2CF9AE}" pid="6" name="Status">
    <vt:lpwstr>NIF</vt:lpwstr>
  </property>
  <property fmtid="{D5CDD505-2E9C-101B-9397-08002B2CF9AE}" pid="7" name="CommencementDate">
    <vt:lpwstr>20150806</vt:lpwstr>
  </property>
  <property fmtid="{D5CDD505-2E9C-101B-9397-08002B2CF9AE}" pid="8" name="FromSuffix">
    <vt:lpwstr>01-b0-03</vt:lpwstr>
  </property>
  <property fmtid="{D5CDD505-2E9C-101B-9397-08002B2CF9AE}" pid="9" name="FromAsAtDate">
    <vt:lpwstr>14 Apr 2012</vt:lpwstr>
  </property>
  <property fmtid="{D5CDD505-2E9C-101B-9397-08002B2CF9AE}" pid="10" name="ToSuffix">
    <vt:lpwstr>01-c0-02</vt:lpwstr>
  </property>
  <property fmtid="{D5CDD505-2E9C-101B-9397-08002B2CF9AE}" pid="11" name="ToAsAtDate">
    <vt:lpwstr>06 Aug 2015</vt:lpwstr>
  </property>
</Properties>
</file>