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Code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15 Aug 2015</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Railways (Access) Act 1998</w:t>
      </w:r>
    </w:p>
    <w:p>
      <w:pPr>
        <w:pStyle w:val="NameofActReg"/>
      </w:pPr>
      <w:r>
        <w:t>Railways (Access) Code 2000</w:t>
      </w:r>
    </w:p>
    <w:p>
      <w:pPr>
        <w:pStyle w:val="Heading2"/>
        <w:pageBreakBefore w:val="0"/>
        <w:spacing w:before="240"/>
      </w:pPr>
      <w:bookmarkStart w:id="1" w:name="_Toc378668071"/>
      <w:bookmarkStart w:id="2" w:name="_Toc424741998"/>
      <w:bookmarkStart w:id="3" w:name="_Toc424742132"/>
      <w:bookmarkStart w:id="4" w:name="_Toc427328969"/>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378668072"/>
      <w:bookmarkStart w:id="7" w:name="_Toc427328970"/>
      <w:bookmarkStart w:id="8" w:name="_Toc424742133"/>
      <w:r>
        <w:rPr>
          <w:rStyle w:val="CharSectno"/>
        </w:rPr>
        <w:t>1</w:t>
      </w:r>
      <w:r>
        <w:t>.</w:t>
      </w:r>
      <w:r>
        <w:tab/>
        <w:t>Citation</w:t>
      </w:r>
      <w:bookmarkEnd w:id="6"/>
      <w:bookmarkEnd w:id="7"/>
      <w:bookmarkEnd w:id="8"/>
    </w:p>
    <w:p>
      <w:pPr>
        <w:pStyle w:val="Subsection"/>
        <w:rPr>
          <w:snapToGrid w:val="0"/>
        </w:rPr>
      </w:pPr>
      <w:r>
        <w:rPr>
          <w:snapToGrid w:val="0"/>
        </w:rPr>
        <w:tab/>
      </w:r>
      <w:r>
        <w:rPr>
          <w:snapToGrid w:val="0"/>
        </w:rPr>
        <w:tab/>
        <w:t xml:space="preserve">This Code may be cited as the </w:t>
      </w:r>
      <w:r>
        <w:rPr>
          <w:i/>
          <w:snapToGrid w:val="0"/>
        </w:rPr>
        <w:t>Railways (Access) Code 2000</w:t>
      </w:r>
      <w:r>
        <w:rPr>
          <w:i/>
          <w:snapToGrid w:val="0"/>
          <w:vertAlign w:val="superscript"/>
        </w:rPr>
        <w:t> </w:t>
      </w:r>
      <w:r>
        <w:rPr>
          <w:iCs/>
          <w:snapToGrid w:val="0"/>
          <w:vertAlign w:val="superscript"/>
        </w:rPr>
        <w:t>1</w:t>
      </w:r>
      <w:r>
        <w:rPr>
          <w:snapToGrid w:val="0"/>
        </w:rPr>
        <w:t>.</w:t>
      </w:r>
    </w:p>
    <w:p>
      <w:pPr>
        <w:pStyle w:val="Heading5"/>
        <w:rPr>
          <w:snapToGrid w:val="0"/>
        </w:rPr>
      </w:pPr>
      <w:bookmarkStart w:id="9" w:name="_Toc378668073"/>
      <w:bookmarkStart w:id="10" w:name="_Toc427328971"/>
      <w:bookmarkStart w:id="11" w:name="_Toc424742134"/>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r>
        <w:rPr>
          <w:i/>
          <w:snapToGrid w:val="0"/>
          <w:vertAlign w:val="superscript"/>
        </w:rPr>
        <w:t> </w:t>
      </w:r>
      <w:r>
        <w:rPr>
          <w:iCs/>
          <w:snapToGrid w:val="0"/>
          <w:vertAlign w:val="superscript"/>
        </w:rPr>
        <w:t>1</w:t>
      </w:r>
      <w:r>
        <w:rPr>
          <w:snapToGrid w:val="0"/>
        </w:rPr>
        <w:t>.</w:t>
      </w:r>
    </w:p>
    <w:p>
      <w:pPr>
        <w:pStyle w:val="Heading5"/>
        <w:rPr>
          <w:snapToGrid w:val="0"/>
        </w:rPr>
      </w:pPr>
      <w:bookmarkStart w:id="12" w:name="_Toc378668074"/>
      <w:bookmarkStart w:id="13" w:name="_Toc427328972"/>
      <w:bookmarkStart w:id="14" w:name="_Toc424742135"/>
      <w:r>
        <w:rPr>
          <w:rStyle w:val="CharSectno"/>
        </w:rPr>
        <w:t>3</w:t>
      </w:r>
      <w:ins w:id="15" w:author="Master Repository Process" w:date="2021-09-12T11:40:00Z">
        <w:r>
          <w:rPr>
            <w:rStyle w:val="CharSectno"/>
            <w:vertAlign w:val="superscript"/>
          </w:rPr>
          <w:t> 1M</w:t>
        </w:r>
      </w:ins>
      <w:r>
        <w:rPr>
          <w:snapToGrid w:val="0"/>
        </w:rPr>
        <w:t>.</w:t>
      </w:r>
      <w:r>
        <w:rPr>
          <w:snapToGrid w:val="0"/>
        </w:rPr>
        <w:tab/>
        <w:t>Terms used</w:t>
      </w:r>
      <w:bookmarkEnd w:id="12"/>
      <w:bookmarkEnd w:id="13"/>
      <w:bookmarkEnd w:id="14"/>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r>
      <w:r>
        <w:rPr>
          <w:rStyle w:val="CharDefText"/>
        </w:rPr>
        <w:t>Act</w:t>
      </w:r>
      <w:r>
        <w:rPr>
          <w:b/>
        </w:rPr>
        <w:t xml:space="preserve"> </w:t>
      </w:r>
      <w:r>
        <w:t xml:space="preserve">means the </w:t>
      </w:r>
      <w:r>
        <w:rPr>
          <w:i/>
        </w:rPr>
        <w:t>Railways (Access) Act 1998</w:t>
      </w:r>
      <w:r>
        <w:t>;</w:t>
      </w:r>
    </w:p>
    <w:p>
      <w:pPr>
        <w:pStyle w:val="Defstart"/>
      </w:pPr>
      <w:r>
        <w:rPr>
          <w:b/>
        </w:rPr>
        <w:tab/>
      </w:r>
      <w:r>
        <w:rPr>
          <w:rStyle w:val="CharDefText"/>
        </w:rPr>
        <w:t>associate</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 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rPr>
          <w:b/>
        </w:rPr>
        <w:tab/>
      </w:r>
      <w:r>
        <w:rPr>
          <w:rStyle w:val="CharDefText"/>
        </w:rPr>
        <w:t>capacity</w:t>
      </w:r>
      <w:r>
        <w:t>,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pPr>
      <w:r>
        <w:tab/>
        <w:t>(i)</w:t>
      </w:r>
      <w:r>
        <w:tab/>
        <w:t xml:space="preserve">the railway owner’s safety standards under section 9 of the </w:t>
      </w:r>
      <w:r>
        <w:rPr>
          <w:i/>
        </w:rPr>
        <w:t>Rail Safety Act 1998</w:t>
      </w:r>
      <w:r>
        <w:t>; or</w:t>
      </w:r>
    </w:p>
    <w:p>
      <w:pPr>
        <w:pStyle w:val="Defsubpara"/>
      </w:pPr>
      <w:r>
        <w:tab/>
        <w:t>(ii)</w:t>
      </w:r>
      <w: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r>
      <w:r>
        <w:rPr>
          <w:rStyle w:val="CharDefText"/>
        </w:rPr>
        <w:t>Commission</w:t>
      </w:r>
      <w:r>
        <w:rPr>
          <w:b/>
        </w:rPr>
        <w:t xml:space="preserve"> </w:t>
      </w:r>
      <w:r>
        <w:t xml:space="preserve">has the same meaning as in the </w:t>
      </w:r>
      <w:r>
        <w:rPr>
          <w:i/>
        </w:rPr>
        <w:t>Government Railways Act 1904</w:t>
      </w:r>
      <w:r>
        <w:t>;</w:t>
      </w:r>
    </w:p>
    <w:p>
      <w:pPr>
        <w:pStyle w:val="Defstart"/>
      </w:pPr>
      <w:r>
        <w:rPr>
          <w:b/>
        </w:rPr>
        <w:tab/>
      </w:r>
      <w:r>
        <w:rPr>
          <w:rStyle w:val="CharDefText"/>
        </w:rPr>
        <w:t>determination</w:t>
      </w:r>
      <w:r>
        <w:rPr>
          <w:b/>
        </w:rPr>
        <w:t xml:space="preserve"> </w:t>
      </w:r>
      <w:r>
        <w:t>means a determination by an arbitrator under Division 3 of Part 3;</w:t>
      </w:r>
    </w:p>
    <w:p>
      <w:pPr>
        <w:pStyle w:val="Defstart"/>
      </w:pPr>
      <w:r>
        <w:rPr>
          <w:b/>
        </w:rPr>
        <w:tab/>
      </w:r>
      <w:r>
        <w:rPr>
          <w:rStyle w:val="CharDefText"/>
        </w:rPr>
        <w:t>entity</w:t>
      </w:r>
      <w:r>
        <w:rPr>
          <w:b/>
        </w:rPr>
        <w:t xml:space="preserve"> </w:t>
      </w:r>
      <w:r>
        <w:t>means a corporation, partnership, trustee or other person;</w:t>
      </w:r>
    </w:p>
    <w:p>
      <w:pPr>
        <w:pStyle w:val="Defstart"/>
      </w:pPr>
      <w:r>
        <w:tab/>
      </w:r>
      <w:r>
        <w:rPr>
          <w:rStyle w:val="CharDefText"/>
        </w:rPr>
        <w:t>expansion</w:t>
      </w:r>
      <w:r>
        <w:t>, in relation to a route, means an increase in the capacity of the route by an enhancement or improvement of the railway infrastructure associated with the route;</w:t>
      </w:r>
    </w:p>
    <w:p>
      <w:pPr>
        <w:pStyle w:val="Defstart"/>
      </w:pPr>
      <w:r>
        <w:tab/>
      </w:r>
      <w:r>
        <w:rPr>
          <w:rStyle w:val="CharDefText"/>
        </w:rPr>
        <w:t>extension</w:t>
      </w:r>
      <w:r>
        <w:t>, in relation to a route, means the addition of railway infrastructure not forming part of the route at the time when the addition is proposed as mentioned in section 8(4) or (5);</w:t>
      </w:r>
    </w:p>
    <w:p>
      <w:pPr>
        <w:pStyle w:val="Defstart"/>
      </w:pPr>
      <w:r>
        <w:rPr>
          <w:b/>
        </w:rPr>
        <w:tab/>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r>
        <w:rPr>
          <w:rStyle w:val="CharDefText"/>
        </w:rPr>
        <w:t>operator</w:t>
      </w:r>
      <w:r>
        <w:rPr>
          <w:b/>
        </w:rPr>
        <w:t xml:space="preserve"> </w:t>
      </w:r>
      <w:r>
        <w:t>means an entity to which access is provided under an access agreement;</w:t>
      </w:r>
    </w:p>
    <w:p>
      <w:pPr>
        <w:pStyle w:val="Defstart"/>
      </w:pPr>
      <w:r>
        <w:rPr>
          <w:b/>
        </w:rPr>
        <w:tab/>
      </w:r>
      <w:r>
        <w:rPr>
          <w:rStyle w:val="CharDefText"/>
        </w:rPr>
        <w:t>proponent</w:t>
      </w:r>
      <w:r>
        <w:rPr>
          <w:b/>
        </w:rPr>
        <w:t xml:space="preserve"> </w:t>
      </w:r>
      <w:r>
        <w:t xml:space="preserve">means an entity that has made a proposal; </w:t>
      </w:r>
    </w:p>
    <w:p>
      <w:pPr>
        <w:pStyle w:val="Defstart"/>
      </w:pPr>
      <w:r>
        <w:rPr>
          <w:b/>
        </w:rPr>
        <w:tab/>
      </w:r>
      <w:r>
        <w:rPr>
          <w:rStyle w:val="CharDefText"/>
        </w:rPr>
        <w:t>proposal</w:t>
      </w:r>
      <w:r>
        <w:rPr>
          <w:b/>
        </w:rPr>
        <w:t xml:space="preserve"> </w:t>
      </w:r>
      <w:r>
        <w:t>means a proposal under section 8;</w:t>
      </w:r>
    </w:p>
    <w:p>
      <w:pPr>
        <w:pStyle w:val="Defstart"/>
      </w:pPr>
      <w:r>
        <w:rPr>
          <w:b/>
        </w:rPr>
        <w:tab/>
      </w:r>
      <w:r>
        <w:rPr>
          <w:rStyle w:val="CharDefText"/>
        </w:rPr>
        <w:t>rail operations</w:t>
      </w:r>
      <w:r>
        <w:rPr>
          <w:b/>
        </w:rPr>
        <w:t xml:space="preserve"> </w:t>
      </w:r>
      <w:r>
        <w:t>means the operation of rolling stock on a part of the railways network;</w:t>
      </w:r>
    </w:p>
    <w:p>
      <w:pPr>
        <w:pStyle w:val="Defstart"/>
        <w:keepNext/>
      </w:pPr>
      <w:r>
        <w:rPr>
          <w:b/>
        </w:rPr>
        <w:tab/>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r>
      <w:r>
        <w:rPr>
          <w:rStyle w:val="CharDefText"/>
        </w:rPr>
        <w:t>railway owner</w:t>
      </w:r>
      <w:r>
        <w:rPr>
          <w:b/>
        </w:rPr>
        <w:t xml:space="preserve"> </w:t>
      </w:r>
      <w:r>
        <w:t>means the person having the management and control of the use of the railway infrastructure concerned;</w:t>
      </w:r>
    </w:p>
    <w:p>
      <w:pPr>
        <w:pStyle w:val="Defstart"/>
      </w:pPr>
      <w:r>
        <w:rPr>
          <w:b/>
        </w:rPr>
        <w:tab/>
      </w:r>
      <w:r>
        <w:rPr>
          <w:rStyle w:val="CharDefText"/>
        </w:rPr>
        <w:t>railways network</w:t>
      </w:r>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section 3(2) of the Act to be part of the railways network;</w:t>
      </w:r>
    </w:p>
    <w:p>
      <w:pPr>
        <w:pStyle w:val="Defstart"/>
      </w:pPr>
      <w:r>
        <w:rPr>
          <w:b/>
        </w:rPr>
        <w:tab/>
      </w:r>
      <w:r>
        <w:rPr>
          <w:rStyle w:val="CharDefText"/>
        </w:rPr>
        <w:t>Regulator</w:t>
      </w:r>
      <w:r>
        <w:rPr>
          <w:b/>
        </w:rPr>
        <w:t xml:space="preserve"> </w:t>
      </w:r>
      <w:r>
        <w:t>means the person who holds, or is acting in, the office provided for by Part 3 of the Act;</w:t>
      </w:r>
    </w:p>
    <w:p>
      <w:pPr>
        <w:pStyle w:val="Defstart"/>
      </w:pPr>
      <w:r>
        <w:rPr>
          <w:b/>
        </w:rPr>
        <w:tab/>
      </w:r>
      <w:r>
        <w:rPr>
          <w:rStyle w:val="CharDefText"/>
        </w:rPr>
        <w:t>related body corporate</w:t>
      </w:r>
      <w:r>
        <w:rPr>
          <w:b/>
        </w:rPr>
        <w:t xml:space="preserve"> </w:t>
      </w:r>
      <w:r>
        <w:t>has the same meaning as it has in the Corporations Law;</w:t>
      </w:r>
    </w:p>
    <w:p>
      <w:pPr>
        <w:pStyle w:val="Defstart"/>
      </w:pPr>
      <w:r>
        <w:rPr>
          <w:b/>
        </w:rPr>
        <w:tab/>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r>
      <w:r>
        <w:rPr>
          <w:rStyle w:val="CharDefText"/>
        </w:rPr>
        <w:t>route section</w:t>
      </w:r>
      <w:r>
        <w:rPr>
          <w:b/>
        </w:rPr>
        <w:t xml:space="preserve"> </w:t>
      </w:r>
      <w:r>
        <w:t>means the sections of the railways network into which the network is divided for management and costing purposes;</w:t>
      </w:r>
    </w:p>
    <w:p>
      <w:pPr>
        <w:pStyle w:val="Defstart"/>
      </w:pPr>
      <w:r>
        <w:rPr>
          <w:b/>
        </w:rPr>
        <w:tab/>
      </w:r>
      <w:r>
        <w:rPr>
          <w:rStyle w:val="CharDefText"/>
        </w:rPr>
        <w:t>TPI Railway and Port Agreement</w:t>
      </w:r>
      <w:r>
        <w:t xml:space="preserve"> has the meaning given to the term </w:t>
      </w:r>
      <w:r>
        <w:rPr>
          <w:b/>
          <w:bCs/>
          <w:i/>
          <w:iCs/>
        </w:rPr>
        <w:t>the Agreement</w:t>
      </w:r>
      <w:r>
        <w:t xml:space="preserve"> in the </w:t>
      </w:r>
      <w:r>
        <w:rPr>
          <w:i/>
        </w:rPr>
        <w:t>Railway and Port (The Pilbara Infrastructure Pty Ltd) Agreement Act 2004</w:t>
      </w:r>
      <w:r>
        <w:t xml:space="preserve"> section 3.</w:t>
      </w:r>
    </w:p>
    <w:p>
      <w:pPr>
        <w:pStyle w:val="Footnotesection"/>
      </w:pPr>
      <w:r>
        <w:tab/>
        <w:t>[Section 3 amended in Gazette 23 Jul 2004 p. 2989; 23 Jun 2009 p. 2409; amended by Act No. 77 of 2004 s. 11.]</w:t>
      </w:r>
    </w:p>
    <w:p>
      <w:pPr>
        <w:pStyle w:val="Footnotesection"/>
        <w:rPr>
          <w:ins w:id="16" w:author="Master Repository Process" w:date="2021-09-12T11:40:00Z"/>
        </w:rPr>
      </w:pPr>
      <w:bookmarkStart w:id="17" w:name="_Toc378668075"/>
      <w:ins w:id="18" w:author="Master Repository Process" w:date="2021-09-12T11:40:00Z">
        <w:r>
          <w:tab/>
          <w:t>[Section 3, modifications have effect under the Railway (Roy Hill Infrastructure Pty Ltd) Agreement Act 2010 s. 11.  See note 1M.]</w:t>
        </w:r>
      </w:ins>
    </w:p>
    <w:p>
      <w:pPr>
        <w:pStyle w:val="Heading5"/>
      </w:pPr>
      <w:bookmarkStart w:id="19" w:name="_Toc427328973"/>
      <w:bookmarkStart w:id="20" w:name="_Toc424742136"/>
      <w:r>
        <w:rPr>
          <w:rStyle w:val="CharSectno"/>
        </w:rPr>
        <w:t>4A</w:t>
      </w:r>
      <w:r>
        <w:t>.</w:t>
      </w:r>
      <w:r>
        <w:tab/>
        <w:t>Parties have option to negotiate agreements outside this Code</w:t>
      </w:r>
      <w:bookmarkEnd w:id="17"/>
      <w:bookmarkEnd w:id="19"/>
      <w:bookmarkEnd w:id="20"/>
    </w:p>
    <w:p>
      <w:pPr>
        <w:pStyle w:val="Subsection"/>
        <w:keepNext/>
      </w:pPr>
      <w:r>
        <w:tab/>
        <w:t>(1)</w:t>
      </w:r>
      <w:r>
        <w:tab/>
        <w:t xml:space="preserve">To avoid doubt it is declared to be the case that — </w:t>
      </w:r>
    </w:p>
    <w:p>
      <w:pPr>
        <w:pStyle w:val="Indenta"/>
      </w:pPr>
      <w:r>
        <w:tab/>
        <w:t>(a)</w:t>
      </w:r>
      <w:r>
        <w:tab/>
        <w:t>the parties concerned may choose whether negotiations for an agreement for access are carried on under this Code or otherwise; and</w:t>
      </w:r>
    </w:p>
    <w:p>
      <w:pPr>
        <w:pStyle w:val="Indenta"/>
      </w:pPr>
      <w:r>
        <w:tab/>
        <w:t>(b)</w:t>
      </w:r>
      <w:r>
        <w:tab/>
        <w:t>if the parties choose to negotiate an agreement for access otherwise than under this Code, nothing in this Code applies to or in relation to the negotiations or any resulting agreement; and</w:t>
      </w:r>
    </w:p>
    <w:p>
      <w:pPr>
        <w:pStyle w:val="Indenta"/>
      </w:pPr>
      <w:r>
        <w:tab/>
        <w:t>(c)</w:t>
      </w:r>
      <w:r>
        <w:tab/>
        <w:t>in particular, without limiting paragraph (b), a Part 5 instrument, as defined in section 40(3), is not to be taken into account in determining the rights, powers, duties and remedies of parties to negotiations carried on or an agreement made otherwise than under this Code, except to the extent that the parties concerned agree otherwise.</w:t>
      </w:r>
    </w:p>
    <w:p>
      <w:pPr>
        <w:pStyle w:val="Subsection"/>
        <w:rPr>
          <w:iCs/>
        </w:rPr>
      </w:pPr>
      <w:r>
        <w:tab/>
        <w:t>(2)</w:t>
      </w:r>
      <w:r>
        <w:tab/>
        <w:t xml:space="preserve">The enactment of subsection (1) by the </w:t>
      </w:r>
      <w:r>
        <w:rPr>
          <w:i/>
        </w:rPr>
        <w:t>Railways (Access) Amendment Code 2009</w:t>
      </w:r>
      <w:r>
        <w:rPr>
          <w:iCs/>
        </w:rPr>
        <w:t xml:space="preserve"> </w:t>
      </w:r>
      <w:r>
        <w:t xml:space="preserve">section 5 </w:t>
      </w:r>
      <w:r>
        <w:rPr>
          <w:iCs/>
        </w:rPr>
        <w:t>is not to be taken as showing that this Code did not have the same effect before the commencement of that section as it has by operation of that subsection.</w:t>
      </w:r>
    </w:p>
    <w:p>
      <w:pPr>
        <w:pStyle w:val="Footnotesection"/>
      </w:pPr>
      <w:r>
        <w:tab/>
        <w:t>[Section 4A inserted in Gazette 23 Jun 2009 p. 2410.]</w:t>
      </w:r>
    </w:p>
    <w:p>
      <w:pPr>
        <w:pStyle w:val="Heading5"/>
        <w:rPr>
          <w:snapToGrid w:val="0"/>
        </w:rPr>
      </w:pPr>
      <w:bookmarkStart w:id="21" w:name="_Toc378668076"/>
      <w:bookmarkStart w:id="22" w:name="_Toc427328974"/>
      <w:bookmarkStart w:id="23" w:name="_Toc424742137"/>
      <w:r>
        <w:rPr>
          <w:rStyle w:val="CharSectno"/>
        </w:rPr>
        <w:t>4</w:t>
      </w:r>
      <w:r>
        <w:rPr>
          <w:snapToGrid w:val="0"/>
        </w:rPr>
        <w:t>.</w:t>
      </w:r>
      <w:r>
        <w:rPr>
          <w:snapToGrid w:val="0"/>
        </w:rPr>
        <w:tab/>
        <w:t>Other laws not affected</w:t>
      </w:r>
      <w:bookmarkEnd w:id="21"/>
      <w:bookmarkEnd w:id="22"/>
      <w:bookmarkEnd w:id="23"/>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24" w:name="_Toc378668077"/>
      <w:bookmarkStart w:id="25" w:name="_Toc427328975"/>
      <w:bookmarkStart w:id="26" w:name="_Toc424742138"/>
      <w:r>
        <w:rPr>
          <w:rStyle w:val="CharSectno"/>
        </w:rPr>
        <w:t>5</w:t>
      </w:r>
      <w:r>
        <w:rPr>
          <w:snapToGrid w:val="0"/>
        </w:rPr>
        <w:t>.</w:t>
      </w:r>
      <w:r>
        <w:rPr>
          <w:snapToGrid w:val="0"/>
        </w:rPr>
        <w:tab/>
        <w:t>Routes to which this Code applies</w:t>
      </w:r>
      <w:bookmarkEnd w:id="24"/>
      <w:bookmarkEnd w:id="25"/>
      <w:bookmarkEnd w:id="26"/>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r>
        <w:tab/>
        <w:t>[Section 5 amended in Gazette 23 Jul 2004 p. 2989.]</w:t>
      </w:r>
    </w:p>
    <w:p>
      <w:pPr>
        <w:pStyle w:val="Heading2"/>
      </w:pPr>
      <w:bookmarkStart w:id="27" w:name="_Toc378668078"/>
      <w:bookmarkStart w:id="28" w:name="_Toc424742005"/>
      <w:bookmarkStart w:id="29" w:name="_Toc424742139"/>
      <w:bookmarkStart w:id="30" w:name="_Toc427328976"/>
      <w:r>
        <w:rPr>
          <w:rStyle w:val="CharPartNo"/>
        </w:rPr>
        <w:t>Part 2A</w:t>
      </w:r>
      <w:r>
        <w:rPr>
          <w:b w:val="0"/>
        </w:rPr>
        <w:t> </w:t>
      </w:r>
      <w:r>
        <w:t>—</w:t>
      </w:r>
      <w:r>
        <w:rPr>
          <w:b w:val="0"/>
        </w:rPr>
        <w:t> </w:t>
      </w:r>
      <w:r>
        <w:rPr>
          <w:rStyle w:val="CharPartText"/>
        </w:rPr>
        <w:t>Publication of information</w:t>
      </w:r>
      <w:bookmarkEnd w:id="27"/>
      <w:bookmarkEnd w:id="28"/>
      <w:bookmarkEnd w:id="29"/>
      <w:bookmarkEnd w:id="30"/>
    </w:p>
    <w:p>
      <w:pPr>
        <w:pStyle w:val="Footnoteheading"/>
      </w:pPr>
      <w:r>
        <w:tab/>
        <w:t>[Heading inserted in Gazette 23 Jun 2009 p. 2411.]</w:t>
      </w:r>
    </w:p>
    <w:p>
      <w:pPr>
        <w:pStyle w:val="Heading5"/>
      </w:pPr>
      <w:bookmarkStart w:id="31" w:name="_Toc378668079"/>
      <w:bookmarkStart w:id="32" w:name="_Toc427328977"/>
      <w:bookmarkStart w:id="33" w:name="_Toc424742140"/>
      <w:r>
        <w:rPr>
          <w:rStyle w:val="CharSectno"/>
        </w:rPr>
        <w:t>6</w:t>
      </w:r>
      <w:r>
        <w:t>.</w:t>
      </w:r>
      <w:r>
        <w:tab/>
        <w:t>Terms used</w:t>
      </w:r>
      <w:bookmarkEnd w:id="31"/>
      <w:bookmarkEnd w:id="32"/>
      <w:bookmarkEnd w:id="33"/>
    </w:p>
    <w:p>
      <w:pPr>
        <w:pStyle w:val="Subsection"/>
      </w:pPr>
      <w:r>
        <w:tab/>
      </w:r>
      <w:r>
        <w:tab/>
        <w:t xml:space="preserve">In this Part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required information</w:t>
      </w:r>
      <w:r>
        <w:t xml:space="preserve"> means — </w:t>
      </w:r>
    </w:p>
    <w:p>
      <w:pPr>
        <w:pStyle w:val="Defpara"/>
      </w:pPr>
      <w:r>
        <w:tab/>
        <w:t>(a)</w:t>
      </w:r>
      <w:r>
        <w:tab/>
        <w:t>the form of the railway owner’s standard access agreement; and</w:t>
      </w:r>
    </w:p>
    <w:p>
      <w:pPr>
        <w:pStyle w:val="Defpara"/>
      </w:pPr>
      <w:r>
        <w:tab/>
        <w:t>(b)</w:t>
      </w:r>
      <w:r>
        <w:tab/>
        <w:t>the information described in Schedule 2 in respect of the relevant part of the railways network.</w:t>
      </w:r>
    </w:p>
    <w:p>
      <w:pPr>
        <w:pStyle w:val="Footnotesection"/>
      </w:pPr>
      <w:r>
        <w:tab/>
        <w:t>[Section 6 inserted in Gazette 23 Jun 2009 p. 2411.]</w:t>
      </w:r>
    </w:p>
    <w:p>
      <w:pPr>
        <w:pStyle w:val="Heading5"/>
      </w:pPr>
      <w:bookmarkStart w:id="34" w:name="_Toc378668080"/>
      <w:bookmarkStart w:id="35" w:name="_Toc427328978"/>
      <w:bookmarkStart w:id="36" w:name="_Toc424742141"/>
      <w:r>
        <w:rPr>
          <w:rStyle w:val="CharSectno"/>
        </w:rPr>
        <w:t>7A</w:t>
      </w:r>
      <w:r>
        <w:t>.</w:t>
      </w:r>
      <w:r>
        <w:tab/>
        <w:t>Information to be published in hard copy format</w:t>
      </w:r>
      <w:bookmarkEnd w:id="34"/>
      <w:bookmarkEnd w:id="35"/>
      <w:bookmarkEnd w:id="36"/>
    </w:p>
    <w:p>
      <w:pPr>
        <w:pStyle w:val="Subsection"/>
        <w:rPr>
          <w:snapToGrid w:val="0"/>
        </w:rPr>
      </w:pPr>
      <w:r>
        <w:tab/>
        <w:t>(1)</w:t>
      </w:r>
      <w:r>
        <w:tab/>
        <w:t>T</w:t>
      </w:r>
      <w:r>
        <w:rPr>
          <w:snapToGrid w:val="0"/>
        </w:rPr>
        <w:t xml:space="preserve">he </w:t>
      </w:r>
      <w:r>
        <w:t>railway</w:t>
      </w:r>
      <w:r>
        <w:rPr>
          <w:snapToGrid w:val="0"/>
        </w:rPr>
        <w:t xml:space="preserve"> owner in relation to a part of the railways network to which this Code applies must make a publication containing the required information available for purchase in hard copy format.</w:t>
      </w:r>
    </w:p>
    <w:p>
      <w:pPr>
        <w:pStyle w:val="Subsection"/>
        <w:rPr>
          <w:snapToGrid w:val="0"/>
        </w:rPr>
      </w:pPr>
      <w:r>
        <w:tab/>
        <w:t>(2)</w:t>
      </w:r>
      <w:r>
        <w:tab/>
      </w:r>
      <w:r>
        <w:rPr>
          <w:snapToGrid w:val="0"/>
        </w:rPr>
        <w:t>The publication may be in loose</w:t>
      </w:r>
      <w:r>
        <w:rPr>
          <w:snapToGrid w:val="0"/>
        </w:rPr>
        <w:noBreakHyphen/>
        <w:t>leaf form or may be constituted by a number of separate documents.</w:t>
      </w:r>
    </w:p>
    <w:p>
      <w:pPr>
        <w:pStyle w:val="Subsection"/>
        <w:rPr>
          <w:snapToGrid w:val="0"/>
        </w:rPr>
      </w:pPr>
      <w:r>
        <w:tab/>
        <w:t>(3)</w:t>
      </w:r>
      <w:r>
        <w:tab/>
      </w:r>
      <w:r>
        <w:rPr>
          <w:snapToGrid w:val="0"/>
        </w:rPr>
        <w:t>The railway owner may make a reasonable charge for supplying to a person a copy of the publication or an amendment to it.</w:t>
      </w:r>
    </w:p>
    <w:p>
      <w:pPr>
        <w:pStyle w:val="Subsection"/>
      </w:pPr>
      <w:r>
        <w:tab/>
        <w:t>(4)</w:t>
      </w:r>
      <w:r>
        <w:tab/>
        <w:t xml:space="preserve">A person that is a railway owner at the commencement of the </w:t>
      </w:r>
      <w:r>
        <w:rPr>
          <w:i/>
        </w:rPr>
        <w:t>Railways (Access) Amendment Code 2009</w:t>
      </w:r>
      <w:r>
        <w:rPr>
          <w:i/>
          <w:iCs/>
          <w:snapToGrid w:val="0"/>
        </w:rPr>
        <w:t xml:space="preserve"> </w:t>
      </w:r>
      <w:r>
        <w:t>section 7</w:t>
      </w:r>
      <w:r>
        <w:rPr>
          <w:vertAlign w:val="superscript"/>
        </w:rPr>
        <w:t> 1</w:t>
      </w:r>
      <w:r>
        <w:t xml:space="preserve"> is not required to comply with this section, until the expiration of 6 months after that commencement.</w:t>
      </w:r>
    </w:p>
    <w:p>
      <w:pPr>
        <w:pStyle w:val="Footnotesection"/>
      </w:pPr>
      <w:r>
        <w:tab/>
        <w:t>[Section 7A inserted in Gazette 23 Jun 2009 p. 2411.]</w:t>
      </w:r>
    </w:p>
    <w:p>
      <w:pPr>
        <w:pStyle w:val="Heading5"/>
      </w:pPr>
      <w:bookmarkStart w:id="37" w:name="_Toc378668081"/>
      <w:bookmarkStart w:id="38" w:name="_Toc427328979"/>
      <w:bookmarkStart w:id="39" w:name="_Toc424742142"/>
      <w:r>
        <w:rPr>
          <w:rStyle w:val="CharSectno"/>
        </w:rPr>
        <w:t>7B</w:t>
      </w:r>
      <w:r>
        <w:t>.</w:t>
      </w:r>
      <w:r>
        <w:tab/>
        <w:t>Regulator may grant exemption for information about freight carried</w:t>
      </w:r>
      <w:bookmarkEnd w:id="37"/>
      <w:bookmarkEnd w:id="38"/>
      <w:bookmarkEnd w:id="39"/>
    </w:p>
    <w:p>
      <w:pPr>
        <w:pStyle w:val="Subsection"/>
      </w:pPr>
      <w:r>
        <w:tab/>
      </w:r>
      <w:r>
        <w:tab/>
        <w:t>The Regulator may, on application by a railway owner, exempt the owner from the obligation to publish some or all of the information described in Schedule 2 item 4(m) if the Regulator is satisfied that the publication of the information might reasonably be expected to adversely affect the business of the owner.</w:t>
      </w:r>
    </w:p>
    <w:p>
      <w:pPr>
        <w:pStyle w:val="Footnotesection"/>
      </w:pPr>
      <w:r>
        <w:tab/>
        <w:t>[Section 7B inserted in Gazette 23 Jun 2009 p. 2412.]</w:t>
      </w:r>
    </w:p>
    <w:p>
      <w:pPr>
        <w:pStyle w:val="Heading5"/>
      </w:pPr>
      <w:bookmarkStart w:id="40" w:name="_Toc378668082"/>
      <w:bookmarkStart w:id="41" w:name="_Toc427328980"/>
      <w:bookmarkStart w:id="42" w:name="_Toc424742143"/>
      <w:r>
        <w:rPr>
          <w:rStyle w:val="CharSectno"/>
        </w:rPr>
        <w:t>7C</w:t>
      </w:r>
      <w:r>
        <w:t>.</w:t>
      </w:r>
      <w:r>
        <w:tab/>
        <w:t>Information to be kept up</w:t>
      </w:r>
      <w:r>
        <w:noBreakHyphen/>
        <w:t>to</w:t>
      </w:r>
      <w:r>
        <w:noBreakHyphen/>
        <w:t>date</w:t>
      </w:r>
      <w:bookmarkEnd w:id="40"/>
      <w:bookmarkEnd w:id="41"/>
      <w:bookmarkEnd w:id="42"/>
    </w:p>
    <w:p>
      <w:pPr>
        <w:pStyle w:val="Subsection"/>
        <w:rPr>
          <w:snapToGrid w:val="0"/>
        </w:rPr>
      </w:pPr>
      <w:r>
        <w:tab/>
        <w:t>(1)</w:t>
      </w:r>
      <w:r>
        <w:tab/>
        <w:t>T</w:t>
      </w:r>
      <w:r>
        <w:rPr>
          <w:snapToGrid w:val="0"/>
        </w:rPr>
        <w:t>he railway owner must review, and amend or replace, the information published under section 7A.</w:t>
      </w:r>
    </w:p>
    <w:p>
      <w:pPr>
        <w:pStyle w:val="Subsection"/>
      </w:pPr>
      <w:r>
        <w:tab/>
        <w:t>(2)</w:t>
      </w:r>
      <w:r>
        <w:tab/>
        <w:t xml:space="preserve">A review, and any necessary amendment or replacement, under subsection (1) must be carried out — </w:t>
      </w:r>
    </w:p>
    <w:p>
      <w:pPr>
        <w:pStyle w:val="Indenta"/>
        <w:rPr>
          <w:snapToGrid w:val="0"/>
        </w:rPr>
      </w:pPr>
      <w:r>
        <w:rPr>
          <w:snapToGrid w:val="0"/>
        </w:rPr>
        <w:tab/>
        <w:t>(a)</w:t>
      </w:r>
      <w:r>
        <w:rPr>
          <w:snapToGrid w:val="0"/>
        </w:rPr>
        <w:tab/>
        <w:t>as often as is necessary to ensure that the information remains reasonably up</w:t>
      </w:r>
      <w:r>
        <w:rPr>
          <w:snapToGrid w:val="0"/>
        </w:rPr>
        <w:noBreakHyphen/>
        <w:t>to</w:t>
      </w:r>
      <w:r>
        <w:rPr>
          <w:snapToGrid w:val="0"/>
        </w:rPr>
        <w:noBreakHyphen/>
        <w:t xml:space="preserve">date at all times; and </w:t>
      </w:r>
    </w:p>
    <w:p>
      <w:pPr>
        <w:pStyle w:val="Indenta"/>
        <w:rPr>
          <w:snapToGrid w:val="0"/>
        </w:rPr>
      </w:pPr>
      <w:r>
        <w:rPr>
          <w:snapToGrid w:val="0"/>
        </w:rPr>
        <w:tab/>
        <w:t>(b)</w:t>
      </w:r>
      <w:r>
        <w:rPr>
          <w:snapToGrid w:val="0"/>
        </w:rPr>
        <w:tab/>
        <w:t xml:space="preserve">in any case, at not less than 2 yearly intervals starting with the end of the second calendar year following the commencement of the </w:t>
      </w:r>
      <w:r>
        <w:rPr>
          <w:i/>
        </w:rPr>
        <w:t xml:space="preserve">Railways (Access) Amendment Code 2009 </w:t>
      </w:r>
      <w:r>
        <w:rPr>
          <w:snapToGrid w:val="0"/>
        </w:rPr>
        <w:t>section 7</w:t>
      </w:r>
      <w:r>
        <w:rPr>
          <w:vertAlign w:val="superscript"/>
        </w:rPr>
        <w:t> 1</w:t>
      </w:r>
      <w:r>
        <w:rPr>
          <w:snapToGrid w:val="0"/>
        </w:rPr>
        <w:t>.</w:t>
      </w:r>
    </w:p>
    <w:p>
      <w:pPr>
        <w:pStyle w:val="Subsection"/>
      </w:pPr>
      <w:r>
        <w:tab/>
        <w:t>(3)</w:t>
      </w:r>
      <w:r>
        <w:tab/>
        <w:t>This section does not apply to the information referred to in sections 7D and 7E.</w:t>
      </w:r>
    </w:p>
    <w:p>
      <w:pPr>
        <w:pStyle w:val="Footnotesection"/>
      </w:pPr>
      <w:r>
        <w:tab/>
        <w:t>[Section 7C inserted in Gazette 23 Jun 2009 p. 2412.]</w:t>
      </w:r>
    </w:p>
    <w:p>
      <w:pPr>
        <w:pStyle w:val="Heading5"/>
      </w:pPr>
      <w:bookmarkStart w:id="43" w:name="_Toc378668083"/>
      <w:bookmarkStart w:id="44" w:name="_Toc427328981"/>
      <w:bookmarkStart w:id="45" w:name="_Toc424742144"/>
      <w:r>
        <w:rPr>
          <w:rStyle w:val="CharSectno"/>
        </w:rPr>
        <w:t>7D</w:t>
      </w:r>
      <w:r>
        <w:t>.</w:t>
      </w:r>
      <w:r>
        <w:tab/>
        <w:t>Particular provision for information as to gross tonnages and tonnages of freight</w:t>
      </w:r>
      <w:bookmarkEnd w:id="43"/>
      <w:bookmarkEnd w:id="44"/>
      <w:bookmarkEnd w:id="45"/>
    </w:p>
    <w:p>
      <w:pPr>
        <w:pStyle w:val="Subsection"/>
        <w:rPr>
          <w:snapToGrid w:val="0"/>
        </w:rPr>
      </w:pPr>
      <w:r>
        <w:tab/>
        <w:t>(1)</w:t>
      </w:r>
      <w:r>
        <w:tab/>
        <w:t xml:space="preserve">The first information published under Schedule 2 item 4(l) and (m) is to be for the 3 calendar years before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4(l) and (m) as soon as is practicable after the last day of December in each year so as to show the information mentioned in those paragraphs for the 3 calendar years ending on that day.</w:t>
      </w:r>
    </w:p>
    <w:p>
      <w:pPr>
        <w:pStyle w:val="Footnotesection"/>
      </w:pPr>
      <w:r>
        <w:tab/>
        <w:t>[Section 7D inserted in Gazette 23 Jun 2009 p. 2412</w:t>
      </w:r>
      <w:r>
        <w:noBreakHyphen/>
        <w:t>13.]</w:t>
      </w:r>
    </w:p>
    <w:p>
      <w:pPr>
        <w:pStyle w:val="Heading5"/>
      </w:pPr>
      <w:bookmarkStart w:id="46" w:name="_Toc378668084"/>
      <w:bookmarkStart w:id="47" w:name="_Toc427328982"/>
      <w:bookmarkStart w:id="48" w:name="_Toc424742145"/>
      <w:r>
        <w:rPr>
          <w:rStyle w:val="CharSectno"/>
        </w:rPr>
        <w:t>7E</w:t>
      </w:r>
      <w:r>
        <w:t>.</w:t>
      </w:r>
      <w:r>
        <w:tab/>
        <w:t>Particular provision for information as to proposed improvements and capital works</w:t>
      </w:r>
      <w:bookmarkEnd w:id="46"/>
      <w:bookmarkEnd w:id="47"/>
      <w:bookmarkEnd w:id="48"/>
    </w:p>
    <w:p>
      <w:pPr>
        <w:pStyle w:val="Subsection"/>
        <w:rPr>
          <w:snapToGrid w:val="0"/>
        </w:rPr>
      </w:pPr>
      <w:r>
        <w:tab/>
        <w:t>(1)</w:t>
      </w:r>
      <w:r>
        <w:tab/>
        <w:t xml:space="preserve">The first information published under Schedule 2 item 6 is to be for the 5 calendar years following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6 as soon as is practicable after the last day of December in each year so as to show the improvements and capital works proposed to be carried out during the 5 calendar years following that day.</w:t>
      </w:r>
    </w:p>
    <w:p>
      <w:pPr>
        <w:pStyle w:val="Footnotesection"/>
      </w:pPr>
      <w:r>
        <w:tab/>
        <w:t>[Section 7E inserted in Gazette 23 Jun 2009 p. 2413.]</w:t>
      </w:r>
    </w:p>
    <w:p>
      <w:pPr>
        <w:pStyle w:val="Heading2"/>
      </w:pPr>
      <w:bookmarkStart w:id="49" w:name="_Toc378668085"/>
      <w:bookmarkStart w:id="50" w:name="_Toc424742012"/>
      <w:bookmarkStart w:id="51" w:name="_Toc424742146"/>
      <w:bookmarkStart w:id="52" w:name="_Toc427328983"/>
      <w:r>
        <w:rPr>
          <w:rStyle w:val="CharPartNo"/>
        </w:rPr>
        <w:t>Part 2</w:t>
      </w:r>
      <w:r>
        <w:rPr>
          <w:rStyle w:val="CharDivNo"/>
        </w:rPr>
        <w:t xml:space="preserve"> </w:t>
      </w:r>
      <w:r>
        <w:t>—</w:t>
      </w:r>
      <w:r>
        <w:rPr>
          <w:rStyle w:val="CharDivText"/>
        </w:rPr>
        <w:t xml:space="preserve"> </w:t>
      </w:r>
      <w:r>
        <w:rPr>
          <w:rStyle w:val="CharPartText"/>
        </w:rPr>
        <w:t>Proposals for access</w:t>
      </w:r>
      <w:bookmarkEnd w:id="49"/>
      <w:bookmarkEnd w:id="50"/>
      <w:bookmarkEnd w:id="51"/>
      <w:bookmarkEnd w:id="52"/>
      <w:r>
        <w:rPr>
          <w:rStyle w:val="CharPartText"/>
        </w:rPr>
        <w:t xml:space="preserve"> </w:t>
      </w:r>
    </w:p>
    <w:p>
      <w:pPr>
        <w:pStyle w:val="Heading5"/>
        <w:rPr>
          <w:snapToGrid w:val="0"/>
        </w:rPr>
      </w:pPr>
      <w:bookmarkStart w:id="53" w:name="_Toc378668086"/>
      <w:bookmarkStart w:id="54" w:name="_Toc427328984"/>
      <w:bookmarkStart w:id="55" w:name="_Toc424742147"/>
      <w:r>
        <w:rPr>
          <w:rStyle w:val="CharSectno"/>
        </w:rPr>
        <w:t>7</w:t>
      </w:r>
      <w:r>
        <w:rPr>
          <w:snapToGrid w:val="0"/>
        </w:rPr>
        <w:t>.</w:t>
      </w:r>
      <w:r>
        <w:rPr>
          <w:snapToGrid w:val="0"/>
        </w:rPr>
        <w:tab/>
        <w:t>Preliminary information</w:t>
      </w:r>
      <w:bookmarkEnd w:id="53"/>
      <w:bookmarkEnd w:id="54"/>
      <w:bookmarkEnd w:id="55"/>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the current available capacity of that route; and</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pPr>
      <w:r>
        <w:tab/>
      </w:r>
      <w:r>
        <w:tab/>
        <w:t>and</w:t>
      </w:r>
    </w:p>
    <w:p>
      <w:pPr>
        <w:pStyle w:val="Indenta"/>
      </w:pPr>
      <w:r>
        <w:tab/>
        <w:t>(b)</w:t>
      </w:r>
      <w:r>
        <w:tab/>
        <w:t>any update of the required information, as defined in section 6, that is reasonably available to the railway owner; and</w:t>
      </w:r>
    </w:p>
    <w:p>
      <w:pPr>
        <w:pStyle w:val="Ednotepara"/>
        <w:spacing w:before="80"/>
      </w:pPr>
      <w:r>
        <w:tab/>
        <w:t>[(c)</w:t>
      </w:r>
      <w:r>
        <w:tab/>
        <w:t>deleted]</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Footnotesection"/>
      </w:pPr>
      <w:r>
        <w:tab/>
        <w:t>[Section 7 amended in Gazette 23 Jun 2009 p. 2413</w:t>
      </w:r>
      <w:r>
        <w:noBreakHyphen/>
        <w:t>14.]</w:t>
      </w:r>
    </w:p>
    <w:p>
      <w:pPr>
        <w:pStyle w:val="Heading5"/>
        <w:rPr>
          <w:snapToGrid w:val="0"/>
        </w:rPr>
      </w:pPr>
      <w:bookmarkStart w:id="56" w:name="_Toc378668087"/>
      <w:bookmarkStart w:id="57" w:name="_Toc427328985"/>
      <w:bookmarkStart w:id="58" w:name="_Toc424742148"/>
      <w:r>
        <w:rPr>
          <w:rStyle w:val="CharSectno"/>
        </w:rPr>
        <w:t>8</w:t>
      </w:r>
      <w:r>
        <w:rPr>
          <w:snapToGrid w:val="0"/>
        </w:rPr>
        <w:t>.</w:t>
      </w:r>
      <w:r>
        <w:rPr>
          <w:snapToGrid w:val="0"/>
        </w:rPr>
        <w:tab/>
        <w:t>Proposals for access</w:t>
      </w:r>
      <w:bookmarkEnd w:id="56"/>
      <w:bookmarkEnd w:id="57"/>
      <w:bookmarkEnd w:id="58"/>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keepNext/>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rPr>
          <w:snapToGrid w:val="0"/>
        </w:rPr>
      </w:pPr>
      <w:r>
        <w:rPr>
          <w:snapToGrid w:val="0"/>
        </w:rPr>
        <w:tab/>
        <w:t>(3)</w:t>
      </w:r>
      <w:r>
        <w:rPr>
          <w:snapToGrid w:val="0"/>
        </w:rPr>
        <w:tab/>
        <w:t>A proposal must — </w:t>
      </w:r>
    </w:p>
    <w:p>
      <w:pPr>
        <w:pStyle w:val="Indenta"/>
        <w:rPr>
          <w:snapToGrid w:val="0"/>
        </w:rPr>
      </w:pPr>
      <w:r>
        <w:rPr>
          <w:snapToGrid w:val="0"/>
        </w:rPr>
        <w:tab/>
        <w:t>(a)</w:t>
      </w:r>
      <w:r>
        <w:rPr>
          <w:snapToGrid w:val="0"/>
        </w:rPr>
        <w:tab/>
        <w:t>specify the route, including the railway infrastructure, to which access is sought; and</w:t>
      </w:r>
    </w:p>
    <w:p>
      <w:pPr>
        <w:pStyle w:val="Indenta"/>
        <w:rPr>
          <w:snapToGrid w:val="0"/>
        </w:rPr>
      </w:pPr>
      <w:r>
        <w:rPr>
          <w:snapToGrid w:val="0"/>
        </w:rPr>
        <w:tab/>
        <w:t>(b)</w:t>
      </w:r>
      <w:r>
        <w:rPr>
          <w:snapToGrid w:val="0"/>
        </w:rPr>
        <w:tab/>
        <w:t xml:space="preserve">indicate the times when the access is required; and </w:t>
      </w:r>
    </w:p>
    <w:p>
      <w:pPr>
        <w:pStyle w:val="Indenta"/>
      </w:pPr>
      <w:r>
        <w:rPr>
          <w:snapToGrid w:val="0"/>
        </w:rPr>
        <w:tab/>
        <w:t>(c)</w:t>
      </w:r>
      <w:r>
        <w:rPr>
          <w:snapToGrid w:val="0"/>
        </w:rPr>
        <w:tab/>
        <w:t xml:space="preserve">set out the nature of the proposed rail </w:t>
      </w:r>
      <w:r>
        <w:t>operations; and</w:t>
      </w:r>
    </w:p>
    <w:p>
      <w:pPr>
        <w:pStyle w:val="Indenta"/>
        <w:rPr>
          <w:snapToGrid w:val="0"/>
        </w:rPr>
      </w:pPr>
      <w:r>
        <w:tab/>
        <w:t>(d)</w:t>
      </w:r>
      <w:r>
        <w:tab/>
        <w:t>be accompanied by a notice in writing of the proponent’s intention to enter into negotiations for an access agreement under this Code.</w:t>
      </w:r>
    </w:p>
    <w:p>
      <w:pPr>
        <w:pStyle w:val="Subsection"/>
      </w:pPr>
      <w:r>
        <w:tab/>
        <w:t>(4A)</w:t>
      </w:r>
      <w:r>
        <w:tab/>
        <w:t>The proponent must, as soon as is practicable after a proposal is made, give to the Regulator a copy of the notice referred to in subsection (3)(d).</w:t>
      </w:r>
    </w:p>
    <w:p>
      <w:pPr>
        <w:pStyle w:val="Subsection"/>
      </w:pPr>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in Gazette 23 Jul 2004 p. 2990; 23 Jun 2009 p. 2414.]</w:t>
      </w:r>
    </w:p>
    <w:p>
      <w:pPr>
        <w:pStyle w:val="Heading5"/>
      </w:pPr>
      <w:bookmarkStart w:id="59" w:name="_Toc378668088"/>
      <w:bookmarkStart w:id="60" w:name="_Toc427328986"/>
      <w:bookmarkStart w:id="61" w:name="_Toc424742149"/>
      <w:r>
        <w:rPr>
          <w:rStyle w:val="CharSectno"/>
        </w:rPr>
        <w:t>9A</w:t>
      </w:r>
      <w:r>
        <w:t>.</w:t>
      </w:r>
      <w:r>
        <w:tab/>
        <w:t>Withdrawal of proposal</w:t>
      </w:r>
      <w:bookmarkEnd w:id="59"/>
      <w:bookmarkEnd w:id="60"/>
      <w:bookmarkEnd w:id="61"/>
    </w:p>
    <w:p>
      <w:pPr>
        <w:pStyle w:val="Subsection"/>
      </w:pPr>
      <w:r>
        <w:tab/>
        <w:t>(1)</w:t>
      </w:r>
      <w:r>
        <w:tab/>
        <w:t>A proponent may at any time before an access agreement is made withdraw a proposal for access made to a railway owner, but only if there has not been a referral to arbitration under section 26.</w:t>
      </w:r>
    </w:p>
    <w:p>
      <w:pPr>
        <w:pStyle w:val="Subsection"/>
      </w:pPr>
      <w:r>
        <w:tab/>
        <w:t>(2)</w:t>
      </w:r>
      <w:r>
        <w:tab/>
        <w:t xml:space="preserve">Subsection (1) does not affect — </w:t>
      </w:r>
    </w:p>
    <w:p>
      <w:pPr>
        <w:pStyle w:val="Indenta"/>
      </w:pPr>
      <w:r>
        <w:tab/>
        <w:t>(a)</w:t>
      </w:r>
      <w:r>
        <w:tab/>
        <w:t>any right that a proponent has in law not to continue with a referral to arbitration; or</w:t>
      </w:r>
    </w:p>
    <w:p>
      <w:pPr>
        <w:pStyle w:val="Indenta"/>
      </w:pPr>
      <w:r>
        <w:tab/>
        <w:t>(b)</w:t>
      </w:r>
      <w:r>
        <w:tab/>
        <w:t>the operation of section 34(2).</w:t>
      </w:r>
    </w:p>
    <w:p>
      <w:pPr>
        <w:pStyle w:val="Subsection"/>
      </w:pPr>
      <w:r>
        <w:tab/>
        <w:t>(3)</w:t>
      </w:r>
      <w:r>
        <w:tab/>
        <w:t xml:space="preserve">A proposal is withdrawn by the proponent giving notice in writing of the withdrawal to — </w:t>
      </w:r>
    </w:p>
    <w:p>
      <w:pPr>
        <w:pStyle w:val="Indenta"/>
      </w:pPr>
      <w:r>
        <w:tab/>
        <w:t>(a)</w:t>
      </w:r>
      <w:r>
        <w:tab/>
        <w:t xml:space="preserve">the railway owner; and </w:t>
      </w:r>
    </w:p>
    <w:p>
      <w:pPr>
        <w:pStyle w:val="Indenta"/>
      </w:pPr>
      <w:r>
        <w:tab/>
        <w:t>(b)</w:t>
      </w:r>
      <w:r>
        <w:tab/>
        <w:t>the Regulator.</w:t>
      </w:r>
    </w:p>
    <w:p>
      <w:pPr>
        <w:pStyle w:val="Subsection"/>
      </w:pPr>
      <w:r>
        <w:tab/>
        <w:t>(4)</w:t>
      </w:r>
      <w:r>
        <w:tab/>
        <w:t xml:space="preserve">If a proposal is withdrawn — </w:t>
      </w:r>
    </w:p>
    <w:p>
      <w:pPr>
        <w:pStyle w:val="Indenta"/>
      </w:pPr>
      <w:r>
        <w:tab/>
        <w:t>(a)</w:t>
      </w:r>
      <w:r>
        <w:tab/>
        <w:t>the railway owner is under no further obligation under this Code in respect of the proposal; and</w:t>
      </w:r>
    </w:p>
    <w:p>
      <w:pPr>
        <w:pStyle w:val="Indenta"/>
      </w:pPr>
      <w:r>
        <w:tab/>
        <w:t>(b)</w:t>
      </w:r>
      <w:r>
        <w:tab/>
        <w:t>any matter in progress under this Code in respect of the proposal lapses.</w:t>
      </w:r>
    </w:p>
    <w:p>
      <w:pPr>
        <w:pStyle w:val="Subsection"/>
      </w:pPr>
      <w:r>
        <w:tab/>
        <w:t>(5)</w:t>
      </w:r>
      <w:r>
        <w:tab/>
        <w:t xml:space="preserve">Nothing in this section prevents a proponent that has withdrawn a proposal from — </w:t>
      </w:r>
    </w:p>
    <w:p>
      <w:pPr>
        <w:pStyle w:val="Indenta"/>
      </w:pPr>
      <w:r>
        <w:tab/>
        <w:t>(a)</w:t>
      </w:r>
      <w:r>
        <w:tab/>
        <w:t>re</w:t>
      </w:r>
      <w:r>
        <w:noBreakHyphen/>
        <w:t>making the same proposal; or</w:t>
      </w:r>
    </w:p>
    <w:p>
      <w:pPr>
        <w:pStyle w:val="Indenta"/>
      </w:pPr>
      <w:r>
        <w:tab/>
        <w:t>(b)</w:t>
      </w:r>
      <w:r>
        <w:tab/>
        <w:t>making a further proposal,</w:t>
      </w:r>
    </w:p>
    <w:p>
      <w:pPr>
        <w:pStyle w:val="Subsection"/>
      </w:pPr>
      <w:r>
        <w:tab/>
      </w:r>
      <w:r>
        <w:tab/>
        <w:t>under section 8, and if paragraph (a) applies the proponent and the railway owner</w:t>
      </w:r>
      <w:r>
        <w:rPr>
          <w:i/>
          <w:iCs/>
        </w:rPr>
        <w:t xml:space="preserve"> </w:t>
      </w:r>
      <w:r>
        <w:t>must again take all steps and observe all requirements under this Code in respect of the re</w:t>
      </w:r>
      <w:r>
        <w:noBreakHyphen/>
        <w:t>made proposal.</w:t>
      </w:r>
    </w:p>
    <w:p>
      <w:pPr>
        <w:pStyle w:val="Subsection"/>
      </w:pPr>
      <w:r>
        <w:tab/>
        <w:t>(6)</w:t>
      </w:r>
      <w:r>
        <w:tab/>
        <w:t>The application of this section extends to a proposal —</w:t>
      </w:r>
    </w:p>
    <w:p>
      <w:pPr>
        <w:pStyle w:val="Indenta"/>
      </w:pPr>
      <w:r>
        <w:tab/>
        <w:t>(a)</w:t>
      </w:r>
      <w:r>
        <w:tab/>
        <w:t xml:space="preserve">that has been made under section 8 before the commencement of the </w:t>
      </w:r>
      <w:r>
        <w:rPr>
          <w:i/>
        </w:rPr>
        <w:t>Railways (Access) Amendment Code 2009</w:t>
      </w:r>
      <w:r>
        <w:rPr>
          <w:iCs/>
        </w:rPr>
        <w:t xml:space="preserve"> section </w:t>
      </w:r>
      <w:r>
        <w:t>10</w:t>
      </w:r>
      <w:r>
        <w:rPr>
          <w:vertAlign w:val="superscript"/>
        </w:rPr>
        <w:t> 1</w:t>
      </w:r>
      <w:r>
        <w:rPr>
          <w:iCs/>
        </w:rPr>
        <w:t>; and</w:t>
      </w:r>
    </w:p>
    <w:p>
      <w:pPr>
        <w:pStyle w:val="Indenta"/>
      </w:pPr>
      <w:r>
        <w:tab/>
        <w:t>(b)</w:t>
      </w:r>
      <w:r>
        <w:tab/>
        <w:t>in respect of which an access agreement has not been made.</w:t>
      </w:r>
    </w:p>
    <w:p>
      <w:pPr>
        <w:pStyle w:val="Footnotesection"/>
      </w:pPr>
      <w:r>
        <w:tab/>
        <w:t>[Section 9A inserted in Gazette 23 Jun 2009 p. 2415</w:t>
      </w:r>
      <w:r>
        <w:noBreakHyphen/>
        <w:t>16.]</w:t>
      </w:r>
    </w:p>
    <w:p>
      <w:pPr>
        <w:pStyle w:val="Heading5"/>
        <w:pageBreakBefore/>
        <w:rPr>
          <w:snapToGrid w:val="0"/>
        </w:rPr>
      </w:pPr>
      <w:bookmarkStart w:id="62" w:name="_Toc378668089"/>
      <w:bookmarkStart w:id="63" w:name="_Toc427328987"/>
      <w:bookmarkStart w:id="64" w:name="_Toc424742150"/>
      <w:r>
        <w:rPr>
          <w:rStyle w:val="CharSectno"/>
        </w:rPr>
        <w:t>9</w:t>
      </w:r>
      <w:r>
        <w:rPr>
          <w:snapToGrid w:val="0"/>
        </w:rPr>
        <w:t>.</w:t>
      </w:r>
      <w:r>
        <w:rPr>
          <w:snapToGrid w:val="0"/>
        </w:rPr>
        <w:tab/>
        <w:t>Railway owner’s obligations on receipt of proposal</w:t>
      </w:r>
      <w:bookmarkEnd w:id="62"/>
      <w:bookmarkEnd w:id="63"/>
      <w:bookmarkEnd w:id="64"/>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 having regard to the requirements of Schedule 4 clause 7A.</w:t>
      </w:r>
    </w:p>
    <w:p>
      <w:pPr>
        <w:pStyle w:val="Subsection"/>
      </w:pPr>
      <w:r>
        <w:tab/>
        <w:t>(3)</w:t>
      </w:r>
      <w:r>
        <w:tab/>
        <w:t>In any negotiations or arbitration under Part 3 the railway owner is not bound by an estimate or opinion provided to a proponent under subsection (2)(b).</w:t>
      </w:r>
    </w:p>
    <w:p>
      <w:pPr>
        <w:pStyle w:val="Subsection"/>
        <w:rPr>
          <w:snapToGrid w:val="0"/>
        </w:rPr>
      </w:pPr>
      <w:r>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r>
        <w:rPr>
          <w:rStyle w:val="CharDefText"/>
        </w:rPr>
        <w:t>floor price</w:t>
      </w:r>
      <w:r>
        <w:t xml:space="preserve"> and </w:t>
      </w:r>
      <w:r>
        <w:rPr>
          <w:rStyle w:val="CharDefText"/>
        </w:rPr>
        <w:t>ceiling price</w:t>
      </w:r>
      <w:r>
        <w:t xml:space="preserve"> are the sums equal to the costs referred to in clauses 7(1) and 8(1) respectively of Schedule 4 —</w:t>
      </w:r>
    </w:p>
    <w:p>
      <w:pPr>
        <w:pStyle w:val="Defpara"/>
      </w:pPr>
      <w:r>
        <w:tab/>
        <w:t>(a)</w:t>
      </w:r>
      <w:r>
        <w:tab/>
        <w:t>as determined by the Regulator under clause 9 of that Schedule; or</w:t>
      </w:r>
    </w:p>
    <w:p>
      <w:pPr>
        <w:pStyle w:val="Defpara"/>
      </w:pPr>
      <w:r>
        <w:tab/>
        <w:t>(b)</w:t>
      </w:r>
      <w:r>
        <w:tab/>
        <w:t>if that clause does not apply, as determined by the railway owner for the purposes of clause 10(1) of that Schedule.</w:t>
      </w:r>
    </w:p>
    <w:p>
      <w:pPr>
        <w:pStyle w:val="Footnotesection"/>
      </w:pPr>
      <w:r>
        <w:tab/>
        <w:t>[Section 9 amended in Gazette 23 Jul 2004 p. 2990</w:t>
      </w:r>
      <w:r>
        <w:noBreakHyphen/>
        <w:t>1; 23 Jun 2009 p. 2416.]</w:t>
      </w:r>
    </w:p>
    <w:p>
      <w:pPr>
        <w:pStyle w:val="Heading5"/>
        <w:rPr>
          <w:snapToGrid w:val="0"/>
        </w:rPr>
      </w:pPr>
      <w:bookmarkStart w:id="65" w:name="_Toc378668090"/>
      <w:bookmarkStart w:id="66" w:name="_Toc427328988"/>
      <w:bookmarkStart w:id="67" w:name="_Toc424742151"/>
      <w:r>
        <w:rPr>
          <w:rStyle w:val="CharSectno"/>
        </w:rPr>
        <w:t>10</w:t>
      </w:r>
      <w:r>
        <w:rPr>
          <w:snapToGrid w:val="0"/>
        </w:rPr>
        <w:t>.</w:t>
      </w:r>
      <w:r>
        <w:rPr>
          <w:snapToGrid w:val="0"/>
        </w:rPr>
        <w:tab/>
        <w:t>Regulator’s approval required in certain cases</w:t>
      </w:r>
      <w:bookmarkEnd w:id="65"/>
      <w:bookmarkEnd w:id="66"/>
      <w:bookmarkEnd w:id="6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keepNext/>
      </w:pPr>
      <w:r>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spacing w:before="180"/>
        <w:rPr>
          <w:snapToGrid w:val="0"/>
        </w:rPr>
      </w:pPr>
      <w:bookmarkStart w:id="68" w:name="_Toc378668091"/>
      <w:bookmarkStart w:id="69" w:name="_Toc427328989"/>
      <w:bookmarkStart w:id="70" w:name="_Toc424742152"/>
      <w:r>
        <w:rPr>
          <w:rStyle w:val="CharSectno"/>
        </w:rPr>
        <w:t>11</w:t>
      </w:r>
      <w:r>
        <w:rPr>
          <w:snapToGrid w:val="0"/>
        </w:rPr>
        <w:t>.</w:t>
      </w:r>
      <w:r>
        <w:rPr>
          <w:snapToGrid w:val="0"/>
        </w:rPr>
        <w:tab/>
        <w:t>Time limits applicable to section 10</w:t>
      </w:r>
      <w:bookmarkEnd w:id="68"/>
      <w:bookmarkEnd w:id="69"/>
      <w:bookmarkEnd w:id="70"/>
    </w:p>
    <w:p>
      <w:pPr>
        <w:pStyle w:val="Subsection"/>
        <w:spacing w:before="120"/>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spacing w:before="120"/>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spacing w:before="180"/>
        <w:rPr>
          <w:snapToGrid w:val="0"/>
        </w:rPr>
      </w:pPr>
      <w:bookmarkStart w:id="71" w:name="_Toc378668092"/>
      <w:bookmarkStart w:id="72" w:name="_Toc427328990"/>
      <w:bookmarkStart w:id="73" w:name="_Toc424742153"/>
      <w:r>
        <w:rPr>
          <w:rStyle w:val="CharSectno"/>
        </w:rPr>
        <w:t>12</w:t>
      </w:r>
      <w:r>
        <w:rPr>
          <w:snapToGrid w:val="0"/>
        </w:rPr>
        <w:t>.</w:t>
      </w:r>
      <w:r>
        <w:rPr>
          <w:snapToGrid w:val="0"/>
        </w:rPr>
        <w:tab/>
        <w:t>Record of proposals to be kept</w:t>
      </w:r>
      <w:bookmarkEnd w:id="71"/>
      <w:bookmarkEnd w:id="72"/>
      <w:bookmarkEnd w:id="73"/>
      <w:r>
        <w:rPr>
          <w:snapToGrid w:val="0"/>
        </w:rPr>
        <w:t xml:space="preserve"> </w:t>
      </w:r>
    </w:p>
    <w:p>
      <w:pPr>
        <w:pStyle w:val="Subsection"/>
        <w:spacing w:before="120"/>
        <w:rPr>
          <w:snapToGrid w:val="0"/>
        </w:rPr>
      </w:pPr>
      <w:r>
        <w:rPr>
          <w:snapToGrid w:val="0"/>
        </w:rPr>
        <w:tab/>
        <w:t>(1)</w:t>
      </w:r>
      <w:r>
        <w:rPr>
          <w:snapToGrid w:val="0"/>
        </w:rPr>
        <w:tab/>
        <w:t>The railway owner must keep a register relating to all proposals made to it under section 8.</w:t>
      </w:r>
    </w:p>
    <w:p>
      <w:pPr>
        <w:pStyle w:val="Subsection"/>
        <w:spacing w:before="120"/>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spacing w:before="120"/>
        <w:rPr>
          <w:snapToGrid w:val="0"/>
        </w:rPr>
      </w:pPr>
      <w:r>
        <w:rPr>
          <w:snapToGrid w:val="0"/>
        </w:rPr>
        <w:tab/>
        <w:t>(3)</w:t>
      </w:r>
      <w:r>
        <w:rPr>
          <w:snapToGrid w:val="0"/>
        </w:rPr>
        <w:tab/>
        <w:t>The register may be kept in electronic form, but must be capable of being reproduced in written form.</w:t>
      </w:r>
    </w:p>
    <w:p>
      <w:pPr>
        <w:pStyle w:val="Heading2"/>
      </w:pPr>
      <w:bookmarkStart w:id="74" w:name="_Toc378668093"/>
      <w:bookmarkStart w:id="75" w:name="_Toc424742020"/>
      <w:bookmarkStart w:id="76" w:name="_Toc424742154"/>
      <w:bookmarkStart w:id="77" w:name="_Toc427328991"/>
      <w:r>
        <w:rPr>
          <w:rStyle w:val="CharPartNo"/>
        </w:rPr>
        <w:t>Part 3</w:t>
      </w:r>
      <w:r>
        <w:t xml:space="preserve"> — </w:t>
      </w:r>
      <w:r>
        <w:rPr>
          <w:rStyle w:val="CharPartText"/>
        </w:rPr>
        <w:t>Negotiations</w:t>
      </w:r>
      <w:bookmarkEnd w:id="74"/>
      <w:bookmarkEnd w:id="75"/>
      <w:bookmarkEnd w:id="76"/>
      <w:bookmarkEnd w:id="77"/>
      <w:r>
        <w:rPr>
          <w:rStyle w:val="CharPartText"/>
        </w:rPr>
        <w:t xml:space="preserve"> </w:t>
      </w:r>
    </w:p>
    <w:p>
      <w:pPr>
        <w:pStyle w:val="Heading3"/>
      </w:pPr>
      <w:bookmarkStart w:id="78" w:name="_Toc378668094"/>
      <w:bookmarkStart w:id="79" w:name="_Toc424742021"/>
      <w:bookmarkStart w:id="80" w:name="_Toc424742155"/>
      <w:bookmarkStart w:id="81" w:name="_Toc427328992"/>
      <w:r>
        <w:rPr>
          <w:rStyle w:val="CharDivNo"/>
        </w:rPr>
        <w:t>Division 1</w:t>
      </w:r>
      <w:r>
        <w:rPr>
          <w:snapToGrid w:val="0"/>
        </w:rPr>
        <w:t xml:space="preserve"> — </w:t>
      </w:r>
      <w:r>
        <w:rPr>
          <w:rStyle w:val="CharDivText"/>
        </w:rPr>
        <w:t>When duty to negotiate arises</w:t>
      </w:r>
      <w:bookmarkEnd w:id="78"/>
      <w:bookmarkEnd w:id="79"/>
      <w:bookmarkEnd w:id="80"/>
      <w:bookmarkEnd w:id="81"/>
      <w:r>
        <w:rPr>
          <w:rStyle w:val="CharDivText"/>
        </w:rPr>
        <w:t xml:space="preserve"> </w:t>
      </w:r>
    </w:p>
    <w:p>
      <w:pPr>
        <w:pStyle w:val="Heading5"/>
        <w:rPr>
          <w:snapToGrid w:val="0"/>
        </w:rPr>
      </w:pPr>
      <w:bookmarkStart w:id="82" w:name="_Toc378668095"/>
      <w:bookmarkStart w:id="83" w:name="_Toc427328993"/>
      <w:bookmarkStart w:id="84" w:name="_Toc424742156"/>
      <w:r>
        <w:rPr>
          <w:rStyle w:val="CharSectno"/>
        </w:rPr>
        <w:t>13</w:t>
      </w:r>
      <w:r>
        <w:rPr>
          <w:snapToGrid w:val="0"/>
        </w:rPr>
        <w:t>.</w:t>
      </w:r>
      <w:r>
        <w:rPr>
          <w:snapToGrid w:val="0"/>
        </w:rPr>
        <w:tab/>
        <w:t>Duty of railway owner to negotiate</w:t>
      </w:r>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85" w:name="_Toc378668096"/>
      <w:bookmarkStart w:id="86" w:name="_Toc427328994"/>
      <w:bookmarkStart w:id="87" w:name="_Toc424742157"/>
      <w:r>
        <w:rPr>
          <w:rStyle w:val="CharSectno"/>
        </w:rPr>
        <w:t>14</w:t>
      </w:r>
      <w:r>
        <w:rPr>
          <w:snapToGrid w:val="0"/>
        </w:rPr>
        <w:t>.</w:t>
      </w:r>
      <w:r>
        <w:rPr>
          <w:snapToGrid w:val="0"/>
        </w:rPr>
        <w:tab/>
        <w:t>Proponent must show it has managerial and financial ability</w:t>
      </w:r>
      <w:bookmarkEnd w:id="85"/>
      <w:bookmarkEnd w:id="86"/>
      <w:bookmarkEnd w:id="87"/>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keepNext/>
        <w:keepLines/>
        <w:rPr>
          <w:snapToGrid w:val="0"/>
        </w:rPr>
      </w:pPr>
      <w:r>
        <w:rPr>
          <w:snapToGrid w:val="0"/>
        </w:rPr>
        <w:tab/>
        <w:t>(2)</w:t>
      </w:r>
      <w:r>
        <w:rPr>
          <w:snapToGrid w:val="0"/>
        </w:rPr>
        <w:tab/>
        <w:t>In subsection (1)(b) — </w:t>
      </w:r>
    </w:p>
    <w:p>
      <w:pPr>
        <w:pStyle w:val="Defstart"/>
        <w:keepNext/>
        <w:keepLines/>
      </w:pPr>
      <w:r>
        <w:rPr>
          <w:b/>
        </w:rPr>
        <w:tab/>
      </w:r>
      <w:r>
        <w:rPr>
          <w:rStyle w:val="CharDefText"/>
        </w:rPr>
        <w:t>financial resources</w:t>
      </w:r>
      <w:r>
        <w:t>,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r>
        <w:tab/>
        <w:t>[Section 14 amended in Gazette 23 Jul 2004 p. 2991.]</w:t>
      </w:r>
    </w:p>
    <w:p>
      <w:pPr>
        <w:pStyle w:val="Heading5"/>
      </w:pPr>
      <w:bookmarkStart w:id="88" w:name="_Toc378668097"/>
      <w:bookmarkStart w:id="89" w:name="_Toc427328995"/>
      <w:bookmarkStart w:id="90" w:name="_Toc424742158"/>
      <w:r>
        <w:rPr>
          <w:rStyle w:val="CharSectno"/>
        </w:rPr>
        <w:t>15</w:t>
      </w:r>
      <w:r>
        <w:t>.</w:t>
      </w:r>
      <w:r>
        <w:tab/>
        <w:t>Proponent must show that its operations are within the capacity of the route or expanded route</w:t>
      </w:r>
      <w:bookmarkEnd w:id="88"/>
      <w:bookmarkEnd w:id="89"/>
      <w:bookmarkEnd w:id="90"/>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keepNext/>
      </w:pPr>
      <w:r>
        <w:tab/>
        <w:t>(b)</w:t>
      </w:r>
      <w:r>
        <w:tab/>
        <w:t>will be consistent with the carrying on of safe and reliable rail operations on the route.</w:t>
      </w:r>
    </w:p>
    <w:p>
      <w:pPr>
        <w:pStyle w:val="Footnotesection"/>
      </w:pPr>
      <w:r>
        <w:tab/>
        <w:t>[Section 15 inserted in Gazette 23 Jul 2004 p. 2991</w:t>
      </w:r>
      <w:r>
        <w:noBreakHyphen/>
        <w:t>2.]</w:t>
      </w:r>
    </w:p>
    <w:p>
      <w:pPr>
        <w:pStyle w:val="Heading3"/>
      </w:pPr>
      <w:bookmarkStart w:id="91" w:name="_Toc378668098"/>
      <w:bookmarkStart w:id="92" w:name="_Toc424742025"/>
      <w:bookmarkStart w:id="93" w:name="_Toc424742159"/>
      <w:bookmarkStart w:id="94" w:name="_Toc427328996"/>
      <w:r>
        <w:rPr>
          <w:rStyle w:val="CharDivNo"/>
        </w:rPr>
        <w:t>Division 2</w:t>
      </w:r>
      <w:r>
        <w:rPr>
          <w:snapToGrid w:val="0"/>
        </w:rPr>
        <w:t xml:space="preserve"> — </w:t>
      </w:r>
      <w:r>
        <w:rPr>
          <w:rStyle w:val="CharDivText"/>
        </w:rPr>
        <w:t>Negotiations</w:t>
      </w:r>
      <w:bookmarkEnd w:id="91"/>
      <w:bookmarkEnd w:id="92"/>
      <w:bookmarkEnd w:id="93"/>
      <w:bookmarkEnd w:id="94"/>
      <w:r>
        <w:rPr>
          <w:rStyle w:val="CharDivText"/>
        </w:rPr>
        <w:t xml:space="preserve"> </w:t>
      </w:r>
    </w:p>
    <w:p>
      <w:pPr>
        <w:pStyle w:val="Heading5"/>
        <w:rPr>
          <w:snapToGrid w:val="0"/>
        </w:rPr>
      </w:pPr>
      <w:bookmarkStart w:id="95" w:name="_Toc378668099"/>
      <w:bookmarkStart w:id="96" w:name="_Toc427328997"/>
      <w:bookmarkStart w:id="97" w:name="_Toc424742160"/>
      <w:r>
        <w:rPr>
          <w:rStyle w:val="CharSectno"/>
        </w:rPr>
        <w:t>16</w:t>
      </w:r>
      <w:r>
        <w:rPr>
          <w:snapToGrid w:val="0"/>
        </w:rPr>
        <w:t>.</w:t>
      </w:r>
      <w:r>
        <w:rPr>
          <w:snapToGrid w:val="0"/>
        </w:rPr>
        <w:tab/>
        <w:t>General duties of railway owner in negotiations</w:t>
      </w:r>
      <w:bookmarkEnd w:id="95"/>
      <w:bookmarkEnd w:id="96"/>
      <w:bookmarkEnd w:id="97"/>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r>
      <w:r>
        <w:rPr>
          <w:rStyle w:val="CharDefText"/>
        </w:rPr>
        <w:t>rail operations of the railway owner</w:t>
      </w:r>
      <w:r>
        <w:rPr>
          <w:b/>
        </w:rPr>
        <w:t xml:space="preserve"> </w:t>
      </w:r>
      <w:r>
        <w:t>includes the rail operations of an associate of the railway owner.</w:t>
      </w:r>
    </w:p>
    <w:p>
      <w:pPr>
        <w:pStyle w:val="Heading5"/>
        <w:keepNext w:val="0"/>
        <w:keepLines w:val="0"/>
        <w:rPr>
          <w:snapToGrid w:val="0"/>
        </w:rPr>
      </w:pPr>
      <w:bookmarkStart w:id="98" w:name="_Toc378668100"/>
      <w:bookmarkStart w:id="99" w:name="_Toc427328998"/>
      <w:bookmarkStart w:id="100" w:name="_Toc424742161"/>
      <w:r>
        <w:rPr>
          <w:rStyle w:val="CharSectno"/>
        </w:rPr>
        <w:t>17</w:t>
      </w:r>
      <w:r>
        <w:rPr>
          <w:snapToGrid w:val="0"/>
        </w:rPr>
        <w:t>.</w:t>
      </w:r>
      <w:r>
        <w:rPr>
          <w:snapToGrid w:val="0"/>
        </w:rPr>
        <w:tab/>
        <w:t>Matters that must be covered</w:t>
      </w:r>
      <w:bookmarkEnd w:id="98"/>
      <w:bookmarkEnd w:id="99"/>
      <w:bookmarkEnd w:id="100"/>
      <w:r>
        <w:rPr>
          <w:snapToGrid w:val="0"/>
        </w:rPr>
        <w:t xml:space="preserve"> </w:t>
      </w:r>
    </w:p>
    <w:p>
      <w:pPr>
        <w:pStyle w:val="Subsection"/>
        <w:rPr>
          <w:snapToGrid w:val="0"/>
        </w:rPr>
      </w:pPr>
      <w:r>
        <w:rPr>
          <w:snapToGrid w:val="0"/>
        </w:rPr>
        <w:tab/>
        <w:t>(1)</w:t>
      </w:r>
      <w:r>
        <w:rPr>
          <w:snapToGrid w:val="0"/>
        </w:rPr>
        <w:tab/>
        <w:t>In negotiating an access agreement the railway owner and the proponent must — </w:t>
      </w:r>
    </w:p>
    <w:p>
      <w:pPr>
        <w:pStyle w:val="Indenta"/>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101" w:name="_Toc378668101"/>
      <w:bookmarkStart w:id="102" w:name="_Toc427328999"/>
      <w:bookmarkStart w:id="103" w:name="_Toc424742162"/>
      <w:r>
        <w:rPr>
          <w:rStyle w:val="CharSectno"/>
        </w:rPr>
        <w:t>18</w:t>
      </w:r>
      <w:r>
        <w:rPr>
          <w:snapToGrid w:val="0"/>
        </w:rPr>
        <w:t>.</w:t>
      </w:r>
      <w:r>
        <w:rPr>
          <w:snapToGrid w:val="0"/>
        </w:rPr>
        <w:tab/>
        <w:t>Sufficiency of information under sections 14 and 15</w:t>
      </w:r>
      <w:bookmarkEnd w:id="101"/>
      <w:bookmarkEnd w:id="102"/>
      <w:bookmarkEnd w:id="103"/>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104" w:name="_Toc378668102"/>
      <w:bookmarkStart w:id="105" w:name="_Toc427329000"/>
      <w:bookmarkStart w:id="106" w:name="_Toc424742163"/>
      <w:r>
        <w:rPr>
          <w:rStyle w:val="CharSectno"/>
        </w:rPr>
        <w:t>19</w:t>
      </w:r>
      <w:r>
        <w:rPr>
          <w:snapToGrid w:val="0"/>
        </w:rPr>
        <w:t>.</w:t>
      </w:r>
      <w:r>
        <w:rPr>
          <w:snapToGrid w:val="0"/>
        </w:rPr>
        <w:tab/>
        <w:t>Notice of readiness to commence negotiations</w:t>
      </w:r>
      <w:bookmarkEnd w:id="104"/>
      <w:bookmarkEnd w:id="105"/>
      <w:bookmarkEnd w:id="106"/>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rPr>
          <w:snapToGrid w:val="0"/>
        </w:rPr>
      </w:pPr>
      <w:r>
        <w:rPr>
          <w:snapToGrid w:val="0"/>
        </w:rPr>
        <w:tab/>
        <w:t>(b)</w:t>
      </w:r>
      <w:r>
        <w:rPr>
          <w:snapToGrid w:val="0"/>
        </w:rPr>
        <w:tab/>
        <w:t>nominate a day on which the negotiations will begin, which day cannot be before any day agreed to by the proponent for the purposes of clause 11(2) of Schedule 4.</w:t>
      </w:r>
    </w:p>
    <w:p>
      <w:pPr>
        <w:pStyle w:val="Heading5"/>
        <w:rPr>
          <w:snapToGrid w:val="0"/>
        </w:rPr>
      </w:pPr>
      <w:bookmarkStart w:id="107" w:name="_Toc378668103"/>
      <w:bookmarkStart w:id="108" w:name="_Toc427329001"/>
      <w:bookmarkStart w:id="109" w:name="_Toc424742164"/>
      <w:r>
        <w:rPr>
          <w:rStyle w:val="CharSectno"/>
        </w:rPr>
        <w:t>20</w:t>
      </w:r>
      <w:r>
        <w:rPr>
          <w:snapToGrid w:val="0"/>
        </w:rPr>
        <w:t>.</w:t>
      </w:r>
      <w:r>
        <w:rPr>
          <w:snapToGrid w:val="0"/>
        </w:rPr>
        <w:tab/>
        <w:t>Negotiation period</w:t>
      </w:r>
      <w:bookmarkEnd w:id="107"/>
      <w:bookmarkEnd w:id="108"/>
      <w:bookmarkEnd w:id="109"/>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Immediately before the negotiations are begun the railway owner and the proponent must jointly fix a day (</w:t>
      </w:r>
      <w:r>
        <w:rPr>
          <w:rStyle w:val="CharDefText"/>
        </w:rPr>
        <w:t>the termination day</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110" w:name="_Toc378668104"/>
      <w:bookmarkStart w:id="111" w:name="_Toc427329002"/>
      <w:bookmarkStart w:id="112" w:name="_Toc424742165"/>
      <w:r>
        <w:rPr>
          <w:rStyle w:val="CharSectno"/>
        </w:rPr>
        <w:t>21</w:t>
      </w:r>
      <w:r>
        <w:rPr>
          <w:snapToGrid w:val="0"/>
        </w:rPr>
        <w:t>.</w:t>
      </w:r>
      <w:r>
        <w:rPr>
          <w:snapToGrid w:val="0"/>
        </w:rPr>
        <w:tab/>
        <w:t>Regulator may give opinion on price sought for access</w:t>
      </w:r>
      <w:bookmarkEnd w:id="110"/>
      <w:bookmarkEnd w:id="111"/>
      <w:bookmarkEnd w:id="112"/>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 4.</w:t>
      </w:r>
    </w:p>
    <w:p>
      <w:pPr>
        <w:pStyle w:val="Subsection"/>
        <w:rPr>
          <w:snapToGrid w:val="0"/>
        </w:rPr>
      </w:pPr>
      <w:r>
        <w:rPr>
          <w:snapToGrid w:val="0"/>
        </w:rPr>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 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113" w:name="_Toc378668105"/>
      <w:bookmarkStart w:id="114" w:name="_Toc424742032"/>
      <w:bookmarkStart w:id="115" w:name="_Toc424742166"/>
      <w:bookmarkStart w:id="116" w:name="_Toc427329003"/>
      <w:r>
        <w:rPr>
          <w:rStyle w:val="CharDivNo"/>
        </w:rPr>
        <w:t>Division 3</w:t>
      </w:r>
      <w:r>
        <w:rPr>
          <w:snapToGrid w:val="0"/>
        </w:rPr>
        <w:t xml:space="preserve"> — </w:t>
      </w:r>
      <w:r>
        <w:rPr>
          <w:rStyle w:val="CharDivText"/>
        </w:rPr>
        <w:t>Arbitration of disputes</w:t>
      </w:r>
      <w:bookmarkEnd w:id="113"/>
      <w:bookmarkEnd w:id="114"/>
      <w:bookmarkEnd w:id="115"/>
      <w:bookmarkEnd w:id="116"/>
    </w:p>
    <w:p>
      <w:pPr>
        <w:pStyle w:val="Heading5"/>
        <w:rPr>
          <w:snapToGrid w:val="0"/>
        </w:rPr>
      </w:pPr>
      <w:bookmarkStart w:id="117" w:name="_Toc378668106"/>
      <w:bookmarkStart w:id="118" w:name="_Toc427329004"/>
      <w:bookmarkStart w:id="119" w:name="_Toc424742167"/>
      <w:r>
        <w:rPr>
          <w:rStyle w:val="CharSectno"/>
        </w:rPr>
        <w:t>22</w:t>
      </w:r>
      <w:r>
        <w:rPr>
          <w:snapToGrid w:val="0"/>
        </w:rPr>
        <w:t>.</w:t>
      </w:r>
      <w:r>
        <w:rPr>
          <w:snapToGrid w:val="0"/>
        </w:rPr>
        <w:tab/>
        <w:t>Terms used</w:t>
      </w:r>
      <w:bookmarkEnd w:id="117"/>
      <w:bookmarkEnd w:id="118"/>
      <w:bookmarkEnd w:id="11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arbitrator</w:t>
      </w:r>
      <w:r>
        <w:rPr>
          <w:b/>
        </w:rPr>
        <w:t xml:space="preserve"> </w:t>
      </w:r>
      <w:r>
        <w:t>includes, where there are 2 or more arbitrators, both or all of the arbitrators;</w:t>
      </w:r>
    </w:p>
    <w:p>
      <w:pPr>
        <w:pStyle w:val="Defstart"/>
      </w:pPr>
      <w:r>
        <w:rPr>
          <w:b/>
        </w:rPr>
        <w:tab/>
      </w:r>
      <w:r>
        <w:rPr>
          <w:rStyle w:val="CharDefText"/>
        </w:rPr>
        <w:t>other party</w:t>
      </w:r>
      <w:r>
        <w:rPr>
          <w:b/>
        </w:rPr>
        <w:t xml:space="preserve"> </w:t>
      </w:r>
      <w:r>
        <w:t>has the meaning given by section 26(1).</w:t>
      </w:r>
    </w:p>
    <w:p>
      <w:pPr>
        <w:pStyle w:val="Ednotesection"/>
      </w:pPr>
      <w:r>
        <w:t>[</w:t>
      </w:r>
      <w:r>
        <w:rPr>
          <w:b/>
        </w:rPr>
        <w:t>23.</w:t>
      </w:r>
      <w:r>
        <w:tab/>
        <w:t xml:space="preserve">Deleted in Gazette 19 Jul 2013 p. 3270.] </w:t>
      </w:r>
    </w:p>
    <w:p>
      <w:pPr>
        <w:pStyle w:val="Heading5"/>
        <w:rPr>
          <w:snapToGrid w:val="0"/>
        </w:rPr>
      </w:pPr>
      <w:bookmarkStart w:id="120" w:name="_Toc378668107"/>
      <w:bookmarkStart w:id="121" w:name="_Toc427329005"/>
      <w:bookmarkStart w:id="122" w:name="_Toc424742168"/>
      <w:r>
        <w:rPr>
          <w:rStyle w:val="CharSectno"/>
        </w:rPr>
        <w:t>24</w:t>
      </w:r>
      <w:r>
        <w:rPr>
          <w:snapToGrid w:val="0"/>
        </w:rPr>
        <w:t>.</w:t>
      </w:r>
      <w:r>
        <w:rPr>
          <w:snapToGrid w:val="0"/>
        </w:rPr>
        <w:tab/>
        <w:t>Panels of persons who may be appointed as arbitrators</w:t>
      </w:r>
      <w:bookmarkEnd w:id="120"/>
      <w:bookmarkEnd w:id="121"/>
      <w:bookmarkEnd w:id="122"/>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 xml:space="preserve">a panel under this section only on the recommendation of the Chairman for the time being of the Western Australian Chapter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Arbitrators</w:t>
          </w:r>
        </w:smartTag>
      </w:smartTag>
      <w:r>
        <w:rPr>
          <w:snapToGrid w:val="0"/>
        </w:rPr>
        <w:t xml:space="preserve"> and Mediators Australia.</w:t>
      </w:r>
    </w:p>
    <w:p>
      <w:pPr>
        <w:pStyle w:val="Subsection"/>
        <w:rPr>
          <w:snapToGrid w:val="0"/>
        </w:rPr>
      </w:pPr>
      <w:r>
        <w:rPr>
          <w:snapToGrid w:val="0"/>
        </w:rPr>
        <w:tab/>
        <w:t>(3)</w:t>
      </w:r>
      <w:r>
        <w:rPr>
          <w:snapToGrid w:val="0"/>
        </w:rPr>
        <w:tab/>
        <w:t>As often as is necessary, the Regulator is to — </w:t>
      </w:r>
    </w:p>
    <w:p>
      <w:pPr>
        <w:pStyle w:val="Indenta"/>
        <w:rPr>
          <w:snapToGrid w:val="0"/>
        </w:rPr>
      </w:pPr>
      <w:r>
        <w:rPr>
          <w:snapToGrid w:val="0"/>
        </w:rPr>
        <w:tab/>
        <w:t>(a)</w:t>
      </w:r>
      <w:r>
        <w:rPr>
          <w:snapToGrid w:val="0"/>
        </w:rPr>
        <w:tab/>
        <w:t xml:space="preserve">request the Chairman referred to in subsection (2) to make a recommendation; and </w:t>
      </w:r>
    </w:p>
    <w:p>
      <w:pPr>
        <w:pStyle w:val="Indenta"/>
        <w:rPr>
          <w:snapToGrid w:val="0"/>
        </w:rPr>
      </w:pPr>
      <w:r>
        <w:rPr>
          <w:snapToGrid w:val="0"/>
        </w:rPr>
        <w:tab/>
        <w:t>(b)</w:t>
      </w:r>
      <w:r>
        <w:rPr>
          <w:snapToGrid w:val="0"/>
        </w:rPr>
        <w:tab/>
        <w:t>specify a day before which the recommendation is to be made,</w:t>
      </w:r>
    </w:p>
    <w:p>
      <w:pPr>
        <w:pStyle w:val="Subsection"/>
        <w:keepNext/>
        <w:rPr>
          <w:snapToGrid w:val="0"/>
        </w:rPr>
      </w:pPr>
      <w:r>
        <w:rPr>
          <w:snapToGrid w:val="0"/>
        </w:rPr>
        <w:tab/>
      </w:r>
      <w:r>
        <w:rPr>
          <w:snapToGrid w:val="0"/>
        </w:rPr>
        <w:tab/>
        <w:t>and if the recommendation is not made before the specified day the Regulator may effect any necessary inclusion or removal of a name without complying with subsection (2).</w:t>
      </w:r>
    </w:p>
    <w:p>
      <w:pPr>
        <w:pStyle w:val="Subsection"/>
        <w:rPr>
          <w:snapToGrid w:val="0"/>
        </w:rPr>
      </w:pPr>
      <w:r>
        <w:rPr>
          <w:snapToGrid w:val="0"/>
        </w:rPr>
        <w:tab/>
        <w:t>(4)</w:t>
      </w:r>
      <w:r>
        <w:rPr>
          <w:snapToGrid w:val="0"/>
        </w:rPr>
        <w:tab/>
        <w:t>The name of the Regulator cannot be included on a panel under this section.</w:t>
      </w:r>
    </w:p>
    <w:p>
      <w:pPr>
        <w:pStyle w:val="Heading5"/>
        <w:rPr>
          <w:snapToGrid w:val="0"/>
        </w:rPr>
      </w:pPr>
      <w:bookmarkStart w:id="123" w:name="_Toc378668108"/>
      <w:bookmarkStart w:id="124" w:name="_Toc427329006"/>
      <w:bookmarkStart w:id="125" w:name="_Toc424742169"/>
      <w:r>
        <w:rPr>
          <w:rStyle w:val="CharSectno"/>
        </w:rPr>
        <w:t>25</w:t>
      </w:r>
      <w:r>
        <w:rPr>
          <w:snapToGrid w:val="0"/>
        </w:rPr>
        <w:t>.</w:t>
      </w:r>
      <w:r>
        <w:rPr>
          <w:snapToGrid w:val="0"/>
        </w:rPr>
        <w:tab/>
        <w:t>When entity taken to be in dispute with railway owner</w:t>
      </w:r>
      <w:bookmarkEnd w:id="123"/>
      <w:bookmarkEnd w:id="124"/>
      <w:bookmarkEnd w:id="125"/>
      <w:r>
        <w:rPr>
          <w:snapToGrid w:val="0"/>
        </w:rPr>
        <w:t xml:space="preserve"> </w:t>
      </w:r>
    </w:p>
    <w:p>
      <w:pPr>
        <w:pStyle w:val="Subsection"/>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keepNext/>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126" w:name="_Toc378668109"/>
      <w:bookmarkStart w:id="127" w:name="_Toc427329007"/>
      <w:bookmarkStart w:id="128" w:name="_Toc424742170"/>
      <w:r>
        <w:rPr>
          <w:rStyle w:val="CharSectno"/>
        </w:rPr>
        <w:t>26</w:t>
      </w:r>
      <w:r>
        <w:rPr>
          <w:snapToGrid w:val="0"/>
        </w:rPr>
        <w:t>.</w:t>
      </w:r>
      <w:r>
        <w:rPr>
          <w:snapToGrid w:val="0"/>
        </w:rPr>
        <w:tab/>
        <w:t xml:space="preserve">Arbitration of disputes under </w:t>
      </w:r>
      <w:r>
        <w:rPr>
          <w:i/>
          <w:snapToGrid w:val="0"/>
        </w:rPr>
        <w:t>Commercial Arbitration Act 2012</w:t>
      </w:r>
      <w:bookmarkEnd w:id="126"/>
      <w:bookmarkEnd w:id="127"/>
      <w:bookmarkEnd w:id="128"/>
    </w:p>
    <w:p>
      <w:pPr>
        <w:pStyle w:val="Subsection"/>
        <w:rPr>
          <w:snapToGrid w:val="0"/>
        </w:rPr>
      </w:pPr>
      <w:r>
        <w:rPr>
          <w:snapToGrid w:val="0"/>
        </w:rPr>
        <w:tab/>
        <w:t>(1)</w:t>
      </w:r>
      <w:r>
        <w:rPr>
          <w:snapToGrid w:val="0"/>
        </w:rPr>
        <w:tab/>
        <w:t>An entity (</w:t>
      </w:r>
      <w:r>
        <w:rPr>
          <w:rStyle w:val="CharDefText"/>
        </w:rPr>
        <w:t>the other party</w:t>
      </w:r>
      <w:r>
        <w:rPr>
          <w:snapToGrid w:val="0"/>
        </w:rPr>
        <w:t>)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rPr>
        <w:t>Commercial Arbitration Act 2012</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rPr>
        <w:t>Commercial Arbitration Act 2012</w:t>
      </w:r>
      <w:r>
        <w:rPr>
          <w:snapToGrid w:val="0"/>
        </w:rPr>
        <w:t xml:space="preserve"> except in accordance with this Division.</w:t>
      </w:r>
    </w:p>
    <w:p>
      <w:pPr>
        <w:pStyle w:val="Footnotesection"/>
      </w:pPr>
      <w:r>
        <w:tab/>
        <w:t>[Section 26 amended in Gazette 19 Jul 2013 p. 3270.]</w:t>
      </w:r>
    </w:p>
    <w:p>
      <w:pPr>
        <w:pStyle w:val="Heading5"/>
      </w:pPr>
      <w:bookmarkStart w:id="129" w:name="_Toc378668110"/>
      <w:bookmarkStart w:id="130" w:name="_Toc427329008"/>
      <w:bookmarkStart w:id="131" w:name="_Toc424742171"/>
      <w:r>
        <w:rPr>
          <w:rStyle w:val="CharSectno"/>
        </w:rPr>
        <w:t>27</w:t>
      </w:r>
      <w:r>
        <w:rPr>
          <w:snapToGrid w:val="0"/>
        </w:rPr>
        <w:t>.</w:t>
      </w:r>
      <w:r>
        <w:rPr>
          <w:snapToGrid w:val="0"/>
        </w:rPr>
        <w:tab/>
        <w:t>Appointment where issues are also relevant to arbitration under another access regime</w:t>
      </w:r>
      <w:bookmarkEnd w:id="129"/>
      <w:bookmarkEnd w:id="130"/>
      <w:bookmarkEnd w:id="131"/>
    </w:p>
    <w:p>
      <w:pPr>
        <w:pStyle w:val="Subsection"/>
        <w:keepNext/>
        <w:keepLines/>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 26 a person or persons who in his or her opinion is or are qualified and acceptable for appointment to conduct an arbitration both under this Code and the other access regime.</w:t>
      </w:r>
    </w:p>
    <w:p>
      <w:pPr>
        <w:pStyle w:val="Heading5"/>
        <w:rPr>
          <w:snapToGrid w:val="0"/>
        </w:rPr>
      </w:pPr>
      <w:bookmarkStart w:id="132" w:name="_Toc378668111"/>
      <w:bookmarkStart w:id="133" w:name="_Toc427329009"/>
      <w:bookmarkStart w:id="134" w:name="_Toc424742172"/>
      <w:r>
        <w:rPr>
          <w:rStyle w:val="CharSectno"/>
        </w:rPr>
        <w:t>28</w:t>
      </w:r>
      <w:r>
        <w:rPr>
          <w:snapToGrid w:val="0"/>
        </w:rPr>
        <w:t>.</w:t>
      </w:r>
      <w:r>
        <w:rPr>
          <w:snapToGrid w:val="0"/>
        </w:rPr>
        <w:tab/>
        <w:t>Preliminary conference to be held</w:t>
      </w:r>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pPr>
      <w:r>
        <w:tab/>
        <w:t>(5)</w:t>
      </w:r>
      <w:r>
        <w:tab/>
        <w:t xml:space="preserve">Nothing in this section limits section 24B or 25 of the </w:t>
      </w:r>
      <w:r>
        <w:rPr>
          <w:i/>
        </w:rPr>
        <w:t>Commercial Arbitration Act 2012</w:t>
      </w:r>
      <w:r>
        <w:t>.</w:t>
      </w:r>
    </w:p>
    <w:p>
      <w:pPr>
        <w:pStyle w:val="Footnotesection"/>
      </w:pPr>
      <w:r>
        <w:tab/>
        <w:t>[Section 28 amended in Gazette 19 Jul 2013 p. 3270.]</w:t>
      </w:r>
    </w:p>
    <w:p>
      <w:pPr>
        <w:pStyle w:val="Heading5"/>
        <w:rPr>
          <w:snapToGrid w:val="0"/>
        </w:rPr>
      </w:pPr>
      <w:bookmarkStart w:id="135" w:name="_Toc378668112"/>
      <w:bookmarkStart w:id="136" w:name="_Toc427329010"/>
      <w:bookmarkStart w:id="137" w:name="_Toc424742173"/>
      <w:r>
        <w:rPr>
          <w:rStyle w:val="CharSectno"/>
        </w:rPr>
        <w:t>29</w:t>
      </w:r>
      <w:r>
        <w:rPr>
          <w:snapToGrid w:val="0"/>
        </w:rPr>
        <w:t>.</w:t>
      </w:r>
      <w:r>
        <w:rPr>
          <w:snapToGrid w:val="0"/>
        </w:rPr>
        <w:tab/>
        <w:t>Matters to be taken into account by arbitrator</w:t>
      </w:r>
      <w:bookmarkEnd w:id="135"/>
      <w:bookmarkEnd w:id="136"/>
      <w:bookmarkEnd w:id="137"/>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5.</w:t>
      </w:r>
    </w:p>
    <w:p>
      <w:pPr>
        <w:pStyle w:val="Subsection"/>
        <w:rPr>
          <w:snapToGrid w:val="0"/>
        </w:rPr>
      </w:pPr>
      <w:r>
        <w:rPr>
          <w:snapToGrid w:val="0"/>
        </w:rPr>
        <w:tab/>
        <w:t>(3)</w:t>
      </w:r>
      <w:r>
        <w:rPr>
          <w:snapToGrid w:val="0"/>
        </w:rPr>
        <w:tab/>
        <w:t>In subsection (1)(a)(ii) — </w:t>
      </w:r>
    </w:p>
    <w:p>
      <w:pPr>
        <w:pStyle w:val="Defstart"/>
      </w:pPr>
      <w:r>
        <w:rPr>
          <w:b/>
        </w:rPr>
        <w:tab/>
      </w:r>
      <w:r>
        <w:rPr>
          <w:rStyle w:val="CharDefText"/>
        </w:rPr>
        <w:t>matters determined by the Regulator</w:t>
      </w:r>
      <w:r>
        <w:rPr>
          <w:b/>
        </w:rPr>
        <w:t xml:space="preserve"> </w:t>
      </w:r>
      <w:r>
        <w:t>means — </w:t>
      </w:r>
    </w:p>
    <w:p>
      <w:pPr>
        <w:pStyle w:val="Defpara"/>
      </w:pPr>
      <w:r>
        <w:tab/>
        <w:t>(a)</w:t>
      </w:r>
      <w:r>
        <w:tab/>
        <w:t>the train management guidelines under section 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138" w:name="_Toc378668113"/>
      <w:bookmarkStart w:id="139" w:name="_Toc427329011"/>
      <w:bookmarkStart w:id="140" w:name="_Toc424742174"/>
      <w:r>
        <w:rPr>
          <w:rStyle w:val="CharSectno"/>
        </w:rPr>
        <w:t>30</w:t>
      </w:r>
      <w:r>
        <w:rPr>
          <w:snapToGrid w:val="0"/>
        </w:rPr>
        <w:t>.</w:t>
      </w:r>
      <w:r>
        <w:rPr>
          <w:snapToGrid w:val="0"/>
        </w:rPr>
        <w:tab/>
        <w:t>Question may be referred to Regulator</w:t>
      </w:r>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rPr>
        <w:t>Commercial Arbitration Act 2012</w:t>
      </w:r>
      <w:r>
        <w:t xml:space="preserve">, </w:t>
      </w:r>
      <w:r>
        <w:rPr>
          <w:snapToGrid w:val="0"/>
        </w:rPr>
        <w:t>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Footnotesection"/>
      </w:pPr>
      <w:r>
        <w:tab/>
        <w:t>[Section 30 amended in Gazette 19 Jul 2013 p. 3270.]</w:t>
      </w:r>
    </w:p>
    <w:p>
      <w:pPr>
        <w:pStyle w:val="Heading5"/>
        <w:rPr>
          <w:snapToGrid w:val="0"/>
        </w:rPr>
      </w:pPr>
      <w:bookmarkStart w:id="141" w:name="_Toc378668114"/>
      <w:bookmarkStart w:id="142" w:name="_Toc427329012"/>
      <w:bookmarkStart w:id="143" w:name="_Toc424742175"/>
      <w:r>
        <w:rPr>
          <w:rStyle w:val="CharSectno"/>
        </w:rPr>
        <w:t>31</w:t>
      </w:r>
      <w:r>
        <w:rPr>
          <w:snapToGrid w:val="0"/>
        </w:rPr>
        <w:t>.</w:t>
      </w:r>
      <w:r>
        <w:rPr>
          <w:snapToGrid w:val="0"/>
        </w:rPr>
        <w:tab/>
        <w:t>Determination of dispute</w:t>
      </w:r>
      <w:bookmarkEnd w:id="141"/>
      <w:bookmarkEnd w:id="142"/>
      <w:bookmarkEnd w:id="143"/>
      <w:r>
        <w:rPr>
          <w:snapToGrid w:val="0"/>
        </w:rPr>
        <w:t xml:space="preserve"> </w:t>
      </w:r>
    </w:p>
    <w:p>
      <w:pPr>
        <w:pStyle w:val="Subsection"/>
        <w:rPr>
          <w:snapToGrid w:val="0"/>
        </w:rPr>
      </w:pPr>
      <w:r>
        <w:rPr>
          <w:snapToGrid w:val="0"/>
        </w:rPr>
        <w:tab/>
        <w:t>(1)</w:t>
      </w:r>
      <w:r>
        <w:rPr>
          <w:snapToGrid w:val="0"/>
        </w:rPr>
        <w:tab/>
        <w:t>The arbitrator is to determine the dispute by making a written determination, which is to be taken to be an award within the meaning of the</w:t>
      </w:r>
      <w:r>
        <w:rPr>
          <w:i/>
        </w:rPr>
        <w:t xml:space="preserve"> Commercial Arbitration Act 2012</w:t>
      </w:r>
      <w: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Footnotesection"/>
      </w:pPr>
      <w:r>
        <w:tab/>
        <w:t>[Section 31 amended in Gazette 19 Jul 2013 p. 3270.]</w:t>
      </w:r>
    </w:p>
    <w:p>
      <w:pPr>
        <w:pStyle w:val="Heading5"/>
        <w:rPr>
          <w:snapToGrid w:val="0"/>
        </w:rPr>
      </w:pPr>
      <w:bookmarkStart w:id="144" w:name="_Toc378668115"/>
      <w:bookmarkStart w:id="145" w:name="_Toc427329013"/>
      <w:bookmarkStart w:id="146" w:name="_Toc424742176"/>
      <w:r>
        <w:rPr>
          <w:rStyle w:val="CharSectno"/>
        </w:rPr>
        <w:t>32</w:t>
      </w:r>
      <w:r>
        <w:rPr>
          <w:snapToGrid w:val="0"/>
        </w:rPr>
        <w:t>.</w:t>
      </w:r>
      <w:r>
        <w:rPr>
          <w:snapToGrid w:val="0"/>
        </w:rPr>
        <w:tab/>
        <w:t>Determinations where section 25(2)(b) applies</w:t>
      </w:r>
      <w:bookmarkEnd w:id="144"/>
      <w:bookmarkEnd w:id="145"/>
      <w:bookmarkEnd w:id="146"/>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147" w:name="_Toc378668116"/>
      <w:bookmarkStart w:id="148" w:name="_Toc427329014"/>
      <w:bookmarkStart w:id="149" w:name="_Toc424742177"/>
      <w:r>
        <w:rPr>
          <w:rStyle w:val="CharSectno"/>
        </w:rPr>
        <w:t>33</w:t>
      </w:r>
      <w:r>
        <w:rPr>
          <w:snapToGrid w:val="0"/>
        </w:rPr>
        <w:t>.</w:t>
      </w:r>
      <w:r>
        <w:rPr>
          <w:snapToGrid w:val="0"/>
        </w:rPr>
        <w:tab/>
        <w:t>Determinations in other cases</w:t>
      </w:r>
      <w:bookmarkEnd w:id="147"/>
      <w:bookmarkEnd w:id="148"/>
      <w:bookmarkEnd w:id="149"/>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keepNext/>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 33 amended in Gazette 23 Jul 2004 p. 2992.]</w:t>
      </w:r>
    </w:p>
    <w:p>
      <w:pPr>
        <w:pStyle w:val="Heading5"/>
        <w:rPr>
          <w:snapToGrid w:val="0"/>
        </w:rPr>
      </w:pPr>
      <w:bookmarkStart w:id="150" w:name="_Toc378668117"/>
      <w:bookmarkStart w:id="151" w:name="_Toc427329015"/>
      <w:bookmarkStart w:id="152" w:name="_Toc424742178"/>
      <w:r>
        <w:rPr>
          <w:rStyle w:val="CharSectno"/>
        </w:rPr>
        <w:t>34</w:t>
      </w:r>
      <w:r>
        <w:rPr>
          <w:snapToGrid w:val="0"/>
        </w:rPr>
        <w:t>.</w:t>
      </w:r>
      <w:r>
        <w:rPr>
          <w:snapToGrid w:val="0"/>
        </w:rPr>
        <w:tab/>
        <w:t>Determination, effect in relation to railway owner and other party</w:t>
      </w:r>
      <w:bookmarkEnd w:id="150"/>
      <w:bookmarkEnd w:id="151"/>
      <w:bookmarkEnd w:id="152"/>
    </w:p>
    <w:p>
      <w:pPr>
        <w:pStyle w:val="Subsection"/>
        <w:rPr>
          <w:snapToGrid w:val="0"/>
        </w:rPr>
      </w:pPr>
      <w:r>
        <w:rPr>
          <w:snapToGrid w:val="0"/>
        </w:rPr>
        <w:tab/>
        <w:t>(1)</w:t>
      </w:r>
      <w:r>
        <w:rPr>
          <w:snapToGrid w:val="0"/>
        </w:rPr>
        <w:tab/>
        <w:t xml:space="preserve">The railway owner must, subject to </w:t>
      </w:r>
      <w:r>
        <w:t xml:space="preserve">the </w:t>
      </w:r>
      <w:r>
        <w:rPr>
          <w:i/>
        </w:rPr>
        <w:t xml:space="preserve">Commercial Arbitration Act 2012 </w:t>
      </w:r>
      <w:r>
        <w:t xml:space="preserve">Part 7, </w:t>
      </w:r>
      <w:r>
        <w:rPr>
          <w:snapToGrid w:val="0"/>
        </w:rPr>
        <w:t xml:space="preserve">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w:t>
      </w:r>
      <w:r>
        <w:t xml:space="preserve">the </w:t>
      </w:r>
      <w:r>
        <w:rPr>
          <w:i/>
        </w:rPr>
        <w:t xml:space="preserve">Commercial Arbitration Act 2012 </w:t>
      </w:r>
      <w:r>
        <w:t xml:space="preserve">Part 7, </w:t>
      </w:r>
      <w:r>
        <w:rPr>
          <w:snapToGrid w:val="0"/>
        </w:rPr>
        <w:t>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r>
        <w:tab/>
        <w:t>(5)</w:t>
      </w:r>
      <w:r>
        <w:tab/>
        <w:t xml:space="preserve">Subsection (2) does not apply to any provision of a determination that consists of a direction as to, or an award of, costs under section 33B(1) or (7) of the </w:t>
      </w:r>
      <w:r>
        <w:rPr>
          <w:i/>
        </w:rPr>
        <w:t>Commercial Arbitration Act 2012</w:t>
      </w:r>
      <w:r>
        <w:t>, and any such provision binds the other party in the same way as it binds the railway owner.</w:t>
      </w:r>
    </w:p>
    <w:p>
      <w:pPr>
        <w:pStyle w:val="Footnotesection"/>
      </w:pPr>
      <w:r>
        <w:tab/>
        <w:t>[Section 34 amended in Gazette 23 Jul 2004 p. 2992</w:t>
      </w:r>
      <w:r>
        <w:noBreakHyphen/>
        <w:t>3; 19 Jul 2013 p. 3270-1.]</w:t>
      </w:r>
    </w:p>
    <w:p>
      <w:pPr>
        <w:pStyle w:val="Heading5"/>
        <w:rPr>
          <w:snapToGrid w:val="0"/>
        </w:rPr>
      </w:pPr>
      <w:bookmarkStart w:id="153" w:name="_Toc378668118"/>
      <w:bookmarkStart w:id="154" w:name="_Toc427329016"/>
      <w:bookmarkStart w:id="155" w:name="_Toc424742179"/>
      <w:r>
        <w:rPr>
          <w:rStyle w:val="CharSectno"/>
        </w:rPr>
        <w:t>35</w:t>
      </w:r>
      <w:r>
        <w:rPr>
          <w:snapToGrid w:val="0"/>
        </w:rPr>
        <w:t>.</w:t>
      </w:r>
      <w:r>
        <w:rPr>
          <w:snapToGrid w:val="0"/>
        </w:rPr>
        <w:tab/>
        <w:t>Termination of arbitration</w:t>
      </w:r>
      <w:bookmarkEnd w:id="153"/>
      <w:bookmarkEnd w:id="154"/>
      <w:bookmarkEnd w:id="155"/>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rPr>
          <w:snapToGrid w:val="0"/>
        </w:rPr>
      </w:pPr>
      <w:r>
        <w:rPr>
          <w:snapToGrid w:val="0"/>
        </w:rPr>
        <w:tab/>
        <w:t>(c)</w:t>
      </w:r>
      <w:r>
        <w:rPr>
          <w:snapToGrid w:val="0"/>
        </w:rPr>
        <w:tab/>
        <w:t>the other party has not engaged in negotiations in good faith.</w:t>
      </w:r>
    </w:p>
    <w:p>
      <w:pPr>
        <w:pStyle w:val="Heading5"/>
      </w:pPr>
      <w:bookmarkStart w:id="156" w:name="_Toc378668119"/>
      <w:bookmarkStart w:id="157" w:name="_Toc427329017"/>
      <w:bookmarkStart w:id="158" w:name="_Toc424742180"/>
      <w:r>
        <w:rPr>
          <w:rStyle w:val="CharSectno"/>
        </w:rPr>
        <w:t>36A</w:t>
      </w:r>
      <w:r>
        <w:t>.</w:t>
      </w:r>
      <w:r>
        <w:tab/>
        <w:t xml:space="preserve">Transitional provision relating to the </w:t>
      </w:r>
      <w:r>
        <w:rPr>
          <w:i/>
        </w:rPr>
        <w:t>Railways (Access) Amendment Code 2012</w:t>
      </w:r>
      <w:bookmarkEnd w:id="156"/>
      <w:bookmarkEnd w:id="157"/>
      <w:bookmarkEnd w:id="158"/>
    </w:p>
    <w:p>
      <w:pPr>
        <w:pStyle w:val="Subsection"/>
      </w:pPr>
      <w:r>
        <w:tab/>
        <w:t>(1)</w:t>
      </w:r>
      <w:r>
        <w:tab/>
        <w:t xml:space="preserve">In this section — </w:t>
      </w:r>
    </w:p>
    <w:p>
      <w:pPr>
        <w:pStyle w:val="Indenta"/>
      </w:pPr>
      <w:r>
        <w:tab/>
      </w:r>
      <w:r>
        <w:tab/>
      </w:r>
      <w:r>
        <w:rPr>
          <w:rStyle w:val="CharDefText"/>
        </w:rPr>
        <w:t xml:space="preserve">commencement day </w:t>
      </w:r>
      <w:r>
        <w:t>means the day on which the Commercial Arbitration Act 2012 section 44 comes into operation.</w:t>
      </w:r>
    </w:p>
    <w:p>
      <w:pPr>
        <w:pStyle w:val="Subsection"/>
      </w:pPr>
      <w:r>
        <w:tab/>
        <w:t>(2)</w:t>
      </w:r>
      <w:r>
        <w:tab/>
        <w:t xml:space="preserve">This section applies to a dispute to which this Division applies if, before the commencement day — </w:t>
      </w:r>
    </w:p>
    <w:p>
      <w:pPr>
        <w:pStyle w:val="Indenta"/>
      </w:pPr>
      <w:r>
        <w:tab/>
        <w:t>(a)</w:t>
      </w:r>
      <w:r>
        <w:tab/>
        <w:t>the dispute has been referred to arbitration; and</w:t>
      </w:r>
    </w:p>
    <w:p>
      <w:pPr>
        <w:pStyle w:val="Indenta"/>
      </w:pPr>
      <w:r>
        <w:tab/>
        <w:t>(b)</w:t>
      </w:r>
      <w:r>
        <w:tab/>
        <w:t>the Regulator has appointed under section 26 one or more persons to act as arbitrators to hear and determine the dispute.</w:t>
      </w:r>
    </w:p>
    <w:p>
      <w:pPr>
        <w:pStyle w:val="Subsection"/>
      </w:pPr>
      <w:r>
        <w:tab/>
        <w:t>(3)</w:t>
      </w:r>
      <w:r>
        <w:tab/>
        <w:t xml:space="preserve">If this section applies to a dispute — </w:t>
      </w:r>
    </w:p>
    <w:p>
      <w:pPr>
        <w:pStyle w:val="Indenta"/>
      </w:pPr>
      <w:r>
        <w:tab/>
        <w:t>(a)</w:t>
      </w:r>
      <w:r>
        <w:tab/>
        <w:t xml:space="preserve">the dispute cannot be referred to arbitration, or otherwise dealt with, under the </w:t>
      </w:r>
      <w:r>
        <w:rPr>
          <w:i/>
        </w:rPr>
        <w:t>Commercial Arbitration Act 2012</w:t>
      </w:r>
      <w:r>
        <w:t>; and</w:t>
      </w:r>
    </w:p>
    <w:p>
      <w:pPr>
        <w:pStyle w:val="Indenta"/>
      </w:pPr>
      <w:r>
        <w:tab/>
        <w:t>(b)</w:t>
      </w:r>
      <w:r>
        <w:tab/>
        <w:t xml:space="preserve">this Division continues to apply to and in relation to that dispute as if the amendments made by the </w:t>
      </w:r>
      <w:r>
        <w:rPr>
          <w:i/>
        </w:rPr>
        <w:t>Railways (Access) Amendment Code 2012</w:t>
      </w:r>
      <w:r>
        <w:t xml:space="preserve"> sections 4 to 9 had not been made. </w:t>
      </w:r>
    </w:p>
    <w:p>
      <w:pPr>
        <w:pStyle w:val="Footnotesection"/>
      </w:pPr>
      <w:r>
        <w:tab/>
        <w:t>[Section 36A inserted in Gazette 19 Jul 2013 p. 3271.]</w:t>
      </w:r>
    </w:p>
    <w:p>
      <w:pPr>
        <w:pStyle w:val="Heading2"/>
      </w:pPr>
      <w:bookmarkStart w:id="159" w:name="_Toc378668120"/>
      <w:bookmarkStart w:id="160" w:name="_Toc424742047"/>
      <w:bookmarkStart w:id="161" w:name="_Toc424742181"/>
      <w:bookmarkStart w:id="162" w:name="_Toc427329018"/>
      <w:r>
        <w:rPr>
          <w:rStyle w:val="CharPartNo"/>
        </w:rPr>
        <w:t>Part 4</w:t>
      </w:r>
      <w:r>
        <w:t xml:space="preserve"> — </w:t>
      </w:r>
      <w:r>
        <w:rPr>
          <w:rStyle w:val="CharPartText"/>
        </w:rPr>
        <w:t>Access agreements</w:t>
      </w:r>
      <w:bookmarkEnd w:id="159"/>
      <w:bookmarkEnd w:id="160"/>
      <w:bookmarkEnd w:id="161"/>
      <w:bookmarkEnd w:id="162"/>
      <w:r>
        <w:rPr>
          <w:rStyle w:val="CharPartText"/>
        </w:rPr>
        <w:t xml:space="preserve"> </w:t>
      </w:r>
    </w:p>
    <w:p>
      <w:pPr>
        <w:pStyle w:val="Heading3"/>
      </w:pPr>
      <w:bookmarkStart w:id="163" w:name="_Toc378668121"/>
      <w:bookmarkStart w:id="164" w:name="_Toc424742048"/>
      <w:bookmarkStart w:id="165" w:name="_Toc424742182"/>
      <w:bookmarkStart w:id="166" w:name="_Toc427329019"/>
      <w:r>
        <w:rPr>
          <w:rStyle w:val="CharDivNo"/>
        </w:rPr>
        <w:t>Division 1</w:t>
      </w:r>
      <w:r>
        <w:rPr>
          <w:snapToGrid w:val="0"/>
        </w:rPr>
        <w:t xml:space="preserve"> — </w:t>
      </w:r>
      <w:r>
        <w:rPr>
          <w:rStyle w:val="CharDivText"/>
        </w:rPr>
        <w:t>General</w:t>
      </w:r>
      <w:bookmarkEnd w:id="163"/>
      <w:bookmarkEnd w:id="164"/>
      <w:bookmarkEnd w:id="165"/>
      <w:bookmarkEnd w:id="166"/>
      <w:r>
        <w:rPr>
          <w:rStyle w:val="CharDivText"/>
        </w:rPr>
        <w:t xml:space="preserve"> </w:t>
      </w:r>
    </w:p>
    <w:p>
      <w:pPr>
        <w:pStyle w:val="Heading5"/>
        <w:rPr>
          <w:snapToGrid w:val="0"/>
        </w:rPr>
      </w:pPr>
      <w:bookmarkStart w:id="167" w:name="_Toc378668122"/>
      <w:bookmarkStart w:id="168" w:name="_Toc427329020"/>
      <w:bookmarkStart w:id="169" w:name="_Toc424742183"/>
      <w:r>
        <w:rPr>
          <w:rStyle w:val="CharSectno"/>
        </w:rPr>
        <w:t>36</w:t>
      </w:r>
      <w:r>
        <w:rPr>
          <w:snapToGrid w:val="0"/>
        </w:rPr>
        <w:t>.</w:t>
      </w:r>
      <w:r>
        <w:rPr>
          <w:snapToGrid w:val="0"/>
        </w:rPr>
        <w:tab/>
        <w:t>General matters relating to access agreements</w:t>
      </w:r>
      <w:bookmarkEnd w:id="167"/>
      <w:bookmarkEnd w:id="168"/>
      <w:bookmarkEnd w:id="169"/>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 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 36 amended in Gazette 23 Jul 2004 p. 2993.]</w:t>
      </w:r>
    </w:p>
    <w:p>
      <w:pPr>
        <w:pStyle w:val="Heading5"/>
        <w:rPr>
          <w:snapToGrid w:val="0"/>
        </w:rPr>
      </w:pPr>
      <w:bookmarkStart w:id="170" w:name="_Toc378668123"/>
      <w:bookmarkStart w:id="171" w:name="_Toc427329021"/>
      <w:bookmarkStart w:id="172" w:name="_Toc424742184"/>
      <w:r>
        <w:rPr>
          <w:rStyle w:val="CharSectno"/>
        </w:rPr>
        <w:t>37</w:t>
      </w:r>
      <w:r>
        <w:rPr>
          <w:snapToGrid w:val="0"/>
        </w:rPr>
        <w:t>.</w:t>
      </w:r>
      <w:r>
        <w:rPr>
          <w:snapToGrid w:val="0"/>
        </w:rPr>
        <w:tab/>
        <w:t>Access agreements may differ</w:t>
      </w:r>
      <w:bookmarkEnd w:id="170"/>
      <w:bookmarkEnd w:id="171"/>
      <w:bookmarkEnd w:id="172"/>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173" w:name="_Toc378668124"/>
      <w:bookmarkStart w:id="174" w:name="_Toc427329022"/>
      <w:bookmarkStart w:id="175" w:name="_Toc424742185"/>
      <w:r>
        <w:rPr>
          <w:rStyle w:val="CharSectno"/>
        </w:rPr>
        <w:t>38</w:t>
      </w:r>
      <w:r>
        <w:rPr>
          <w:snapToGrid w:val="0"/>
        </w:rPr>
        <w:t>.</w:t>
      </w:r>
      <w:r>
        <w:rPr>
          <w:snapToGrid w:val="0"/>
        </w:rPr>
        <w:tab/>
        <w:t>Agreement not affected by later amendments to Code</w:t>
      </w:r>
      <w:bookmarkEnd w:id="173"/>
      <w:bookmarkEnd w:id="174"/>
      <w:bookmarkEnd w:id="175"/>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176" w:name="_Toc378668125"/>
      <w:bookmarkStart w:id="177" w:name="_Toc424742052"/>
      <w:bookmarkStart w:id="178" w:name="_Toc424742186"/>
      <w:bookmarkStart w:id="179" w:name="_Toc427329023"/>
      <w:r>
        <w:rPr>
          <w:rStyle w:val="CharDivNo"/>
        </w:rPr>
        <w:t>Division 2</w:t>
      </w:r>
      <w:r>
        <w:t xml:space="preserve"> — </w:t>
      </w:r>
      <w:r>
        <w:rPr>
          <w:rStyle w:val="CharDivText"/>
        </w:rPr>
        <w:t>Notice and registration of access agreements and determinations</w:t>
      </w:r>
      <w:bookmarkEnd w:id="176"/>
      <w:bookmarkEnd w:id="177"/>
      <w:bookmarkEnd w:id="178"/>
      <w:bookmarkEnd w:id="179"/>
    </w:p>
    <w:p>
      <w:pPr>
        <w:pStyle w:val="Heading5"/>
        <w:rPr>
          <w:snapToGrid w:val="0"/>
        </w:rPr>
      </w:pPr>
      <w:bookmarkStart w:id="180" w:name="_Toc378668126"/>
      <w:bookmarkStart w:id="181" w:name="_Toc427329024"/>
      <w:bookmarkStart w:id="182" w:name="_Toc424742187"/>
      <w:r>
        <w:rPr>
          <w:rStyle w:val="CharSectno"/>
        </w:rPr>
        <w:t>39</w:t>
      </w:r>
      <w:r>
        <w:rPr>
          <w:snapToGrid w:val="0"/>
        </w:rPr>
        <w:t>.</w:t>
      </w:r>
      <w:r>
        <w:rPr>
          <w:snapToGrid w:val="0"/>
        </w:rPr>
        <w:tab/>
        <w:t>Registration of agreements and determinations</w:t>
      </w:r>
      <w:bookmarkEnd w:id="180"/>
      <w:bookmarkEnd w:id="181"/>
      <w:bookmarkEnd w:id="182"/>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Heading2"/>
      </w:pPr>
      <w:bookmarkStart w:id="183" w:name="_Toc378668127"/>
      <w:bookmarkStart w:id="184" w:name="_Toc424742054"/>
      <w:bookmarkStart w:id="185" w:name="_Toc424742188"/>
      <w:bookmarkStart w:id="186" w:name="_Toc427329025"/>
      <w:r>
        <w:rPr>
          <w:rStyle w:val="CharPartNo"/>
        </w:rPr>
        <w:t>Part 5</w:t>
      </w:r>
      <w:r>
        <w:rPr>
          <w:rStyle w:val="CharDivNo"/>
        </w:rPr>
        <w:t xml:space="preserve"> </w:t>
      </w:r>
      <w:r>
        <w:t>—</w:t>
      </w:r>
      <w:r>
        <w:rPr>
          <w:rStyle w:val="CharDivText"/>
        </w:rPr>
        <w:t xml:space="preserve"> </w:t>
      </w:r>
      <w:r>
        <w:rPr>
          <w:rStyle w:val="CharPartText"/>
        </w:rPr>
        <w:t>Certain approval functions of Regulator</w:t>
      </w:r>
      <w:bookmarkEnd w:id="183"/>
      <w:bookmarkEnd w:id="184"/>
      <w:bookmarkEnd w:id="185"/>
      <w:bookmarkEnd w:id="186"/>
      <w:r>
        <w:rPr>
          <w:rStyle w:val="CharPartText"/>
        </w:rPr>
        <w:t xml:space="preserve"> </w:t>
      </w:r>
    </w:p>
    <w:p>
      <w:pPr>
        <w:pStyle w:val="Heading5"/>
        <w:rPr>
          <w:snapToGrid w:val="0"/>
        </w:rPr>
      </w:pPr>
      <w:bookmarkStart w:id="187" w:name="_Toc378668128"/>
      <w:bookmarkStart w:id="188" w:name="_Toc427329026"/>
      <w:bookmarkStart w:id="189" w:name="_Toc424742189"/>
      <w:r>
        <w:rPr>
          <w:rStyle w:val="CharSectno"/>
        </w:rPr>
        <w:t>40</w:t>
      </w:r>
      <w:r>
        <w:rPr>
          <w:snapToGrid w:val="0"/>
        </w:rPr>
        <w:t>.</w:t>
      </w:r>
      <w:r>
        <w:rPr>
          <w:snapToGrid w:val="0"/>
        </w:rPr>
        <w:tab/>
        <w:t>Interpretation</w:t>
      </w:r>
      <w:bookmarkEnd w:id="187"/>
      <w:bookmarkEnd w:id="188"/>
      <w:bookmarkEnd w:id="189"/>
    </w:p>
    <w:p>
      <w:pPr>
        <w:pStyle w:val="Subsection"/>
        <w:rPr>
          <w:snapToGrid w:val="0"/>
        </w:rPr>
      </w:pPr>
      <w:r>
        <w:rPr>
          <w:snapToGrid w:val="0"/>
        </w:rPr>
        <w:tab/>
        <w:t>(1)</w:t>
      </w:r>
      <w:r>
        <w:rPr>
          <w:snapToGrid w:val="0"/>
        </w:rPr>
        <w:tab/>
        <w:t>Nothing in this Part limits the function of the Regulator under Part 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Part 5 instrument</w:t>
      </w:r>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r>
        <w:tab/>
        <w:t>for the time being approved or determined under sections 43, 44, 46 and 47 respectively.</w:t>
      </w:r>
    </w:p>
    <w:p>
      <w:pPr>
        <w:pStyle w:val="Heading5"/>
      </w:pPr>
      <w:bookmarkStart w:id="190" w:name="_Toc378668129"/>
      <w:bookmarkStart w:id="191" w:name="_Toc427329027"/>
      <w:bookmarkStart w:id="192" w:name="_Toc424742190"/>
      <w:r>
        <w:rPr>
          <w:rStyle w:val="CharSectno"/>
        </w:rPr>
        <w:t>41</w:t>
      </w:r>
      <w:r>
        <w:t>.</w:t>
      </w:r>
      <w:r>
        <w:tab/>
        <w:t>Matters to be considered by Regulator</w:t>
      </w:r>
      <w:bookmarkEnd w:id="190"/>
      <w:bookmarkEnd w:id="191"/>
      <w:bookmarkEnd w:id="192"/>
    </w:p>
    <w:p>
      <w:pPr>
        <w:pStyle w:val="Subsection"/>
      </w:pPr>
      <w:r>
        <w:tab/>
      </w:r>
      <w:r>
        <w:tab/>
        <w:t xml:space="preserve">For the purposes of performing his or her functions under section 29(1) of the Act or section 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193" w:name="_Toc378668130"/>
      <w:bookmarkStart w:id="194" w:name="_Toc427329028"/>
      <w:bookmarkStart w:id="195" w:name="_Toc424742191"/>
      <w:r>
        <w:rPr>
          <w:rStyle w:val="CharSectno"/>
        </w:rPr>
        <w:t>42</w:t>
      </w:r>
      <w:r>
        <w:rPr>
          <w:snapToGrid w:val="0"/>
        </w:rPr>
        <w:t>.</w:t>
      </w:r>
      <w:r>
        <w:rPr>
          <w:snapToGrid w:val="0"/>
        </w:rPr>
        <w:tab/>
        <w:t>Public comment before approval given to segregation arrangements</w:t>
      </w:r>
      <w:bookmarkEnd w:id="193"/>
      <w:bookmarkEnd w:id="194"/>
      <w:bookmarkEnd w:id="195"/>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196" w:name="_Toc378668131"/>
      <w:bookmarkStart w:id="197" w:name="_Toc427329029"/>
      <w:bookmarkStart w:id="198" w:name="_Toc424742192"/>
      <w:r>
        <w:rPr>
          <w:rStyle w:val="CharSectno"/>
        </w:rPr>
        <w:t>43</w:t>
      </w:r>
      <w:r>
        <w:rPr>
          <w:snapToGrid w:val="0"/>
        </w:rPr>
        <w:t>.</w:t>
      </w:r>
      <w:r>
        <w:rPr>
          <w:snapToGrid w:val="0"/>
        </w:rPr>
        <w:tab/>
        <w:t>Railway owner to comply with approved train management guidelines</w:t>
      </w:r>
      <w:bookmarkEnd w:id="196"/>
      <w:bookmarkEnd w:id="197"/>
      <w:bookmarkEnd w:id="198"/>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rStyle w:val="CharDefText"/>
        </w:rPr>
        <w:t>the train management guidelines</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199" w:name="_Toc378668132"/>
      <w:bookmarkStart w:id="200" w:name="_Toc427329030"/>
      <w:bookmarkStart w:id="201" w:name="_Toc424742193"/>
      <w:r>
        <w:rPr>
          <w:rStyle w:val="CharSectno"/>
        </w:rPr>
        <w:t>44</w:t>
      </w:r>
      <w:r>
        <w:rPr>
          <w:snapToGrid w:val="0"/>
        </w:rPr>
        <w:t>.</w:t>
      </w:r>
      <w:r>
        <w:rPr>
          <w:snapToGrid w:val="0"/>
        </w:rPr>
        <w:tab/>
        <w:t>Certain approved statements of policy to be observed</w:t>
      </w:r>
      <w:bookmarkEnd w:id="199"/>
      <w:bookmarkEnd w:id="200"/>
      <w:bookmarkEnd w:id="201"/>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rStyle w:val="CharDefText"/>
        </w:rPr>
        <w:t>a statement of policy</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202" w:name="_Toc378668133"/>
      <w:bookmarkStart w:id="203" w:name="_Toc427329031"/>
      <w:bookmarkStart w:id="204" w:name="_Toc424742194"/>
      <w:r>
        <w:rPr>
          <w:rStyle w:val="CharSectno"/>
        </w:rPr>
        <w:t>45</w:t>
      </w:r>
      <w:r>
        <w:rPr>
          <w:snapToGrid w:val="0"/>
        </w:rPr>
        <w:t>.</w:t>
      </w:r>
      <w:r>
        <w:rPr>
          <w:snapToGrid w:val="0"/>
        </w:rPr>
        <w:tab/>
        <w:t>Public comment on draft statements under sections 43 and 44</w:t>
      </w:r>
      <w:bookmarkEnd w:id="202"/>
      <w:bookmarkEnd w:id="203"/>
      <w:bookmarkEnd w:id="204"/>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205" w:name="_Toc378668134"/>
      <w:bookmarkStart w:id="206" w:name="_Toc427329032"/>
      <w:bookmarkStart w:id="207" w:name="_Toc424742195"/>
      <w:r>
        <w:rPr>
          <w:rStyle w:val="CharSectno"/>
        </w:rPr>
        <w:t>46</w:t>
      </w:r>
      <w:r>
        <w:rPr>
          <w:snapToGrid w:val="0"/>
        </w:rPr>
        <w:t>.</w:t>
      </w:r>
      <w:r>
        <w:rPr>
          <w:snapToGrid w:val="0"/>
        </w:rPr>
        <w:tab/>
        <w:t>Costing principles</w:t>
      </w:r>
      <w:bookmarkEnd w:id="205"/>
      <w:bookmarkEnd w:id="206"/>
      <w:bookmarkEnd w:id="207"/>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principles, rules and practices (</w:t>
      </w:r>
      <w:r>
        <w:rPr>
          <w:rStyle w:val="CharDefText"/>
        </w:rPr>
        <w:t>the costing principles</w:t>
      </w:r>
      <w:r>
        <w:rPr>
          <w:snapToGrid w:val="0"/>
        </w:rPr>
        <w:t>)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keepNext/>
        <w:rPr>
          <w:snapToGrid w:val="0"/>
        </w:rPr>
      </w:pPr>
      <w:r>
        <w:rPr>
          <w:snapToGrid w:val="0"/>
        </w:rPr>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208" w:name="_Toc378668135"/>
      <w:bookmarkStart w:id="209" w:name="_Toc427329033"/>
      <w:bookmarkStart w:id="210" w:name="_Toc424742196"/>
      <w:r>
        <w:rPr>
          <w:rStyle w:val="CharSectno"/>
        </w:rPr>
        <w:t>47</w:t>
      </w:r>
      <w:r>
        <w:rPr>
          <w:snapToGrid w:val="0"/>
        </w:rPr>
        <w:t>.</w:t>
      </w:r>
      <w:r>
        <w:rPr>
          <w:snapToGrid w:val="0"/>
        </w:rPr>
        <w:tab/>
        <w:t>Over</w:t>
      </w:r>
      <w:r>
        <w:rPr>
          <w:snapToGrid w:val="0"/>
        </w:rPr>
        <w:noBreakHyphen/>
        <w:t>payment rules</w:t>
      </w:r>
      <w:bookmarkEnd w:id="208"/>
      <w:bookmarkEnd w:id="209"/>
      <w:bookmarkEnd w:id="210"/>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rules (</w:t>
      </w:r>
      <w:r>
        <w:rPr>
          <w:rStyle w:val="CharDefText"/>
        </w:rPr>
        <w:t>the over</w:t>
      </w:r>
      <w:r>
        <w:rPr>
          <w:rStyle w:val="CharDefText"/>
        </w:rPr>
        <w:noBreakHyphen/>
        <w:t>payment rules</w:t>
      </w:r>
      <w:r>
        <w:rPr>
          <w:snapToGrid w:val="0"/>
        </w:rPr>
        <w:t>) that are to apply where breaches of clause 8 of Schedule 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keepNext/>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in Gazette 23 Jul 2004 p. 2993.]</w:t>
      </w:r>
    </w:p>
    <w:p>
      <w:pPr>
        <w:pStyle w:val="Heading2"/>
      </w:pPr>
      <w:bookmarkStart w:id="211" w:name="_Toc378668136"/>
      <w:bookmarkStart w:id="212" w:name="_Toc424742063"/>
      <w:bookmarkStart w:id="213" w:name="_Toc424742197"/>
      <w:bookmarkStart w:id="214" w:name="_Toc427329034"/>
      <w:r>
        <w:rPr>
          <w:rStyle w:val="CharPartNo"/>
        </w:rPr>
        <w:t>Part 6</w:t>
      </w:r>
      <w:r>
        <w:rPr>
          <w:rStyle w:val="CharDivNo"/>
        </w:rPr>
        <w:t xml:space="preserve"> </w:t>
      </w:r>
      <w:r>
        <w:t>—</w:t>
      </w:r>
      <w:r>
        <w:rPr>
          <w:rStyle w:val="CharDivText"/>
        </w:rPr>
        <w:t xml:space="preserve"> </w:t>
      </w:r>
      <w:r>
        <w:rPr>
          <w:rStyle w:val="CharPartText"/>
        </w:rPr>
        <w:t>General</w:t>
      </w:r>
      <w:bookmarkEnd w:id="211"/>
      <w:bookmarkEnd w:id="212"/>
      <w:bookmarkEnd w:id="213"/>
      <w:bookmarkEnd w:id="214"/>
      <w:r>
        <w:rPr>
          <w:rStyle w:val="CharPartText"/>
        </w:rPr>
        <w:t xml:space="preserve"> </w:t>
      </w:r>
    </w:p>
    <w:p>
      <w:pPr>
        <w:pStyle w:val="Heading5"/>
        <w:rPr>
          <w:snapToGrid w:val="0"/>
        </w:rPr>
      </w:pPr>
      <w:bookmarkStart w:id="215" w:name="_Toc378668137"/>
      <w:bookmarkStart w:id="216" w:name="_Toc427329035"/>
      <w:bookmarkStart w:id="217" w:name="_Toc424742198"/>
      <w:r>
        <w:rPr>
          <w:rStyle w:val="CharSectno"/>
        </w:rPr>
        <w:t>48</w:t>
      </w:r>
      <w:r>
        <w:rPr>
          <w:snapToGrid w:val="0"/>
        </w:rPr>
        <w:t>.</w:t>
      </w:r>
      <w:r>
        <w:rPr>
          <w:snapToGrid w:val="0"/>
        </w:rPr>
        <w:tab/>
        <w:t>Railway owner must supply certain information if requested</w:t>
      </w:r>
      <w:bookmarkEnd w:id="215"/>
      <w:bookmarkEnd w:id="216"/>
      <w:bookmarkEnd w:id="21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218" w:name="_Toc378668138"/>
      <w:bookmarkStart w:id="219" w:name="_Toc427329036"/>
      <w:bookmarkStart w:id="220" w:name="_Toc424742199"/>
      <w:r>
        <w:rPr>
          <w:rStyle w:val="CharSectno"/>
        </w:rPr>
        <w:t>49</w:t>
      </w:r>
      <w:r>
        <w:rPr>
          <w:snapToGrid w:val="0"/>
        </w:rPr>
        <w:t>.</w:t>
      </w:r>
      <w:r>
        <w:rPr>
          <w:snapToGrid w:val="0"/>
        </w:rPr>
        <w:tab/>
        <w:t>Inquiries and reports by Regulator</w:t>
      </w:r>
      <w:bookmarkEnd w:id="218"/>
      <w:bookmarkEnd w:id="219"/>
      <w:bookmarkEnd w:id="220"/>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221" w:name="_Toc378668139"/>
      <w:bookmarkStart w:id="222" w:name="_Toc427329037"/>
      <w:bookmarkStart w:id="223" w:name="_Toc424742200"/>
      <w:r>
        <w:rPr>
          <w:rStyle w:val="CharSectno"/>
        </w:rPr>
        <w:t>50</w:t>
      </w:r>
      <w:r>
        <w:rPr>
          <w:snapToGrid w:val="0"/>
        </w:rPr>
        <w:t>.</w:t>
      </w:r>
      <w:r>
        <w:rPr>
          <w:snapToGrid w:val="0"/>
        </w:rPr>
        <w:tab/>
        <w:t>Dissemination of information by Regulator</w:t>
      </w:r>
      <w:bookmarkEnd w:id="221"/>
      <w:bookmarkEnd w:id="222"/>
      <w:bookmarkEnd w:id="223"/>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 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224" w:name="_Toc378668140"/>
      <w:bookmarkStart w:id="225" w:name="_Toc427329038"/>
      <w:bookmarkStart w:id="226" w:name="_Toc424742201"/>
      <w:r>
        <w:rPr>
          <w:rStyle w:val="CharSectno"/>
        </w:rPr>
        <w:t>51</w:t>
      </w:r>
      <w:r>
        <w:rPr>
          <w:snapToGrid w:val="0"/>
        </w:rPr>
        <w:t>.</w:t>
      </w:r>
      <w:r>
        <w:rPr>
          <w:snapToGrid w:val="0"/>
        </w:rPr>
        <w:tab/>
        <w:t>Enforcement</w:t>
      </w:r>
      <w:bookmarkEnd w:id="224"/>
      <w:bookmarkEnd w:id="225"/>
      <w:bookmarkEnd w:id="226"/>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rPr>
          <w:snapToGrid w:val="0"/>
        </w:rPr>
      </w:pPr>
      <w:bookmarkStart w:id="227" w:name="_Toc378668141"/>
      <w:bookmarkStart w:id="228" w:name="_Toc427329039"/>
      <w:bookmarkStart w:id="229" w:name="_Toc424742202"/>
      <w:r>
        <w:rPr>
          <w:rStyle w:val="CharSectno"/>
        </w:rPr>
        <w:t>52</w:t>
      </w:r>
      <w:r>
        <w:rPr>
          <w:snapToGrid w:val="0"/>
        </w:rPr>
        <w:t>.</w:t>
      </w:r>
      <w:r>
        <w:rPr>
          <w:snapToGrid w:val="0"/>
        </w:rPr>
        <w:tab/>
        <w:t>Transitional provisions</w:t>
      </w:r>
      <w:bookmarkEnd w:id="227"/>
      <w:bookmarkEnd w:id="228"/>
      <w:bookmarkEnd w:id="229"/>
    </w:p>
    <w:p>
      <w:pPr>
        <w:pStyle w:val="Subsection"/>
        <w:rPr>
          <w:snapToGrid w:val="0"/>
        </w:rPr>
      </w:pPr>
      <w:r>
        <w:rPr>
          <w:snapToGrid w:val="0"/>
        </w:rPr>
        <w:tab/>
        <w:t>(1)</w:t>
      </w:r>
      <w:r>
        <w:rPr>
          <w:snapToGrid w:val="0"/>
        </w:rPr>
        <w:tab/>
        <w:t xml:space="preserve">The first determinations under clause 3(1)(a) of Schedule 4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 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 4, the weighted average cost of capital for the railway infrastructure referred to in that subparagraph is 5.1% </w:t>
      </w:r>
      <w:r>
        <w:rPr>
          <w:snapToGrid w:val="0"/>
          <w:vertAlign w:val="superscript"/>
        </w:rPr>
        <w:t>2</w:t>
      </w:r>
      <w:r>
        <w:rPr>
          <w:snapToGrid w:val="0"/>
        </w:rPr>
        <w:t>.</w:t>
      </w:r>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 </w:t>
      </w:r>
      <w:r>
        <w:rPr>
          <w:snapToGrid w:val="0"/>
          <w:vertAlign w:val="superscript"/>
        </w:rPr>
        <w:t>2</w:t>
      </w:r>
      <w:r>
        <w:rPr>
          <w:snapToGrid w:val="0"/>
        </w:rPr>
        <w:t>.</w:t>
      </w:r>
    </w:p>
    <w:p>
      <w:pPr>
        <w:pStyle w:val="Subsection"/>
      </w:pPr>
      <w:r>
        <w:rPr>
          <w:snapToGrid w:val="0"/>
        </w:rPr>
        <w:tab/>
        <w:t>(5)</w:t>
      </w:r>
      <w:r>
        <w:rPr>
          <w:snapToGrid w:val="0"/>
        </w:rPr>
        <w:tab/>
        <w:t>Until the costing principles are in force under section 46 it is sufficient compliance with subparagraph (iii) of section 9(1)(c) for the railway owner to provide the proponent with a statement prepared by the railway owner showing the principles that have been applied by the railway owner in determining the costs referred to in that subparagraph.</w:t>
      </w:r>
    </w:p>
    <w:p>
      <w:pPr>
        <w:pStyle w:val="Heading5"/>
      </w:pPr>
      <w:bookmarkStart w:id="230" w:name="_Toc378668142"/>
      <w:bookmarkStart w:id="231" w:name="_Toc427329040"/>
      <w:bookmarkStart w:id="232" w:name="_Toc424742203"/>
      <w:r>
        <w:rPr>
          <w:rStyle w:val="CharSectno"/>
        </w:rPr>
        <w:t>53</w:t>
      </w:r>
      <w:r>
        <w:t>.</w:t>
      </w:r>
      <w:r>
        <w:tab/>
        <w:t>Further transitional provision</w:t>
      </w:r>
      <w:bookmarkEnd w:id="230"/>
      <w:bookmarkEnd w:id="231"/>
      <w:bookmarkEnd w:id="232"/>
    </w:p>
    <w:p>
      <w:pPr>
        <w:pStyle w:val="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r>
        <w:rPr>
          <w:snapToGrid w:val="0"/>
        </w:rPr>
        <w:t> </w:t>
      </w:r>
      <w:r>
        <w:rPr>
          <w:snapToGrid w:val="0"/>
          <w:vertAlign w:val="superscript"/>
        </w:rPr>
        <w:t>2</w:t>
      </w:r>
      <w:r>
        <w:t>.</w:t>
      </w:r>
    </w:p>
    <w:p>
      <w:pPr>
        <w:pStyle w:val="Footnotesection"/>
      </w:pPr>
      <w:r>
        <w:tab/>
        <w:t>[Section 53 inserted by Act No. 77 of 2004 s. 12.]</w:t>
      </w:r>
    </w:p>
    <w:p>
      <w:pPr>
        <w:pStyle w:val="Ednotesection"/>
        <w:rPr>
          <w:ins w:id="233" w:author="Master Repository Process" w:date="2021-09-12T11:40:00Z"/>
        </w:rPr>
      </w:pPr>
      <w:ins w:id="234" w:author="Master Repository Process" w:date="2021-09-12T11:40:00Z">
        <w:r>
          <w:t>[</w:t>
        </w:r>
        <w:r>
          <w:rPr>
            <w:b/>
            <w:i w:val="0"/>
          </w:rPr>
          <w:t>54</w:t>
        </w:r>
        <w:r>
          <w:rPr>
            <w:b/>
            <w:i w:val="0"/>
            <w:vertAlign w:val="superscript"/>
          </w:rPr>
          <w:t> 1M</w:t>
        </w:r>
        <w:r>
          <w:rPr>
            <w:b/>
            <w:i w:val="0"/>
          </w:rPr>
          <w:t>.</w:t>
        </w:r>
        <w:r>
          <w:rPr>
            <w:i w:val="0"/>
          </w:rPr>
          <w:tab/>
        </w:r>
        <w:r>
          <w:t>A modification to insert s. 54, has effect under the Railway (Roy Hill Infrastructure Pty Ltd) Agreement Act 2010 s. 12.  See note 1M.]</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5" w:name="_Toc378668143"/>
      <w:bookmarkStart w:id="236" w:name="_Toc424742070"/>
      <w:bookmarkStart w:id="237" w:name="_Toc424742204"/>
      <w:bookmarkStart w:id="238" w:name="_Toc427329041"/>
      <w:r>
        <w:rPr>
          <w:rStyle w:val="CharSchNo"/>
        </w:rPr>
        <w:t>Schedule 1</w:t>
      </w:r>
      <w:r>
        <w:rPr>
          <w:rStyle w:val="CharSDivNo"/>
        </w:rPr>
        <w:t xml:space="preserve"> </w:t>
      </w:r>
      <w:r>
        <w:t>—</w:t>
      </w:r>
      <w:r>
        <w:rPr>
          <w:rStyle w:val="CharSDivText"/>
        </w:rPr>
        <w:t xml:space="preserve"> </w:t>
      </w:r>
      <w:r>
        <w:rPr>
          <w:rStyle w:val="CharSchText"/>
        </w:rPr>
        <w:t>Routes to which this Code applies</w:t>
      </w:r>
      <w:bookmarkEnd w:id="235"/>
      <w:bookmarkEnd w:id="236"/>
      <w:bookmarkEnd w:id="237"/>
      <w:bookmarkEnd w:id="238"/>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 xml:space="preserve">The track between Avon and </w:t>
      </w:r>
      <w:smartTag w:uri="urn:schemas-microsoft-com:office:smarttags" w:element="City">
        <w:r>
          <w:t>Kalgoorlie</w:t>
        </w:r>
      </w:smartTag>
      <w:r>
        <w:t xml:space="preserve">, including the loop and the arrival road adjacent to that track at </w:t>
      </w:r>
      <w:smartTag w:uri="urn:schemas-microsoft-com:office:smarttags" w:element="place">
        <w:r>
          <w:t>West Kalgoorlie</w:t>
        </w:r>
      </w:smartTag>
      <w:r>
        <w:t>.</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 xml:space="preserve">The track between </w:t>
      </w:r>
      <w:smartTag w:uri="urn:schemas-microsoft-com:office:smarttags" w:element="place">
        <w:smartTag w:uri="urn:schemas-microsoft-com:office:smarttags" w:element="City">
          <w:r>
            <w:rPr>
              <w:color w:val="000000"/>
            </w:rPr>
            <w:t>Kalgoorlie</w:t>
          </w:r>
        </w:smartTag>
      </w:smartTag>
      <w:r>
        <w:rPr>
          <w:color w:val="000000"/>
        </w:rPr>
        <w:t xml:space="preserv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 xml:space="preserve">The track between </w:t>
      </w:r>
      <w:smartTag w:uri="urn:schemas-microsoft-com:office:smarttags" w:element="place">
        <w:r>
          <w:t>West Kalgoorlie</w:t>
        </w:r>
      </w:smartTag>
      <w:r>
        <w:t xml:space="preserv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 xml:space="preserve">operative Bulk Handling Limited on the standard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 xml:space="preserve">The track between Avon and </w:t>
      </w:r>
      <w:smartTag w:uri="urn:schemas-microsoft-com:office:smarttags" w:element="place">
        <w:smartTag w:uri="urn:schemas-microsoft-com:office:smarttags" w:element="City">
          <w:r>
            <w:rPr>
              <w:snapToGrid w:val="0"/>
            </w:rPr>
            <w:t>Albany</w:t>
          </w:r>
        </w:smartTag>
      </w:smartTag>
      <w:r>
        <w:rPr>
          <w:snapToGrid w:val="0"/>
        </w:rPr>
        <w:t>.</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 xml:space="preserve">The track between Narrogin and </w:t>
      </w:r>
      <w:smartTag w:uri="urn:schemas-microsoft-com:office:smarttags" w:element="place">
        <w:r>
          <w:rPr>
            <w:snapToGrid w:val="0"/>
          </w:rPr>
          <w:t>West Merredin</w:t>
        </w:r>
      </w:smartTag>
      <w:r>
        <w:rPr>
          <w:snapToGrid w:val="0"/>
        </w:rPr>
        <w:t>.</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 xml:space="preserve">The track between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Grace</w:t>
          </w:r>
        </w:smartTag>
      </w:smartTag>
      <w:r>
        <w:rPr>
          <w:snapToGrid w:val="0"/>
        </w:rPr>
        <w:t xml:space="preserv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 xml:space="preserve">The track between </w:t>
      </w:r>
      <w:smartTag w:uri="urn:schemas-microsoft-com:office:smarttags" w:element="place">
        <w:r>
          <w:rPr>
            <w:snapToGrid w:val="0"/>
          </w:rPr>
          <w:t>West Merredin</w:t>
        </w:r>
      </w:smartTag>
      <w:r>
        <w:rPr>
          <w:snapToGrid w:val="0"/>
        </w:rPr>
        <w:t xml:space="preserve"> and Kondinin.</w:t>
      </w:r>
    </w:p>
    <w:p>
      <w:pPr>
        <w:pStyle w:val="yMiscellaneousBody"/>
        <w:tabs>
          <w:tab w:val="left" w:pos="567"/>
        </w:tabs>
        <w:ind w:left="567" w:hanging="567"/>
        <w:rPr>
          <w:snapToGrid w:val="0"/>
        </w:rPr>
      </w:pPr>
      <w:r>
        <w:rPr>
          <w:snapToGrid w:val="0"/>
        </w:rPr>
        <w:t>33.</w:t>
      </w:r>
      <w:r>
        <w:rPr>
          <w:snapToGrid w:val="0"/>
        </w:rPr>
        <w:tab/>
        <w:t xml:space="preserve">The track between </w:t>
      </w:r>
      <w:smartTag w:uri="urn:schemas-microsoft-com:office:smarttags" w:element="place">
        <w:r>
          <w:rPr>
            <w:snapToGrid w:val="0"/>
          </w:rPr>
          <w:t>West Merredin</w:t>
        </w:r>
      </w:smartTag>
      <w:r>
        <w:rPr>
          <w:snapToGrid w:val="0"/>
        </w:rPr>
        <w:t xml:space="preserve">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 xml:space="preserve">operative Bulk Handling Limited on the narrow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 xml:space="preserve">The track between </w:t>
      </w:r>
      <w:smartTag w:uri="urn:schemas-microsoft-com:office:smarttags" w:element="City">
        <w:r>
          <w:rPr>
            <w:snapToGrid w:val="0"/>
          </w:rPr>
          <w:t>Midland</w:t>
        </w:r>
      </w:smartTag>
      <w:r>
        <w:rPr>
          <w:snapToGrid w:val="0"/>
        </w:rPr>
        <w:t xml:space="preserve"> and </w:t>
      </w:r>
      <w:smartTag w:uri="urn:schemas-microsoft-com:office:smarttags" w:element="place">
        <w:r>
          <w:rPr>
            <w:snapToGrid w:val="0"/>
          </w:rPr>
          <w:t>Avon</w:t>
        </w:r>
      </w:smartTag>
      <w:r>
        <w:rPr>
          <w:snapToGrid w:val="0"/>
        </w:rPr>
        <w:t>.</w:t>
      </w:r>
    </w:p>
    <w:p>
      <w:pPr>
        <w:pStyle w:val="yMiscellaneousBody"/>
        <w:tabs>
          <w:tab w:val="left" w:pos="567"/>
        </w:tabs>
        <w:ind w:left="567" w:hanging="567"/>
        <w:rPr>
          <w:snapToGrid w:val="0"/>
        </w:rPr>
      </w:pPr>
      <w:r>
        <w:rPr>
          <w:snapToGrid w:val="0"/>
        </w:rPr>
        <w:t>45.</w:t>
      </w:r>
      <w:r>
        <w:rPr>
          <w:snapToGrid w:val="0"/>
        </w:rPr>
        <w:tab/>
        <w:t xml:space="preserve">The track between </w:t>
      </w:r>
      <w:smartTag w:uri="urn:schemas-microsoft-com:office:smarttags" w:element="place">
        <w:smartTag w:uri="urn:schemas-microsoft-com:office:smarttags" w:element="City">
          <w:r>
            <w:rPr>
              <w:snapToGrid w:val="0"/>
            </w:rPr>
            <w:t>Midland</w:t>
          </w:r>
        </w:smartTag>
      </w:smartTag>
      <w:r>
        <w:rPr>
          <w:snapToGrid w:val="0"/>
        </w:rPr>
        <w:t xml:space="preserve">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 xml:space="preserve">All spur line tracks servicing customer facilities on the dual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Urban Network</w:t>
      </w:r>
    </w:p>
    <w:p>
      <w:pPr>
        <w:pStyle w:val="yMiscellaneousBody"/>
        <w:tabs>
          <w:tab w:val="left" w:pos="567"/>
        </w:tabs>
        <w:ind w:left="567" w:hanging="567"/>
      </w:pPr>
      <w:r>
        <w:t>49.</w:t>
      </w:r>
      <w:r>
        <w:tab/>
        <w:t xml:space="preserve">The narrow gauge double tracks between </w:t>
      </w:r>
      <w:smartTag w:uri="urn:schemas-microsoft-com:office:smarttags" w:element="place">
        <w:smartTag w:uri="urn:schemas-microsoft-com:office:smarttags" w:element="City">
          <w:r>
            <w:t>Perth</w:t>
          </w:r>
        </w:smartTag>
      </w:smartTag>
      <w:r>
        <w:t xml:space="preserve"> and —</w:t>
      </w:r>
    </w:p>
    <w:p>
      <w:pPr>
        <w:pStyle w:val="yMiscellaneousBody"/>
        <w:tabs>
          <w:tab w:val="left" w:pos="709"/>
          <w:tab w:val="left" w:pos="1276"/>
        </w:tabs>
        <w:ind w:left="1276" w:hanging="1276"/>
      </w:pPr>
      <w:r>
        <w:tab/>
        <w:t>(a)</w:t>
      </w:r>
      <w:r>
        <w:tab/>
        <w:t>Clarkson; and</w:t>
      </w:r>
    </w:p>
    <w:p>
      <w:pPr>
        <w:pStyle w:val="yMiscellaneousBody"/>
        <w:tabs>
          <w:tab w:val="left" w:pos="709"/>
          <w:tab w:val="left" w:pos="1276"/>
        </w:tabs>
        <w:ind w:left="1276" w:hanging="1276"/>
      </w:pPr>
      <w:r>
        <w:tab/>
        <w:t>(b)</w:t>
      </w:r>
      <w:r>
        <w:tab/>
        <w:t>Fremantle; and</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r>
      <w:smartTag w:uri="urn:schemas-microsoft-com:office:smarttags" w:element="place">
        <w:smartTag w:uri="urn:schemas-microsoft-com:office:smarttags" w:element="City">
          <w:r>
            <w:t>Midland</w:t>
          </w:r>
        </w:smartTag>
      </w:smartTag>
      <w:r>
        <w:t>; and</w:t>
      </w:r>
    </w:p>
    <w:p>
      <w:pPr>
        <w:pStyle w:val="yMiscellaneousBody"/>
        <w:tabs>
          <w:tab w:val="left" w:pos="709"/>
          <w:tab w:val="left" w:pos="1276"/>
        </w:tabs>
        <w:ind w:left="1276" w:hanging="1276"/>
      </w:pPr>
      <w:r>
        <w:tab/>
        <w:t>(e)</w:t>
      </w:r>
      <w:r>
        <w:tab/>
        <w:t>Mandurah.</w:t>
      </w:r>
    </w:p>
    <w:p>
      <w:pPr>
        <w:pStyle w:val="yMiscellaneousBody"/>
        <w:tabs>
          <w:tab w:val="left" w:pos="567"/>
        </w:tabs>
        <w:ind w:left="567" w:hanging="567"/>
      </w:pPr>
      <w:r>
        <w:t>50A.</w:t>
      </w:r>
      <w:r>
        <w:tab/>
        <w:t>The narrow gauge single track between Beckenham Junction and Thornlie.</w:t>
      </w:r>
    </w:p>
    <w:p>
      <w:pPr>
        <w:pStyle w:val="yMiscellaneousBody"/>
        <w:tabs>
          <w:tab w:val="left" w:pos="567"/>
        </w:tabs>
        <w:ind w:left="567" w:hanging="567"/>
      </w:pPr>
      <w:r>
        <w:t>50.</w:t>
      </w:r>
      <w:r>
        <w:tab/>
        <w:t xml:space="preserve">The dual gauge track between Robb Jetty and Leighton and the spur line between Leighton and </w:t>
      </w:r>
      <w:smartTag w:uri="urn:schemas-microsoft-com:office:smarttags" w:element="place">
        <w:r>
          <w:t>North Fremantle</w:t>
        </w:r>
      </w:smartTag>
      <w:r>
        <w:t>.</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b/>
        </w:rPr>
      </w:pPr>
      <w:r>
        <w:rPr>
          <w:b/>
        </w:rPr>
        <w:t xml:space="preserve">TPI Railway and </w:t>
      </w:r>
      <w:smartTag w:uri="urn:schemas-microsoft-com:office:smarttags" w:element="Street">
        <w:smartTag w:uri="urn:schemas-microsoft-com:office:smarttags" w:element="address">
          <w:r>
            <w:rPr>
              <w:b/>
            </w:rPr>
            <w:t>Port Agreement Route</w:t>
          </w:r>
        </w:smartTag>
      </w:smartTag>
    </w:p>
    <w:p>
      <w:pPr>
        <w:pStyle w:val="yMiscellaneousBody"/>
        <w:keepNext/>
        <w:keepLines/>
        <w:tabs>
          <w:tab w:val="left" w:pos="567"/>
        </w:tabs>
        <w:ind w:left="567" w:hanging="567"/>
      </w:pPr>
      <w:r>
        <w:t>52.</w:t>
      </w:r>
      <w:r>
        <w:tab/>
        <w:t>All tracks that are part of the railway constructed pursuant to the TPI Railway and Port Agreement.</w:t>
      </w:r>
    </w:p>
    <w:p>
      <w:pPr>
        <w:pStyle w:val="yFootnotesection"/>
      </w:pPr>
      <w:r>
        <w:tab/>
        <w:t>[Schedule 1 inserted in Gazette 23 Jul 2004 p. 2993</w:t>
      </w:r>
      <w:r>
        <w:noBreakHyphen/>
        <w:t>5; amended in Gazette 23 Jun 2009 p. 2416; amended by No. 77 of 2004 s. 13.]</w:t>
      </w:r>
    </w:p>
    <w:p>
      <w:pPr>
        <w:pStyle w:val="yFootnotesection"/>
        <w:rPr>
          <w:ins w:id="239" w:author="Master Repository Process" w:date="2021-09-12T11:40:00Z"/>
        </w:rPr>
      </w:pPr>
      <w:bookmarkStart w:id="240" w:name="_Toc378668144"/>
      <w:bookmarkStart w:id="241" w:name="_Toc424742071"/>
      <w:bookmarkStart w:id="242" w:name="_Toc424742205"/>
      <w:ins w:id="243" w:author="Master Repository Process" w:date="2021-09-12T11:40:00Z">
        <w:r>
          <w:tab/>
          <w:t>[Schedule 1, modifications have effect under the Railway (Roy Hill Infrastructure Pty Ltd) Agreement Act 2010 s. 13.  See note 1M.]</w:t>
        </w:r>
      </w:ins>
    </w:p>
    <w:p>
      <w:pPr>
        <w:pStyle w:val="yScheduleHeading"/>
      </w:pPr>
      <w:bookmarkStart w:id="244" w:name="_Toc427329042"/>
      <w:r>
        <w:rPr>
          <w:rStyle w:val="CharSchNo"/>
        </w:rPr>
        <w:t>Schedule 2</w:t>
      </w:r>
      <w:r>
        <w:t> — </w:t>
      </w:r>
      <w:r>
        <w:rPr>
          <w:rStyle w:val="CharSchText"/>
        </w:rPr>
        <w:t>Information to be made available</w:t>
      </w:r>
      <w:bookmarkEnd w:id="240"/>
      <w:bookmarkEnd w:id="241"/>
      <w:bookmarkEnd w:id="242"/>
      <w:bookmarkEnd w:id="244"/>
    </w:p>
    <w:p>
      <w:pPr>
        <w:pStyle w:val="yShoulderClause"/>
      </w:pPr>
      <w:r>
        <w:t>[s. 6]</w:t>
      </w:r>
    </w:p>
    <w:p>
      <w:pPr>
        <w:pStyle w:val="yFootnoteheading"/>
      </w:pPr>
      <w:r>
        <w:tab/>
        <w:t>[Heading inserted in Gazette 23 Jun 2009 p. 2417.]</w:t>
      </w:r>
    </w:p>
    <w:p>
      <w:pPr>
        <w:pStyle w:val="yHeading5"/>
      </w:pPr>
      <w:bookmarkStart w:id="245" w:name="_Toc378668145"/>
      <w:bookmarkStart w:id="246" w:name="_Toc427329043"/>
      <w:bookmarkStart w:id="247" w:name="_Toc424742206"/>
      <w:r>
        <w:t>Terms used</w:t>
      </w:r>
      <w:bookmarkEnd w:id="245"/>
      <w:bookmarkEnd w:id="246"/>
      <w:bookmarkEnd w:id="247"/>
    </w:p>
    <w:p>
      <w:pPr>
        <w:pStyle w:val="ySubsection"/>
      </w:pPr>
      <w:r>
        <w:tab/>
        <w:t>1.</w:t>
      </w:r>
      <w:r>
        <w:tab/>
        <w:t xml:space="preserve">In item 4 of this Schedule — </w:t>
      </w:r>
    </w:p>
    <w:p>
      <w:pPr>
        <w:pStyle w:val="yDefstart"/>
      </w:pPr>
      <w:r>
        <w:tab/>
      </w:r>
      <w:r>
        <w:rPr>
          <w:rStyle w:val="CharDefText"/>
        </w:rPr>
        <w:t>gross tonnage</w:t>
      </w:r>
      <w:r>
        <w:t xml:space="preserve"> of a train means the total of the weights of the rolling stock of the train and of the freight carried;</w:t>
      </w:r>
    </w:p>
    <w:p>
      <w:pPr>
        <w:pStyle w:val="yDefstart"/>
      </w:pPr>
      <w:r>
        <w:tab/>
      </w:r>
      <w:r>
        <w:rPr>
          <w:rStyle w:val="CharDefText"/>
        </w:rPr>
        <w:t>tonnage of freight carried</w:t>
      </w:r>
      <w:r>
        <w:t xml:space="preserve"> means the gross tonnage of the train less the weight of the rolling stock.</w:t>
      </w:r>
    </w:p>
    <w:p>
      <w:pPr>
        <w:pStyle w:val="yHeading5"/>
      </w:pPr>
      <w:bookmarkStart w:id="248" w:name="_Toc378668146"/>
      <w:bookmarkStart w:id="249" w:name="_Toc427329044"/>
      <w:bookmarkStart w:id="250" w:name="_Toc424742207"/>
      <w:r>
        <w:t>Information</w:t>
      </w:r>
      <w:bookmarkEnd w:id="248"/>
      <w:bookmarkEnd w:id="249"/>
      <w:bookmarkEnd w:id="250"/>
    </w:p>
    <w:p>
      <w:pPr>
        <w:pStyle w:val="ySubsection"/>
      </w:pPr>
      <w:r>
        <w:tab/>
        <w:t>2.</w:t>
      </w:r>
      <w:r>
        <w:tab/>
        <w:t>A map showing a geographical description of the railways network.</w:t>
      </w:r>
    </w:p>
    <w:p>
      <w:pPr>
        <w:pStyle w:val="ySubsection"/>
        <w:rPr>
          <w:snapToGrid w:val="0"/>
        </w:rPr>
      </w:pPr>
      <w:r>
        <w:tab/>
        <w:t>3.</w:t>
      </w:r>
      <w:r>
        <w:tab/>
      </w:r>
      <w:r>
        <w:rPr>
          <w:snapToGrid w:val="0"/>
        </w:rPr>
        <w:t>A map of the routes listed in Schedule 1 showing the configuration of the tracks on each route.</w:t>
      </w:r>
    </w:p>
    <w:p>
      <w:pPr>
        <w:pStyle w:val="ySubsection"/>
        <w:rPr>
          <w:snapToGrid w:val="0"/>
        </w:rPr>
      </w:pPr>
      <w:r>
        <w:tab/>
        <w:t>4.</w:t>
      </w:r>
      <w:r>
        <w:tab/>
      </w:r>
      <w:r>
        <w:rPr>
          <w:snapToGrid w:val="0"/>
        </w:rPr>
        <w:t>For each route section, details of the following — </w:t>
      </w:r>
    </w:p>
    <w:p>
      <w:pPr>
        <w:pStyle w:val="yIndenta"/>
      </w:pPr>
      <w:r>
        <w:tab/>
        <w:t>(a)</w:t>
      </w:r>
      <w:r>
        <w:tab/>
        <w:t>the track diagrams and type of track;</w:t>
      </w:r>
    </w:p>
    <w:p>
      <w:pPr>
        <w:pStyle w:val="yIndenta"/>
        <w:rPr>
          <w:snapToGrid w:val="0"/>
        </w:rPr>
      </w:pPr>
      <w:r>
        <w:tab/>
        <w:t>(b)</w:t>
      </w:r>
      <w:r>
        <w:tab/>
      </w:r>
      <w:r>
        <w:rPr>
          <w:snapToGrid w:val="0"/>
        </w:rPr>
        <w:t xml:space="preserve">the length; </w:t>
      </w:r>
    </w:p>
    <w:p>
      <w:pPr>
        <w:pStyle w:val="yIndenta"/>
      </w:pPr>
      <w:r>
        <w:tab/>
        <w:t>(c)</w:t>
      </w:r>
      <w:r>
        <w:tab/>
        <w:t>the curves and gradients;</w:t>
      </w:r>
    </w:p>
    <w:p>
      <w:pPr>
        <w:pStyle w:val="yIndenta"/>
        <w:rPr>
          <w:snapToGrid w:val="0"/>
        </w:rPr>
      </w:pPr>
      <w:r>
        <w:rPr>
          <w:snapToGrid w:val="0"/>
        </w:rPr>
        <w:tab/>
        <w:t>(d)</w:t>
      </w:r>
      <w:r>
        <w:rPr>
          <w:snapToGrid w:val="0"/>
        </w:rPr>
        <w:tab/>
        <w:t xml:space="preserve">the operating gauge; </w:t>
      </w:r>
    </w:p>
    <w:p>
      <w:pPr>
        <w:pStyle w:val="yIndenta"/>
        <w:rPr>
          <w:snapToGrid w:val="0"/>
        </w:rPr>
      </w:pPr>
      <w:r>
        <w:rPr>
          <w:snapToGrid w:val="0"/>
        </w:rPr>
        <w:tab/>
        <w:t>(e)</w:t>
      </w:r>
      <w:r>
        <w:rPr>
          <w:snapToGrid w:val="0"/>
        </w:rPr>
        <w:tab/>
        <w:t>the location and length of passing loops;</w:t>
      </w:r>
    </w:p>
    <w:p>
      <w:pPr>
        <w:pStyle w:val="yIndenta"/>
        <w:rPr>
          <w:snapToGrid w:val="0"/>
        </w:rPr>
      </w:pPr>
      <w:r>
        <w:tab/>
        <w:t>(f)</w:t>
      </w:r>
      <w:r>
        <w:tab/>
      </w:r>
      <w:r>
        <w:rPr>
          <w:snapToGrid w:val="0"/>
        </w:rPr>
        <w:t>the track and formation characteristics;</w:t>
      </w:r>
    </w:p>
    <w:p>
      <w:pPr>
        <w:pStyle w:val="yIndenta"/>
        <w:rPr>
          <w:snapToGrid w:val="0"/>
        </w:rPr>
      </w:pPr>
      <w:r>
        <w:rPr>
          <w:snapToGrid w:val="0"/>
        </w:rPr>
        <w:tab/>
        <w:t>(g)</w:t>
      </w:r>
      <w:r>
        <w:rPr>
          <w:snapToGrid w:val="0"/>
        </w:rPr>
        <w:tab/>
        <w:t>the running times of existing trains;</w:t>
      </w:r>
    </w:p>
    <w:p>
      <w:pPr>
        <w:pStyle w:val="yIndenta"/>
        <w:rPr>
          <w:snapToGrid w:val="0"/>
        </w:rPr>
      </w:pPr>
      <w:r>
        <w:rPr>
          <w:snapToGrid w:val="0"/>
        </w:rPr>
        <w:tab/>
        <w:t>(h)</w:t>
      </w:r>
      <w:r>
        <w:rPr>
          <w:snapToGrid w:val="0"/>
        </w:rPr>
        <w:tab/>
        <w:t>the maximum axle loads and maximum train speeds;</w:t>
      </w:r>
    </w:p>
    <w:p>
      <w:pPr>
        <w:pStyle w:val="yIndenta"/>
      </w:pPr>
      <w:r>
        <w:tab/>
        <w:t>(i)</w:t>
      </w:r>
      <w:r>
        <w:tab/>
        <w:t>the permanent speed restrictions;</w:t>
      </w:r>
    </w:p>
    <w:p>
      <w:pPr>
        <w:pStyle w:val="yIndenta"/>
      </w:pPr>
      <w:r>
        <w:tab/>
        <w:t>(j)</w:t>
      </w:r>
      <w:r>
        <w:tab/>
        <w:t>the rolling stock dimension limits;</w:t>
      </w:r>
    </w:p>
    <w:p>
      <w:pPr>
        <w:pStyle w:val="yIndenta"/>
        <w:rPr>
          <w:snapToGrid w:val="0"/>
        </w:rPr>
      </w:pPr>
      <w:r>
        <w:rPr>
          <w:snapToGrid w:val="0"/>
        </w:rPr>
        <w:tab/>
        <w:t>(k)</w:t>
      </w:r>
      <w:r>
        <w:rPr>
          <w:snapToGrid w:val="0"/>
        </w:rPr>
        <w:tab/>
      </w:r>
      <w:r>
        <w:t>the</w:t>
      </w:r>
      <w:r>
        <w:rPr>
          <w:snapToGrid w:val="0"/>
        </w:rPr>
        <w:t xml:space="preserve"> indicative maximum train lengths;</w:t>
      </w:r>
    </w:p>
    <w:p>
      <w:pPr>
        <w:pStyle w:val="yIndenta"/>
      </w:pPr>
      <w:r>
        <w:tab/>
        <w:t>(l)</w:t>
      </w:r>
      <w:r>
        <w:tab/>
        <w:t>the total gross tonnage of all trains operated during a period provided for by section 7D;</w:t>
      </w:r>
    </w:p>
    <w:p>
      <w:pPr>
        <w:pStyle w:val="yIndenta"/>
      </w:pPr>
      <w:r>
        <w:tab/>
        <w:t>(m)</w:t>
      </w:r>
      <w:r>
        <w:tab/>
        <w:t>subject to any exemption under section 7B, the total tonnage of freight carried on all trains operated during a period provided for by section 7D;</w:t>
      </w:r>
    </w:p>
    <w:p>
      <w:pPr>
        <w:pStyle w:val="yIndenta"/>
      </w:pPr>
      <w:r>
        <w:tab/>
        <w:t>(n)</w:t>
      </w:r>
      <w:r>
        <w:tab/>
        <w:t>the communication systems;</w:t>
      </w:r>
    </w:p>
    <w:p>
      <w:pPr>
        <w:pStyle w:val="yIndenta"/>
      </w:pPr>
      <w:r>
        <w:tab/>
        <w:t>(o)</w:t>
      </w:r>
      <w:r>
        <w:tab/>
        <w:t>the available capacity.</w:t>
      </w:r>
    </w:p>
    <w:p>
      <w:pPr>
        <w:pStyle w:val="ySubsection"/>
      </w:pPr>
      <w:r>
        <w:tab/>
        <w:t>5.</w:t>
      </w:r>
      <w:r>
        <w:tab/>
        <w:t>The train control systems operating on the network.</w:t>
      </w:r>
    </w:p>
    <w:p>
      <w:pPr>
        <w:pStyle w:val="ySubsection"/>
      </w:pPr>
      <w:r>
        <w:tab/>
        <w:t>6.</w:t>
      </w:r>
      <w:r>
        <w:tab/>
        <w:t>A summary of improvements and capital works proposed to be carried out during a period provided for by section 7E.</w:t>
      </w:r>
    </w:p>
    <w:p>
      <w:pPr>
        <w:pStyle w:val="yFootnotesection"/>
      </w:pPr>
      <w:r>
        <w:tab/>
        <w:t>[Schedule 2 inserted in Gazette 23 Jun 2009 p. 2417</w:t>
      </w:r>
      <w:r>
        <w:noBreakHyphen/>
        <w:t>18.]</w:t>
      </w:r>
    </w:p>
    <w:p>
      <w:pPr>
        <w:pStyle w:val="yScheduleHeading"/>
      </w:pPr>
      <w:bookmarkStart w:id="251" w:name="_Toc378668147"/>
      <w:bookmarkStart w:id="252" w:name="_Toc424742074"/>
      <w:bookmarkStart w:id="253" w:name="_Toc424742208"/>
      <w:bookmarkStart w:id="254" w:name="_Toc427329045"/>
      <w:r>
        <w:rPr>
          <w:rStyle w:val="CharSchNo"/>
        </w:rPr>
        <w:t xml:space="preserve">Schedule 3 </w:t>
      </w:r>
      <w:r>
        <w:t>—</w:t>
      </w:r>
      <w:r>
        <w:rPr>
          <w:rStyle w:val="CharSchText"/>
        </w:rPr>
        <w:t xml:space="preserve"> Matters for which provision to be made in access agreement</w:t>
      </w:r>
      <w:bookmarkEnd w:id="251"/>
      <w:bookmarkEnd w:id="252"/>
      <w:bookmarkEnd w:id="253"/>
      <w:bookmarkEnd w:id="254"/>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ind w:left="1320" w:hanging="2280"/>
        <w:rPr>
          <w:snapToGrid w:val="0"/>
        </w:rPr>
      </w:pPr>
      <w:r>
        <w:tab/>
        <w:t>(a)</w:t>
      </w:r>
      <w:r>
        <w:tab/>
      </w:r>
      <w:r>
        <w:rPr>
          <w:snapToGrid w:val="0"/>
        </w:rPr>
        <w:t xml:space="preserve">as being competent to carry out functions in rail operations; and </w:t>
      </w:r>
    </w:p>
    <w:p>
      <w:pPr>
        <w:pStyle w:val="yNumberedItem"/>
        <w:ind w:left="1321" w:hanging="2279"/>
        <w:rPr>
          <w:snapToGrid w:val="0"/>
        </w:rPr>
      </w:pPr>
      <w:r>
        <w:tab/>
        <w:t xml:space="preserve">(b) </w:t>
      </w:r>
      <w:r>
        <w:tab/>
      </w:r>
      <w:r>
        <w:rPr>
          <w:snapToGrid w:val="0"/>
        </w:rPr>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ind w:left="1320" w:hanging="2280"/>
        <w:rPr>
          <w:snapToGrid w:val="0"/>
        </w:rPr>
      </w:pPr>
      <w:r>
        <w:tab/>
        <w:t>(</w:t>
      </w:r>
      <w:r>
        <w:rPr>
          <w:snapToGrid w:val="0"/>
        </w:rPr>
        <w:t>a)</w:t>
      </w:r>
      <w:r>
        <w:rPr>
          <w:snapToGrid w:val="0"/>
        </w:rPr>
        <w:tab/>
        <w:t>the inspection of;</w:t>
      </w:r>
    </w:p>
    <w:p>
      <w:pPr>
        <w:pStyle w:val="yNumberedItem"/>
        <w:ind w:left="1320" w:hanging="2280"/>
        <w:rPr>
          <w:snapToGrid w:val="0"/>
        </w:rPr>
      </w:pPr>
      <w:r>
        <w:rPr>
          <w:snapToGrid w:val="0"/>
        </w:rPr>
        <w:tab/>
        <w:t>(b)</w:t>
      </w:r>
      <w:r>
        <w:rPr>
          <w:snapToGrid w:val="0"/>
        </w:rPr>
        <w:tab/>
        <w:t>the obtaining of information about; and</w:t>
      </w:r>
    </w:p>
    <w:p>
      <w:pPr>
        <w:pStyle w:val="yNumberedItem"/>
        <w:ind w:left="1320" w:hanging="2280"/>
        <w:rPr>
          <w:snapToGrid w:val="0"/>
        </w:rPr>
      </w:pPr>
      <w:r>
        <w:rPr>
          <w:snapToGrid w:val="0"/>
        </w:rPr>
        <w:tab/>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sectPr>
          <w:headerReference w:type="even" r:id="rId21"/>
          <w:headerReference w:type="default" r:id="rId22"/>
          <w:pgSz w:w="11907" w:h="16840" w:code="9"/>
          <w:pgMar w:top="2376" w:right="2405" w:bottom="3542" w:left="2405" w:header="706" w:footer="3380" w:gutter="0"/>
          <w:cols w:space="720"/>
          <w:noEndnote/>
          <w:docGrid w:linePitch="326"/>
        </w:sectPr>
      </w:pPr>
      <w:r>
        <w:rPr>
          <w:snapToGrid w:val="0"/>
        </w:rPr>
        <w:t>23.</w:t>
      </w:r>
      <w:r>
        <w:rPr>
          <w:snapToGrid w:val="0"/>
        </w:rPr>
        <w:tab/>
        <w:t>Security for the payment of amounts becoming payable under the agreement.</w:t>
      </w:r>
    </w:p>
    <w:p>
      <w:pPr>
        <w:pStyle w:val="yScheduleHeading"/>
      </w:pPr>
      <w:bookmarkStart w:id="256" w:name="_Toc378668148"/>
      <w:bookmarkStart w:id="257" w:name="_Toc424742075"/>
      <w:bookmarkStart w:id="258" w:name="_Toc424742209"/>
      <w:bookmarkStart w:id="259" w:name="_Toc427329046"/>
      <w:r>
        <w:rPr>
          <w:rStyle w:val="CharSchNo"/>
        </w:rPr>
        <w:t xml:space="preserve">Schedule 4 </w:t>
      </w:r>
      <w:r>
        <w:t>—</w:t>
      </w:r>
      <w:r>
        <w:rPr>
          <w:rStyle w:val="CharSchText"/>
        </w:rPr>
        <w:t xml:space="preserve"> Provisions relating to prices to be paid for access</w:t>
      </w:r>
      <w:bookmarkEnd w:id="256"/>
      <w:bookmarkEnd w:id="257"/>
      <w:bookmarkEnd w:id="258"/>
      <w:bookmarkEnd w:id="259"/>
    </w:p>
    <w:p>
      <w:pPr>
        <w:pStyle w:val="yShoulderClause"/>
        <w:rPr>
          <w:snapToGrid w:val="0"/>
        </w:rPr>
      </w:pPr>
      <w:r>
        <w:rPr>
          <w:snapToGrid w:val="0"/>
        </w:rPr>
        <w:t>[s. 17(1)(b)]</w:t>
      </w:r>
    </w:p>
    <w:p>
      <w:pPr>
        <w:pStyle w:val="yHeading3"/>
      </w:pPr>
      <w:bookmarkStart w:id="260" w:name="_Toc378668149"/>
      <w:bookmarkStart w:id="261" w:name="_Toc424742076"/>
      <w:bookmarkStart w:id="262" w:name="_Toc424742210"/>
      <w:bookmarkStart w:id="263" w:name="_Toc427329047"/>
      <w:r>
        <w:rPr>
          <w:rStyle w:val="CharSDivNo"/>
        </w:rPr>
        <w:t>Division 1</w:t>
      </w:r>
      <w:r>
        <w:t xml:space="preserve"> — </w:t>
      </w:r>
      <w:r>
        <w:rPr>
          <w:rStyle w:val="CharSDivText"/>
        </w:rPr>
        <w:t>Preliminary</w:t>
      </w:r>
      <w:bookmarkEnd w:id="260"/>
      <w:bookmarkEnd w:id="261"/>
      <w:bookmarkEnd w:id="262"/>
      <w:bookmarkEnd w:id="263"/>
    </w:p>
    <w:p>
      <w:pPr>
        <w:pStyle w:val="yHeading5"/>
        <w:rPr>
          <w:snapToGrid w:val="0"/>
        </w:rPr>
      </w:pPr>
      <w:bookmarkStart w:id="264" w:name="_Toc378668150"/>
      <w:bookmarkStart w:id="265" w:name="_Toc427329048"/>
      <w:bookmarkStart w:id="266" w:name="_Toc424742211"/>
      <w:r>
        <w:rPr>
          <w:rStyle w:val="CharSClsNo"/>
        </w:rPr>
        <w:t>1</w:t>
      </w:r>
      <w:r>
        <w:rPr>
          <w:snapToGrid w:val="0"/>
        </w:rPr>
        <w:t>.</w:t>
      </w:r>
      <w:r>
        <w:rPr>
          <w:snapToGrid w:val="0"/>
        </w:rPr>
        <w:tab/>
        <w:t>Terms used</w:t>
      </w:r>
      <w:bookmarkEnd w:id="264"/>
      <w:bookmarkEnd w:id="265"/>
      <w:bookmarkEnd w:id="266"/>
    </w:p>
    <w:p>
      <w:pPr>
        <w:pStyle w:val="ySubsection"/>
        <w:rPr>
          <w:snapToGrid w:val="0"/>
        </w:rPr>
      </w:pPr>
      <w:r>
        <w:rPr>
          <w:snapToGrid w:val="0"/>
        </w:rPr>
        <w:tab/>
      </w:r>
      <w:r>
        <w:rPr>
          <w:snapToGrid w:val="0"/>
        </w:rPr>
        <w:tab/>
        <w:t>In this Schedule — </w:t>
      </w:r>
    </w:p>
    <w:p>
      <w:pPr>
        <w:pStyle w:val="yDefstart"/>
      </w:pPr>
      <w:r>
        <w:tab/>
      </w:r>
      <w:r>
        <w:rPr>
          <w:rStyle w:val="CharDefText"/>
        </w:rPr>
        <w:t>access</w:t>
      </w:r>
      <w:r>
        <w:rPr>
          <w:rStyle w:val="CharDefText"/>
        </w:rPr>
        <w:noBreakHyphen/>
        <w:t>related functions</w:t>
      </w:r>
      <w:r>
        <w:t xml:space="preserve"> means the functions involved in arranging the provision of access to railway infrastructure under this Code; </w:t>
      </w:r>
    </w:p>
    <w:p>
      <w:pPr>
        <w:pStyle w:val="yDefstart"/>
      </w:pPr>
      <w:r>
        <w:tab/>
      </w:r>
      <w:r>
        <w:rPr>
          <w:rStyle w:val="CharDefText"/>
        </w:rPr>
        <w:t>incremental costs</w:t>
      </w:r>
      <w:r>
        <w:t>,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pPr>
      <w:r>
        <w:tab/>
        <w:t>(i)</w:t>
      </w:r>
      <w:r>
        <w:tab/>
        <w:t>the capital costs; and</w:t>
      </w:r>
    </w:p>
    <w:p>
      <w:pPr>
        <w:pStyle w:val="yDefsubpara"/>
      </w:pPr>
      <w:r>
        <w:tab/>
        <w:t>(ii)</w:t>
      </w:r>
      <w:r>
        <w:tab/>
        <w:t>the overheads attributable to the performance of the railway owner’s access</w:t>
      </w:r>
      <w:r>
        <w:noBreakHyphen/>
        <w:t>related functions whether by the railway owner or an associate,</w:t>
      </w:r>
    </w:p>
    <w:p>
      <w:pPr>
        <w:pStyle w:val="yDefstart"/>
      </w:pPr>
      <w:r>
        <w:tab/>
        <w:t>that the railway owner or the associate would be able to avoid in respect of the 12 months following the proposed commencement of access if it were not to provide access to that operator or group of operators;</w:t>
      </w:r>
    </w:p>
    <w:p>
      <w:pPr>
        <w:pStyle w:val="yDefstart"/>
      </w:pPr>
      <w:r>
        <w:tab/>
      </w:r>
      <w:r>
        <w:rPr>
          <w:rStyle w:val="CharDefText"/>
        </w:rPr>
        <w:t>operating costs</w:t>
      </w:r>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 xml:space="preserve">the cost of maintenance of railway infrastructure calculated on the basis of cyclical maintenance costs being evenly spread over the maintenance cycle; and </w:t>
      </w:r>
    </w:p>
    <w:p>
      <w:pPr>
        <w:pStyle w:val="yIndenta"/>
      </w:pPr>
      <w:r>
        <w:tab/>
        <w:t>(c)</w:t>
      </w:r>
      <w:r>
        <w:tab/>
        <w:t>payments made in respect of any lease or licence that the railway owner or an associate of the railway owner holds over any land, but only to the extent that the Regulator determines that those payments relate to land used for constructing, maintaining or operating the relevant railway and are not capital costs under clause 2(5),</w:t>
      </w:r>
    </w:p>
    <w:p>
      <w:pPr>
        <w:pStyle w:val="yDefstart"/>
      </w:pPr>
      <w:r>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keepNext/>
      </w:pPr>
      <w:r>
        <w:tab/>
      </w:r>
      <w:r>
        <w:rPr>
          <w:rStyle w:val="CharDefText"/>
        </w:rPr>
        <w:t>total costs</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in Gazette 23 Jul 2004 p. 2995</w:t>
      </w:r>
      <w:r>
        <w:noBreakHyphen/>
        <w:t>6; 20 Sep 2011 p. 3801.]</w:t>
      </w:r>
    </w:p>
    <w:p>
      <w:pPr>
        <w:pStyle w:val="yHeading5"/>
        <w:rPr>
          <w:snapToGrid w:val="0"/>
        </w:rPr>
      </w:pPr>
      <w:bookmarkStart w:id="267" w:name="_Toc378668151"/>
      <w:bookmarkStart w:id="268" w:name="_Toc427329049"/>
      <w:bookmarkStart w:id="269" w:name="_Toc424742212"/>
      <w:r>
        <w:rPr>
          <w:rStyle w:val="CharSClsNo"/>
        </w:rPr>
        <w:t>2</w:t>
      </w:r>
      <w:r>
        <w:rPr>
          <w:snapToGrid w:val="0"/>
        </w:rPr>
        <w:t>.</w:t>
      </w:r>
      <w:r>
        <w:rPr>
          <w:snapToGrid w:val="0"/>
        </w:rPr>
        <w:tab/>
        <w:t>Railway infrastructure</w:t>
      </w:r>
      <w:bookmarkEnd w:id="267"/>
      <w:bookmarkEnd w:id="268"/>
      <w:bookmarkEnd w:id="269"/>
    </w:p>
    <w:p>
      <w:pPr>
        <w:pStyle w:val="ySubsection"/>
        <w:rPr>
          <w:snapToGrid w:val="0"/>
        </w:rPr>
      </w:pPr>
      <w:r>
        <w:rPr>
          <w:snapToGrid w:val="0"/>
        </w:rPr>
        <w:tab/>
        <w:t>(1)</w:t>
      </w:r>
      <w:r>
        <w:rPr>
          <w:snapToGrid w:val="0"/>
        </w:rPr>
        <w:tab/>
        <w:t>In this Schedule — </w:t>
      </w:r>
    </w:p>
    <w:p>
      <w:pPr>
        <w:pStyle w:val="yDefstart"/>
      </w:pPr>
      <w:r>
        <w:tab/>
      </w:r>
      <w:r>
        <w:rPr>
          <w:rStyle w:val="CharDefText"/>
        </w:rPr>
        <w:t>capital costs</w:t>
      </w:r>
      <w:r>
        <w:t xml:space="preserve"> means the costs comprising both the depreciation and risk</w:t>
      </w:r>
      <w:r>
        <w:noBreakHyphen/>
        <w:t>adjusted return on the relevant railway infrastructure.</w:t>
      </w:r>
    </w:p>
    <w:p>
      <w:pPr>
        <w:pStyle w:val="ySubsection"/>
      </w:pPr>
      <w:r>
        <w:tab/>
        <w:t>(2)</w:t>
      </w:r>
      <w:r>
        <w:tab/>
        <w:t>For the purposes of this clause, railway infrastructure includes a cutting or embankment made for any reason after the commencement of this Code.</w:t>
      </w:r>
    </w:p>
    <w:p>
      <w:pPr>
        <w:pStyle w:val="ySubsection"/>
        <w:rPr>
          <w:snapToGrid w:val="0"/>
        </w:rPr>
      </w:pPr>
      <w:r>
        <w:rPr>
          <w:snapToGrid w:val="0"/>
        </w:rPr>
        <w:tab/>
        <w:t>(3)</w:t>
      </w:r>
      <w:r>
        <w:rPr>
          <w:snapToGrid w:val="0"/>
        </w:rPr>
        <w:tab/>
      </w:r>
      <w:r>
        <w:t>Capital costs (other than capital costs under subclause (5))</w:t>
      </w:r>
      <w:r>
        <w:rPr>
          <w:snapToGrid w:val="0"/>
        </w:rPr>
        <w:t xml:space="preserve">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the Gross Replacement Value (</w:t>
      </w:r>
      <w:r>
        <w:rPr>
          <w:rStyle w:val="CharDefText"/>
        </w:rPr>
        <w:t>GRV</w:t>
      </w:r>
      <w:r>
        <w:rPr>
          <w:snapToGrid w:val="0"/>
        </w:rPr>
        <w:t>) of the railway infrastructure as the principal;</w:t>
      </w:r>
    </w:p>
    <w:p>
      <w:pPr>
        <w:pStyle w:val="yIndenta"/>
        <w:rPr>
          <w:snapToGrid w:val="0"/>
        </w:rPr>
      </w:pPr>
      <w:r>
        <w:rPr>
          <w:snapToGrid w:val="0"/>
        </w:rPr>
        <w:tab/>
        <w:t>(b)</w:t>
      </w:r>
      <w:r>
        <w:rPr>
          <w:snapToGrid w:val="0"/>
        </w:rPr>
        <w:tab/>
        <w:t>the Weighted Average Cost of Capital (</w:t>
      </w:r>
      <w:r>
        <w:rPr>
          <w:rStyle w:val="CharDefText"/>
        </w:rPr>
        <w:t>WACC</w:t>
      </w:r>
      <w:r>
        <w:rPr>
          <w:snapToGrid w:val="0"/>
        </w:rPr>
        <w:t>) as the interest rate; and</w:t>
      </w:r>
    </w:p>
    <w:p>
      <w:pPr>
        <w:pStyle w:val="yIndenta"/>
        <w:keepNext/>
        <w:keepLines/>
        <w:rPr>
          <w:snapToGrid w:val="0"/>
        </w:rPr>
      </w:pPr>
      <w:r>
        <w:rPr>
          <w:snapToGrid w:val="0"/>
        </w:rPr>
        <w:tab/>
        <w:t>(c)</w:t>
      </w:r>
      <w:r>
        <w:rPr>
          <w:snapToGrid w:val="0"/>
        </w:rPr>
        <w:tab/>
        <w:t>the economic life which is consistent with the basis for the GRV of the railway infrastructure (expressed in years) as the number of periods,</w:t>
      </w:r>
    </w:p>
    <w:p>
      <w:pPr>
        <w:pStyle w:val="yIndenta"/>
        <w:keepNext/>
        <w:keepLines/>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Subsection"/>
      </w:pPr>
      <w:r>
        <w:tab/>
        <w:t>(5)</w:t>
      </w:r>
      <w:r>
        <w:tab/>
        <w:t xml:space="preserve">Capital costs include amounts for the amortisation of — </w:t>
      </w:r>
    </w:p>
    <w:p>
      <w:pPr>
        <w:pStyle w:val="yIndenta"/>
      </w:pPr>
      <w:r>
        <w:tab/>
        <w:t>(a)</w:t>
      </w:r>
      <w:r>
        <w:tab/>
        <w:t>the costs incurred by the railway owner or an associate of the railway owner to acquire any interest in land; and</w:t>
      </w:r>
    </w:p>
    <w:p>
      <w:pPr>
        <w:pStyle w:val="yIndenta"/>
      </w:pPr>
      <w:r>
        <w:tab/>
        <w:t>(b)</w:t>
      </w:r>
      <w:r>
        <w:tab/>
        <w:t>any other costs incurred by the railway owner or an associate of the railway owner in relation to the acquisition of any interest in land (for example, costs in connection with Aboriginal heritage or native title issues or other transaction costs),</w:t>
      </w:r>
    </w:p>
    <w:p>
      <w:pPr>
        <w:pStyle w:val="ySubsection"/>
      </w:pPr>
      <w:r>
        <w:tab/>
      </w:r>
      <w:r>
        <w:tab/>
        <w:t>but only to the extent that the Regulator determines that those amounts relate to the acquisition after the commencement of this Code of an interest in land used for constructing, maintaining or operating the relevant railway.</w:t>
      </w:r>
    </w:p>
    <w:p>
      <w:pPr>
        <w:pStyle w:val="yFootnotesection"/>
      </w:pPr>
      <w:r>
        <w:tab/>
        <w:t>[Clause 2 amended in Gazette 23 Jul 2004 p. 2996; 20 Sep 2011 p. 3802.]</w:t>
      </w:r>
    </w:p>
    <w:p>
      <w:pPr>
        <w:pStyle w:val="yHeading5"/>
        <w:rPr>
          <w:snapToGrid w:val="0"/>
        </w:rPr>
      </w:pPr>
      <w:bookmarkStart w:id="270" w:name="_Toc378668152"/>
      <w:bookmarkStart w:id="271" w:name="_Toc427329050"/>
      <w:bookmarkStart w:id="272" w:name="_Toc424742213"/>
      <w:r>
        <w:rPr>
          <w:rStyle w:val="CharSClsNo"/>
        </w:rPr>
        <w:t>3</w:t>
      </w:r>
      <w:ins w:id="273" w:author="Master Repository Process" w:date="2021-09-12T11:40:00Z">
        <w:r>
          <w:rPr>
            <w:rStyle w:val="CharSClsNo"/>
            <w:vertAlign w:val="superscript"/>
          </w:rPr>
          <w:t> 1M</w:t>
        </w:r>
      </w:ins>
      <w:r>
        <w:rPr>
          <w:snapToGrid w:val="0"/>
        </w:rPr>
        <w:t>.</w:t>
      </w:r>
      <w:r>
        <w:rPr>
          <w:snapToGrid w:val="0"/>
        </w:rPr>
        <w:tab/>
        <w:t>Regulator to determine weighted average cost of capital</w:t>
      </w:r>
      <w:bookmarkEnd w:id="270"/>
      <w:bookmarkEnd w:id="271"/>
      <w:bookmarkEnd w:id="272"/>
      <w:r>
        <w:rPr>
          <w:snapToGrid w:val="0"/>
        </w:rPr>
        <w:t xml:space="preserve"> </w:t>
      </w:r>
    </w:p>
    <w:p>
      <w:pPr>
        <w:pStyle w:val="ySubsection"/>
        <w:spacing w:before="120"/>
        <w:rPr>
          <w:snapToGrid w:val="0"/>
        </w:rPr>
      </w:pPr>
      <w:r>
        <w:rPr>
          <w:snapToGrid w:val="0"/>
        </w:rPr>
        <w:tab/>
        <w:t>(1)</w:t>
      </w:r>
      <w:r>
        <w:rPr>
          <w:snapToGrid w:val="0"/>
        </w:rPr>
        <w:tab/>
        <w:t>For the purposes of clause 2(4)(b),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the railway infrastructure associated with the urban network described in items </w:t>
      </w:r>
      <w:r>
        <w:t>49, 50 and 51</w:t>
      </w:r>
      <w:r>
        <w:rPr>
          <w:snapToGrid w:val="0"/>
        </w:rPr>
        <w:t xml:space="preserve"> in Schedule 1; </w:t>
      </w:r>
    </w:p>
    <w:p>
      <w:pPr>
        <w:pStyle w:val="yIndenti0"/>
      </w:pPr>
      <w:r>
        <w:tab/>
        <w:t>(ia)</w:t>
      </w:r>
      <w:r>
        <w:tab/>
        <w:t>the railway infrastructure associated with that part of the railways network described in item 52 in that Schedule;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spacing w:before="120"/>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w:t>
      </w:r>
      <w:r>
        <w:rPr>
          <w:i w:val="0"/>
          <w:iCs/>
          <w:vertAlign w:val="superscript"/>
        </w:rPr>
        <w:t>2</w:t>
      </w:r>
      <w:r>
        <w:t xml:space="preserve"> amended in Gazette 23 Jul 2004 p. 2996; amended by Act No. 77 of 2004 s. 14.]</w:t>
      </w:r>
    </w:p>
    <w:p>
      <w:pPr>
        <w:pStyle w:val="yFootnotesection"/>
        <w:rPr>
          <w:ins w:id="274" w:author="Master Repository Process" w:date="2021-09-12T11:40:00Z"/>
        </w:rPr>
      </w:pPr>
      <w:bookmarkStart w:id="275" w:name="_Toc378668153"/>
      <w:ins w:id="276" w:author="Master Repository Process" w:date="2021-09-12T11:40:00Z">
        <w:r>
          <w:tab/>
          <w:t>[Clause 3, modification have effect under the Railway (Roy Hill Infrastructure Pty Ltd) Agreement Act 2010 s. 14.  See note 1M.]</w:t>
        </w:r>
      </w:ins>
    </w:p>
    <w:p>
      <w:pPr>
        <w:pStyle w:val="yHeading5"/>
        <w:spacing w:before="180"/>
        <w:rPr>
          <w:snapToGrid w:val="0"/>
        </w:rPr>
      </w:pPr>
      <w:bookmarkStart w:id="277" w:name="_Toc427329051"/>
      <w:bookmarkStart w:id="278" w:name="_Toc424742214"/>
      <w:r>
        <w:rPr>
          <w:rStyle w:val="CharSClsNo"/>
        </w:rPr>
        <w:t>4</w:t>
      </w:r>
      <w:r>
        <w:rPr>
          <w:snapToGrid w:val="0"/>
        </w:rPr>
        <w:t>.</w:t>
      </w:r>
      <w:r>
        <w:rPr>
          <w:snapToGrid w:val="0"/>
        </w:rPr>
        <w:tab/>
        <w:t>Nature of costs</w:t>
      </w:r>
      <w:bookmarkEnd w:id="275"/>
      <w:bookmarkEnd w:id="277"/>
      <w:bookmarkEnd w:id="278"/>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279" w:name="_Toc378668154"/>
      <w:bookmarkStart w:id="280" w:name="_Toc424742081"/>
      <w:bookmarkStart w:id="281" w:name="_Toc424742215"/>
      <w:bookmarkStart w:id="282" w:name="_Toc427329052"/>
      <w:r>
        <w:rPr>
          <w:rStyle w:val="CharSDivNo"/>
        </w:rPr>
        <w:t>Division 2</w:t>
      </w:r>
      <w:r>
        <w:rPr>
          <w:snapToGrid w:val="0"/>
        </w:rPr>
        <w:t xml:space="preserve"> — </w:t>
      </w:r>
      <w:r>
        <w:rPr>
          <w:rStyle w:val="CharSDivText"/>
        </w:rPr>
        <w:t>Provisions relating to access price negotiation</w:t>
      </w:r>
      <w:bookmarkEnd w:id="279"/>
      <w:bookmarkEnd w:id="280"/>
      <w:bookmarkEnd w:id="281"/>
      <w:bookmarkEnd w:id="282"/>
    </w:p>
    <w:p>
      <w:pPr>
        <w:pStyle w:val="yHeading5"/>
        <w:spacing w:before="180"/>
        <w:rPr>
          <w:snapToGrid w:val="0"/>
        </w:rPr>
      </w:pPr>
      <w:bookmarkStart w:id="283" w:name="_Toc378668155"/>
      <w:bookmarkStart w:id="284" w:name="_Toc427329053"/>
      <w:bookmarkStart w:id="285" w:name="_Toc424742216"/>
      <w:r>
        <w:rPr>
          <w:rStyle w:val="CharSClsNo"/>
        </w:rPr>
        <w:t>5</w:t>
      </w:r>
      <w:r>
        <w:rPr>
          <w:snapToGrid w:val="0"/>
        </w:rPr>
        <w:t>.</w:t>
      </w:r>
      <w:r>
        <w:rPr>
          <w:snapToGrid w:val="0"/>
        </w:rPr>
        <w:tab/>
        <w:t>Term used: other entities</w:t>
      </w:r>
      <w:bookmarkEnd w:id="283"/>
      <w:bookmarkEnd w:id="284"/>
      <w:bookmarkEnd w:id="285"/>
    </w:p>
    <w:p>
      <w:pPr>
        <w:pStyle w:val="ySubsection"/>
        <w:spacing w:before="120"/>
        <w:rPr>
          <w:snapToGrid w:val="0"/>
        </w:rPr>
      </w:pPr>
      <w:r>
        <w:rPr>
          <w:snapToGrid w:val="0"/>
        </w:rPr>
        <w:tab/>
      </w:r>
      <w:r>
        <w:rPr>
          <w:snapToGrid w:val="0"/>
        </w:rPr>
        <w:tab/>
        <w:t>In clauses 7(2) and 8(3) — </w:t>
      </w:r>
    </w:p>
    <w:p>
      <w:pPr>
        <w:pStyle w:val="yDefstart"/>
        <w:spacing w:before="60"/>
      </w:pPr>
      <w:r>
        <w:tab/>
      </w:r>
      <w:r>
        <w:rPr>
          <w:rStyle w:val="CharDefText"/>
        </w:rPr>
        <w:t>other entities</w:t>
      </w:r>
      <w:r>
        <w:t xml:space="preserve"> means entities to which access is provided otherwise than under this Code.</w:t>
      </w:r>
    </w:p>
    <w:p>
      <w:pPr>
        <w:pStyle w:val="yHeading5"/>
        <w:rPr>
          <w:snapToGrid w:val="0"/>
        </w:rPr>
      </w:pPr>
      <w:bookmarkStart w:id="286" w:name="_Toc378668156"/>
      <w:bookmarkStart w:id="287" w:name="_Toc427329054"/>
      <w:bookmarkStart w:id="288" w:name="_Toc424742217"/>
      <w:r>
        <w:rPr>
          <w:rStyle w:val="CharSClsNo"/>
        </w:rPr>
        <w:t>6</w:t>
      </w:r>
      <w:r>
        <w:rPr>
          <w:snapToGrid w:val="0"/>
        </w:rPr>
        <w:t>.</w:t>
      </w:r>
      <w:r>
        <w:rPr>
          <w:snapToGrid w:val="0"/>
        </w:rPr>
        <w:tab/>
        <w:t>Prices to be negotiated</w:t>
      </w:r>
      <w:bookmarkEnd w:id="286"/>
      <w:bookmarkEnd w:id="287"/>
      <w:bookmarkEnd w:id="288"/>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 6 amended in Gazette 23 Jul 2004 p. 2996.]</w:t>
      </w:r>
    </w:p>
    <w:p>
      <w:pPr>
        <w:pStyle w:val="yHeading5"/>
      </w:pPr>
      <w:bookmarkStart w:id="289" w:name="_Toc378668157"/>
      <w:bookmarkStart w:id="290" w:name="_Toc427329055"/>
      <w:bookmarkStart w:id="291" w:name="_Toc424742218"/>
      <w:r>
        <w:rPr>
          <w:rStyle w:val="CharSClsNo"/>
        </w:rPr>
        <w:t>7A</w:t>
      </w:r>
      <w:r>
        <w:t>.</w:t>
      </w:r>
      <w:r>
        <w:tab/>
        <w:t>Apportionment of costs of extension or expansion</w:t>
      </w:r>
      <w:bookmarkEnd w:id="289"/>
      <w:bookmarkEnd w:id="290"/>
      <w:bookmarkEnd w:id="291"/>
    </w:p>
    <w:p>
      <w:pPr>
        <w:pStyle w:val="ySubsection"/>
      </w:pPr>
      <w:r>
        <w:tab/>
        <w:t>(1)</w:t>
      </w:r>
      <w:r>
        <w:tab/>
        <w:t xml:space="preserve">This clause applies where — </w:t>
      </w:r>
    </w:p>
    <w:p>
      <w:pPr>
        <w:pStyle w:val="yIndenta"/>
      </w:pPr>
      <w:r>
        <w:tab/>
        <w:t>(a)</w:t>
      </w:r>
      <w:r>
        <w:tab/>
        <w:t>an extension or expansion of the route or the associated railway infrastructure</w:t>
      </w:r>
      <w:r>
        <w:rPr>
          <w:bCs/>
        </w:rPr>
        <w:t xml:space="preserve"> </w:t>
      </w:r>
      <w:r>
        <w:t>is to be provided for by an access agreement; and</w:t>
      </w:r>
    </w:p>
    <w:p>
      <w:pPr>
        <w:pStyle w:val="yIndenta"/>
      </w:pPr>
      <w:r>
        <w:tab/>
        <w:t>(b)</w:t>
      </w:r>
      <w:r>
        <w:tab/>
        <w:t>it is necessary to determine the costs referred to in clause 6(2)(a).</w:t>
      </w:r>
    </w:p>
    <w:p>
      <w:pPr>
        <w:pStyle w:val="ySubsection"/>
      </w:pPr>
      <w:r>
        <w:tab/>
        <w:t>(2)</w:t>
      </w:r>
      <w:r>
        <w:tab/>
        <w:t xml:space="preserve">The costs are to be apportioned so that each entity that will use the route or the associated railway infrastructure as extended or expanded (the </w:t>
      </w:r>
      <w:r>
        <w:rPr>
          <w:rStyle w:val="CharDefText"/>
        </w:rPr>
        <w:t>enhanced facilities</w:t>
      </w:r>
      <w:r>
        <w:t xml:space="preserve">) is required to bear a share of the costs according to — </w:t>
      </w:r>
    </w:p>
    <w:p>
      <w:pPr>
        <w:pStyle w:val="yIndenta"/>
      </w:pPr>
      <w:r>
        <w:tab/>
        <w:t>(a)</w:t>
      </w:r>
      <w:r>
        <w:tab/>
        <w:t>the extent that the entity will use the enhanced facilities compared to all other users of those facilities; and</w:t>
      </w:r>
    </w:p>
    <w:p>
      <w:pPr>
        <w:pStyle w:val="yIndenta"/>
      </w:pPr>
      <w:r>
        <w:tab/>
        <w:t>(b)</w:t>
      </w:r>
      <w:r>
        <w:tab/>
        <w:t>the economic benefit that the entity is expected to derive from use of the enhanced facilities.</w:t>
      </w:r>
    </w:p>
    <w:p>
      <w:pPr>
        <w:pStyle w:val="ySubsection"/>
      </w:pPr>
      <w:r>
        <w:tab/>
        <w:t>(3)</w:t>
      </w:r>
      <w:r>
        <w:tab/>
        <w:t xml:space="preserve">Subclause (2) applies in respect of an entity only so far as — </w:t>
      </w:r>
    </w:p>
    <w:p>
      <w:pPr>
        <w:pStyle w:val="yIndenta"/>
      </w:pPr>
      <w:r>
        <w:tab/>
        <w:t>(a)</w:t>
      </w:r>
      <w:r>
        <w:tab/>
        <w:t>it is consistent with any agreement between the railway owner and the entity for the entity to be required to bear a share of the costs; or</w:t>
      </w:r>
    </w:p>
    <w:p>
      <w:pPr>
        <w:pStyle w:val="yIndenta"/>
      </w:pPr>
      <w:r>
        <w:tab/>
        <w:t>(b)</w:t>
      </w:r>
      <w:r>
        <w:tab/>
        <w:t>the railway owner is otherwise able to require the entity to bear a share of the costs.</w:t>
      </w:r>
    </w:p>
    <w:p>
      <w:pPr>
        <w:pStyle w:val="ySubsection"/>
      </w:pPr>
      <w:r>
        <w:tab/>
        <w:t>(4)</w:t>
      </w:r>
      <w:r>
        <w:tab/>
        <w:t xml:space="preserve">This clause does not apply to a proposal made under section 8 before the commencement of the </w:t>
      </w:r>
      <w:r>
        <w:rPr>
          <w:i/>
        </w:rPr>
        <w:t>Railways (Access) Amendment Code 2009</w:t>
      </w:r>
      <w:r>
        <w:rPr>
          <w:iCs/>
        </w:rPr>
        <w:t xml:space="preserve"> section 14</w:t>
      </w:r>
      <w:r>
        <w:rPr>
          <w:vertAlign w:val="superscript"/>
        </w:rPr>
        <w:t> 1</w:t>
      </w:r>
      <w:r>
        <w:rPr>
          <w:i/>
        </w:rPr>
        <w:t>.</w:t>
      </w:r>
    </w:p>
    <w:p>
      <w:pPr>
        <w:pStyle w:val="yFootnotesection"/>
      </w:pPr>
      <w:r>
        <w:tab/>
        <w:t>[Clause 7A inserted in Gazette 23 Jun 2009 p. 2418</w:t>
      </w:r>
      <w:r>
        <w:noBreakHyphen/>
        <w:t>19.]</w:t>
      </w:r>
    </w:p>
    <w:p>
      <w:pPr>
        <w:pStyle w:val="yHeading5"/>
        <w:rPr>
          <w:snapToGrid w:val="0"/>
        </w:rPr>
      </w:pPr>
      <w:bookmarkStart w:id="292" w:name="_Toc378668158"/>
      <w:bookmarkStart w:id="293" w:name="_Toc427329056"/>
      <w:bookmarkStart w:id="294" w:name="_Toc424742219"/>
      <w:r>
        <w:rPr>
          <w:rStyle w:val="CharSClsNo"/>
        </w:rPr>
        <w:t>7</w:t>
      </w:r>
      <w:r>
        <w:rPr>
          <w:snapToGrid w:val="0"/>
        </w:rPr>
        <w:t>.</w:t>
      </w:r>
      <w:r>
        <w:rPr>
          <w:snapToGrid w:val="0"/>
        </w:rPr>
        <w:tab/>
        <w:t>Floor price test</w:t>
      </w:r>
      <w:bookmarkEnd w:id="292"/>
      <w:bookmarkEnd w:id="293"/>
      <w:bookmarkEnd w:id="294"/>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tab/>
        <w:t>(ii)</w:t>
      </w:r>
      <w:r>
        <w:rPr>
          <w:snapToGrid w:val="0"/>
        </w:rPr>
        <w:tab/>
        <w:t xml:space="preserve">all other entities, </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295" w:name="_Toc378668159"/>
      <w:bookmarkStart w:id="296" w:name="_Toc427329057"/>
      <w:bookmarkStart w:id="297" w:name="_Toc424742220"/>
      <w:r>
        <w:rPr>
          <w:rStyle w:val="CharSClsNo"/>
        </w:rPr>
        <w:t>8</w:t>
      </w:r>
      <w:r>
        <w:rPr>
          <w:snapToGrid w:val="0"/>
        </w:rPr>
        <w:t>.</w:t>
      </w:r>
      <w:r>
        <w:rPr>
          <w:snapToGrid w:val="0"/>
        </w:rPr>
        <w:tab/>
        <w:t>Ceiling price test</w:t>
      </w:r>
      <w:bookmarkEnd w:id="295"/>
      <w:bookmarkEnd w:id="296"/>
      <w:bookmarkEnd w:id="297"/>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keepNext/>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in Gazette 23 Jul 2004 p. 2996</w:t>
      </w:r>
      <w:r>
        <w:noBreakHyphen/>
        <w:t>7.]</w:t>
      </w:r>
    </w:p>
    <w:p>
      <w:pPr>
        <w:pStyle w:val="yHeading5"/>
        <w:rPr>
          <w:snapToGrid w:val="0"/>
        </w:rPr>
      </w:pPr>
      <w:bookmarkStart w:id="298" w:name="_Toc378668160"/>
      <w:bookmarkStart w:id="299" w:name="_Toc427329058"/>
      <w:bookmarkStart w:id="300" w:name="_Toc424742221"/>
      <w:r>
        <w:rPr>
          <w:rStyle w:val="CharSClsNo"/>
        </w:rPr>
        <w:t>9</w:t>
      </w:r>
      <w:r>
        <w:rPr>
          <w:snapToGrid w:val="0"/>
        </w:rPr>
        <w:t>.</w:t>
      </w:r>
      <w:r>
        <w:rPr>
          <w:snapToGrid w:val="0"/>
        </w:rPr>
        <w:tab/>
        <w:t>Determination of costs by Regulator</w:t>
      </w:r>
      <w:bookmarkEnd w:id="298"/>
      <w:bookmarkEnd w:id="299"/>
      <w:bookmarkEnd w:id="300"/>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 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keepLines/>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301" w:name="_Toc378668161"/>
      <w:bookmarkStart w:id="302" w:name="_Toc427329059"/>
      <w:bookmarkStart w:id="303" w:name="_Toc424742222"/>
      <w:r>
        <w:rPr>
          <w:rStyle w:val="CharSClsNo"/>
        </w:rPr>
        <w:t>10</w:t>
      </w:r>
      <w:r>
        <w:rPr>
          <w:snapToGrid w:val="0"/>
        </w:rPr>
        <w:t>.</w:t>
      </w:r>
      <w:r>
        <w:rPr>
          <w:snapToGrid w:val="0"/>
        </w:rPr>
        <w:tab/>
        <w:t>Determination of costs where clause 9 does not apply</w:t>
      </w:r>
      <w:bookmarkEnd w:id="301"/>
      <w:bookmarkEnd w:id="302"/>
      <w:bookmarkEnd w:id="303"/>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keepNext/>
        <w:rPr>
          <w:snapToGrid w:val="0"/>
        </w:rPr>
      </w:pPr>
      <w:r>
        <w:rPr>
          <w:snapToGrid w:val="0"/>
        </w:rPr>
        <w:tab/>
        <w:t>(b)</w:t>
      </w:r>
      <w:r>
        <w:rPr>
          <w:snapToGrid w:val="0"/>
        </w:rPr>
        <w:tab/>
        <w:t xml:space="preserve">clause 9 does not apply, </w:t>
      </w:r>
    </w:p>
    <w:p>
      <w:pPr>
        <w:pStyle w:val="ySubsection"/>
        <w:rPr>
          <w:snapToGrid w:val="0"/>
        </w:rPr>
      </w:pPr>
      <w:r>
        <w:rPr>
          <w:snapToGrid w:val="0"/>
        </w:rPr>
        <w:tab/>
      </w:r>
      <w:r>
        <w:rPr>
          <w:snapToGrid w:val="0"/>
        </w:rPr>
        <w:tab/>
        <w:t>the railway owner is to determine the costs referred to in clauses 7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 10 amended in Gazette 23 Jul 2004 p. 2997.]</w:t>
      </w:r>
    </w:p>
    <w:p>
      <w:pPr>
        <w:pStyle w:val="yHeading5"/>
        <w:rPr>
          <w:snapToGrid w:val="0"/>
        </w:rPr>
      </w:pPr>
      <w:bookmarkStart w:id="304" w:name="_Toc378668162"/>
      <w:bookmarkStart w:id="305" w:name="_Toc427329060"/>
      <w:bookmarkStart w:id="306" w:name="_Toc424742223"/>
      <w:r>
        <w:rPr>
          <w:rStyle w:val="CharSClsNo"/>
        </w:rPr>
        <w:t>11</w:t>
      </w:r>
      <w:r>
        <w:rPr>
          <w:snapToGrid w:val="0"/>
        </w:rPr>
        <w:t>.</w:t>
      </w:r>
      <w:r>
        <w:rPr>
          <w:snapToGrid w:val="0"/>
        </w:rPr>
        <w:tab/>
        <w:t>Public submissions may be sought</w:t>
      </w:r>
      <w:bookmarkEnd w:id="304"/>
      <w:bookmarkEnd w:id="305"/>
      <w:bookmarkEnd w:id="306"/>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307" w:name="_Toc378668163"/>
      <w:bookmarkStart w:id="308" w:name="_Toc427329061"/>
      <w:bookmarkStart w:id="309" w:name="_Toc424742224"/>
      <w:r>
        <w:rPr>
          <w:rStyle w:val="CharSClsNo"/>
        </w:rPr>
        <w:t>12</w:t>
      </w:r>
      <w:r>
        <w:rPr>
          <w:snapToGrid w:val="0"/>
        </w:rPr>
        <w:t>.</w:t>
      </w:r>
      <w:r>
        <w:rPr>
          <w:snapToGrid w:val="0"/>
        </w:rPr>
        <w:tab/>
        <w:t>Review and redetermination of costs</w:t>
      </w:r>
      <w:bookmarkEnd w:id="307"/>
      <w:bookmarkEnd w:id="308"/>
      <w:bookmarkEnd w:id="309"/>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pPr>
      <w:bookmarkStart w:id="310" w:name="_Toc378668164"/>
      <w:bookmarkStart w:id="311" w:name="_Toc427329062"/>
      <w:bookmarkStart w:id="312" w:name="_Toc424742225"/>
      <w:r>
        <w:rPr>
          <w:rStyle w:val="CharSClsNo"/>
        </w:rPr>
        <w:t>13</w:t>
      </w:r>
      <w:r>
        <w:t>.</w:t>
      </w:r>
      <w:r>
        <w:tab/>
        <w:t>Guidelines to be applied</w:t>
      </w:r>
      <w:bookmarkEnd w:id="310"/>
      <w:bookmarkEnd w:id="311"/>
      <w:bookmarkEnd w:id="312"/>
      <w: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 13 amended in Gazette 23 Jul 2004 p. 2997.]</w:t>
      </w:r>
    </w:p>
    <w:p>
      <w:pPr>
        <w:pStyle w:val="yFootnotesection"/>
        <w:sectPr>
          <w:headerReference w:type="even" r:id="rId23"/>
          <w:headerReference w:type="default" r:id="rId24"/>
          <w:pgSz w:w="11907" w:h="16840" w:code="9"/>
          <w:pgMar w:top="2376" w:right="2405" w:bottom="3542" w:left="2405" w:header="706" w:footer="3380" w:gutter="0"/>
          <w:cols w:space="720"/>
          <w:noEndnote/>
          <w:docGrid w:linePitch="326"/>
        </w:sectPr>
      </w:pPr>
      <w:del w:id="313" w:author="Master Repository Process" w:date="2021-09-12T11:40:00Z">
        <w:r>
          <w:tab/>
        </w:r>
      </w:del>
    </w:p>
    <w:p>
      <w:pPr>
        <w:pStyle w:val="yScheduleHeading"/>
      </w:pPr>
      <w:bookmarkStart w:id="314" w:name="_Toc378668165"/>
      <w:bookmarkStart w:id="315" w:name="_Toc424742092"/>
      <w:bookmarkStart w:id="316" w:name="_Toc424742226"/>
      <w:bookmarkStart w:id="317" w:name="_Toc427329063"/>
      <w:r>
        <w:rPr>
          <w:rStyle w:val="CharSchNo"/>
        </w:rPr>
        <w:t xml:space="preserve">Schedule 5 </w:t>
      </w:r>
      <w:r>
        <w:t>—</w:t>
      </w:r>
      <w:r>
        <w:rPr>
          <w:rStyle w:val="CharSchText"/>
        </w:rPr>
        <w:t xml:space="preserve"> Relevant provisions of Competition Principles Agreement</w:t>
      </w:r>
      <w:bookmarkEnd w:id="314"/>
      <w:bookmarkEnd w:id="315"/>
      <w:bookmarkEnd w:id="316"/>
      <w:bookmarkEnd w:id="317"/>
      <w:r>
        <w:rPr>
          <w:rStyle w:val="CharSchText"/>
        </w:rPr>
        <w:t xml:space="preserve"> </w:t>
      </w:r>
    </w:p>
    <w:p>
      <w:pPr>
        <w:pStyle w:val="yShoulderClause"/>
        <w:rPr>
          <w:snapToGrid w:val="0"/>
        </w:rPr>
      </w:pPr>
      <w:r>
        <w:rPr>
          <w:snapToGrid w:val="0"/>
        </w:rPr>
        <w:t>[s. 29(2)]</w:t>
      </w:r>
    </w:p>
    <w:p>
      <w:pPr>
        <w:pStyle w:val="yMiscellaneousBody"/>
        <w:rPr>
          <w:b/>
          <w:bCs/>
          <w:snapToGrid w:val="0"/>
        </w:rPr>
      </w:pPr>
      <w:r>
        <w:rPr>
          <w:b/>
          <w:bCs/>
          <w:snapToGrid w:val="0"/>
        </w:rPr>
        <w:t>Clause 6(4)(i)</w:t>
      </w:r>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MiscellaneousBody"/>
        <w:rPr>
          <w:b/>
          <w:bCs/>
          <w:snapToGrid w:val="0"/>
        </w:rPr>
      </w:pPr>
      <w:r>
        <w:rPr>
          <w:b/>
          <w:bCs/>
          <w:snapToGrid w:val="0"/>
        </w:rPr>
        <w:t>Clause 6(4)(j)</w:t>
      </w:r>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Indenta"/>
        <w:rPr>
          <w:snapToGrid w:val="0"/>
        </w:rPr>
      </w:pPr>
      <w:r>
        <w:rPr>
          <w:snapToGrid w:val="0"/>
        </w:rPr>
        <w:tab/>
        <w:t>(i)</w:t>
      </w:r>
      <w:r>
        <w:rPr>
          <w:snapToGrid w:val="0"/>
        </w:rPr>
        <w:tab/>
        <w:t>such extension being technically and economically feasible and consistent with the safe and reliable operation of the facility;</w:t>
      </w:r>
    </w:p>
    <w:p>
      <w:pPr>
        <w:pStyle w:val="yIndenta"/>
        <w:rPr>
          <w:snapToGrid w:val="0"/>
        </w:rPr>
      </w:pPr>
      <w:r>
        <w:rPr>
          <w:snapToGrid w:val="0"/>
        </w:rPr>
        <w:tab/>
        <w:t>(ii)</w:t>
      </w:r>
      <w:r>
        <w:rPr>
          <w:snapToGrid w:val="0"/>
        </w:rPr>
        <w:tab/>
        <w:t>the owner’s legitimate business interests in the facility being protected;</w:t>
      </w:r>
    </w:p>
    <w:p>
      <w:pPr>
        <w:pStyle w:val="yIndenta"/>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MiscellaneousBody"/>
        <w:rPr>
          <w:b/>
          <w:bCs/>
          <w:snapToGrid w:val="0"/>
        </w:rPr>
      </w:pPr>
      <w:r>
        <w:rPr>
          <w:b/>
          <w:bCs/>
          <w:snapToGrid w:val="0"/>
        </w:rPr>
        <w:t xml:space="preserve">Clause 6(4)(l) </w:t>
      </w:r>
    </w:p>
    <w:p>
      <w:pPr>
        <w:pStyle w:val="ySubsection"/>
        <w:rPr>
          <w:snapToGrid w:val="0"/>
        </w:rPr>
      </w:pPr>
      <w:r>
        <w:rPr>
          <w:snapToGrid w:val="0"/>
        </w:rPr>
        <w:tab/>
      </w: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318" w:name="_Toc378668166"/>
      <w:bookmarkStart w:id="319" w:name="_Toc424742093"/>
      <w:bookmarkStart w:id="320" w:name="_Toc424742227"/>
      <w:bookmarkStart w:id="321" w:name="_Toc427329064"/>
      <w:r>
        <w:t>Notes</w:t>
      </w:r>
      <w:bookmarkEnd w:id="318"/>
      <w:bookmarkEnd w:id="319"/>
      <w:bookmarkEnd w:id="320"/>
      <w:bookmarkEnd w:id="321"/>
    </w:p>
    <w:p>
      <w:pPr>
        <w:pStyle w:val="nSubsection"/>
        <w:rPr>
          <w:snapToGrid w:val="0"/>
        </w:rPr>
      </w:pPr>
      <w:r>
        <w:rPr>
          <w:snapToGrid w:val="0"/>
          <w:vertAlign w:val="superscript"/>
        </w:rPr>
        <w:t>1</w:t>
      </w:r>
      <w:r>
        <w:rPr>
          <w:snapToGrid w:val="0"/>
        </w:rPr>
        <w:tab/>
        <w:t xml:space="preserve">This is a compilation of the </w:t>
      </w:r>
      <w:r>
        <w:rPr>
          <w:i/>
          <w:noProof/>
          <w:snapToGrid w:val="0"/>
        </w:rPr>
        <w:t>Railways (Access) Code 2000</w:t>
      </w:r>
      <w:r>
        <w:rPr>
          <w:snapToGrid w:val="0"/>
        </w:rPr>
        <w:t xml:space="preserve"> and includes the amendments made by the other written laws referred to in the following table</w:t>
      </w:r>
      <w:r>
        <w:rPr>
          <w:snapToGrid w:val="0"/>
          <w:vertAlign w:val="superscript"/>
        </w:rPr>
        <w:t> </w:t>
      </w:r>
      <w:ins w:id="322" w:author="Master Repository Process" w:date="2021-09-12T11:40:00Z">
        <w:r>
          <w:rPr>
            <w:snapToGrid w:val="0"/>
            <w:vertAlign w:val="superscript"/>
          </w:rPr>
          <w:t xml:space="preserve">1M, </w:t>
        </w:r>
      </w:ins>
      <w:r>
        <w:rPr>
          <w:snapToGrid w:val="0"/>
          <w:vertAlign w:val="superscript"/>
        </w:rPr>
        <w:t>1a</w:t>
      </w:r>
      <w:r>
        <w:rPr>
          <w:snapToGrid w:val="0"/>
        </w:rPr>
        <w:t>.  The table also contains information about any reprint.</w:t>
      </w:r>
    </w:p>
    <w:p>
      <w:pPr>
        <w:pStyle w:val="nHeading3"/>
      </w:pPr>
      <w:bookmarkStart w:id="323" w:name="_Toc378668167"/>
      <w:bookmarkStart w:id="324" w:name="_Toc427329065"/>
      <w:bookmarkStart w:id="325" w:name="_Toc424742228"/>
      <w:r>
        <w:t>Compilation table</w:t>
      </w:r>
      <w:bookmarkEnd w:id="323"/>
      <w:bookmarkEnd w:id="324"/>
      <w:bookmarkEnd w:id="3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rPr>
              <w:t>Railways (Access) Code 2000</w:t>
            </w:r>
          </w:p>
        </w:tc>
        <w:tc>
          <w:tcPr>
            <w:tcW w:w="1276" w:type="dxa"/>
          </w:tcPr>
          <w:p>
            <w:pPr>
              <w:pStyle w:val="nTable"/>
              <w:spacing w:after="40"/>
            </w:pPr>
            <w:r>
              <w:t>8 Sep 2000 p. 5123</w:t>
            </w:r>
            <w:r>
              <w:noBreakHyphen/>
              <w:t>81</w:t>
            </w:r>
          </w:p>
        </w:tc>
        <w:tc>
          <w:tcPr>
            <w:tcW w:w="2693" w:type="dxa"/>
          </w:tcPr>
          <w:p>
            <w:pPr>
              <w:pStyle w:val="nTable"/>
              <w:spacing w:after="40"/>
            </w:pPr>
            <w:r>
              <w:t>1 Sep 2001 (see s. 2 and </w:t>
            </w:r>
            <w:r>
              <w:rPr>
                <w:i/>
              </w:rPr>
              <w:t>Gazette</w:t>
            </w:r>
            <w:r>
              <w:t xml:space="preserve"> 28 Aug 2001 p. 4795)</w:t>
            </w:r>
          </w:p>
        </w:tc>
      </w:tr>
      <w:tr>
        <w:tc>
          <w:tcPr>
            <w:tcW w:w="3119" w:type="dxa"/>
          </w:tcPr>
          <w:p>
            <w:pPr>
              <w:pStyle w:val="nTable"/>
              <w:spacing w:after="40"/>
            </w:pPr>
            <w:r>
              <w:rPr>
                <w:i/>
              </w:rPr>
              <w:t>Railways (Access) Amendment Code 2004</w:t>
            </w:r>
            <w:r>
              <w:t xml:space="preserve"> </w:t>
            </w:r>
            <w:r>
              <w:rPr>
                <w:vertAlign w:val="superscript"/>
              </w:rPr>
              <w:t>3</w:t>
            </w:r>
          </w:p>
        </w:tc>
        <w:tc>
          <w:tcPr>
            <w:tcW w:w="1276" w:type="dxa"/>
          </w:tcPr>
          <w:p>
            <w:pPr>
              <w:pStyle w:val="nTable"/>
              <w:spacing w:after="40"/>
            </w:pPr>
            <w:r>
              <w:t>23 Jul 2004 p. 2988</w:t>
            </w:r>
            <w:r>
              <w:noBreakHyphen/>
              <w:t>97</w:t>
            </w:r>
          </w:p>
        </w:tc>
        <w:tc>
          <w:tcPr>
            <w:tcW w:w="2693" w:type="dxa"/>
          </w:tcPr>
          <w:p>
            <w:pPr>
              <w:pStyle w:val="nTable"/>
              <w:spacing w:after="40"/>
            </w:pPr>
            <w:r>
              <w:t>23 Jul 2004 (see s. 2)</w:t>
            </w:r>
          </w:p>
        </w:tc>
      </w:tr>
      <w:tr>
        <w:trPr>
          <w:cantSplit/>
        </w:trPr>
        <w:tc>
          <w:tcPr>
            <w:tcW w:w="4395" w:type="dxa"/>
            <w:gridSpan w:val="2"/>
          </w:tcPr>
          <w:p>
            <w:pPr>
              <w:pStyle w:val="nTable"/>
              <w:spacing w:after="40"/>
            </w:pPr>
            <w:r>
              <w:rPr>
                <w:i/>
                <w:iCs/>
              </w:rPr>
              <w:t>Railway and Port (The Pilbara Infrastructure Pty Ltd) Agreement Act 2004</w:t>
            </w:r>
            <w:r>
              <w:t xml:space="preserve"> Pt. 3 Div. 2 assented to 8 Dec 2004</w:t>
            </w:r>
          </w:p>
        </w:tc>
        <w:tc>
          <w:tcPr>
            <w:tcW w:w="2693" w:type="dxa"/>
          </w:tcPr>
          <w:p>
            <w:pPr>
              <w:pStyle w:val="nTable"/>
              <w:spacing w:after="40"/>
            </w:pPr>
            <w:r>
              <w:t xml:space="preserve">1 Jul 2008 (see s. 2(2) and </w:t>
            </w:r>
            <w:r>
              <w:rPr>
                <w:i/>
                <w:iCs/>
              </w:rPr>
              <w:t>Gazette</w:t>
            </w:r>
            <w:r>
              <w:t xml:space="preserve"> 17 Jun 2008 p. 2543)</w:t>
            </w:r>
          </w:p>
        </w:tc>
      </w:tr>
      <w:tr>
        <w:tc>
          <w:tcPr>
            <w:tcW w:w="3119" w:type="dxa"/>
          </w:tcPr>
          <w:p>
            <w:pPr>
              <w:pStyle w:val="nTable"/>
              <w:spacing w:after="40"/>
            </w:pPr>
            <w:r>
              <w:rPr>
                <w:i/>
              </w:rPr>
              <w:t>Railways (Access) Amendment Code 2009</w:t>
            </w:r>
          </w:p>
        </w:tc>
        <w:tc>
          <w:tcPr>
            <w:tcW w:w="1276" w:type="dxa"/>
          </w:tcPr>
          <w:p>
            <w:pPr>
              <w:pStyle w:val="nTable"/>
              <w:spacing w:after="40"/>
            </w:pPr>
            <w:r>
              <w:t>23 Jun 2009 p. 2407</w:t>
            </w:r>
            <w:r>
              <w:noBreakHyphen/>
              <w:t>19</w:t>
            </w:r>
          </w:p>
        </w:tc>
        <w:tc>
          <w:tcPr>
            <w:tcW w:w="2693" w:type="dxa"/>
          </w:tcPr>
          <w:p>
            <w:pPr>
              <w:pStyle w:val="nTable"/>
              <w:spacing w:after="40"/>
            </w:pPr>
            <w:r>
              <w:rPr>
                <w:snapToGrid w:val="0"/>
                <w:spacing w:val="-2"/>
              </w:rPr>
              <w:t>s. 1 and 2: 23 Jun 2009 (see s. 2(a));</w:t>
            </w:r>
            <w:r>
              <w:rPr>
                <w:snapToGrid w:val="0"/>
                <w:spacing w:val="-2"/>
              </w:rPr>
              <w:br/>
              <w:t>Code other than s. 1 and 2: 24 Jun 2009 (see s.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rPr>
              <w:t xml:space="preserve">Railways (Access) Code 2000 </w:t>
            </w:r>
            <w:r>
              <w:rPr>
                <w:b/>
                <w:bCs/>
                <w:snapToGrid w:val="0"/>
                <w:spacing w:val="-2"/>
              </w:rPr>
              <w:t>as at 5 Feb 2010</w:t>
            </w:r>
            <w:r>
              <w:rPr>
                <w:snapToGrid w:val="0"/>
                <w:spacing w:val="-2"/>
              </w:rPr>
              <w:t xml:space="preserve"> (includes amendments listed above)</w:t>
            </w:r>
          </w:p>
        </w:tc>
      </w:tr>
      <w:tr>
        <w:tc>
          <w:tcPr>
            <w:tcW w:w="3119" w:type="dxa"/>
          </w:tcPr>
          <w:p>
            <w:pPr>
              <w:pStyle w:val="nTable"/>
              <w:spacing w:after="40"/>
            </w:pPr>
            <w:r>
              <w:rPr>
                <w:i/>
              </w:rPr>
              <w:t>Railways (Access) Amendment Code 2011</w:t>
            </w:r>
          </w:p>
        </w:tc>
        <w:tc>
          <w:tcPr>
            <w:tcW w:w="1276" w:type="dxa"/>
          </w:tcPr>
          <w:p>
            <w:pPr>
              <w:pStyle w:val="nTable"/>
              <w:spacing w:after="40"/>
            </w:pPr>
            <w:r>
              <w:t>20 Sep 2011 p. 3801</w:t>
            </w:r>
            <w:r>
              <w:noBreakHyphen/>
              <w:t>2</w:t>
            </w:r>
          </w:p>
        </w:tc>
        <w:tc>
          <w:tcPr>
            <w:tcW w:w="2693" w:type="dxa"/>
          </w:tcPr>
          <w:p>
            <w:pPr>
              <w:pStyle w:val="nTable"/>
              <w:spacing w:after="40"/>
            </w:pPr>
            <w:r>
              <w:rPr>
                <w:snapToGrid w:val="0"/>
                <w:spacing w:val="-2"/>
              </w:rPr>
              <w:t>s. 1 and 2: 20 Sep 2011 (see s. 2(a));</w:t>
            </w:r>
            <w:r>
              <w:rPr>
                <w:snapToGrid w:val="0"/>
                <w:spacing w:val="-2"/>
              </w:rPr>
              <w:br/>
              <w:t>Code other than s. 1 and 2: 21 Sep 2011 (see s. 2(b))</w:t>
            </w:r>
          </w:p>
        </w:tc>
      </w:tr>
      <w:tr>
        <w:tc>
          <w:tcPr>
            <w:tcW w:w="3119" w:type="dxa"/>
            <w:tcBorders>
              <w:bottom w:val="single" w:sz="4" w:space="0" w:color="auto"/>
            </w:tcBorders>
          </w:tcPr>
          <w:p>
            <w:pPr>
              <w:pStyle w:val="nTable"/>
              <w:spacing w:after="40"/>
              <w:rPr>
                <w:i/>
              </w:rPr>
            </w:pPr>
            <w:r>
              <w:rPr>
                <w:i/>
              </w:rPr>
              <w:t>Railways (Access) Amendment Code 2013</w:t>
            </w:r>
          </w:p>
        </w:tc>
        <w:tc>
          <w:tcPr>
            <w:tcW w:w="1276" w:type="dxa"/>
            <w:tcBorders>
              <w:bottom w:val="single" w:sz="4" w:space="0" w:color="auto"/>
            </w:tcBorders>
          </w:tcPr>
          <w:p>
            <w:pPr>
              <w:pStyle w:val="nTable"/>
              <w:spacing w:after="40"/>
            </w:pPr>
            <w:r>
              <w:t>19 Jul 2013 p. 3269-71</w:t>
            </w:r>
          </w:p>
        </w:tc>
        <w:tc>
          <w:tcPr>
            <w:tcW w:w="2693" w:type="dxa"/>
            <w:tcBorders>
              <w:bottom w:val="single" w:sz="4" w:space="0" w:color="auto"/>
            </w:tcBorders>
          </w:tcPr>
          <w:p>
            <w:pPr>
              <w:pStyle w:val="nTable"/>
              <w:spacing w:after="40"/>
              <w:rPr>
                <w:snapToGrid w:val="0"/>
                <w:spacing w:val="-2"/>
              </w:rPr>
            </w:pPr>
            <w:r>
              <w:t>s. 1 and 2: 19 Jul 2013 see s. 2(a));</w:t>
            </w:r>
            <w:r>
              <w:br/>
              <w:t xml:space="preserve">Code other than s. 1 and 2: 7 Aug 2013 (see s. 2(b) and </w:t>
            </w:r>
            <w:r>
              <w:rPr>
                <w:i/>
              </w:rPr>
              <w:t>Gazette</w:t>
            </w:r>
            <w:r>
              <w:t xml:space="preserve"> 6 Aug 2013 p. 3677)</w:t>
            </w:r>
          </w:p>
        </w:tc>
      </w:tr>
    </w:tbl>
    <w:p>
      <w:pPr>
        <w:pStyle w:val="nSubsection"/>
        <w:spacing w:before="160"/>
        <w:rPr>
          <w:ins w:id="326" w:author="Master Repository Process" w:date="2021-09-12T11:40:00Z"/>
          <w:snapToGrid w:val="0"/>
        </w:rPr>
      </w:pPr>
      <w:ins w:id="327" w:author="Master Repository Process" w:date="2021-09-12T11:40:00Z">
        <w:r>
          <w:rPr>
            <w:snapToGrid w:val="0"/>
            <w:vertAlign w:val="superscript"/>
          </w:rPr>
          <w:t>1M</w:t>
        </w:r>
        <w:r>
          <w:rPr>
            <w:snapToGrid w:val="0"/>
          </w:rPr>
          <w:tab/>
          <w:t xml:space="preserve">Under the </w:t>
        </w:r>
        <w:r>
          <w:rPr>
            <w:i/>
            <w:snapToGrid w:val="0"/>
          </w:rPr>
          <w:t>Railway (Roy Hill Infrastructure Pty Ltd) Agreement Act 2010</w:t>
        </w:r>
        <w:r>
          <w:rPr>
            <w:snapToGrid w:val="0"/>
          </w:rPr>
          <w:t xml:space="preserve"> Pt. 3, this Code must be applied with the modifications set out in that Part.  Those modifications have effect on and from 15 Aug 2015 until that Part expires in accordance with s. 15 of that Act.</w:t>
        </w:r>
      </w:ins>
    </w:p>
    <w:p>
      <w:pPr>
        <w:pStyle w:val="nSubsection"/>
        <w:spacing w:before="160"/>
      </w:pPr>
      <w:r>
        <w:rPr>
          <w:vertAlign w:val="superscript"/>
        </w:rPr>
        <w:t>2</w:t>
      </w:r>
      <w:r>
        <w:tab/>
        <w:t xml:space="preserve">For notices published under Schedule 4 clause 3(1) see — </w:t>
      </w:r>
    </w:p>
    <w:p>
      <w:pPr>
        <w:pStyle w:val="nSubsection"/>
        <w:spacing w:before="0"/>
      </w:pPr>
      <w:r>
        <w:tab/>
      </w:r>
      <w:r>
        <w:rPr>
          <w:i/>
          <w:iCs/>
        </w:rPr>
        <w:t>Government Gazette</w:t>
      </w:r>
      <w:r>
        <w:rPr>
          <w:i/>
          <w:iCs/>
        </w:rPr>
        <w:tab/>
      </w:r>
      <w:r>
        <w:t>16 Aug 2002 p. 4218;</w:t>
      </w:r>
      <w:r>
        <w:br/>
      </w:r>
      <w:r>
        <w:tab/>
      </w:r>
      <w:r>
        <w:rPr>
          <w:i/>
          <w:iCs/>
        </w:rPr>
        <w:tab/>
      </w:r>
      <w:r>
        <w:t>4 Jul 2003 p. 2720;</w:t>
      </w:r>
      <w:r>
        <w:br/>
      </w:r>
      <w:r>
        <w:tab/>
      </w:r>
      <w:r>
        <w:tab/>
        <w:t>6 Jul 2004 p. 2762;</w:t>
      </w:r>
      <w:r>
        <w:br/>
      </w:r>
      <w:r>
        <w:tab/>
        <w:t xml:space="preserve"> </w:t>
      </w:r>
      <w:r>
        <w:tab/>
        <w:t>15 Jul 2005 p. 3307</w:t>
      </w:r>
      <w:r>
        <w:noBreakHyphen/>
        <w:t>8;</w:t>
      </w:r>
      <w:r>
        <w:br/>
      </w:r>
      <w:r>
        <w:tab/>
        <w:t xml:space="preserve"> </w:t>
      </w:r>
      <w:r>
        <w:tab/>
        <w:t>10 Jul 2007 p. 3445;</w:t>
      </w:r>
      <w:r>
        <w:br/>
      </w:r>
      <w:r>
        <w:tab/>
        <w:t xml:space="preserve"> </w:t>
      </w:r>
      <w:r>
        <w:tab/>
        <w:t>26 Aug 2008 p. 4039;</w:t>
      </w:r>
      <w:r>
        <w:br/>
      </w:r>
      <w:r>
        <w:tab/>
      </w:r>
      <w:r>
        <w:tab/>
        <w:t>26 Jun 2009 p. 2588.</w:t>
      </w:r>
    </w:p>
    <w:p>
      <w:pPr>
        <w:pStyle w:val="nSubsection"/>
        <w:keepNext/>
        <w:spacing w:before="160"/>
      </w:pPr>
      <w:r>
        <w:rPr>
          <w:vertAlign w:val="superscript"/>
        </w:rPr>
        <w:t>3</w:t>
      </w:r>
      <w:r>
        <w:tab/>
        <w:t xml:space="preserve">The </w:t>
      </w:r>
      <w:r>
        <w:rPr>
          <w:i/>
        </w:rPr>
        <w:t>Railways (Access) Amendment Code 2004</w:t>
      </w:r>
      <w:r>
        <w:t xml:space="preserve"> s. 3(2) reads as follows:</w:t>
      </w:r>
    </w:p>
    <w:p>
      <w:pPr>
        <w:pStyle w:val="BlankOpen"/>
      </w:pPr>
    </w:p>
    <w:p>
      <w:pPr>
        <w:pStyle w:val="nzSubsection"/>
      </w:pPr>
      <w:r>
        <w:tab/>
        <w:t>(2)</w:t>
      </w:r>
      <w:r>
        <w:tab/>
        <w:t>Sections 9, 14 and 15 and Schedule 4 clause 10(2) and (3) of the principal Code apply in relation to a proposal under that Code received by the railway owner before the commencement of this Code as if sections 7, 8, 9 and 15(7) of this Code had not been made.</w:t>
      </w: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rPr>
          <w:del w:id="329" w:author="Master Repository Process" w:date="2021-09-12T11:40:00Z"/>
        </w:rPr>
      </w:pPr>
    </w:p>
    <w:p>
      <w:pPr>
        <w:rPr>
          <w:del w:id="330" w:author="Master Repository Process" w:date="2021-09-12T11:40:00Z"/>
        </w:rPr>
      </w:pPr>
    </w:p>
    <w:p>
      <w:pPr>
        <w:rPr>
          <w:del w:id="331" w:author="Master Repository Process" w:date="2021-09-12T11:40:00Z"/>
        </w:rPr>
      </w:pPr>
    </w:p>
    <w:p>
      <w:pPr>
        <w:rPr>
          <w:del w:id="332" w:author="Master Repository Process" w:date="2021-09-12T11:40:00Z"/>
        </w:rPr>
      </w:pPr>
    </w:p>
    <w:p>
      <w:pPr>
        <w:rPr>
          <w:del w:id="333" w:author="Master Repository Process" w:date="2021-09-12T11:40:00Z"/>
        </w:rPr>
      </w:pPr>
    </w:p>
    <w:p>
      <w:pPr>
        <w:rPr>
          <w:del w:id="334" w:author="Master Repository Process" w:date="2021-09-12T11:40:00Z"/>
        </w:rPr>
      </w:pPr>
    </w:p>
    <w:p>
      <w:pPr>
        <w:rPr>
          <w:del w:id="335" w:author="Master Repository Process" w:date="2021-09-12T11:40:00Z"/>
        </w:rPr>
      </w:pPr>
    </w:p>
    <w:p>
      <w:pPr>
        <w:rPr>
          <w:del w:id="336" w:author="Master Repository Process" w:date="2021-09-12T11:40:00Z"/>
        </w:rPr>
      </w:pPr>
    </w:p>
    <w:p>
      <w:pPr>
        <w:rPr>
          <w:del w:id="337" w:author="Master Repository Process" w:date="2021-09-12T11:40:00Z"/>
        </w:rPr>
      </w:pPr>
    </w:p>
    <w:p>
      <w:pPr>
        <w:rPr>
          <w:del w:id="338" w:author="Master Repository Process" w:date="2021-09-12T11:40:00Z"/>
        </w:rPr>
      </w:pPr>
    </w:p>
    <w:p>
      <w:pPr>
        <w:rPr>
          <w:del w:id="339" w:author="Master Repository Process" w:date="2021-09-12T11:40:00Z"/>
        </w:rPr>
      </w:pPr>
    </w:p>
    <w:p>
      <w:pPr>
        <w:rPr>
          <w:del w:id="340" w:author="Master Repository Process" w:date="2021-09-12T11:40:00Z"/>
        </w:rPr>
      </w:pPr>
    </w:p>
    <w:p>
      <w:pPr>
        <w:rPr>
          <w:del w:id="341" w:author="Master Repository Process" w:date="2021-09-12T11:40:00Z"/>
        </w:rPr>
      </w:pPr>
    </w:p>
    <w:p>
      <w:pPr>
        <w:rPr>
          <w:del w:id="342" w:author="Master Repository Process" w:date="2021-09-12T11:40:00Z"/>
        </w:rPr>
      </w:pPr>
    </w:p>
    <w:p>
      <w:pPr>
        <w:rPr>
          <w:del w:id="343" w:author="Master Repository Process" w:date="2021-09-12T11:40:00Z"/>
        </w:rPr>
      </w:pPr>
    </w:p>
    <w:p>
      <w:pPr>
        <w:rPr>
          <w:del w:id="344" w:author="Master Repository Process" w:date="2021-09-12T11:40:00Z"/>
        </w:rPr>
      </w:pPr>
    </w:p>
    <w:p>
      <w:pPr>
        <w:rPr>
          <w:del w:id="345" w:author="Master Repository Process" w:date="2021-09-12T11:40:00Z"/>
        </w:rPr>
      </w:pPr>
    </w:p>
    <w:p>
      <w:pPr>
        <w:rPr>
          <w:del w:id="346" w:author="Master Repository Process" w:date="2021-09-12T11:40:00Z"/>
        </w:rPr>
      </w:pPr>
    </w:p>
    <w:p>
      <w:pPr>
        <w:rPr>
          <w:del w:id="347" w:author="Master Repository Process" w:date="2021-09-12T11:40:00Z"/>
        </w:rPr>
      </w:pPr>
    </w:p>
    <w:p>
      <w:pPr>
        <w:rPr>
          <w:del w:id="348" w:author="Master Repository Process" w:date="2021-09-12T11:40:00Z"/>
        </w:rPr>
      </w:pPr>
    </w:p>
    <w:p>
      <w:pPr>
        <w:rPr>
          <w:del w:id="349" w:author="Master Repository Process" w:date="2021-09-12T11:40:00Z"/>
        </w:rPr>
      </w:pPr>
    </w:p>
    <w:p>
      <w:pPr>
        <w:rPr>
          <w:del w:id="350" w:author="Master Repository Process" w:date="2021-09-12T11:40:00Z"/>
        </w:rPr>
      </w:pPr>
    </w:p>
    <w:p>
      <w:pPr>
        <w:rPr>
          <w:del w:id="351" w:author="Master Repository Process" w:date="2021-09-12T11:40:00Z"/>
        </w:rPr>
      </w:pPr>
    </w:p>
    <w:p>
      <w:pPr>
        <w:rPr>
          <w:del w:id="352" w:author="Master Repository Process" w:date="2021-09-12T11:40:00Z"/>
        </w:r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for which provision to be made in access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Provisions relating to prices to be paid for access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relating to prices to be paid for access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3" w:name="Coversheet"/>
    <w:bookmarkEnd w:id="3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vAlign w:val="bottom"/>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vAlign w:val="bottom"/>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5" w:name="Schedule"/>
    <w:bookmarkEnd w:id="2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for which provision to be made in access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85885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07"/>
    <w:docVar w:name="WAFER_20140124161438" w:val="RemoveTocBookmarks,RemoveUnusedBookmarks,RemoveLanguageTags,UsedStyles,ResetPageSize,UpdateArrangement"/>
    <w:docVar w:name="WAFER_20140124161438_GUID" w:val="1e97bf29-eb76-40e3-b378-2417fbc27a4c"/>
    <w:docVar w:name="WAFER_20140124172227" w:val="RemoveTocBookmarks,RunningHeaders"/>
    <w:docVar w:name="WAFER_20140124172227_GUID" w:val="da0edf65-61d6-4be0-abbf-8a82d0701a65"/>
    <w:docVar w:name="WAFER_20150715154452" w:val="ResetPageSize,UpdateArrangement,UpdateNTable"/>
    <w:docVar w:name="WAFER_20150715154452_GUID" w:val="8a2c60fa-bfd1-4849-a2fc-6e45625ac560"/>
    <w:docVar w:name="WAFER_20151112114107" w:val="UpdateStyles,UsedStyles"/>
    <w:docVar w:name="WAFER_20151112114107_GUID" w:val="fa432f8d-ed00-4526-80f3-8234aa7eed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7AB066C5-9CDA-4921-B587-D123B784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B4BA-7275-405A-AE3C-34C8A4E7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14498</Words>
  <Characters>70466</Characters>
  <Application>Microsoft Office Word</Application>
  <DocSecurity>0</DocSecurity>
  <Lines>1904</Lines>
  <Paragraphs>1180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01-d0-02 - 01-e0-02</dc:title>
  <dc:subject/>
  <dc:creator/>
  <cp:keywords/>
  <dc:description/>
  <cp:lastModifiedBy>Master Repository Process</cp:lastModifiedBy>
  <cp:revision>2</cp:revision>
  <cp:lastPrinted>2010-02-09T03:47:00Z</cp:lastPrinted>
  <dcterms:created xsi:type="dcterms:W3CDTF">2021-09-12T03:40:00Z</dcterms:created>
  <dcterms:modified xsi:type="dcterms:W3CDTF">2021-09-12T03:40:00Z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CommencementDate">
    <vt:lpwstr>20150815</vt:lpwstr>
  </property>
  <property fmtid="{D5CDD505-2E9C-101B-9397-08002B2CF9AE}" pid="4" name="DocumentType">
    <vt:lpwstr>Reg</vt:lpwstr>
  </property>
  <property fmtid="{D5CDD505-2E9C-101B-9397-08002B2CF9AE}" pid="5" name="OwlsUID">
    <vt:i4>35</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07 Aug 2013</vt:lpwstr>
  </property>
  <property fmtid="{D5CDD505-2E9C-101B-9397-08002B2CF9AE}" pid="9" name="ToSuffix">
    <vt:lpwstr>01-e0-02</vt:lpwstr>
  </property>
  <property fmtid="{D5CDD505-2E9C-101B-9397-08002B2CF9AE}" pid="10" name="ToAsAtDate">
    <vt:lpwstr>15 Aug 2015</vt:lpwstr>
  </property>
</Properties>
</file>