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24 Aug 2015</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405453100"/>
      <w:bookmarkStart w:id="3" w:name="_Toc413336825"/>
      <w:bookmarkStart w:id="4" w:name="_Toc413337101"/>
      <w:bookmarkStart w:id="5" w:name="_Toc413336915"/>
      <w:bookmarkStart w:id="6" w:name="_Toc422303168"/>
      <w:bookmarkStart w:id="7" w:name="_Toc427932352"/>
      <w:bookmarkStart w:id="8" w:name="_Toc4279330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05453101"/>
      <w:bookmarkStart w:id="10" w:name="_Toc427933024"/>
      <w:bookmarkStart w:id="11" w:name="_Toc422303169"/>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2" w:name="_Toc405453102"/>
      <w:bookmarkStart w:id="13" w:name="_Toc427933025"/>
      <w:bookmarkStart w:id="14" w:name="_Toc422303170"/>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405453103"/>
      <w:bookmarkStart w:id="16" w:name="_Toc427933026"/>
      <w:bookmarkStart w:id="17" w:name="_Toc422303171"/>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rPr>
          <w:ins w:id="18" w:author="svcMRProcess" w:date="2020-02-21T14:38:00Z"/>
        </w:rPr>
      </w:pPr>
      <w:ins w:id="19" w:author="svcMRProcess" w:date="2020-02-21T14:38:00Z">
        <w:r>
          <w:tab/>
        </w:r>
        <w:r>
          <w:rPr>
            <w:rStyle w:val="CharDefText"/>
          </w:rPr>
          <w:t>custodial officer</w:t>
        </w:r>
        <w:r>
          <w:t xml:space="preserve"> means — </w:t>
        </w:r>
      </w:ins>
    </w:p>
    <w:p>
      <w:pPr>
        <w:pStyle w:val="Defpara"/>
        <w:rPr>
          <w:ins w:id="20" w:author="svcMRProcess" w:date="2020-02-21T14:38:00Z"/>
        </w:rPr>
      </w:pPr>
      <w:ins w:id="21" w:author="svcMRProcess" w:date="2020-02-21T14:38:00Z">
        <w:r>
          <w:tab/>
          <w:t>(a)</w:t>
        </w:r>
        <w:r>
          <w:tab/>
          <w:t>a superintendent, or other officer with custodial functions, appointed under section 11(1); or</w:t>
        </w:r>
      </w:ins>
    </w:p>
    <w:p>
      <w:pPr>
        <w:pStyle w:val="Defpara"/>
        <w:rPr>
          <w:ins w:id="22" w:author="svcMRProcess" w:date="2020-02-21T14:38:00Z"/>
        </w:rPr>
      </w:pPr>
      <w:ins w:id="23" w:author="svcMRProcess" w:date="2020-02-21T14:38:00Z">
        <w:r>
          <w:tab/>
          <w:t>(b)</w:t>
        </w:r>
        <w:r>
          <w:tab/>
          <w:t>a person who is appointed under section 11(1a)(a) as a custodial officer;</w:t>
        </w:r>
      </w:ins>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rPr>
          <w:ins w:id="24" w:author="svcMRProcess" w:date="2020-02-21T14:38:00Z"/>
        </w:rPr>
      </w:pPr>
      <w:ins w:id="25" w:author="svcMRProcess" w:date="2020-02-21T14:38:00Z">
        <w:r>
          <w:tab/>
        </w:r>
        <w:r>
          <w:rPr>
            <w:rStyle w:val="CharDefText"/>
          </w:rPr>
          <w:t>remove</w:t>
        </w:r>
        <w:r>
          <w:t>, in relation to an officer or other person appointed under section 11(1), means terminate the employment of the officer or person;</w:t>
        </w:r>
      </w:ins>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ins w:id="26" w:author="svcMRProcess" w:date="2020-02-21T14:38:00Z">
        <w:r>
          <w:t>; No. 29 of 2014 s. 11</w:t>
        </w:r>
      </w:ins>
      <w:r>
        <w:t>.]</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27" w:name="_Toc405453104"/>
      <w:bookmarkStart w:id="28" w:name="_Toc427933027"/>
      <w:bookmarkStart w:id="29" w:name="_Toc422303172"/>
      <w:r>
        <w:rPr>
          <w:rStyle w:val="CharSectno"/>
        </w:rPr>
        <w:t>4</w:t>
      </w:r>
      <w:r>
        <w:rPr>
          <w:snapToGrid w:val="0"/>
        </w:rPr>
        <w:t>.</w:t>
      </w:r>
      <w:r>
        <w:rPr>
          <w:snapToGrid w:val="0"/>
        </w:rPr>
        <w:tab/>
        <w:t>Young offenders reaching 18</w:t>
      </w:r>
      <w:bookmarkEnd w:id="27"/>
      <w:bookmarkEnd w:id="28"/>
      <w:bookmarkEnd w:id="2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30" w:name="_Toc405453105"/>
      <w:bookmarkStart w:id="31" w:name="_Toc427933028"/>
      <w:bookmarkStart w:id="32" w:name="_Toc422303173"/>
      <w:r>
        <w:rPr>
          <w:rStyle w:val="CharSectno"/>
        </w:rPr>
        <w:t>5</w:t>
      </w:r>
      <w:r>
        <w:rPr>
          <w:snapToGrid w:val="0"/>
        </w:rPr>
        <w:t>.</w:t>
      </w:r>
      <w:r>
        <w:rPr>
          <w:snapToGrid w:val="0"/>
        </w:rPr>
        <w:tab/>
      </w:r>
      <w:r>
        <w:rPr>
          <w:i/>
        </w:rPr>
        <w:t>Criminal Procedure Act 2004</w:t>
      </w:r>
      <w:r>
        <w:t xml:space="preserve"> </w:t>
      </w:r>
      <w:r>
        <w:rPr>
          <w:snapToGrid w:val="0"/>
        </w:rPr>
        <w:t>overridden</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33" w:name="_Toc405453106"/>
      <w:bookmarkStart w:id="34" w:name="_Toc427933029"/>
      <w:bookmarkStart w:id="35" w:name="_Toc422303174"/>
      <w:r>
        <w:rPr>
          <w:rStyle w:val="CharSectno"/>
        </w:rPr>
        <w:t>6A</w:t>
      </w:r>
      <w:r>
        <w:t>.</w:t>
      </w:r>
      <w:r>
        <w:tab/>
      </w:r>
      <w:r>
        <w:rPr>
          <w:i/>
        </w:rPr>
        <w:t>Courts and Tribunals (Electronic Processes Facilitation) Act 2013</w:t>
      </w:r>
      <w:r>
        <w:t xml:space="preserve"> Part 2 applies</w:t>
      </w:r>
      <w:bookmarkEnd w:id="33"/>
      <w:bookmarkEnd w:id="34"/>
      <w:bookmarkEnd w:id="35"/>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36" w:name="_Toc405453107"/>
      <w:bookmarkStart w:id="37" w:name="_Toc413336832"/>
      <w:bookmarkStart w:id="38" w:name="_Toc413337108"/>
      <w:bookmarkStart w:id="39" w:name="_Toc413336922"/>
      <w:bookmarkStart w:id="40" w:name="_Toc422303175"/>
      <w:bookmarkStart w:id="41" w:name="_Toc427932359"/>
      <w:bookmarkStart w:id="42" w:name="_Toc427933030"/>
      <w:r>
        <w:rPr>
          <w:rStyle w:val="CharPartNo"/>
        </w:rPr>
        <w:t>Part 2</w:t>
      </w:r>
      <w:r>
        <w:rPr>
          <w:rStyle w:val="CharDivNo"/>
        </w:rPr>
        <w:t> </w:t>
      </w:r>
      <w:r>
        <w:t>—</w:t>
      </w:r>
      <w:r>
        <w:rPr>
          <w:rStyle w:val="CharDivText"/>
        </w:rPr>
        <w:t> </w:t>
      </w:r>
      <w:r>
        <w:rPr>
          <w:rStyle w:val="CharPartText"/>
        </w:rPr>
        <w:t>Objectives and principles</w:t>
      </w:r>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05453108"/>
      <w:bookmarkStart w:id="44" w:name="_Toc427933031"/>
      <w:bookmarkStart w:id="45" w:name="_Toc422303176"/>
      <w:r>
        <w:rPr>
          <w:rStyle w:val="CharSectno"/>
        </w:rPr>
        <w:t>6</w:t>
      </w:r>
      <w:r>
        <w:rPr>
          <w:snapToGrid w:val="0"/>
        </w:rPr>
        <w:t>.</w:t>
      </w:r>
      <w:r>
        <w:rPr>
          <w:snapToGrid w:val="0"/>
        </w:rPr>
        <w:tab/>
        <w:t>Objectives</w:t>
      </w:r>
      <w:bookmarkEnd w:id="43"/>
      <w:bookmarkEnd w:id="44"/>
      <w:bookmarkEnd w:id="4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46" w:name="_Toc405453109"/>
      <w:bookmarkStart w:id="47" w:name="_Toc427933032"/>
      <w:bookmarkStart w:id="48" w:name="_Toc422303177"/>
      <w:r>
        <w:rPr>
          <w:rStyle w:val="CharSectno"/>
        </w:rPr>
        <w:t>7</w:t>
      </w:r>
      <w:r>
        <w:rPr>
          <w:snapToGrid w:val="0"/>
        </w:rPr>
        <w:t>.</w:t>
      </w:r>
      <w:r>
        <w:rPr>
          <w:snapToGrid w:val="0"/>
        </w:rPr>
        <w:tab/>
        <w:t>General principles of juvenile justice</w:t>
      </w:r>
      <w:bookmarkEnd w:id="46"/>
      <w:bookmarkEnd w:id="47"/>
      <w:bookmarkEnd w:id="4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49" w:name="_Toc405453110"/>
      <w:bookmarkStart w:id="50" w:name="_Toc427933033"/>
      <w:bookmarkStart w:id="51" w:name="_Toc422303178"/>
      <w:r>
        <w:rPr>
          <w:rStyle w:val="CharSectno"/>
        </w:rPr>
        <w:t>8</w:t>
      </w:r>
      <w:r>
        <w:rPr>
          <w:snapToGrid w:val="0"/>
        </w:rPr>
        <w:t>.</w:t>
      </w:r>
      <w:r>
        <w:rPr>
          <w:snapToGrid w:val="0"/>
        </w:rPr>
        <w:tab/>
        <w:t>Responsible adults, role of</w:t>
      </w:r>
      <w:bookmarkEnd w:id="49"/>
      <w:bookmarkEnd w:id="50"/>
      <w:bookmarkEnd w:id="5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52" w:name="_Toc405453111"/>
      <w:bookmarkStart w:id="53" w:name="_Toc413336836"/>
      <w:bookmarkStart w:id="54" w:name="_Toc413337112"/>
      <w:bookmarkStart w:id="55" w:name="_Toc413336928"/>
      <w:bookmarkStart w:id="56" w:name="_Toc422303179"/>
      <w:bookmarkStart w:id="57" w:name="_Toc427932363"/>
      <w:bookmarkStart w:id="58" w:name="_Toc427933034"/>
      <w:r>
        <w:rPr>
          <w:rStyle w:val="CharPartNo"/>
        </w:rPr>
        <w:t>Part 3</w:t>
      </w:r>
      <w:r>
        <w:t> — </w:t>
      </w:r>
      <w:r>
        <w:rPr>
          <w:rStyle w:val="CharPartText"/>
        </w:rPr>
        <w:t>Administration</w:t>
      </w:r>
      <w:bookmarkEnd w:id="52"/>
      <w:bookmarkEnd w:id="53"/>
      <w:bookmarkEnd w:id="54"/>
      <w:bookmarkEnd w:id="55"/>
      <w:bookmarkEnd w:id="56"/>
      <w:bookmarkEnd w:id="57"/>
      <w:bookmarkEnd w:id="58"/>
      <w:r>
        <w:rPr>
          <w:rStyle w:val="CharPartText"/>
        </w:rPr>
        <w:t xml:space="preserve"> </w:t>
      </w:r>
    </w:p>
    <w:p>
      <w:pPr>
        <w:pStyle w:val="Heading3"/>
      </w:pPr>
      <w:bookmarkStart w:id="59" w:name="_Toc427932364"/>
      <w:bookmarkStart w:id="60" w:name="_Toc427933035"/>
      <w:bookmarkStart w:id="61" w:name="_Toc405453112"/>
      <w:bookmarkStart w:id="62" w:name="_Toc413336837"/>
      <w:bookmarkStart w:id="63" w:name="_Toc413337113"/>
      <w:bookmarkStart w:id="64" w:name="_Toc413336930"/>
      <w:bookmarkStart w:id="65" w:name="_Toc422303180"/>
      <w:r>
        <w:rPr>
          <w:rStyle w:val="CharDivNo"/>
        </w:rPr>
        <w:t>Division 1</w:t>
      </w:r>
      <w:r>
        <w:t> — </w:t>
      </w:r>
      <w:del w:id="66" w:author="svcMRProcess" w:date="2020-02-21T14:38:00Z">
        <w:r>
          <w:rPr>
            <w:rStyle w:val="CharDivText"/>
          </w:rPr>
          <w:delText>General</w:delText>
        </w:r>
      </w:del>
      <w:ins w:id="67" w:author="svcMRProcess" w:date="2020-02-21T14:38:00Z">
        <w:r>
          <w:rPr>
            <w:rStyle w:val="CharDivText"/>
          </w:rPr>
          <w:t>Chief executive officer</w:t>
        </w:r>
      </w:ins>
      <w:bookmarkEnd w:id="59"/>
      <w:bookmarkEnd w:id="60"/>
    </w:p>
    <w:p>
      <w:pPr>
        <w:pStyle w:val="Footnoteheading"/>
        <w:tabs>
          <w:tab w:val="left" w:pos="851"/>
        </w:tabs>
      </w:pPr>
      <w:r>
        <w:tab/>
        <w:t xml:space="preserve">[Heading inserted by No. </w:t>
      </w:r>
      <w:del w:id="68" w:author="svcMRProcess" w:date="2020-02-21T14:38:00Z">
        <w:r>
          <w:delText>58</w:delText>
        </w:r>
      </w:del>
      <w:ins w:id="69" w:author="svcMRProcess" w:date="2020-02-21T14:38:00Z">
        <w:r>
          <w:t>29</w:t>
        </w:r>
      </w:ins>
      <w:r>
        <w:t xml:space="preserve"> of </w:t>
      </w:r>
      <w:del w:id="70" w:author="svcMRProcess" w:date="2020-02-21T14:38:00Z">
        <w:r>
          <w:delText>2004</w:delText>
        </w:r>
      </w:del>
      <w:ins w:id="71" w:author="svcMRProcess" w:date="2020-02-21T14:38:00Z">
        <w:r>
          <w:t>2014</w:t>
        </w:r>
      </w:ins>
      <w:r>
        <w:t xml:space="preserve"> s. </w:t>
      </w:r>
      <w:del w:id="72" w:author="svcMRProcess" w:date="2020-02-21T14:38:00Z">
        <w:r>
          <w:delText>5</w:delText>
        </w:r>
      </w:del>
      <w:ins w:id="73" w:author="svcMRProcess" w:date="2020-02-21T14:38:00Z">
        <w:r>
          <w:t>12</w:t>
        </w:r>
      </w:ins>
      <w:r>
        <w:t>.]</w:t>
      </w:r>
    </w:p>
    <w:p>
      <w:pPr>
        <w:pStyle w:val="Heading5"/>
        <w:rPr>
          <w:snapToGrid w:val="0"/>
        </w:rPr>
      </w:pPr>
      <w:bookmarkStart w:id="74" w:name="_Toc405453113"/>
      <w:bookmarkStart w:id="75" w:name="_Toc427933036"/>
      <w:bookmarkStart w:id="76" w:name="_Toc422303181"/>
      <w:bookmarkEnd w:id="61"/>
      <w:bookmarkEnd w:id="62"/>
      <w:bookmarkEnd w:id="63"/>
      <w:bookmarkEnd w:id="64"/>
      <w:bookmarkEnd w:id="65"/>
      <w:r>
        <w:rPr>
          <w:rStyle w:val="CharSectno"/>
        </w:rPr>
        <w:t>9</w:t>
      </w:r>
      <w:r>
        <w:rPr>
          <w:snapToGrid w:val="0"/>
        </w:rPr>
        <w:t>.</w:t>
      </w:r>
      <w:r>
        <w:rPr>
          <w:snapToGrid w:val="0"/>
        </w:rPr>
        <w:tab/>
        <w:t>Chief executive officer, functions of</w:t>
      </w:r>
      <w:bookmarkEnd w:id="74"/>
      <w:bookmarkEnd w:id="75"/>
      <w:bookmarkEnd w:id="76"/>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77" w:name="_Toc405453114"/>
      <w:bookmarkStart w:id="78" w:name="_Toc427933037"/>
      <w:bookmarkStart w:id="79" w:name="_Toc422303182"/>
      <w:r>
        <w:rPr>
          <w:rStyle w:val="CharSectno"/>
        </w:rPr>
        <w:t>10</w:t>
      </w:r>
      <w:r>
        <w:rPr>
          <w:snapToGrid w:val="0"/>
        </w:rPr>
        <w:t>.</w:t>
      </w:r>
      <w:r>
        <w:rPr>
          <w:snapToGrid w:val="0"/>
        </w:rPr>
        <w:tab/>
        <w:t>Chief executive officer may delegate</w:t>
      </w:r>
      <w:bookmarkEnd w:id="77"/>
      <w:bookmarkEnd w:id="78"/>
      <w:bookmarkEnd w:id="7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3"/>
        <w:rPr>
          <w:ins w:id="80" w:author="svcMRProcess" w:date="2020-02-21T14:38:00Z"/>
        </w:rPr>
      </w:pPr>
      <w:bookmarkStart w:id="81" w:name="_Toc427932367"/>
      <w:bookmarkStart w:id="82" w:name="_Toc427933038"/>
      <w:bookmarkStart w:id="83" w:name="_Toc405453115"/>
      <w:ins w:id="84" w:author="svcMRProcess" w:date="2020-02-21T14:38:00Z">
        <w:r>
          <w:rPr>
            <w:rStyle w:val="CharDivNo"/>
          </w:rPr>
          <w:t>Division 2</w:t>
        </w:r>
        <w:r>
          <w:t> — </w:t>
        </w:r>
        <w:r>
          <w:rPr>
            <w:rStyle w:val="CharDivText"/>
          </w:rPr>
          <w:t>Other officers and employees</w:t>
        </w:r>
        <w:bookmarkEnd w:id="81"/>
        <w:bookmarkEnd w:id="82"/>
      </w:ins>
    </w:p>
    <w:p>
      <w:pPr>
        <w:pStyle w:val="Footnoteheading"/>
        <w:tabs>
          <w:tab w:val="left" w:pos="851"/>
        </w:tabs>
        <w:rPr>
          <w:ins w:id="85" w:author="svcMRProcess" w:date="2020-02-21T14:38:00Z"/>
        </w:rPr>
      </w:pPr>
      <w:ins w:id="86" w:author="svcMRProcess" w:date="2020-02-21T14:38:00Z">
        <w:r>
          <w:tab/>
          <w:t>[Heading inserted by No. 29 of 2014 s. 13.]</w:t>
        </w:r>
      </w:ins>
    </w:p>
    <w:p>
      <w:pPr>
        <w:pStyle w:val="Heading5"/>
        <w:rPr>
          <w:snapToGrid w:val="0"/>
        </w:rPr>
      </w:pPr>
      <w:bookmarkStart w:id="87" w:name="_Toc427933039"/>
      <w:bookmarkStart w:id="88" w:name="_Toc422303183"/>
      <w:r>
        <w:rPr>
          <w:rStyle w:val="CharSectno"/>
        </w:rPr>
        <w:t>11</w:t>
      </w:r>
      <w:r>
        <w:rPr>
          <w:snapToGrid w:val="0"/>
        </w:rPr>
        <w:t>.</w:t>
      </w:r>
      <w:r>
        <w:rPr>
          <w:snapToGrid w:val="0"/>
        </w:rPr>
        <w:tab/>
        <w:t>Officers and employees, appointment of</w:t>
      </w:r>
      <w:bookmarkEnd w:id="83"/>
      <w:bookmarkEnd w:id="87"/>
      <w:bookmarkEnd w:id="88"/>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del w:id="89" w:author="svcMRProcess" w:date="2020-02-21T14:38:00Z">
        <w:r>
          <w:delText xml:space="preserve"> (</w:delText>
        </w:r>
        <w:r>
          <w:rPr>
            <w:rStyle w:val="CharDefText"/>
          </w:rPr>
          <w:delText>group workers</w:delText>
        </w:r>
        <w:r>
          <w:delText>);</w:delText>
        </w:r>
      </w:del>
      <w:ins w:id="90" w:author="svcMRProcess" w:date="2020-02-21T14:38:00Z">
        <w:r>
          <w:t>;</w:t>
        </w:r>
      </w:ins>
      <w:r>
        <w:t xml:space="preserve"> and</w:t>
      </w:r>
    </w:p>
    <w:p>
      <w:pPr>
        <w:pStyle w:val="Indenta"/>
      </w:pPr>
      <w:r>
        <w:tab/>
        <w:t>(b)</w:t>
      </w:r>
      <w:r>
        <w:tab/>
        <w:t xml:space="preserve">officers and employees of particular classes as are prescribed by the regulations, </w:t>
      </w:r>
    </w:p>
    <w:p>
      <w:pPr>
        <w:pStyle w:val="Subsection"/>
      </w:pPr>
      <w:r>
        <w:tab/>
      </w:r>
      <w:r>
        <w:tab/>
        <w:t xml:space="preserve">and may </w:t>
      </w:r>
      <w:del w:id="91" w:author="svcMRProcess" w:date="2020-02-21T14:38:00Z">
        <w:r>
          <w:delText>terminate the appointment of</w:delText>
        </w:r>
      </w:del>
      <w:ins w:id="92" w:author="svcMRProcess" w:date="2020-02-21T14:38:00Z">
        <w:r>
          <w:t>remove</w:t>
        </w:r>
      </w:ins>
      <w:r>
        <w:t xml:space="preserve">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rPr>
          <w:ins w:id="93" w:author="svcMRProcess" w:date="2020-02-21T14:38:00Z"/>
        </w:rPr>
      </w:pPr>
      <w:r>
        <w:tab/>
        <w:t>(b)</w:t>
      </w:r>
      <w:r>
        <w:tab/>
      </w:r>
      <w:del w:id="94" w:author="svcMRProcess" w:date="2020-02-21T14:38:00Z">
        <w:r>
          <w:delText xml:space="preserve">in prescribed circumstances, </w:delText>
        </w:r>
      </w:del>
      <w:r>
        <w:t>may be subject to</w:t>
      </w:r>
      <w:del w:id="95" w:author="svcMRProcess" w:date="2020-02-21T14:38:00Z">
        <w:r>
          <w:delText xml:space="preserve"> such </w:delText>
        </w:r>
      </w:del>
      <w:ins w:id="96" w:author="svcMRProcess" w:date="2020-02-21T14:38:00Z">
        <w:r>
          <w:t xml:space="preserve"> — </w:t>
        </w:r>
      </w:ins>
    </w:p>
    <w:p>
      <w:pPr>
        <w:pStyle w:val="Indenti"/>
      </w:pPr>
      <w:ins w:id="97" w:author="svcMRProcess" w:date="2020-02-21T14:38:00Z">
        <w:r>
          <w:tab/>
          <w:t>(i)</w:t>
        </w:r>
        <w:r>
          <w:tab/>
        </w:r>
      </w:ins>
      <w:r>
        <w:t xml:space="preserve">disciplinary </w:t>
      </w:r>
      <w:del w:id="98" w:author="svcMRProcess" w:date="2020-02-21T14:38:00Z">
        <w:r>
          <w:delText>procedures as are set out</w:delText>
        </w:r>
      </w:del>
      <w:ins w:id="99" w:author="svcMRProcess" w:date="2020-02-21T14:38:00Z">
        <w:r>
          <w:t>proceedings provided for</w:t>
        </w:r>
      </w:ins>
      <w:r>
        <w:t xml:space="preserve"> in the regulations</w:t>
      </w:r>
      <w:del w:id="100" w:author="svcMRProcess" w:date="2020-02-21T14:38:00Z">
        <w:r>
          <w:delText>.</w:delText>
        </w:r>
      </w:del>
      <w:ins w:id="101" w:author="svcMRProcess" w:date="2020-02-21T14:38:00Z">
        <w:r>
          <w:t>; or</w:t>
        </w:r>
      </w:ins>
    </w:p>
    <w:p>
      <w:pPr>
        <w:pStyle w:val="Indenti"/>
        <w:rPr>
          <w:ins w:id="102" w:author="svcMRProcess" w:date="2020-02-21T14:38:00Z"/>
        </w:rPr>
      </w:pPr>
      <w:ins w:id="103" w:author="svcMRProcess" w:date="2020-02-21T14:38:00Z">
        <w:r>
          <w:tab/>
          <w:t>(ii)</w:t>
        </w:r>
        <w:r>
          <w:tab/>
          <w:t xml:space="preserve">if regulations are made under subsection (1C) — disciplinary proceedings under the </w:t>
        </w:r>
        <w:r>
          <w:rPr>
            <w:i/>
          </w:rPr>
          <w:t>Public Sector Management Act 1994</w:t>
        </w:r>
        <w:r>
          <w:t xml:space="preserve"> Part 5.</w:t>
        </w:r>
      </w:ins>
    </w:p>
    <w:p>
      <w:pPr>
        <w:pStyle w:val="Subsection"/>
        <w:rPr>
          <w:ins w:id="104" w:author="svcMRProcess" w:date="2020-02-21T14:38:00Z"/>
        </w:rPr>
      </w:pPr>
      <w:ins w:id="105" w:author="svcMRProcess" w:date="2020-02-21T14:38:00Z">
        <w:r>
          <w:tab/>
          <w:t>(1C)</w:t>
        </w:r>
        <w:r>
          <w:tab/>
          <w:t xml:space="preserve">The regulations may prescribe custodial officers for the purposes of the </w:t>
        </w:r>
        <w:r>
          <w:rPr>
            <w:i/>
          </w:rPr>
          <w:t>Public Sector Management Act 1994</w:t>
        </w:r>
        <w:r>
          <w:t xml:space="preserve"> section 76(1)(b).</w:t>
        </w:r>
      </w:ins>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del w:id="106" w:author="svcMRProcess" w:date="2020-02-21T14:38:00Z">
        <w:r>
          <w:delText>).]</w:delText>
        </w:r>
      </w:del>
      <w:ins w:id="107" w:author="svcMRProcess" w:date="2020-02-21T14:38:00Z">
        <w:r>
          <w:t>); No. 29 of 2014 s. 14.]</w:t>
        </w:r>
      </w:ins>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108" w:name="_Toc405453116"/>
      <w:bookmarkStart w:id="109" w:name="_Toc427933040"/>
      <w:bookmarkStart w:id="110" w:name="_Toc422303184"/>
      <w:r>
        <w:rPr>
          <w:rStyle w:val="CharSectno"/>
        </w:rPr>
        <w:t>11A</w:t>
      </w:r>
      <w:r>
        <w:t>.</w:t>
      </w:r>
      <w:r>
        <w:tab/>
        <w:t>Duties of all officers and employees</w:t>
      </w:r>
      <w:bookmarkEnd w:id="108"/>
      <w:bookmarkEnd w:id="109"/>
      <w:bookmarkEnd w:id="11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111" w:name="_Toc422303185"/>
      <w:bookmarkStart w:id="112" w:name="_Toc405453117"/>
      <w:bookmarkStart w:id="113" w:name="_Toc427933041"/>
      <w:r>
        <w:rPr>
          <w:rStyle w:val="CharSectno"/>
        </w:rPr>
        <w:t>11B</w:t>
      </w:r>
      <w:r>
        <w:t>.</w:t>
      </w:r>
      <w:r>
        <w:tab/>
        <w:t xml:space="preserve">Powers and duties of custodial </w:t>
      </w:r>
      <w:del w:id="114" w:author="svcMRProcess" w:date="2020-02-21T14:38:00Z">
        <w:r>
          <w:delText>staff</w:delText>
        </w:r>
        <w:bookmarkEnd w:id="111"/>
        <w:r>
          <w:delText xml:space="preserve"> </w:delText>
        </w:r>
      </w:del>
      <w:ins w:id="115" w:author="svcMRProcess" w:date="2020-02-21T14:38:00Z">
        <w:r>
          <w:t>officers</w:t>
        </w:r>
      </w:ins>
      <w:bookmarkEnd w:id="112"/>
      <w:bookmarkEnd w:id="113"/>
    </w:p>
    <w:p>
      <w:pPr>
        <w:pStyle w:val="Subsection"/>
      </w:pPr>
      <w:r>
        <w:tab/>
      </w:r>
      <w:r>
        <w:tab/>
        <w:t xml:space="preserve">A </w:t>
      </w:r>
      <w:del w:id="116" w:author="svcMRProcess" w:date="2020-02-21T14:38:00Z">
        <w:r>
          <w:delText xml:space="preserve">person who is appointed under section 11(1) or (1a) as a </w:delText>
        </w:r>
      </w:del>
      <w:r>
        <w:t xml:space="preserve">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w:t>
      </w:r>
      <w:del w:id="117" w:author="svcMRProcess" w:date="2020-02-21T14:38:00Z">
        <w:r>
          <w:delText>7</w:delText>
        </w:r>
      </w:del>
      <w:ins w:id="118" w:author="svcMRProcess" w:date="2020-02-21T14:38:00Z">
        <w:r>
          <w:t>7; amended by No. 29 of 2014 s. 15</w:t>
        </w:r>
      </w:ins>
      <w:r>
        <w:t>.]</w:t>
      </w:r>
    </w:p>
    <w:p>
      <w:pPr>
        <w:pStyle w:val="Heading3"/>
        <w:rPr>
          <w:ins w:id="119" w:author="svcMRProcess" w:date="2020-02-21T14:38:00Z"/>
        </w:rPr>
      </w:pPr>
      <w:bookmarkStart w:id="120" w:name="_Toc427932371"/>
      <w:bookmarkStart w:id="121" w:name="_Toc427933042"/>
      <w:bookmarkStart w:id="122" w:name="_Toc405453118"/>
      <w:ins w:id="123" w:author="svcMRProcess" w:date="2020-02-21T14:38:00Z">
        <w:r>
          <w:rPr>
            <w:rStyle w:val="CharDivNo"/>
          </w:rPr>
          <w:t>Division 3</w:t>
        </w:r>
        <w:r>
          <w:t> — </w:t>
        </w:r>
        <w:r>
          <w:rPr>
            <w:rStyle w:val="CharDivText"/>
          </w:rPr>
          <w:t>Removal of custodial officers due to loss of confidence</w:t>
        </w:r>
        <w:bookmarkEnd w:id="120"/>
        <w:bookmarkEnd w:id="121"/>
      </w:ins>
    </w:p>
    <w:p>
      <w:pPr>
        <w:pStyle w:val="Footnoteheading"/>
        <w:rPr>
          <w:ins w:id="124" w:author="svcMRProcess" w:date="2020-02-21T14:38:00Z"/>
        </w:rPr>
      </w:pPr>
      <w:ins w:id="125" w:author="svcMRProcess" w:date="2020-02-21T14:38:00Z">
        <w:r>
          <w:tab/>
          <w:t>[Heading inserted by No. 29 of 2014 s. 16.]</w:t>
        </w:r>
      </w:ins>
    </w:p>
    <w:p>
      <w:pPr>
        <w:pStyle w:val="Heading4"/>
        <w:rPr>
          <w:ins w:id="126" w:author="svcMRProcess" w:date="2020-02-21T14:38:00Z"/>
        </w:rPr>
      </w:pPr>
      <w:bookmarkStart w:id="127" w:name="_Toc427932372"/>
      <w:bookmarkStart w:id="128" w:name="_Toc427933043"/>
      <w:ins w:id="129" w:author="svcMRProcess" w:date="2020-02-21T14:38:00Z">
        <w:r>
          <w:t>Subdivision 1 — Preliminary</w:t>
        </w:r>
        <w:bookmarkEnd w:id="127"/>
        <w:bookmarkEnd w:id="128"/>
      </w:ins>
    </w:p>
    <w:p>
      <w:pPr>
        <w:pStyle w:val="Footnoteheading"/>
        <w:rPr>
          <w:ins w:id="130" w:author="svcMRProcess" w:date="2020-02-21T14:38:00Z"/>
        </w:rPr>
      </w:pPr>
      <w:ins w:id="131" w:author="svcMRProcess" w:date="2020-02-21T14:38:00Z">
        <w:r>
          <w:tab/>
          <w:t>[Heading inserted by No. 29 of 2014 s. 16.]</w:t>
        </w:r>
      </w:ins>
    </w:p>
    <w:p>
      <w:pPr>
        <w:pStyle w:val="Heading5"/>
        <w:rPr>
          <w:ins w:id="132" w:author="svcMRProcess" w:date="2020-02-21T14:38:00Z"/>
        </w:rPr>
      </w:pPr>
      <w:bookmarkStart w:id="133" w:name="_Toc427933044"/>
      <w:ins w:id="134" w:author="svcMRProcess" w:date="2020-02-21T14:38:00Z">
        <w:r>
          <w:rPr>
            <w:rStyle w:val="CharSectno"/>
          </w:rPr>
          <w:t>11CA</w:t>
        </w:r>
        <w:r>
          <w:t>.</w:t>
        </w:r>
        <w:r>
          <w:tab/>
          <w:t>Terms used</w:t>
        </w:r>
        <w:bookmarkEnd w:id="133"/>
      </w:ins>
    </w:p>
    <w:p>
      <w:pPr>
        <w:pStyle w:val="Subsection"/>
        <w:rPr>
          <w:ins w:id="135" w:author="svcMRProcess" w:date="2020-02-21T14:38:00Z"/>
        </w:rPr>
      </w:pPr>
      <w:ins w:id="136" w:author="svcMRProcess" w:date="2020-02-21T14:38:00Z">
        <w:r>
          <w:tab/>
        </w:r>
        <w:r>
          <w:tab/>
          <w:t xml:space="preserve">In this Division, unless the contrary intention appears — </w:t>
        </w:r>
      </w:ins>
    </w:p>
    <w:p>
      <w:pPr>
        <w:pStyle w:val="Defstart"/>
        <w:rPr>
          <w:ins w:id="137" w:author="svcMRProcess" w:date="2020-02-21T14:38:00Z"/>
        </w:rPr>
      </w:pPr>
      <w:ins w:id="138" w:author="svcMRProcess" w:date="2020-02-21T14:38:00Z">
        <w:r>
          <w:tab/>
        </w:r>
        <w:r>
          <w:rPr>
            <w:rStyle w:val="CharDefText"/>
          </w:rPr>
          <w:t>appeal</w:t>
        </w:r>
        <w:r>
          <w:t xml:space="preserve"> means an appeal under section 11CH;</w:t>
        </w:r>
      </w:ins>
    </w:p>
    <w:p>
      <w:pPr>
        <w:pStyle w:val="Defstart"/>
        <w:rPr>
          <w:ins w:id="139" w:author="svcMRProcess" w:date="2020-02-21T14:38:00Z"/>
        </w:rPr>
      </w:pPr>
      <w:ins w:id="140" w:author="svcMRProcess" w:date="2020-02-21T14:38:00Z">
        <w:r>
          <w:tab/>
        </w:r>
        <w:r>
          <w:rPr>
            <w:rStyle w:val="CharDefText"/>
          </w:rPr>
          <w:t>appellant</w:t>
        </w:r>
        <w:r>
          <w:t xml:space="preserve"> means a person who institutes an appeal;</w:t>
        </w:r>
      </w:ins>
    </w:p>
    <w:p>
      <w:pPr>
        <w:pStyle w:val="Defstart"/>
        <w:rPr>
          <w:ins w:id="141" w:author="svcMRProcess" w:date="2020-02-21T14:38:00Z"/>
        </w:rPr>
      </w:pPr>
      <w:ins w:id="142" w:author="svcMRProcess" w:date="2020-02-21T14:38:00Z">
        <w:r>
          <w:tab/>
        </w:r>
        <w:r>
          <w:rPr>
            <w:rStyle w:val="CharDefText"/>
          </w:rPr>
          <w:t>Chief Commissioner</w:t>
        </w:r>
        <w:r>
          <w:t xml:space="preserve"> has the same meaning as in the </w:t>
        </w:r>
        <w:r>
          <w:rPr>
            <w:i/>
          </w:rPr>
          <w:t>Industrial Relations Act 1979</w:t>
        </w:r>
        <w:r>
          <w:t>;</w:t>
        </w:r>
      </w:ins>
    </w:p>
    <w:p>
      <w:pPr>
        <w:pStyle w:val="Defstart"/>
        <w:rPr>
          <w:ins w:id="143" w:author="svcMRProcess" w:date="2020-02-21T14:38:00Z"/>
        </w:rPr>
      </w:pPr>
      <w:ins w:id="144" w:author="svcMRProcess" w:date="2020-02-21T14:38:00Z">
        <w:r>
          <w:tab/>
        </w:r>
        <w:r>
          <w:rPr>
            <w:rStyle w:val="CharDefText"/>
          </w:rPr>
          <w:t>decision notice</w:t>
        </w:r>
        <w:r>
          <w:t xml:space="preserve"> has the meaning given in section 11CD(3)(b);</w:t>
        </w:r>
      </w:ins>
    </w:p>
    <w:p>
      <w:pPr>
        <w:pStyle w:val="Defstart"/>
        <w:rPr>
          <w:ins w:id="145" w:author="svcMRProcess" w:date="2020-02-21T14:38:00Z"/>
        </w:rPr>
      </w:pPr>
      <w:ins w:id="146" w:author="svcMRProcess" w:date="2020-02-21T14:38:00Z">
        <w:r>
          <w:tab/>
        </w:r>
        <w:r>
          <w:rPr>
            <w:rStyle w:val="CharDefText"/>
          </w:rPr>
          <w:t>industrial commissioner</w:t>
        </w:r>
        <w:r>
          <w:t xml:space="preserve"> means a commissioner as defined in the </w:t>
        </w:r>
        <w:r>
          <w:rPr>
            <w:i/>
          </w:rPr>
          <w:t>Industrial Relations Act 1979</w:t>
        </w:r>
        <w:r>
          <w:t xml:space="preserve"> section 7(1);</w:t>
        </w:r>
      </w:ins>
    </w:p>
    <w:p>
      <w:pPr>
        <w:pStyle w:val="Defstart"/>
        <w:rPr>
          <w:ins w:id="147" w:author="svcMRProcess" w:date="2020-02-21T14:38:00Z"/>
        </w:rPr>
      </w:pPr>
      <w:ins w:id="148" w:author="svcMRProcess" w:date="2020-02-21T14:38:00Z">
        <w:r>
          <w:tab/>
        </w:r>
        <w:r>
          <w:rPr>
            <w:rStyle w:val="CharDefText"/>
          </w:rPr>
          <w:t>maintenance payment</w:t>
        </w:r>
        <w:r>
          <w:t xml:space="preserve"> has the meaning given in section 11CE(1);</w:t>
        </w:r>
      </w:ins>
    </w:p>
    <w:p>
      <w:pPr>
        <w:pStyle w:val="Defstart"/>
        <w:rPr>
          <w:ins w:id="149" w:author="svcMRProcess" w:date="2020-02-21T14:38:00Z"/>
        </w:rPr>
      </w:pPr>
      <w:ins w:id="150" w:author="svcMRProcess" w:date="2020-02-21T14:38:00Z">
        <w:r>
          <w:tab/>
        </w:r>
        <w:r>
          <w:rPr>
            <w:rStyle w:val="CharDefText"/>
          </w:rPr>
          <w:t>maintenance period</w:t>
        </w:r>
        <w:r>
          <w:t xml:space="preserve"> has the meaning given in section 11CE(1);</w:t>
        </w:r>
      </w:ins>
    </w:p>
    <w:p>
      <w:pPr>
        <w:pStyle w:val="Defstart"/>
        <w:rPr>
          <w:ins w:id="151" w:author="svcMRProcess" w:date="2020-02-21T14:38:00Z"/>
        </w:rPr>
      </w:pPr>
      <w:ins w:id="152" w:author="svcMRProcess" w:date="2020-02-21T14:38:00Z">
        <w:r>
          <w:tab/>
        </w:r>
        <w:r>
          <w:rPr>
            <w:rStyle w:val="CharDefText"/>
          </w:rPr>
          <w:t>new evidence</w:t>
        </w:r>
        <w:r>
          <w:t xml:space="preserve">, on an appeal against the removal of a custodial officer, means evidence other than evidence of any of the following — </w:t>
        </w:r>
      </w:ins>
    </w:p>
    <w:p>
      <w:pPr>
        <w:pStyle w:val="Defpara"/>
        <w:rPr>
          <w:ins w:id="153" w:author="svcMRProcess" w:date="2020-02-21T14:38:00Z"/>
        </w:rPr>
      </w:pPr>
      <w:ins w:id="154" w:author="svcMRProcess" w:date="2020-02-21T14:38:00Z">
        <w:r>
          <w:tab/>
          <w:t>(a)</w:t>
        </w:r>
        <w:r>
          <w:tab/>
          <w:t>a document or other material that was examined and taken into account by the chief executive officer in making the removal decision;</w:t>
        </w:r>
      </w:ins>
    </w:p>
    <w:p>
      <w:pPr>
        <w:pStyle w:val="Defpara"/>
        <w:rPr>
          <w:ins w:id="155" w:author="svcMRProcess" w:date="2020-02-21T14:38:00Z"/>
        </w:rPr>
      </w:pPr>
      <w:ins w:id="156" w:author="svcMRProcess" w:date="2020-02-21T14:38:00Z">
        <w:r>
          <w:tab/>
          <w:t>(b)</w:t>
        </w:r>
        <w:r>
          <w:tab/>
          <w:t>the notice given under section 11CD(1);</w:t>
        </w:r>
      </w:ins>
    </w:p>
    <w:p>
      <w:pPr>
        <w:pStyle w:val="Defpara"/>
        <w:rPr>
          <w:ins w:id="157" w:author="svcMRProcess" w:date="2020-02-21T14:38:00Z"/>
        </w:rPr>
      </w:pPr>
      <w:ins w:id="158" w:author="svcMRProcess" w:date="2020-02-21T14:38:00Z">
        <w:r>
          <w:tab/>
          <w:t>(c)</w:t>
        </w:r>
        <w:r>
          <w:tab/>
          <w:t>a written submission made to the chief executive officer by the custodial officer under section 11CD(2);</w:t>
        </w:r>
      </w:ins>
    </w:p>
    <w:p>
      <w:pPr>
        <w:pStyle w:val="Defpara"/>
        <w:rPr>
          <w:ins w:id="159" w:author="svcMRProcess" w:date="2020-02-21T14:38:00Z"/>
        </w:rPr>
      </w:pPr>
      <w:ins w:id="160" w:author="svcMRProcess" w:date="2020-02-21T14:38:00Z">
        <w:r>
          <w:tab/>
          <w:t>(d)</w:t>
        </w:r>
        <w:r>
          <w:tab/>
          <w:t>a decision notice;</w:t>
        </w:r>
      </w:ins>
    </w:p>
    <w:p>
      <w:pPr>
        <w:pStyle w:val="Defpara"/>
        <w:rPr>
          <w:ins w:id="161" w:author="svcMRProcess" w:date="2020-02-21T14:38:00Z"/>
        </w:rPr>
      </w:pPr>
      <w:ins w:id="162" w:author="svcMRProcess" w:date="2020-02-21T14:38:00Z">
        <w:r>
          <w:tab/>
          <w:t>(e)</w:t>
        </w:r>
        <w:r>
          <w:tab/>
          <w:t>a notification of the removal;</w:t>
        </w:r>
      </w:ins>
    </w:p>
    <w:p>
      <w:pPr>
        <w:pStyle w:val="Defstart"/>
        <w:rPr>
          <w:ins w:id="163" w:author="svcMRProcess" w:date="2020-02-21T14:38:00Z"/>
        </w:rPr>
      </w:pPr>
      <w:ins w:id="164" w:author="svcMRProcess" w:date="2020-02-21T14:38:00Z">
        <w:r>
          <w:tab/>
        </w:r>
        <w:r>
          <w:rPr>
            <w:rStyle w:val="CharDefText"/>
          </w:rPr>
          <w:t>removal action</w:t>
        </w:r>
        <w:r>
          <w:t>, in relation to a custodial officer, means the removal of the custodial officer under section 11CC;</w:t>
        </w:r>
      </w:ins>
    </w:p>
    <w:p>
      <w:pPr>
        <w:pStyle w:val="Defstart"/>
        <w:rPr>
          <w:ins w:id="165" w:author="svcMRProcess" w:date="2020-02-21T14:38:00Z"/>
        </w:rPr>
      </w:pPr>
      <w:ins w:id="166" w:author="svcMRProcess" w:date="2020-02-21T14:38:00Z">
        <w:r>
          <w:tab/>
        </w:r>
        <w:r>
          <w:rPr>
            <w:rStyle w:val="CharDefText"/>
          </w:rPr>
          <w:t>removal decision</w:t>
        </w:r>
        <w:r>
          <w:t xml:space="preserve"> means a decision of the chief executive officer to take removal action;</w:t>
        </w:r>
      </w:ins>
    </w:p>
    <w:p>
      <w:pPr>
        <w:pStyle w:val="Defstart"/>
        <w:rPr>
          <w:ins w:id="167" w:author="svcMRProcess" w:date="2020-02-21T14:38:00Z"/>
        </w:rPr>
      </w:pPr>
      <w:ins w:id="168" w:author="svcMRProcess" w:date="2020-02-21T14:38:00Z">
        <w:r>
          <w:tab/>
        </w:r>
        <w:r>
          <w:rPr>
            <w:rStyle w:val="CharDefText"/>
          </w:rPr>
          <w:t>suitability to continue as a custodial officer</w:t>
        </w:r>
        <w:r>
          <w:t xml:space="preserve"> means suitability to continue as a custodial officer having regard to the officer’s integrity, honesty, competence, performance or conduct;</w:t>
        </w:r>
      </w:ins>
    </w:p>
    <w:p>
      <w:pPr>
        <w:pStyle w:val="Defstart"/>
        <w:rPr>
          <w:ins w:id="169" w:author="svcMRProcess" w:date="2020-02-21T14:38:00Z"/>
        </w:rPr>
      </w:pPr>
      <w:ins w:id="170" w:author="svcMRProcess" w:date="2020-02-21T14:38: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Footnotesection"/>
        <w:rPr>
          <w:ins w:id="171" w:author="svcMRProcess" w:date="2020-02-21T14:38:00Z"/>
        </w:rPr>
      </w:pPr>
      <w:ins w:id="172" w:author="svcMRProcess" w:date="2020-02-21T14:38:00Z">
        <w:r>
          <w:tab/>
          <w:t>[Section 11CA inserted by No. 29 of 2014 s. 16.]</w:t>
        </w:r>
      </w:ins>
    </w:p>
    <w:p>
      <w:pPr>
        <w:pStyle w:val="Heading4"/>
        <w:rPr>
          <w:ins w:id="173" w:author="svcMRProcess" w:date="2020-02-21T14:38:00Z"/>
        </w:rPr>
      </w:pPr>
      <w:bookmarkStart w:id="174" w:name="_Toc427932374"/>
      <w:bookmarkStart w:id="175" w:name="_Toc427933045"/>
      <w:ins w:id="176" w:author="svcMRProcess" w:date="2020-02-21T14:38:00Z">
        <w:r>
          <w:t>Subdivision 2 — Removal of custodial officers</w:t>
        </w:r>
        <w:bookmarkEnd w:id="174"/>
        <w:bookmarkEnd w:id="175"/>
      </w:ins>
    </w:p>
    <w:p>
      <w:pPr>
        <w:pStyle w:val="Footnoteheading"/>
        <w:rPr>
          <w:ins w:id="177" w:author="svcMRProcess" w:date="2020-02-21T14:38:00Z"/>
        </w:rPr>
      </w:pPr>
      <w:ins w:id="178" w:author="svcMRProcess" w:date="2020-02-21T14:38:00Z">
        <w:r>
          <w:tab/>
          <w:t>[Heading inserted by No. 29 of 2014 s. 16.]</w:t>
        </w:r>
      </w:ins>
    </w:p>
    <w:p>
      <w:pPr>
        <w:pStyle w:val="Heading5"/>
        <w:rPr>
          <w:ins w:id="179" w:author="svcMRProcess" w:date="2020-02-21T14:38:00Z"/>
        </w:rPr>
      </w:pPr>
      <w:bookmarkStart w:id="180" w:name="_Toc427933046"/>
      <w:ins w:id="181" w:author="svcMRProcess" w:date="2020-02-21T14:38:00Z">
        <w:r>
          <w:rPr>
            <w:rStyle w:val="CharSectno"/>
          </w:rPr>
          <w:t>11CB</w:t>
        </w:r>
        <w:r>
          <w:t>.</w:t>
        </w:r>
        <w:r>
          <w:tab/>
          <w:t>Application of Subdivision</w:t>
        </w:r>
        <w:bookmarkEnd w:id="180"/>
      </w:ins>
    </w:p>
    <w:p>
      <w:pPr>
        <w:pStyle w:val="Subsection"/>
        <w:rPr>
          <w:ins w:id="182" w:author="svcMRProcess" w:date="2020-02-21T14:38:00Z"/>
        </w:rPr>
      </w:pPr>
      <w:ins w:id="183" w:author="svcMRProcess" w:date="2020-02-21T14:38:00Z">
        <w:r>
          <w:tab/>
          <w:t>(1)</w:t>
        </w:r>
        <w:r>
          <w:tab/>
          <w:t xml:space="preserve">This Subdivision applies if — </w:t>
        </w:r>
      </w:ins>
    </w:p>
    <w:p>
      <w:pPr>
        <w:pStyle w:val="Indenta"/>
        <w:rPr>
          <w:ins w:id="184" w:author="svcMRProcess" w:date="2020-02-21T14:38:00Z"/>
        </w:rPr>
      </w:pPr>
      <w:ins w:id="185" w:author="svcMRProcess" w:date="2020-02-21T14:38:00Z">
        <w:r>
          <w:tab/>
          <w:t>(a)</w:t>
        </w:r>
        <w:r>
          <w:tab/>
          <w:t>the chief executive officer does not have confidence in a custodial officer’s suitability to continue as a custodial officer; and</w:t>
        </w:r>
      </w:ins>
    </w:p>
    <w:p>
      <w:pPr>
        <w:pStyle w:val="Indenta"/>
        <w:rPr>
          <w:ins w:id="186" w:author="svcMRProcess" w:date="2020-02-21T14:38:00Z"/>
        </w:rPr>
      </w:pPr>
      <w:ins w:id="187" w:author="svcMRProcess" w:date="2020-02-21T14:38:00Z">
        <w:r>
          <w:tab/>
          <w:t>(b)</w:t>
        </w:r>
        <w:r>
          <w:tab/>
          <w:t xml:space="preserve">the chief executive officer — </w:t>
        </w:r>
      </w:ins>
    </w:p>
    <w:p>
      <w:pPr>
        <w:pStyle w:val="Indenti"/>
        <w:rPr>
          <w:ins w:id="188" w:author="svcMRProcess" w:date="2020-02-21T14:38:00Z"/>
        </w:rPr>
      </w:pPr>
      <w:ins w:id="189" w:author="svcMRProcess" w:date="2020-02-21T14:38:00Z">
        <w:r>
          <w:tab/>
          <w:t>(i)</w:t>
        </w:r>
        <w:r>
          <w:tab/>
          <w:t>decides not to take, or continue to take, disciplinary proceedings referred to in section 11(1b)(b) against a custodial officer; and</w:t>
        </w:r>
      </w:ins>
    </w:p>
    <w:p>
      <w:pPr>
        <w:pStyle w:val="Indenti"/>
        <w:rPr>
          <w:ins w:id="190" w:author="svcMRProcess" w:date="2020-02-21T14:38:00Z"/>
        </w:rPr>
      </w:pPr>
      <w:ins w:id="191" w:author="svcMRProcess" w:date="2020-02-21T14:38:00Z">
        <w:r>
          <w:tab/>
          <w:t>(ii)</w:t>
        </w:r>
        <w:r>
          <w:tab/>
          <w:t>decides instead to take removal action in relation to the custodial officer.</w:t>
        </w:r>
      </w:ins>
    </w:p>
    <w:p>
      <w:pPr>
        <w:pStyle w:val="Subsection"/>
        <w:rPr>
          <w:ins w:id="192" w:author="svcMRProcess" w:date="2020-02-21T14:38:00Z"/>
        </w:rPr>
      </w:pPr>
      <w:ins w:id="193" w:author="svcMRProcess" w:date="2020-02-21T14:38:00Z">
        <w:r>
          <w:tab/>
          <w:t>(2)</w:t>
        </w:r>
        <w:r>
          <w:tab/>
          <w:t xml:space="preserve">If regulations are made under section 11(1C), this Subdivision applies despite the </w:t>
        </w:r>
        <w:r>
          <w:rPr>
            <w:i/>
          </w:rPr>
          <w:t>Public Sector Management Act 1994</w:t>
        </w:r>
        <w:r>
          <w:t xml:space="preserve"> section 76(2).</w:t>
        </w:r>
      </w:ins>
    </w:p>
    <w:p>
      <w:pPr>
        <w:pStyle w:val="Footnotesection"/>
        <w:rPr>
          <w:ins w:id="194" w:author="svcMRProcess" w:date="2020-02-21T14:38:00Z"/>
        </w:rPr>
      </w:pPr>
      <w:ins w:id="195" w:author="svcMRProcess" w:date="2020-02-21T14:38:00Z">
        <w:r>
          <w:tab/>
          <w:t>[Section 11CB inserted by No. 29 of 2014 s. 16.]</w:t>
        </w:r>
      </w:ins>
    </w:p>
    <w:p>
      <w:pPr>
        <w:pStyle w:val="Heading5"/>
        <w:rPr>
          <w:ins w:id="196" w:author="svcMRProcess" w:date="2020-02-21T14:38:00Z"/>
        </w:rPr>
      </w:pPr>
      <w:bookmarkStart w:id="197" w:name="_Toc427933047"/>
      <w:ins w:id="198" w:author="svcMRProcess" w:date="2020-02-21T14:38:00Z">
        <w:r>
          <w:rPr>
            <w:rStyle w:val="CharSectno"/>
          </w:rPr>
          <w:t>11CC</w:t>
        </w:r>
        <w:r>
          <w:t>.</w:t>
        </w:r>
        <w:r>
          <w:tab/>
          <w:t>Removal action</w:t>
        </w:r>
        <w:bookmarkEnd w:id="197"/>
      </w:ins>
    </w:p>
    <w:p>
      <w:pPr>
        <w:pStyle w:val="Subsection"/>
        <w:rPr>
          <w:ins w:id="199" w:author="svcMRProcess" w:date="2020-02-21T14:38:00Z"/>
        </w:rPr>
      </w:pPr>
      <w:ins w:id="200" w:author="svcMRProcess" w:date="2020-02-21T14:38:00Z">
        <w:r>
          <w:tab/>
          <w:t>(1)</w:t>
        </w:r>
        <w:r>
          <w:tab/>
          <w:t>If the chief executive officer does not have confidence in a custodial officer’s suitability to continue as a custodial officer, the chief executive officer may remove the custodial officer.</w:t>
        </w:r>
      </w:ins>
    </w:p>
    <w:p>
      <w:pPr>
        <w:pStyle w:val="Subsection"/>
        <w:rPr>
          <w:ins w:id="201" w:author="svcMRProcess" w:date="2020-02-21T14:38:00Z"/>
        </w:rPr>
      </w:pPr>
      <w:ins w:id="202" w:author="svcMRProcess" w:date="2020-02-21T14:38:00Z">
        <w:r>
          <w:tab/>
          <w:t>(2)</w:t>
        </w:r>
        <w:r>
          <w:tab/>
          <w:t xml:space="preserve">Subsection (1) applies in addition to, and does not limit the operation of, the </w:t>
        </w:r>
        <w:r>
          <w:rPr>
            <w:i/>
          </w:rPr>
          <w:t>Public Sector Management Act 1994</w:t>
        </w:r>
        <w:r>
          <w:t>.</w:t>
        </w:r>
      </w:ins>
    </w:p>
    <w:p>
      <w:pPr>
        <w:pStyle w:val="Subsection"/>
        <w:rPr>
          <w:ins w:id="203" w:author="svcMRProcess" w:date="2020-02-21T14:38:00Z"/>
        </w:rPr>
      </w:pPr>
      <w:ins w:id="204" w:author="svcMRProcess" w:date="2020-02-21T14:38:00Z">
        <w:r>
          <w:tab/>
          <w:t>(3)</w:t>
        </w:r>
        <w:r>
          <w:tab/>
          <w:t>The chief executive officer may conduct any necessary investigation to determine a custodial officer’s suitability to continue as a custodial officer.</w:t>
        </w:r>
      </w:ins>
    </w:p>
    <w:p>
      <w:pPr>
        <w:pStyle w:val="Subsection"/>
        <w:rPr>
          <w:ins w:id="205" w:author="svcMRProcess" w:date="2020-02-21T14:38:00Z"/>
        </w:rPr>
      </w:pPr>
      <w:ins w:id="206" w:author="svcMRProcess" w:date="2020-02-21T14:38:00Z">
        <w:r>
          <w:tab/>
          <w:t>(4)</w:t>
        </w:r>
        <w:r>
          <w:tab/>
          <w:t xml:space="preserve">For the purpose of the investigation the chief executive officer may require the custodial officer to do all or any of the following — </w:t>
        </w:r>
      </w:ins>
    </w:p>
    <w:p>
      <w:pPr>
        <w:pStyle w:val="Indenta"/>
        <w:rPr>
          <w:ins w:id="207" w:author="svcMRProcess" w:date="2020-02-21T14:38:00Z"/>
        </w:rPr>
      </w:pPr>
      <w:ins w:id="208" w:author="svcMRProcess" w:date="2020-02-21T14:38:00Z">
        <w:r>
          <w:tab/>
          <w:t>(a)</w:t>
        </w:r>
        <w:r>
          <w:tab/>
          <w:t>provide the chief executive officer with any information or answer any question that the chief executive officer requires;</w:t>
        </w:r>
      </w:ins>
    </w:p>
    <w:p>
      <w:pPr>
        <w:pStyle w:val="Indenta"/>
        <w:rPr>
          <w:ins w:id="209" w:author="svcMRProcess" w:date="2020-02-21T14:38:00Z"/>
        </w:rPr>
      </w:pPr>
      <w:ins w:id="210" w:author="svcMRProcess" w:date="2020-02-21T14:38:00Z">
        <w:r>
          <w:tab/>
          <w:t>(b)</w:t>
        </w:r>
        <w:r>
          <w:tab/>
          <w:t>produce to the chief executive officer any document in the custody or under the control of the custodial officer.</w:t>
        </w:r>
      </w:ins>
    </w:p>
    <w:p>
      <w:pPr>
        <w:pStyle w:val="Subsection"/>
        <w:rPr>
          <w:ins w:id="211" w:author="svcMRProcess" w:date="2020-02-21T14:38:00Z"/>
        </w:rPr>
      </w:pPr>
      <w:ins w:id="212" w:author="svcMRProcess" w:date="2020-02-21T14:38:00Z">
        <w:r>
          <w:tab/>
          <w:t>(5)</w:t>
        </w:r>
        <w:r>
          <w:tab/>
          <w:t xml:space="preserve">The custodial officer is not excused from giving information, answering any question or producing a document when required to do so under subsection (4) on the ground that the information, answer or document might — </w:t>
        </w:r>
      </w:ins>
    </w:p>
    <w:p>
      <w:pPr>
        <w:pStyle w:val="Indenta"/>
        <w:rPr>
          <w:ins w:id="213" w:author="svcMRProcess" w:date="2020-02-21T14:38:00Z"/>
        </w:rPr>
      </w:pPr>
      <w:ins w:id="214" w:author="svcMRProcess" w:date="2020-02-21T14:38:00Z">
        <w:r>
          <w:tab/>
          <w:t>(a)</w:t>
        </w:r>
        <w:r>
          <w:tab/>
          <w:t xml:space="preserve">incriminate the custodial officer; or </w:t>
        </w:r>
      </w:ins>
    </w:p>
    <w:p>
      <w:pPr>
        <w:pStyle w:val="Indenta"/>
        <w:rPr>
          <w:ins w:id="215" w:author="svcMRProcess" w:date="2020-02-21T14:38:00Z"/>
        </w:rPr>
      </w:pPr>
      <w:ins w:id="216" w:author="svcMRProcess" w:date="2020-02-21T14:38:00Z">
        <w:r>
          <w:tab/>
          <w:t>(b)</w:t>
        </w:r>
        <w:r>
          <w:tab/>
          <w:t>render the custodial officer liable to a disciplinary measure under section 11 or removal under this Division.</w:t>
        </w:r>
      </w:ins>
    </w:p>
    <w:p>
      <w:pPr>
        <w:pStyle w:val="Subsection"/>
        <w:rPr>
          <w:ins w:id="217" w:author="svcMRProcess" w:date="2020-02-21T14:38:00Z"/>
        </w:rPr>
      </w:pPr>
      <w:ins w:id="218" w:author="svcMRProcess" w:date="2020-02-21T14:38:00Z">
        <w:r>
          <w:tab/>
          <w:t>(6)</w:t>
        </w:r>
        <w:r>
          <w:tab/>
          <w:t>The information, answer or document is not admissible in evidence against the custodial officer in any criminal proceedings except in proceedings for an offence under subsection (7).</w:t>
        </w:r>
      </w:ins>
    </w:p>
    <w:p>
      <w:pPr>
        <w:pStyle w:val="Subsection"/>
        <w:rPr>
          <w:ins w:id="219" w:author="svcMRProcess" w:date="2020-02-21T14:38:00Z"/>
        </w:rPr>
      </w:pPr>
      <w:ins w:id="220" w:author="svcMRProcess" w:date="2020-02-21T14:38:00Z">
        <w:r>
          <w:tab/>
          <w:t>(7)</w:t>
        </w:r>
        <w:r>
          <w:tab/>
          <w:t xml:space="preserve">A custodial officer must not, in response to a requirement under subsection (4) — </w:t>
        </w:r>
      </w:ins>
    </w:p>
    <w:p>
      <w:pPr>
        <w:pStyle w:val="Indenta"/>
        <w:rPr>
          <w:ins w:id="221" w:author="svcMRProcess" w:date="2020-02-21T14:38:00Z"/>
        </w:rPr>
      </w:pPr>
      <w:ins w:id="222" w:author="svcMRProcess" w:date="2020-02-21T14:38:00Z">
        <w:r>
          <w:tab/>
          <w:t>(a)</w:t>
        </w:r>
        <w:r>
          <w:tab/>
          <w:t>fail or refuse to provide the required information or answer or produce the required document; or</w:t>
        </w:r>
      </w:ins>
    </w:p>
    <w:p>
      <w:pPr>
        <w:pStyle w:val="Indenta"/>
        <w:rPr>
          <w:ins w:id="223" w:author="svcMRProcess" w:date="2020-02-21T14:38:00Z"/>
        </w:rPr>
      </w:pPr>
      <w:ins w:id="224" w:author="svcMRProcess" w:date="2020-02-21T14:38:00Z">
        <w:r>
          <w:tab/>
          <w:t>(b)</w:t>
        </w:r>
        <w:r>
          <w:tab/>
          <w:t>give information or an answer that is false or misleading in a material particular; or</w:t>
        </w:r>
      </w:ins>
    </w:p>
    <w:p>
      <w:pPr>
        <w:pStyle w:val="Indenta"/>
        <w:rPr>
          <w:ins w:id="225" w:author="svcMRProcess" w:date="2020-02-21T14:38:00Z"/>
        </w:rPr>
      </w:pPr>
      <w:ins w:id="226" w:author="svcMRProcess" w:date="2020-02-21T14:38:00Z">
        <w:r>
          <w:tab/>
          <w:t>(c)</w:t>
        </w:r>
        <w:r>
          <w:tab/>
          <w:t>produce a document that the custodial officer knows is false or misleading in a material particular —</w:t>
        </w:r>
      </w:ins>
    </w:p>
    <w:p>
      <w:pPr>
        <w:pStyle w:val="Indenti"/>
        <w:rPr>
          <w:ins w:id="227" w:author="svcMRProcess" w:date="2020-02-21T14:38:00Z"/>
        </w:rPr>
      </w:pPr>
      <w:ins w:id="228" w:author="svcMRProcess" w:date="2020-02-21T14:38:00Z">
        <w:r>
          <w:tab/>
          <w:t>(i)</w:t>
        </w:r>
        <w:r>
          <w:tab/>
          <w:t>without indicating that the document is false or misleading and, to the extent the custodial officer can, how the document is false or misleading; and</w:t>
        </w:r>
      </w:ins>
    </w:p>
    <w:p>
      <w:pPr>
        <w:pStyle w:val="Indenti"/>
        <w:rPr>
          <w:ins w:id="229" w:author="svcMRProcess" w:date="2020-02-21T14:38:00Z"/>
        </w:rPr>
      </w:pPr>
      <w:ins w:id="230" w:author="svcMRProcess" w:date="2020-02-21T14:38:00Z">
        <w:r>
          <w:tab/>
          <w:t>(ii)</w:t>
        </w:r>
        <w:r>
          <w:tab/>
          <w:t>if the custodial officer has, or can reasonably obtain, the correct information — without providing the correct information.</w:t>
        </w:r>
      </w:ins>
    </w:p>
    <w:p>
      <w:pPr>
        <w:pStyle w:val="Penstart"/>
        <w:rPr>
          <w:ins w:id="231" w:author="svcMRProcess" w:date="2020-02-21T14:38:00Z"/>
        </w:rPr>
      </w:pPr>
      <w:ins w:id="232" w:author="svcMRProcess" w:date="2020-02-21T14:38:00Z">
        <w:r>
          <w:tab/>
          <w:t>Penalty: a fine of $4 000 and imprisonment for 12 months.</w:t>
        </w:r>
      </w:ins>
    </w:p>
    <w:p>
      <w:pPr>
        <w:pStyle w:val="Footnotesection"/>
        <w:rPr>
          <w:ins w:id="233" w:author="svcMRProcess" w:date="2020-02-21T14:38:00Z"/>
        </w:rPr>
      </w:pPr>
      <w:ins w:id="234" w:author="svcMRProcess" w:date="2020-02-21T14:38:00Z">
        <w:r>
          <w:tab/>
          <w:t>[Section 11CC inserted by No. 29 of 2014 s. 16.]</w:t>
        </w:r>
      </w:ins>
    </w:p>
    <w:p>
      <w:pPr>
        <w:pStyle w:val="Heading5"/>
        <w:rPr>
          <w:ins w:id="235" w:author="svcMRProcess" w:date="2020-02-21T14:38:00Z"/>
        </w:rPr>
      </w:pPr>
      <w:bookmarkStart w:id="236" w:name="_Toc427933048"/>
      <w:ins w:id="237" w:author="svcMRProcess" w:date="2020-02-21T14:38:00Z">
        <w:r>
          <w:rPr>
            <w:rStyle w:val="CharSectno"/>
          </w:rPr>
          <w:t>11CD</w:t>
        </w:r>
        <w:r>
          <w:t>.</w:t>
        </w:r>
        <w:r>
          <w:tab/>
          <w:t>Notice of loss of confidence</w:t>
        </w:r>
        <w:bookmarkEnd w:id="236"/>
      </w:ins>
    </w:p>
    <w:p>
      <w:pPr>
        <w:pStyle w:val="Subsection"/>
        <w:rPr>
          <w:ins w:id="238" w:author="svcMRProcess" w:date="2020-02-21T14:38:00Z"/>
        </w:rPr>
      </w:pPr>
      <w:ins w:id="239" w:author="svcMRProcess" w:date="2020-02-21T14:38:00Z">
        <w:r>
          <w:tab/>
          <w:t>(1)</w:t>
        </w:r>
        <w:r>
          <w:tab/>
          <w:t>The chief executive officer may give the custodial officer a written notice setting out the grounds on which the chief executive officer does not have confidence in the custodial officer’s suitability to continue as a custodial officer.</w:t>
        </w:r>
      </w:ins>
    </w:p>
    <w:p>
      <w:pPr>
        <w:pStyle w:val="Subsection"/>
        <w:rPr>
          <w:ins w:id="240" w:author="svcMRProcess" w:date="2020-02-21T14:38:00Z"/>
        </w:rPr>
      </w:pPr>
      <w:ins w:id="241" w:author="svcMRProcess" w:date="2020-02-21T14:38:00Z">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ins>
    </w:p>
    <w:p>
      <w:pPr>
        <w:pStyle w:val="Indenta"/>
        <w:rPr>
          <w:ins w:id="242" w:author="svcMRProcess" w:date="2020-02-21T14:38:00Z"/>
        </w:rPr>
      </w:pPr>
      <w:ins w:id="243" w:author="svcMRProcess" w:date="2020-02-21T14:38:00Z">
        <w:r>
          <w:tab/>
          <w:t>(a)</w:t>
        </w:r>
        <w:r>
          <w:tab/>
          <w:t>21 days after the day on which the notice is given; or</w:t>
        </w:r>
      </w:ins>
    </w:p>
    <w:p>
      <w:pPr>
        <w:pStyle w:val="Indenta"/>
        <w:rPr>
          <w:ins w:id="244" w:author="svcMRProcess" w:date="2020-02-21T14:38:00Z"/>
        </w:rPr>
      </w:pPr>
      <w:ins w:id="245" w:author="svcMRProcess" w:date="2020-02-21T14:38:00Z">
        <w:r>
          <w:tab/>
          <w:t>(b)</w:t>
        </w:r>
        <w:r>
          <w:tab/>
          <w:t>any longer period after that day allowed by the chief executive officer.</w:t>
        </w:r>
      </w:ins>
    </w:p>
    <w:p>
      <w:pPr>
        <w:pStyle w:val="Subsection"/>
        <w:rPr>
          <w:ins w:id="246" w:author="svcMRProcess" w:date="2020-02-21T14:38:00Z"/>
        </w:rPr>
      </w:pPr>
      <w:ins w:id="247" w:author="svcMRProcess" w:date="2020-02-21T14:38:00Z">
        <w:r>
          <w:tab/>
          <w:t>(3)</w:t>
        </w:r>
        <w:r>
          <w:tab/>
          <w:t xml:space="preserve">After the submission period, the chief executive officer must — </w:t>
        </w:r>
      </w:ins>
    </w:p>
    <w:p>
      <w:pPr>
        <w:pStyle w:val="Indenta"/>
        <w:rPr>
          <w:ins w:id="248" w:author="svcMRProcess" w:date="2020-02-21T14:38:00Z"/>
        </w:rPr>
      </w:pPr>
      <w:ins w:id="249" w:author="svcMRProcess" w:date="2020-02-21T14:38:00Z">
        <w:r>
          <w:tab/>
          <w:t>(a)</w:t>
        </w:r>
        <w:r>
          <w:tab/>
          <w:t>decide whether or not to take removal action against the custodial officer; and</w:t>
        </w:r>
      </w:ins>
    </w:p>
    <w:p>
      <w:pPr>
        <w:pStyle w:val="Indenta"/>
        <w:rPr>
          <w:ins w:id="250" w:author="svcMRProcess" w:date="2020-02-21T14:38:00Z"/>
        </w:rPr>
      </w:pPr>
      <w:ins w:id="251" w:author="svcMRProcess" w:date="2020-02-21T14:38:00Z">
        <w:r>
          <w:tab/>
          <w:t>(b)</w:t>
        </w:r>
        <w:r>
          <w:tab/>
          <w:t xml:space="preserve">give the custodial officer written notice of the decision (the </w:t>
        </w:r>
        <w:r>
          <w:rPr>
            <w:rStyle w:val="CharDefText"/>
          </w:rPr>
          <w:t>decision notice</w:t>
        </w:r>
        <w:r>
          <w:t>).</w:t>
        </w:r>
      </w:ins>
    </w:p>
    <w:p>
      <w:pPr>
        <w:pStyle w:val="Subsection"/>
        <w:rPr>
          <w:ins w:id="252" w:author="svcMRProcess" w:date="2020-02-21T14:38:00Z"/>
        </w:rPr>
      </w:pPr>
      <w:ins w:id="253" w:author="svcMRProcess" w:date="2020-02-21T14:38:00Z">
        <w:r>
          <w:tab/>
          <w:t>(4)</w:t>
        </w:r>
        <w:r>
          <w:tab/>
          <w:t xml:space="preserve">The chief executive officer must not decide to take removal action against the custodial officer unless the chief executive officer — </w:t>
        </w:r>
      </w:ins>
    </w:p>
    <w:p>
      <w:pPr>
        <w:pStyle w:val="Indenta"/>
        <w:rPr>
          <w:ins w:id="254" w:author="svcMRProcess" w:date="2020-02-21T14:38:00Z"/>
        </w:rPr>
      </w:pPr>
      <w:ins w:id="255" w:author="svcMRProcess" w:date="2020-02-21T14:38:00Z">
        <w:r>
          <w:tab/>
          <w:t>(a)</w:t>
        </w:r>
        <w:r>
          <w:tab/>
          <w:t>has taken into account any written submissions received from the custodial officer during the submission period; and</w:t>
        </w:r>
      </w:ins>
    </w:p>
    <w:p>
      <w:pPr>
        <w:pStyle w:val="Indenta"/>
        <w:rPr>
          <w:ins w:id="256" w:author="svcMRProcess" w:date="2020-02-21T14:38:00Z"/>
        </w:rPr>
      </w:pPr>
      <w:ins w:id="257" w:author="svcMRProcess" w:date="2020-02-21T14:38:00Z">
        <w:r>
          <w:tab/>
          <w:t>(b)</w:t>
        </w:r>
        <w:r>
          <w:tab/>
          <w:t>still does not have confidence in a custodial officer’s suitability to continue as a custodial officer.</w:t>
        </w:r>
      </w:ins>
    </w:p>
    <w:p>
      <w:pPr>
        <w:pStyle w:val="Subsection"/>
        <w:rPr>
          <w:ins w:id="258" w:author="svcMRProcess" w:date="2020-02-21T14:38:00Z"/>
        </w:rPr>
      </w:pPr>
      <w:ins w:id="259" w:author="svcMRProcess" w:date="2020-02-21T14:38:00Z">
        <w:r>
          <w:tab/>
          <w:t>(5)</w:t>
        </w:r>
        <w:r>
          <w:tab/>
          <w:t>If the chief executive officer decides to take removal action against the custodial officer, the decision notice must contain the reasons for the decision.</w:t>
        </w:r>
      </w:ins>
    </w:p>
    <w:p>
      <w:pPr>
        <w:pStyle w:val="Subsection"/>
        <w:rPr>
          <w:ins w:id="260" w:author="svcMRProcess" w:date="2020-02-21T14:38:00Z"/>
        </w:rPr>
      </w:pPr>
      <w:ins w:id="261" w:author="svcMRProcess" w:date="2020-02-21T14:38:00Z">
        <w:r>
          <w:tab/>
          <w:t>(6)</w:t>
        </w:r>
        <w:r>
          <w:tab/>
          <w:t xml:space="preserve">Except as provided in the regulations, the chief executive officer must, within 7 days after giving the decision notice — </w:t>
        </w:r>
      </w:ins>
    </w:p>
    <w:p>
      <w:pPr>
        <w:pStyle w:val="Indenta"/>
        <w:rPr>
          <w:ins w:id="262" w:author="svcMRProcess" w:date="2020-02-21T14:38:00Z"/>
        </w:rPr>
      </w:pPr>
      <w:ins w:id="263" w:author="svcMRProcess" w:date="2020-02-21T14:38:00Z">
        <w:r>
          <w:tab/>
          <w:t>(a)</w:t>
        </w:r>
        <w:r>
          <w:tab/>
          <w:t xml:space="preserve">give to the custodial officer a copy of any documents that were considered by the chief executive officer in making the decision; and </w:t>
        </w:r>
      </w:ins>
    </w:p>
    <w:p>
      <w:pPr>
        <w:pStyle w:val="Indenta"/>
        <w:rPr>
          <w:ins w:id="264" w:author="svcMRProcess" w:date="2020-02-21T14:38:00Z"/>
        </w:rPr>
      </w:pPr>
      <w:ins w:id="265" w:author="svcMRProcess" w:date="2020-02-21T14:38:00Z">
        <w:r>
          <w:tab/>
          <w:t>(b)</w:t>
        </w:r>
        <w:r>
          <w:tab/>
          <w:t>make available to the custodial officer for inspection any other materials that were considered by the chief executive officer in making the decision.</w:t>
        </w:r>
      </w:ins>
    </w:p>
    <w:p>
      <w:pPr>
        <w:pStyle w:val="Subsection"/>
        <w:rPr>
          <w:ins w:id="266" w:author="svcMRProcess" w:date="2020-02-21T14:38:00Z"/>
        </w:rPr>
      </w:pPr>
      <w:ins w:id="267" w:author="svcMRProcess" w:date="2020-02-21T14:38:00Z">
        <w:r>
          <w:tab/>
          <w:t>(7)</w:t>
        </w:r>
        <w:r>
          <w:tab/>
          <w:t>The removal action may be carried out when the notice is given or at any time after that.</w:t>
        </w:r>
      </w:ins>
    </w:p>
    <w:p>
      <w:pPr>
        <w:pStyle w:val="Footnotesection"/>
        <w:rPr>
          <w:ins w:id="268" w:author="svcMRProcess" w:date="2020-02-21T14:38:00Z"/>
        </w:rPr>
      </w:pPr>
      <w:ins w:id="269" w:author="svcMRProcess" w:date="2020-02-21T14:38:00Z">
        <w:r>
          <w:tab/>
          <w:t>[Section 11CD inserted by No. 29 of 2014 s. 16.]</w:t>
        </w:r>
      </w:ins>
    </w:p>
    <w:p>
      <w:pPr>
        <w:pStyle w:val="Heading5"/>
        <w:rPr>
          <w:ins w:id="270" w:author="svcMRProcess" w:date="2020-02-21T14:38:00Z"/>
        </w:rPr>
      </w:pPr>
      <w:bookmarkStart w:id="271" w:name="_Toc427933049"/>
      <w:ins w:id="272" w:author="svcMRProcess" w:date="2020-02-21T14:38:00Z">
        <w:r>
          <w:rPr>
            <w:rStyle w:val="CharSectno"/>
          </w:rPr>
          <w:t>11CE</w:t>
        </w:r>
        <w:r>
          <w:t>.</w:t>
        </w:r>
        <w:r>
          <w:tab/>
          <w:t>Maintenance payment</w:t>
        </w:r>
        <w:bookmarkEnd w:id="271"/>
      </w:ins>
    </w:p>
    <w:p>
      <w:pPr>
        <w:pStyle w:val="Subsection"/>
        <w:rPr>
          <w:ins w:id="273" w:author="svcMRProcess" w:date="2020-02-21T14:38:00Z"/>
        </w:rPr>
      </w:pPr>
      <w:ins w:id="274" w:author="svcMRProcess" w:date="2020-02-21T14:38:00Z">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ins>
    </w:p>
    <w:p>
      <w:pPr>
        <w:pStyle w:val="Subsection"/>
        <w:rPr>
          <w:ins w:id="275" w:author="svcMRProcess" w:date="2020-02-21T14:38:00Z"/>
        </w:rPr>
      </w:pPr>
      <w:ins w:id="276" w:author="svcMRProcess" w:date="2020-02-21T14:38:00Z">
        <w:r>
          <w:tab/>
          <w:t>(2)</w:t>
        </w:r>
        <w:r>
          <w:tab/>
          <w:t>The Minister may, in exceptional circumstances, direct that a maintenance payment must be paid to the custodial officer for a specified period after the maintenance period.</w:t>
        </w:r>
      </w:ins>
    </w:p>
    <w:p>
      <w:pPr>
        <w:pStyle w:val="Subsection"/>
        <w:rPr>
          <w:ins w:id="277" w:author="svcMRProcess" w:date="2020-02-21T14:38:00Z"/>
        </w:rPr>
      </w:pPr>
      <w:ins w:id="278" w:author="svcMRProcess" w:date="2020-02-21T14:38:00Z">
        <w:r>
          <w:tab/>
          <w:t>(3)</w:t>
        </w:r>
        <w:r>
          <w:tab/>
          <w:t>For the purpose of subsection (2), the specified period is a period not exceeding 6 months specified by the Minister but in any event ending on the day any appeal is determined by the WAIRC.</w:t>
        </w:r>
      </w:ins>
    </w:p>
    <w:p>
      <w:pPr>
        <w:pStyle w:val="Subsection"/>
        <w:rPr>
          <w:ins w:id="279" w:author="svcMRProcess" w:date="2020-02-21T14:38:00Z"/>
        </w:rPr>
      </w:pPr>
      <w:ins w:id="280" w:author="svcMRProcess" w:date="2020-02-21T14:38:00Z">
        <w:r>
          <w:tab/>
          <w:t>(4)</w:t>
        </w:r>
        <w:r>
          <w:tab/>
          <w:t>Any maintenance payment must be determined on the basis of the salary of the custodial officer at the time of the removal.</w:t>
        </w:r>
      </w:ins>
    </w:p>
    <w:p>
      <w:pPr>
        <w:pStyle w:val="Footnotesection"/>
        <w:rPr>
          <w:ins w:id="281" w:author="svcMRProcess" w:date="2020-02-21T14:38:00Z"/>
        </w:rPr>
      </w:pPr>
      <w:ins w:id="282" w:author="svcMRProcess" w:date="2020-02-21T14:38:00Z">
        <w:r>
          <w:tab/>
          <w:t>[Section 11CE inserted by No. 29 of 2014 s. 16.]</w:t>
        </w:r>
      </w:ins>
    </w:p>
    <w:p>
      <w:pPr>
        <w:pStyle w:val="Heading5"/>
        <w:rPr>
          <w:ins w:id="283" w:author="svcMRProcess" w:date="2020-02-21T14:38:00Z"/>
        </w:rPr>
      </w:pPr>
      <w:bookmarkStart w:id="284" w:name="_Toc427933050"/>
      <w:ins w:id="285" w:author="svcMRProcess" w:date="2020-02-21T14:38:00Z">
        <w:r>
          <w:rPr>
            <w:rStyle w:val="CharSectno"/>
          </w:rPr>
          <w:t>11CF</w:t>
        </w:r>
        <w:r>
          <w:t>.</w:t>
        </w:r>
        <w:r>
          <w:tab/>
          <w:t>Withdrawal of removal action and revocation of removal</w:t>
        </w:r>
        <w:bookmarkEnd w:id="284"/>
      </w:ins>
    </w:p>
    <w:p>
      <w:pPr>
        <w:pStyle w:val="Subsection"/>
        <w:rPr>
          <w:ins w:id="286" w:author="svcMRProcess" w:date="2020-02-21T14:38:00Z"/>
        </w:rPr>
      </w:pPr>
      <w:ins w:id="287" w:author="svcMRProcess" w:date="2020-02-21T14:38:00Z">
        <w:r>
          <w:tab/>
          <w:t>(1)</w:t>
        </w:r>
        <w:r>
          <w:tab/>
          <w:t>If a custodial officer is removed as a result of removal action, the chief executive officer may, by notice in writing to the custodial officer, revoke the removal.</w:t>
        </w:r>
      </w:ins>
    </w:p>
    <w:p>
      <w:pPr>
        <w:pStyle w:val="Subsection"/>
        <w:rPr>
          <w:ins w:id="288" w:author="svcMRProcess" w:date="2020-02-21T14:38:00Z"/>
        </w:rPr>
      </w:pPr>
      <w:ins w:id="289" w:author="svcMRProcess" w:date="2020-02-21T14:38:00Z">
        <w:r>
          <w:tab/>
          <w:t>(2)</w:t>
        </w:r>
        <w:r>
          <w:tab/>
          <w:t>Subsection (1) applies even if an appeal has been instituted against the removal.</w:t>
        </w:r>
      </w:ins>
    </w:p>
    <w:p>
      <w:pPr>
        <w:pStyle w:val="Subsection"/>
        <w:rPr>
          <w:ins w:id="290" w:author="svcMRProcess" w:date="2020-02-21T14:38:00Z"/>
        </w:rPr>
      </w:pPr>
      <w:ins w:id="291" w:author="svcMRProcess" w:date="2020-02-21T14:38:00Z">
        <w:r>
          <w:tab/>
          <w:t>(3)</w:t>
        </w:r>
        <w:r>
          <w:tab/>
          <w:t>Despite any other enactment, if the removal is revoked under subsection (1), the removal is to be taken to be of no effect and to have never had any effect.</w:t>
        </w:r>
      </w:ins>
    </w:p>
    <w:p>
      <w:pPr>
        <w:pStyle w:val="Subsection"/>
        <w:rPr>
          <w:ins w:id="292" w:author="svcMRProcess" w:date="2020-02-21T14:38:00Z"/>
        </w:rPr>
      </w:pPr>
      <w:ins w:id="293" w:author="svcMRProcess" w:date="2020-02-21T14:38:00Z">
        <w:r>
          <w:tab/>
          <w:t>(4)</w:t>
        </w:r>
        <w:r>
          <w:tab/>
          <w:t>If the chief executive officer revokes the removal of a custodial officer under subsection (1), the custodial officer is not entitled to be paid his or her salary for any period the custodial officer received a maintenance payment.</w:t>
        </w:r>
      </w:ins>
    </w:p>
    <w:p>
      <w:pPr>
        <w:pStyle w:val="Footnotesection"/>
        <w:rPr>
          <w:ins w:id="294" w:author="svcMRProcess" w:date="2020-02-21T14:38:00Z"/>
        </w:rPr>
      </w:pPr>
      <w:ins w:id="295" w:author="svcMRProcess" w:date="2020-02-21T14:38:00Z">
        <w:r>
          <w:tab/>
          <w:t>[Section 11CF inserted by No. 29 of 2014 s. 16.]</w:t>
        </w:r>
      </w:ins>
    </w:p>
    <w:p>
      <w:pPr>
        <w:pStyle w:val="Heading5"/>
        <w:rPr>
          <w:ins w:id="296" w:author="svcMRProcess" w:date="2020-02-21T14:38:00Z"/>
        </w:rPr>
      </w:pPr>
      <w:bookmarkStart w:id="297" w:name="_Toc427933051"/>
      <w:ins w:id="298" w:author="svcMRProcess" w:date="2020-02-21T14:38:00Z">
        <w:r>
          <w:rPr>
            <w:rStyle w:val="CharSectno"/>
          </w:rPr>
          <w:t>11CG</w:t>
        </w:r>
        <w:r>
          <w:t>.</w:t>
        </w:r>
        <w:r>
          <w:tab/>
          <w:t>Resignation of custodial officer who has been removed</w:t>
        </w:r>
        <w:bookmarkEnd w:id="297"/>
      </w:ins>
    </w:p>
    <w:p>
      <w:pPr>
        <w:pStyle w:val="Subsection"/>
        <w:rPr>
          <w:ins w:id="299" w:author="svcMRProcess" w:date="2020-02-21T14:38:00Z"/>
        </w:rPr>
      </w:pPr>
      <w:ins w:id="300" w:author="svcMRProcess" w:date="2020-02-21T14:38:00Z">
        <w:r>
          <w:tab/>
          <w:t>(1)</w:t>
        </w:r>
        <w:r>
          <w:tab/>
          <w:t>Even if a custodial officer is removed as a result of removal action, the custodial officer may resign at any time before the end of the maintenance period.</w:t>
        </w:r>
      </w:ins>
    </w:p>
    <w:p>
      <w:pPr>
        <w:pStyle w:val="Subsection"/>
        <w:rPr>
          <w:ins w:id="301" w:author="svcMRProcess" w:date="2020-02-21T14:38:00Z"/>
        </w:rPr>
      </w:pPr>
      <w:ins w:id="302" w:author="svcMRProcess" w:date="2020-02-21T14:38:00Z">
        <w:r>
          <w:tab/>
          <w:t>(2)</w:t>
        </w:r>
        <w:r>
          <w:tab/>
          <w:t>Subsection (1) does not apply if an appeal has been instituted against the removal.</w:t>
        </w:r>
      </w:ins>
    </w:p>
    <w:p>
      <w:pPr>
        <w:pStyle w:val="Subsection"/>
        <w:rPr>
          <w:ins w:id="303" w:author="svcMRProcess" w:date="2020-02-21T14:38:00Z"/>
        </w:rPr>
      </w:pPr>
      <w:ins w:id="304" w:author="svcMRProcess" w:date="2020-02-21T14:38:00Z">
        <w:r>
          <w:tab/>
          <w:t>(3)</w:t>
        </w:r>
        <w:r>
          <w:tab/>
          <w:t>A resignation under subsection (1) takes effect at the end of the maintenance period.</w:t>
        </w:r>
      </w:ins>
    </w:p>
    <w:p>
      <w:pPr>
        <w:pStyle w:val="Subsection"/>
        <w:rPr>
          <w:ins w:id="305" w:author="svcMRProcess" w:date="2020-02-21T14:38:00Z"/>
        </w:rPr>
      </w:pPr>
      <w:ins w:id="306" w:author="svcMRProcess" w:date="2020-02-21T14:38:00Z">
        <w:r>
          <w:tab/>
          <w:t>(4)</w:t>
        </w:r>
        <w:r>
          <w:tab/>
          <w:t>Despite any other enactment, if a custodial officer resigns under subsection (1), the removal of the custodial officer is to be taken to be of no effect and to have never had any effect.</w:t>
        </w:r>
      </w:ins>
    </w:p>
    <w:p>
      <w:pPr>
        <w:pStyle w:val="Footnotesection"/>
        <w:rPr>
          <w:ins w:id="307" w:author="svcMRProcess" w:date="2020-02-21T14:38:00Z"/>
        </w:rPr>
      </w:pPr>
      <w:ins w:id="308" w:author="svcMRProcess" w:date="2020-02-21T14:38:00Z">
        <w:r>
          <w:tab/>
          <w:t>[Section 11CG inserted by No. 29 of 2014 s. 16.]</w:t>
        </w:r>
      </w:ins>
    </w:p>
    <w:p>
      <w:pPr>
        <w:pStyle w:val="Heading4"/>
        <w:rPr>
          <w:ins w:id="309" w:author="svcMRProcess" w:date="2020-02-21T14:38:00Z"/>
        </w:rPr>
      </w:pPr>
      <w:bookmarkStart w:id="310" w:name="_Toc427932381"/>
      <w:bookmarkStart w:id="311" w:name="_Toc427933052"/>
      <w:ins w:id="312" w:author="svcMRProcess" w:date="2020-02-21T14:38:00Z">
        <w:r>
          <w:t>Subdivision 3 — Appeal against removal of custodial officer</w:t>
        </w:r>
        <w:bookmarkEnd w:id="310"/>
        <w:bookmarkEnd w:id="311"/>
      </w:ins>
    </w:p>
    <w:p>
      <w:pPr>
        <w:pStyle w:val="Footnoteheading"/>
        <w:rPr>
          <w:ins w:id="313" w:author="svcMRProcess" w:date="2020-02-21T14:38:00Z"/>
        </w:rPr>
      </w:pPr>
      <w:ins w:id="314" w:author="svcMRProcess" w:date="2020-02-21T14:38:00Z">
        <w:r>
          <w:tab/>
          <w:t>[Heading inserted by No. 29 of 2014 s. 16.]</w:t>
        </w:r>
      </w:ins>
    </w:p>
    <w:p>
      <w:pPr>
        <w:pStyle w:val="Heading5"/>
        <w:rPr>
          <w:ins w:id="315" w:author="svcMRProcess" w:date="2020-02-21T14:38:00Z"/>
        </w:rPr>
      </w:pPr>
      <w:bookmarkStart w:id="316" w:name="_Toc427933053"/>
      <w:ins w:id="317" w:author="svcMRProcess" w:date="2020-02-21T14:38:00Z">
        <w:r>
          <w:rPr>
            <w:rStyle w:val="CharSectno"/>
          </w:rPr>
          <w:t>11CH</w:t>
        </w:r>
        <w:r>
          <w:t>.</w:t>
        </w:r>
        <w:r>
          <w:tab/>
          <w:t>Appeal right</w:t>
        </w:r>
        <w:bookmarkEnd w:id="316"/>
      </w:ins>
    </w:p>
    <w:p>
      <w:pPr>
        <w:pStyle w:val="Subsection"/>
        <w:rPr>
          <w:ins w:id="318" w:author="svcMRProcess" w:date="2020-02-21T14:38:00Z"/>
        </w:rPr>
      </w:pPr>
      <w:ins w:id="319" w:author="svcMRProcess" w:date="2020-02-21T14:38:00Z">
        <w:r>
          <w:tab/>
          <w:t>(1)</w:t>
        </w:r>
        <w:r>
          <w:tab/>
          <w:t>If a custodial officer is removed as a result of removal action, the custodial officer may appeal to the WAIRC against the removal decision on the ground that it was harsh, oppressive or unfair.</w:t>
        </w:r>
      </w:ins>
    </w:p>
    <w:p>
      <w:pPr>
        <w:pStyle w:val="Subsection"/>
        <w:rPr>
          <w:ins w:id="320" w:author="svcMRProcess" w:date="2020-02-21T14:38:00Z"/>
        </w:rPr>
      </w:pPr>
      <w:ins w:id="321" w:author="svcMRProcess" w:date="2020-02-21T14:38:00Z">
        <w:r>
          <w:tab/>
          <w:t>(2)</w:t>
        </w:r>
        <w:r>
          <w:tab/>
          <w:t xml:space="preserve">The custodial officer may institute the appeal by a notice to the chief executive officer stating — </w:t>
        </w:r>
      </w:ins>
    </w:p>
    <w:p>
      <w:pPr>
        <w:pStyle w:val="Indenta"/>
        <w:rPr>
          <w:ins w:id="322" w:author="svcMRProcess" w:date="2020-02-21T14:38:00Z"/>
        </w:rPr>
      </w:pPr>
      <w:ins w:id="323" w:author="svcMRProcess" w:date="2020-02-21T14:38:00Z">
        <w:r>
          <w:tab/>
          <w:t>(a)</w:t>
        </w:r>
        <w:r>
          <w:tab/>
          <w:t>the reasons for the removal decision being harsh, oppressive or unfair; and</w:t>
        </w:r>
      </w:ins>
    </w:p>
    <w:p>
      <w:pPr>
        <w:pStyle w:val="Indenta"/>
        <w:rPr>
          <w:ins w:id="324" w:author="svcMRProcess" w:date="2020-02-21T14:38:00Z"/>
        </w:rPr>
      </w:pPr>
      <w:ins w:id="325" w:author="svcMRProcess" w:date="2020-02-21T14:38:00Z">
        <w:r>
          <w:tab/>
          <w:t>(b)</w:t>
        </w:r>
        <w:r>
          <w:tab/>
          <w:t>the nature of the relief sought.</w:t>
        </w:r>
      </w:ins>
    </w:p>
    <w:p>
      <w:pPr>
        <w:pStyle w:val="Subsection"/>
        <w:rPr>
          <w:ins w:id="326" w:author="svcMRProcess" w:date="2020-02-21T14:38:00Z"/>
        </w:rPr>
      </w:pPr>
      <w:ins w:id="327" w:author="svcMRProcess" w:date="2020-02-21T14:38:00Z">
        <w:r>
          <w:tab/>
          <w:t>(3)</w:t>
        </w:r>
        <w:r>
          <w:tab/>
          <w:t xml:space="preserve">The appeal cannot be instituted — </w:t>
        </w:r>
      </w:ins>
    </w:p>
    <w:p>
      <w:pPr>
        <w:pStyle w:val="Indenta"/>
        <w:rPr>
          <w:ins w:id="328" w:author="svcMRProcess" w:date="2020-02-21T14:38:00Z"/>
        </w:rPr>
      </w:pPr>
      <w:ins w:id="329" w:author="svcMRProcess" w:date="2020-02-21T14:38:00Z">
        <w:r>
          <w:tab/>
          <w:t>(a)</w:t>
        </w:r>
        <w:r>
          <w:tab/>
          <w:t>after the maintenance period; or</w:t>
        </w:r>
      </w:ins>
    </w:p>
    <w:p>
      <w:pPr>
        <w:pStyle w:val="Indenta"/>
        <w:rPr>
          <w:ins w:id="330" w:author="svcMRProcess" w:date="2020-02-21T14:38:00Z"/>
        </w:rPr>
      </w:pPr>
      <w:ins w:id="331" w:author="svcMRProcess" w:date="2020-02-21T14:38:00Z">
        <w:r>
          <w:tab/>
          <w:t>(b)</w:t>
        </w:r>
        <w:r>
          <w:tab/>
          <w:t>if the custodial officer has resigned under section 11CG(1).</w:t>
        </w:r>
      </w:ins>
    </w:p>
    <w:p>
      <w:pPr>
        <w:pStyle w:val="Subsection"/>
        <w:rPr>
          <w:ins w:id="332" w:author="svcMRProcess" w:date="2020-02-21T14:38:00Z"/>
        </w:rPr>
      </w:pPr>
      <w:ins w:id="333" w:author="svcMRProcess" w:date="2020-02-21T14:38:00Z">
        <w:r>
          <w:tab/>
          <w:t>(4)</w:t>
        </w:r>
        <w:r>
          <w:tab/>
          <w:t xml:space="preserve">For the purposes of proceedings relating to the appeal, the WAIRC is to be constituted by not less than 3 industrial Commissioners, at least one of whom must be — </w:t>
        </w:r>
      </w:ins>
    </w:p>
    <w:p>
      <w:pPr>
        <w:pStyle w:val="Indenta"/>
        <w:rPr>
          <w:ins w:id="334" w:author="svcMRProcess" w:date="2020-02-21T14:38:00Z"/>
        </w:rPr>
      </w:pPr>
      <w:ins w:id="335" w:author="svcMRProcess" w:date="2020-02-21T14:38:00Z">
        <w:r>
          <w:tab/>
          <w:t>(a)</w:t>
        </w:r>
        <w:r>
          <w:tab/>
          <w:t xml:space="preserve">the Chief Commissioner; or </w:t>
        </w:r>
      </w:ins>
    </w:p>
    <w:p>
      <w:pPr>
        <w:pStyle w:val="Indenta"/>
        <w:rPr>
          <w:ins w:id="336" w:author="svcMRProcess" w:date="2020-02-21T14:38:00Z"/>
        </w:rPr>
      </w:pPr>
      <w:ins w:id="337" w:author="svcMRProcess" w:date="2020-02-21T14:38:00Z">
        <w:r>
          <w:tab/>
          <w:t>(b)</w:t>
        </w:r>
        <w:r>
          <w:tab/>
          <w:t xml:space="preserve">the Senior Commissioner within the meaning of that term in the </w:t>
        </w:r>
        <w:r>
          <w:rPr>
            <w:i/>
          </w:rPr>
          <w:t>Industrial Relations Act 1979</w:t>
        </w:r>
        <w:r>
          <w:t>.</w:t>
        </w:r>
      </w:ins>
    </w:p>
    <w:p>
      <w:pPr>
        <w:pStyle w:val="Subsection"/>
        <w:rPr>
          <w:ins w:id="338" w:author="svcMRProcess" w:date="2020-02-21T14:38:00Z"/>
        </w:rPr>
      </w:pPr>
      <w:ins w:id="339" w:author="svcMRProcess" w:date="2020-02-21T14:38:00Z">
        <w:r>
          <w:tab/>
          <w:t>(5)</w:t>
        </w:r>
        <w:r>
          <w:tab/>
          <w:t>The only parties to the appeal are the custodial officer and the chief executive officer.</w:t>
        </w:r>
      </w:ins>
    </w:p>
    <w:p>
      <w:pPr>
        <w:pStyle w:val="Subsection"/>
        <w:rPr>
          <w:ins w:id="340" w:author="svcMRProcess" w:date="2020-02-21T14:38:00Z"/>
        </w:rPr>
      </w:pPr>
      <w:ins w:id="341" w:author="svcMRProcess" w:date="2020-02-21T14:38:00Z">
        <w:r>
          <w:tab/>
          <w:t>(6)</w:t>
        </w:r>
        <w:r>
          <w:tab/>
          <w:t>The custodial officer does not have any right of appeal against the removal decision other than under this section.</w:t>
        </w:r>
      </w:ins>
    </w:p>
    <w:p>
      <w:pPr>
        <w:pStyle w:val="Footnotesection"/>
        <w:rPr>
          <w:ins w:id="342" w:author="svcMRProcess" w:date="2020-02-21T14:38:00Z"/>
        </w:rPr>
      </w:pPr>
      <w:ins w:id="343" w:author="svcMRProcess" w:date="2020-02-21T14:38:00Z">
        <w:r>
          <w:tab/>
          <w:t>[Section 11CH inserted by No. 29 of 2014 s. 16.]</w:t>
        </w:r>
      </w:ins>
    </w:p>
    <w:p>
      <w:pPr>
        <w:pStyle w:val="Heading5"/>
        <w:rPr>
          <w:ins w:id="344" w:author="svcMRProcess" w:date="2020-02-21T14:38:00Z"/>
        </w:rPr>
      </w:pPr>
      <w:bookmarkStart w:id="345" w:name="_Toc427933054"/>
      <w:ins w:id="346" w:author="svcMRProcess" w:date="2020-02-21T14:38:00Z">
        <w:r>
          <w:rPr>
            <w:rStyle w:val="CharSectno"/>
          </w:rPr>
          <w:t>11CI</w:t>
        </w:r>
        <w:r>
          <w:t>.</w:t>
        </w:r>
        <w:r>
          <w:tab/>
          <w:t>Proceedings on appeal</w:t>
        </w:r>
        <w:bookmarkEnd w:id="345"/>
      </w:ins>
    </w:p>
    <w:p>
      <w:pPr>
        <w:pStyle w:val="Subsection"/>
        <w:rPr>
          <w:ins w:id="347" w:author="svcMRProcess" w:date="2020-02-21T14:38:00Z"/>
        </w:rPr>
      </w:pPr>
      <w:ins w:id="348" w:author="svcMRProcess" w:date="2020-02-21T14:38:00Z">
        <w:r>
          <w:tab/>
          <w:t>(1)</w:t>
        </w:r>
        <w:r>
          <w:tab/>
          <w:t xml:space="preserve">On the hearing of an appeal, the WAIRC must proceed in the following manner — </w:t>
        </w:r>
      </w:ins>
    </w:p>
    <w:p>
      <w:pPr>
        <w:pStyle w:val="Indenta"/>
        <w:rPr>
          <w:ins w:id="349" w:author="svcMRProcess" w:date="2020-02-21T14:38:00Z"/>
        </w:rPr>
      </w:pPr>
      <w:ins w:id="350" w:author="svcMRProcess" w:date="2020-02-21T14:38:00Z">
        <w:r>
          <w:tab/>
          <w:t>(a)</w:t>
        </w:r>
        <w:r>
          <w:tab/>
          <w:t>first, it must consider the chief executive officer’s reasons for the removal decision;</w:t>
        </w:r>
      </w:ins>
    </w:p>
    <w:p>
      <w:pPr>
        <w:pStyle w:val="Indenta"/>
        <w:rPr>
          <w:ins w:id="351" w:author="svcMRProcess" w:date="2020-02-21T14:38:00Z"/>
        </w:rPr>
      </w:pPr>
      <w:ins w:id="352" w:author="svcMRProcess" w:date="2020-02-21T14:38:00Z">
        <w:r>
          <w:tab/>
          <w:t>(b)</w:t>
        </w:r>
        <w:r>
          <w:tab/>
          <w:t>second, it must consider the case presented by the appellant as to why the removal decision was harsh, oppressive or unfair;</w:t>
        </w:r>
      </w:ins>
    </w:p>
    <w:p>
      <w:pPr>
        <w:pStyle w:val="Indenta"/>
        <w:rPr>
          <w:ins w:id="353" w:author="svcMRProcess" w:date="2020-02-21T14:38:00Z"/>
        </w:rPr>
      </w:pPr>
      <w:ins w:id="354" w:author="svcMRProcess" w:date="2020-02-21T14:38:00Z">
        <w:r>
          <w:tab/>
          <w:t>(c)</w:t>
        </w:r>
        <w:r>
          <w:tab/>
          <w:t>third, it must consider the case presented by the chief executive officer in answer to the appellant’s case.</w:t>
        </w:r>
      </w:ins>
    </w:p>
    <w:p>
      <w:pPr>
        <w:pStyle w:val="Subsection"/>
        <w:rPr>
          <w:ins w:id="355" w:author="svcMRProcess" w:date="2020-02-21T14:38:00Z"/>
        </w:rPr>
      </w:pPr>
      <w:ins w:id="356" w:author="svcMRProcess" w:date="2020-02-21T14:38:00Z">
        <w:r>
          <w:tab/>
          <w:t>(2)</w:t>
        </w:r>
        <w:r>
          <w:tab/>
          <w:t>The appellant has at all times the burden of establishing that the removal decision was harsh, oppressive or unfair.</w:t>
        </w:r>
      </w:ins>
    </w:p>
    <w:p>
      <w:pPr>
        <w:pStyle w:val="Subsection"/>
        <w:rPr>
          <w:ins w:id="357" w:author="svcMRProcess" w:date="2020-02-21T14:38:00Z"/>
        </w:rPr>
      </w:pPr>
      <w:ins w:id="358" w:author="svcMRProcess" w:date="2020-02-21T14:38:00Z">
        <w:r>
          <w:tab/>
          <w:t>(3)</w:t>
        </w:r>
        <w:r>
          <w:tab/>
          <w:t>Subsection (2) has effect despite any law or practice to the contrary.</w:t>
        </w:r>
      </w:ins>
    </w:p>
    <w:p>
      <w:pPr>
        <w:pStyle w:val="Subsection"/>
        <w:rPr>
          <w:ins w:id="359" w:author="svcMRProcess" w:date="2020-02-21T14:38:00Z"/>
        </w:rPr>
      </w:pPr>
      <w:ins w:id="360" w:author="svcMRProcess" w:date="2020-02-21T14:38:00Z">
        <w:r>
          <w:tab/>
          <w:t>(4)</w:t>
        </w:r>
        <w:r>
          <w:tab/>
          <w:t xml:space="preserve">Without limiting the matters to which the WAIRC is otherwise required or permitted to have regard in determining the appeal, it must have regard to — </w:t>
        </w:r>
      </w:ins>
    </w:p>
    <w:p>
      <w:pPr>
        <w:pStyle w:val="Indenta"/>
        <w:rPr>
          <w:ins w:id="361" w:author="svcMRProcess" w:date="2020-02-21T14:38:00Z"/>
        </w:rPr>
      </w:pPr>
      <w:ins w:id="362" w:author="svcMRProcess" w:date="2020-02-21T14:38:00Z">
        <w:r>
          <w:tab/>
          <w:t>(a)</w:t>
        </w:r>
        <w:r>
          <w:tab/>
          <w:t>the interests of the appellant; and</w:t>
        </w:r>
      </w:ins>
    </w:p>
    <w:p>
      <w:pPr>
        <w:pStyle w:val="Indenta"/>
        <w:rPr>
          <w:ins w:id="363" w:author="svcMRProcess" w:date="2020-02-21T14:38:00Z"/>
        </w:rPr>
      </w:pPr>
      <w:ins w:id="364" w:author="svcMRProcess" w:date="2020-02-21T14:38:00Z">
        <w:r>
          <w:tab/>
          <w:t>(b)</w:t>
        </w:r>
        <w:r>
          <w:tab/>
          <w:t xml:space="preserve">the public interest, which is to be taken to include — </w:t>
        </w:r>
      </w:ins>
    </w:p>
    <w:p>
      <w:pPr>
        <w:pStyle w:val="Indenti"/>
        <w:rPr>
          <w:ins w:id="365" w:author="svcMRProcess" w:date="2020-02-21T14:38:00Z"/>
        </w:rPr>
      </w:pPr>
      <w:ins w:id="366" w:author="svcMRProcess" w:date="2020-02-21T14:38:00Z">
        <w:r>
          <w:tab/>
          <w:t>(i)</w:t>
        </w:r>
        <w:r>
          <w:tab/>
          <w:t>the importance of maintaining public confidence in the integrity, honesty, conduct and standard of performance of custodial officers; and</w:t>
        </w:r>
      </w:ins>
    </w:p>
    <w:p>
      <w:pPr>
        <w:pStyle w:val="Indenti"/>
        <w:rPr>
          <w:ins w:id="367" w:author="svcMRProcess" w:date="2020-02-21T14:38:00Z"/>
        </w:rPr>
      </w:pPr>
      <w:ins w:id="368" w:author="svcMRProcess" w:date="2020-02-21T14:38:00Z">
        <w:r>
          <w:tab/>
          <w:t>(ii)</w:t>
        </w:r>
        <w:r>
          <w:tab/>
          <w:t>the special nature of the relationship between the chief executive officer and custodial officers.</w:t>
        </w:r>
      </w:ins>
    </w:p>
    <w:p>
      <w:pPr>
        <w:pStyle w:val="Footnotesection"/>
        <w:rPr>
          <w:ins w:id="369" w:author="svcMRProcess" w:date="2020-02-21T14:38:00Z"/>
        </w:rPr>
      </w:pPr>
      <w:ins w:id="370" w:author="svcMRProcess" w:date="2020-02-21T14:38:00Z">
        <w:r>
          <w:tab/>
          <w:t>[Section 11CI inserted by No. 29 of 2014 s. 16.]</w:t>
        </w:r>
      </w:ins>
    </w:p>
    <w:p>
      <w:pPr>
        <w:pStyle w:val="Heading5"/>
        <w:rPr>
          <w:ins w:id="371" w:author="svcMRProcess" w:date="2020-02-21T14:38:00Z"/>
        </w:rPr>
      </w:pPr>
      <w:bookmarkStart w:id="372" w:name="_Toc427933055"/>
      <w:ins w:id="373" w:author="svcMRProcess" w:date="2020-02-21T14:38:00Z">
        <w:r>
          <w:rPr>
            <w:rStyle w:val="CharSectno"/>
          </w:rPr>
          <w:t>11CJ</w:t>
        </w:r>
        <w:r>
          <w:t>.</w:t>
        </w:r>
        <w:r>
          <w:tab/>
          <w:t>Leave to tender new evidence on appeal</w:t>
        </w:r>
        <w:bookmarkEnd w:id="372"/>
      </w:ins>
    </w:p>
    <w:p>
      <w:pPr>
        <w:pStyle w:val="Subsection"/>
        <w:rPr>
          <w:ins w:id="374" w:author="svcMRProcess" w:date="2020-02-21T14:38:00Z"/>
        </w:rPr>
      </w:pPr>
      <w:ins w:id="375" w:author="svcMRProcess" w:date="2020-02-21T14:38:00Z">
        <w:r>
          <w:tab/>
          <w:t>(1)</w:t>
        </w:r>
        <w:r>
          <w:tab/>
          <w:t>New evidence cannot be tendered to the WAIRC during a hearing of an appeal unless the WAIRC grants leave under subsection (2) or (3).</w:t>
        </w:r>
      </w:ins>
    </w:p>
    <w:p>
      <w:pPr>
        <w:pStyle w:val="Subsection"/>
        <w:rPr>
          <w:ins w:id="376" w:author="svcMRProcess" w:date="2020-02-21T14:38:00Z"/>
        </w:rPr>
      </w:pPr>
      <w:ins w:id="377" w:author="svcMRProcess" w:date="2020-02-21T14:38:00Z">
        <w:r>
          <w:tab/>
          <w:t>(2)</w:t>
        </w:r>
        <w:r>
          <w:tab/>
          <w:t>The WAIRC may grant the chief executive officer leave to tender new evidence if —</w:t>
        </w:r>
      </w:ins>
    </w:p>
    <w:p>
      <w:pPr>
        <w:pStyle w:val="Indenta"/>
        <w:rPr>
          <w:ins w:id="378" w:author="svcMRProcess" w:date="2020-02-21T14:38:00Z"/>
        </w:rPr>
      </w:pPr>
      <w:ins w:id="379" w:author="svcMRProcess" w:date="2020-02-21T14:38:00Z">
        <w:r>
          <w:tab/>
          <w:t>(a)</w:t>
        </w:r>
        <w:r>
          <w:tab/>
          <w:t>the appellant consents; or</w:t>
        </w:r>
      </w:ins>
    </w:p>
    <w:p>
      <w:pPr>
        <w:pStyle w:val="Indenta"/>
        <w:rPr>
          <w:ins w:id="380" w:author="svcMRProcess" w:date="2020-02-21T14:38:00Z"/>
        </w:rPr>
      </w:pPr>
      <w:ins w:id="381" w:author="svcMRProcess" w:date="2020-02-21T14:38:00Z">
        <w:r>
          <w:tab/>
          <w:t>(b)</w:t>
        </w:r>
        <w:r>
          <w:tab/>
          <w:t>it is satisfied that it is in the interests of justice to do so.</w:t>
        </w:r>
      </w:ins>
    </w:p>
    <w:p>
      <w:pPr>
        <w:pStyle w:val="Subsection"/>
        <w:rPr>
          <w:ins w:id="382" w:author="svcMRProcess" w:date="2020-02-21T14:38:00Z"/>
        </w:rPr>
      </w:pPr>
      <w:ins w:id="383" w:author="svcMRProcess" w:date="2020-02-21T14:38:00Z">
        <w:r>
          <w:tab/>
          <w:t>(3)</w:t>
        </w:r>
        <w:r>
          <w:tab/>
          <w:t xml:space="preserve">The WAIRC may grant the appellant leave to tender new evidence if — </w:t>
        </w:r>
      </w:ins>
    </w:p>
    <w:p>
      <w:pPr>
        <w:pStyle w:val="Indenta"/>
        <w:rPr>
          <w:ins w:id="384" w:author="svcMRProcess" w:date="2020-02-21T14:38:00Z"/>
        </w:rPr>
      </w:pPr>
      <w:ins w:id="385" w:author="svcMRProcess" w:date="2020-02-21T14:38:00Z">
        <w:r>
          <w:tab/>
          <w:t>(a)</w:t>
        </w:r>
        <w:r>
          <w:tab/>
          <w:t>the chief executive officer consents; or</w:t>
        </w:r>
      </w:ins>
    </w:p>
    <w:p>
      <w:pPr>
        <w:pStyle w:val="Indenta"/>
        <w:rPr>
          <w:ins w:id="386" w:author="svcMRProcess" w:date="2020-02-21T14:38:00Z"/>
        </w:rPr>
      </w:pPr>
      <w:ins w:id="387" w:author="svcMRProcess" w:date="2020-02-21T14:38:00Z">
        <w:r>
          <w:tab/>
          <w:t>(b)</w:t>
        </w:r>
        <w:r>
          <w:tab/>
          <w:t xml:space="preserve">the WAIRC is satisfied that — </w:t>
        </w:r>
      </w:ins>
    </w:p>
    <w:p>
      <w:pPr>
        <w:pStyle w:val="Indenti"/>
        <w:rPr>
          <w:ins w:id="388" w:author="svcMRProcess" w:date="2020-02-21T14:38:00Z"/>
        </w:rPr>
      </w:pPr>
      <w:ins w:id="389" w:author="svcMRProcess" w:date="2020-02-21T14:38:00Z">
        <w:r>
          <w:tab/>
          <w:t>(i)</w:t>
        </w:r>
        <w:r>
          <w:tab/>
          <w:t>the appellant is likely to be able to use the new evidence to show that the chief executive officer has acted upon wrong or mistaken information; or</w:t>
        </w:r>
      </w:ins>
    </w:p>
    <w:p>
      <w:pPr>
        <w:pStyle w:val="Indenti"/>
        <w:rPr>
          <w:ins w:id="390" w:author="svcMRProcess" w:date="2020-02-21T14:38:00Z"/>
        </w:rPr>
      </w:pPr>
      <w:ins w:id="391" w:author="svcMRProcess" w:date="2020-02-21T14:38:00Z">
        <w:r>
          <w:tab/>
          <w:t>(ii)</w:t>
        </w:r>
        <w:r>
          <w:tab/>
          <w:t>the new evidence might materially have affected the chief executive officer’s removal decision; or</w:t>
        </w:r>
      </w:ins>
    </w:p>
    <w:p>
      <w:pPr>
        <w:pStyle w:val="Indenti"/>
        <w:rPr>
          <w:ins w:id="392" w:author="svcMRProcess" w:date="2020-02-21T14:38:00Z"/>
        </w:rPr>
      </w:pPr>
      <w:ins w:id="393" w:author="svcMRProcess" w:date="2020-02-21T14:38:00Z">
        <w:r>
          <w:tab/>
          <w:t>(iii)</w:t>
        </w:r>
        <w:r>
          <w:tab/>
          <w:t>it is in the interests of justice to do so.</w:t>
        </w:r>
      </w:ins>
    </w:p>
    <w:p>
      <w:pPr>
        <w:pStyle w:val="Subsection"/>
        <w:rPr>
          <w:ins w:id="394" w:author="svcMRProcess" w:date="2020-02-21T14:38:00Z"/>
        </w:rPr>
      </w:pPr>
      <w:ins w:id="395" w:author="svcMRProcess" w:date="2020-02-21T14:38:00Z">
        <w:r>
          <w:tab/>
          <w:t>(4)</w:t>
        </w:r>
        <w:r>
          <w:tab/>
          <w:t xml:space="preserve">In the exercise of its discretion under subsection (3), the WAIRC must have regard to — </w:t>
        </w:r>
      </w:ins>
    </w:p>
    <w:p>
      <w:pPr>
        <w:pStyle w:val="Indenta"/>
        <w:rPr>
          <w:ins w:id="396" w:author="svcMRProcess" w:date="2020-02-21T14:38:00Z"/>
        </w:rPr>
      </w:pPr>
      <w:ins w:id="397" w:author="svcMRProcess" w:date="2020-02-21T14:38:00Z">
        <w:r>
          <w:tab/>
          <w:t>(a)</w:t>
        </w:r>
        <w:r>
          <w:tab/>
          <w:t>whether or not the appellant was aware of the substance of the new evidence before the appellant’s removal; and</w:t>
        </w:r>
      </w:ins>
    </w:p>
    <w:p>
      <w:pPr>
        <w:pStyle w:val="Indenta"/>
        <w:rPr>
          <w:ins w:id="398" w:author="svcMRProcess" w:date="2020-02-21T14:38:00Z"/>
        </w:rPr>
      </w:pPr>
      <w:ins w:id="399" w:author="svcMRProcess" w:date="2020-02-21T14:38:00Z">
        <w:r>
          <w:tab/>
          <w:t>(b)</w:t>
        </w:r>
        <w:r>
          <w:tab/>
          <w:t>whether or not the substance of the new evidence was contained in a document to which the appellant had reasonable access before the appellant’s removal.</w:t>
        </w:r>
      </w:ins>
    </w:p>
    <w:p>
      <w:pPr>
        <w:pStyle w:val="Footnotesection"/>
        <w:rPr>
          <w:ins w:id="400" w:author="svcMRProcess" w:date="2020-02-21T14:38:00Z"/>
        </w:rPr>
      </w:pPr>
      <w:ins w:id="401" w:author="svcMRProcess" w:date="2020-02-21T14:38:00Z">
        <w:r>
          <w:tab/>
          <w:t>[Section 11CJ inserted by No. 29 of 2014 s. 16.]</w:t>
        </w:r>
      </w:ins>
    </w:p>
    <w:p>
      <w:pPr>
        <w:pStyle w:val="Heading5"/>
        <w:rPr>
          <w:ins w:id="402" w:author="svcMRProcess" w:date="2020-02-21T14:38:00Z"/>
        </w:rPr>
      </w:pPr>
      <w:bookmarkStart w:id="403" w:name="_Toc427933056"/>
      <w:ins w:id="404" w:author="svcMRProcess" w:date="2020-02-21T14:38:00Z">
        <w:r>
          <w:rPr>
            <w:rStyle w:val="CharSectno"/>
          </w:rPr>
          <w:t>11CK</w:t>
        </w:r>
        <w:r>
          <w:t>.</w:t>
        </w:r>
        <w:r>
          <w:tab/>
          <w:t>Opportunity to consider new evidence</w:t>
        </w:r>
        <w:bookmarkEnd w:id="403"/>
      </w:ins>
    </w:p>
    <w:p>
      <w:pPr>
        <w:pStyle w:val="Subsection"/>
        <w:rPr>
          <w:ins w:id="405" w:author="svcMRProcess" w:date="2020-02-21T14:38:00Z"/>
        </w:rPr>
      </w:pPr>
      <w:ins w:id="406" w:author="svcMRProcess" w:date="2020-02-21T14:38:00Z">
        <w:r>
          <w:tab/>
          <w:t>(1)</w:t>
        </w:r>
        <w:r>
          <w:tab/>
          <w:t xml:space="preserve">If the chief executive officer is given leave to tender new evidence under section 11CJ(2) — </w:t>
        </w:r>
      </w:ins>
    </w:p>
    <w:p>
      <w:pPr>
        <w:pStyle w:val="Indenta"/>
        <w:rPr>
          <w:ins w:id="407" w:author="svcMRProcess" w:date="2020-02-21T14:38:00Z"/>
        </w:rPr>
      </w:pPr>
      <w:ins w:id="408" w:author="svcMRProcess" w:date="2020-02-21T14:38:00Z">
        <w:r>
          <w:tab/>
          <w:t>(a)</w:t>
        </w:r>
        <w:r>
          <w:tab/>
          <w:t xml:space="preserve">the WAIRC must give the appellant a reasonable opportunity to consider the new evidence; and </w:t>
        </w:r>
      </w:ins>
    </w:p>
    <w:p>
      <w:pPr>
        <w:pStyle w:val="Indenta"/>
        <w:rPr>
          <w:ins w:id="409" w:author="svcMRProcess" w:date="2020-02-21T14:38:00Z"/>
        </w:rPr>
      </w:pPr>
      <w:ins w:id="410" w:author="svcMRProcess" w:date="2020-02-21T14:38:00Z">
        <w:r>
          <w:tab/>
          <w:t>(b)</w:t>
        </w:r>
        <w:r>
          <w:tab/>
          <w:t>the appellant may, without the leave of the WAIRC, tender new evidence under this section in response to the new evidence tendered by the chief executive officer.</w:t>
        </w:r>
      </w:ins>
    </w:p>
    <w:p>
      <w:pPr>
        <w:pStyle w:val="Subsection"/>
        <w:rPr>
          <w:ins w:id="411" w:author="svcMRProcess" w:date="2020-02-21T14:38:00Z"/>
        </w:rPr>
      </w:pPr>
      <w:ins w:id="412" w:author="svcMRProcess" w:date="2020-02-21T14:38:00Z">
        <w:r>
          <w:tab/>
          <w:t>(2)</w:t>
        </w:r>
        <w:r>
          <w:tab/>
          <w:t>If the appellant is given leave to tender new evidence under section 11CJ(3), the WAIRC must give the chief executive officer a reasonable opportunity to consider the new evidence.</w:t>
        </w:r>
      </w:ins>
    </w:p>
    <w:p>
      <w:pPr>
        <w:pStyle w:val="Footnotesection"/>
        <w:rPr>
          <w:ins w:id="413" w:author="svcMRProcess" w:date="2020-02-21T14:38:00Z"/>
        </w:rPr>
      </w:pPr>
      <w:ins w:id="414" w:author="svcMRProcess" w:date="2020-02-21T14:38:00Z">
        <w:r>
          <w:tab/>
          <w:t>[Section 11CK inserted by No. 29 of 2014 s. 16.]</w:t>
        </w:r>
      </w:ins>
    </w:p>
    <w:p>
      <w:pPr>
        <w:pStyle w:val="Heading5"/>
        <w:rPr>
          <w:ins w:id="415" w:author="svcMRProcess" w:date="2020-02-21T14:38:00Z"/>
        </w:rPr>
      </w:pPr>
      <w:bookmarkStart w:id="416" w:name="_Toc427933057"/>
      <w:ins w:id="417" w:author="svcMRProcess" w:date="2020-02-21T14:38:00Z">
        <w:r>
          <w:rPr>
            <w:rStyle w:val="CharSectno"/>
          </w:rPr>
          <w:t>11CL</w:t>
        </w:r>
        <w:r>
          <w:t>.</w:t>
        </w:r>
        <w:r>
          <w:tab/>
          <w:t>Revocation of removal after consideration of new evidence</w:t>
        </w:r>
        <w:bookmarkEnd w:id="416"/>
      </w:ins>
    </w:p>
    <w:p>
      <w:pPr>
        <w:pStyle w:val="Subsection"/>
        <w:rPr>
          <w:ins w:id="418" w:author="svcMRProcess" w:date="2020-02-21T14:38:00Z"/>
        </w:rPr>
      </w:pPr>
      <w:ins w:id="419" w:author="svcMRProcess" w:date="2020-02-21T14:38:00Z">
        <w:r>
          <w:tab/>
          <w:t>(1)</w:t>
        </w:r>
        <w:r>
          <w:tab/>
          <w:t xml:space="preserve">If, having considered any new evidence, the chief executive officer revokes the removal under section 11CF(1) — </w:t>
        </w:r>
      </w:ins>
    </w:p>
    <w:p>
      <w:pPr>
        <w:pStyle w:val="Indenta"/>
        <w:rPr>
          <w:ins w:id="420" w:author="svcMRProcess" w:date="2020-02-21T14:38:00Z"/>
        </w:rPr>
      </w:pPr>
      <w:ins w:id="421" w:author="svcMRProcess" w:date="2020-02-21T14:38:00Z">
        <w:r>
          <w:tab/>
          <w:t>(a)</w:t>
        </w:r>
        <w:r>
          <w:tab/>
          <w:t xml:space="preserve">the chief executive officer must give the WAIRC notice of the revocation; and </w:t>
        </w:r>
      </w:ins>
    </w:p>
    <w:p>
      <w:pPr>
        <w:pStyle w:val="Indenta"/>
        <w:rPr>
          <w:ins w:id="422" w:author="svcMRProcess" w:date="2020-02-21T14:38:00Z"/>
        </w:rPr>
      </w:pPr>
      <w:ins w:id="423" w:author="svcMRProcess" w:date="2020-02-21T14:38:00Z">
        <w:r>
          <w:tab/>
          <w:t>(b)</w:t>
        </w:r>
        <w:r>
          <w:tab/>
          <w:t>the hearing of the appeal is discontinued when the WAIRC receives the notice.</w:t>
        </w:r>
      </w:ins>
    </w:p>
    <w:p>
      <w:pPr>
        <w:pStyle w:val="Subsection"/>
        <w:rPr>
          <w:ins w:id="424" w:author="svcMRProcess" w:date="2020-02-21T14:38:00Z"/>
        </w:rPr>
      </w:pPr>
      <w:ins w:id="425" w:author="svcMRProcess" w:date="2020-02-21T14:38:00Z">
        <w:r>
          <w:tab/>
          <w:t>(2)</w:t>
        </w:r>
        <w:r>
          <w:tab/>
          <w:t xml:space="preserve">If the chief executive officer does not give notice under subsection (1), the hearing of the appeal must continue but the chief executive officer may — </w:t>
        </w:r>
      </w:ins>
    </w:p>
    <w:p>
      <w:pPr>
        <w:pStyle w:val="Indenta"/>
        <w:rPr>
          <w:ins w:id="426" w:author="svcMRProcess" w:date="2020-02-21T14:38:00Z"/>
        </w:rPr>
      </w:pPr>
      <w:ins w:id="427" w:author="svcMRProcess" w:date="2020-02-21T14:38:00Z">
        <w:r>
          <w:tab/>
          <w:t>(a)</w:t>
        </w:r>
        <w:r>
          <w:tab/>
          <w:t>reformulate his or her reasons for not having confidence in the appellant’s suitability to continue as a custodial officer; and</w:t>
        </w:r>
      </w:ins>
    </w:p>
    <w:p>
      <w:pPr>
        <w:pStyle w:val="Indenta"/>
        <w:rPr>
          <w:ins w:id="428" w:author="svcMRProcess" w:date="2020-02-21T14:38:00Z"/>
        </w:rPr>
      </w:pPr>
      <w:ins w:id="429" w:author="svcMRProcess" w:date="2020-02-21T14:38:00Z">
        <w:r>
          <w:tab/>
          <w:t>(b)</w:t>
        </w:r>
        <w:r>
          <w:tab/>
          <w:t>without the leave of the WAIRC, tender new evidence under this section in response to the new evidence tendered by the appellant.</w:t>
        </w:r>
      </w:ins>
    </w:p>
    <w:p>
      <w:pPr>
        <w:pStyle w:val="Subsection"/>
        <w:rPr>
          <w:ins w:id="430" w:author="svcMRProcess" w:date="2020-02-21T14:38:00Z"/>
        </w:rPr>
      </w:pPr>
      <w:ins w:id="431" w:author="svcMRProcess" w:date="2020-02-21T14:38:00Z">
        <w:r>
          <w:tab/>
          <w:t>(3)</w:t>
        </w:r>
        <w:r>
          <w:tab/>
          <w:t>Reasons reformulated under subsection (2)(a) may differ from, or be additional to, the reasons given to the appellant in the decision notice.</w:t>
        </w:r>
      </w:ins>
    </w:p>
    <w:p>
      <w:pPr>
        <w:pStyle w:val="Subsection"/>
        <w:rPr>
          <w:ins w:id="432" w:author="svcMRProcess" w:date="2020-02-21T14:38:00Z"/>
        </w:rPr>
      </w:pPr>
      <w:ins w:id="433" w:author="svcMRProcess" w:date="2020-02-21T14:38:00Z">
        <w:r>
          <w:tab/>
          <w:t>(4)</w:t>
        </w:r>
        <w:r>
          <w:tab/>
          <w:t xml:space="preserve">If the chief executive officer reformulates reasons under subsection (2)(a) — </w:t>
        </w:r>
      </w:ins>
    </w:p>
    <w:p>
      <w:pPr>
        <w:pStyle w:val="Indenta"/>
        <w:rPr>
          <w:ins w:id="434" w:author="svcMRProcess" w:date="2020-02-21T14:38:00Z"/>
        </w:rPr>
      </w:pPr>
      <w:ins w:id="435" w:author="svcMRProcess" w:date="2020-02-21T14:38:00Z">
        <w:r>
          <w:tab/>
          <w:t>(a)</w:t>
        </w:r>
        <w:r>
          <w:tab/>
          <w:t>the chief executive officer must give the WAIRC and the appellant notice in writing of the reasons before the resumption of the hearing of the appeal; and</w:t>
        </w:r>
      </w:ins>
    </w:p>
    <w:p>
      <w:pPr>
        <w:pStyle w:val="Indenta"/>
        <w:rPr>
          <w:ins w:id="436" w:author="svcMRProcess" w:date="2020-02-21T14:38:00Z"/>
        </w:rPr>
      </w:pPr>
      <w:ins w:id="437" w:author="svcMRProcess" w:date="2020-02-21T14:38:00Z">
        <w:r>
          <w:tab/>
          <w:t>(b)</w:t>
        </w:r>
        <w:r>
          <w:tab/>
          <w:t>the WAIRC must consider the reasons as if they had been reasons given to the appellant in the decision notice.</w:t>
        </w:r>
      </w:ins>
    </w:p>
    <w:p>
      <w:pPr>
        <w:pStyle w:val="Footnotesection"/>
        <w:rPr>
          <w:ins w:id="438" w:author="svcMRProcess" w:date="2020-02-21T14:38:00Z"/>
        </w:rPr>
      </w:pPr>
      <w:ins w:id="439" w:author="svcMRProcess" w:date="2020-02-21T14:38:00Z">
        <w:r>
          <w:tab/>
          <w:t>[Section 11CL inserted by No. 29 of 2014 s. 16.]</w:t>
        </w:r>
      </w:ins>
    </w:p>
    <w:p>
      <w:pPr>
        <w:pStyle w:val="Heading5"/>
        <w:rPr>
          <w:ins w:id="440" w:author="svcMRProcess" w:date="2020-02-21T14:38:00Z"/>
        </w:rPr>
      </w:pPr>
      <w:bookmarkStart w:id="441" w:name="_Toc427933058"/>
      <w:ins w:id="442" w:author="svcMRProcess" w:date="2020-02-21T14:38:00Z">
        <w:r>
          <w:rPr>
            <w:rStyle w:val="CharSectno"/>
          </w:rPr>
          <w:t>11CM</w:t>
        </w:r>
        <w:r>
          <w:t>.</w:t>
        </w:r>
        <w:r>
          <w:tab/>
          <w:t xml:space="preserve">Application of </w:t>
        </w:r>
        <w:r>
          <w:rPr>
            <w:i/>
          </w:rPr>
          <w:t>Industrial Relations Act 1979</w:t>
        </w:r>
        <w:r>
          <w:t xml:space="preserve"> to appeals</w:t>
        </w:r>
        <w:bookmarkEnd w:id="441"/>
      </w:ins>
    </w:p>
    <w:p>
      <w:pPr>
        <w:pStyle w:val="Subsection"/>
        <w:rPr>
          <w:ins w:id="443" w:author="svcMRProcess" w:date="2020-02-21T14:38:00Z"/>
        </w:rPr>
      </w:pPr>
      <w:ins w:id="444" w:author="svcMRProcess" w:date="2020-02-21T14:38:00Z">
        <w:r>
          <w:tab/>
        </w:r>
        <w:r>
          <w:tab/>
          <w:t xml:space="preserve">The provisions of the </w:t>
        </w:r>
        <w:r>
          <w:rPr>
            <w:i/>
          </w:rPr>
          <w:t>Industrial Relations Act 1979</w:t>
        </w:r>
        <w:r>
          <w:t xml:space="preserve"> listed in the Table apply to, and in relation to, an appeal and its determination, subject to —</w:t>
        </w:r>
      </w:ins>
    </w:p>
    <w:p>
      <w:pPr>
        <w:pStyle w:val="Indenta"/>
        <w:rPr>
          <w:ins w:id="445" w:author="svcMRProcess" w:date="2020-02-21T14:38:00Z"/>
        </w:rPr>
      </w:pPr>
      <w:ins w:id="446" w:author="svcMRProcess" w:date="2020-02-21T14:38:00Z">
        <w:r>
          <w:tab/>
          <w:t>(a)</w:t>
        </w:r>
        <w:r>
          <w:tab/>
          <w:t>any specific modifications set out in the Table; and</w:t>
        </w:r>
      </w:ins>
    </w:p>
    <w:p>
      <w:pPr>
        <w:pStyle w:val="Indenta"/>
        <w:rPr>
          <w:ins w:id="447" w:author="svcMRProcess" w:date="2020-02-21T14:38:00Z"/>
        </w:rPr>
      </w:pPr>
      <w:ins w:id="448" w:author="svcMRProcess" w:date="2020-02-21T14:38:00Z">
        <w:r>
          <w:tab/>
          <w:t>(b)</w:t>
        </w:r>
        <w:r>
          <w:tab/>
          <w:t>all other necessary modifications.</w:t>
        </w:r>
      </w:ins>
    </w:p>
    <w:p>
      <w:pPr>
        <w:pStyle w:val="zTHeadingNAm"/>
        <w:rPr>
          <w:ins w:id="449" w:author="svcMRProcess" w:date="2020-02-21T14:38:00Z"/>
        </w:rPr>
      </w:pPr>
      <w:ins w:id="450" w:author="svcMRProcess" w:date="2020-02-21T14:3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ins w:id="451" w:author="svcMRProcess" w:date="2020-02-21T14:38:00Z"/>
        </w:trPr>
        <w:tc>
          <w:tcPr>
            <w:tcW w:w="1843" w:type="dxa"/>
          </w:tcPr>
          <w:p>
            <w:pPr>
              <w:pStyle w:val="TableNAm"/>
              <w:rPr>
                <w:ins w:id="452" w:author="svcMRProcess" w:date="2020-02-21T14:38:00Z"/>
              </w:rPr>
            </w:pPr>
            <w:ins w:id="453" w:author="svcMRProcess" w:date="2020-02-21T14:38:00Z">
              <w:r>
                <w:t>s. 26(1)(a) and (b)</w:t>
              </w:r>
            </w:ins>
          </w:p>
        </w:tc>
        <w:tc>
          <w:tcPr>
            <w:tcW w:w="3685" w:type="dxa"/>
          </w:tcPr>
          <w:p>
            <w:pPr>
              <w:pStyle w:val="TableNAm"/>
              <w:rPr>
                <w:ins w:id="454" w:author="svcMRProcess" w:date="2020-02-21T14:38:00Z"/>
              </w:rPr>
            </w:pPr>
          </w:p>
        </w:tc>
      </w:tr>
      <w:tr>
        <w:trPr>
          <w:cantSplit/>
          <w:ins w:id="455" w:author="svcMRProcess" w:date="2020-02-21T14:38:00Z"/>
        </w:trPr>
        <w:tc>
          <w:tcPr>
            <w:tcW w:w="1843" w:type="dxa"/>
          </w:tcPr>
          <w:p>
            <w:pPr>
              <w:pStyle w:val="TableNAm"/>
              <w:rPr>
                <w:ins w:id="456" w:author="svcMRProcess" w:date="2020-02-21T14:38:00Z"/>
              </w:rPr>
            </w:pPr>
            <w:ins w:id="457" w:author="svcMRProcess" w:date="2020-02-21T14:38:00Z">
              <w:r>
                <w:t>s. 26(3)</w:t>
              </w:r>
            </w:ins>
          </w:p>
        </w:tc>
        <w:tc>
          <w:tcPr>
            <w:tcW w:w="3685" w:type="dxa"/>
          </w:tcPr>
          <w:p>
            <w:pPr>
              <w:pStyle w:val="TableNAm"/>
              <w:rPr>
                <w:ins w:id="458" w:author="svcMRProcess" w:date="2020-02-21T14:38:00Z"/>
              </w:rPr>
            </w:pPr>
          </w:p>
        </w:tc>
      </w:tr>
      <w:tr>
        <w:trPr>
          <w:cantSplit/>
          <w:ins w:id="459" w:author="svcMRProcess" w:date="2020-02-21T14:38:00Z"/>
        </w:trPr>
        <w:tc>
          <w:tcPr>
            <w:tcW w:w="1843" w:type="dxa"/>
          </w:tcPr>
          <w:p>
            <w:pPr>
              <w:pStyle w:val="TableNAm"/>
              <w:rPr>
                <w:ins w:id="460" w:author="svcMRProcess" w:date="2020-02-21T14:38:00Z"/>
              </w:rPr>
            </w:pPr>
            <w:ins w:id="461" w:author="svcMRProcess" w:date="2020-02-21T14:38:00Z">
              <w:r>
                <w:t>s. 27(1)(b), (c), (d), (e), (f), (h), (ha), (hb), (l), (m), (n), (o) and (v)</w:t>
              </w:r>
            </w:ins>
          </w:p>
        </w:tc>
        <w:tc>
          <w:tcPr>
            <w:tcW w:w="3685" w:type="dxa"/>
          </w:tcPr>
          <w:p>
            <w:pPr>
              <w:pStyle w:val="TableNAm"/>
              <w:rPr>
                <w:ins w:id="462" w:author="svcMRProcess" w:date="2020-02-21T14:38:00Z"/>
              </w:rPr>
            </w:pPr>
          </w:p>
        </w:tc>
      </w:tr>
      <w:tr>
        <w:trPr>
          <w:cantSplit/>
          <w:ins w:id="463" w:author="svcMRProcess" w:date="2020-02-21T14:38:00Z"/>
        </w:trPr>
        <w:tc>
          <w:tcPr>
            <w:tcW w:w="1843" w:type="dxa"/>
          </w:tcPr>
          <w:p>
            <w:pPr>
              <w:pStyle w:val="TableNAm"/>
              <w:rPr>
                <w:ins w:id="464" w:author="svcMRProcess" w:date="2020-02-21T14:38:00Z"/>
              </w:rPr>
            </w:pPr>
            <w:ins w:id="465" w:author="svcMRProcess" w:date="2020-02-21T14:38:00Z">
              <w:r>
                <w:t>s. 27(1a)</w:t>
              </w:r>
            </w:ins>
          </w:p>
        </w:tc>
        <w:tc>
          <w:tcPr>
            <w:tcW w:w="3685" w:type="dxa"/>
          </w:tcPr>
          <w:p>
            <w:pPr>
              <w:pStyle w:val="TableNAm"/>
              <w:rPr>
                <w:ins w:id="466" w:author="svcMRProcess" w:date="2020-02-21T14:38:00Z"/>
              </w:rPr>
            </w:pPr>
          </w:p>
        </w:tc>
      </w:tr>
      <w:tr>
        <w:trPr>
          <w:cantSplit/>
          <w:ins w:id="467" w:author="svcMRProcess" w:date="2020-02-21T14:38:00Z"/>
        </w:trPr>
        <w:tc>
          <w:tcPr>
            <w:tcW w:w="1843" w:type="dxa"/>
          </w:tcPr>
          <w:p>
            <w:pPr>
              <w:pStyle w:val="TableNAm"/>
              <w:rPr>
                <w:ins w:id="468" w:author="svcMRProcess" w:date="2020-02-21T14:38:00Z"/>
              </w:rPr>
            </w:pPr>
            <w:ins w:id="469" w:author="svcMRProcess" w:date="2020-02-21T14:38:00Z">
              <w:r>
                <w:t>s. 28</w:t>
              </w:r>
            </w:ins>
          </w:p>
        </w:tc>
        <w:tc>
          <w:tcPr>
            <w:tcW w:w="3685" w:type="dxa"/>
          </w:tcPr>
          <w:p>
            <w:pPr>
              <w:pStyle w:val="TableNAm"/>
              <w:rPr>
                <w:ins w:id="470" w:author="svcMRProcess" w:date="2020-02-21T14:38:00Z"/>
              </w:rPr>
            </w:pPr>
            <w:ins w:id="471" w:author="svcMRProcess" w:date="2020-02-21T14:38:00Z">
              <w:r>
                <w:t>The section applies only in relation to powers conferred by section 27 listed in this Table.</w:t>
              </w:r>
            </w:ins>
          </w:p>
        </w:tc>
      </w:tr>
      <w:tr>
        <w:trPr>
          <w:cantSplit/>
          <w:ins w:id="472" w:author="svcMRProcess" w:date="2020-02-21T14:38:00Z"/>
        </w:trPr>
        <w:tc>
          <w:tcPr>
            <w:tcW w:w="1843" w:type="dxa"/>
          </w:tcPr>
          <w:p>
            <w:pPr>
              <w:pStyle w:val="TableNAm"/>
              <w:rPr>
                <w:ins w:id="473" w:author="svcMRProcess" w:date="2020-02-21T14:38:00Z"/>
              </w:rPr>
            </w:pPr>
            <w:ins w:id="474" w:author="svcMRProcess" w:date="2020-02-21T14:38:00Z">
              <w:r>
                <w:t>s. 31(1)</w:t>
              </w:r>
            </w:ins>
          </w:p>
        </w:tc>
        <w:tc>
          <w:tcPr>
            <w:tcW w:w="3685" w:type="dxa"/>
          </w:tcPr>
          <w:p>
            <w:pPr>
              <w:pStyle w:val="TableNAm"/>
              <w:rPr>
                <w:ins w:id="475" w:author="svcMRProcess" w:date="2020-02-21T14:38:00Z"/>
              </w:rPr>
            </w:pPr>
            <w:ins w:id="476" w:author="svcMRProcess" w:date="2020-02-21T14:38:00Z">
              <w:r>
                <w:t>Paragraphs (b) and (c) do not apply but the subsection is to be read as if it contained the following paragraphs —</w:t>
              </w:r>
            </w:ins>
          </w:p>
          <w:p>
            <w:pPr>
              <w:pStyle w:val="TableNAm"/>
              <w:rPr>
                <w:ins w:id="477" w:author="svcMRProcess" w:date="2020-02-21T14:38:00Z"/>
              </w:rPr>
            </w:pPr>
            <w:ins w:id="478" w:author="svcMRProcess" w:date="2020-02-21T14:38:00Z">
              <w:r>
                <w:t>“</w:t>
              </w:r>
              <w:r>
                <w:tab/>
                <w:t>(b)</w:t>
              </w:r>
              <w:r>
                <w:tab/>
                <w:t>with the leave of the Commission, by an agent; or</w:t>
              </w:r>
            </w:ins>
          </w:p>
          <w:p>
            <w:pPr>
              <w:pStyle w:val="TableNAm"/>
              <w:rPr>
                <w:ins w:id="479" w:author="svcMRProcess" w:date="2020-02-21T14:38:00Z"/>
              </w:rPr>
            </w:pPr>
            <w:ins w:id="480" w:author="svcMRProcess" w:date="2020-02-21T14:38:00Z">
              <w:r>
                <w:tab/>
                <w:t>(c)</w:t>
              </w:r>
              <w:r>
                <w:tab/>
                <w:t>by a legal practitioner.  ”.</w:t>
              </w:r>
            </w:ins>
          </w:p>
        </w:tc>
      </w:tr>
      <w:tr>
        <w:trPr>
          <w:cantSplit/>
          <w:ins w:id="481" w:author="svcMRProcess" w:date="2020-02-21T14:38:00Z"/>
        </w:trPr>
        <w:tc>
          <w:tcPr>
            <w:tcW w:w="1843" w:type="dxa"/>
          </w:tcPr>
          <w:p>
            <w:pPr>
              <w:pStyle w:val="TableNAm"/>
              <w:rPr>
                <w:ins w:id="482" w:author="svcMRProcess" w:date="2020-02-21T14:38:00Z"/>
              </w:rPr>
            </w:pPr>
            <w:ins w:id="483" w:author="svcMRProcess" w:date="2020-02-21T14:38:00Z">
              <w:r>
                <w:t>s. 31(3)</w:t>
              </w:r>
            </w:ins>
          </w:p>
        </w:tc>
        <w:tc>
          <w:tcPr>
            <w:tcW w:w="3685" w:type="dxa"/>
          </w:tcPr>
          <w:p>
            <w:pPr>
              <w:pStyle w:val="TableNAm"/>
              <w:rPr>
                <w:ins w:id="484" w:author="svcMRProcess" w:date="2020-02-21T14:38:00Z"/>
              </w:rPr>
            </w:pPr>
          </w:p>
        </w:tc>
      </w:tr>
      <w:tr>
        <w:trPr>
          <w:cantSplit/>
          <w:ins w:id="485" w:author="svcMRProcess" w:date="2020-02-21T14:38:00Z"/>
        </w:trPr>
        <w:tc>
          <w:tcPr>
            <w:tcW w:w="1843" w:type="dxa"/>
          </w:tcPr>
          <w:p>
            <w:pPr>
              <w:pStyle w:val="TableNAm"/>
              <w:rPr>
                <w:ins w:id="486" w:author="svcMRProcess" w:date="2020-02-21T14:38:00Z"/>
              </w:rPr>
            </w:pPr>
            <w:ins w:id="487" w:author="svcMRProcess" w:date="2020-02-21T14:38:00Z">
              <w:r>
                <w:t>s. 31(5)</w:t>
              </w:r>
            </w:ins>
          </w:p>
        </w:tc>
        <w:tc>
          <w:tcPr>
            <w:tcW w:w="3685" w:type="dxa"/>
          </w:tcPr>
          <w:p>
            <w:pPr>
              <w:pStyle w:val="TableNAm"/>
              <w:rPr>
                <w:ins w:id="488" w:author="svcMRProcess" w:date="2020-02-21T14:38:00Z"/>
              </w:rPr>
            </w:pPr>
          </w:p>
        </w:tc>
      </w:tr>
      <w:tr>
        <w:trPr>
          <w:cantSplit/>
          <w:ins w:id="489" w:author="svcMRProcess" w:date="2020-02-21T14:38:00Z"/>
        </w:trPr>
        <w:tc>
          <w:tcPr>
            <w:tcW w:w="1843" w:type="dxa"/>
          </w:tcPr>
          <w:p>
            <w:pPr>
              <w:pStyle w:val="TableNAm"/>
              <w:rPr>
                <w:ins w:id="490" w:author="svcMRProcess" w:date="2020-02-21T14:38:00Z"/>
              </w:rPr>
            </w:pPr>
            <w:ins w:id="491" w:author="svcMRProcess" w:date="2020-02-21T14:38:00Z">
              <w:r>
                <w:t>s. 32</w:t>
              </w:r>
            </w:ins>
          </w:p>
        </w:tc>
        <w:tc>
          <w:tcPr>
            <w:tcW w:w="3685" w:type="dxa"/>
          </w:tcPr>
          <w:p>
            <w:pPr>
              <w:pStyle w:val="TableNAm"/>
              <w:rPr>
                <w:ins w:id="492" w:author="svcMRProcess" w:date="2020-02-21T14:38:00Z"/>
              </w:rPr>
            </w:pPr>
            <w:ins w:id="493" w:author="svcMRProcess" w:date="2020-02-21T14:38:00Z">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ins>
          </w:p>
          <w:p>
            <w:pPr>
              <w:pStyle w:val="TableNAm"/>
              <w:rPr>
                <w:ins w:id="494" w:author="svcMRProcess" w:date="2020-02-21T14:38:00Z"/>
              </w:rPr>
            </w:pPr>
            <w:ins w:id="495" w:author="svcMRProcess" w:date="2020-02-21T14:38:00Z">
              <w:r>
                <w:t>References to “the matter” and “an industrial matter” are to be read as if they were references to “the appeal”.</w:t>
              </w:r>
            </w:ins>
          </w:p>
        </w:tc>
      </w:tr>
      <w:tr>
        <w:trPr>
          <w:cantSplit/>
          <w:ins w:id="496" w:author="svcMRProcess" w:date="2020-02-21T14:38:00Z"/>
        </w:trPr>
        <w:tc>
          <w:tcPr>
            <w:tcW w:w="1843" w:type="dxa"/>
          </w:tcPr>
          <w:p>
            <w:pPr>
              <w:pStyle w:val="zTableNAm"/>
              <w:rPr>
                <w:ins w:id="497" w:author="svcMRProcess" w:date="2020-02-21T14:38:00Z"/>
              </w:rPr>
            </w:pPr>
          </w:p>
        </w:tc>
        <w:tc>
          <w:tcPr>
            <w:tcW w:w="3685" w:type="dxa"/>
          </w:tcPr>
          <w:p>
            <w:pPr>
              <w:pStyle w:val="TableNAm"/>
              <w:rPr>
                <w:ins w:id="498" w:author="svcMRProcess" w:date="2020-02-21T14:38:00Z"/>
              </w:rPr>
            </w:pPr>
            <w:ins w:id="499" w:author="svcMRProcess" w:date="2020-02-21T14:38:00Z">
              <w:r>
                <w:t xml:space="preserve">For the purposes of subsections (2) and (3), </w:t>
              </w:r>
              <w:r>
                <w:rPr>
                  <w:b/>
                  <w:bCs/>
                  <w:i/>
                  <w:iCs/>
                </w:rPr>
                <w:t>Commission</w:t>
              </w:r>
              <w:r>
                <w:t xml:space="preserve"> does not include an industrial commissioner constituting the WAIRC to hear the appeal.</w:t>
              </w:r>
            </w:ins>
          </w:p>
          <w:p>
            <w:pPr>
              <w:pStyle w:val="TableNAm"/>
              <w:rPr>
                <w:ins w:id="500" w:author="svcMRProcess" w:date="2020-02-21T14:38:00Z"/>
              </w:rPr>
            </w:pPr>
            <w:ins w:id="501" w:author="svcMRProcess" w:date="2020-02-21T14:38:00Z">
              <w:r>
                <w:t>Subsections (4), (6), (7) and (8) do not apply.</w:t>
              </w:r>
            </w:ins>
          </w:p>
        </w:tc>
      </w:tr>
      <w:tr>
        <w:trPr>
          <w:cantSplit/>
          <w:ins w:id="502" w:author="svcMRProcess" w:date="2020-02-21T14:38:00Z"/>
        </w:trPr>
        <w:tc>
          <w:tcPr>
            <w:tcW w:w="1843" w:type="dxa"/>
          </w:tcPr>
          <w:p>
            <w:pPr>
              <w:pStyle w:val="TableNAm"/>
              <w:rPr>
                <w:ins w:id="503" w:author="svcMRProcess" w:date="2020-02-21T14:38:00Z"/>
              </w:rPr>
            </w:pPr>
            <w:ins w:id="504" w:author="svcMRProcess" w:date="2020-02-21T14:38:00Z">
              <w:r>
                <w:t>s. 33</w:t>
              </w:r>
            </w:ins>
          </w:p>
        </w:tc>
        <w:tc>
          <w:tcPr>
            <w:tcW w:w="3685" w:type="dxa"/>
          </w:tcPr>
          <w:p>
            <w:pPr>
              <w:pStyle w:val="TableNAm"/>
              <w:rPr>
                <w:ins w:id="505" w:author="svcMRProcess" w:date="2020-02-21T14:38:00Z"/>
              </w:rPr>
            </w:pPr>
            <w:ins w:id="506" w:author="svcMRProcess" w:date="2020-02-21T14:38:00Z">
              <w:r>
                <w:t>A summons must not be issued under section 33(1)(a) to the Governor.</w:t>
              </w:r>
            </w:ins>
          </w:p>
          <w:p>
            <w:pPr>
              <w:pStyle w:val="TableNAm"/>
              <w:rPr>
                <w:ins w:id="507" w:author="svcMRProcess" w:date="2020-02-21T14:38:00Z"/>
              </w:rPr>
            </w:pPr>
            <w:ins w:id="508" w:author="svcMRProcess" w:date="2020-02-21T14:38:00Z">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ins>
          </w:p>
          <w:p>
            <w:pPr>
              <w:pStyle w:val="TableNAm"/>
              <w:rPr>
                <w:ins w:id="509" w:author="svcMRProcess" w:date="2020-02-21T14:38:00Z"/>
              </w:rPr>
            </w:pPr>
            <w:ins w:id="510" w:author="svcMRProcess" w:date="2020-02-21T14:38:00Z">
              <w:r>
                <w:t>A summons may not be issued to any other person except at the direction of a commissioner.</w:t>
              </w:r>
            </w:ins>
          </w:p>
        </w:tc>
      </w:tr>
      <w:tr>
        <w:trPr>
          <w:cantSplit/>
          <w:ins w:id="511" w:author="svcMRProcess" w:date="2020-02-21T14:38:00Z"/>
        </w:trPr>
        <w:tc>
          <w:tcPr>
            <w:tcW w:w="1843" w:type="dxa"/>
          </w:tcPr>
          <w:p>
            <w:pPr>
              <w:pStyle w:val="TableNAm"/>
              <w:rPr>
                <w:ins w:id="512" w:author="svcMRProcess" w:date="2020-02-21T14:38:00Z"/>
              </w:rPr>
            </w:pPr>
            <w:ins w:id="513" w:author="svcMRProcess" w:date="2020-02-21T14:38:00Z">
              <w:r>
                <w:t>s. 34</w:t>
              </w:r>
            </w:ins>
          </w:p>
        </w:tc>
        <w:tc>
          <w:tcPr>
            <w:tcW w:w="3685" w:type="dxa"/>
          </w:tcPr>
          <w:p>
            <w:pPr>
              <w:pStyle w:val="TableNAm"/>
              <w:rPr>
                <w:ins w:id="514" w:author="svcMRProcess" w:date="2020-02-21T14:38:00Z"/>
              </w:rPr>
            </w:pPr>
            <w:ins w:id="515" w:author="svcMRProcess" w:date="2020-02-21T14:38:00Z">
              <w:r>
                <w:t>A reference in subsection (1) to “an award, order, or declaration” is to be read as if it were a reference to “an order”.</w:t>
              </w:r>
            </w:ins>
          </w:p>
          <w:p>
            <w:pPr>
              <w:pStyle w:val="TableNAm"/>
              <w:rPr>
                <w:ins w:id="516" w:author="svcMRProcess" w:date="2020-02-21T14:38:00Z"/>
              </w:rPr>
            </w:pPr>
            <w:ins w:id="517" w:author="svcMRProcess" w:date="2020-02-21T14:38:00Z">
              <w:r>
                <w:t>A reference in subsection (3) to “the President, the Full Bench, or the Commission” is to be read as if it were a reference to “the Commission”.</w:t>
              </w:r>
            </w:ins>
          </w:p>
        </w:tc>
      </w:tr>
      <w:tr>
        <w:trPr>
          <w:cantSplit/>
          <w:ins w:id="518" w:author="svcMRProcess" w:date="2020-02-21T14:38:00Z"/>
        </w:trPr>
        <w:tc>
          <w:tcPr>
            <w:tcW w:w="1843" w:type="dxa"/>
          </w:tcPr>
          <w:p>
            <w:pPr>
              <w:pStyle w:val="zTableNAm"/>
              <w:rPr>
                <w:ins w:id="519" w:author="svcMRProcess" w:date="2020-02-21T14:38:00Z"/>
              </w:rPr>
            </w:pPr>
          </w:p>
        </w:tc>
        <w:tc>
          <w:tcPr>
            <w:tcW w:w="3685" w:type="dxa"/>
          </w:tcPr>
          <w:p>
            <w:pPr>
              <w:pStyle w:val="TableNAm"/>
              <w:rPr>
                <w:ins w:id="520" w:author="svcMRProcess" w:date="2020-02-21T14:38:00Z"/>
              </w:rPr>
            </w:pPr>
            <w:ins w:id="521" w:author="svcMRProcess" w:date="2020-02-21T14:38:00Z">
              <w:r>
                <w:t>A reference in subsection (4) to “no award, order, declaration, finding, or proceeding of the President, the Full Bench, or the Commission” is to be read as if it were a reference to “no decision, order, finding or proceeding of the Commission”.</w:t>
              </w:r>
            </w:ins>
          </w:p>
        </w:tc>
      </w:tr>
      <w:tr>
        <w:trPr>
          <w:cantSplit/>
          <w:ins w:id="522" w:author="svcMRProcess" w:date="2020-02-21T14:38:00Z"/>
        </w:trPr>
        <w:tc>
          <w:tcPr>
            <w:tcW w:w="1843" w:type="dxa"/>
          </w:tcPr>
          <w:p>
            <w:pPr>
              <w:pStyle w:val="TableNAm"/>
              <w:rPr>
                <w:ins w:id="523" w:author="svcMRProcess" w:date="2020-02-21T14:38:00Z"/>
              </w:rPr>
            </w:pPr>
            <w:ins w:id="524" w:author="svcMRProcess" w:date="2020-02-21T14:38:00Z">
              <w:r>
                <w:t>s. 35</w:t>
              </w:r>
            </w:ins>
          </w:p>
        </w:tc>
        <w:tc>
          <w:tcPr>
            <w:tcW w:w="3685" w:type="dxa"/>
          </w:tcPr>
          <w:p>
            <w:pPr>
              <w:pStyle w:val="TableNAm"/>
              <w:rPr>
                <w:ins w:id="525" w:author="svcMRProcess" w:date="2020-02-21T14:38:00Z"/>
              </w:rPr>
            </w:pPr>
          </w:p>
        </w:tc>
      </w:tr>
      <w:tr>
        <w:trPr>
          <w:cantSplit/>
          <w:ins w:id="526" w:author="svcMRProcess" w:date="2020-02-21T14:38:00Z"/>
        </w:trPr>
        <w:tc>
          <w:tcPr>
            <w:tcW w:w="1843" w:type="dxa"/>
          </w:tcPr>
          <w:p>
            <w:pPr>
              <w:pStyle w:val="TableNAm"/>
              <w:rPr>
                <w:ins w:id="527" w:author="svcMRProcess" w:date="2020-02-21T14:38:00Z"/>
              </w:rPr>
            </w:pPr>
            <w:ins w:id="528" w:author="svcMRProcess" w:date="2020-02-21T14:38:00Z">
              <w:r>
                <w:t>s. 36</w:t>
              </w:r>
            </w:ins>
          </w:p>
        </w:tc>
        <w:tc>
          <w:tcPr>
            <w:tcW w:w="3685" w:type="dxa"/>
          </w:tcPr>
          <w:p>
            <w:pPr>
              <w:pStyle w:val="TableNAm"/>
              <w:rPr>
                <w:ins w:id="529" w:author="svcMRProcess" w:date="2020-02-21T14:38:00Z"/>
              </w:rPr>
            </w:pPr>
          </w:p>
        </w:tc>
      </w:tr>
      <w:tr>
        <w:trPr>
          <w:cantSplit/>
          <w:ins w:id="530" w:author="svcMRProcess" w:date="2020-02-21T14:38:00Z"/>
        </w:trPr>
        <w:tc>
          <w:tcPr>
            <w:tcW w:w="1843" w:type="dxa"/>
          </w:tcPr>
          <w:p>
            <w:pPr>
              <w:pStyle w:val="TableNAm"/>
              <w:rPr>
                <w:ins w:id="531" w:author="svcMRProcess" w:date="2020-02-21T14:38:00Z"/>
              </w:rPr>
            </w:pPr>
            <w:ins w:id="532" w:author="svcMRProcess" w:date="2020-02-21T14:38:00Z">
              <w:r>
                <w:t>s. 86</w:t>
              </w:r>
            </w:ins>
          </w:p>
        </w:tc>
        <w:tc>
          <w:tcPr>
            <w:tcW w:w="3685" w:type="dxa"/>
          </w:tcPr>
          <w:p>
            <w:pPr>
              <w:pStyle w:val="TableNAm"/>
              <w:rPr>
                <w:ins w:id="533" w:author="svcMRProcess" w:date="2020-02-21T14:38:00Z"/>
              </w:rPr>
            </w:pPr>
            <w:ins w:id="534" w:author="svcMRProcess" w:date="2020-02-21T14:38:00Z">
              <w:r>
                <w:t>The section does not apply in relation to costs and expenses, other than expenses of witnesses.</w:t>
              </w:r>
            </w:ins>
          </w:p>
        </w:tc>
      </w:tr>
      <w:tr>
        <w:trPr>
          <w:cantSplit/>
          <w:ins w:id="535" w:author="svcMRProcess" w:date="2020-02-21T14:38:00Z"/>
        </w:trPr>
        <w:tc>
          <w:tcPr>
            <w:tcW w:w="1843" w:type="dxa"/>
          </w:tcPr>
          <w:p>
            <w:pPr>
              <w:pStyle w:val="TableNAm"/>
              <w:rPr>
                <w:ins w:id="536" w:author="svcMRProcess" w:date="2020-02-21T14:38:00Z"/>
              </w:rPr>
            </w:pPr>
            <w:ins w:id="537" w:author="svcMRProcess" w:date="2020-02-21T14:38:00Z">
              <w:r>
                <w:t>s. 90</w:t>
              </w:r>
            </w:ins>
          </w:p>
        </w:tc>
        <w:tc>
          <w:tcPr>
            <w:tcW w:w="3685" w:type="dxa"/>
          </w:tcPr>
          <w:p>
            <w:pPr>
              <w:pStyle w:val="TableNAm"/>
              <w:rPr>
                <w:ins w:id="538" w:author="svcMRProcess" w:date="2020-02-21T14:38:00Z"/>
              </w:rPr>
            </w:pPr>
            <w:ins w:id="539" w:author="svcMRProcess" w:date="2020-02-21T14:38:00Z">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ins>
          </w:p>
        </w:tc>
      </w:tr>
    </w:tbl>
    <w:p>
      <w:pPr>
        <w:pStyle w:val="Footnotesection"/>
        <w:rPr>
          <w:ins w:id="540" w:author="svcMRProcess" w:date="2020-02-21T14:38:00Z"/>
        </w:rPr>
      </w:pPr>
      <w:ins w:id="541" w:author="svcMRProcess" w:date="2020-02-21T14:38:00Z">
        <w:r>
          <w:tab/>
          <w:t>[Section 11CM inserted by No. 29 of 2014 s. 16.]</w:t>
        </w:r>
      </w:ins>
    </w:p>
    <w:p>
      <w:pPr>
        <w:pStyle w:val="Heading5"/>
        <w:rPr>
          <w:ins w:id="542" w:author="svcMRProcess" w:date="2020-02-21T14:38:00Z"/>
        </w:rPr>
      </w:pPr>
      <w:bookmarkStart w:id="543" w:name="_Toc427933059"/>
      <w:ins w:id="544" w:author="svcMRProcess" w:date="2020-02-21T14:38:00Z">
        <w:r>
          <w:rPr>
            <w:rStyle w:val="CharSectno"/>
          </w:rPr>
          <w:t>11CN</w:t>
        </w:r>
        <w:r>
          <w:t>.</w:t>
        </w:r>
        <w:r>
          <w:tab/>
          <w:t>Adjournment of appeal if appellant charged with offence</w:t>
        </w:r>
        <w:bookmarkEnd w:id="543"/>
      </w:ins>
    </w:p>
    <w:p>
      <w:pPr>
        <w:pStyle w:val="Subsection"/>
        <w:rPr>
          <w:ins w:id="545" w:author="svcMRProcess" w:date="2020-02-21T14:38:00Z"/>
        </w:rPr>
      </w:pPr>
      <w:ins w:id="546" w:author="svcMRProcess" w:date="2020-02-21T14:38:00Z">
        <w:r>
          <w:tab/>
          <w:t>(1)</w:t>
        </w:r>
        <w:r>
          <w:tab/>
          <w:t>The chief executive officer or an appellant may apply to the WAIRC for an adjournment of the hearing of an appeal if the appellant has been —</w:t>
        </w:r>
      </w:ins>
    </w:p>
    <w:p>
      <w:pPr>
        <w:pStyle w:val="Indenta"/>
        <w:rPr>
          <w:ins w:id="547" w:author="svcMRProcess" w:date="2020-02-21T14:38:00Z"/>
        </w:rPr>
      </w:pPr>
      <w:ins w:id="548" w:author="svcMRProcess" w:date="2020-02-21T14:38:00Z">
        <w:r>
          <w:tab/>
          <w:t>(a)</w:t>
        </w:r>
        <w:r>
          <w:tab/>
          <w:t>charged with an offence relating to any matter, act or omission that was taken into account by the chief executive officer in deciding that he or she did not have confidence in the appellant’s suitability to continue as a custodial officer; and</w:t>
        </w:r>
      </w:ins>
    </w:p>
    <w:p>
      <w:pPr>
        <w:pStyle w:val="Indenta"/>
        <w:rPr>
          <w:ins w:id="549" w:author="svcMRProcess" w:date="2020-02-21T14:38:00Z"/>
        </w:rPr>
      </w:pPr>
      <w:ins w:id="550" w:author="svcMRProcess" w:date="2020-02-21T14:38:00Z">
        <w:r>
          <w:tab/>
          <w:t>(b)</w:t>
        </w:r>
        <w:r>
          <w:tab/>
          <w:t>the charge has not been finally determined by a court or otherwise disposed of.</w:t>
        </w:r>
      </w:ins>
    </w:p>
    <w:p>
      <w:pPr>
        <w:pStyle w:val="Subsection"/>
        <w:rPr>
          <w:ins w:id="551" w:author="svcMRProcess" w:date="2020-02-21T14:38:00Z"/>
        </w:rPr>
      </w:pPr>
      <w:ins w:id="552" w:author="svcMRProcess" w:date="2020-02-21T14:38:00Z">
        <w:r>
          <w:tab/>
          <w:t>(2)</w:t>
        </w:r>
        <w:r>
          <w:tab/>
          <w:t>If an adjournment application is made by the chief executive officer, the WAIRC may adjourn the hearing of the appeal if it considers that it is in the interests of justice to do so.</w:t>
        </w:r>
      </w:ins>
    </w:p>
    <w:p>
      <w:pPr>
        <w:pStyle w:val="Subsection"/>
        <w:rPr>
          <w:ins w:id="553" w:author="svcMRProcess" w:date="2020-02-21T14:38:00Z"/>
        </w:rPr>
      </w:pPr>
      <w:ins w:id="554" w:author="svcMRProcess" w:date="2020-02-21T14:38:00Z">
        <w:r>
          <w:tab/>
          <w:t>(3)</w:t>
        </w:r>
        <w:r>
          <w:tab/>
          <w:t>If an adjournment application is made by the appellant, the WAIRC must adjourn the hearing of the appeal for the period (not exceeding 12 months) requested by the appellant.</w:t>
        </w:r>
      </w:ins>
    </w:p>
    <w:p>
      <w:pPr>
        <w:pStyle w:val="Subsection"/>
        <w:rPr>
          <w:ins w:id="555" w:author="svcMRProcess" w:date="2020-02-21T14:38:00Z"/>
        </w:rPr>
      </w:pPr>
      <w:ins w:id="556" w:author="svcMRProcess" w:date="2020-02-21T14:38:00Z">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ins>
    </w:p>
    <w:p>
      <w:pPr>
        <w:pStyle w:val="Subsection"/>
        <w:rPr>
          <w:ins w:id="557" w:author="svcMRProcess" w:date="2020-02-21T14:38:00Z"/>
        </w:rPr>
      </w:pPr>
      <w:ins w:id="558" w:author="svcMRProcess" w:date="2020-02-21T14:38:00Z">
        <w:r>
          <w:tab/>
          <w:t>(5)</w:t>
        </w:r>
        <w:r>
          <w:tab/>
          <w:t>Subsections (2) and (4) do not affect any other power of the WAIRC to grant an adjournment.</w:t>
        </w:r>
      </w:ins>
    </w:p>
    <w:p>
      <w:pPr>
        <w:pStyle w:val="Footnotesection"/>
        <w:rPr>
          <w:ins w:id="559" w:author="svcMRProcess" w:date="2020-02-21T14:38:00Z"/>
        </w:rPr>
      </w:pPr>
      <w:ins w:id="560" w:author="svcMRProcess" w:date="2020-02-21T14:38:00Z">
        <w:r>
          <w:tab/>
          <w:t>[Section 11CN inserted by No. 29 of 2014 s. 16.]</w:t>
        </w:r>
      </w:ins>
    </w:p>
    <w:p>
      <w:pPr>
        <w:pStyle w:val="Heading5"/>
        <w:rPr>
          <w:ins w:id="561" w:author="svcMRProcess" w:date="2020-02-21T14:38:00Z"/>
        </w:rPr>
      </w:pPr>
      <w:bookmarkStart w:id="562" w:name="_Toc427933060"/>
      <w:ins w:id="563" w:author="svcMRProcess" w:date="2020-02-21T14:38:00Z">
        <w:r>
          <w:rPr>
            <w:rStyle w:val="CharSectno"/>
          </w:rPr>
          <w:t>11CO</w:t>
        </w:r>
        <w:r>
          <w:t>.</w:t>
        </w:r>
        <w:r>
          <w:tab/>
          <w:t>Resumption of appeal before end of adjournment</w:t>
        </w:r>
        <w:bookmarkEnd w:id="562"/>
      </w:ins>
    </w:p>
    <w:p>
      <w:pPr>
        <w:pStyle w:val="Subsection"/>
        <w:rPr>
          <w:ins w:id="564" w:author="svcMRProcess" w:date="2020-02-21T14:38:00Z"/>
        </w:rPr>
      </w:pPr>
      <w:ins w:id="565" w:author="svcMRProcess" w:date="2020-02-21T14:38:00Z">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ins>
    </w:p>
    <w:p>
      <w:pPr>
        <w:pStyle w:val="Footnotesection"/>
        <w:rPr>
          <w:ins w:id="566" w:author="svcMRProcess" w:date="2020-02-21T14:38:00Z"/>
        </w:rPr>
      </w:pPr>
      <w:ins w:id="567" w:author="svcMRProcess" w:date="2020-02-21T14:38:00Z">
        <w:r>
          <w:tab/>
          <w:t>[Section 11CO inserted by No. 29 of 2014 s. 16.]</w:t>
        </w:r>
      </w:ins>
    </w:p>
    <w:p>
      <w:pPr>
        <w:pStyle w:val="Heading5"/>
        <w:rPr>
          <w:ins w:id="568" w:author="svcMRProcess" w:date="2020-02-21T14:38:00Z"/>
        </w:rPr>
      </w:pPr>
      <w:bookmarkStart w:id="569" w:name="_Toc427933061"/>
      <w:ins w:id="570" w:author="svcMRProcess" w:date="2020-02-21T14:38:00Z">
        <w:r>
          <w:rPr>
            <w:rStyle w:val="CharSectno"/>
          </w:rPr>
          <w:t>11CP</w:t>
        </w:r>
        <w:r>
          <w:t>.</w:t>
        </w:r>
        <w:r>
          <w:tab/>
          <w:t>Decision by WAIRC</w:t>
        </w:r>
        <w:bookmarkEnd w:id="569"/>
      </w:ins>
    </w:p>
    <w:p>
      <w:pPr>
        <w:pStyle w:val="Subsection"/>
        <w:rPr>
          <w:ins w:id="571" w:author="svcMRProcess" w:date="2020-02-21T14:38:00Z"/>
        </w:rPr>
      </w:pPr>
      <w:ins w:id="572" w:author="svcMRProcess" w:date="2020-02-21T14:38:00Z">
        <w:r>
          <w:tab/>
          <w:t>(1)</w:t>
        </w:r>
        <w:r>
          <w:tab/>
          <w:t>This section applies if the WAIRC decides on an appeal that the decision to take removal action relating to the appellant was harsh, oppressive or unfair.</w:t>
        </w:r>
      </w:ins>
    </w:p>
    <w:p>
      <w:pPr>
        <w:pStyle w:val="Subsection"/>
        <w:rPr>
          <w:ins w:id="573" w:author="svcMRProcess" w:date="2020-02-21T14:38:00Z"/>
        </w:rPr>
      </w:pPr>
      <w:ins w:id="574" w:author="svcMRProcess" w:date="2020-02-21T14:38:00Z">
        <w:r>
          <w:tab/>
          <w:t>(2)</w:t>
        </w:r>
        <w:r>
          <w:tab/>
          <w:t>The WAIRC may —</w:t>
        </w:r>
      </w:ins>
    </w:p>
    <w:p>
      <w:pPr>
        <w:pStyle w:val="Indenta"/>
        <w:rPr>
          <w:ins w:id="575" w:author="svcMRProcess" w:date="2020-02-21T14:38:00Z"/>
        </w:rPr>
      </w:pPr>
      <w:ins w:id="576" w:author="svcMRProcess" w:date="2020-02-21T14:38:00Z">
        <w:r>
          <w:tab/>
          <w:t>(a)</w:t>
        </w:r>
        <w:r>
          <w:tab/>
          <w:t>order that the appellant’s removal is, and is to be taken to have always been, of no effect; or</w:t>
        </w:r>
      </w:ins>
    </w:p>
    <w:p>
      <w:pPr>
        <w:pStyle w:val="Indenta"/>
        <w:rPr>
          <w:ins w:id="577" w:author="svcMRProcess" w:date="2020-02-21T14:38:00Z"/>
        </w:rPr>
      </w:pPr>
      <w:ins w:id="578" w:author="svcMRProcess" w:date="2020-02-21T14:38:00Z">
        <w:r>
          <w:tab/>
          <w:t>(b)</w:t>
        </w:r>
        <w:r>
          <w:tab/>
          <w:t>if it is impracticable to make an order under paragraph (a), order the chief executive officer to pay the appellant an amount of compensation for loss or injury caused by the removal.</w:t>
        </w:r>
      </w:ins>
    </w:p>
    <w:p>
      <w:pPr>
        <w:pStyle w:val="Subsection"/>
        <w:rPr>
          <w:ins w:id="579" w:author="svcMRProcess" w:date="2020-02-21T14:38:00Z"/>
        </w:rPr>
      </w:pPr>
      <w:ins w:id="580" w:author="svcMRProcess" w:date="2020-02-21T14:38:00Z">
        <w:r>
          <w:tab/>
          <w:t>(3)</w:t>
        </w:r>
        <w:r>
          <w:tab/>
          <w:t>In considering whether or not it is impracticable to make an order under subsection (2)(a), it is relevant to consider —</w:t>
        </w:r>
      </w:ins>
    </w:p>
    <w:p>
      <w:pPr>
        <w:pStyle w:val="Indenta"/>
        <w:rPr>
          <w:ins w:id="581" w:author="svcMRProcess" w:date="2020-02-21T14:38:00Z"/>
        </w:rPr>
      </w:pPr>
      <w:ins w:id="582" w:author="svcMRProcess" w:date="2020-02-21T14:38:00Z">
        <w:r>
          <w:tab/>
          <w:t>(a)</w:t>
        </w:r>
        <w:r>
          <w:tab/>
          <w:t>whether, at the time of the appellant’s removal, the position occupied by the appellant is vacant; and</w:t>
        </w:r>
      </w:ins>
    </w:p>
    <w:p>
      <w:pPr>
        <w:pStyle w:val="Indenta"/>
        <w:rPr>
          <w:ins w:id="583" w:author="svcMRProcess" w:date="2020-02-21T14:38:00Z"/>
        </w:rPr>
      </w:pPr>
      <w:ins w:id="584" w:author="svcMRProcess" w:date="2020-02-21T14:38:00Z">
        <w:r>
          <w:tab/>
          <w:t>(b)</w:t>
        </w:r>
        <w:r>
          <w:tab/>
          <w:t>whether there is another suitable vacant position in the Department.</w:t>
        </w:r>
      </w:ins>
    </w:p>
    <w:p>
      <w:pPr>
        <w:pStyle w:val="Subsection"/>
        <w:rPr>
          <w:ins w:id="585" w:author="svcMRProcess" w:date="2020-02-21T14:38:00Z"/>
        </w:rPr>
      </w:pPr>
      <w:ins w:id="586" w:author="svcMRProcess" w:date="2020-02-21T14:38:00Z">
        <w:r>
          <w:tab/>
          <w:t>(4)</w:t>
        </w:r>
        <w:r>
          <w:tab/>
          <w:t>If the WAIRC makes an order under subsection (2)(a), the appellant is not entitled to be paid his or her remuneration as a custodial officer for any period the appellant received a maintenance payment.</w:t>
        </w:r>
      </w:ins>
    </w:p>
    <w:p>
      <w:pPr>
        <w:pStyle w:val="Subsection"/>
        <w:rPr>
          <w:ins w:id="587" w:author="svcMRProcess" w:date="2020-02-21T14:38:00Z"/>
        </w:rPr>
      </w:pPr>
      <w:ins w:id="588" w:author="svcMRProcess" w:date="2020-02-21T14:38:00Z">
        <w:r>
          <w:tab/>
          <w:t>(5)</w:t>
        </w:r>
        <w:r>
          <w:tab/>
          <w:t>An order under this section may require that it be complied with within a specified time.</w:t>
        </w:r>
      </w:ins>
    </w:p>
    <w:p>
      <w:pPr>
        <w:pStyle w:val="Footnotesection"/>
        <w:rPr>
          <w:ins w:id="589" w:author="svcMRProcess" w:date="2020-02-21T14:38:00Z"/>
        </w:rPr>
      </w:pPr>
      <w:ins w:id="590" w:author="svcMRProcess" w:date="2020-02-21T14:38:00Z">
        <w:r>
          <w:tab/>
          <w:t>[Section 11CP inserted by No. 29 of 2014 s. 16.]</w:t>
        </w:r>
      </w:ins>
    </w:p>
    <w:p>
      <w:pPr>
        <w:pStyle w:val="Heading5"/>
        <w:rPr>
          <w:ins w:id="591" w:author="svcMRProcess" w:date="2020-02-21T14:38:00Z"/>
        </w:rPr>
      </w:pPr>
      <w:bookmarkStart w:id="592" w:name="_Toc427933062"/>
      <w:ins w:id="593" w:author="svcMRProcess" w:date="2020-02-21T14:38:00Z">
        <w:r>
          <w:rPr>
            <w:rStyle w:val="CharSectno"/>
          </w:rPr>
          <w:t>11CQ</w:t>
        </w:r>
        <w:r>
          <w:t>.</w:t>
        </w:r>
        <w:r>
          <w:tab/>
          <w:t>Determining amount of compensation</w:t>
        </w:r>
        <w:bookmarkEnd w:id="592"/>
      </w:ins>
    </w:p>
    <w:p>
      <w:pPr>
        <w:pStyle w:val="Subsection"/>
        <w:rPr>
          <w:ins w:id="594" w:author="svcMRProcess" w:date="2020-02-21T14:38:00Z"/>
        </w:rPr>
      </w:pPr>
      <w:ins w:id="595" w:author="svcMRProcess" w:date="2020-02-21T14:38:00Z">
        <w:r>
          <w:tab/>
          <w:t>(1)</w:t>
        </w:r>
        <w:r>
          <w:tab/>
          <w:t>An amount of compensation ordered under section 11CP(2)(b) must be determined in accordance with this section.</w:t>
        </w:r>
      </w:ins>
    </w:p>
    <w:p>
      <w:pPr>
        <w:pStyle w:val="Subsection"/>
        <w:rPr>
          <w:ins w:id="596" w:author="svcMRProcess" w:date="2020-02-21T14:38:00Z"/>
        </w:rPr>
      </w:pPr>
      <w:ins w:id="597" w:author="svcMRProcess" w:date="2020-02-21T14:38:00Z">
        <w:r>
          <w:tab/>
          <w:t>(2)</w:t>
        </w:r>
        <w:r>
          <w:tab/>
          <w:t xml:space="preserve">In determining the amount, the WAIRC must have regard to all of the following — </w:t>
        </w:r>
      </w:ins>
    </w:p>
    <w:p>
      <w:pPr>
        <w:pStyle w:val="Indenta"/>
        <w:rPr>
          <w:ins w:id="598" w:author="svcMRProcess" w:date="2020-02-21T14:38:00Z"/>
        </w:rPr>
      </w:pPr>
      <w:ins w:id="599" w:author="svcMRProcess" w:date="2020-02-21T14:38:00Z">
        <w:r>
          <w:tab/>
          <w:t>(a)</w:t>
        </w:r>
        <w:r>
          <w:tab/>
          <w:t>the efforts, if any, of the chief executive officer and the appellant to mitigate the loss suffered by the appellant as a result of the removal;</w:t>
        </w:r>
      </w:ins>
    </w:p>
    <w:p>
      <w:pPr>
        <w:pStyle w:val="Indenta"/>
        <w:rPr>
          <w:ins w:id="600" w:author="svcMRProcess" w:date="2020-02-21T14:38:00Z"/>
        </w:rPr>
      </w:pPr>
      <w:ins w:id="601" w:author="svcMRProcess" w:date="2020-02-21T14:38:00Z">
        <w:r>
          <w:tab/>
          <w:t>(b)</w:t>
        </w:r>
        <w:r>
          <w:tab/>
          <w:t>any maintenance payment received by the appellant;</w:t>
        </w:r>
      </w:ins>
    </w:p>
    <w:p>
      <w:pPr>
        <w:pStyle w:val="Indenta"/>
        <w:rPr>
          <w:ins w:id="602" w:author="svcMRProcess" w:date="2020-02-21T14:38:00Z"/>
        </w:rPr>
      </w:pPr>
      <w:ins w:id="603" w:author="svcMRProcess" w:date="2020-02-21T14:38:00Z">
        <w:r>
          <w:tab/>
          <w:t>(c)</w:t>
        </w:r>
        <w:r>
          <w:tab/>
          <w:t>any redress the appellant has obtained under another enactment where the evidence necessary to establish that redress is also the evidence necessary to establish on the appeal that the removal was harsh, oppressive or unfair;</w:t>
        </w:r>
      </w:ins>
    </w:p>
    <w:p>
      <w:pPr>
        <w:pStyle w:val="Indenta"/>
        <w:rPr>
          <w:ins w:id="604" w:author="svcMRProcess" w:date="2020-02-21T14:38:00Z"/>
        </w:rPr>
      </w:pPr>
      <w:ins w:id="605" w:author="svcMRProcess" w:date="2020-02-21T14:38:00Z">
        <w:r>
          <w:tab/>
          <w:t>(d)</w:t>
        </w:r>
        <w:r>
          <w:tab/>
          <w:t>any other matter that the WAIRC considers relevant.</w:t>
        </w:r>
      </w:ins>
    </w:p>
    <w:p>
      <w:pPr>
        <w:pStyle w:val="Subsection"/>
        <w:rPr>
          <w:ins w:id="606" w:author="svcMRProcess" w:date="2020-02-21T14:38:00Z"/>
        </w:rPr>
      </w:pPr>
      <w:ins w:id="607" w:author="svcMRProcess" w:date="2020-02-21T14:38:00Z">
        <w:r>
          <w:tab/>
          <w:t>(3)</w:t>
        </w:r>
        <w:r>
          <w:tab/>
          <w:t>In determining the amount, the WAIRC may have regard to the average rate of remuneration as a custodial officer received by the appellant during any relevant period of service.</w:t>
        </w:r>
      </w:ins>
    </w:p>
    <w:p>
      <w:pPr>
        <w:pStyle w:val="Subsection"/>
        <w:rPr>
          <w:ins w:id="608" w:author="svcMRProcess" w:date="2020-02-21T14:38:00Z"/>
        </w:rPr>
      </w:pPr>
      <w:ins w:id="609" w:author="svcMRProcess" w:date="2020-02-21T14:38:00Z">
        <w:r>
          <w:tab/>
          <w:t>(4)</w:t>
        </w:r>
        <w:r>
          <w:tab/>
          <w:t>The amount must not exceed 12 months’ remuneration as a custodial officer.</w:t>
        </w:r>
      </w:ins>
    </w:p>
    <w:p>
      <w:pPr>
        <w:pStyle w:val="Footnotesection"/>
        <w:rPr>
          <w:ins w:id="610" w:author="svcMRProcess" w:date="2020-02-21T14:38:00Z"/>
        </w:rPr>
      </w:pPr>
      <w:ins w:id="611" w:author="svcMRProcess" w:date="2020-02-21T14:38:00Z">
        <w:r>
          <w:tab/>
          <w:t>[Section 11CQ inserted by No. 29 of 2014 s. 16.]</w:t>
        </w:r>
      </w:ins>
    </w:p>
    <w:p>
      <w:pPr>
        <w:pStyle w:val="Heading5"/>
        <w:rPr>
          <w:ins w:id="612" w:author="svcMRProcess" w:date="2020-02-21T14:38:00Z"/>
        </w:rPr>
      </w:pPr>
      <w:bookmarkStart w:id="613" w:name="_Toc427933063"/>
      <w:ins w:id="614" w:author="svcMRProcess" w:date="2020-02-21T14:38:00Z">
        <w:r>
          <w:rPr>
            <w:rStyle w:val="CharSectno"/>
          </w:rPr>
          <w:t>11CR</w:t>
        </w:r>
        <w:r>
          <w:t>.</w:t>
        </w:r>
        <w:r>
          <w:tab/>
          <w:t>Restriction on publication</w:t>
        </w:r>
        <w:bookmarkEnd w:id="613"/>
      </w:ins>
    </w:p>
    <w:p>
      <w:pPr>
        <w:pStyle w:val="Subsection"/>
        <w:rPr>
          <w:ins w:id="615" w:author="svcMRProcess" w:date="2020-02-21T14:38:00Z"/>
        </w:rPr>
      </w:pPr>
      <w:ins w:id="616" w:author="svcMRProcess" w:date="2020-02-21T14:38:00Z">
        <w:r>
          <w:tab/>
          <w:t>(1)</w:t>
        </w:r>
        <w:r>
          <w:tab/>
          <w:t>If the WAIRC is satisfied that it is in the public interest, it may direct that any evidence given before it, or the contents of any document produced to it, on an appeal —</w:t>
        </w:r>
      </w:ins>
    </w:p>
    <w:p>
      <w:pPr>
        <w:pStyle w:val="Indenta"/>
        <w:rPr>
          <w:ins w:id="617" w:author="svcMRProcess" w:date="2020-02-21T14:38:00Z"/>
        </w:rPr>
      </w:pPr>
      <w:ins w:id="618" w:author="svcMRProcess" w:date="2020-02-21T14:38:00Z">
        <w:r>
          <w:tab/>
          <w:t>(a)</w:t>
        </w:r>
        <w:r>
          <w:tab/>
          <w:t>must not be published; or</w:t>
        </w:r>
      </w:ins>
    </w:p>
    <w:p>
      <w:pPr>
        <w:pStyle w:val="Indenta"/>
        <w:rPr>
          <w:ins w:id="619" w:author="svcMRProcess" w:date="2020-02-21T14:38:00Z"/>
        </w:rPr>
      </w:pPr>
      <w:ins w:id="620" w:author="svcMRProcess" w:date="2020-02-21T14:38:00Z">
        <w:r>
          <w:tab/>
          <w:t>(b)</w:t>
        </w:r>
        <w:r>
          <w:tab/>
          <w:t>must not be published except in a manner, and to persons, specified by the WAIRC.</w:t>
        </w:r>
      </w:ins>
    </w:p>
    <w:p>
      <w:pPr>
        <w:pStyle w:val="Subsection"/>
        <w:rPr>
          <w:ins w:id="621" w:author="svcMRProcess" w:date="2020-02-21T14:38:00Z"/>
        </w:rPr>
      </w:pPr>
      <w:ins w:id="622" w:author="svcMRProcess" w:date="2020-02-21T14:38:00Z">
        <w:r>
          <w:tab/>
          <w:t>(2)</w:t>
        </w:r>
        <w:r>
          <w:tab/>
          <w:t>A person must not contravene a direction given under this section.</w:t>
        </w:r>
      </w:ins>
    </w:p>
    <w:p>
      <w:pPr>
        <w:pStyle w:val="Penstart"/>
        <w:rPr>
          <w:ins w:id="623" w:author="svcMRProcess" w:date="2020-02-21T14:38:00Z"/>
        </w:rPr>
      </w:pPr>
      <w:ins w:id="624" w:author="svcMRProcess" w:date="2020-02-21T14:38:00Z">
        <w:r>
          <w:tab/>
          <w:t>Penalty: a fine of $4 000 and imprisonment for 12 months.</w:t>
        </w:r>
      </w:ins>
    </w:p>
    <w:p>
      <w:pPr>
        <w:pStyle w:val="Footnotesection"/>
        <w:rPr>
          <w:ins w:id="625" w:author="svcMRProcess" w:date="2020-02-21T14:38:00Z"/>
        </w:rPr>
      </w:pPr>
      <w:ins w:id="626" w:author="svcMRProcess" w:date="2020-02-21T14:38:00Z">
        <w:r>
          <w:tab/>
          <w:t>[Section 11CR inserted by No. 29 of 2014 s. 16.]</w:t>
        </w:r>
      </w:ins>
    </w:p>
    <w:p>
      <w:pPr>
        <w:pStyle w:val="Heading4"/>
        <w:rPr>
          <w:ins w:id="627" w:author="svcMRProcess" w:date="2020-02-21T14:38:00Z"/>
        </w:rPr>
      </w:pPr>
      <w:bookmarkStart w:id="628" w:name="_Toc427932393"/>
      <w:bookmarkStart w:id="629" w:name="_Toc427933064"/>
      <w:ins w:id="630" w:author="svcMRProcess" w:date="2020-02-21T14:38:00Z">
        <w:r>
          <w:t>Subdivision 4 — General</w:t>
        </w:r>
        <w:bookmarkEnd w:id="628"/>
        <w:bookmarkEnd w:id="629"/>
      </w:ins>
    </w:p>
    <w:p>
      <w:pPr>
        <w:pStyle w:val="Footnoteheading"/>
        <w:rPr>
          <w:ins w:id="631" w:author="svcMRProcess" w:date="2020-02-21T14:38:00Z"/>
        </w:rPr>
      </w:pPr>
      <w:ins w:id="632" w:author="svcMRProcess" w:date="2020-02-21T14:38:00Z">
        <w:r>
          <w:tab/>
          <w:t>[Heading inserted by No. 29 of 2014 s. 16.]</w:t>
        </w:r>
      </w:ins>
    </w:p>
    <w:p>
      <w:pPr>
        <w:pStyle w:val="Heading5"/>
        <w:rPr>
          <w:ins w:id="633" w:author="svcMRProcess" w:date="2020-02-21T14:38:00Z"/>
        </w:rPr>
      </w:pPr>
      <w:bookmarkStart w:id="634" w:name="_Toc427933065"/>
      <w:ins w:id="635" w:author="svcMRProcess" w:date="2020-02-21T14:38:00Z">
        <w:r>
          <w:rPr>
            <w:rStyle w:val="CharSectno"/>
          </w:rPr>
          <w:t>11CS</w:t>
        </w:r>
        <w:r>
          <w:t>.</w:t>
        </w:r>
        <w:r>
          <w:tab/>
          <w:t>Effect of charge for, or conviction or acquittal of, offence</w:t>
        </w:r>
        <w:bookmarkEnd w:id="634"/>
      </w:ins>
    </w:p>
    <w:p>
      <w:pPr>
        <w:pStyle w:val="Subsection"/>
        <w:rPr>
          <w:ins w:id="636" w:author="svcMRProcess" w:date="2020-02-21T14:38:00Z"/>
        </w:rPr>
      </w:pPr>
      <w:ins w:id="637" w:author="svcMRProcess" w:date="2020-02-21T14:38:00Z">
        <w:r>
          <w:tab/>
        </w:r>
        <w:r>
          <w:tab/>
          <w:t>The chief executive officer can take removal action in relation to a custodial officer for a particular matter, act or omission even if the matter, act or omission is an element of an offence —</w:t>
        </w:r>
      </w:ins>
    </w:p>
    <w:p>
      <w:pPr>
        <w:pStyle w:val="Indenta"/>
        <w:rPr>
          <w:ins w:id="638" w:author="svcMRProcess" w:date="2020-02-21T14:38:00Z"/>
        </w:rPr>
      </w:pPr>
      <w:ins w:id="639" w:author="svcMRProcess" w:date="2020-02-21T14:38:00Z">
        <w:r>
          <w:tab/>
          <w:t>(a)</w:t>
        </w:r>
        <w:r>
          <w:tab/>
          <w:t>with which the custodial officer has been charged; or</w:t>
        </w:r>
      </w:ins>
    </w:p>
    <w:p>
      <w:pPr>
        <w:pStyle w:val="Indenta"/>
        <w:rPr>
          <w:ins w:id="640" w:author="svcMRProcess" w:date="2020-02-21T14:38:00Z"/>
        </w:rPr>
      </w:pPr>
      <w:ins w:id="641" w:author="svcMRProcess" w:date="2020-02-21T14:38:00Z">
        <w:r>
          <w:tab/>
          <w:t>(b)</w:t>
        </w:r>
        <w:r>
          <w:tab/>
          <w:t>of which the custodial officer has been convicted or acquitted.</w:t>
        </w:r>
      </w:ins>
    </w:p>
    <w:p>
      <w:pPr>
        <w:pStyle w:val="Footnotesection"/>
        <w:rPr>
          <w:ins w:id="642" w:author="svcMRProcess" w:date="2020-02-21T14:38:00Z"/>
        </w:rPr>
      </w:pPr>
      <w:ins w:id="643" w:author="svcMRProcess" w:date="2020-02-21T14:38:00Z">
        <w:r>
          <w:tab/>
          <w:t>[Section 11CS inserted by No. 29 of 2014 s. 16.]</w:t>
        </w:r>
      </w:ins>
    </w:p>
    <w:p>
      <w:pPr>
        <w:pStyle w:val="Heading5"/>
        <w:rPr>
          <w:ins w:id="644" w:author="svcMRProcess" w:date="2020-02-21T14:38:00Z"/>
        </w:rPr>
      </w:pPr>
      <w:bookmarkStart w:id="645" w:name="_Toc427933066"/>
      <w:ins w:id="646" w:author="svcMRProcess" w:date="2020-02-21T14:38:00Z">
        <w:r>
          <w:rPr>
            <w:rStyle w:val="CharSectno"/>
          </w:rPr>
          <w:t>11CT</w:t>
        </w:r>
        <w:r>
          <w:t>.</w:t>
        </w:r>
        <w:r>
          <w:tab/>
          <w:t>Failure to comply with procedure</w:t>
        </w:r>
        <w:bookmarkEnd w:id="645"/>
      </w:ins>
    </w:p>
    <w:p>
      <w:pPr>
        <w:pStyle w:val="Subsection"/>
        <w:rPr>
          <w:ins w:id="647" w:author="svcMRProcess" w:date="2020-02-21T14:38:00Z"/>
        </w:rPr>
      </w:pPr>
      <w:ins w:id="648" w:author="svcMRProcess" w:date="2020-02-21T14:38:00Z">
        <w:r>
          <w:tab/>
        </w:r>
        <w:r>
          <w:tab/>
          <w:t>An act or omission of the chief executive officer is not invalid, and cannot be called in question, if —</w:t>
        </w:r>
      </w:ins>
    </w:p>
    <w:p>
      <w:pPr>
        <w:pStyle w:val="Indenta"/>
        <w:rPr>
          <w:ins w:id="649" w:author="svcMRProcess" w:date="2020-02-21T14:38:00Z"/>
        </w:rPr>
      </w:pPr>
      <w:ins w:id="650" w:author="svcMRProcess" w:date="2020-02-21T14:38:00Z">
        <w:r>
          <w:tab/>
          <w:t>(a)</w:t>
        </w:r>
        <w:r>
          <w:tab/>
          <w:t>the act or omission comprises a failure to comply with procedure prescribed for the purposes of this Division; and</w:t>
        </w:r>
      </w:ins>
    </w:p>
    <w:p>
      <w:pPr>
        <w:pStyle w:val="Indenta"/>
        <w:rPr>
          <w:ins w:id="651" w:author="svcMRProcess" w:date="2020-02-21T14:38:00Z"/>
        </w:rPr>
      </w:pPr>
      <w:ins w:id="652" w:author="svcMRProcess" w:date="2020-02-21T14:38:00Z">
        <w:r>
          <w:tab/>
          <w:t>(b)</w:t>
        </w:r>
        <w:r>
          <w:tab/>
          <w:t>the failure is not substantive.</w:t>
        </w:r>
      </w:ins>
    </w:p>
    <w:p>
      <w:pPr>
        <w:pStyle w:val="Footnotesection"/>
        <w:rPr>
          <w:ins w:id="653" w:author="svcMRProcess" w:date="2020-02-21T14:38:00Z"/>
        </w:rPr>
      </w:pPr>
      <w:ins w:id="654" w:author="svcMRProcess" w:date="2020-02-21T14:38:00Z">
        <w:r>
          <w:tab/>
          <w:t>[Section 11CT inserted by No. 29 of 2014 s. 16.]</w:t>
        </w:r>
      </w:ins>
    </w:p>
    <w:p>
      <w:pPr>
        <w:pStyle w:val="Heading5"/>
        <w:rPr>
          <w:ins w:id="655" w:author="svcMRProcess" w:date="2020-02-21T14:38:00Z"/>
        </w:rPr>
      </w:pPr>
      <w:bookmarkStart w:id="656" w:name="_Toc427933067"/>
      <w:ins w:id="657" w:author="svcMRProcess" w:date="2020-02-21T14:38:00Z">
        <w:r>
          <w:rPr>
            <w:rStyle w:val="CharSectno"/>
          </w:rPr>
          <w:t>11CU</w:t>
        </w:r>
        <w:r>
          <w:t>.</w:t>
        </w:r>
        <w:r>
          <w:tab/>
          <w:t>Transfer, standing down and leave of custodial officer</w:t>
        </w:r>
        <w:bookmarkEnd w:id="656"/>
      </w:ins>
    </w:p>
    <w:p>
      <w:pPr>
        <w:pStyle w:val="Subsection"/>
        <w:rPr>
          <w:ins w:id="658" w:author="svcMRProcess" w:date="2020-02-21T14:38:00Z"/>
        </w:rPr>
      </w:pPr>
      <w:ins w:id="659" w:author="svcMRProcess" w:date="2020-02-21T14:38:00Z">
        <w:r>
          <w:tab/>
          <w:t>(1)</w:t>
        </w:r>
        <w:r>
          <w:tab/>
          <w:t xml:space="preserve">This Division does not derogate from the chief executive officer’s power to — </w:t>
        </w:r>
      </w:ins>
    </w:p>
    <w:p>
      <w:pPr>
        <w:pStyle w:val="Indenta"/>
        <w:rPr>
          <w:ins w:id="660" w:author="svcMRProcess" w:date="2020-02-21T14:38:00Z"/>
        </w:rPr>
      </w:pPr>
      <w:ins w:id="661" w:author="svcMRProcess" w:date="2020-02-21T14:38:00Z">
        <w:r>
          <w:tab/>
          <w:t>(a)</w:t>
        </w:r>
        <w:r>
          <w:tab/>
          <w:t>transfer a custodial officer; or</w:t>
        </w:r>
      </w:ins>
    </w:p>
    <w:p>
      <w:pPr>
        <w:pStyle w:val="Indenta"/>
        <w:rPr>
          <w:ins w:id="662" w:author="svcMRProcess" w:date="2020-02-21T14:38:00Z"/>
        </w:rPr>
      </w:pPr>
      <w:ins w:id="663" w:author="svcMRProcess" w:date="2020-02-21T14:38:00Z">
        <w:r>
          <w:tab/>
          <w:t>(b)</w:t>
        </w:r>
        <w:r>
          <w:tab/>
          <w:t>stand a custodial officer down from performing that custodial officer’s usual duties, with or without pay, until the custodial officer is directed by the chief executive officer to return to those duties; or</w:t>
        </w:r>
      </w:ins>
    </w:p>
    <w:p>
      <w:pPr>
        <w:pStyle w:val="Indenta"/>
        <w:rPr>
          <w:ins w:id="664" w:author="svcMRProcess" w:date="2020-02-21T14:38:00Z"/>
        </w:rPr>
      </w:pPr>
      <w:ins w:id="665" w:author="svcMRProcess" w:date="2020-02-21T14:38:00Z">
        <w:r>
          <w:tab/>
          <w:t>(c)</w:t>
        </w:r>
        <w:r>
          <w:tab/>
          <w:t>allocate duties to a custodial officer other than the custodial officer’s usual duties.</w:t>
        </w:r>
      </w:ins>
    </w:p>
    <w:p>
      <w:pPr>
        <w:pStyle w:val="Subsection"/>
        <w:rPr>
          <w:ins w:id="666" w:author="svcMRProcess" w:date="2020-02-21T14:38:00Z"/>
        </w:rPr>
      </w:pPr>
      <w:ins w:id="667" w:author="svcMRProcess" w:date="2020-02-21T14:38:00Z">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ins>
    </w:p>
    <w:p>
      <w:pPr>
        <w:pStyle w:val="Subsection"/>
        <w:rPr>
          <w:ins w:id="668" w:author="svcMRProcess" w:date="2020-02-21T14:38:00Z"/>
        </w:rPr>
      </w:pPr>
      <w:ins w:id="669" w:author="svcMRProcess" w:date="2020-02-21T14:38:00Z">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ins>
    </w:p>
    <w:p>
      <w:pPr>
        <w:pStyle w:val="Footnotesection"/>
        <w:rPr>
          <w:ins w:id="670" w:author="svcMRProcess" w:date="2020-02-21T14:38:00Z"/>
        </w:rPr>
      </w:pPr>
      <w:ins w:id="671" w:author="svcMRProcess" w:date="2020-02-21T14:38:00Z">
        <w:r>
          <w:tab/>
          <w:t>[Section 11CU inserted by No. 29 of 2014 s. 16.]</w:t>
        </w:r>
      </w:ins>
    </w:p>
    <w:p>
      <w:pPr>
        <w:pStyle w:val="Heading5"/>
        <w:rPr>
          <w:ins w:id="672" w:author="svcMRProcess" w:date="2020-02-21T14:38:00Z"/>
        </w:rPr>
      </w:pPr>
      <w:bookmarkStart w:id="673" w:name="_Toc427933068"/>
      <w:ins w:id="674" w:author="svcMRProcess" w:date="2020-02-21T14:38:00Z">
        <w:r>
          <w:rPr>
            <w:rStyle w:val="CharSectno"/>
          </w:rPr>
          <w:t>11CV</w:t>
        </w:r>
        <w:r>
          <w:t>.</w:t>
        </w:r>
        <w:r>
          <w:tab/>
          <w:t>Review of Division</w:t>
        </w:r>
        <w:bookmarkEnd w:id="673"/>
      </w:ins>
    </w:p>
    <w:p>
      <w:pPr>
        <w:pStyle w:val="Subsection"/>
        <w:rPr>
          <w:ins w:id="675" w:author="svcMRProcess" w:date="2020-02-21T14:38:00Z"/>
        </w:rPr>
      </w:pPr>
      <w:ins w:id="676" w:author="svcMRProcess" w:date="2020-02-21T14:38:00Z">
        <w:r>
          <w:tab/>
          <w:t>(1)</w:t>
        </w:r>
        <w:r>
          <w:tab/>
          <w:t xml:space="preserve">In this section — </w:t>
        </w:r>
      </w:ins>
    </w:p>
    <w:p>
      <w:pPr>
        <w:pStyle w:val="Defstart"/>
        <w:rPr>
          <w:ins w:id="677" w:author="svcMRProcess" w:date="2020-02-21T14:38:00Z"/>
        </w:rPr>
      </w:pPr>
      <w:ins w:id="678" w:author="svcMRProcess" w:date="2020-02-21T14:38:00Z">
        <w:r>
          <w:tab/>
        </w:r>
        <w:r>
          <w:rPr>
            <w:rStyle w:val="CharDefText"/>
          </w:rPr>
          <w:t>commencement day</w:t>
        </w:r>
        <w:r>
          <w:t xml:space="preserve"> means the day on which the </w:t>
        </w:r>
        <w:r>
          <w:rPr>
            <w:i/>
          </w:rPr>
          <w:t>Custodial Legislation (Officers Discipline) Amendment Act 2014</w:t>
        </w:r>
        <w:r>
          <w:t xml:space="preserve"> Part 3 comes into operation.</w:t>
        </w:r>
      </w:ins>
    </w:p>
    <w:p>
      <w:pPr>
        <w:pStyle w:val="Subsection"/>
        <w:rPr>
          <w:ins w:id="679" w:author="svcMRProcess" w:date="2020-02-21T14:38:00Z"/>
        </w:rPr>
      </w:pPr>
      <w:ins w:id="680" w:author="svcMRProcess" w:date="2020-02-21T14:38:00Z">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ins>
    </w:p>
    <w:p>
      <w:pPr>
        <w:pStyle w:val="Indenta"/>
        <w:rPr>
          <w:ins w:id="681" w:author="svcMRProcess" w:date="2020-02-21T14:38:00Z"/>
        </w:rPr>
      </w:pPr>
      <w:ins w:id="682" w:author="svcMRProcess" w:date="2020-02-21T14:38:00Z">
        <w:r>
          <w:tab/>
          <w:t>(a)</w:t>
        </w:r>
        <w:r>
          <w:tab/>
          <w:t>the effectiveness of this Division; and</w:t>
        </w:r>
      </w:ins>
    </w:p>
    <w:p>
      <w:pPr>
        <w:pStyle w:val="Indenta"/>
        <w:rPr>
          <w:ins w:id="683" w:author="svcMRProcess" w:date="2020-02-21T14:38:00Z"/>
        </w:rPr>
      </w:pPr>
      <w:ins w:id="684" w:author="svcMRProcess" w:date="2020-02-21T14:38:00Z">
        <w:r>
          <w:tab/>
          <w:t>(b)</w:t>
        </w:r>
        <w:r>
          <w:tab/>
          <w:t>the need for the retention of the Division; and</w:t>
        </w:r>
      </w:ins>
    </w:p>
    <w:p>
      <w:pPr>
        <w:pStyle w:val="Indenta"/>
        <w:rPr>
          <w:ins w:id="685" w:author="svcMRProcess" w:date="2020-02-21T14:38:00Z"/>
        </w:rPr>
      </w:pPr>
      <w:ins w:id="686" w:author="svcMRProcess" w:date="2020-02-21T14:38:00Z">
        <w:r>
          <w:tab/>
          <w:t>(c)</w:t>
        </w:r>
        <w:r>
          <w:tab/>
          <w:t>any other matters that appear to the Minister to be relevant to the operation and effectiveness of this Division.</w:t>
        </w:r>
      </w:ins>
    </w:p>
    <w:p>
      <w:pPr>
        <w:pStyle w:val="Subsection"/>
        <w:rPr>
          <w:ins w:id="687" w:author="svcMRProcess" w:date="2020-02-21T14:38:00Z"/>
        </w:rPr>
      </w:pPr>
      <w:ins w:id="688" w:author="svcMRProcess" w:date="2020-02-21T14:38:00Z">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ins>
    </w:p>
    <w:p>
      <w:pPr>
        <w:pStyle w:val="Subsection"/>
        <w:rPr>
          <w:ins w:id="689" w:author="svcMRProcess" w:date="2020-02-21T14:38:00Z"/>
        </w:rPr>
      </w:pPr>
      <w:ins w:id="690" w:author="svcMRProcess" w:date="2020-02-21T14:38:00Z">
        <w:r>
          <w:tab/>
          <w:t>(4)</w:t>
        </w:r>
        <w:r>
          <w:tab/>
          <w:t>The Minister must prepare a report based on the review and, as soon as is practicable after the report is prepared (and in any event not more than 30 months after the commencement day), cause a copy of it to be laid before each House of Parliament.</w:t>
        </w:r>
      </w:ins>
    </w:p>
    <w:p>
      <w:pPr>
        <w:pStyle w:val="Footnotesection"/>
        <w:rPr>
          <w:ins w:id="691" w:author="svcMRProcess" w:date="2020-02-21T14:38:00Z"/>
        </w:rPr>
      </w:pPr>
      <w:ins w:id="692" w:author="svcMRProcess" w:date="2020-02-21T14:38:00Z">
        <w:r>
          <w:tab/>
          <w:t>[Section 11CV inserted by No. 29 of 2014 s. 16.]</w:t>
        </w:r>
      </w:ins>
    </w:p>
    <w:p>
      <w:pPr>
        <w:pStyle w:val="Heading3"/>
        <w:rPr>
          <w:ins w:id="693" w:author="svcMRProcess" w:date="2020-02-21T14:38:00Z"/>
        </w:rPr>
      </w:pPr>
      <w:bookmarkStart w:id="694" w:name="_Toc427932398"/>
      <w:bookmarkStart w:id="695" w:name="_Toc427933069"/>
      <w:ins w:id="696" w:author="svcMRProcess" w:date="2020-02-21T14:38:00Z">
        <w:r>
          <w:rPr>
            <w:rStyle w:val="CharDivNo"/>
          </w:rPr>
          <w:t>Division 4</w:t>
        </w:r>
        <w:r>
          <w:t> — </w:t>
        </w:r>
        <w:r>
          <w:rPr>
            <w:rStyle w:val="CharDivText"/>
          </w:rPr>
          <w:t>Management, control, security and wellbeing of young offenders</w:t>
        </w:r>
        <w:bookmarkEnd w:id="694"/>
        <w:bookmarkEnd w:id="695"/>
      </w:ins>
    </w:p>
    <w:p>
      <w:pPr>
        <w:pStyle w:val="Footnoteheading"/>
        <w:rPr>
          <w:ins w:id="697" w:author="svcMRProcess" w:date="2020-02-21T14:38:00Z"/>
        </w:rPr>
      </w:pPr>
      <w:ins w:id="698" w:author="svcMRProcess" w:date="2020-02-21T14:38:00Z">
        <w:r>
          <w:tab/>
          <w:t>[Heading inserted by No. 29 of 2014 s. 17.]</w:t>
        </w:r>
      </w:ins>
    </w:p>
    <w:p>
      <w:pPr>
        <w:pStyle w:val="Heading5"/>
      </w:pPr>
      <w:bookmarkStart w:id="699" w:name="_Toc427933070"/>
      <w:bookmarkStart w:id="700" w:name="_Toc422303186"/>
      <w:r>
        <w:rPr>
          <w:rStyle w:val="CharSectno"/>
        </w:rPr>
        <w:t>11C</w:t>
      </w:r>
      <w:r>
        <w:t>.</w:t>
      </w:r>
      <w:r>
        <w:tab/>
        <w:t>Use of force</w:t>
      </w:r>
      <w:bookmarkEnd w:id="122"/>
      <w:bookmarkEnd w:id="699"/>
      <w:bookmarkEnd w:id="700"/>
    </w:p>
    <w:p>
      <w:pPr>
        <w:pStyle w:val="Subsection"/>
      </w:pPr>
      <w:del w:id="701" w:author="svcMRProcess" w:date="2020-02-21T14:38:00Z">
        <w:r>
          <w:tab/>
          <w:delText>(1)</w:delText>
        </w:r>
        <w:r>
          <w:tab/>
          <w:delText>A person who is appointed under section 11(1) or (1a) as a</w:delText>
        </w:r>
      </w:del>
      <w:ins w:id="702" w:author="svcMRProcess" w:date="2020-02-21T14:38:00Z">
        <w:r>
          <w:tab/>
          <w:t>(1)</w:t>
        </w:r>
        <w:r>
          <w:tab/>
          <w:t>A</w:t>
        </w:r>
      </w:ins>
      <w:r>
        <w:t xml:space="preserve"> custodial officer is authorised to use no more than prescribed force in the management, control and security of a facility or detention centre.</w:t>
      </w:r>
    </w:p>
    <w:p>
      <w:pPr>
        <w:pStyle w:val="Subsection"/>
      </w:pPr>
      <w:del w:id="703" w:author="svcMRProcess" w:date="2020-02-21T14:38:00Z">
        <w:r>
          <w:tab/>
          <w:delText>(2)</w:delText>
        </w:r>
        <w:r>
          <w:tab/>
          <w:delText>A person who is appointed under section 11(1) or (1a) as a</w:delText>
        </w:r>
      </w:del>
      <w:ins w:id="704" w:author="svcMRProcess" w:date="2020-02-21T14:38:00Z">
        <w:r>
          <w:tab/>
          <w:t>(2)</w:t>
        </w:r>
        <w:r>
          <w:tab/>
          <w:t>A</w:t>
        </w:r>
      </w:ins>
      <w:r>
        <w:t xml:space="preserve"> custodial officer must not use force on a young offender unless that force is used in the prescribed circumstances.</w:t>
      </w:r>
    </w:p>
    <w:p>
      <w:pPr>
        <w:pStyle w:val="Footnotesection"/>
      </w:pPr>
      <w:r>
        <w:tab/>
        <w:t>[Section 11C inserted by No. 58 of 2004 s. </w:t>
      </w:r>
      <w:del w:id="705" w:author="svcMRProcess" w:date="2020-02-21T14:38:00Z">
        <w:r>
          <w:delText>7</w:delText>
        </w:r>
      </w:del>
      <w:ins w:id="706" w:author="svcMRProcess" w:date="2020-02-21T14:38:00Z">
        <w:r>
          <w:t>7; amended by No. 29 of 2014 s. 18</w:t>
        </w:r>
      </w:ins>
      <w:r>
        <w:t>.]</w:t>
      </w:r>
    </w:p>
    <w:p>
      <w:pPr>
        <w:pStyle w:val="Heading5"/>
      </w:pPr>
      <w:bookmarkStart w:id="707" w:name="_Toc405453119"/>
      <w:bookmarkStart w:id="708" w:name="_Toc427933071"/>
      <w:bookmarkStart w:id="709" w:name="_Toc422303187"/>
      <w:r>
        <w:rPr>
          <w:rStyle w:val="CharSectno"/>
        </w:rPr>
        <w:t>11D</w:t>
      </w:r>
      <w:r>
        <w:t>.</w:t>
      </w:r>
      <w:r>
        <w:tab/>
        <w:t>Use of restraints</w:t>
      </w:r>
      <w:bookmarkEnd w:id="707"/>
      <w:bookmarkEnd w:id="708"/>
      <w:bookmarkEnd w:id="70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710" w:name="_Toc405453120"/>
      <w:bookmarkStart w:id="711" w:name="_Toc427933072"/>
      <w:bookmarkStart w:id="712" w:name="_Toc422303188"/>
      <w:r>
        <w:rPr>
          <w:rStyle w:val="CharSectno"/>
        </w:rPr>
        <w:t>11E</w:t>
      </w:r>
      <w:r>
        <w:t>.</w:t>
      </w:r>
      <w:r>
        <w:tab/>
        <w:t>Assistance by prison officers</w:t>
      </w:r>
      <w:bookmarkEnd w:id="710"/>
      <w:bookmarkEnd w:id="711"/>
      <w:bookmarkEnd w:id="71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w:t>
      </w:r>
      <w:del w:id="713" w:author="svcMRProcess" w:date="2020-02-21T14:38:00Z">
        <w:r>
          <w:delText xml:space="preserve"> appointed under section 11(1) or (1a),</w:delText>
        </w:r>
      </w:del>
      <w:ins w:id="714" w:author="svcMRProcess" w:date="2020-02-21T14:38:00Z">
        <w:r>
          <w:t>,</w:t>
        </w:r>
      </w:ins>
      <w:r>
        <w:t xml:space="preserve"> in addition to the powers and duties conferred and imposed on that prison officer by or under any other law.</w:t>
      </w:r>
    </w:p>
    <w:p>
      <w:pPr>
        <w:pStyle w:val="Subsection"/>
      </w:pPr>
      <w:r>
        <w:tab/>
        <w:t>(3)</w:t>
      </w:r>
      <w:r>
        <w:tab/>
        <w:t xml:space="preserve">A prison officer who is assisting may use such force as can be used by a custodial officer </w:t>
      </w:r>
      <w:del w:id="715" w:author="svcMRProcess" w:date="2020-02-21T14:38:00Z">
        <w:r>
          <w:delText xml:space="preserve">appointed under section 11(1) or (1a) </w:delText>
        </w:r>
      </w:del>
      <w:r>
        <w:t>and, with the approval of the chief executive officer, may use such control weapons as are necessary in the circumstances.</w:t>
      </w:r>
    </w:p>
    <w:p>
      <w:pPr>
        <w:pStyle w:val="Footnotesection"/>
      </w:pPr>
      <w:r>
        <w:tab/>
        <w:t>[Section 11E inserted by No. 58 of 2004 s. </w:t>
      </w:r>
      <w:del w:id="716" w:author="svcMRProcess" w:date="2020-02-21T14:38:00Z">
        <w:r>
          <w:delText>7</w:delText>
        </w:r>
      </w:del>
      <w:ins w:id="717" w:author="svcMRProcess" w:date="2020-02-21T14:38:00Z">
        <w:r>
          <w:t>7; amended by No. 29 of 2014 s. 19</w:t>
        </w:r>
      </w:ins>
      <w:r>
        <w:t>.]</w:t>
      </w:r>
    </w:p>
    <w:p>
      <w:pPr>
        <w:pStyle w:val="Heading5"/>
      </w:pPr>
      <w:bookmarkStart w:id="718" w:name="_Toc405453121"/>
      <w:bookmarkStart w:id="719" w:name="_Toc427933073"/>
      <w:bookmarkStart w:id="720" w:name="_Toc422303189"/>
      <w:r>
        <w:rPr>
          <w:rStyle w:val="CharSectno"/>
        </w:rPr>
        <w:t>11F</w:t>
      </w:r>
      <w:r>
        <w:t>.</w:t>
      </w:r>
      <w:r>
        <w:tab/>
        <w:t>Assistance by police officers</w:t>
      </w:r>
      <w:bookmarkEnd w:id="718"/>
      <w:bookmarkEnd w:id="719"/>
      <w:bookmarkEnd w:id="72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w:t>
      </w:r>
      <w:del w:id="721" w:author="svcMRProcess" w:date="2020-02-21T14:38:00Z">
        <w:r>
          <w:delText xml:space="preserve"> appointed under section 11(1) or (1a),</w:delText>
        </w:r>
      </w:del>
      <w:ins w:id="722" w:author="svcMRProcess" w:date="2020-02-21T14:38:00Z">
        <w:r>
          <w:t>,</w:t>
        </w:r>
      </w:ins>
      <w:r>
        <w:t xml:space="preserve"> in addition to the powers and duties conferred and imposed on that police officer by or under any other law.</w:t>
      </w:r>
    </w:p>
    <w:p>
      <w:pPr>
        <w:pStyle w:val="Footnotesection"/>
      </w:pPr>
      <w:r>
        <w:tab/>
        <w:t>[Section 11F inserted by No. 58 of 2004 s. </w:t>
      </w:r>
      <w:del w:id="723" w:author="svcMRProcess" w:date="2020-02-21T14:38:00Z">
        <w:r>
          <w:delText>7</w:delText>
        </w:r>
      </w:del>
      <w:ins w:id="724" w:author="svcMRProcess" w:date="2020-02-21T14:38:00Z">
        <w:r>
          <w:t>7; amended by No. 29 of 2014 s. 20</w:t>
        </w:r>
      </w:ins>
      <w:r>
        <w:t>.]</w:t>
      </w:r>
    </w:p>
    <w:p>
      <w:pPr>
        <w:pStyle w:val="Heading5"/>
        <w:rPr>
          <w:snapToGrid w:val="0"/>
        </w:rPr>
      </w:pPr>
      <w:bookmarkStart w:id="725" w:name="_Toc405453122"/>
      <w:bookmarkStart w:id="726" w:name="_Toc427933074"/>
      <w:bookmarkStart w:id="727" w:name="_Toc422303190"/>
      <w:r>
        <w:rPr>
          <w:rStyle w:val="CharSectno"/>
        </w:rPr>
        <w:t>12</w:t>
      </w:r>
      <w:r>
        <w:rPr>
          <w:snapToGrid w:val="0"/>
        </w:rPr>
        <w:t>.</w:t>
      </w:r>
      <w:r>
        <w:rPr>
          <w:snapToGrid w:val="0"/>
        </w:rPr>
        <w:tab/>
        <w:t>Departmental and subsidised facilities, establishment of</w:t>
      </w:r>
      <w:bookmarkEnd w:id="725"/>
      <w:bookmarkEnd w:id="726"/>
      <w:bookmarkEnd w:id="72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728" w:name="_Toc405453123"/>
      <w:bookmarkStart w:id="729" w:name="_Toc427933075"/>
      <w:bookmarkStart w:id="730" w:name="_Toc422303191"/>
      <w:r>
        <w:rPr>
          <w:rStyle w:val="CharSectno"/>
        </w:rPr>
        <w:t>13</w:t>
      </w:r>
      <w:r>
        <w:rPr>
          <w:snapToGrid w:val="0"/>
        </w:rPr>
        <w:t>.</w:t>
      </w:r>
      <w:r>
        <w:rPr>
          <w:snapToGrid w:val="0"/>
        </w:rPr>
        <w:tab/>
        <w:t>Detention centres, establishing</w:t>
      </w:r>
      <w:bookmarkEnd w:id="728"/>
      <w:bookmarkEnd w:id="729"/>
      <w:bookmarkEnd w:id="73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31" w:name="_Toc405453124"/>
      <w:bookmarkStart w:id="732" w:name="_Toc427933076"/>
      <w:bookmarkStart w:id="733" w:name="_Toc422303192"/>
      <w:r>
        <w:rPr>
          <w:rStyle w:val="CharSectno"/>
        </w:rPr>
        <w:t>14</w:t>
      </w:r>
      <w:r>
        <w:rPr>
          <w:snapToGrid w:val="0"/>
        </w:rPr>
        <w:t>.</w:t>
      </w:r>
      <w:r>
        <w:rPr>
          <w:snapToGrid w:val="0"/>
        </w:rPr>
        <w:tab/>
        <w:t>Records of young offenders, duty to keep</w:t>
      </w:r>
      <w:bookmarkEnd w:id="731"/>
      <w:bookmarkEnd w:id="732"/>
      <w:bookmarkEnd w:id="73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34" w:name="_Toc405453125"/>
      <w:bookmarkStart w:id="735" w:name="_Toc427933077"/>
      <w:bookmarkStart w:id="736" w:name="_Toc422303193"/>
      <w:r>
        <w:rPr>
          <w:rStyle w:val="CharSectno"/>
        </w:rPr>
        <w:t>15</w:t>
      </w:r>
      <w:r>
        <w:rPr>
          <w:snapToGrid w:val="0"/>
        </w:rPr>
        <w:t>.</w:t>
      </w:r>
      <w:r>
        <w:rPr>
          <w:snapToGrid w:val="0"/>
        </w:rPr>
        <w:tab/>
        <w:t>Records of young offenders, access to</w:t>
      </w:r>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737" w:name="_Toc405453126"/>
      <w:bookmarkStart w:id="738" w:name="_Toc427933078"/>
      <w:bookmarkStart w:id="739" w:name="_Toc422303194"/>
      <w:r>
        <w:rPr>
          <w:rStyle w:val="CharSectno"/>
        </w:rPr>
        <w:t>15A</w:t>
      </w:r>
      <w:r>
        <w:t>.</w:t>
      </w:r>
      <w:r>
        <w:tab/>
        <w:t>Disclosure of personal information relating to young offenders</w:t>
      </w:r>
      <w:bookmarkEnd w:id="737"/>
      <w:bookmarkEnd w:id="738"/>
      <w:bookmarkEnd w:id="739"/>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740" w:name="_Toc405453127"/>
      <w:bookmarkStart w:id="741" w:name="_Toc427933079"/>
      <w:bookmarkStart w:id="742" w:name="_Toc422303195"/>
      <w:r>
        <w:rPr>
          <w:rStyle w:val="CharSectno"/>
        </w:rPr>
        <w:t>16</w:t>
      </w:r>
      <w:r>
        <w:t>.</w:t>
      </w:r>
      <w:r>
        <w:tab/>
        <w:t>Exchange of information</w:t>
      </w:r>
      <w:bookmarkEnd w:id="740"/>
      <w:bookmarkEnd w:id="741"/>
      <w:bookmarkEnd w:id="74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743" w:name="_Toc405453128"/>
      <w:bookmarkStart w:id="744" w:name="_Toc427933080"/>
      <w:bookmarkStart w:id="745" w:name="_Toc422303196"/>
      <w:r>
        <w:rPr>
          <w:rStyle w:val="CharSectno"/>
        </w:rPr>
        <w:t>16A</w:t>
      </w:r>
      <w:r>
        <w:t>.</w:t>
      </w:r>
      <w:r>
        <w:tab/>
        <w:t>Disclosure authorised</w:t>
      </w:r>
      <w:bookmarkEnd w:id="743"/>
      <w:bookmarkEnd w:id="744"/>
      <w:bookmarkEnd w:id="745"/>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746" w:name="_Toc405453129"/>
      <w:bookmarkStart w:id="747" w:name="_Toc427933081"/>
      <w:bookmarkStart w:id="748" w:name="_Toc422303197"/>
      <w:r>
        <w:rPr>
          <w:rStyle w:val="CharSectno"/>
        </w:rPr>
        <w:t>17</w:t>
      </w:r>
      <w:r>
        <w:rPr>
          <w:snapToGrid w:val="0"/>
        </w:rPr>
        <w:t>.</w:t>
      </w:r>
      <w:r>
        <w:rPr>
          <w:snapToGrid w:val="0"/>
        </w:rPr>
        <w:tab/>
        <w:t>Confidentiality</w:t>
      </w:r>
      <w:bookmarkEnd w:id="746"/>
      <w:bookmarkEnd w:id="747"/>
      <w:bookmarkEnd w:id="74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pPr>
      <w:bookmarkStart w:id="749" w:name="_Toc427932411"/>
      <w:bookmarkStart w:id="750" w:name="_Toc427933082"/>
      <w:bookmarkStart w:id="751" w:name="_Toc405453130"/>
      <w:bookmarkStart w:id="752" w:name="_Toc413336855"/>
      <w:bookmarkStart w:id="753" w:name="_Toc413337131"/>
      <w:bookmarkStart w:id="754" w:name="_Toc413336950"/>
      <w:bookmarkStart w:id="755" w:name="_Toc422303198"/>
      <w:r>
        <w:rPr>
          <w:rStyle w:val="CharDivNo"/>
        </w:rPr>
        <w:t>Division </w:t>
      </w:r>
      <w:del w:id="756" w:author="svcMRProcess" w:date="2020-02-21T14:38:00Z">
        <w:r>
          <w:rPr>
            <w:rStyle w:val="CharDivNo"/>
          </w:rPr>
          <w:delText>2</w:delText>
        </w:r>
        <w:r>
          <w:delText xml:space="preserve"> — </w:delText>
        </w:r>
      </w:del>
      <w:ins w:id="757" w:author="svcMRProcess" w:date="2020-02-21T14:38:00Z">
        <w:r>
          <w:rPr>
            <w:rStyle w:val="CharDivNo"/>
          </w:rPr>
          <w:t>5</w:t>
        </w:r>
        <w:r>
          <w:t> — </w:t>
        </w:r>
      </w:ins>
      <w:r>
        <w:rPr>
          <w:rStyle w:val="CharDivText"/>
        </w:rPr>
        <w:t xml:space="preserve">Arrangements with </w:t>
      </w:r>
      <w:del w:id="758" w:author="svcMRProcess" w:date="2020-02-21T14:38:00Z">
        <w:r>
          <w:rPr>
            <w:rStyle w:val="CharDivText"/>
          </w:rPr>
          <w:delText>the council</w:delText>
        </w:r>
      </w:del>
      <w:ins w:id="759" w:author="svcMRProcess" w:date="2020-02-21T14:38:00Z">
        <w:r>
          <w:rPr>
            <w:rStyle w:val="CharDivText"/>
          </w:rPr>
          <w:t>councils</w:t>
        </w:r>
      </w:ins>
      <w:r>
        <w:rPr>
          <w:rStyle w:val="CharDivText"/>
        </w:rPr>
        <w:t xml:space="preserve"> of </w:t>
      </w:r>
      <w:del w:id="760" w:author="svcMRProcess" w:date="2020-02-21T14:38:00Z">
        <w:r>
          <w:rPr>
            <w:rStyle w:val="CharDivText"/>
          </w:rPr>
          <w:delText xml:space="preserve">an </w:delText>
        </w:r>
      </w:del>
      <w:r>
        <w:rPr>
          <w:rStyle w:val="CharDivText"/>
        </w:rPr>
        <w:t xml:space="preserve">Aboriginal </w:t>
      </w:r>
      <w:del w:id="761" w:author="svcMRProcess" w:date="2020-02-21T14:38:00Z">
        <w:r>
          <w:rPr>
            <w:rStyle w:val="CharDivText"/>
          </w:rPr>
          <w:delText>community</w:delText>
        </w:r>
      </w:del>
      <w:ins w:id="762" w:author="svcMRProcess" w:date="2020-02-21T14:38:00Z">
        <w:r>
          <w:rPr>
            <w:rStyle w:val="CharDivText"/>
          </w:rPr>
          <w:t>communities</w:t>
        </w:r>
      </w:ins>
      <w:bookmarkEnd w:id="749"/>
      <w:bookmarkEnd w:id="750"/>
    </w:p>
    <w:p>
      <w:pPr>
        <w:pStyle w:val="Footnotesection"/>
      </w:pPr>
      <w:del w:id="763" w:author="svcMRProcess" w:date="2020-02-21T14:38:00Z">
        <w:r>
          <w:tab/>
          <w:delText>[Heading</w:delText>
        </w:r>
      </w:del>
      <w:ins w:id="764" w:author="svcMRProcess" w:date="2020-02-21T14:38:00Z">
        <w:r>
          <w:tab/>
          <w:t>[Division 5 heading, formerly Division 2 heading</w:t>
        </w:r>
      </w:ins>
      <w:r>
        <w:t xml:space="preserve"> inserted by No. </w:t>
      </w:r>
      <w:del w:id="765" w:author="svcMRProcess" w:date="2020-02-21T14:38:00Z">
        <w:r>
          <w:delText>58</w:delText>
        </w:r>
      </w:del>
      <w:ins w:id="766" w:author="svcMRProcess" w:date="2020-02-21T14:38:00Z">
        <w:r>
          <w:t>29</w:t>
        </w:r>
      </w:ins>
      <w:r>
        <w:t xml:space="preserve"> of </w:t>
      </w:r>
      <w:del w:id="767" w:author="svcMRProcess" w:date="2020-02-21T14:38:00Z">
        <w:r>
          <w:delText>2004</w:delText>
        </w:r>
      </w:del>
      <w:ins w:id="768" w:author="svcMRProcess" w:date="2020-02-21T14:38:00Z">
        <w:r>
          <w:t>2014</w:t>
        </w:r>
      </w:ins>
      <w:r>
        <w:t xml:space="preserve"> s. </w:t>
      </w:r>
      <w:del w:id="769" w:author="svcMRProcess" w:date="2020-02-21T14:38:00Z">
        <w:r>
          <w:delText>11</w:delText>
        </w:r>
      </w:del>
      <w:ins w:id="770" w:author="svcMRProcess" w:date="2020-02-21T14:38:00Z">
        <w:r>
          <w:t>21</w:t>
        </w:r>
      </w:ins>
      <w:r>
        <w:t>.]</w:t>
      </w:r>
    </w:p>
    <w:p>
      <w:pPr>
        <w:pStyle w:val="Heading5"/>
        <w:spacing w:before="180"/>
      </w:pPr>
      <w:bookmarkStart w:id="771" w:name="_Toc405453131"/>
      <w:bookmarkStart w:id="772" w:name="_Toc427933083"/>
      <w:bookmarkStart w:id="773" w:name="_Toc422303199"/>
      <w:bookmarkEnd w:id="751"/>
      <w:bookmarkEnd w:id="752"/>
      <w:bookmarkEnd w:id="753"/>
      <w:bookmarkEnd w:id="754"/>
      <w:bookmarkEnd w:id="755"/>
      <w:r>
        <w:rPr>
          <w:rStyle w:val="CharSectno"/>
        </w:rPr>
        <w:t>17A</w:t>
      </w:r>
      <w:r>
        <w:t>.</w:t>
      </w:r>
      <w:r>
        <w:tab/>
        <w:t>Terms used</w:t>
      </w:r>
      <w:bookmarkEnd w:id="771"/>
      <w:bookmarkEnd w:id="772"/>
      <w:bookmarkEnd w:id="773"/>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774" w:name="_Toc405453132"/>
      <w:bookmarkStart w:id="775" w:name="_Toc427933084"/>
      <w:bookmarkStart w:id="776" w:name="_Toc422303200"/>
      <w:r>
        <w:rPr>
          <w:rStyle w:val="CharSectno"/>
        </w:rPr>
        <w:t>17B</w:t>
      </w:r>
      <w:r>
        <w:t>.</w:t>
      </w:r>
      <w:r>
        <w:tab/>
        <w:t>Community supervision agreement</w:t>
      </w:r>
      <w:bookmarkEnd w:id="774"/>
      <w:bookmarkEnd w:id="775"/>
      <w:bookmarkEnd w:id="77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777" w:name="_Toc405453133"/>
      <w:bookmarkStart w:id="778" w:name="_Toc427933085"/>
      <w:bookmarkStart w:id="779" w:name="_Toc422303201"/>
      <w:r>
        <w:rPr>
          <w:rStyle w:val="CharSectno"/>
        </w:rPr>
        <w:t>17C</w:t>
      </w:r>
      <w:r>
        <w:t>.</w:t>
      </w:r>
      <w:r>
        <w:tab/>
        <w:t>Appointment of monitor</w:t>
      </w:r>
      <w:bookmarkEnd w:id="777"/>
      <w:bookmarkEnd w:id="778"/>
      <w:bookmarkEnd w:id="779"/>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780" w:name="_Toc405453134"/>
      <w:bookmarkStart w:id="781" w:name="_Toc427933086"/>
      <w:bookmarkStart w:id="782" w:name="_Toc422303202"/>
      <w:r>
        <w:rPr>
          <w:rStyle w:val="CharSectno"/>
        </w:rPr>
        <w:t>17D</w:t>
      </w:r>
      <w:r>
        <w:t>.</w:t>
      </w:r>
      <w:r>
        <w:tab/>
        <w:t>Compensation for injury</w:t>
      </w:r>
      <w:bookmarkEnd w:id="780"/>
      <w:bookmarkEnd w:id="781"/>
      <w:bookmarkEnd w:id="782"/>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783" w:name="_Toc405453135"/>
      <w:bookmarkStart w:id="784" w:name="_Toc413336860"/>
      <w:bookmarkStart w:id="785" w:name="_Toc413337136"/>
      <w:bookmarkStart w:id="786" w:name="_Toc413336957"/>
      <w:bookmarkStart w:id="787" w:name="_Toc422303203"/>
      <w:bookmarkStart w:id="788" w:name="_Toc427932416"/>
      <w:bookmarkStart w:id="789" w:name="_Toc427933087"/>
      <w:r>
        <w:rPr>
          <w:rStyle w:val="CharPartNo"/>
        </w:rPr>
        <w:t>Part 4</w:t>
      </w:r>
      <w:r>
        <w:rPr>
          <w:rStyle w:val="CharDivNo"/>
        </w:rPr>
        <w:t> </w:t>
      </w:r>
      <w:r>
        <w:t>—</w:t>
      </w:r>
      <w:r>
        <w:rPr>
          <w:rStyle w:val="CharDivText"/>
        </w:rPr>
        <w:t> </w:t>
      </w:r>
      <w:r>
        <w:rPr>
          <w:rStyle w:val="CharPartText"/>
        </w:rPr>
        <w:t>Young persons in custody before being dealt with for an offence</w:t>
      </w:r>
      <w:bookmarkEnd w:id="783"/>
      <w:bookmarkEnd w:id="784"/>
      <w:bookmarkEnd w:id="785"/>
      <w:bookmarkEnd w:id="786"/>
      <w:bookmarkEnd w:id="787"/>
      <w:bookmarkEnd w:id="788"/>
      <w:bookmarkEnd w:id="789"/>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790" w:name="_Toc405453136"/>
      <w:bookmarkStart w:id="791" w:name="_Toc427933088"/>
      <w:bookmarkStart w:id="792" w:name="_Toc422303204"/>
      <w:r>
        <w:rPr>
          <w:rStyle w:val="CharSectno"/>
        </w:rPr>
        <w:t>19</w:t>
      </w:r>
      <w:r>
        <w:rPr>
          <w:snapToGrid w:val="0"/>
        </w:rPr>
        <w:t>.</w:t>
      </w:r>
      <w:r>
        <w:rPr>
          <w:snapToGrid w:val="0"/>
        </w:rPr>
        <w:tab/>
        <w:t>Detention of young offenders apprehended by police</w:t>
      </w:r>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793" w:name="_Toc405453137"/>
      <w:bookmarkStart w:id="794" w:name="_Toc427933089"/>
      <w:bookmarkStart w:id="795" w:name="_Toc422303205"/>
      <w:r>
        <w:rPr>
          <w:rStyle w:val="CharSectno"/>
        </w:rPr>
        <w:t>20</w:t>
      </w:r>
      <w:r>
        <w:rPr>
          <w:snapToGrid w:val="0"/>
        </w:rPr>
        <w:t>.</w:t>
      </w:r>
      <w:r>
        <w:rPr>
          <w:snapToGrid w:val="0"/>
        </w:rPr>
        <w:tab/>
        <w:t>Responsible adult to be notified</w:t>
      </w:r>
      <w:bookmarkEnd w:id="793"/>
      <w:bookmarkEnd w:id="794"/>
      <w:bookmarkEnd w:id="79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796" w:name="_Toc405453138"/>
      <w:bookmarkStart w:id="797" w:name="_Toc427933090"/>
      <w:bookmarkStart w:id="798" w:name="_Toc422303206"/>
      <w:r>
        <w:rPr>
          <w:rStyle w:val="CharSectno"/>
        </w:rPr>
        <w:t>21</w:t>
      </w:r>
      <w:r>
        <w:rPr>
          <w:snapToGrid w:val="0"/>
        </w:rPr>
        <w:t>.</w:t>
      </w:r>
      <w:r>
        <w:rPr>
          <w:snapToGrid w:val="0"/>
        </w:rPr>
        <w:tab/>
        <w:t>Young person in custody awaiting trial</w:t>
      </w:r>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799" w:name="_Toc405453139"/>
      <w:bookmarkStart w:id="800" w:name="_Toc413336864"/>
      <w:bookmarkStart w:id="801" w:name="_Toc413337140"/>
      <w:bookmarkStart w:id="802" w:name="_Toc413336962"/>
      <w:bookmarkStart w:id="803" w:name="_Toc422303207"/>
      <w:bookmarkStart w:id="804" w:name="_Toc427932420"/>
      <w:bookmarkStart w:id="805" w:name="_Toc427933091"/>
      <w:r>
        <w:rPr>
          <w:rStyle w:val="CharPartNo"/>
        </w:rPr>
        <w:t>Part 5</w:t>
      </w:r>
      <w:r>
        <w:t> — </w:t>
      </w:r>
      <w:r>
        <w:rPr>
          <w:rStyle w:val="CharPartText"/>
        </w:rPr>
        <w:t>Dealing with young offenders without taking court proceedings</w:t>
      </w:r>
      <w:bookmarkEnd w:id="799"/>
      <w:bookmarkEnd w:id="800"/>
      <w:bookmarkEnd w:id="801"/>
      <w:bookmarkEnd w:id="802"/>
      <w:bookmarkEnd w:id="803"/>
      <w:bookmarkEnd w:id="804"/>
      <w:bookmarkEnd w:id="805"/>
      <w:r>
        <w:rPr>
          <w:rStyle w:val="CharPartText"/>
        </w:rPr>
        <w:t xml:space="preserve"> </w:t>
      </w:r>
    </w:p>
    <w:p>
      <w:pPr>
        <w:pStyle w:val="Heading3"/>
        <w:rPr>
          <w:snapToGrid w:val="0"/>
        </w:rPr>
      </w:pPr>
      <w:bookmarkStart w:id="806" w:name="_Toc405453140"/>
      <w:bookmarkStart w:id="807" w:name="_Toc413336865"/>
      <w:bookmarkStart w:id="808" w:name="_Toc413337141"/>
      <w:bookmarkStart w:id="809" w:name="_Toc413336963"/>
      <w:bookmarkStart w:id="810" w:name="_Toc422303208"/>
      <w:bookmarkStart w:id="811" w:name="_Toc427932421"/>
      <w:bookmarkStart w:id="812" w:name="_Toc427933092"/>
      <w:r>
        <w:rPr>
          <w:rStyle w:val="CharDivNo"/>
        </w:rPr>
        <w:t>Division 1</w:t>
      </w:r>
      <w:r>
        <w:rPr>
          <w:snapToGrid w:val="0"/>
        </w:rPr>
        <w:t> — </w:t>
      </w:r>
      <w:r>
        <w:rPr>
          <w:rStyle w:val="CharDivText"/>
        </w:rPr>
        <w:t>Cautioning</w:t>
      </w:r>
      <w:bookmarkEnd w:id="806"/>
      <w:bookmarkEnd w:id="807"/>
      <w:bookmarkEnd w:id="808"/>
      <w:bookmarkEnd w:id="809"/>
      <w:bookmarkEnd w:id="810"/>
      <w:bookmarkEnd w:id="811"/>
      <w:bookmarkEnd w:id="812"/>
      <w:r>
        <w:rPr>
          <w:rStyle w:val="CharDivText"/>
        </w:rPr>
        <w:t xml:space="preserve"> </w:t>
      </w:r>
    </w:p>
    <w:p>
      <w:pPr>
        <w:pStyle w:val="Heading5"/>
        <w:rPr>
          <w:snapToGrid w:val="0"/>
        </w:rPr>
      </w:pPr>
      <w:bookmarkStart w:id="813" w:name="_Toc405453141"/>
      <w:bookmarkStart w:id="814" w:name="_Toc427933093"/>
      <w:bookmarkStart w:id="815" w:name="_Toc422303209"/>
      <w:r>
        <w:rPr>
          <w:rStyle w:val="CharSectno"/>
        </w:rPr>
        <w:t>22A</w:t>
      </w:r>
      <w:r>
        <w:rPr>
          <w:snapToGrid w:val="0"/>
        </w:rPr>
        <w:t>.</w:t>
      </w:r>
      <w:r>
        <w:rPr>
          <w:snapToGrid w:val="0"/>
        </w:rPr>
        <w:tab/>
        <w:t>Purpose of this Division</w:t>
      </w:r>
      <w:bookmarkEnd w:id="813"/>
      <w:bookmarkEnd w:id="814"/>
      <w:bookmarkEnd w:id="81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816" w:name="_Toc405453142"/>
      <w:bookmarkStart w:id="817" w:name="_Toc427933094"/>
      <w:bookmarkStart w:id="818" w:name="_Toc422303210"/>
      <w:r>
        <w:rPr>
          <w:rStyle w:val="CharSectno"/>
        </w:rPr>
        <w:t>22B</w:t>
      </w:r>
      <w:r>
        <w:rPr>
          <w:snapToGrid w:val="0"/>
        </w:rPr>
        <w:t>.</w:t>
      </w:r>
      <w:r>
        <w:rPr>
          <w:snapToGrid w:val="0"/>
        </w:rPr>
        <w:tab/>
        <w:t>Police officer to consider alternatives to court proceedings</w:t>
      </w:r>
      <w:bookmarkEnd w:id="816"/>
      <w:bookmarkEnd w:id="817"/>
      <w:bookmarkEnd w:id="81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819" w:name="_Toc405453143"/>
      <w:bookmarkStart w:id="820" w:name="_Toc427933095"/>
      <w:bookmarkStart w:id="821" w:name="_Toc422303211"/>
      <w:r>
        <w:rPr>
          <w:rStyle w:val="CharSectno"/>
        </w:rPr>
        <w:t>22</w:t>
      </w:r>
      <w:r>
        <w:rPr>
          <w:snapToGrid w:val="0"/>
        </w:rPr>
        <w:t>.</w:t>
      </w:r>
      <w:r>
        <w:rPr>
          <w:snapToGrid w:val="0"/>
        </w:rPr>
        <w:tab/>
        <w:t>Cautions may be given except for Sch. 1 or 2 offences</w:t>
      </w:r>
      <w:bookmarkEnd w:id="819"/>
      <w:bookmarkEnd w:id="820"/>
      <w:bookmarkEnd w:id="82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822" w:name="_Toc405453144"/>
      <w:bookmarkStart w:id="823" w:name="_Toc427933096"/>
      <w:bookmarkStart w:id="824" w:name="_Toc422303212"/>
      <w:r>
        <w:rPr>
          <w:rStyle w:val="CharSectno"/>
        </w:rPr>
        <w:t>23</w:t>
      </w:r>
      <w:r>
        <w:rPr>
          <w:snapToGrid w:val="0"/>
        </w:rPr>
        <w:t>.</w:t>
      </w:r>
      <w:r>
        <w:rPr>
          <w:snapToGrid w:val="0"/>
        </w:rPr>
        <w:tab/>
        <w:t>Cautioning to be preferred in certain cases</w:t>
      </w:r>
      <w:bookmarkEnd w:id="822"/>
      <w:bookmarkEnd w:id="823"/>
      <w:bookmarkEnd w:id="82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825" w:name="_Toc405453145"/>
      <w:bookmarkStart w:id="826" w:name="_Toc427933097"/>
      <w:bookmarkStart w:id="827" w:name="_Toc422303213"/>
      <w:r>
        <w:rPr>
          <w:rStyle w:val="CharSectno"/>
        </w:rPr>
        <w:t>23A</w:t>
      </w:r>
      <w:r>
        <w:rPr>
          <w:snapToGrid w:val="0"/>
        </w:rPr>
        <w:t>.</w:t>
      </w:r>
      <w:r>
        <w:rPr>
          <w:snapToGrid w:val="0"/>
        </w:rPr>
        <w:tab/>
        <w:t>Caution certificate to be given</w:t>
      </w:r>
      <w:bookmarkEnd w:id="825"/>
      <w:bookmarkEnd w:id="826"/>
      <w:bookmarkEnd w:id="82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828" w:name="_Toc405453146"/>
      <w:bookmarkStart w:id="829" w:name="_Toc427933098"/>
      <w:bookmarkStart w:id="830" w:name="_Toc422303214"/>
      <w:r>
        <w:rPr>
          <w:rStyle w:val="CharSectno"/>
        </w:rPr>
        <w:t>23B</w:t>
      </w:r>
      <w:r>
        <w:rPr>
          <w:snapToGrid w:val="0"/>
        </w:rPr>
        <w:t>.</w:t>
      </w:r>
      <w:r>
        <w:rPr>
          <w:snapToGrid w:val="0"/>
        </w:rPr>
        <w:tab/>
        <w:t>Police officer may retain a thing relating to an offence</w:t>
      </w:r>
      <w:bookmarkEnd w:id="828"/>
      <w:bookmarkEnd w:id="829"/>
      <w:bookmarkEnd w:id="83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831" w:name="_Toc405453147"/>
      <w:bookmarkStart w:id="832" w:name="_Toc413336872"/>
      <w:bookmarkStart w:id="833" w:name="_Toc413337148"/>
      <w:bookmarkStart w:id="834" w:name="_Toc413336971"/>
      <w:bookmarkStart w:id="835" w:name="_Toc422303215"/>
      <w:bookmarkStart w:id="836" w:name="_Toc427932428"/>
      <w:bookmarkStart w:id="837" w:name="_Toc427933099"/>
      <w:r>
        <w:rPr>
          <w:rStyle w:val="CharDivNo"/>
        </w:rPr>
        <w:t>Division 2</w:t>
      </w:r>
      <w:r>
        <w:rPr>
          <w:snapToGrid w:val="0"/>
        </w:rPr>
        <w:t> — </w:t>
      </w:r>
      <w:r>
        <w:rPr>
          <w:rStyle w:val="CharDivText"/>
        </w:rPr>
        <w:t>Referral to juvenile justice team</w:t>
      </w:r>
      <w:bookmarkEnd w:id="831"/>
      <w:bookmarkEnd w:id="832"/>
      <w:bookmarkEnd w:id="833"/>
      <w:bookmarkEnd w:id="834"/>
      <w:bookmarkEnd w:id="835"/>
      <w:bookmarkEnd w:id="836"/>
      <w:bookmarkEnd w:id="837"/>
      <w:r>
        <w:rPr>
          <w:rStyle w:val="CharDivText"/>
        </w:rPr>
        <w:t xml:space="preserve"> </w:t>
      </w:r>
    </w:p>
    <w:p>
      <w:pPr>
        <w:pStyle w:val="Heading5"/>
        <w:rPr>
          <w:snapToGrid w:val="0"/>
        </w:rPr>
      </w:pPr>
      <w:bookmarkStart w:id="838" w:name="_Toc405453148"/>
      <w:bookmarkStart w:id="839" w:name="_Toc427933100"/>
      <w:bookmarkStart w:id="840" w:name="_Toc422303216"/>
      <w:r>
        <w:rPr>
          <w:rStyle w:val="CharSectno"/>
        </w:rPr>
        <w:t>24</w:t>
      </w:r>
      <w:r>
        <w:rPr>
          <w:snapToGrid w:val="0"/>
        </w:rPr>
        <w:t>.</w:t>
      </w:r>
      <w:r>
        <w:rPr>
          <w:snapToGrid w:val="0"/>
        </w:rPr>
        <w:tab/>
        <w:t>Principles</w:t>
      </w:r>
      <w:bookmarkEnd w:id="838"/>
      <w:bookmarkEnd w:id="839"/>
      <w:bookmarkEnd w:id="84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841" w:name="_Toc405453149"/>
      <w:bookmarkStart w:id="842" w:name="_Toc427933101"/>
      <w:bookmarkStart w:id="843" w:name="_Toc422303217"/>
      <w:r>
        <w:rPr>
          <w:rStyle w:val="CharSectno"/>
        </w:rPr>
        <w:t>25</w:t>
      </w:r>
      <w:r>
        <w:rPr>
          <w:snapToGrid w:val="0"/>
        </w:rPr>
        <w:t>.</w:t>
      </w:r>
      <w:r>
        <w:rPr>
          <w:snapToGrid w:val="0"/>
        </w:rPr>
        <w:tab/>
        <w:t>Only certain matters may be referred to teams</w:t>
      </w:r>
      <w:bookmarkEnd w:id="841"/>
      <w:bookmarkEnd w:id="842"/>
      <w:bookmarkEnd w:id="84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44" w:name="_Toc405453150"/>
      <w:bookmarkStart w:id="845" w:name="_Toc427933102"/>
      <w:bookmarkStart w:id="846" w:name="_Toc422303218"/>
      <w:r>
        <w:rPr>
          <w:rStyle w:val="CharSectno"/>
        </w:rPr>
        <w:t>26</w:t>
      </w:r>
      <w:r>
        <w:rPr>
          <w:snapToGrid w:val="0"/>
        </w:rPr>
        <w:t>.</w:t>
      </w:r>
      <w:r>
        <w:rPr>
          <w:snapToGrid w:val="0"/>
        </w:rPr>
        <w:tab/>
        <w:t>Release of young person under arrest</w:t>
      </w:r>
      <w:bookmarkEnd w:id="844"/>
      <w:bookmarkEnd w:id="845"/>
      <w:bookmarkEnd w:id="84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47" w:name="_Toc405453151"/>
      <w:bookmarkStart w:id="848" w:name="_Toc427933103"/>
      <w:bookmarkStart w:id="849" w:name="_Toc422303219"/>
      <w:r>
        <w:rPr>
          <w:rStyle w:val="CharSectno"/>
        </w:rPr>
        <w:t>27</w:t>
      </w:r>
      <w:r>
        <w:rPr>
          <w:snapToGrid w:val="0"/>
        </w:rPr>
        <w:t>.</w:t>
      </w:r>
      <w:r>
        <w:rPr>
          <w:snapToGrid w:val="0"/>
        </w:rPr>
        <w:tab/>
        <w:t>Referral to team by prosecutor</w:t>
      </w:r>
      <w:bookmarkEnd w:id="847"/>
      <w:bookmarkEnd w:id="848"/>
      <w:bookmarkEnd w:id="84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50" w:name="_Toc405453152"/>
      <w:bookmarkStart w:id="851" w:name="_Toc427933104"/>
      <w:bookmarkStart w:id="852" w:name="_Toc422303220"/>
      <w:r>
        <w:rPr>
          <w:rStyle w:val="CharSectno"/>
        </w:rPr>
        <w:t>28</w:t>
      </w:r>
      <w:r>
        <w:t>.</w:t>
      </w:r>
      <w:r>
        <w:tab/>
      </w:r>
      <w:r>
        <w:rPr>
          <w:snapToGrid w:val="0"/>
        </w:rPr>
        <w:t>Referral to team by court</w:t>
      </w:r>
      <w:bookmarkEnd w:id="850"/>
      <w:bookmarkEnd w:id="851"/>
      <w:bookmarkEnd w:id="85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53" w:name="_Toc405453153"/>
      <w:bookmarkStart w:id="854" w:name="_Toc427933105"/>
      <w:bookmarkStart w:id="855" w:name="_Toc422303221"/>
      <w:r>
        <w:rPr>
          <w:rStyle w:val="CharSectno"/>
        </w:rPr>
        <w:t>29</w:t>
      </w:r>
      <w:r>
        <w:rPr>
          <w:snapToGrid w:val="0"/>
        </w:rPr>
        <w:t>.</w:t>
      </w:r>
      <w:r>
        <w:rPr>
          <w:snapToGrid w:val="0"/>
        </w:rPr>
        <w:tab/>
        <w:t>First offenders usually should be referred to team</w:t>
      </w:r>
      <w:bookmarkEnd w:id="853"/>
      <w:bookmarkEnd w:id="854"/>
      <w:bookmarkEnd w:id="85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56" w:name="_Toc405453154"/>
      <w:bookmarkStart w:id="857" w:name="_Toc427933106"/>
      <w:bookmarkStart w:id="858" w:name="_Toc422303222"/>
      <w:r>
        <w:rPr>
          <w:rStyle w:val="CharSectno"/>
        </w:rPr>
        <w:t>30</w:t>
      </w:r>
      <w:r>
        <w:rPr>
          <w:snapToGrid w:val="0"/>
        </w:rPr>
        <w:t>.</w:t>
      </w:r>
      <w:r>
        <w:rPr>
          <w:snapToGrid w:val="0"/>
        </w:rPr>
        <w:tab/>
        <w:t>Role of responsible adult</w:t>
      </w:r>
      <w:bookmarkEnd w:id="856"/>
      <w:bookmarkEnd w:id="857"/>
      <w:bookmarkEnd w:id="85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59" w:name="_Toc405453155"/>
      <w:bookmarkStart w:id="860" w:name="_Toc427933107"/>
      <w:bookmarkStart w:id="861" w:name="_Toc422303223"/>
      <w:r>
        <w:rPr>
          <w:rStyle w:val="CharSectno"/>
        </w:rPr>
        <w:t>31</w:t>
      </w:r>
      <w:r>
        <w:rPr>
          <w:snapToGrid w:val="0"/>
        </w:rPr>
        <w:t>.</w:t>
      </w:r>
      <w:r>
        <w:rPr>
          <w:snapToGrid w:val="0"/>
        </w:rPr>
        <w:tab/>
        <w:t>Role of victim</w:t>
      </w:r>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62" w:name="_Toc405453156"/>
      <w:bookmarkStart w:id="863" w:name="_Toc427933108"/>
      <w:bookmarkStart w:id="864" w:name="_Toc422303224"/>
      <w:r>
        <w:rPr>
          <w:rStyle w:val="CharSectno"/>
        </w:rPr>
        <w:t>32</w:t>
      </w:r>
      <w:r>
        <w:rPr>
          <w:snapToGrid w:val="0"/>
        </w:rPr>
        <w:t>.</w:t>
      </w:r>
      <w:r>
        <w:rPr>
          <w:snapToGrid w:val="0"/>
        </w:rPr>
        <w:tab/>
        <w:t>Powers of juvenile justice team</w:t>
      </w:r>
      <w:bookmarkEnd w:id="862"/>
      <w:bookmarkEnd w:id="863"/>
      <w:bookmarkEnd w:id="86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65" w:name="_Toc405453157"/>
      <w:bookmarkStart w:id="866" w:name="_Toc427933109"/>
      <w:bookmarkStart w:id="867" w:name="_Toc422303225"/>
      <w:r>
        <w:rPr>
          <w:rStyle w:val="CharSectno"/>
        </w:rPr>
        <w:t>33</w:t>
      </w:r>
      <w:r>
        <w:rPr>
          <w:snapToGrid w:val="0"/>
        </w:rPr>
        <w:t>.</w:t>
      </w:r>
      <w:r>
        <w:rPr>
          <w:snapToGrid w:val="0"/>
        </w:rPr>
        <w:tab/>
        <w:t>Effect on liability to be dealt with by court</w:t>
      </w:r>
      <w:bookmarkEnd w:id="865"/>
      <w:bookmarkEnd w:id="866"/>
      <w:bookmarkEnd w:id="867"/>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68" w:name="_Toc405453158"/>
      <w:bookmarkStart w:id="869" w:name="_Toc427933110"/>
      <w:bookmarkStart w:id="870" w:name="_Toc422303226"/>
      <w:r>
        <w:rPr>
          <w:rStyle w:val="CharSectno"/>
        </w:rPr>
        <w:t>34</w:t>
      </w:r>
      <w:r>
        <w:rPr>
          <w:snapToGrid w:val="0"/>
        </w:rPr>
        <w:t>.</w:t>
      </w:r>
      <w:r>
        <w:rPr>
          <w:snapToGrid w:val="0"/>
        </w:rPr>
        <w:tab/>
        <w:t>Civil liability not affected</w:t>
      </w:r>
      <w:bookmarkEnd w:id="868"/>
      <w:bookmarkEnd w:id="869"/>
      <w:bookmarkEnd w:id="87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71" w:name="_Toc405453159"/>
      <w:bookmarkStart w:id="872" w:name="_Toc413336884"/>
      <w:bookmarkStart w:id="873" w:name="_Toc413337160"/>
      <w:bookmarkStart w:id="874" w:name="_Toc413336983"/>
      <w:bookmarkStart w:id="875" w:name="_Toc422303227"/>
      <w:bookmarkStart w:id="876" w:name="_Toc427932440"/>
      <w:bookmarkStart w:id="877" w:name="_Toc427933111"/>
      <w:r>
        <w:rPr>
          <w:rStyle w:val="CharDivNo"/>
        </w:rPr>
        <w:t>Division 3</w:t>
      </w:r>
      <w:r>
        <w:rPr>
          <w:snapToGrid w:val="0"/>
        </w:rPr>
        <w:t> — </w:t>
      </w:r>
      <w:r>
        <w:rPr>
          <w:rStyle w:val="CharDivText"/>
        </w:rPr>
        <w:t>Juvenile justice teams</w:t>
      </w:r>
      <w:bookmarkEnd w:id="871"/>
      <w:bookmarkEnd w:id="872"/>
      <w:bookmarkEnd w:id="873"/>
      <w:bookmarkEnd w:id="874"/>
      <w:bookmarkEnd w:id="875"/>
      <w:bookmarkEnd w:id="876"/>
      <w:bookmarkEnd w:id="877"/>
      <w:r>
        <w:rPr>
          <w:rStyle w:val="CharDivText"/>
        </w:rPr>
        <w:t xml:space="preserve"> </w:t>
      </w:r>
    </w:p>
    <w:p>
      <w:pPr>
        <w:pStyle w:val="Heading5"/>
        <w:spacing w:before="180"/>
        <w:rPr>
          <w:snapToGrid w:val="0"/>
        </w:rPr>
      </w:pPr>
      <w:bookmarkStart w:id="878" w:name="_Toc405453160"/>
      <w:bookmarkStart w:id="879" w:name="_Toc427933112"/>
      <w:bookmarkStart w:id="880" w:name="_Toc422303228"/>
      <w:r>
        <w:rPr>
          <w:rStyle w:val="CharSectno"/>
        </w:rPr>
        <w:t>35</w:t>
      </w:r>
      <w:r>
        <w:rPr>
          <w:snapToGrid w:val="0"/>
        </w:rPr>
        <w:t>.</w:t>
      </w:r>
      <w:r>
        <w:rPr>
          <w:snapToGrid w:val="0"/>
        </w:rPr>
        <w:tab/>
        <w:t>Terms used</w:t>
      </w:r>
      <w:bookmarkEnd w:id="878"/>
      <w:bookmarkEnd w:id="879"/>
      <w:bookmarkEnd w:id="880"/>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881" w:name="_Toc405453161"/>
      <w:bookmarkStart w:id="882" w:name="_Toc427933113"/>
      <w:bookmarkStart w:id="883" w:name="_Toc422303229"/>
      <w:r>
        <w:rPr>
          <w:rStyle w:val="CharSectno"/>
        </w:rPr>
        <w:t>36</w:t>
      </w:r>
      <w:r>
        <w:rPr>
          <w:snapToGrid w:val="0"/>
        </w:rPr>
        <w:t>.</w:t>
      </w:r>
      <w:r>
        <w:rPr>
          <w:snapToGrid w:val="0"/>
        </w:rPr>
        <w:tab/>
        <w:t>Juvenile Justice Team Coordinator, appointment of</w:t>
      </w:r>
      <w:bookmarkEnd w:id="881"/>
      <w:bookmarkEnd w:id="882"/>
      <w:bookmarkEnd w:id="883"/>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884" w:name="_Toc405453162"/>
      <w:bookmarkStart w:id="885" w:name="_Toc427933114"/>
      <w:bookmarkStart w:id="886" w:name="_Toc422303230"/>
      <w:r>
        <w:rPr>
          <w:rStyle w:val="CharSectno"/>
        </w:rPr>
        <w:t>37</w:t>
      </w:r>
      <w:r>
        <w:rPr>
          <w:snapToGrid w:val="0"/>
        </w:rPr>
        <w:t>.</w:t>
      </w:r>
      <w:r>
        <w:rPr>
          <w:snapToGrid w:val="0"/>
        </w:rPr>
        <w:tab/>
        <w:t>Establishing juvenile justice teams</w:t>
      </w:r>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887" w:name="_Toc405453163"/>
      <w:bookmarkStart w:id="888" w:name="_Toc427933115"/>
      <w:bookmarkStart w:id="889" w:name="_Toc422303231"/>
      <w:r>
        <w:rPr>
          <w:rStyle w:val="CharSectno"/>
        </w:rPr>
        <w:t>37A</w:t>
      </w:r>
      <w:r>
        <w:t>.</w:t>
      </w:r>
      <w:r>
        <w:tab/>
        <w:t>No representation by legal practitioner or agent</w:t>
      </w:r>
      <w:bookmarkEnd w:id="887"/>
      <w:bookmarkEnd w:id="888"/>
      <w:bookmarkEnd w:id="889"/>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890" w:name="_Toc405453164"/>
      <w:bookmarkStart w:id="891" w:name="_Toc427933116"/>
      <w:bookmarkStart w:id="892" w:name="_Toc422303232"/>
      <w:r>
        <w:rPr>
          <w:rStyle w:val="CharSectno"/>
        </w:rPr>
        <w:t>38</w:t>
      </w:r>
      <w:r>
        <w:rPr>
          <w:snapToGrid w:val="0"/>
        </w:rPr>
        <w:t>.</w:t>
      </w:r>
      <w:r>
        <w:rPr>
          <w:snapToGrid w:val="0"/>
        </w:rPr>
        <w:tab/>
        <w:t>Decisions to be unanimous</w:t>
      </w:r>
      <w:bookmarkEnd w:id="890"/>
      <w:bookmarkEnd w:id="891"/>
      <w:bookmarkEnd w:id="892"/>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893" w:name="_Toc405453165"/>
      <w:bookmarkStart w:id="894" w:name="_Toc427933117"/>
      <w:bookmarkStart w:id="895" w:name="_Toc422303233"/>
      <w:r>
        <w:rPr>
          <w:rStyle w:val="CharSectno"/>
        </w:rPr>
        <w:t>39</w:t>
      </w:r>
      <w:r>
        <w:rPr>
          <w:snapToGrid w:val="0"/>
        </w:rPr>
        <w:t>.</w:t>
      </w:r>
      <w:r>
        <w:rPr>
          <w:snapToGrid w:val="0"/>
        </w:rPr>
        <w:tab/>
        <w:t>Records to be kept</w:t>
      </w:r>
      <w:bookmarkEnd w:id="893"/>
      <w:bookmarkEnd w:id="894"/>
      <w:bookmarkEnd w:id="895"/>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896" w:name="_Toc405453166"/>
      <w:bookmarkStart w:id="897" w:name="_Toc427933118"/>
      <w:bookmarkStart w:id="898" w:name="_Toc422303234"/>
      <w:r>
        <w:rPr>
          <w:rStyle w:val="CharSectno"/>
        </w:rPr>
        <w:t>40</w:t>
      </w:r>
      <w:r>
        <w:rPr>
          <w:snapToGrid w:val="0"/>
        </w:rPr>
        <w:t>.</w:t>
      </w:r>
      <w:r>
        <w:rPr>
          <w:snapToGrid w:val="0"/>
        </w:rPr>
        <w:tab/>
        <w:t>No report of proceedings to be published</w:t>
      </w:r>
      <w:bookmarkEnd w:id="896"/>
      <w:bookmarkEnd w:id="897"/>
      <w:bookmarkEnd w:id="89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99" w:name="_Toc405453167"/>
      <w:bookmarkStart w:id="900" w:name="_Toc413336892"/>
      <w:bookmarkStart w:id="901" w:name="_Toc413337168"/>
      <w:bookmarkStart w:id="902" w:name="_Toc413336992"/>
      <w:bookmarkStart w:id="903" w:name="_Toc422303235"/>
      <w:bookmarkStart w:id="904" w:name="_Toc427932448"/>
      <w:bookmarkStart w:id="905" w:name="_Toc427933119"/>
      <w:r>
        <w:rPr>
          <w:rStyle w:val="CharPartNo"/>
        </w:rPr>
        <w:t>Part 6</w:t>
      </w:r>
      <w:r>
        <w:rPr>
          <w:rStyle w:val="CharDivNo"/>
        </w:rPr>
        <w:t> </w:t>
      </w:r>
      <w:r>
        <w:t>—</w:t>
      </w:r>
      <w:r>
        <w:rPr>
          <w:rStyle w:val="CharDivText"/>
        </w:rPr>
        <w:t> </w:t>
      </w:r>
      <w:r>
        <w:rPr>
          <w:rStyle w:val="CharPartText"/>
        </w:rPr>
        <w:t>Court proceedings</w:t>
      </w:r>
      <w:bookmarkEnd w:id="899"/>
      <w:bookmarkEnd w:id="900"/>
      <w:bookmarkEnd w:id="901"/>
      <w:bookmarkEnd w:id="902"/>
      <w:bookmarkEnd w:id="903"/>
      <w:bookmarkEnd w:id="904"/>
      <w:bookmarkEnd w:id="905"/>
      <w:r>
        <w:rPr>
          <w:rStyle w:val="CharPartText"/>
        </w:rPr>
        <w:t xml:space="preserve"> </w:t>
      </w:r>
    </w:p>
    <w:p>
      <w:pPr>
        <w:pStyle w:val="Heading5"/>
        <w:rPr>
          <w:snapToGrid w:val="0"/>
        </w:rPr>
      </w:pPr>
      <w:bookmarkStart w:id="906" w:name="_Toc405453168"/>
      <w:bookmarkStart w:id="907" w:name="_Toc427933120"/>
      <w:bookmarkStart w:id="908" w:name="_Toc422303236"/>
      <w:r>
        <w:rPr>
          <w:rStyle w:val="CharSectno"/>
        </w:rPr>
        <w:t>41</w:t>
      </w:r>
      <w:r>
        <w:rPr>
          <w:snapToGrid w:val="0"/>
        </w:rPr>
        <w:t>.</w:t>
      </w:r>
      <w:r>
        <w:rPr>
          <w:snapToGrid w:val="0"/>
        </w:rPr>
        <w:tab/>
        <w:t>Preliminary considerations for police before prosecuting</w:t>
      </w:r>
      <w:bookmarkEnd w:id="906"/>
      <w:bookmarkEnd w:id="907"/>
      <w:bookmarkEnd w:id="90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09" w:name="_Toc405453169"/>
      <w:bookmarkStart w:id="910" w:name="_Toc427933121"/>
      <w:bookmarkStart w:id="911" w:name="_Toc422303237"/>
      <w:r>
        <w:rPr>
          <w:rStyle w:val="CharSectno"/>
        </w:rPr>
        <w:t>42</w:t>
      </w:r>
      <w:r>
        <w:rPr>
          <w:snapToGrid w:val="0"/>
        </w:rPr>
        <w:t>.</w:t>
      </w:r>
      <w:r>
        <w:rPr>
          <w:snapToGrid w:val="0"/>
        </w:rPr>
        <w:tab/>
        <w:t>Notice to attend court usually preferable to summons</w:t>
      </w:r>
      <w:bookmarkEnd w:id="909"/>
      <w:bookmarkEnd w:id="910"/>
      <w:bookmarkEnd w:id="91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12" w:name="_Toc405453170"/>
      <w:bookmarkStart w:id="913" w:name="_Toc427933122"/>
      <w:bookmarkStart w:id="914" w:name="_Toc422303238"/>
      <w:r>
        <w:rPr>
          <w:rStyle w:val="CharSectno"/>
        </w:rPr>
        <w:t>43</w:t>
      </w:r>
      <w:r>
        <w:rPr>
          <w:snapToGrid w:val="0"/>
        </w:rPr>
        <w:t>.</w:t>
      </w:r>
      <w:r>
        <w:rPr>
          <w:snapToGrid w:val="0"/>
        </w:rPr>
        <w:tab/>
        <w:t>Notices to attend court, general provisions about</w:t>
      </w:r>
      <w:bookmarkEnd w:id="912"/>
      <w:bookmarkEnd w:id="913"/>
      <w:bookmarkEnd w:id="91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15" w:name="_Toc405453171"/>
      <w:bookmarkStart w:id="916" w:name="_Toc427933123"/>
      <w:bookmarkStart w:id="917" w:name="_Toc422303239"/>
      <w:r>
        <w:rPr>
          <w:rStyle w:val="CharSectno"/>
        </w:rPr>
        <w:t>44</w:t>
      </w:r>
      <w:r>
        <w:rPr>
          <w:snapToGrid w:val="0"/>
        </w:rPr>
        <w:t>.</w:t>
      </w:r>
      <w:r>
        <w:rPr>
          <w:snapToGrid w:val="0"/>
        </w:rPr>
        <w:tab/>
        <w:t>Proceedings to be explained to young persons</w:t>
      </w:r>
      <w:bookmarkEnd w:id="915"/>
      <w:bookmarkEnd w:id="916"/>
      <w:bookmarkEnd w:id="91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918" w:name="_Toc405453172"/>
      <w:bookmarkStart w:id="919" w:name="_Toc427933124"/>
      <w:bookmarkStart w:id="920" w:name="_Toc422303240"/>
      <w:r>
        <w:rPr>
          <w:rStyle w:val="CharSectno"/>
        </w:rPr>
        <w:t>45</w:t>
      </w:r>
      <w:r>
        <w:rPr>
          <w:snapToGrid w:val="0"/>
        </w:rPr>
        <w:t>.</w:t>
      </w:r>
      <w:r>
        <w:rPr>
          <w:snapToGrid w:val="0"/>
        </w:rPr>
        <w:tab/>
        <w:t>Responsible adult may be required to attend court</w:t>
      </w:r>
      <w:bookmarkEnd w:id="918"/>
      <w:bookmarkEnd w:id="919"/>
      <w:bookmarkEnd w:id="92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921" w:name="_Toc405453173"/>
      <w:bookmarkStart w:id="922" w:name="_Toc413336898"/>
      <w:bookmarkStart w:id="923" w:name="_Toc413337174"/>
      <w:bookmarkStart w:id="924" w:name="_Toc413336999"/>
      <w:bookmarkStart w:id="925" w:name="_Toc422303241"/>
      <w:bookmarkStart w:id="926" w:name="_Toc427932454"/>
      <w:bookmarkStart w:id="927" w:name="_Toc427933125"/>
      <w:r>
        <w:rPr>
          <w:rStyle w:val="CharPartNo"/>
        </w:rPr>
        <w:t>Part 7</w:t>
      </w:r>
      <w:r>
        <w:t> — </w:t>
      </w:r>
      <w:r>
        <w:rPr>
          <w:rStyle w:val="CharPartText"/>
        </w:rPr>
        <w:t>Sentencing and related matters</w:t>
      </w:r>
      <w:bookmarkEnd w:id="921"/>
      <w:bookmarkEnd w:id="922"/>
      <w:bookmarkEnd w:id="923"/>
      <w:bookmarkEnd w:id="924"/>
      <w:bookmarkEnd w:id="925"/>
      <w:bookmarkEnd w:id="926"/>
      <w:bookmarkEnd w:id="927"/>
      <w:r>
        <w:rPr>
          <w:rStyle w:val="CharPartText"/>
        </w:rPr>
        <w:t xml:space="preserve"> </w:t>
      </w:r>
    </w:p>
    <w:p>
      <w:pPr>
        <w:pStyle w:val="Heading3"/>
        <w:rPr>
          <w:snapToGrid w:val="0"/>
        </w:rPr>
      </w:pPr>
      <w:bookmarkStart w:id="928" w:name="_Toc405453174"/>
      <w:bookmarkStart w:id="929" w:name="_Toc413336899"/>
      <w:bookmarkStart w:id="930" w:name="_Toc413337175"/>
      <w:bookmarkStart w:id="931" w:name="_Toc413337000"/>
      <w:bookmarkStart w:id="932" w:name="_Toc422303242"/>
      <w:bookmarkStart w:id="933" w:name="_Toc427932455"/>
      <w:bookmarkStart w:id="934" w:name="_Toc427933126"/>
      <w:r>
        <w:rPr>
          <w:rStyle w:val="CharDivNo"/>
        </w:rPr>
        <w:t>Division 1</w:t>
      </w:r>
      <w:r>
        <w:rPr>
          <w:snapToGrid w:val="0"/>
        </w:rPr>
        <w:t> — </w:t>
      </w:r>
      <w:r>
        <w:rPr>
          <w:rStyle w:val="CharDivText"/>
        </w:rPr>
        <w:t>General</w:t>
      </w:r>
      <w:bookmarkEnd w:id="928"/>
      <w:bookmarkEnd w:id="929"/>
      <w:bookmarkEnd w:id="930"/>
      <w:bookmarkEnd w:id="931"/>
      <w:bookmarkEnd w:id="932"/>
      <w:bookmarkEnd w:id="933"/>
      <w:bookmarkEnd w:id="934"/>
      <w:r>
        <w:rPr>
          <w:rStyle w:val="CharDivText"/>
        </w:rPr>
        <w:t xml:space="preserve"> </w:t>
      </w:r>
    </w:p>
    <w:p>
      <w:pPr>
        <w:pStyle w:val="Heading5"/>
        <w:spacing w:before="120"/>
        <w:rPr>
          <w:snapToGrid w:val="0"/>
        </w:rPr>
      </w:pPr>
      <w:bookmarkStart w:id="935" w:name="_Toc405453175"/>
      <w:bookmarkStart w:id="936" w:name="_Toc427933127"/>
      <w:bookmarkStart w:id="937" w:name="_Toc422303243"/>
      <w:r>
        <w:rPr>
          <w:rStyle w:val="CharSectno"/>
        </w:rPr>
        <w:t>46</w:t>
      </w:r>
      <w:r>
        <w:rPr>
          <w:snapToGrid w:val="0"/>
        </w:rPr>
        <w:t>.</w:t>
      </w:r>
      <w:r>
        <w:rPr>
          <w:snapToGrid w:val="0"/>
        </w:rPr>
        <w:tab/>
        <w:t>Principles and considerations to be applied to young offenders</w:t>
      </w:r>
      <w:bookmarkEnd w:id="935"/>
      <w:bookmarkEnd w:id="936"/>
      <w:bookmarkEnd w:id="93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938" w:name="_Toc405453176"/>
      <w:bookmarkStart w:id="939" w:name="_Toc427933128"/>
      <w:bookmarkStart w:id="940" w:name="_Toc422303244"/>
      <w:r>
        <w:rPr>
          <w:rStyle w:val="CharSectno"/>
        </w:rPr>
        <w:t>46A</w:t>
      </w:r>
      <w:r>
        <w:rPr>
          <w:snapToGrid w:val="0"/>
        </w:rPr>
        <w:t>.</w:t>
      </w:r>
      <w:r>
        <w:rPr>
          <w:snapToGrid w:val="0"/>
        </w:rPr>
        <w:tab/>
        <w:t xml:space="preserve">Application of </w:t>
      </w:r>
      <w:r>
        <w:rPr>
          <w:i/>
          <w:snapToGrid w:val="0"/>
        </w:rPr>
        <w:t>Sentencing Act 1995</w:t>
      </w:r>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41" w:name="_Toc405453177"/>
      <w:bookmarkStart w:id="942" w:name="_Toc427933129"/>
      <w:bookmarkStart w:id="943" w:name="_Toc422303245"/>
      <w:r>
        <w:rPr>
          <w:rStyle w:val="CharSectno"/>
        </w:rPr>
        <w:t>47</w:t>
      </w:r>
      <w:r>
        <w:rPr>
          <w:snapToGrid w:val="0"/>
        </w:rPr>
        <w:t>.</w:t>
      </w:r>
      <w:r>
        <w:rPr>
          <w:snapToGrid w:val="0"/>
        </w:rPr>
        <w:tab/>
        <w:t>Court may request information</w:t>
      </w:r>
      <w:bookmarkEnd w:id="941"/>
      <w:bookmarkEnd w:id="942"/>
      <w:bookmarkEnd w:id="94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944" w:name="_Toc405453178"/>
      <w:bookmarkStart w:id="945" w:name="_Toc427933130"/>
      <w:bookmarkStart w:id="946" w:name="_Toc422303246"/>
      <w:r>
        <w:rPr>
          <w:rStyle w:val="CharSectno"/>
        </w:rPr>
        <w:t>48</w:t>
      </w:r>
      <w:r>
        <w:rPr>
          <w:snapToGrid w:val="0"/>
        </w:rPr>
        <w:t>.</w:t>
      </w:r>
      <w:r>
        <w:rPr>
          <w:snapToGrid w:val="0"/>
        </w:rPr>
        <w:tab/>
        <w:t>Certain reports required</w:t>
      </w:r>
      <w:bookmarkEnd w:id="944"/>
      <w:bookmarkEnd w:id="945"/>
      <w:bookmarkEnd w:id="946"/>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947" w:name="_Toc405453179"/>
      <w:bookmarkStart w:id="948" w:name="_Toc427933131"/>
      <w:bookmarkStart w:id="949" w:name="_Toc422303247"/>
      <w:r>
        <w:rPr>
          <w:rStyle w:val="CharSectno"/>
        </w:rPr>
        <w:t>49</w:t>
      </w:r>
      <w:r>
        <w:rPr>
          <w:snapToGrid w:val="0"/>
        </w:rPr>
        <w:t>.</w:t>
      </w:r>
      <w:r>
        <w:rPr>
          <w:snapToGrid w:val="0"/>
        </w:rPr>
        <w:tab/>
        <w:t>Remand for observation</w:t>
      </w:r>
      <w:bookmarkEnd w:id="947"/>
      <w:bookmarkEnd w:id="948"/>
      <w:bookmarkEnd w:id="949"/>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950" w:name="_Toc405453180"/>
      <w:bookmarkStart w:id="951" w:name="_Toc427933132"/>
      <w:bookmarkStart w:id="952" w:name="_Toc422303248"/>
      <w:r>
        <w:rPr>
          <w:rStyle w:val="CharSectno"/>
        </w:rPr>
        <w:t>50</w:t>
      </w:r>
      <w:r>
        <w:rPr>
          <w:snapToGrid w:val="0"/>
        </w:rPr>
        <w:t>.</w:t>
      </w:r>
      <w:r>
        <w:rPr>
          <w:snapToGrid w:val="0"/>
        </w:rPr>
        <w:tab/>
        <w:t>Offender aged under 17 at time of sentence, options</w:t>
      </w:r>
      <w:bookmarkEnd w:id="950"/>
      <w:bookmarkEnd w:id="951"/>
      <w:bookmarkEnd w:id="95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953" w:name="_Toc405453181"/>
      <w:bookmarkStart w:id="954" w:name="_Toc427933133"/>
      <w:bookmarkStart w:id="955" w:name="_Toc422303249"/>
      <w:r>
        <w:rPr>
          <w:rStyle w:val="CharSectno"/>
        </w:rPr>
        <w:t>50A</w:t>
      </w:r>
      <w:r>
        <w:rPr>
          <w:snapToGrid w:val="0"/>
        </w:rPr>
        <w:t>.</w:t>
      </w:r>
      <w:r>
        <w:rPr>
          <w:snapToGrid w:val="0"/>
        </w:rPr>
        <w:tab/>
        <w:t>Offender aged 17 or over but under 18 at time of sentence, options</w:t>
      </w:r>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956" w:name="_Toc405453182"/>
      <w:bookmarkStart w:id="957" w:name="_Toc427933134"/>
      <w:bookmarkStart w:id="958" w:name="_Toc422303250"/>
      <w:r>
        <w:rPr>
          <w:rStyle w:val="CharSectno"/>
        </w:rPr>
        <w:t>50B</w:t>
      </w:r>
      <w:r>
        <w:rPr>
          <w:snapToGrid w:val="0"/>
        </w:rPr>
        <w:t>.</w:t>
      </w:r>
      <w:r>
        <w:rPr>
          <w:snapToGrid w:val="0"/>
        </w:rPr>
        <w:tab/>
        <w:t>Offender aged 18 or over at time of sentence, options</w:t>
      </w:r>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59" w:name="_Toc405453183"/>
      <w:bookmarkStart w:id="960" w:name="_Toc427933135"/>
      <w:bookmarkStart w:id="961" w:name="_Toc422303251"/>
      <w:r>
        <w:rPr>
          <w:rStyle w:val="CharSectno"/>
        </w:rPr>
        <w:t>51</w:t>
      </w:r>
      <w:r>
        <w:rPr>
          <w:snapToGrid w:val="0"/>
        </w:rPr>
        <w:t>.</w:t>
      </w:r>
      <w:r>
        <w:rPr>
          <w:snapToGrid w:val="0"/>
        </w:rPr>
        <w:tab/>
        <w:t>Responsible adult to be present for certain orders</w:t>
      </w:r>
      <w:bookmarkEnd w:id="959"/>
      <w:bookmarkEnd w:id="960"/>
      <w:bookmarkEnd w:id="961"/>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62" w:name="_Toc405453184"/>
      <w:bookmarkStart w:id="963" w:name="_Toc427933136"/>
      <w:bookmarkStart w:id="964" w:name="_Toc422303252"/>
      <w:r>
        <w:rPr>
          <w:rStyle w:val="CharSectno"/>
        </w:rPr>
        <w:t>52</w:t>
      </w:r>
      <w:r>
        <w:rPr>
          <w:snapToGrid w:val="0"/>
        </w:rPr>
        <w:t>.</w:t>
      </w:r>
      <w:r>
        <w:rPr>
          <w:snapToGrid w:val="0"/>
        </w:rPr>
        <w:tab/>
        <w:t>Order requiring consent to be explained</w:t>
      </w:r>
      <w:bookmarkEnd w:id="962"/>
      <w:bookmarkEnd w:id="963"/>
      <w:bookmarkEnd w:id="96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965" w:name="_Toc405453185"/>
      <w:bookmarkStart w:id="966" w:name="_Toc427933137"/>
      <w:bookmarkStart w:id="967" w:name="_Toc422303253"/>
      <w:r>
        <w:rPr>
          <w:rStyle w:val="CharSectno"/>
        </w:rPr>
        <w:t>54</w:t>
      </w:r>
      <w:r>
        <w:rPr>
          <w:snapToGrid w:val="0"/>
        </w:rPr>
        <w:t>.</w:t>
      </w:r>
      <w:r>
        <w:rPr>
          <w:snapToGrid w:val="0"/>
        </w:rPr>
        <w:tab/>
        <w:t>Body samples may be required to be provided</w:t>
      </w:r>
      <w:bookmarkEnd w:id="965"/>
      <w:bookmarkEnd w:id="966"/>
      <w:bookmarkEnd w:id="96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968" w:name="_Toc405453186"/>
      <w:bookmarkStart w:id="969" w:name="_Toc427933138"/>
      <w:bookmarkStart w:id="970" w:name="_Toc422303254"/>
      <w:r>
        <w:rPr>
          <w:rStyle w:val="CharSectno"/>
        </w:rPr>
        <w:t>55</w:t>
      </w:r>
      <w:r>
        <w:rPr>
          <w:snapToGrid w:val="0"/>
        </w:rPr>
        <w:t>.</w:t>
      </w:r>
      <w:r>
        <w:rPr>
          <w:snapToGrid w:val="0"/>
        </w:rPr>
        <w:tab/>
        <w:t>Conviction, when to be recorded</w:t>
      </w:r>
      <w:bookmarkEnd w:id="968"/>
      <w:bookmarkEnd w:id="969"/>
      <w:bookmarkEnd w:id="97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rPr>
          <w:snapToGrid w:val="0"/>
        </w:rPr>
      </w:pPr>
      <w:bookmarkStart w:id="971" w:name="_Toc405453187"/>
      <w:bookmarkStart w:id="972" w:name="_Toc427933139"/>
      <w:bookmarkStart w:id="973" w:name="_Toc422303255"/>
      <w:r>
        <w:rPr>
          <w:rStyle w:val="CharSectno"/>
        </w:rPr>
        <w:t>56</w:t>
      </w:r>
      <w:r>
        <w:rPr>
          <w:snapToGrid w:val="0"/>
        </w:rPr>
        <w:t>.</w:t>
      </w:r>
      <w:r>
        <w:rPr>
          <w:snapToGrid w:val="0"/>
        </w:rPr>
        <w:tab/>
        <w:t>Compensation and restitution, orders for</w:t>
      </w:r>
      <w:bookmarkEnd w:id="971"/>
      <w:bookmarkEnd w:id="972"/>
      <w:bookmarkEnd w:id="97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974" w:name="_Toc405453188"/>
      <w:bookmarkStart w:id="975" w:name="_Toc427933140"/>
      <w:bookmarkStart w:id="976" w:name="_Toc422303256"/>
      <w:r>
        <w:rPr>
          <w:rStyle w:val="CharSectno"/>
        </w:rPr>
        <w:t>57</w:t>
      </w:r>
      <w:r>
        <w:rPr>
          <w:snapToGrid w:val="0"/>
        </w:rPr>
        <w:t>.</w:t>
      </w:r>
      <w:r>
        <w:rPr>
          <w:snapToGrid w:val="0"/>
        </w:rPr>
        <w:tab/>
        <w:t>Costs may be ordered to be paid</w:t>
      </w:r>
      <w:bookmarkEnd w:id="974"/>
      <w:bookmarkEnd w:id="975"/>
      <w:bookmarkEnd w:id="97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77" w:name="_Toc405453189"/>
      <w:bookmarkStart w:id="978" w:name="_Toc427933141"/>
      <w:bookmarkStart w:id="979" w:name="_Toc422303257"/>
      <w:r>
        <w:rPr>
          <w:rStyle w:val="CharSectno"/>
        </w:rPr>
        <w:t>58</w:t>
      </w:r>
      <w:r>
        <w:rPr>
          <w:snapToGrid w:val="0"/>
        </w:rPr>
        <w:t>.</w:t>
      </w:r>
      <w:r>
        <w:rPr>
          <w:snapToGrid w:val="0"/>
        </w:rPr>
        <w:tab/>
        <w:t>Responsible adult may be made liable for fine etc.</w:t>
      </w:r>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80" w:name="_Toc405453190"/>
      <w:bookmarkStart w:id="981" w:name="_Toc427933142"/>
      <w:bookmarkStart w:id="982" w:name="_Toc422303258"/>
      <w:r>
        <w:rPr>
          <w:rStyle w:val="CharSectno"/>
        </w:rPr>
        <w:t>59</w:t>
      </w:r>
      <w:r>
        <w:rPr>
          <w:snapToGrid w:val="0"/>
        </w:rPr>
        <w:t>.</w:t>
      </w:r>
      <w:r>
        <w:rPr>
          <w:snapToGrid w:val="0"/>
        </w:rPr>
        <w:tab/>
        <w:t>Court orders to be provided in writing</w:t>
      </w:r>
      <w:bookmarkEnd w:id="980"/>
      <w:bookmarkEnd w:id="981"/>
      <w:bookmarkEnd w:id="98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83" w:name="_Toc405453191"/>
      <w:bookmarkStart w:id="984" w:name="_Toc427933143"/>
      <w:bookmarkStart w:id="985" w:name="_Toc422303259"/>
      <w:r>
        <w:rPr>
          <w:rStyle w:val="CharSectno"/>
        </w:rPr>
        <w:t>60</w:t>
      </w:r>
      <w:r>
        <w:t>.</w:t>
      </w:r>
      <w:r>
        <w:tab/>
        <w:t>Orders etc. under this Part are sentences</w:t>
      </w:r>
      <w:bookmarkEnd w:id="983"/>
      <w:bookmarkEnd w:id="984"/>
      <w:bookmarkEnd w:id="98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986" w:name="_Toc405453192"/>
      <w:bookmarkStart w:id="987" w:name="_Toc427933144"/>
      <w:bookmarkStart w:id="988" w:name="_Toc422303260"/>
      <w:r>
        <w:rPr>
          <w:rStyle w:val="CharSectno"/>
        </w:rPr>
        <w:t>62</w:t>
      </w:r>
      <w:r>
        <w:rPr>
          <w:snapToGrid w:val="0"/>
        </w:rPr>
        <w:t>.</w:t>
      </w:r>
      <w:r>
        <w:rPr>
          <w:snapToGrid w:val="0"/>
        </w:rPr>
        <w:tab/>
        <w:t>Workers’ compensation for compulsory work</w:t>
      </w:r>
      <w:bookmarkEnd w:id="986"/>
      <w:bookmarkEnd w:id="987"/>
      <w:bookmarkEnd w:id="98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89" w:name="_Toc405453193"/>
      <w:bookmarkStart w:id="990" w:name="_Toc427933145"/>
      <w:bookmarkStart w:id="991" w:name="_Toc422303261"/>
      <w:r>
        <w:rPr>
          <w:rStyle w:val="CharSectno"/>
        </w:rPr>
        <w:t>63</w:t>
      </w:r>
      <w:r>
        <w:rPr>
          <w:snapToGrid w:val="0"/>
        </w:rPr>
        <w:t>.</w:t>
      </w:r>
      <w:r>
        <w:rPr>
          <w:snapToGrid w:val="0"/>
        </w:rPr>
        <w:tab/>
        <w:t>Terms used</w:t>
      </w:r>
      <w:bookmarkEnd w:id="989"/>
      <w:bookmarkEnd w:id="990"/>
      <w:bookmarkEnd w:id="991"/>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92" w:name="_Toc405453194"/>
      <w:bookmarkStart w:id="993" w:name="_Toc427933146"/>
      <w:bookmarkStart w:id="994" w:name="_Toc422303262"/>
      <w:r>
        <w:rPr>
          <w:rStyle w:val="CharSectno"/>
        </w:rPr>
        <w:t>64</w:t>
      </w:r>
      <w:r>
        <w:rPr>
          <w:snapToGrid w:val="0"/>
        </w:rPr>
        <w:t>.</w:t>
      </w:r>
      <w:r>
        <w:rPr>
          <w:snapToGrid w:val="0"/>
        </w:rPr>
        <w:tab/>
        <w:t>Enforcing payment by young person who has reached 18</w:t>
      </w:r>
      <w:bookmarkEnd w:id="992"/>
      <w:bookmarkEnd w:id="993"/>
      <w:bookmarkEnd w:id="994"/>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995" w:name="_Toc405453195"/>
      <w:bookmarkStart w:id="996" w:name="_Toc427933147"/>
      <w:bookmarkStart w:id="997" w:name="_Toc422303263"/>
      <w:r>
        <w:rPr>
          <w:rStyle w:val="CharSectno"/>
        </w:rPr>
        <w:t>65</w:t>
      </w:r>
      <w:r>
        <w:rPr>
          <w:snapToGrid w:val="0"/>
        </w:rPr>
        <w:t>.</w:t>
      </w:r>
      <w:r>
        <w:rPr>
          <w:snapToGrid w:val="0"/>
        </w:rPr>
        <w:tab/>
        <w:t>Enforcing payment by young person who has not reached 18</w:t>
      </w:r>
      <w:bookmarkEnd w:id="995"/>
      <w:bookmarkEnd w:id="996"/>
      <w:bookmarkEnd w:id="99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998" w:name="_Toc405453196"/>
      <w:bookmarkStart w:id="999" w:name="_Toc427933148"/>
      <w:bookmarkStart w:id="1000" w:name="_Toc422303264"/>
      <w:r>
        <w:rPr>
          <w:rStyle w:val="CharSectno"/>
        </w:rPr>
        <w:t>65A</w:t>
      </w:r>
      <w:r>
        <w:rPr>
          <w:snapToGrid w:val="0"/>
        </w:rPr>
        <w:t>.</w:t>
      </w:r>
      <w:r>
        <w:rPr>
          <w:snapToGrid w:val="0"/>
        </w:rPr>
        <w:tab/>
        <w:t>Court’s powers to deal with defaulter</w:t>
      </w:r>
      <w:bookmarkEnd w:id="998"/>
      <w:bookmarkEnd w:id="999"/>
      <w:bookmarkEnd w:id="1000"/>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001" w:name="_Toc405453197"/>
      <w:bookmarkStart w:id="1002" w:name="_Toc427933149"/>
      <w:bookmarkStart w:id="1003" w:name="_Toc422303265"/>
      <w:r>
        <w:rPr>
          <w:rStyle w:val="CharSectno"/>
        </w:rPr>
        <w:t>65B</w:t>
      </w:r>
      <w:r>
        <w:rPr>
          <w:snapToGrid w:val="0"/>
        </w:rPr>
        <w:t>.</w:t>
      </w:r>
      <w:r>
        <w:rPr>
          <w:snapToGrid w:val="0"/>
        </w:rPr>
        <w:tab/>
        <w:t>Community work order</w:t>
      </w:r>
      <w:bookmarkEnd w:id="1001"/>
      <w:bookmarkEnd w:id="1002"/>
      <w:bookmarkEnd w:id="100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004" w:name="_Toc405453198"/>
      <w:bookmarkStart w:id="1005" w:name="_Toc427933150"/>
      <w:bookmarkStart w:id="1006" w:name="_Toc422303266"/>
      <w:r>
        <w:rPr>
          <w:rStyle w:val="CharSectno"/>
        </w:rPr>
        <w:t>65C</w:t>
      </w:r>
      <w:r>
        <w:rPr>
          <w:snapToGrid w:val="0"/>
        </w:rPr>
        <w:t>.</w:t>
      </w:r>
      <w:r>
        <w:rPr>
          <w:snapToGrid w:val="0"/>
        </w:rPr>
        <w:tab/>
        <w:t>Detention order</w:t>
      </w:r>
      <w:bookmarkEnd w:id="1004"/>
      <w:bookmarkEnd w:id="1005"/>
      <w:bookmarkEnd w:id="1006"/>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007" w:name="_Toc405453199"/>
      <w:bookmarkStart w:id="1008" w:name="_Toc413336924"/>
      <w:bookmarkStart w:id="1009" w:name="_Toc413337200"/>
      <w:bookmarkStart w:id="1010" w:name="_Toc413337028"/>
      <w:bookmarkStart w:id="1011" w:name="_Toc422303267"/>
      <w:bookmarkStart w:id="1012" w:name="_Toc427932480"/>
      <w:bookmarkStart w:id="1013" w:name="_Toc427933151"/>
      <w:r>
        <w:rPr>
          <w:rStyle w:val="CharDivNo"/>
        </w:rPr>
        <w:t>Division 2</w:t>
      </w:r>
      <w:r>
        <w:rPr>
          <w:snapToGrid w:val="0"/>
        </w:rPr>
        <w:t> — </w:t>
      </w:r>
      <w:r>
        <w:rPr>
          <w:rStyle w:val="CharDivText"/>
        </w:rPr>
        <w:t>No punishment and no conditions</w:t>
      </w:r>
      <w:bookmarkEnd w:id="1007"/>
      <w:bookmarkEnd w:id="1008"/>
      <w:bookmarkEnd w:id="1009"/>
      <w:bookmarkEnd w:id="1010"/>
      <w:bookmarkEnd w:id="1011"/>
      <w:bookmarkEnd w:id="1012"/>
      <w:bookmarkEnd w:id="1013"/>
      <w:r>
        <w:rPr>
          <w:rStyle w:val="CharDivText"/>
        </w:rPr>
        <w:t xml:space="preserve"> </w:t>
      </w:r>
    </w:p>
    <w:p>
      <w:pPr>
        <w:pStyle w:val="Heading5"/>
        <w:rPr>
          <w:snapToGrid w:val="0"/>
        </w:rPr>
      </w:pPr>
      <w:bookmarkStart w:id="1014" w:name="_Toc405453200"/>
      <w:bookmarkStart w:id="1015" w:name="_Toc427933152"/>
      <w:bookmarkStart w:id="1016" w:name="_Toc422303268"/>
      <w:r>
        <w:rPr>
          <w:rStyle w:val="CharSectno"/>
        </w:rPr>
        <w:t>66</w:t>
      </w:r>
      <w:r>
        <w:rPr>
          <w:snapToGrid w:val="0"/>
        </w:rPr>
        <w:t>.</w:t>
      </w:r>
      <w:r>
        <w:rPr>
          <w:snapToGrid w:val="0"/>
        </w:rPr>
        <w:tab/>
        <w:t>Court may refrain from punishing in some cases</w:t>
      </w:r>
      <w:bookmarkEnd w:id="1014"/>
      <w:bookmarkEnd w:id="1015"/>
      <w:bookmarkEnd w:id="101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17" w:name="_Toc405453201"/>
      <w:bookmarkStart w:id="1018" w:name="_Toc413336926"/>
      <w:bookmarkStart w:id="1019" w:name="_Toc413337202"/>
      <w:bookmarkStart w:id="1020" w:name="_Toc413337031"/>
      <w:bookmarkStart w:id="1021" w:name="_Toc422303269"/>
      <w:bookmarkStart w:id="1022" w:name="_Toc427932482"/>
      <w:bookmarkStart w:id="1023" w:name="_Toc427933153"/>
      <w:r>
        <w:rPr>
          <w:rStyle w:val="CharDivNo"/>
        </w:rPr>
        <w:t>Division 3</w:t>
      </w:r>
      <w:r>
        <w:rPr>
          <w:snapToGrid w:val="0"/>
        </w:rPr>
        <w:t> — </w:t>
      </w:r>
      <w:r>
        <w:rPr>
          <w:rStyle w:val="CharDivText"/>
        </w:rPr>
        <w:t>No punishment but conditions</w:t>
      </w:r>
      <w:bookmarkEnd w:id="1017"/>
      <w:bookmarkEnd w:id="1018"/>
      <w:bookmarkEnd w:id="1019"/>
      <w:bookmarkEnd w:id="1020"/>
      <w:bookmarkEnd w:id="1021"/>
      <w:bookmarkEnd w:id="1022"/>
      <w:bookmarkEnd w:id="1023"/>
      <w:r>
        <w:rPr>
          <w:rStyle w:val="CharDivText"/>
        </w:rPr>
        <w:t xml:space="preserve"> </w:t>
      </w:r>
    </w:p>
    <w:p>
      <w:pPr>
        <w:pStyle w:val="Heading5"/>
        <w:spacing w:before="240"/>
        <w:rPr>
          <w:snapToGrid w:val="0"/>
        </w:rPr>
      </w:pPr>
      <w:bookmarkStart w:id="1024" w:name="_Toc405453202"/>
      <w:bookmarkStart w:id="1025" w:name="_Toc427933154"/>
      <w:bookmarkStart w:id="1026" w:name="_Toc422303270"/>
      <w:r>
        <w:rPr>
          <w:rStyle w:val="CharSectno"/>
        </w:rPr>
        <w:t>67</w:t>
      </w:r>
      <w:r>
        <w:rPr>
          <w:snapToGrid w:val="0"/>
        </w:rPr>
        <w:t>.</w:t>
      </w:r>
      <w:r>
        <w:rPr>
          <w:snapToGrid w:val="0"/>
        </w:rPr>
        <w:tab/>
        <w:t>Undertakings and informal punishment</w:t>
      </w:r>
      <w:bookmarkEnd w:id="1024"/>
      <w:bookmarkEnd w:id="1025"/>
      <w:bookmarkEnd w:id="1026"/>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027" w:name="_Toc405453203"/>
      <w:bookmarkStart w:id="1028" w:name="_Toc427933155"/>
      <w:bookmarkStart w:id="1029" w:name="_Toc422303271"/>
      <w:r>
        <w:rPr>
          <w:rStyle w:val="CharSectno"/>
        </w:rPr>
        <w:t>68</w:t>
      </w:r>
      <w:r>
        <w:rPr>
          <w:snapToGrid w:val="0"/>
        </w:rPr>
        <w:t>.</w:t>
      </w:r>
      <w:r>
        <w:rPr>
          <w:snapToGrid w:val="0"/>
        </w:rPr>
        <w:tab/>
        <w:t>Adjournment</w:t>
      </w:r>
      <w:bookmarkEnd w:id="1027"/>
      <w:bookmarkEnd w:id="1028"/>
      <w:bookmarkEnd w:id="1029"/>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30" w:name="_Toc405453204"/>
      <w:bookmarkStart w:id="1031" w:name="_Toc413336929"/>
      <w:bookmarkStart w:id="1032" w:name="_Toc413337205"/>
      <w:bookmarkStart w:id="1033" w:name="_Toc413337034"/>
      <w:bookmarkStart w:id="1034" w:name="_Toc422303272"/>
      <w:bookmarkStart w:id="1035" w:name="_Toc427932485"/>
      <w:bookmarkStart w:id="1036" w:name="_Toc427933156"/>
      <w:r>
        <w:rPr>
          <w:rStyle w:val="CharDivNo"/>
        </w:rPr>
        <w:t>Division 4</w:t>
      </w:r>
      <w:r>
        <w:rPr>
          <w:snapToGrid w:val="0"/>
        </w:rPr>
        <w:t> — </w:t>
      </w:r>
      <w:r>
        <w:rPr>
          <w:rStyle w:val="CharDivText"/>
        </w:rPr>
        <w:t>No punishment but security or recognisance</w:t>
      </w:r>
      <w:bookmarkEnd w:id="1030"/>
      <w:bookmarkEnd w:id="1031"/>
      <w:bookmarkEnd w:id="1032"/>
      <w:bookmarkEnd w:id="1033"/>
      <w:bookmarkEnd w:id="1034"/>
      <w:bookmarkEnd w:id="1035"/>
      <w:bookmarkEnd w:id="1036"/>
      <w:r>
        <w:rPr>
          <w:rStyle w:val="CharDivText"/>
        </w:rPr>
        <w:t xml:space="preserve"> </w:t>
      </w:r>
    </w:p>
    <w:p>
      <w:pPr>
        <w:pStyle w:val="Heading5"/>
        <w:rPr>
          <w:snapToGrid w:val="0"/>
        </w:rPr>
      </w:pPr>
      <w:bookmarkStart w:id="1037" w:name="_Toc405453205"/>
      <w:bookmarkStart w:id="1038" w:name="_Toc427933157"/>
      <w:bookmarkStart w:id="1039" w:name="_Toc422303273"/>
      <w:r>
        <w:rPr>
          <w:rStyle w:val="CharSectno"/>
        </w:rPr>
        <w:t>69</w:t>
      </w:r>
      <w:r>
        <w:rPr>
          <w:snapToGrid w:val="0"/>
        </w:rPr>
        <w:t>.</w:t>
      </w:r>
      <w:r>
        <w:rPr>
          <w:snapToGrid w:val="0"/>
        </w:rPr>
        <w:tab/>
        <w:t>Recognisance by offender to be of good behaviour etc.</w:t>
      </w:r>
      <w:bookmarkEnd w:id="1037"/>
      <w:bookmarkEnd w:id="1038"/>
      <w:bookmarkEnd w:id="103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40" w:name="_Toc405453206"/>
      <w:bookmarkStart w:id="1041" w:name="_Toc427933158"/>
      <w:bookmarkStart w:id="1042" w:name="_Toc422303274"/>
      <w:r>
        <w:rPr>
          <w:rStyle w:val="CharSectno"/>
        </w:rPr>
        <w:t>70</w:t>
      </w:r>
      <w:r>
        <w:rPr>
          <w:snapToGrid w:val="0"/>
        </w:rPr>
        <w:t>.</w:t>
      </w:r>
      <w:r>
        <w:rPr>
          <w:snapToGrid w:val="0"/>
        </w:rPr>
        <w:tab/>
        <w:t>Responsible adult may give security for offender’s good behaviour etc.</w:t>
      </w:r>
      <w:bookmarkEnd w:id="1040"/>
      <w:bookmarkEnd w:id="1041"/>
      <w:bookmarkEnd w:id="104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43" w:name="_Toc405453207"/>
      <w:bookmarkStart w:id="1044" w:name="_Toc413336932"/>
      <w:bookmarkStart w:id="1045" w:name="_Toc413337208"/>
      <w:bookmarkStart w:id="1046" w:name="_Toc413337037"/>
      <w:bookmarkStart w:id="1047" w:name="_Toc422303275"/>
      <w:bookmarkStart w:id="1048" w:name="_Toc427932488"/>
      <w:bookmarkStart w:id="1049" w:name="_Toc427933159"/>
      <w:r>
        <w:rPr>
          <w:rStyle w:val="CharDivNo"/>
        </w:rPr>
        <w:t>Division 5</w:t>
      </w:r>
      <w:r>
        <w:rPr>
          <w:snapToGrid w:val="0"/>
        </w:rPr>
        <w:t> — </w:t>
      </w:r>
      <w:r>
        <w:rPr>
          <w:rStyle w:val="CharDivText"/>
        </w:rPr>
        <w:t>Fine</w:t>
      </w:r>
      <w:bookmarkEnd w:id="1043"/>
      <w:bookmarkEnd w:id="1044"/>
      <w:bookmarkEnd w:id="1045"/>
      <w:bookmarkEnd w:id="1046"/>
      <w:bookmarkEnd w:id="1047"/>
      <w:bookmarkEnd w:id="1048"/>
      <w:bookmarkEnd w:id="1049"/>
      <w:r>
        <w:rPr>
          <w:rStyle w:val="CharDivText"/>
        </w:rPr>
        <w:t xml:space="preserve"> </w:t>
      </w:r>
    </w:p>
    <w:p>
      <w:pPr>
        <w:pStyle w:val="Heading5"/>
        <w:rPr>
          <w:snapToGrid w:val="0"/>
        </w:rPr>
      </w:pPr>
      <w:bookmarkStart w:id="1050" w:name="_Toc405453208"/>
      <w:bookmarkStart w:id="1051" w:name="_Toc427933160"/>
      <w:bookmarkStart w:id="1052" w:name="_Toc422303276"/>
      <w:r>
        <w:rPr>
          <w:rStyle w:val="CharSectno"/>
        </w:rPr>
        <w:t>71</w:t>
      </w:r>
      <w:r>
        <w:rPr>
          <w:snapToGrid w:val="0"/>
        </w:rPr>
        <w:t>.</w:t>
      </w:r>
      <w:r>
        <w:rPr>
          <w:snapToGrid w:val="0"/>
        </w:rPr>
        <w:tab/>
        <w:t>Fine instead of imprisonment</w:t>
      </w:r>
      <w:bookmarkEnd w:id="1050"/>
      <w:bookmarkEnd w:id="1051"/>
      <w:bookmarkEnd w:id="105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53" w:name="_Toc405453209"/>
      <w:bookmarkStart w:id="1054" w:name="_Toc427933161"/>
      <w:bookmarkStart w:id="1055" w:name="_Toc422303277"/>
      <w:r>
        <w:rPr>
          <w:rStyle w:val="CharSectno"/>
        </w:rPr>
        <w:t>72</w:t>
      </w:r>
      <w:r>
        <w:rPr>
          <w:snapToGrid w:val="0"/>
        </w:rPr>
        <w:t>.</w:t>
      </w:r>
      <w:r>
        <w:rPr>
          <w:snapToGrid w:val="0"/>
        </w:rPr>
        <w:tab/>
        <w:t>Offender must be able to pay</w:t>
      </w:r>
      <w:bookmarkEnd w:id="1053"/>
      <w:bookmarkEnd w:id="1054"/>
      <w:bookmarkEnd w:id="105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56" w:name="_Toc405453210"/>
      <w:bookmarkStart w:id="1057" w:name="_Toc413336935"/>
      <w:bookmarkStart w:id="1058" w:name="_Toc413337211"/>
      <w:bookmarkStart w:id="1059" w:name="_Toc413337040"/>
      <w:bookmarkStart w:id="1060" w:name="_Toc422303278"/>
      <w:bookmarkStart w:id="1061" w:name="_Toc427932491"/>
      <w:bookmarkStart w:id="1062" w:name="_Toc427933162"/>
      <w:r>
        <w:rPr>
          <w:rStyle w:val="CharDivNo"/>
        </w:rPr>
        <w:t>Division 6</w:t>
      </w:r>
      <w:r>
        <w:rPr>
          <w:snapToGrid w:val="0"/>
        </w:rPr>
        <w:t> — </w:t>
      </w:r>
      <w:r>
        <w:rPr>
          <w:rStyle w:val="CharDivText"/>
        </w:rPr>
        <w:t>Youth community based order</w:t>
      </w:r>
      <w:bookmarkEnd w:id="1056"/>
      <w:bookmarkEnd w:id="1057"/>
      <w:bookmarkEnd w:id="1058"/>
      <w:bookmarkEnd w:id="1059"/>
      <w:bookmarkEnd w:id="1060"/>
      <w:bookmarkEnd w:id="1061"/>
      <w:bookmarkEnd w:id="1062"/>
      <w:r>
        <w:rPr>
          <w:rStyle w:val="CharDivText"/>
        </w:rPr>
        <w:t xml:space="preserve"> </w:t>
      </w:r>
    </w:p>
    <w:p>
      <w:pPr>
        <w:pStyle w:val="Heading5"/>
        <w:rPr>
          <w:snapToGrid w:val="0"/>
        </w:rPr>
      </w:pPr>
      <w:bookmarkStart w:id="1063" w:name="_Toc405453211"/>
      <w:bookmarkStart w:id="1064" w:name="_Toc427933163"/>
      <w:bookmarkStart w:id="1065" w:name="_Toc422303279"/>
      <w:r>
        <w:rPr>
          <w:rStyle w:val="CharSectno"/>
        </w:rPr>
        <w:t>73</w:t>
      </w:r>
      <w:r>
        <w:rPr>
          <w:snapToGrid w:val="0"/>
        </w:rPr>
        <w:t>.</w:t>
      </w:r>
      <w:r>
        <w:rPr>
          <w:snapToGrid w:val="0"/>
        </w:rPr>
        <w:tab/>
        <w:t>Youth community based order, nature of</w:t>
      </w:r>
      <w:bookmarkEnd w:id="1063"/>
      <w:bookmarkEnd w:id="1064"/>
      <w:bookmarkEnd w:id="1065"/>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066" w:name="_Toc405453212"/>
      <w:bookmarkStart w:id="1067" w:name="_Toc427933164"/>
      <w:bookmarkStart w:id="1068" w:name="_Toc422303280"/>
      <w:r>
        <w:rPr>
          <w:rStyle w:val="CharSectno"/>
        </w:rPr>
        <w:t>74</w:t>
      </w:r>
      <w:r>
        <w:rPr>
          <w:snapToGrid w:val="0"/>
        </w:rPr>
        <w:t>.</w:t>
      </w:r>
      <w:r>
        <w:rPr>
          <w:snapToGrid w:val="0"/>
        </w:rPr>
        <w:tab/>
        <w:t>Offender must be suitable and consent</w:t>
      </w:r>
      <w:bookmarkEnd w:id="1066"/>
      <w:bookmarkEnd w:id="1067"/>
      <w:bookmarkEnd w:id="1068"/>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069" w:name="_Toc405453213"/>
      <w:bookmarkStart w:id="1070" w:name="_Toc427933165"/>
      <w:bookmarkStart w:id="1071" w:name="_Toc422303281"/>
      <w:r>
        <w:rPr>
          <w:rStyle w:val="CharSectno"/>
        </w:rPr>
        <w:t>75</w:t>
      </w:r>
      <w:r>
        <w:rPr>
          <w:snapToGrid w:val="0"/>
        </w:rPr>
        <w:t>.</w:t>
      </w:r>
      <w:r>
        <w:rPr>
          <w:snapToGrid w:val="0"/>
        </w:rPr>
        <w:tab/>
        <w:t>Proposed agenda required for suitable person</w:t>
      </w:r>
      <w:bookmarkEnd w:id="1069"/>
      <w:bookmarkEnd w:id="1070"/>
      <w:bookmarkEnd w:id="107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072" w:name="_Toc405453214"/>
      <w:bookmarkStart w:id="1073" w:name="_Toc427933166"/>
      <w:bookmarkStart w:id="1074" w:name="_Toc422303282"/>
      <w:r>
        <w:rPr>
          <w:rStyle w:val="CharSectno"/>
        </w:rPr>
        <w:t>76</w:t>
      </w:r>
      <w:r>
        <w:rPr>
          <w:snapToGrid w:val="0"/>
        </w:rPr>
        <w:t>.</w:t>
      </w:r>
      <w:r>
        <w:rPr>
          <w:snapToGrid w:val="0"/>
        </w:rPr>
        <w:tab/>
        <w:t>Duration of order</w:t>
      </w:r>
      <w:bookmarkEnd w:id="1072"/>
      <w:bookmarkEnd w:id="1073"/>
      <w:bookmarkEnd w:id="107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075" w:name="_Toc405453215"/>
      <w:bookmarkStart w:id="1076" w:name="_Toc427933167"/>
      <w:bookmarkStart w:id="1077" w:name="_Toc422303283"/>
      <w:r>
        <w:rPr>
          <w:rStyle w:val="CharSectno"/>
        </w:rPr>
        <w:t>77</w:t>
      </w:r>
      <w:r>
        <w:rPr>
          <w:snapToGrid w:val="0"/>
        </w:rPr>
        <w:t>.</w:t>
      </w:r>
      <w:r>
        <w:rPr>
          <w:snapToGrid w:val="0"/>
        </w:rPr>
        <w:tab/>
        <w:t>Supervising officer</w:t>
      </w:r>
      <w:bookmarkEnd w:id="1075"/>
      <w:bookmarkEnd w:id="1076"/>
      <w:bookmarkEnd w:id="107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078" w:name="_Toc405453216"/>
      <w:bookmarkStart w:id="1079" w:name="_Toc427933168"/>
      <w:bookmarkStart w:id="1080" w:name="_Toc422303284"/>
      <w:r>
        <w:rPr>
          <w:rStyle w:val="CharSectno"/>
        </w:rPr>
        <w:t>78</w:t>
      </w:r>
      <w:r>
        <w:rPr>
          <w:snapToGrid w:val="0"/>
        </w:rPr>
        <w:t>.</w:t>
      </w:r>
      <w:r>
        <w:rPr>
          <w:snapToGrid w:val="0"/>
        </w:rPr>
        <w:tab/>
        <w:t>Conditions implied in order</w:t>
      </w:r>
      <w:bookmarkEnd w:id="1078"/>
      <w:bookmarkEnd w:id="1079"/>
      <w:bookmarkEnd w:id="1080"/>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081" w:name="_Toc405453217"/>
      <w:bookmarkStart w:id="1082" w:name="_Toc427933169"/>
      <w:bookmarkStart w:id="1083" w:name="_Toc422303285"/>
      <w:r>
        <w:rPr>
          <w:rStyle w:val="CharSectno"/>
        </w:rPr>
        <w:t>79</w:t>
      </w:r>
      <w:r>
        <w:rPr>
          <w:snapToGrid w:val="0"/>
        </w:rPr>
        <w:t>.</w:t>
      </w:r>
      <w:r>
        <w:rPr>
          <w:snapToGrid w:val="0"/>
        </w:rPr>
        <w:tab/>
        <w:t>Obligations under order may be suspended</w:t>
      </w:r>
      <w:bookmarkEnd w:id="1081"/>
      <w:bookmarkEnd w:id="1082"/>
      <w:bookmarkEnd w:id="108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084" w:name="_Toc405453218"/>
      <w:bookmarkStart w:id="1085" w:name="_Toc427933170"/>
      <w:bookmarkStart w:id="1086" w:name="_Toc422303286"/>
      <w:r>
        <w:rPr>
          <w:rStyle w:val="CharSectno"/>
        </w:rPr>
        <w:t>80</w:t>
      </w:r>
      <w:r>
        <w:rPr>
          <w:snapToGrid w:val="0"/>
        </w:rPr>
        <w:t>.</w:t>
      </w:r>
      <w:r>
        <w:rPr>
          <w:snapToGrid w:val="0"/>
        </w:rPr>
        <w:tab/>
        <w:t>Amendment of order, extent of power</w:t>
      </w:r>
      <w:bookmarkEnd w:id="1084"/>
      <w:bookmarkEnd w:id="1085"/>
      <w:bookmarkEnd w:id="108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087" w:name="_Toc405453219"/>
      <w:bookmarkStart w:id="1088" w:name="_Toc427933171"/>
      <w:bookmarkStart w:id="1089" w:name="_Toc422303287"/>
      <w:r>
        <w:rPr>
          <w:rStyle w:val="CharSectno"/>
        </w:rPr>
        <w:t>81</w:t>
      </w:r>
      <w:r>
        <w:rPr>
          <w:snapToGrid w:val="0"/>
        </w:rPr>
        <w:t>.</w:t>
      </w:r>
      <w:r>
        <w:rPr>
          <w:snapToGrid w:val="0"/>
        </w:rPr>
        <w:tab/>
        <w:t>Amendment of order</w:t>
      </w:r>
      <w:bookmarkEnd w:id="1087"/>
      <w:bookmarkEnd w:id="1088"/>
      <w:bookmarkEnd w:id="108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090" w:name="_Toc405453220"/>
      <w:bookmarkStart w:id="1091" w:name="_Toc427933172"/>
      <w:bookmarkStart w:id="1092" w:name="_Toc422303288"/>
      <w:r>
        <w:rPr>
          <w:rStyle w:val="CharSectno"/>
        </w:rPr>
        <w:t>82</w:t>
      </w:r>
      <w:r>
        <w:rPr>
          <w:snapToGrid w:val="0"/>
        </w:rPr>
        <w:t>.</w:t>
      </w:r>
      <w:r>
        <w:rPr>
          <w:snapToGrid w:val="0"/>
        </w:rPr>
        <w:tab/>
        <w:t>Breach of order, CEO may require offender to attend court</w:t>
      </w:r>
      <w:bookmarkEnd w:id="1090"/>
      <w:bookmarkEnd w:id="1091"/>
      <w:bookmarkEnd w:id="109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093" w:name="_Toc405453221"/>
      <w:bookmarkStart w:id="1094" w:name="_Toc427933173"/>
      <w:bookmarkStart w:id="1095" w:name="_Toc422303289"/>
      <w:r>
        <w:rPr>
          <w:rStyle w:val="CharSectno"/>
        </w:rPr>
        <w:t>83</w:t>
      </w:r>
      <w:r>
        <w:rPr>
          <w:snapToGrid w:val="0"/>
        </w:rPr>
        <w:t>.</w:t>
      </w:r>
      <w:r>
        <w:rPr>
          <w:snapToGrid w:val="0"/>
        </w:rPr>
        <w:tab/>
        <w:t>Breach of order, powers to deal with</w:t>
      </w:r>
      <w:bookmarkEnd w:id="1093"/>
      <w:bookmarkEnd w:id="1094"/>
      <w:bookmarkEnd w:id="109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096" w:name="_Toc405453222"/>
      <w:bookmarkStart w:id="1097" w:name="_Toc427933174"/>
      <w:bookmarkStart w:id="1098" w:name="_Toc422303290"/>
      <w:r>
        <w:rPr>
          <w:rStyle w:val="CharSectno"/>
        </w:rPr>
        <w:t>84</w:t>
      </w:r>
      <w:r>
        <w:rPr>
          <w:snapToGrid w:val="0"/>
        </w:rPr>
        <w:t>.</w:t>
      </w:r>
      <w:r>
        <w:rPr>
          <w:snapToGrid w:val="0"/>
        </w:rPr>
        <w:tab/>
        <w:t>Breach of order by re</w:t>
      </w:r>
      <w:r>
        <w:rPr>
          <w:snapToGrid w:val="0"/>
        </w:rPr>
        <w:noBreakHyphen/>
        <w:t>offending, new order may be made</w:t>
      </w:r>
      <w:bookmarkEnd w:id="1096"/>
      <w:bookmarkEnd w:id="1097"/>
      <w:bookmarkEnd w:id="1098"/>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099" w:name="_Toc405453223"/>
      <w:bookmarkStart w:id="1100" w:name="_Toc427933175"/>
      <w:bookmarkStart w:id="1101" w:name="_Toc422303291"/>
      <w:r>
        <w:rPr>
          <w:rStyle w:val="CharSectno"/>
        </w:rPr>
        <w:t>85</w:t>
      </w:r>
      <w:r>
        <w:rPr>
          <w:snapToGrid w:val="0"/>
        </w:rPr>
        <w:t>.</w:t>
      </w:r>
      <w:r>
        <w:rPr>
          <w:snapToGrid w:val="0"/>
        </w:rPr>
        <w:tab/>
        <w:t>Discharge or fulfillment of order, effect of</w:t>
      </w:r>
      <w:bookmarkEnd w:id="1099"/>
      <w:bookmarkEnd w:id="1100"/>
      <w:bookmarkEnd w:id="110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102" w:name="_Toc405453224"/>
      <w:bookmarkStart w:id="1103" w:name="_Toc427933176"/>
      <w:bookmarkStart w:id="1104" w:name="_Toc422303292"/>
      <w:r>
        <w:rPr>
          <w:rStyle w:val="CharSectno"/>
        </w:rPr>
        <w:t>86</w:t>
      </w:r>
      <w:r>
        <w:rPr>
          <w:snapToGrid w:val="0"/>
        </w:rPr>
        <w:t>.</w:t>
      </w:r>
      <w:r>
        <w:rPr>
          <w:snapToGrid w:val="0"/>
        </w:rPr>
        <w:tab/>
        <w:t>Proof of identity in proceedings for breach of order</w:t>
      </w:r>
      <w:bookmarkEnd w:id="1102"/>
      <w:bookmarkEnd w:id="1103"/>
      <w:bookmarkEnd w:id="110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105" w:name="_Toc405453225"/>
      <w:bookmarkStart w:id="1106" w:name="_Toc427933177"/>
      <w:bookmarkStart w:id="1107" w:name="_Toc422303293"/>
      <w:r>
        <w:rPr>
          <w:rStyle w:val="CharSectno"/>
        </w:rPr>
        <w:t>87</w:t>
      </w:r>
      <w:r>
        <w:rPr>
          <w:snapToGrid w:val="0"/>
        </w:rPr>
        <w:t>.</w:t>
      </w:r>
      <w:r>
        <w:rPr>
          <w:snapToGrid w:val="0"/>
        </w:rPr>
        <w:tab/>
        <w:t>Notice of court applications</w:t>
      </w:r>
      <w:bookmarkEnd w:id="1105"/>
      <w:bookmarkEnd w:id="1106"/>
      <w:bookmarkEnd w:id="11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108" w:name="_Toc405453226"/>
      <w:bookmarkStart w:id="1109" w:name="_Toc413336951"/>
      <w:bookmarkStart w:id="1110" w:name="_Toc413337227"/>
      <w:bookmarkStart w:id="1111" w:name="_Toc413337057"/>
      <w:bookmarkStart w:id="1112" w:name="_Toc422303294"/>
      <w:bookmarkStart w:id="1113" w:name="_Toc427932507"/>
      <w:bookmarkStart w:id="1114" w:name="_Toc427933178"/>
      <w:r>
        <w:rPr>
          <w:snapToGrid w:val="0"/>
        </w:rPr>
        <w:t>Subdivision 1 — Attendance conditions</w:t>
      </w:r>
      <w:bookmarkEnd w:id="1108"/>
      <w:bookmarkEnd w:id="1109"/>
      <w:bookmarkEnd w:id="1110"/>
      <w:bookmarkEnd w:id="1111"/>
      <w:bookmarkEnd w:id="1112"/>
      <w:bookmarkEnd w:id="1113"/>
      <w:bookmarkEnd w:id="1114"/>
      <w:r>
        <w:rPr>
          <w:snapToGrid w:val="0"/>
        </w:rPr>
        <w:t xml:space="preserve"> </w:t>
      </w:r>
    </w:p>
    <w:p>
      <w:pPr>
        <w:pStyle w:val="Heading5"/>
        <w:rPr>
          <w:snapToGrid w:val="0"/>
        </w:rPr>
      </w:pPr>
      <w:bookmarkStart w:id="1115" w:name="_Toc405453227"/>
      <w:bookmarkStart w:id="1116" w:name="_Toc427933179"/>
      <w:bookmarkStart w:id="1117" w:name="_Toc422303295"/>
      <w:r>
        <w:rPr>
          <w:rStyle w:val="CharSectno"/>
        </w:rPr>
        <w:t>88</w:t>
      </w:r>
      <w:r>
        <w:rPr>
          <w:snapToGrid w:val="0"/>
        </w:rPr>
        <w:t>.</w:t>
      </w:r>
      <w:r>
        <w:rPr>
          <w:snapToGrid w:val="0"/>
        </w:rPr>
        <w:tab/>
        <w:t>Requirement to attend courses</w:t>
      </w:r>
      <w:bookmarkEnd w:id="1115"/>
      <w:bookmarkEnd w:id="1116"/>
      <w:bookmarkEnd w:id="1117"/>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118" w:name="_Toc405453228"/>
      <w:bookmarkStart w:id="1119" w:name="_Toc413336953"/>
      <w:bookmarkStart w:id="1120" w:name="_Toc413337229"/>
      <w:bookmarkStart w:id="1121" w:name="_Toc413337059"/>
      <w:bookmarkStart w:id="1122" w:name="_Toc422303296"/>
      <w:bookmarkStart w:id="1123" w:name="_Toc427932509"/>
      <w:bookmarkStart w:id="1124" w:name="_Toc427933180"/>
      <w:r>
        <w:rPr>
          <w:snapToGrid w:val="0"/>
        </w:rPr>
        <w:t>Subdivision 2 — Community work conditions</w:t>
      </w:r>
      <w:bookmarkEnd w:id="1118"/>
      <w:bookmarkEnd w:id="1119"/>
      <w:bookmarkEnd w:id="1120"/>
      <w:bookmarkEnd w:id="1121"/>
      <w:bookmarkEnd w:id="1122"/>
      <w:bookmarkEnd w:id="1123"/>
      <w:bookmarkEnd w:id="1124"/>
      <w:r>
        <w:rPr>
          <w:snapToGrid w:val="0"/>
        </w:rPr>
        <w:t xml:space="preserve"> </w:t>
      </w:r>
    </w:p>
    <w:p>
      <w:pPr>
        <w:pStyle w:val="Heading5"/>
        <w:rPr>
          <w:snapToGrid w:val="0"/>
        </w:rPr>
      </w:pPr>
      <w:bookmarkStart w:id="1125" w:name="_Toc405453229"/>
      <w:bookmarkStart w:id="1126" w:name="_Toc427933181"/>
      <w:bookmarkStart w:id="1127" w:name="_Toc422303297"/>
      <w:r>
        <w:rPr>
          <w:rStyle w:val="CharSectno"/>
        </w:rPr>
        <w:t>89</w:t>
      </w:r>
      <w:r>
        <w:rPr>
          <w:snapToGrid w:val="0"/>
        </w:rPr>
        <w:t>.</w:t>
      </w:r>
      <w:r>
        <w:rPr>
          <w:snapToGrid w:val="0"/>
        </w:rPr>
        <w:tab/>
        <w:t>Requirement to perform unpaid work</w:t>
      </w:r>
      <w:bookmarkEnd w:id="1125"/>
      <w:bookmarkEnd w:id="1126"/>
      <w:bookmarkEnd w:id="1127"/>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128" w:name="_Toc405453230"/>
      <w:bookmarkStart w:id="1129" w:name="_Toc427933182"/>
      <w:bookmarkStart w:id="1130" w:name="_Toc422303298"/>
      <w:r>
        <w:rPr>
          <w:rStyle w:val="CharSectno"/>
        </w:rPr>
        <w:t>90</w:t>
      </w:r>
      <w:r>
        <w:rPr>
          <w:snapToGrid w:val="0"/>
        </w:rPr>
        <w:t>.</w:t>
      </w:r>
      <w:r>
        <w:rPr>
          <w:snapToGrid w:val="0"/>
        </w:rPr>
        <w:tab/>
        <w:t>Conditions cannot be imposed on child under 12</w:t>
      </w:r>
      <w:bookmarkEnd w:id="1128"/>
      <w:bookmarkEnd w:id="1129"/>
      <w:bookmarkEnd w:id="1130"/>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131" w:name="_Toc405453231"/>
      <w:bookmarkStart w:id="1132" w:name="_Toc427933183"/>
      <w:bookmarkStart w:id="1133" w:name="_Toc422303299"/>
      <w:r>
        <w:rPr>
          <w:rStyle w:val="CharSectno"/>
        </w:rPr>
        <w:t>91</w:t>
      </w:r>
      <w:r>
        <w:rPr>
          <w:snapToGrid w:val="0"/>
        </w:rPr>
        <w:t>.</w:t>
      </w:r>
      <w:r>
        <w:rPr>
          <w:snapToGrid w:val="0"/>
        </w:rPr>
        <w:tab/>
        <w:t>Community work, minimum and maximum hours of</w:t>
      </w:r>
      <w:bookmarkEnd w:id="1131"/>
      <w:bookmarkEnd w:id="1132"/>
      <w:bookmarkEnd w:id="1133"/>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134" w:name="_Toc405453232"/>
      <w:bookmarkStart w:id="1135" w:name="_Toc427933184"/>
      <w:bookmarkStart w:id="1136" w:name="_Toc422303300"/>
      <w:r>
        <w:rPr>
          <w:rStyle w:val="CharSectno"/>
        </w:rPr>
        <w:t>92</w:t>
      </w:r>
      <w:r>
        <w:rPr>
          <w:snapToGrid w:val="0"/>
        </w:rPr>
        <w:t>.</w:t>
      </w:r>
      <w:r>
        <w:rPr>
          <w:snapToGrid w:val="0"/>
        </w:rPr>
        <w:tab/>
        <w:t>Offender to attend before Departmental officer</w:t>
      </w:r>
      <w:bookmarkEnd w:id="1134"/>
      <w:bookmarkEnd w:id="1135"/>
      <w:bookmarkEnd w:id="113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137" w:name="_Toc405453233"/>
      <w:bookmarkStart w:id="1138" w:name="_Toc427933185"/>
      <w:bookmarkStart w:id="1139" w:name="_Toc422303301"/>
      <w:r>
        <w:rPr>
          <w:rStyle w:val="CharSectno"/>
        </w:rPr>
        <w:t>93</w:t>
      </w:r>
      <w:r>
        <w:rPr>
          <w:snapToGrid w:val="0"/>
        </w:rPr>
        <w:t>.</w:t>
      </w:r>
      <w:r>
        <w:rPr>
          <w:snapToGrid w:val="0"/>
        </w:rPr>
        <w:tab/>
        <w:t>Performing the work</w:t>
      </w:r>
      <w:bookmarkEnd w:id="1137"/>
      <w:bookmarkEnd w:id="1138"/>
      <w:bookmarkEnd w:id="113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140" w:name="_Toc405453234"/>
      <w:bookmarkStart w:id="1141" w:name="_Toc427933186"/>
      <w:bookmarkStart w:id="1142" w:name="_Toc422303302"/>
      <w:r>
        <w:rPr>
          <w:rStyle w:val="CharSectno"/>
        </w:rPr>
        <w:t>94</w:t>
      </w:r>
      <w:r>
        <w:rPr>
          <w:snapToGrid w:val="0"/>
        </w:rPr>
        <w:t>.</w:t>
      </w:r>
      <w:r>
        <w:rPr>
          <w:snapToGrid w:val="0"/>
        </w:rPr>
        <w:tab/>
        <w:t>Regulations relating to community work conditions</w:t>
      </w:r>
      <w:bookmarkEnd w:id="1140"/>
      <w:bookmarkEnd w:id="1141"/>
      <w:bookmarkEnd w:id="1142"/>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143" w:name="_Toc405453235"/>
      <w:bookmarkStart w:id="1144" w:name="_Toc413336960"/>
      <w:bookmarkStart w:id="1145" w:name="_Toc413337236"/>
      <w:bookmarkStart w:id="1146" w:name="_Toc413337067"/>
      <w:bookmarkStart w:id="1147" w:name="_Toc422303303"/>
      <w:bookmarkStart w:id="1148" w:name="_Toc427932516"/>
      <w:bookmarkStart w:id="1149" w:name="_Toc427933187"/>
      <w:r>
        <w:rPr>
          <w:snapToGrid w:val="0"/>
        </w:rPr>
        <w:t>Subdivision 3 — Supervision conditions</w:t>
      </w:r>
      <w:bookmarkEnd w:id="1143"/>
      <w:bookmarkEnd w:id="1144"/>
      <w:bookmarkEnd w:id="1145"/>
      <w:bookmarkEnd w:id="1146"/>
      <w:bookmarkEnd w:id="1147"/>
      <w:bookmarkEnd w:id="1148"/>
      <w:bookmarkEnd w:id="1149"/>
      <w:r>
        <w:rPr>
          <w:snapToGrid w:val="0"/>
        </w:rPr>
        <w:t xml:space="preserve"> </w:t>
      </w:r>
    </w:p>
    <w:p>
      <w:pPr>
        <w:pStyle w:val="Heading5"/>
        <w:rPr>
          <w:snapToGrid w:val="0"/>
        </w:rPr>
      </w:pPr>
      <w:bookmarkStart w:id="1150" w:name="_Toc405453236"/>
      <w:bookmarkStart w:id="1151" w:name="_Toc427933188"/>
      <w:bookmarkStart w:id="1152" w:name="_Toc422303304"/>
      <w:r>
        <w:rPr>
          <w:rStyle w:val="CharSectno"/>
        </w:rPr>
        <w:t>95</w:t>
      </w:r>
      <w:r>
        <w:rPr>
          <w:snapToGrid w:val="0"/>
        </w:rPr>
        <w:t>.</w:t>
      </w:r>
      <w:r>
        <w:rPr>
          <w:snapToGrid w:val="0"/>
        </w:rPr>
        <w:tab/>
        <w:t>Requirement to be supervised</w:t>
      </w:r>
      <w:bookmarkEnd w:id="1150"/>
      <w:bookmarkEnd w:id="1151"/>
      <w:bookmarkEnd w:id="115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153" w:name="_Toc405453237"/>
      <w:bookmarkStart w:id="1154" w:name="_Toc427933189"/>
      <w:bookmarkStart w:id="1155" w:name="_Toc422303305"/>
      <w:r>
        <w:rPr>
          <w:rStyle w:val="CharSectno"/>
        </w:rPr>
        <w:t>96</w:t>
      </w:r>
      <w:r>
        <w:rPr>
          <w:snapToGrid w:val="0"/>
        </w:rPr>
        <w:t>.</w:t>
      </w:r>
      <w:r>
        <w:rPr>
          <w:snapToGrid w:val="0"/>
        </w:rPr>
        <w:tab/>
        <w:t>Duration of supervision</w:t>
      </w:r>
      <w:bookmarkEnd w:id="1153"/>
      <w:bookmarkEnd w:id="1154"/>
      <w:bookmarkEnd w:id="115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156" w:name="_Toc405453238"/>
      <w:bookmarkStart w:id="1157" w:name="_Toc427933190"/>
      <w:bookmarkStart w:id="1158" w:name="_Toc422303306"/>
      <w:r>
        <w:rPr>
          <w:rStyle w:val="CharSectno"/>
        </w:rPr>
        <w:t>97</w:t>
      </w:r>
      <w:r>
        <w:rPr>
          <w:snapToGrid w:val="0"/>
        </w:rPr>
        <w:t>.</w:t>
      </w:r>
      <w:r>
        <w:rPr>
          <w:snapToGrid w:val="0"/>
        </w:rPr>
        <w:tab/>
        <w:t>Changing duration of supervision</w:t>
      </w:r>
      <w:bookmarkEnd w:id="1156"/>
      <w:bookmarkEnd w:id="1157"/>
      <w:bookmarkEnd w:id="115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159" w:name="_Toc405453239"/>
      <w:bookmarkStart w:id="1160" w:name="_Toc413336964"/>
      <w:bookmarkStart w:id="1161" w:name="_Toc413337240"/>
      <w:bookmarkStart w:id="1162" w:name="_Toc413337071"/>
      <w:bookmarkStart w:id="1163" w:name="_Toc422303307"/>
      <w:bookmarkStart w:id="1164" w:name="_Toc427932520"/>
      <w:bookmarkStart w:id="1165" w:name="_Toc427933191"/>
      <w:r>
        <w:rPr>
          <w:rStyle w:val="CharDivNo"/>
        </w:rPr>
        <w:t>Division 7</w:t>
      </w:r>
      <w:r>
        <w:rPr>
          <w:snapToGrid w:val="0"/>
        </w:rPr>
        <w:t> — </w:t>
      </w:r>
      <w:r>
        <w:rPr>
          <w:rStyle w:val="CharDivText"/>
        </w:rPr>
        <w:t>Intensive youth supervision order</w:t>
      </w:r>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405453240"/>
      <w:bookmarkStart w:id="1167" w:name="_Toc427933192"/>
      <w:bookmarkStart w:id="1168" w:name="_Toc422303308"/>
      <w:r>
        <w:rPr>
          <w:rStyle w:val="CharSectno"/>
        </w:rPr>
        <w:t>98</w:t>
      </w:r>
      <w:r>
        <w:rPr>
          <w:snapToGrid w:val="0"/>
        </w:rPr>
        <w:t>.</w:t>
      </w:r>
      <w:r>
        <w:rPr>
          <w:snapToGrid w:val="0"/>
        </w:rPr>
        <w:tab/>
        <w:t>Intensive youth supervision order, nature of</w:t>
      </w:r>
      <w:bookmarkEnd w:id="1166"/>
      <w:bookmarkEnd w:id="1167"/>
      <w:bookmarkEnd w:id="1168"/>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169" w:name="_Toc405453241"/>
      <w:bookmarkStart w:id="1170" w:name="_Toc427933193"/>
      <w:bookmarkStart w:id="1171" w:name="_Toc422303309"/>
      <w:r>
        <w:rPr>
          <w:rStyle w:val="CharSectno"/>
        </w:rPr>
        <w:t>99</w:t>
      </w:r>
      <w:r>
        <w:rPr>
          <w:snapToGrid w:val="0"/>
        </w:rPr>
        <w:t>.</w:t>
      </w:r>
      <w:r>
        <w:rPr>
          <w:snapToGrid w:val="0"/>
        </w:rPr>
        <w:tab/>
        <w:t>Order may be made with or without custodial sentence</w:t>
      </w:r>
      <w:bookmarkEnd w:id="1169"/>
      <w:bookmarkEnd w:id="1170"/>
      <w:bookmarkEnd w:id="117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172" w:name="_Toc405453242"/>
      <w:bookmarkStart w:id="1173" w:name="_Toc427933194"/>
      <w:bookmarkStart w:id="1174" w:name="_Toc422303310"/>
      <w:r>
        <w:rPr>
          <w:rStyle w:val="CharSectno"/>
        </w:rPr>
        <w:t>100</w:t>
      </w:r>
      <w:r>
        <w:rPr>
          <w:snapToGrid w:val="0"/>
        </w:rPr>
        <w:t>.</w:t>
      </w:r>
      <w:r>
        <w:rPr>
          <w:snapToGrid w:val="0"/>
        </w:rPr>
        <w:tab/>
        <w:t>Order without custodial sentence</w:t>
      </w:r>
      <w:bookmarkEnd w:id="1172"/>
      <w:bookmarkEnd w:id="1173"/>
      <w:bookmarkEnd w:id="117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175" w:name="_Toc405453243"/>
      <w:bookmarkStart w:id="1176" w:name="_Toc427933195"/>
      <w:bookmarkStart w:id="1177" w:name="_Toc422303311"/>
      <w:r>
        <w:rPr>
          <w:rStyle w:val="CharSectno"/>
        </w:rPr>
        <w:t>101</w:t>
      </w:r>
      <w:r>
        <w:rPr>
          <w:snapToGrid w:val="0"/>
        </w:rPr>
        <w:t>.</w:t>
      </w:r>
      <w:r>
        <w:rPr>
          <w:snapToGrid w:val="0"/>
        </w:rPr>
        <w:tab/>
        <w:t>Order with custodial sentence (conditional release order)</w:t>
      </w:r>
      <w:bookmarkEnd w:id="1175"/>
      <w:bookmarkEnd w:id="1176"/>
      <w:bookmarkEnd w:id="117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178" w:name="_Toc405453244"/>
      <w:bookmarkStart w:id="1179" w:name="_Toc427933196"/>
      <w:bookmarkStart w:id="1180" w:name="_Toc422303312"/>
      <w:r>
        <w:rPr>
          <w:rStyle w:val="CharSectno"/>
        </w:rPr>
        <w:t>102</w:t>
      </w:r>
      <w:r>
        <w:rPr>
          <w:snapToGrid w:val="0"/>
        </w:rPr>
        <w:t>.</w:t>
      </w:r>
      <w:r>
        <w:rPr>
          <w:snapToGrid w:val="0"/>
        </w:rPr>
        <w:tab/>
        <w:t>Conditional release order to include agenda of conditions</w:t>
      </w:r>
      <w:bookmarkEnd w:id="1178"/>
      <w:bookmarkEnd w:id="1179"/>
      <w:bookmarkEnd w:id="1180"/>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1181" w:name="_Toc405453245"/>
      <w:bookmarkStart w:id="1182" w:name="_Toc427933197"/>
      <w:bookmarkStart w:id="1183" w:name="_Toc422303313"/>
      <w:r>
        <w:rPr>
          <w:rStyle w:val="CharSectno"/>
        </w:rPr>
        <w:t>103</w:t>
      </w:r>
      <w:r>
        <w:rPr>
          <w:snapToGrid w:val="0"/>
        </w:rPr>
        <w:t>.</w:t>
      </w:r>
      <w:r>
        <w:rPr>
          <w:snapToGrid w:val="0"/>
        </w:rPr>
        <w:tab/>
        <w:t>Offender must be suitable and consent</w:t>
      </w:r>
      <w:bookmarkEnd w:id="1181"/>
      <w:bookmarkEnd w:id="1182"/>
      <w:bookmarkEnd w:id="1183"/>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1184" w:name="_Toc405453246"/>
      <w:bookmarkStart w:id="1185" w:name="_Toc427933198"/>
      <w:bookmarkStart w:id="1186" w:name="_Toc422303314"/>
      <w:r>
        <w:rPr>
          <w:rStyle w:val="CharSectno"/>
        </w:rPr>
        <w:t>104</w:t>
      </w:r>
      <w:r>
        <w:rPr>
          <w:snapToGrid w:val="0"/>
        </w:rPr>
        <w:t>.</w:t>
      </w:r>
      <w:r>
        <w:rPr>
          <w:snapToGrid w:val="0"/>
        </w:rPr>
        <w:tab/>
        <w:t>Agenda proposal required for suitable person</w:t>
      </w:r>
      <w:bookmarkEnd w:id="1184"/>
      <w:bookmarkEnd w:id="1185"/>
      <w:bookmarkEnd w:id="118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1187" w:name="_Toc405453247"/>
      <w:bookmarkStart w:id="1188" w:name="_Toc427933199"/>
      <w:bookmarkStart w:id="1189" w:name="_Toc422303315"/>
      <w:r>
        <w:rPr>
          <w:rStyle w:val="CharSectno"/>
        </w:rPr>
        <w:t>105</w:t>
      </w:r>
      <w:r>
        <w:rPr>
          <w:snapToGrid w:val="0"/>
        </w:rPr>
        <w:t>.</w:t>
      </w:r>
      <w:r>
        <w:rPr>
          <w:snapToGrid w:val="0"/>
        </w:rPr>
        <w:tab/>
        <w:t>Conditional release order, duration of</w:t>
      </w:r>
      <w:bookmarkEnd w:id="1187"/>
      <w:bookmarkEnd w:id="1188"/>
      <w:bookmarkEnd w:id="1189"/>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190" w:name="_Toc405453248"/>
      <w:bookmarkStart w:id="1191" w:name="_Toc427933200"/>
      <w:bookmarkStart w:id="1192" w:name="_Toc422303316"/>
      <w:r>
        <w:rPr>
          <w:rStyle w:val="CharSectno"/>
        </w:rPr>
        <w:t>106</w:t>
      </w:r>
      <w:r>
        <w:rPr>
          <w:snapToGrid w:val="0"/>
        </w:rPr>
        <w:t>.</w:t>
      </w:r>
      <w:r>
        <w:rPr>
          <w:snapToGrid w:val="0"/>
        </w:rPr>
        <w:tab/>
        <w:t>Conditional release order may relate to several sentences</w:t>
      </w:r>
      <w:bookmarkEnd w:id="1190"/>
      <w:bookmarkEnd w:id="1191"/>
      <w:bookmarkEnd w:id="119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193" w:name="_Toc405453249"/>
      <w:bookmarkStart w:id="1194" w:name="_Toc427933201"/>
      <w:bookmarkStart w:id="1195" w:name="_Toc422303317"/>
      <w:r>
        <w:rPr>
          <w:rStyle w:val="CharSectno"/>
        </w:rPr>
        <w:t>107</w:t>
      </w:r>
      <w:r>
        <w:rPr>
          <w:snapToGrid w:val="0"/>
        </w:rPr>
        <w:t>.</w:t>
      </w:r>
      <w:r>
        <w:rPr>
          <w:snapToGrid w:val="0"/>
        </w:rPr>
        <w:tab/>
        <w:t>Conditional release not to exceed 12 months</w:t>
      </w:r>
      <w:bookmarkEnd w:id="1193"/>
      <w:bookmarkEnd w:id="1194"/>
      <w:bookmarkEnd w:id="119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196" w:name="_Toc405453250"/>
      <w:bookmarkStart w:id="1197" w:name="_Toc427933202"/>
      <w:bookmarkStart w:id="1198" w:name="_Toc422303318"/>
      <w:r>
        <w:rPr>
          <w:rStyle w:val="CharSectno"/>
        </w:rPr>
        <w:t>108</w:t>
      </w:r>
      <w:r>
        <w:rPr>
          <w:snapToGrid w:val="0"/>
        </w:rPr>
        <w:t>.</w:t>
      </w:r>
      <w:r>
        <w:rPr>
          <w:snapToGrid w:val="0"/>
        </w:rPr>
        <w:tab/>
        <w:t>Supervising officer</w:t>
      </w:r>
      <w:bookmarkEnd w:id="1196"/>
      <w:bookmarkEnd w:id="1197"/>
      <w:bookmarkEnd w:id="119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1199" w:name="_Toc405453251"/>
      <w:bookmarkStart w:id="1200" w:name="_Toc427933203"/>
      <w:bookmarkStart w:id="1201" w:name="_Toc422303319"/>
      <w:r>
        <w:rPr>
          <w:rStyle w:val="CharSectno"/>
        </w:rPr>
        <w:t>109</w:t>
      </w:r>
      <w:r>
        <w:rPr>
          <w:snapToGrid w:val="0"/>
        </w:rPr>
        <w:t>.</w:t>
      </w:r>
      <w:r>
        <w:rPr>
          <w:snapToGrid w:val="0"/>
        </w:rPr>
        <w:tab/>
        <w:t>Conditional release order, implied conditions of</w:t>
      </w:r>
      <w:bookmarkEnd w:id="1199"/>
      <w:bookmarkEnd w:id="1200"/>
      <w:bookmarkEnd w:id="120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202" w:name="_Toc405453252"/>
      <w:bookmarkStart w:id="1203" w:name="_Toc427933204"/>
      <w:bookmarkStart w:id="1204" w:name="_Toc422303320"/>
      <w:r>
        <w:rPr>
          <w:rStyle w:val="CharSectno"/>
        </w:rPr>
        <w:t>109A</w:t>
      </w:r>
      <w:r>
        <w:rPr>
          <w:snapToGrid w:val="0"/>
        </w:rPr>
        <w:t>.</w:t>
      </w:r>
      <w:r>
        <w:rPr>
          <w:snapToGrid w:val="0"/>
        </w:rPr>
        <w:tab/>
        <w:t>Conditional release order: specified places</w:t>
      </w:r>
      <w:bookmarkEnd w:id="1202"/>
      <w:bookmarkEnd w:id="1203"/>
      <w:bookmarkEnd w:id="120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1205" w:name="_Toc405453253"/>
      <w:bookmarkStart w:id="1206" w:name="_Toc427933205"/>
      <w:bookmarkStart w:id="1207" w:name="_Toc422303321"/>
      <w:r>
        <w:rPr>
          <w:rStyle w:val="CharSectno"/>
        </w:rPr>
        <w:t>109B</w:t>
      </w:r>
      <w:r>
        <w:rPr>
          <w:snapToGrid w:val="0"/>
        </w:rPr>
        <w:t>.</w:t>
      </w:r>
      <w:r>
        <w:rPr>
          <w:snapToGrid w:val="0"/>
        </w:rPr>
        <w:tab/>
        <w:t>Conditional release order: devices</w:t>
      </w:r>
      <w:bookmarkEnd w:id="1205"/>
      <w:bookmarkEnd w:id="1206"/>
      <w:bookmarkEnd w:id="1207"/>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1208" w:name="_Toc405453254"/>
      <w:bookmarkStart w:id="1209" w:name="_Toc427933206"/>
      <w:bookmarkStart w:id="1210" w:name="_Toc422303322"/>
      <w:r>
        <w:rPr>
          <w:rStyle w:val="CharSectno"/>
        </w:rPr>
        <w:t>110</w:t>
      </w:r>
      <w:r>
        <w:rPr>
          <w:snapToGrid w:val="0"/>
        </w:rPr>
        <w:t>.</w:t>
      </w:r>
      <w:r>
        <w:rPr>
          <w:snapToGrid w:val="0"/>
        </w:rPr>
        <w:tab/>
        <w:t>Obligations under order may be suspended</w:t>
      </w:r>
      <w:bookmarkEnd w:id="1208"/>
      <w:bookmarkEnd w:id="1209"/>
      <w:bookmarkEnd w:id="121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1211" w:name="_Toc405453255"/>
      <w:bookmarkStart w:id="1212" w:name="_Toc427933207"/>
      <w:bookmarkStart w:id="1213" w:name="_Toc422303323"/>
      <w:r>
        <w:rPr>
          <w:rStyle w:val="CharSectno"/>
        </w:rPr>
        <w:t>111</w:t>
      </w:r>
      <w:r>
        <w:rPr>
          <w:snapToGrid w:val="0"/>
        </w:rPr>
        <w:t>.</w:t>
      </w:r>
      <w:r>
        <w:rPr>
          <w:snapToGrid w:val="0"/>
        </w:rPr>
        <w:tab/>
        <w:t>Amendment of order, extent of power</w:t>
      </w:r>
      <w:bookmarkEnd w:id="1211"/>
      <w:bookmarkEnd w:id="1212"/>
      <w:bookmarkEnd w:id="1213"/>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1214" w:name="_Toc405453256"/>
      <w:bookmarkStart w:id="1215" w:name="_Toc427933208"/>
      <w:bookmarkStart w:id="1216" w:name="_Toc422303324"/>
      <w:r>
        <w:rPr>
          <w:rStyle w:val="CharSectno"/>
        </w:rPr>
        <w:t>112</w:t>
      </w:r>
      <w:r>
        <w:rPr>
          <w:snapToGrid w:val="0"/>
        </w:rPr>
        <w:t>.</w:t>
      </w:r>
      <w:r>
        <w:rPr>
          <w:snapToGrid w:val="0"/>
        </w:rPr>
        <w:tab/>
        <w:t>Amendment or cancellation of order</w:t>
      </w:r>
      <w:bookmarkEnd w:id="1214"/>
      <w:bookmarkEnd w:id="1215"/>
      <w:bookmarkEnd w:id="1216"/>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217" w:name="_Toc405453257"/>
      <w:bookmarkStart w:id="1218" w:name="_Toc427933209"/>
      <w:bookmarkStart w:id="1219" w:name="_Toc422303325"/>
      <w:r>
        <w:rPr>
          <w:rStyle w:val="CharSectno"/>
        </w:rPr>
        <w:t>113</w:t>
      </w:r>
      <w:r>
        <w:rPr>
          <w:snapToGrid w:val="0"/>
        </w:rPr>
        <w:t>.</w:t>
      </w:r>
      <w:r>
        <w:rPr>
          <w:snapToGrid w:val="0"/>
        </w:rPr>
        <w:tab/>
        <w:t>Breach of order, CEO may require offender to attend court</w:t>
      </w:r>
      <w:bookmarkEnd w:id="1217"/>
      <w:bookmarkEnd w:id="1218"/>
      <w:bookmarkEnd w:id="121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20" w:name="_Toc405453258"/>
      <w:bookmarkStart w:id="1221" w:name="_Toc427933210"/>
      <w:bookmarkStart w:id="1222" w:name="_Toc422303326"/>
      <w:r>
        <w:rPr>
          <w:rStyle w:val="CharSectno"/>
        </w:rPr>
        <w:t>114</w:t>
      </w:r>
      <w:r>
        <w:rPr>
          <w:snapToGrid w:val="0"/>
        </w:rPr>
        <w:t>.</w:t>
      </w:r>
      <w:r>
        <w:rPr>
          <w:snapToGrid w:val="0"/>
        </w:rPr>
        <w:tab/>
        <w:t>Breach of order, powers to deal with</w:t>
      </w:r>
      <w:bookmarkEnd w:id="1220"/>
      <w:bookmarkEnd w:id="1221"/>
      <w:bookmarkEnd w:id="12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223" w:name="_Toc405453259"/>
      <w:bookmarkStart w:id="1224" w:name="_Toc427933211"/>
      <w:bookmarkStart w:id="1225" w:name="_Toc422303327"/>
      <w:r>
        <w:rPr>
          <w:rStyle w:val="CharSectno"/>
        </w:rPr>
        <w:t>115</w:t>
      </w:r>
      <w:r>
        <w:rPr>
          <w:snapToGrid w:val="0"/>
        </w:rPr>
        <w:t>.</w:t>
      </w:r>
      <w:r>
        <w:rPr>
          <w:snapToGrid w:val="0"/>
        </w:rPr>
        <w:tab/>
        <w:t>Conditional release order, effect of expiry of</w:t>
      </w:r>
      <w:bookmarkEnd w:id="1223"/>
      <w:bookmarkEnd w:id="1224"/>
      <w:bookmarkEnd w:id="122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1226" w:name="_Toc405453260"/>
      <w:bookmarkStart w:id="1227" w:name="_Toc427933212"/>
      <w:bookmarkStart w:id="1228" w:name="_Toc422303328"/>
      <w:r>
        <w:rPr>
          <w:rStyle w:val="CharSectno"/>
        </w:rPr>
        <w:t>116</w:t>
      </w:r>
      <w:r>
        <w:rPr>
          <w:snapToGrid w:val="0"/>
        </w:rPr>
        <w:t>.</w:t>
      </w:r>
      <w:r>
        <w:rPr>
          <w:snapToGrid w:val="0"/>
        </w:rPr>
        <w:tab/>
        <w:t>Cancellation of conditional release order, effect of</w:t>
      </w:r>
      <w:bookmarkEnd w:id="1226"/>
      <w:bookmarkEnd w:id="1227"/>
      <w:bookmarkEnd w:id="122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1229" w:name="_Toc405453261"/>
      <w:bookmarkStart w:id="1230" w:name="_Toc427933213"/>
      <w:bookmarkStart w:id="1231" w:name="_Toc422303329"/>
      <w:r>
        <w:rPr>
          <w:rStyle w:val="CharSectno"/>
        </w:rPr>
        <w:t>117</w:t>
      </w:r>
      <w:r>
        <w:rPr>
          <w:snapToGrid w:val="0"/>
        </w:rPr>
        <w:t>.</w:t>
      </w:r>
      <w:r>
        <w:rPr>
          <w:snapToGrid w:val="0"/>
        </w:rPr>
        <w:tab/>
        <w:t>Notice of court applications</w:t>
      </w:r>
      <w:bookmarkEnd w:id="1229"/>
      <w:bookmarkEnd w:id="1230"/>
      <w:bookmarkEnd w:id="123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1232" w:name="_Toc405453262"/>
      <w:bookmarkStart w:id="1233" w:name="_Toc413336987"/>
      <w:bookmarkStart w:id="1234" w:name="_Toc413337263"/>
      <w:bookmarkStart w:id="1235" w:name="_Toc413337378"/>
      <w:bookmarkStart w:id="1236" w:name="_Toc422303330"/>
      <w:bookmarkStart w:id="1237" w:name="_Toc427932543"/>
      <w:bookmarkStart w:id="1238" w:name="_Toc427933214"/>
      <w:r>
        <w:rPr>
          <w:rStyle w:val="CharDivNo"/>
        </w:rPr>
        <w:t>Division 8</w:t>
      </w:r>
      <w:r>
        <w:rPr>
          <w:snapToGrid w:val="0"/>
        </w:rPr>
        <w:t> — </w:t>
      </w:r>
      <w:r>
        <w:rPr>
          <w:rStyle w:val="CharDivText"/>
        </w:rPr>
        <w:t>Custodial sentence</w:t>
      </w:r>
      <w:bookmarkEnd w:id="1232"/>
      <w:bookmarkEnd w:id="1233"/>
      <w:bookmarkEnd w:id="1234"/>
      <w:bookmarkEnd w:id="1235"/>
      <w:bookmarkEnd w:id="1236"/>
      <w:bookmarkEnd w:id="1237"/>
      <w:bookmarkEnd w:id="1238"/>
      <w:r>
        <w:rPr>
          <w:rStyle w:val="CharDivText"/>
        </w:rPr>
        <w:t xml:space="preserve"> </w:t>
      </w:r>
    </w:p>
    <w:p>
      <w:pPr>
        <w:pStyle w:val="Heading5"/>
        <w:spacing w:before="240"/>
        <w:rPr>
          <w:snapToGrid w:val="0"/>
        </w:rPr>
      </w:pPr>
      <w:bookmarkStart w:id="1239" w:name="_Toc405453263"/>
      <w:bookmarkStart w:id="1240" w:name="_Toc427933215"/>
      <w:bookmarkStart w:id="1241" w:name="_Toc422303331"/>
      <w:r>
        <w:rPr>
          <w:rStyle w:val="CharSectno"/>
        </w:rPr>
        <w:t>118</w:t>
      </w:r>
      <w:r>
        <w:rPr>
          <w:snapToGrid w:val="0"/>
        </w:rPr>
        <w:t>.</w:t>
      </w:r>
      <w:r>
        <w:rPr>
          <w:snapToGrid w:val="0"/>
        </w:rPr>
        <w:tab/>
        <w:t>Offences punishable by imprisonment, options</w:t>
      </w:r>
      <w:bookmarkEnd w:id="1239"/>
      <w:bookmarkEnd w:id="1240"/>
      <w:bookmarkEnd w:id="1241"/>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242" w:name="_Toc405453264"/>
      <w:bookmarkStart w:id="1243" w:name="_Toc427933216"/>
      <w:bookmarkStart w:id="1244" w:name="_Toc422303332"/>
      <w:r>
        <w:rPr>
          <w:rStyle w:val="CharSectno"/>
        </w:rPr>
        <w:t>118A</w:t>
      </w:r>
      <w:r>
        <w:rPr>
          <w:snapToGrid w:val="0"/>
        </w:rPr>
        <w:t>.</w:t>
      </w:r>
      <w:r>
        <w:rPr>
          <w:snapToGrid w:val="0"/>
        </w:rPr>
        <w:tab/>
        <w:t>Where sentence of imprisonment to be served</w:t>
      </w:r>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245" w:name="_Toc405453265"/>
      <w:bookmarkStart w:id="1246" w:name="_Toc427933217"/>
      <w:bookmarkStart w:id="1247" w:name="_Toc422303333"/>
      <w:r>
        <w:rPr>
          <w:rStyle w:val="CharSectno"/>
        </w:rPr>
        <w:t>119</w:t>
      </w:r>
      <w:r>
        <w:t>.</w:t>
      </w:r>
      <w:r>
        <w:tab/>
        <w:t>Taking time on remand into account</w:t>
      </w:r>
      <w:bookmarkEnd w:id="1245"/>
      <w:bookmarkEnd w:id="1246"/>
      <w:bookmarkEnd w:id="124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248" w:name="_Toc405453266"/>
      <w:bookmarkStart w:id="1249" w:name="_Toc427933218"/>
      <w:bookmarkStart w:id="1250" w:name="_Toc422303334"/>
      <w:r>
        <w:rPr>
          <w:rStyle w:val="CharSectno"/>
        </w:rPr>
        <w:t>119A</w:t>
      </w:r>
      <w:r>
        <w:t>.</w:t>
      </w:r>
      <w:r>
        <w:tab/>
        <w:t>Effect of not being in custody</w:t>
      </w:r>
      <w:bookmarkEnd w:id="1248"/>
      <w:bookmarkEnd w:id="1249"/>
      <w:bookmarkEnd w:id="125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251" w:name="_Toc405453267"/>
      <w:bookmarkStart w:id="1252" w:name="_Toc427933219"/>
      <w:bookmarkStart w:id="1253" w:name="_Toc422303335"/>
      <w:r>
        <w:rPr>
          <w:rStyle w:val="CharSectno"/>
        </w:rPr>
        <w:t>120</w:t>
      </w:r>
      <w:r>
        <w:rPr>
          <w:snapToGrid w:val="0"/>
        </w:rPr>
        <w:t>.</w:t>
      </w:r>
      <w:r>
        <w:rPr>
          <w:snapToGrid w:val="0"/>
        </w:rPr>
        <w:tab/>
        <w:t>Custodial sentence is sentence of last resort</w:t>
      </w:r>
      <w:bookmarkEnd w:id="1251"/>
      <w:bookmarkEnd w:id="1252"/>
      <w:bookmarkEnd w:id="125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1254" w:name="_Toc405453268"/>
      <w:bookmarkStart w:id="1255" w:name="_Toc427933220"/>
      <w:bookmarkStart w:id="1256" w:name="_Toc422303336"/>
      <w:r>
        <w:rPr>
          <w:rStyle w:val="CharSectno"/>
        </w:rPr>
        <w:t>121</w:t>
      </w:r>
      <w:r>
        <w:rPr>
          <w:snapToGrid w:val="0"/>
        </w:rPr>
        <w:t>.</w:t>
      </w:r>
      <w:r>
        <w:rPr>
          <w:snapToGrid w:val="0"/>
        </w:rPr>
        <w:tab/>
        <w:t>Minimum period before release from detention</w:t>
      </w:r>
      <w:bookmarkEnd w:id="1254"/>
      <w:bookmarkEnd w:id="1255"/>
      <w:bookmarkEnd w:id="125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0.5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257" w:name="_Toc405453269"/>
      <w:bookmarkStart w:id="1258" w:name="_Toc427933221"/>
      <w:bookmarkStart w:id="1259" w:name="_Toc422303337"/>
      <w:r>
        <w:rPr>
          <w:rStyle w:val="CharSectno"/>
        </w:rPr>
        <w:t>122</w:t>
      </w:r>
      <w:r>
        <w:rPr>
          <w:snapToGrid w:val="0"/>
        </w:rPr>
        <w:t>.</w:t>
      </w:r>
      <w:r>
        <w:rPr>
          <w:snapToGrid w:val="0"/>
        </w:rPr>
        <w:tab/>
        <w:t>Aggregation of multiple sentences of detention</w:t>
      </w:r>
      <w:bookmarkEnd w:id="1257"/>
      <w:bookmarkEnd w:id="1258"/>
      <w:bookmarkEnd w:id="125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260" w:name="_Toc405453270"/>
      <w:bookmarkStart w:id="1261" w:name="_Toc427933222"/>
      <w:bookmarkStart w:id="1262" w:name="_Toc422303338"/>
      <w:r>
        <w:rPr>
          <w:rStyle w:val="CharSectno"/>
        </w:rPr>
        <w:t>123</w:t>
      </w:r>
      <w:r>
        <w:rPr>
          <w:snapToGrid w:val="0"/>
        </w:rPr>
        <w:t>.</w:t>
      </w:r>
      <w:r>
        <w:rPr>
          <w:snapToGrid w:val="0"/>
        </w:rPr>
        <w:tab/>
        <w:t>Cumulative sentences of detention, service of</w:t>
      </w:r>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263" w:name="_Toc405453271"/>
      <w:bookmarkStart w:id="1264" w:name="_Toc413336996"/>
      <w:bookmarkStart w:id="1265" w:name="_Toc413337272"/>
      <w:bookmarkStart w:id="1266" w:name="_Toc413337387"/>
      <w:bookmarkStart w:id="1267" w:name="_Toc422303339"/>
      <w:bookmarkStart w:id="1268" w:name="_Toc427932552"/>
      <w:bookmarkStart w:id="1269" w:name="_Toc427933223"/>
      <w:r>
        <w:rPr>
          <w:rStyle w:val="CharDivNo"/>
        </w:rPr>
        <w:t>Division 9</w:t>
      </w:r>
      <w:r>
        <w:rPr>
          <w:snapToGrid w:val="0"/>
        </w:rPr>
        <w:t> — </w:t>
      </w:r>
      <w:r>
        <w:rPr>
          <w:rStyle w:val="CharDivText"/>
        </w:rPr>
        <w:t>Dealing with young person who repeatedly commits serious offences</w:t>
      </w:r>
      <w:bookmarkEnd w:id="1263"/>
      <w:bookmarkEnd w:id="1264"/>
      <w:bookmarkEnd w:id="1265"/>
      <w:bookmarkEnd w:id="1266"/>
      <w:bookmarkEnd w:id="1267"/>
      <w:bookmarkEnd w:id="1268"/>
      <w:bookmarkEnd w:id="1269"/>
      <w:r>
        <w:rPr>
          <w:rStyle w:val="CharDivText"/>
        </w:rPr>
        <w:t xml:space="preserve"> </w:t>
      </w:r>
    </w:p>
    <w:p>
      <w:pPr>
        <w:pStyle w:val="Heading5"/>
        <w:rPr>
          <w:snapToGrid w:val="0"/>
        </w:rPr>
      </w:pPr>
      <w:bookmarkStart w:id="1270" w:name="_Toc405453272"/>
      <w:bookmarkStart w:id="1271" w:name="_Toc427933224"/>
      <w:bookmarkStart w:id="1272" w:name="_Toc422303340"/>
      <w:r>
        <w:rPr>
          <w:rStyle w:val="CharSectno"/>
        </w:rPr>
        <w:t>124</w:t>
      </w:r>
      <w:r>
        <w:rPr>
          <w:snapToGrid w:val="0"/>
        </w:rPr>
        <w:t>.</w:t>
      </w:r>
      <w:r>
        <w:rPr>
          <w:snapToGrid w:val="0"/>
        </w:rPr>
        <w:tab/>
        <w:t>When this Division applies</w:t>
      </w:r>
      <w:bookmarkEnd w:id="1270"/>
      <w:bookmarkEnd w:id="1271"/>
      <w:bookmarkEnd w:id="1272"/>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273" w:name="_Toc405453273"/>
      <w:bookmarkStart w:id="1274" w:name="_Toc427933225"/>
      <w:bookmarkStart w:id="1275" w:name="_Toc422303341"/>
      <w:r>
        <w:rPr>
          <w:rStyle w:val="CharSectno"/>
        </w:rPr>
        <w:t>125</w:t>
      </w:r>
      <w:r>
        <w:rPr>
          <w:snapToGrid w:val="0"/>
        </w:rPr>
        <w:t>.</w:t>
      </w:r>
      <w:r>
        <w:rPr>
          <w:snapToGrid w:val="0"/>
        </w:rPr>
        <w:tab/>
        <w:t>Protection of the community paramount</w:t>
      </w:r>
      <w:bookmarkEnd w:id="1273"/>
      <w:bookmarkEnd w:id="1274"/>
      <w:bookmarkEnd w:id="127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276" w:name="_Toc405453274"/>
      <w:bookmarkStart w:id="1277" w:name="_Toc427933226"/>
      <w:bookmarkStart w:id="1278" w:name="_Toc422303342"/>
      <w:r>
        <w:rPr>
          <w:rStyle w:val="CharSectno"/>
        </w:rPr>
        <w:t>126</w:t>
      </w:r>
      <w:r>
        <w:rPr>
          <w:snapToGrid w:val="0"/>
        </w:rPr>
        <w:t>.</w:t>
      </w:r>
      <w:r>
        <w:rPr>
          <w:snapToGrid w:val="0"/>
        </w:rPr>
        <w:tab/>
        <w:t>Special order, making of</w:t>
      </w:r>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279" w:name="_Toc405453275"/>
      <w:bookmarkStart w:id="1280" w:name="_Toc427933227"/>
      <w:bookmarkStart w:id="1281" w:name="_Toc422303343"/>
      <w:r>
        <w:rPr>
          <w:rStyle w:val="CharSectno"/>
        </w:rPr>
        <w:t>127</w:t>
      </w:r>
      <w:r>
        <w:rPr>
          <w:snapToGrid w:val="0"/>
        </w:rPr>
        <w:t>.</w:t>
      </w:r>
      <w:r>
        <w:rPr>
          <w:snapToGrid w:val="0"/>
        </w:rPr>
        <w:tab/>
        <w:t>Special order, time of operation</w:t>
      </w:r>
      <w:bookmarkEnd w:id="1279"/>
      <w:bookmarkEnd w:id="1280"/>
      <w:bookmarkEnd w:id="1281"/>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282" w:name="_Toc405453276"/>
      <w:bookmarkStart w:id="1283" w:name="_Toc427933228"/>
      <w:bookmarkStart w:id="1284" w:name="_Toc422303344"/>
      <w:r>
        <w:rPr>
          <w:rStyle w:val="CharSectno"/>
        </w:rPr>
        <w:t>128</w:t>
      </w:r>
      <w:r>
        <w:rPr>
          <w:snapToGrid w:val="0"/>
        </w:rPr>
        <w:t>.</w:t>
      </w:r>
      <w:r>
        <w:rPr>
          <w:snapToGrid w:val="0"/>
        </w:rPr>
        <w:tab/>
        <w:t>Special order, effect of</w:t>
      </w:r>
      <w:bookmarkEnd w:id="1282"/>
      <w:bookmarkEnd w:id="1283"/>
      <w:bookmarkEnd w:id="128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285" w:name="_Toc405453277"/>
      <w:bookmarkStart w:id="1286" w:name="_Toc427933229"/>
      <w:bookmarkStart w:id="1287" w:name="_Toc422303345"/>
      <w:r>
        <w:rPr>
          <w:rStyle w:val="CharSectno"/>
        </w:rPr>
        <w:t>129</w:t>
      </w:r>
      <w:r>
        <w:rPr>
          <w:snapToGrid w:val="0"/>
        </w:rPr>
        <w:t>.</w:t>
      </w:r>
      <w:r>
        <w:rPr>
          <w:snapToGrid w:val="0"/>
        </w:rPr>
        <w:tab/>
        <w:t>Special order, application to discharge</w:t>
      </w:r>
      <w:bookmarkEnd w:id="1285"/>
      <w:bookmarkEnd w:id="1286"/>
      <w:bookmarkEnd w:id="1287"/>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288" w:name="_Toc405453278"/>
      <w:bookmarkStart w:id="1289" w:name="_Toc427933230"/>
      <w:bookmarkStart w:id="1290" w:name="_Toc422303346"/>
      <w:r>
        <w:rPr>
          <w:rStyle w:val="CharSectno"/>
        </w:rPr>
        <w:t>130</w:t>
      </w:r>
      <w:r>
        <w:rPr>
          <w:snapToGrid w:val="0"/>
        </w:rPr>
        <w:t>.</w:t>
      </w:r>
      <w:r>
        <w:rPr>
          <w:snapToGrid w:val="0"/>
        </w:rPr>
        <w:tab/>
        <w:t>Special order, effect of expiry of</w:t>
      </w:r>
      <w:bookmarkEnd w:id="1288"/>
      <w:bookmarkEnd w:id="1289"/>
      <w:bookmarkEnd w:id="129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291" w:name="_Toc405453279"/>
      <w:bookmarkStart w:id="1292" w:name="_Toc413337004"/>
      <w:bookmarkStart w:id="1293" w:name="_Toc413337280"/>
      <w:bookmarkStart w:id="1294" w:name="_Toc413337395"/>
      <w:bookmarkStart w:id="1295" w:name="_Toc422303347"/>
      <w:bookmarkStart w:id="1296" w:name="_Toc427932560"/>
      <w:bookmarkStart w:id="1297" w:name="_Toc427933231"/>
      <w:r>
        <w:rPr>
          <w:rStyle w:val="CharPartNo"/>
        </w:rPr>
        <w:t>Part 8</w:t>
      </w:r>
      <w:r>
        <w:t> — </w:t>
      </w:r>
      <w:r>
        <w:rPr>
          <w:rStyle w:val="CharPartText"/>
        </w:rPr>
        <w:t>Supervised release orders</w:t>
      </w:r>
      <w:bookmarkEnd w:id="1291"/>
      <w:bookmarkEnd w:id="1292"/>
      <w:bookmarkEnd w:id="1293"/>
      <w:bookmarkEnd w:id="1294"/>
      <w:bookmarkEnd w:id="1295"/>
      <w:bookmarkEnd w:id="1296"/>
      <w:bookmarkEnd w:id="1297"/>
      <w:r>
        <w:rPr>
          <w:rStyle w:val="CharPartText"/>
        </w:rPr>
        <w:t xml:space="preserve"> </w:t>
      </w:r>
    </w:p>
    <w:p>
      <w:pPr>
        <w:pStyle w:val="Heading3"/>
        <w:rPr>
          <w:snapToGrid w:val="0"/>
        </w:rPr>
      </w:pPr>
      <w:bookmarkStart w:id="1298" w:name="_Toc405453280"/>
      <w:bookmarkStart w:id="1299" w:name="_Toc413337005"/>
      <w:bookmarkStart w:id="1300" w:name="_Toc413337281"/>
      <w:bookmarkStart w:id="1301" w:name="_Toc413337396"/>
      <w:bookmarkStart w:id="1302" w:name="_Toc422303348"/>
      <w:bookmarkStart w:id="1303" w:name="_Toc427932561"/>
      <w:bookmarkStart w:id="1304" w:name="_Toc427933232"/>
      <w:r>
        <w:rPr>
          <w:rStyle w:val="CharDivNo"/>
        </w:rPr>
        <w:t>Division 1</w:t>
      </w:r>
      <w:r>
        <w:rPr>
          <w:snapToGrid w:val="0"/>
        </w:rPr>
        <w:t> — </w:t>
      </w:r>
      <w:r>
        <w:rPr>
          <w:rStyle w:val="CharDivText"/>
        </w:rPr>
        <w:t>Definitions</w:t>
      </w:r>
      <w:bookmarkEnd w:id="1298"/>
      <w:bookmarkEnd w:id="1299"/>
      <w:bookmarkEnd w:id="1300"/>
      <w:bookmarkEnd w:id="1301"/>
      <w:bookmarkEnd w:id="1302"/>
      <w:bookmarkEnd w:id="1303"/>
      <w:bookmarkEnd w:id="1304"/>
      <w:r>
        <w:rPr>
          <w:rStyle w:val="CharDivText"/>
        </w:rPr>
        <w:t xml:space="preserve"> </w:t>
      </w:r>
    </w:p>
    <w:p>
      <w:pPr>
        <w:pStyle w:val="Heading5"/>
        <w:rPr>
          <w:snapToGrid w:val="0"/>
        </w:rPr>
      </w:pPr>
      <w:bookmarkStart w:id="1305" w:name="_Toc405453281"/>
      <w:bookmarkStart w:id="1306" w:name="_Toc427933233"/>
      <w:bookmarkStart w:id="1307" w:name="_Toc422303349"/>
      <w:r>
        <w:rPr>
          <w:rStyle w:val="CharSectno"/>
        </w:rPr>
        <w:t>131</w:t>
      </w:r>
      <w:r>
        <w:rPr>
          <w:snapToGrid w:val="0"/>
        </w:rPr>
        <w:t>.</w:t>
      </w:r>
      <w:r>
        <w:rPr>
          <w:snapToGrid w:val="0"/>
        </w:rPr>
        <w:tab/>
        <w:t>Terms used</w:t>
      </w:r>
      <w:bookmarkEnd w:id="1305"/>
      <w:bookmarkEnd w:id="1306"/>
      <w:bookmarkEnd w:id="130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1308" w:name="_Toc405453282"/>
      <w:bookmarkStart w:id="1309" w:name="_Toc413337007"/>
      <w:bookmarkStart w:id="1310" w:name="_Toc413337283"/>
      <w:bookmarkStart w:id="1311" w:name="_Toc413337398"/>
      <w:bookmarkStart w:id="1312" w:name="_Toc422303350"/>
      <w:bookmarkStart w:id="1313" w:name="_Toc427932563"/>
      <w:bookmarkStart w:id="1314" w:name="_Toc427933234"/>
      <w:r>
        <w:rPr>
          <w:rStyle w:val="CharDivNo"/>
        </w:rPr>
        <w:t>Division 2</w:t>
      </w:r>
      <w:r>
        <w:rPr>
          <w:snapToGrid w:val="0"/>
        </w:rPr>
        <w:t> — </w:t>
      </w:r>
      <w:r>
        <w:rPr>
          <w:rStyle w:val="CharDivText"/>
        </w:rPr>
        <w:t>The order</w:t>
      </w:r>
      <w:bookmarkEnd w:id="1308"/>
      <w:bookmarkEnd w:id="1309"/>
      <w:bookmarkEnd w:id="1310"/>
      <w:bookmarkEnd w:id="1311"/>
      <w:bookmarkEnd w:id="1312"/>
      <w:bookmarkEnd w:id="1313"/>
      <w:bookmarkEnd w:id="1314"/>
      <w:r>
        <w:rPr>
          <w:rStyle w:val="CharDivText"/>
        </w:rPr>
        <w:t xml:space="preserve"> </w:t>
      </w:r>
    </w:p>
    <w:p>
      <w:pPr>
        <w:pStyle w:val="Heading5"/>
        <w:rPr>
          <w:snapToGrid w:val="0"/>
        </w:rPr>
      </w:pPr>
      <w:bookmarkStart w:id="1315" w:name="_Toc405453283"/>
      <w:bookmarkStart w:id="1316" w:name="_Toc427933235"/>
      <w:bookmarkStart w:id="1317" w:name="_Toc422303351"/>
      <w:r>
        <w:rPr>
          <w:rStyle w:val="CharSectno"/>
        </w:rPr>
        <w:t>132</w:t>
      </w:r>
      <w:r>
        <w:rPr>
          <w:snapToGrid w:val="0"/>
        </w:rPr>
        <w:t>.</w:t>
      </w:r>
      <w:r>
        <w:rPr>
          <w:snapToGrid w:val="0"/>
        </w:rPr>
        <w:tab/>
        <w:t>Supervised release order, Board may make</w:t>
      </w:r>
      <w:bookmarkEnd w:id="1315"/>
      <w:bookmarkEnd w:id="1316"/>
      <w:bookmarkEnd w:id="131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318" w:name="_Toc405453284"/>
      <w:bookmarkStart w:id="1319" w:name="_Toc427933236"/>
      <w:bookmarkStart w:id="1320" w:name="_Toc422303352"/>
      <w:r>
        <w:rPr>
          <w:rStyle w:val="CharSectno"/>
        </w:rPr>
        <w:t>133</w:t>
      </w:r>
      <w:r>
        <w:rPr>
          <w:snapToGrid w:val="0"/>
        </w:rPr>
        <w:t>.</w:t>
      </w:r>
      <w:r>
        <w:rPr>
          <w:snapToGrid w:val="0"/>
        </w:rPr>
        <w:tab/>
        <w:t>Supervised release order, when can be made</w:t>
      </w:r>
      <w:bookmarkEnd w:id="1318"/>
      <w:bookmarkEnd w:id="1319"/>
      <w:bookmarkEnd w:id="132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321" w:name="_Toc405453285"/>
      <w:bookmarkStart w:id="1322" w:name="_Toc427933237"/>
      <w:bookmarkStart w:id="1323" w:name="_Toc422303353"/>
      <w:r>
        <w:rPr>
          <w:rStyle w:val="CharSectno"/>
        </w:rPr>
        <w:t>134</w:t>
      </w:r>
      <w:r>
        <w:rPr>
          <w:snapToGrid w:val="0"/>
        </w:rPr>
        <w:t>.</w:t>
      </w:r>
      <w:r>
        <w:rPr>
          <w:snapToGrid w:val="0"/>
        </w:rPr>
        <w:tab/>
        <w:t>Duration of order</w:t>
      </w:r>
      <w:bookmarkEnd w:id="1321"/>
      <w:bookmarkEnd w:id="1322"/>
      <w:bookmarkEnd w:id="132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324" w:name="_Toc405453286"/>
      <w:bookmarkStart w:id="1325" w:name="_Toc427933238"/>
      <w:bookmarkStart w:id="1326" w:name="_Toc422303354"/>
      <w:r>
        <w:rPr>
          <w:rStyle w:val="CharSectno"/>
        </w:rPr>
        <w:t>135</w:t>
      </w:r>
      <w:r>
        <w:rPr>
          <w:snapToGrid w:val="0"/>
        </w:rPr>
        <w:t>.</w:t>
      </w:r>
      <w:r>
        <w:rPr>
          <w:snapToGrid w:val="0"/>
        </w:rPr>
        <w:tab/>
        <w:t>Order may relate to more than one sentence</w:t>
      </w:r>
      <w:bookmarkEnd w:id="1324"/>
      <w:bookmarkEnd w:id="1325"/>
      <w:bookmarkEnd w:id="132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327" w:name="_Toc405453287"/>
      <w:bookmarkStart w:id="1328" w:name="_Toc427933239"/>
      <w:bookmarkStart w:id="1329" w:name="_Toc422303355"/>
      <w:r>
        <w:rPr>
          <w:rStyle w:val="CharSectno"/>
        </w:rPr>
        <w:t>136</w:t>
      </w:r>
      <w:r>
        <w:rPr>
          <w:snapToGrid w:val="0"/>
        </w:rPr>
        <w:t>.</w:t>
      </w:r>
      <w:r>
        <w:rPr>
          <w:snapToGrid w:val="0"/>
        </w:rPr>
        <w:tab/>
        <w:t>Conditions implied in order</w:t>
      </w:r>
      <w:bookmarkEnd w:id="1327"/>
      <w:bookmarkEnd w:id="1328"/>
      <w:bookmarkEnd w:id="132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1330" w:name="_Toc405453288"/>
      <w:bookmarkStart w:id="1331" w:name="_Toc427933240"/>
      <w:bookmarkStart w:id="1332" w:name="_Toc422303356"/>
      <w:r>
        <w:rPr>
          <w:rStyle w:val="CharSectno"/>
        </w:rPr>
        <w:t>136A</w:t>
      </w:r>
      <w:r>
        <w:rPr>
          <w:snapToGrid w:val="0"/>
        </w:rPr>
        <w:t>.</w:t>
      </w:r>
      <w:r>
        <w:rPr>
          <w:snapToGrid w:val="0"/>
        </w:rPr>
        <w:tab/>
        <w:t>Express conditions: specified places</w:t>
      </w:r>
      <w:bookmarkEnd w:id="1330"/>
      <w:bookmarkEnd w:id="1331"/>
      <w:bookmarkEnd w:id="1332"/>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333" w:name="_Toc405453289"/>
      <w:bookmarkStart w:id="1334" w:name="_Toc427933241"/>
      <w:bookmarkStart w:id="1335" w:name="_Toc422303357"/>
      <w:r>
        <w:rPr>
          <w:rStyle w:val="CharSectno"/>
        </w:rPr>
        <w:t>136B</w:t>
      </w:r>
      <w:r>
        <w:t>.</w:t>
      </w:r>
      <w:r>
        <w:tab/>
        <w:t>Express conditions: devices</w:t>
      </w:r>
      <w:bookmarkEnd w:id="1333"/>
      <w:bookmarkEnd w:id="1334"/>
      <w:bookmarkEnd w:id="133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336" w:name="_Toc405453290"/>
      <w:bookmarkStart w:id="1337" w:name="_Toc427933242"/>
      <w:bookmarkStart w:id="1338" w:name="_Toc422303358"/>
      <w:r>
        <w:rPr>
          <w:rStyle w:val="CharSectno"/>
        </w:rPr>
        <w:t>137</w:t>
      </w:r>
      <w:r>
        <w:rPr>
          <w:snapToGrid w:val="0"/>
        </w:rPr>
        <w:t>.</w:t>
      </w:r>
      <w:r>
        <w:rPr>
          <w:snapToGrid w:val="0"/>
        </w:rPr>
        <w:tab/>
        <w:t>Effect of proposed order to be explained to offender</w:t>
      </w:r>
      <w:bookmarkEnd w:id="1336"/>
      <w:bookmarkEnd w:id="1337"/>
      <w:bookmarkEnd w:id="133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339" w:name="_Toc405453291"/>
      <w:bookmarkStart w:id="1340" w:name="_Toc427933243"/>
      <w:bookmarkStart w:id="1341" w:name="_Toc422303359"/>
      <w:r>
        <w:rPr>
          <w:rStyle w:val="CharSectno"/>
        </w:rPr>
        <w:t>138</w:t>
      </w:r>
      <w:r>
        <w:rPr>
          <w:snapToGrid w:val="0"/>
        </w:rPr>
        <w:t>.</w:t>
      </w:r>
      <w:r>
        <w:rPr>
          <w:snapToGrid w:val="0"/>
        </w:rPr>
        <w:tab/>
        <w:t>Order to be provided in writing</w:t>
      </w:r>
      <w:bookmarkEnd w:id="1339"/>
      <w:bookmarkEnd w:id="1340"/>
      <w:bookmarkEnd w:id="134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342" w:name="_Toc405453292"/>
      <w:bookmarkStart w:id="1343" w:name="_Toc427933244"/>
      <w:bookmarkStart w:id="1344" w:name="_Toc422303360"/>
      <w:r>
        <w:rPr>
          <w:rStyle w:val="CharSectno"/>
        </w:rPr>
        <w:t>139</w:t>
      </w:r>
      <w:r>
        <w:rPr>
          <w:snapToGrid w:val="0"/>
        </w:rPr>
        <w:t>.</w:t>
      </w:r>
      <w:r>
        <w:rPr>
          <w:snapToGrid w:val="0"/>
        </w:rPr>
        <w:tab/>
        <w:t>Supervising officer</w:t>
      </w:r>
      <w:bookmarkEnd w:id="1342"/>
      <w:bookmarkEnd w:id="1343"/>
      <w:bookmarkEnd w:id="134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1345" w:name="_Toc405453293"/>
      <w:bookmarkStart w:id="1346" w:name="_Toc427933245"/>
      <w:bookmarkStart w:id="1347" w:name="_Toc422303361"/>
      <w:r>
        <w:rPr>
          <w:rStyle w:val="CharSectno"/>
        </w:rPr>
        <w:t>140</w:t>
      </w:r>
      <w:r>
        <w:rPr>
          <w:snapToGrid w:val="0"/>
        </w:rPr>
        <w:t>.</w:t>
      </w:r>
      <w:r>
        <w:rPr>
          <w:snapToGrid w:val="0"/>
        </w:rPr>
        <w:tab/>
        <w:t>Obligations under order may be suspended</w:t>
      </w:r>
      <w:bookmarkEnd w:id="1345"/>
      <w:bookmarkEnd w:id="1346"/>
      <w:bookmarkEnd w:id="134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348" w:name="_Toc405453294"/>
      <w:bookmarkStart w:id="1349" w:name="_Toc427933246"/>
      <w:bookmarkStart w:id="1350" w:name="_Toc422303362"/>
      <w:r>
        <w:rPr>
          <w:rStyle w:val="CharSectno"/>
        </w:rPr>
        <w:t>141</w:t>
      </w:r>
      <w:r>
        <w:rPr>
          <w:snapToGrid w:val="0"/>
        </w:rPr>
        <w:t>.</w:t>
      </w:r>
      <w:r>
        <w:rPr>
          <w:snapToGrid w:val="0"/>
        </w:rPr>
        <w:tab/>
        <w:t>Amendment of order, extent of power</w:t>
      </w:r>
      <w:bookmarkEnd w:id="1348"/>
      <w:bookmarkEnd w:id="1349"/>
      <w:bookmarkEnd w:id="135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351" w:name="_Toc405453295"/>
      <w:bookmarkStart w:id="1352" w:name="_Toc427933247"/>
      <w:bookmarkStart w:id="1353" w:name="_Toc422303363"/>
      <w:r>
        <w:rPr>
          <w:rStyle w:val="CharSectno"/>
        </w:rPr>
        <w:t>142</w:t>
      </w:r>
      <w:r>
        <w:rPr>
          <w:snapToGrid w:val="0"/>
        </w:rPr>
        <w:t>.</w:t>
      </w:r>
      <w:r>
        <w:rPr>
          <w:snapToGrid w:val="0"/>
        </w:rPr>
        <w:tab/>
        <w:t>Amendment or cancellation of order</w:t>
      </w:r>
      <w:bookmarkEnd w:id="1351"/>
      <w:bookmarkEnd w:id="1352"/>
      <w:bookmarkEnd w:id="1353"/>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354" w:name="_Toc405453296"/>
      <w:bookmarkStart w:id="1355" w:name="_Toc427933248"/>
      <w:bookmarkStart w:id="1356" w:name="_Toc422303364"/>
      <w:r>
        <w:rPr>
          <w:rStyle w:val="CharSectno"/>
        </w:rPr>
        <w:t>143</w:t>
      </w:r>
      <w:r>
        <w:rPr>
          <w:snapToGrid w:val="0"/>
        </w:rPr>
        <w:t>.</w:t>
      </w:r>
      <w:r>
        <w:rPr>
          <w:snapToGrid w:val="0"/>
        </w:rPr>
        <w:tab/>
        <w:t>Cancellation of certain obligations after 6 months’ release</w:t>
      </w:r>
      <w:bookmarkEnd w:id="1354"/>
      <w:bookmarkEnd w:id="1355"/>
      <w:bookmarkEnd w:id="135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357" w:name="_Toc405453297"/>
      <w:bookmarkStart w:id="1358" w:name="_Toc427933249"/>
      <w:bookmarkStart w:id="1359" w:name="_Toc422303365"/>
      <w:r>
        <w:rPr>
          <w:rStyle w:val="CharSectno"/>
        </w:rPr>
        <w:t>144</w:t>
      </w:r>
      <w:r>
        <w:rPr>
          <w:snapToGrid w:val="0"/>
        </w:rPr>
        <w:t>.</w:t>
      </w:r>
      <w:r>
        <w:rPr>
          <w:snapToGrid w:val="0"/>
        </w:rPr>
        <w:tab/>
        <w:t>Breach of order other than by re</w:t>
      </w:r>
      <w:r>
        <w:rPr>
          <w:snapToGrid w:val="0"/>
        </w:rPr>
        <w:noBreakHyphen/>
        <w:t>offending, report to CEO</w:t>
      </w:r>
      <w:bookmarkEnd w:id="1357"/>
      <w:bookmarkEnd w:id="1358"/>
      <w:bookmarkEnd w:id="135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360" w:name="_Toc405453298"/>
      <w:bookmarkStart w:id="1361" w:name="_Toc427933250"/>
      <w:bookmarkStart w:id="1362" w:name="_Toc422303366"/>
      <w:r>
        <w:rPr>
          <w:rStyle w:val="CharSectno"/>
        </w:rPr>
        <w:t>145</w:t>
      </w:r>
      <w:r>
        <w:rPr>
          <w:snapToGrid w:val="0"/>
        </w:rPr>
        <w:t>.</w:t>
      </w:r>
      <w:r>
        <w:rPr>
          <w:snapToGrid w:val="0"/>
        </w:rPr>
        <w:tab/>
        <w:t>Courts to notify Board and CEO of re</w:t>
      </w:r>
      <w:r>
        <w:rPr>
          <w:snapToGrid w:val="0"/>
        </w:rPr>
        <w:noBreakHyphen/>
        <w:t>offending</w:t>
      </w:r>
      <w:bookmarkEnd w:id="1360"/>
      <w:bookmarkEnd w:id="1361"/>
      <w:bookmarkEnd w:id="136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363" w:name="_Toc405453299"/>
      <w:bookmarkStart w:id="1364" w:name="_Toc427933251"/>
      <w:bookmarkStart w:id="1365" w:name="_Toc422303367"/>
      <w:r>
        <w:rPr>
          <w:rStyle w:val="CharSectno"/>
        </w:rPr>
        <w:t>146</w:t>
      </w:r>
      <w:r>
        <w:rPr>
          <w:snapToGrid w:val="0"/>
        </w:rPr>
        <w:t>.</w:t>
      </w:r>
      <w:r>
        <w:rPr>
          <w:snapToGrid w:val="0"/>
        </w:rPr>
        <w:tab/>
        <w:t>Report to be provided when referring matter to Board</w:t>
      </w:r>
      <w:bookmarkEnd w:id="1363"/>
      <w:bookmarkEnd w:id="1364"/>
      <w:bookmarkEnd w:id="136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366" w:name="_Toc405453300"/>
      <w:bookmarkStart w:id="1367" w:name="_Toc427933252"/>
      <w:bookmarkStart w:id="1368" w:name="_Toc422303368"/>
      <w:r>
        <w:rPr>
          <w:rStyle w:val="CharSectno"/>
        </w:rPr>
        <w:t>147</w:t>
      </w:r>
      <w:r>
        <w:rPr>
          <w:snapToGrid w:val="0"/>
        </w:rPr>
        <w:t>.</w:t>
      </w:r>
      <w:r>
        <w:rPr>
          <w:snapToGrid w:val="0"/>
        </w:rPr>
        <w:tab/>
        <w:t>Breach of order, how Board may deal with</w:t>
      </w:r>
      <w:bookmarkEnd w:id="1366"/>
      <w:bookmarkEnd w:id="1367"/>
      <w:bookmarkEnd w:id="136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369" w:name="_Toc405453301"/>
      <w:bookmarkStart w:id="1370" w:name="_Toc427933253"/>
      <w:bookmarkStart w:id="1371" w:name="_Toc422303369"/>
      <w:r>
        <w:rPr>
          <w:rStyle w:val="CharSectno"/>
        </w:rPr>
        <w:t>147A</w:t>
      </w:r>
      <w:r>
        <w:t>.</w:t>
      </w:r>
      <w:r>
        <w:tab/>
      </w:r>
      <w:r>
        <w:rPr>
          <w:snapToGrid w:val="0"/>
        </w:rPr>
        <w:t>Offending while on supervised release order: automatic cancellation</w:t>
      </w:r>
      <w:bookmarkEnd w:id="1369"/>
      <w:bookmarkEnd w:id="1370"/>
      <w:bookmarkEnd w:id="137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1372" w:name="_Toc405453302"/>
      <w:bookmarkStart w:id="1373" w:name="_Toc427933254"/>
      <w:bookmarkStart w:id="1374" w:name="_Toc422303370"/>
      <w:r>
        <w:rPr>
          <w:rStyle w:val="CharSectno"/>
        </w:rPr>
        <w:t>148</w:t>
      </w:r>
      <w:r>
        <w:rPr>
          <w:snapToGrid w:val="0"/>
        </w:rPr>
        <w:t>.</w:t>
      </w:r>
      <w:r>
        <w:rPr>
          <w:snapToGrid w:val="0"/>
        </w:rPr>
        <w:tab/>
        <w:t>Compliance with order, effect of</w:t>
      </w:r>
      <w:bookmarkEnd w:id="1372"/>
      <w:bookmarkEnd w:id="1373"/>
      <w:bookmarkEnd w:id="137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1375" w:name="_Toc405453303"/>
      <w:bookmarkStart w:id="1376" w:name="_Toc427933255"/>
      <w:bookmarkStart w:id="1377" w:name="_Toc422303371"/>
      <w:r>
        <w:rPr>
          <w:rStyle w:val="CharSectno"/>
        </w:rPr>
        <w:t>149</w:t>
      </w:r>
      <w:r>
        <w:rPr>
          <w:snapToGrid w:val="0"/>
        </w:rPr>
        <w:t>.</w:t>
      </w:r>
      <w:r>
        <w:rPr>
          <w:snapToGrid w:val="0"/>
        </w:rPr>
        <w:tab/>
        <w:t>Suspension or cancellation of order, effect of</w:t>
      </w:r>
      <w:bookmarkEnd w:id="1375"/>
      <w:bookmarkEnd w:id="1376"/>
      <w:bookmarkEnd w:id="137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378" w:name="_Toc405453304"/>
      <w:bookmarkStart w:id="1379" w:name="_Toc427933256"/>
      <w:bookmarkStart w:id="1380" w:name="_Toc422303372"/>
      <w:r>
        <w:rPr>
          <w:rStyle w:val="CharSectno"/>
        </w:rPr>
        <w:t>150</w:t>
      </w:r>
      <w:r>
        <w:rPr>
          <w:snapToGrid w:val="0"/>
        </w:rPr>
        <w:t>.</w:t>
      </w:r>
      <w:r>
        <w:rPr>
          <w:snapToGrid w:val="0"/>
        </w:rPr>
        <w:tab/>
        <w:t>Cancellation of order after offender reaches 18</w:t>
      </w:r>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381" w:name="_Toc405453305"/>
      <w:bookmarkStart w:id="1382" w:name="_Toc413337030"/>
      <w:bookmarkStart w:id="1383" w:name="_Toc413337306"/>
      <w:bookmarkStart w:id="1384" w:name="_Toc413337421"/>
      <w:bookmarkStart w:id="1385" w:name="_Toc422303373"/>
      <w:bookmarkStart w:id="1386" w:name="_Toc427932586"/>
      <w:bookmarkStart w:id="1387" w:name="_Toc427933257"/>
      <w:r>
        <w:rPr>
          <w:rStyle w:val="CharDivNo"/>
        </w:rPr>
        <w:t>Division 3</w:t>
      </w:r>
      <w:r>
        <w:rPr>
          <w:snapToGrid w:val="0"/>
        </w:rPr>
        <w:t> — </w:t>
      </w:r>
      <w:r>
        <w:rPr>
          <w:rStyle w:val="CharDivText"/>
        </w:rPr>
        <w:t>The Supervised Release Review Board</w:t>
      </w:r>
      <w:bookmarkEnd w:id="1381"/>
      <w:bookmarkEnd w:id="1382"/>
      <w:bookmarkEnd w:id="1383"/>
      <w:bookmarkEnd w:id="1384"/>
      <w:bookmarkEnd w:id="1385"/>
      <w:bookmarkEnd w:id="1386"/>
      <w:bookmarkEnd w:id="1387"/>
      <w:r>
        <w:rPr>
          <w:rStyle w:val="CharDivText"/>
        </w:rPr>
        <w:t xml:space="preserve"> </w:t>
      </w:r>
    </w:p>
    <w:p>
      <w:pPr>
        <w:pStyle w:val="Heading5"/>
        <w:rPr>
          <w:snapToGrid w:val="0"/>
        </w:rPr>
      </w:pPr>
      <w:bookmarkStart w:id="1388" w:name="_Toc405453306"/>
      <w:bookmarkStart w:id="1389" w:name="_Toc427933258"/>
      <w:bookmarkStart w:id="1390" w:name="_Toc422303374"/>
      <w:r>
        <w:rPr>
          <w:rStyle w:val="CharSectno"/>
        </w:rPr>
        <w:t>151</w:t>
      </w:r>
      <w:r>
        <w:rPr>
          <w:snapToGrid w:val="0"/>
        </w:rPr>
        <w:t>.</w:t>
      </w:r>
      <w:r>
        <w:rPr>
          <w:snapToGrid w:val="0"/>
        </w:rPr>
        <w:tab/>
        <w:t>Board established</w:t>
      </w:r>
      <w:bookmarkEnd w:id="1388"/>
      <w:bookmarkEnd w:id="1389"/>
      <w:bookmarkEnd w:id="139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1391" w:name="_Toc405453307"/>
      <w:bookmarkStart w:id="1392" w:name="_Toc427933259"/>
      <w:bookmarkStart w:id="1393" w:name="_Toc422303375"/>
      <w:r>
        <w:rPr>
          <w:rStyle w:val="CharSectno"/>
        </w:rPr>
        <w:t>152</w:t>
      </w:r>
      <w:r>
        <w:rPr>
          <w:snapToGrid w:val="0"/>
        </w:rPr>
        <w:t>.</w:t>
      </w:r>
      <w:r>
        <w:rPr>
          <w:snapToGrid w:val="0"/>
        </w:rPr>
        <w:tab/>
        <w:t>Board members</w:t>
      </w:r>
      <w:bookmarkEnd w:id="1391"/>
      <w:bookmarkEnd w:id="1392"/>
      <w:bookmarkEnd w:id="1393"/>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1394" w:name="_Toc405453308"/>
      <w:bookmarkStart w:id="1395" w:name="_Toc427933260"/>
      <w:bookmarkStart w:id="1396" w:name="_Toc422303376"/>
      <w:r>
        <w:rPr>
          <w:rStyle w:val="CharSectno"/>
        </w:rPr>
        <w:t>153</w:t>
      </w:r>
      <w:r>
        <w:rPr>
          <w:snapToGrid w:val="0"/>
        </w:rPr>
        <w:t>.</w:t>
      </w:r>
      <w:r>
        <w:rPr>
          <w:snapToGrid w:val="0"/>
        </w:rPr>
        <w:tab/>
        <w:t>Term of office</w:t>
      </w:r>
      <w:bookmarkEnd w:id="1394"/>
      <w:bookmarkEnd w:id="1395"/>
      <w:bookmarkEnd w:id="1396"/>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397" w:name="_Toc405453309"/>
      <w:bookmarkStart w:id="1398" w:name="_Toc427933261"/>
      <w:bookmarkStart w:id="1399" w:name="_Toc422303377"/>
      <w:r>
        <w:rPr>
          <w:rStyle w:val="CharSectno"/>
        </w:rPr>
        <w:t>154</w:t>
      </w:r>
      <w:r>
        <w:rPr>
          <w:snapToGrid w:val="0"/>
        </w:rPr>
        <w:t>.</w:t>
      </w:r>
      <w:r>
        <w:rPr>
          <w:snapToGrid w:val="0"/>
        </w:rPr>
        <w:tab/>
        <w:t>Alternate members</w:t>
      </w:r>
      <w:bookmarkEnd w:id="1397"/>
      <w:bookmarkEnd w:id="1398"/>
      <w:bookmarkEnd w:id="139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400" w:name="_Toc405453310"/>
      <w:bookmarkStart w:id="1401" w:name="_Toc427933262"/>
      <w:bookmarkStart w:id="1402" w:name="_Toc422303378"/>
      <w:r>
        <w:rPr>
          <w:rStyle w:val="CharSectno"/>
        </w:rPr>
        <w:t>155</w:t>
      </w:r>
      <w:r>
        <w:rPr>
          <w:snapToGrid w:val="0"/>
        </w:rPr>
        <w:t>.</w:t>
      </w:r>
      <w:r>
        <w:rPr>
          <w:snapToGrid w:val="0"/>
        </w:rPr>
        <w:tab/>
        <w:t>Remuneration and allowances</w:t>
      </w:r>
      <w:bookmarkEnd w:id="1400"/>
      <w:bookmarkEnd w:id="1401"/>
      <w:bookmarkEnd w:id="140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403" w:name="_Toc405453311"/>
      <w:bookmarkStart w:id="1404" w:name="_Toc427933263"/>
      <w:bookmarkStart w:id="1405" w:name="_Toc422303379"/>
      <w:r>
        <w:rPr>
          <w:rStyle w:val="CharSectno"/>
        </w:rPr>
        <w:t>156</w:t>
      </w:r>
      <w:r>
        <w:rPr>
          <w:snapToGrid w:val="0"/>
        </w:rPr>
        <w:t>.</w:t>
      </w:r>
      <w:r>
        <w:rPr>
          <w:snapToGrid w:val="0"/>
        </w:rPr>
        <w:tab/>
        <w:t>Meetings</w:t>
      </w:r>
      <w:bookmarkEnd w:id="1403"/>
      <w:bookmarkEnd w:id="1404"/>
      <w:bookmarkEnd w:id="1405"/>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406" w:name="_Toc405453312"/>
      <w:bookmarkStart w:id="1407" w:name="_Toc427933264"/>
      <w:bookmarkStart w:id="1408" w:name="_Toc422303380"/>
      <w:r>
        <w:rPr>
          <w:rStyle w:val="CharSectno"/>
        </w:rPr>
        <w:t>157</w:t>
      </w:r>
      <w:r>
        <w:rPr>
          <w:snapToGrid w:val="0"/>
        </w:rPr>
        <w:t>.</w:t>
      </w:r>
      <w:r>
        <w:rPr>
          <w:snapToGrid w:val="0"/>
        </w:rPr>
        <w:tab/>
        <w:t>Quorum</w:t>
      </w:r>
      <w:bookmarkEnd w:id="1406"/>
      <w:bookmarkEnd w:id="1407"/>
      <w:bookmarkEnd w:id="140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1409" w:name="_Toc405453313"/>
      <w:bookmarkStart w:id="1410" w:name="_Toc427933265"/>
      <w:bookmarkStart w:id="1411" w:name="_Toc422303381"/>
      <w:r>
        <w:rPr>
          <w:rStyle w:val="CharSectno"/>
        </w:rPr>
        <w:t>158</w:t>
      </w:r>
      <w:r>
        <w:rPr>
          <w:snapToGrid w:val="0"/>
        </w:rPr>
        <w:t>.</w:t>
      </w:r>
      <w:r>
        <w:rPr>
          <w:snapToGrid w:val="0"/>
        </w:rPr>
        <w:tab/>
        <w:t>Presiding at meetings</w:t>
      </w:r>
      <w:bookmarkEnd w:id="1409"/>
      <w:bookmarkEnd w:id="1410"/>
      <w:bookmarkEnd w:id="1411"/>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412" w:name="_Toc405453314"/>
      <w:bookmarkStart w:id="1413" w:name="_Toc427933266"/>
      <w:bookmarkStart w:id="1414" w:name="_Toc422303382"/>
      <w:r>
        <w:rPr>
          <w:rStyle w:val="CharSectno"/>
        </w:rPr>
        <w:t>159</w:t>
      </w:r>
      <w:r>
        <w:rPr>
          <w:snapToGrid w:val="0"/>
        </w:rPr>
        <w:t>.</w:t>
      </w:r>
      <w:r>
        <w:rPr>
          <w:snapToGrid w:val="0"/>
        </w:rPr>
        <w:tab/>
        <w:t>Board may request reports</w:t>
      </w:r>
      <w:bookmarkEnd w:id="1412"/>
      <w:bookmarkEnd w:id="1413"/>
      <w:bookmarkEnd w:id="141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415" w:name="_Toc405453315"/>
      <w:bookmarkStart w:id="1416" w:name="_Toc427933267"/>
      <w:bookmarkStart w:id="1417" w:name="_Toc422303383"/>
      <w:r>
        <w:rPr>
          <w:rStyle w:val="CharSectno"/>
        </w:rPr>
        <w:t>160</w:t>
      </w:r>
      <w:r>
        <w:rPr>
          <w:snapToGrid w:val="0"/>
        </w:rPr>
        <w:t>.</w:t>
      </w:r>
      <w:r>
        <w:rPr>
          <w:snapToGrid w:val="0"/>
        </w:rPr>
        <w:tab/>
        <w:t>Determination of questions</w:t>
      </w:r>
      <w:bookmarkEnd w:id="1415"/>
      <w:bookmarkEnd w:id="1416"/>
      <w:bookmarkEnd w:id="141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418" w:name="_Toc405453316"/>
      <w:bookmarkStart w:id="1419" w:name="_Toc427933268"/>
      <w:bookmarkStart w:id="1420" w:name="_Toc422303384"/>
      <w:r>
        <w:rPr>
          <w:rStyle w:val="CharSectno"/>
        </w:rPr>
        <w:t>161</w:t>
      </w:r>
      <w:r>
        <w:rPr>
          <w:snapToGrid w:val="0"/>
        </w:rPr>
        <w:t>.</w:t>
      </w:r>
      <w:r>
        <w:rPr>
          <w:snapToGrid w:val="0"/>
        </w:rPr>
        <w:tab/>
        <w:t>Procedure</w:t>
      </w:r>
      <w:bookmarkEnd w:id="1418"/>
      <w:bookmarkEnd w:id="1419"/>
      <w:bookmarkEnd w:id="142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1421" w:name="_Toc405453317"/>
      <w:bookmarkStart w:id="1422" w:name="_Toc427933269"/>
      <w:bookmarkStart w:id="1423" w:name="_Toc422303385"/>
      <w:r>
        <w:rPr>
          <w:rStyle w:val="CharSectno"/>
        </w:rPr>
        <w:t>162</w:t>
      </w:r>
      <w:r>
        <w:rPr>
          <w:snapToGrid w:val="0"/>
        </w:rPr>
        <w:t>.</w:t>
      </w:r>
      <w:r>
        <w:rPr>
          <w:snapToGrid w:val="0"/>
        </w:rPr>
        <w:tab/>
        <w:t>Board may reconsider its decision</w:t>
      </w:r>
      <w:bookmarkEnd w:id="1421"/>
      <w:bookmarkEnd w:id="1422"/>
      <w:bookmarkEnd w:id="142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424" w:name="_Toc405453318"/>
      <w:bookmarkStart w:id="1425" w:name="_Toc427933270"/>
      <w:bookmarkStart w:id="1426" w:name="_Toc422303386"/>
      <w:r>
        <w:rPr>
          <w:rStyle w:val="CharSectno"/>
        </w:rPr>
        <w:t>163</w:t>
      </w:r>
      <w:r>
        <w:rPr>
          <w:snapToGrid w:val="0"/>
        </w:rPr>
        <w:t>.</w:t>
      </w:r>
      <w:r>
        <w:rPr>
          <w:snapToGrid w:val="0"/>
        </w:rPr>
        <w:tab/>
        <w:t>Rules of natural justice excluded</w:t>
      </w:r>
      <w:bookmarkEnd w:id="1424"/>
      <w:bookmarkEnd w:id="1425"/>
      <w:bookmarkEnd w:id="142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427" w:name="_Toc405453319"/>
      <w:bookmarkStart w:id="1428" w:name="_Toc427933271"/>
      <w:bookmarkStart w:id="1429" w:name="_Toc422303387"/>
      <w:r>
        <w:rPr>
          <w:rStyle w:val="CharSectno"/>
        </w:rPr>
        <w:t>164</w:t>
      </w:r>
      <w:r>
        <w:rPr>
          <w:snapToGrid w:val="0"/>
        </w:rPr>
        <w:t>.</w:t>
      </w:r>
      <w:r>
        <w:rPr>
          <w:snapToGrid w:val="0"/>
        </w:rPr>
        <w:tab/>
        <w:t>Judicial notice of Board’s documents</w:t>
      </w:r>
      <w:bookmarkEnd w:id="1427"/>
      <w:bookmarkEnd w:id="1428"/>
      <w:bookmarkEnd w:id="142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430" w:name="_Toc405453320"/>
      <w:bookmarkStart w:id="1431" w:name="_Toc427933272"/>
      <w:bookmarkStart w:id="1432" w:name="_Toc422303388"/>
      <w:r>
        <w:rPr>
          <w:rStyle w:val="CharSectno"/>
        </w:rPr>
        <w:t>165</w:t>
      </w:r>
      <w:r>
        <w:rPr>
          <w:snapToGrid w:val="0"/>
        </w:rPr>
        <w:t>.</w:t>
      </w:r>
      <w:r>
        <w:rPr>
          <w:snapToGrid w:val="0"/>
        </w:rPr>
        <w:tab/>
        <w:t>Annual report</w:t>
      </w:r>
      <w:bookmarkEnd w:id="1430"/>
      <w:bookmarkEnd w:id="1431"/>
      <w:bookmarkEnd w:id="143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433" w:name="_Toc405453321"/>
      <w:bookmarkStart w:id="1434" w:name="_Toc413337046"/>
      <w:bookmarkStart w:id="1435" w:name="_Toc413337322"/>
      <w:bookmarkStart w:id="1436" w:name="_Toc413337437"/>
      <w:bookmarkStart w:id="1437" w:name="_Toc422303389"/>
      <w:bookmarkStart w:id="1438" w:name="_Toc427932602"/>
      <w:bookmarkStart w:id="1439" w:name="_Toc427933273"/>
      <w:r>
        <w:rPr>
          <w:rStyle w:val="CharPartNo"/>
        </w:rPr>
        <w:t>Part 9</w:t>
      </w:r>
      <w:r>
        <w:rPr>
          <w:rStyle w:val="CharDivNo"/>
        </w:rPr>
        <w:t> </w:t>
      </w:r>
      <w:r>
        <w:t>—</w:t>
      </w:r>
      <w:r>
        <w:rPr>
          <w:rStyle w:val="CharDivText"/>
        </w:rPr>
        <w:t> </w:t>
      </w:r>
      <w:r>
        <w:rPr>
          <w:rStyle w:val="CharPartText"/>
        </w:rPr>
        <w:t>Detention centres</w:t>
      </w:r>
      <w:bookmarkEnd w:id="1433"/>
      <w:bookmarkEnd w:id="1434"/>
      <w:bookmarkEnd w:id="1435"/>
      <w:bookmarkEnd w:id="1436"/>
      <w:bookmarkEnd w:id="1437"/>
      <w:bookmarkEnd w:id="1438"/>
      <w:bookmarkEnd w:id="1439"/>
      <w:r>
        <w:rPr>
          <w:rStyle w:val="CharPartText"/>
        </w:rPr>
        <w:t xml:space="preserve"> </w:t>
      </w:r>
    </w:p>
    <w:p>
      <w:pPr>
        <w:pStyle w:val="Heading5"/>
      </w:pPr>
      <w:bookmarkStart w:id="1440" w:name="_Toc405453322"/>
      <w:bookmarkStart w:id="1441" w:name="_Toc427933274"/>
      <w:bookmarkStart w:id="1442" w:name="_Toc422303390"/>
      <w:r>
        <w:rPr>
          <w:rStyle w:val="CharSectno"/>
        </w:rPr>
        <w:t>166</w:t>
      </w:r>
      <w:r>
        <w:t>.</w:t>
      </w:r>
      <w:r>
        <w:tab/>
        <w:t>Appointment of visiting justices</w:t>
      </w:r>
      <w:bookmarkEnd w:id="1440"/>
      <w:bookmarkEnd w:id="1441"/>
      <w:bookmarkEnd w:id="1442"/>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1443" w:name="_Toc405453323"/>
      <w:bookmarkStart w:id="1444" w:name="_Toc427933275"/>
      <w:bookmarkStart w:id="1445" w:name="_Toc422303391"/>
      <w:r>
        <w:rPr>
          <w:rStyle w:val="CharSectno"/>
        </w:rPr>
        <w:t>168</w:t>
      </w:r>
      <w:r>
        <w:rPr>
          <w:snapToGrid w:val="0"/>
        </w:rPr>
        <w:t>.</w:t>
      </w:r>
      <w:r>
        <w:rPr>
          <w:snapToGrid w:val="0"/>
        </w:rPr>
        <w:tab/>
        <w:t>Visiting justices, functions of</w:t>
      </w:r>
      <w:bookmarkEnd w:id="1443"/>
      <w:bookmarkEnd w:id="1444"/>
      <w:bookmarkEnd w:id="144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446" w:name="_Toc405453324"/>
      <w:bookmarkStart w:id="1447" w:name="_Toc427933276"/>
      <w:bookmarkStart w:id="1448" w:name="_Toc422303392"/>
      <w:r>
        <w:rPr>
          <w:rStyle w:val="CharSectno"/>
        </w:rPr>
        <w:t>169</w:t>
      </w:r>
      <w:r>
        <w:rPr>
          <w:snapToGrid w:val="0"/>
        </w:rPr>
        <w:t>.</w:t>
      </w:r>
      <w:r>
        <w:rPr>
          <w:snapToGrid w:val="0"/>
        </w:rPr>
        <w:tab/>
        <w:t>Right of certain persons to enter detention centre</w:t>
      </w:r>
      <w:bookmarkEnd w:id="1446"/>
      <w:bookmarkEnd w:id="1447"/>
      <w:bookmarkEnd w:id="144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449" w:name="_Toc405453325"/>
      <w:bookmarkStart w:id="1450" w:name="_Toc427933277"/>
      <w:bookmarkStart w:id="1451" w:name="_Toc422303393"/>
      <w:r>
        <w:rPr>
          <w:rStyle w:val="CharSectno"/>
        </w:rPr>
        <w:t>169A</w:t>
      </w:r>
      <w:r>
        <w:t>.</w:t>
      </w:r>
      <w:r>
        <w:tab/>
      </w:r>
      <w:r>
        <w:rPr>
          <w:snapToGrid w:val="0"/>
        </w:rPr>
        <w:t>Investigation of an alleged incident at a detention centre</w:t>
      </w:r>
      <w:bookmarkEnd w:id="1449"/>
      <w:bookmarkEnd w:id="1450"/>
      <w:bookmarkEnd w:id="145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 xml:space="preserve">An authorised person may require a </w:t>
      </w:r>
      <w:del w:id="1452" w:author="svcMRProcess" w:date="2020-02-21T14:38:00Z">
        <w:r>
          <w:delText>person who is appointed under section 11(1) or (1a) to —</w:delText>
        </w:r>
      </w:del>
      <w:ins w:id="1453" w:author="svcMRProcess" w:date="2020-02-21T14:38:00Z">
        <w:r>
          <w:t>custodial officer to —</w:t>
        </w:r>
      </w:ins>
      <w:r>
        <w:t>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del w:id="1454" w:author="svcMRProcess" w:date="2020-02-21T14:38:00Z">
        <w:r>
          <w:tab/>
          <w:delText>(5)</w:delText>
        </w:r>
        <w:r>
          <w:tab/>
          <w:delText>A person who is appointed under section 11(1) or (1a),</w:delText>
        </w:r>
      </w:del>
      <w:ins w:id="1455" w:author="svcMRProcess" w:date="2020-02-21T14:38:00Z">
        <w:r>
          <w:tab/>
          <w:t>(5)</w:t>
        </w:r>
        <w:r>
          <w:tab/>
          <w:t>A custodial officer</w:t>
        </w:r>
      </w:ins>
      <w:r>
        <w:t xml:space="preserve">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w:t>
      </w:r>
      <w:del w:id="1456" w:author="svcMRProcess" w:date="2020-02-21T14:38:00Z">
        <w:r>
          <w:delText>37</w:delText>
        </w:r>
      </w:del>
      <w:ins w:id="1457" w:author="svcMRProcess" w:date="2020-02-21T14:38:00Z">
        <w:r>
          <w:t>37; amended by No. 29 of 2014 s. 22</w:t>
        </w:r>
      </w:ins>
      <w:r>
        <w:t>.]</w:t>
      </w:r>
    </w:p>
    <w:p>
      <w:pPr>
        <w:pStyle w:val="Heading5"/>
        <w:rPr>
          <w:snapToGrid w:val="0"/>
        </w:rPr>
      </w:pPr>
      <w:bookmarkStart w:id="1458" w:name="_Toc405453326"/>
      <w:bookmarkStart w:id="1459" w:name="_Toc427933278"/>
      <w:bookmarkStart w:id="1460" w:name="_Toc422303394"/>
      <w:r>
        <w:rPr>
          <w:rStyle w:val="CharSectno"/>
        </w:rPr>
        <w:t>170</w:t>
      </w:r>
      <w:r>
        <w:rPr>
          <w:snapToGrid w:val="0"/>
        </w:rPr>
        <w:t>.</w:t>
      </w:r>
      <w:r>
        <w:rPr>
          <w:snapToGrid w:val="0"/>
        </w:rPr>
        <w:tab/>
        <w:t>Detention offences</w:t>
      </w:r>
      <w:bookmarkEnd w:id="1458"/>
      <w:bookmarkEnd w:id="1459"/>
      <w:bookmarkEnd w:id="146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461" w:name="_Toc405453327"/>
      <w:bookmarkStart w:id="1462" w:name="_Toc427933279"/>
      <w:bookmarkStart w:id="1463" w:name="_Toc422303395"/>
      <w:r>
        <w:rPr>
          <w:rStyle w:val="CharSectno"/>
        </w:rPr>
        <w:t>171</w:t>
      </w:r>
      <w:r>
        <w:rPr>
          <w:snapToGrid w:val="0"/>
        </w:rPr>
        <w:t>.</w:t>
      </w:r>
      <w:r>
        <w:rPr>
          <w:snapToGrid w:val="0"/>
        </w:rPr>
        <w:tab/>
        <w:t>Detention offence charge, procedure on</w:t>
      </w:r>
      <w:bookmarkEnd w:id="1461"/>
      <w:bookmarkEnd w:id="1462"/>
      <w:bookmarkEnd w:id="146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464" w:name="_Toc405453328"/>
      <w:bookmarkStart w:id="1465" w:name="_Toc427933280"/>
      <w:bookmarkStart w:id="1466" w:name="_Toc422303396"/>
      <w:r>
        <w:rPr>
          <w:rStyle w:val="CharSectno"/>
        </w:rPr>
        <w:t>172</w:t>
      </w:r>
      <w:r>
        <w:rPr>
          <w:snapToGrid w:val="0"/>
        </w:rPr>
        <w:t>.</w:t>
      </w:r>
      <w:r>
        <w:rPr>
          <w:snapToGrid w:val="0"/>
        </w:rPr>
        <w:tab/>
        <w:t>Visiting justice may deal with referred charges</w:t>
      </w:r>
      <w:bookmarkEnd w:id="1464"/>
      <w:bookmarkEnd w:id="1465"/>
      <w:bookmarkEnd w:id="1466"/>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467" w:name="_Toc405453329"/>
      <w:bookmarkStart w:id="1468" w:name="_Toc427933281"/>
      <w:bookmarkStart w:id="1469" w:name="_Toc422303397"/>
      <w:r>
        <w:rPr>
          <w:rStyle w:val="CharSectno"/>
        </w:rPr>
        <w:t>173</w:t>
      </w:r>
      <w:r>
        <w:rPr>
          <w:snapToGrid w:val="0"/>
        </w:rPr>
        <w:t>.</w:t>
      </w:r>
      <w:r>
        <w:rPr>
          <w:snapToGrid w:val="0"/>
        </w:rPr>
        <w:tab/>
        <w:t>Detention offences, dealing with</w:t>
      </w:r>
      <w:bookmarkEnd w:id="1467"/>
      <w:bookmarkEnd w:id="1468"/>
      <w:bookmarkEnd w:id="146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470" w:name="_Toc405453330"/>
      <w:bookmarkStart w:id="1471" w:name="_Toc427933282"/>
      <w:bookmarkStart w:id="1472" w:name="_Toc422303398"/>
      <w:r>
        <w:rPr>
          <w:rStyle w:val="CharSectno"/>
        </w:rPr>
        <w:t>174</w:t>
      </w:r>
      <w:r>
        <w:rPr>
          <w:snapToGrid w:val="0"/>
        </w:rPr>
        <w:t>.</w:t>
      </w:r>
      <w:r>
        <w:rPr>
          <w:snapToGrid w:val="0"/>
        </w:rPr>
        <w:tab/>
        <w:t>Detention offence charges, hearing of</w:t>
      </w:r>
      <w:bookmarkEnd w:id="1470"/>
      <w:bookmarkEnd w:id="1471"/>
      <w:bookmarkEnd w:id="147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473" w:name="_Toc405453331"/>
      <w:bookmarkStart w:id="1474" w:name="_Toc427933283"/>
      <w:bookmarkStart w:id="1475" w:name="_Toc422303399"/>
      <w:r>
        <w:rPr>
          <w:rStyle w:val="CharSectno"/>
        </w:rPr>
        <w:t>175</w:t>
      </w:r>
      <w:r>
        <w:rPr>
          <w:snapToGrid w:val="0"/>
        </w:rPr>
        <w:t>.</w:t>
      </w:r>
      <w:r>
        <w:rPr>
          <w:snapToGrid w:val="0"/>
        </w:rPr>
        <w:tab/>
        <w:t>Visiting justice may direct prosecution for detention offence</w:t>
      </w:r>
      <w:bookmarkEnd w:id="1473"/>
      <w:bookmarkEnd w:id="1474"/>
      <w:bookmarkEnd w:id="147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476" w:name="_Toc405453332"/>
      <w:bookmarkStart w:id="1477" w:name="_Toc427933284"/>
      <w:bookmarkStart w:id="1478" w:name="_Toc422303400"/>
      <w:r>
        <w:rPr>
          <w:rStyle w:val="CharSectno"/>
        </w:rPr>
        <w:t>176</w:t>
      </w:r>
      <w:r>
        <w:rPr>
          <w:snapToGrid w:val="0"/>
        </w:rPr>
        <w:t>.</w:t>
      </w:r>
      <w:r>
        <w:rPr>
          <w:snapToGrid w:val="0"/>
        </w:rPr>
        <w:tab/>
        <w:t>Early discharge from detention</w:t>
      </w:r>
      <w:bookmarkEnd w:id="1476"/>
      <w:bookmarkEnd w:id="1477"/>
      <w:bookmarkEnd w:id="147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1479" w:name="_Toc405453333"/>
      <w:bookmarkStart w:id="1480" w:name="_Toc427933285"/>
      <w:bookmarkStart w:id="1481" w:name="_Toc422303401"/>
      <w:r>
        <w:rPr>
          <w:rStyle w:val="CharSectno"/>
        </w:rPr>
        <w:t>178</w:t>
      </w:r>
      <w:r>
        <w:rPr>
          <w:snapToGrid w:val="0"/>
        </w:rPr>
        <w:t>.</w:t>
      </w:r>
      <w:r>
        <w:rPr>
          <w:snapToGrid w:val="0"/>
        </w:rPr>
        <w:tab/>
        <w:t>Transfer of offender from detention centre to prison</w:t>
      </w:r>
      <w:bookmarkEnd w:id="1479"/>
      <w:bookmarkEnd w:id="1480"/>
      <w:bookmarkEnd w:id="148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1482" w:name="_Toc405453334"/>
      <w:bookmarkStart w:id="1483" w:name="_Toc427933286"/>
      <w:bookmarkStart w:id="1484" w:name="_Toc422303402"/>
      <w:r>
        <w:rPr>
          <w:rStyle w:val="CharSectno"/>
        </w:rPr>
        <w:t>179</w:t>
      </w:r>
      <w:r>
        <w:rPr>
          <w:snapToGrid w:val="0"/>
        </w:rPr>
        <w:t>.</w:t>
      </w:r>
      <w:r>
        <w:rPr>
          <w:snapToGrid w:val="0"/>
        </w:rPr>
        <w:tab/>
        <w:t>Medical treatment, removal for</w:t>
      </w:r>
      <w:bookmarkEnd w:id="1482"/>
      <w:bookmarkEnd w:id="1483"/>
      <w:bookmarkEnd w:id="148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1485" w:name="_Toc405453335"/>
      <w:bookmarkStart w:id="1486" w:name="_Toc427933287"/>
      <w:bookmarkStart w:id="1487" w:name="_Toc422303403"/>
      <w:r>
        <w:rPr>
          <w:rStyle w:val="CharSectno"/>
        </w:rPr>
        <w:t>180</w:t>
      </w:r>
      <w:r>
        <w:rPr>
          <w:snapToGrid w:val="0"/>
        </w:rPr>
        <w:t>.</w:t>
      </w:r>
      <w:r>
        <w:rPr>
          <w:snapToGrid w:val="0"/>
        </w:rPr>
        <w:tab/>
        <w:t>Death of detainee, coroner to investigate</w:t>
      </w:r>
      <w:bookmarkEnd w:id="1485"/>
      <w:bookmarkEnd w:id="1486"/>
      <w:bookmarkEnd w:id="148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488" w:name="_Toc405453336"/>
      <w:bookmarkStart w:id="1489" w:name="_Toc427933288"/>
      <w:bookmarkStart w:id="1490" w:name="_Toc422303404"/>
      <w:r>
        <w:rPr>
          <w:rStyle w:val="CharSectno"/>
        </w:rPr>
        <w:t>181</w:t>
      </w:r>
      <w:r>
        <w:rPr>
          <w:snapToGrid w:val="0"/>
        </w:rPr>
        <w:t>.</w:t>
      </w:r>
      <w:r>
        <w:rPr>
          <w:snapToGrid w:val="0"/>
        </w:rPr>
        <w:tab/>
        <w:t>Rules for detention centres, CEO may make</w:t>
      </w:r>
      <w:bookmarkEnd w:id="1488"/>
      <w:bookmarkEnd w:id="1489"/>
      <w:bookmarkEnd w:id="149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1491" w:name="_Toc405453337"/>
      <w:bookmarkStart w:id="1492" w:name="_Toc413337062"/>
      <w:bookmarkStart w:id="1493" w:name="_Toc413337338"/>
      <w:bookmarkStart w:id="1494" w:name="_Toc413337453"/>
      <w:bookmarkStart w:id="1495" w:name="_Toc422303405"/>
      <w:bookmarkStart w:id="1496" w:name="_Toc427932618"/>
      <w:bookmarkStart w:id="1497" w:name="_Toc427933289"/>
      <w:r>
        <w:rPr>
          <w:rStyle w:val="CharPartNo"/>
        </w:rPr>
        <w:t>Part 10</w:t>
      </w:r>
      <w:r>
        <w:rPr>
          <w:rStyle w:val="CharDivNo"/>
        </w:rPr>
        <w:t> </w:t>
      </w:r>
      <w:r>
        <w:t>—</w:t>
      </w:r>
      <w:r>
        <w:rPr>
          <w:rStyle w:val="CharDivText"/>
        </w:rPr>
        <w:t> </w:t>
      </w:r>
      <w:r>
        <w:rPr>
          <w:rStyle w:val="CharPartText"/>
        </w:rPr>
        <w:t>Miscellaneous</w:t>
      </w:r>
      <w:bookmarkEnd w:id="1491"/>
      <w:bookmarkEnd w:id="1492"/>
      <w:bookmarkEnd w:id="1493"/>
      <w:bookmarkEnd w:id="1494"/>
      <w:bookmarkEnd w:id="1495"/>
      <w:bookmarkEnd w:id="1496"/>
      <w:bookmarkEnd w:id="1497"/>
      <w:r>
        <w:rPr>
          <w:rStyle w:val="CharPartText"/>
        </w:rPr>
        <w:t xml:space="preserve"> </w:t>
      </w:r>
    </w:p>
    <w:p>
      <w:pPr>
        <w:pStyle w:val="Heading5"/>
        <w:rPr>
          <w:snapToGrid w:val="0"/>
        </w:rPr>
      </w:pPr>
      <w:bookmarkStart w:id="1498" w:name="_Toc405453338"/>
      <w:bookmarkStart w:id="1499" w:name="_Toc427933290"/>
      <w:bookmarkStart w:id="1500" w:name="_Toc422303406"/>
      <w:r>
        <w:rPr>
          <w:rStyle w:val="CharSectno"/>
        </w:rPr>
        <w:t>182</w:t>
      </w:r>
      <w:r>
        <w:rPr>
          <w:snapToGrid w:val="0"/>
        </w:rPr>
        <w:t>.</w:t>
      </w:r>
      <w:r>
        <w:rPr>
          <w:snapToGrid w:val="0"/>
        </w:rPr>
        <w:tab/>
        <w:t>Protection from legal liability</w:t>
      </w:r>
      <w:bookmarkEnd w:id="1498"/>
      <w:bookmarkEnd w:id="1499"/>
      <w:bookmarkEnd w:id="150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501" w:name="_Toc405453339"/>
      <w:bookmarkStart w:id="1502" w:name="_Toc427933291"/>
      <w:bookmarkStart w:id="1503" w:name="_Toc422303407"/>
      <w:r>
        <w:rPr>
          <w:rStyle w:val="CharSectno"/>
        </w:rPr>
        <w:t>183</w:t>
      </w:r>
      <w:r>
        <w:rPr>
          <w:snapToGrid w:val="0"/>
        </w:rPr>
        <w:t>.</w:t>
      </w:r>
      <w:r>
        <w:rPr>
          <w:snapToGrid w:val="0"/>
        </w:rPr>
        <w:tab/>
        <w:t>Order to be defence to actions</w:t>
      </w:r>
      <w:bookmarkEnd w:id="1501"/>
      <w:bookmarkEnd w:id="1502"/>
      <w:bookmarkEnd w:id="1503"/>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504" w:name="_Toc405453340"/>
      <w:bookmarkStart w:id="1505" w:name="_Toc427933292"/>
      <w:bookmarkStart w:id="1506" w:name="_Toc422303408"/>
      <w:r>
        <w:rPr>
          <w:rStyle w:val="CharSectno"/>
        </w:rPr>
        <w:t>184</w:t>
      </w:r>
      <w:r>
        <w:rPr>
          <w:snapToGrid w:val="0"/>
        </w:rPr>
        <w:t>.</w:t>
      </w:r>
      <w:r>
        <w:rPr>
          <w:snapToGrid w:val="0"/>
        </w:rPr>
        <w:tab/>
        <w:t>CEO may give consent in relation to detainee</w:t>
      </w:r>
      <w:bookmarkEnd w:id="1504"/>
      <w:bookmarkEnd w:id="1505"/>
      <w:bookmarkEnd w:id="150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507" w:name="_Toc405453341"/>
      <w:bookmarkStart w:id="1508" w:name="_Toc427933293"/>
      <w:bookmarkStart w:id="1509" w:name="_Toc422303409"/>
      <w:r>
        <w:rPr>
          <w:rStyle w:val="CharSectno"/>
        </w:rPr>
        <w:t>185</w:t>
      </w:r>
      <w:r>
        <w:rPr>
          <w:snapToGrid w:val="0"/>
        </w:rPr>
        <w:t>.</w:t>
      </w:r>
      <w:r>
        <w:rPr>
          <w:snapToGrid w:val="0"/>
        </w:rPr>
        <w:tab/>
        <w:t>Minister may make certain payments</w:t>
      </w:r>
      <w:bookmarkEnd w:id="1507"/>
      <w:bookmarkEnd w:id="1508"/>
      <w:bookmarkEnd w:id="150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510" w:name="_Toc405453342"/>
      <w:bookmarkStart w:id="1511" w:name="_Toc427933294"/>
      <w:bookmarkStart w:id="1512" w:name="_Toc422303410"/>
      <w:r>
        <w:rPr>
          <w:rStyle w:val="CharSectno"/>
        </w:rPr>
        <w:t>186</w:t>
      </w:r>
      <w:r>
        <w:rPr>
          <w:snapToGrid w:val="0"/>
        </w:rPr>
        <w:t>.</w:t>
      </w:r>
      <w:r>
        <w:rPr>
          <w:snapToGrid w:val="0"/>
        </w:rPr>
        <w:tab/>
        <w:t>Officer of Department may conduct cases</w:t>
      </w:r>
      <w:bookmarkEnd w:id="1510"/>
      <w:bookmarkEnd w:id="1511"/>
      <w:bookmarkEnd w:id="151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513" w:name="_Toc405453343"/>
      <w:bookmarkStart w:id="1514" w:name="_Toc427933295"/>
      <w:bookmarkStart w:id="1515" w:name="_Toc422303411"/>
      <w:r>
        <w:rPr>
          <w:rStyle w:val="CharSectno"/>
        </w:rPr>
        <w:t>187</w:t>
      </w:r>
      <w:r>
        <w:rPr>
          <w:snapToGrid w:val="0"/>
        </w:rPr>
        <w:t>.</w:t>
      </w:r>
      <w:r>
        <w:rPr>
          <w:snapToGrid w:val="0"/>
        </w:rPr>
        <w:tab/>
        <w:t>Certificate of superintendent to be evidence</w:t>
      </w:r>
      <w:bookmarkEnd w:id="1513"/>
      <w:bookmarkEnd w:id="1514"/>
      <w:bookmarkEnd w:id="151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1516" w:name="_Toc405453344"/>
      <w:bookmarkStart w:id="1517" w:name="_Toc427933296"/>
      <w:bookmarkStart w:id="1518" w:name="_Toc422303412"/>
      <w:r>
        <w:rPr>
          <w:rStyle w:val="CharSectno"/>
        </w:rPr>
        <w:t>188</w:t>
      </w:r>
      <w:r>
        <w:rPr>
          <w:snapToGrid w:val="0"/>
        </w:rPr>
        <w:t>.</w:t>
      </w:r>
      <w:r>
        <w:rPr>
          <w:snapToGrid w:val="0"/>
        </w:rPr>
        <w:tab/>
        <w:t>Person having charge of detainee has legal custody</w:t>
      </w:r>
      <w:bookmarkEnd w:id="1516"/>
      <w:bookmarkEnd w:id="1517"/>
      <w:bookmarkEnd w:id="1518"/>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1519" w:name="_Toc405453345"/>
      <w:bookmarkStart w:id="1520" w:name="_Toc427933297"/>
      <w:bookmarkStart w:id="1521" w:name="_Toc422303413"/>
      <w:r>
        <w:rPr>
          <w:rStyle w:val="CharSectno"/>
        </w:rPr>
        <w:t>189</w:t>
      </w:r>
      <w:r>
        <w:rPr>
          <w:snapToGrid w:val="0"/>
        </w:rPr>
        <w:t>.</w:t>
      </w:r>
      <w:r>
        <w:rPr>
          <w:snapToGrid w:val="0"/>
        </w:rPr>
        <w:tab/>
        <w:t>Certain offenders to be regarded as not convicted</w:t>
      </w:r>
      <w:bookmarkEnd w:id="1519"/>
      <w:bookmarkEnd w:id="1520"/>
      <w:bookmarkEnd w:id="1521"/>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rPr>
          <w:snapToGrid w:val="0"/>
        </w:rPr>
      </w:pPr>
      <w:bookmarkStart w:id="1522" w:name="_Toc405453346"/>
      <w:bookmarkStart w:id="1523" w:name="_Toc427933298"/>
      <w:bookmarkStart w:id="1524" w:name="_Toc422303414"/>
      <w:r>
        <w:rPr>
          <w:rStyle w:val="CharSectno"/>
        </w:rPr>
        <w:t>190</w:t>
      </w:r>
      <w:r>
        <w:rPr>
          <w:snapToGrid w:val="0"/>
        </w:rPr>
        <w:t>.</w:t>
      </w:r>
      <w:r>
        <w:rPr>
          <w:snapToGrid w:val="0"/>
        </w:rPr>
        <w:tab/>
        <w:t>Disclosure of certain convictions</w:t>
      </w:r>
      <w:bookmarkEnd w:id="1522"/>
      <w:bookmarkEnd w:id="1523"/>
      <w:bookmarkEnd w:id="152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1525" w:name="_Toc405453347"/>
      <w:bookmarkStart w:id="1526" w:name="_Toc427933299"/>
      <w:bookmarkStart w:id="1527" w:name="_Toc422303415"/>
      <w:r>
        <w:rPr>
          <w:rStyle w:val="CharSectno"/>
        </w:rPr>
        <w:t>191</w:t>
      </w:r>
      <w:r>
        <w:rPr>
          <w:snapToGrid w:val="0"/>
        </w:rPr>
        <w:t>.</w:t>
      </w:r>
      <w:r>
        <w:rPr>
          <w:snapToGrid w:val="0"/>
        </w:rPr>
        <w:tab/>
        <w:t>Unlawfully communicating with detainee</w:t>
      </w:r>
      <w:bookmarkEnd w:id="1525"/>
      <w:bookmarkEnd w:id="1526"/>
      <w:bookmarkEnd w:id="152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1528" w:name="_Toc405453348"/>
      <w:bookmarkStart w:id="1529" w:name="_Toc427933300"/>
      <w:bookmarkStart w:id="1530" w:name="_Toc422303416"/>
      <w:r>
        <w:rPr>
          <w:rStyle w:val="CharSectno"/>
        </w:rPr>
        <w:t>192</w:t>
      </w:r>
      <w:r>
        <w:rPr>
          <w:snapToGrid w:val="0"/>
        </w:rPr>
        <w:t>.</w:t>
      </w:r>
      <w:r>
        <w:rPr>
          <w:snapToGrid w:val="0"/>
        </w:rPr>
        <w:tab/>
        <w:t>Unlawfully remaining in detention centre</w:t>
      </w:r>
      <w:bookmarkEnd w:id="1528"/>
      <w:bookmarkEnd w:id="1529"/>
      <w:bookmarkEnd w:id="153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1531" w:name="_Toc405453349"/>
      <w:bookmarkStart w:id="1532" w:name="_Toc427933301"/>
      <w:bookmarkStart w:id="1533" w:name="_Toc422303417"/>
      <w:r>
        <w:rPr>
          <w:rStyle w:val="CharSectno"/>
        </w:rPr>
        <w:t>193</w:t>
      </w:r>
      <w:r>
        <w:rPr>
          <w:snapToGrid w:val="0"/>
        </w:rPr>
        <w:t>.</w:t>
      </w:r>
      <w:r>
        <w:rPr>
          <w:snapToGrid w:val="0"/>
        </w:rPr>
        <w:tab/>
        <w:t>Escape from custody</w:t>
      </w:r>
      <w:bookmarkEnd w:id="1531"/>
      <w:bookmarkEnd w:id="1532"/>
      <w:bookmarkEnd w:id="1533"/>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534" w:name="_Toc405453350"/>
      <w:bookmarkStart w:id="1535" w:name="_Toc427933302"/>
      <w:bookmarkStart w:id="1536" w:name="_Toc422303418"/>
      <w:r>
        <w:rPr>
          <w:rStyle w:val="CharSectno"/>
        </w:rPr>
        <w:t>193A</w:t>
      </w:r>
      <w:r>
        <w:t>.</w:t>
      </w:r>
      <w:r>
        <w:tab/>
        <w:t>Arrest warrant may be issued if warrant of commitment in force</w:t>
      </w:r>
      <w:bookmarkEnd w:id="1534"/>
      <w:bookmarkEnd w:id="1535"/>
      <w:bookmarkEnd w:id="153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1537" w:name="_Toc405453351"/>
      <w:bookmarkStart w:id="1538" w:name="_Toc427933303"/>
      <w:bookmarkStart w:id="1539" w:name="_Toc422303419"/>
      <w:r>
        <w:rPr>
          <w:rStyle w:val="CharSectno"/>
        </w:rPr>
        <w:t>194</w:t>
      </w:r>
      <w:r>
        <w:rPr>
          <w:snapToGrid w:val="0"/>
        </w:rPr>
        <w:t>.</w:t>
      </w:r>
      <w:r>
        <w:rPr>
          <w:snapToGrid w:val="0"/>
        </w:rPr>
        <w:tab/>
        <w:t>Personating an officer</w:t>
      </w:r>
      <w:bookmarkEnd w:id="1537"/>
      <w:bookmarkEnd w:id="1538"/>
      <w:bookmarkEnd w:id="1539"/>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1540" w:name="_Toc405453352"/>
      <w:bookmarkStart w:id="1541" w:name="_Toc427933304"/>
      <w:bookmarkStart w:id="1542" w:name="_Toc422303420"/>
      <w:r>
        <w:rPr>
          <w:rStyle w:val="CharSectno"/>
        </w:rPr>
        <w:t>195</w:t>
      </w:r>
      <w:r>
        <w:rPr>
          <w:snapToGrid w:val="0"/>
        </w:rPr>
        <w:t>.</w:t>
      </w:r>
      <w:r>
        <w:rPr>
          <w:snapToGrid w:val="0"/>
        </w:rPr>
        <w:tab/>
        <w:t>General penalty</w:t>
      </w:r>
      <w:bookmarkEnd w:id="1540"/>
      <w:bookmarkEnd w:id="1541"/>
      <w:bookmarkEnd w:id="154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1543" w:name="_Toc405453353"/>
      <w:bookmarkStart w:id="1544" w:name="_Toc427933305"/>
      <w:bookmarkStart w:id="1545" w:name="_Toc422303421"/>
      <w:r>
        <w:rPr>
          <w:rStyle w:val="CharSectno"/>
        </w:rPr>
        <w:t>196</w:t>
      </w:r>
      <w:r>
        <w:rPr>
          <w:snapToGrid w:val="0"/>
        </w:rPr>
        <w:t>.</w:t>
      </w:r>
      <w:r>
        <w:rPr>
          <w:snapToGrid w:val="0"/>
        </w:rPr>
        <w:tab/>
        <w:t>Regulations</w:t>
      </w:r>
      <w:bookmarkEnd w:id="1543"/>
      <w:bookmarkEnd w:id="1544"/>
      <w:bookmarkEnd w:id="15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546" w:name="_Toc405453354"/>
      <w:bookmarkStart w:id="1547" w:name="_Toc427933306"/>
      <w:bookmarkStart w:id="1548" w:name="_Toc422303422"/>
      <w:r>
        <w:rPr>
          <w:rStyle w:val="CharSectno"/>
        </w:rPr>
        <w:t>197</w:t>
      </w:r>
      <w:r>
        <w:t>.</w:t>
      </w:r>
      <w:r>
        <w:tab/>
      </w:r>
      <w:r>
        <w:rPr>
          <w:snapToGrid w:val="0"/>
        </w:rPr>
        <w:t>Delegation of prescribed functions</w:t>
      </w:r>
      <w:bookmarkEnd w:id="1546"/>
      <w:bookmarkEnd w:id="1547"/>
      <w:bookmarkEnd w:id="154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549" w:name="_Toc405453355"/>
      <w:bookmarkStart w:id="1550" w:name="_Toc413337080"/>
      <w:bookmarkStart w:id="1551" w:name="_Toc413337356"/>
      <w:bookmarkStart w:id="1552" w:name="_Toc413337471"/>
      <w:bookmarkStart w:id="1553" w:name="_Toc422303423"/>
      <w:bookmarkStart w:id="1554" w:name="_Toc427932636"/>
      <w:bookmarkStart w:id="1555" w:name="_Toc427933307"/>
      <w:r>
        <w:rPr>
          <w:rStyle w:val="CharPartNo"/>
        </w:rPr>
        <w:t>Part 11</w:t>
      </w:r>
      <w:r>
        <w:t> — </w:t>
      </w:r>
      <w:r>
        <w:rPr>
          <w:rStyle w:val="CharPartText"/>
        </w:rPr>
        <w:t>Amendment of certain other Acts and transitional provisions</w:t>
      </w:r>
      <w:bookmarkEnd w:id="1549"/>
      <w:bookmarkEnd w:id="1550"/>
      <w:bookmarkEnd w:id="1551"/>
      <w:bookmarkEnd w:id="1552"/>
      <w:bookmarkEnd w:id="1553"/>
      <w:bookmarkEnd w:id="1554"/>
      <w:bookmarkEnd w:id="155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556" w:name="_Toc405453356"/>
      <w:bookmarkStart w:id="1557" w:name="_Toc413337081"/>
      <w:bookmarkStart w:id="1558" w:name="_Toc413337357"/>
      <w:bookmarkStart w:id="1559" w:name="_Toc413337472"/>
      <w:bookmarkStart w:id="1560" w:name="_Toc422303424"/>
      <w:bookmarkStart w:id="1561" w:name="_Toc427932637"/>
      <w:bookmarkStart w:id="1562" w:name="_Toc427933308"/>
      <w:r>
        <w:rPr>
          <w:rStyle w:val="CharDivNo"/>
        </w:rPr>
        <w:t>Division 3</w:t>
      </w:r>
      <w:r>
        <w:rPr>
          <w:snapToGrid w:val="0"/>
        </w:rPr>
        <w:t> — </w:t>
      </w:r>
      <w:r>
        <w:rPr>
          <w:rStyle w:val="CharDivText"/>
        </w:rPr>
        <w:t>Transitional provisions</w:t>
      </w:r>
      <w:bookmarkEnd w:id="1556"/>
      <w:bookmarkEnd w:id="1557"/>
      <w:bookmarkEnd w:id="1558"/>
      <w:bookmarkEnd w:id="1559"/>
      <w:bookmarkEnd w:id="1560"/>
      <w:bookmarkEnd w:id="1561"/>
      <w:bookmarkEnd w:id="1562"/>
      <w:r>
        <w:rPr>
          <w:rStyle w:val="CharDivText"/>
        </w:rPr>
        <w:t xml:space="preserve"> </w:t>
      </w:r>
    </w:p>
    <w:p>
      <w:pPr>
        <w:pStyle w:val="Heading5"/>
        <w:rPr>
          <w:snapToGrid w:val="0"/>
        </w:rPr>
      </w:pPr>
      <w:bookmarkStart w:id="1563" w:name="_Toc405453357"/>
      <w:bookmarkStart w:id="1564" w:name="_Toc427933309"/>
      <w:bookmarkStart w:id="1565" w:name="_Toc422303425"/>
      <w:r>
        <w:rPr>
          <w:rStyle w:val="CharSectno"/>
        </w:rPr>
        <w:t>231</w:t>
      </w:r>
      <w:r>
        <w:rPr>
          <w:snapToGrid w:val="0"/>
        </w:rPr>
        <w:t>.</w:t>
      </w:r>
      <w:r>
        <w:rPr>
          <w:snapToGrid w:val="0"/>
        </w:rPr>
        <w:tab/>
      </w:r>
      <w:r>
        <w:rPr>
          <w:i/>
          <w:snapToGrid w:val="0"/>
        </w:rPr>
        <w:t>Interpretation Act 1984</w:t>
      </w:r>
      <w:r>
        <w:rPr>
          <w:snapToGrid w:val="0"/>
        </w:rPr>
        <w:t xml:space="preserve"> applies</w:t>
      </w:r>
      <w:bookmarkEnd w:id="1563"/>
      <w:bookmarkEnd w:id="1564"/>
      <w:bookmarkEnd w:id="156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566" w:name="_Toc405453358"/>
      <w:bookmarkStart w:id="1567" w:name="_Toc427933310"/>
      <w:bookmarkStart w:id="1568" w:name="_Toc422303426"/>
      <w:r>
        <w:rPr>
          <w:rStyle w:val="CharSectno"/>
        </w:rPr>
        <w:t>232</w:t>
      </w:r>
      <w:r>
        <w:rPr>
          <w:snapToGrid w:val="0"/>
        </w:rPr>
        <w:t>.</w:t>
      </w:r>
      <w:r>
        <w:rPr>
          <w:snapToGrid w:val="0"/>
        </w:rPr>
        <w:tab/>
        <w:t>Orders for past matters</w:t>
      </w:r>
      <w:bookmarkEnd w:id="1566"/>
      <w:bookmarkEnd w:id="1567"/>
      <w:bookmarkEnd w:id="156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569" w:name="_Toc405453359"/>
      <w:bookmarkStart w:id="1570" w:name="_Toc427933311"/>
      <w:bookmarkStart w:id="1571" w:name="_Toc422303427"/>
      <w:r>
        <w:rPr>
          <w:rStyle w:val="CharSectno"/>
        </w:rPr>
        <w:t>233</w:t>
      </w:r>
      <w:r>
        <w:rPr>
          <w:snapToGrid w:val="0"/>
        </w:rPr>
        <w:t>.</w:t>
      </w:r>
      <w:r>
        <w:rPr>
          <w:snapToGrid w:val="0"/>
        </w:rPr>
        <w:tab/>
        <w:t>Orders under former provisions</w:t>
      </w:r>
      <w:bookmarkEnd w:id="1569"/>
      <w:bookmarkEnd w:id="1570"/>
      <w:bookmarkEnd w:id="157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572" w:name="_Toc405453360"/>
      <w:bookmarkStart w:id="1573" w:name="_Toc427933312"/>
      <w:bookmarkStart w:id="1574" w:name="_Toc422303428"/>
      <w:r>
        <w:rPr>
          <w:rStyle w:val="CharSectno"/>
        </w:rPr>
        <w:t>234</w:t>
      </w:r>
      <w:r>
        <w:rPr>
          <w:snapToGrid w:val="0"/>
        </w:rPr>
        <w:t>.</w:t>
      </w:r>
      <w:r>
        <w:rPr>
          <w:snapToGrid w:val="0"/>
        </w:rPr>
        <w:tab/>
        <w:t xml:space="preserve">Detention centres under </w:t>
      </w:r>
      <w:r>
        <w:rPr>
          <w:i/>
          <w:snapToGrid w:val="0"/>
        </w:rPr>
        <w:t>Child Welfare Act 1947</w:t>
      </w:r>
      <w:bookmarkEnd w:id="1572"/>
      <w:bookmarkEnd w:id="1573"/>
      <w:bookmarkEnd w:id="15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575" w:name="_Toc405453361"/>
      <w:bookmarkStart w:id="1576" w:name="_Toc427933313"/>
      <w:bookmarkStart w:id="1577" w:name="_Toc422303429"/>
      <w:r>
        <w:rPr>
          <w:rStyle w:val="CharSectno"/>
        </w:rPr>
        <w:t>235</w:t>
      </w:r>
      <w:r>
        <w:rPr>
          <w:snapToGrid w:val="0"/>
        </w:rPr>
        <w:t>.</w:t>
      </w:r>
      <w:r>
        <w:rPr>
          <w:snapToGrid w:val="0"/>
        </w:rPr>
        <w:tab/>
        <w:t>Proceedings pending before children’s panels</w:t>
      </w:r>
      <w:bookmarkEnd w:id="1575"/>
      <w:bookmarkEnd w:id="1576"/>
      <w:bookmarkEnd w:id="15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1578" w:name="_Toc405453362"/>
      <w:bookmarkStart w:id="1579" w:name="_Toc413337087"/>
      <w:bookmarkStart w:id="1580" w:name="_Toc413337363"/>
      <w:bookmarkStart w:id="1581" w:name="_Toc413337478"/>
      <w:bookmarkStart w:id="1582" w:name="_Toc422303430"/>
      <w:bookmarkStart w:id="1583" w:name="_Toc427932643"/>
      <w:bookmarkStart w:id="1584" w:name="_Toc427933314"/>
      <w:r>
        <w:rPr>
          <w:rStyle w:val="CharDivNo"/>
        </w:rPr>
        <w:t>Division 4</w:t>
      </w:r>
      <w:r>
        <w:rPr>
          <w:snapToGrid w:val="0"/>
        </w:rPr>
        <w:t> — </w:t>
      </w:r>
      <w:r>
        <w:rPr>
          <w:rStyle w:val="CharDivText"/>
        </w:rPr>
        <w:t>Miscellaneous</w:t>
      </w:r>
      <w:bookmarkEnd w:id="1578"/>
      <w:bookmarkEnd w:id="1579"/>
      <w:bookmarkEnd w:id="1580"/>
      <w:bookmarkEnd w:id="1581"/>
      <w:bookmarkEnd w:id="1582"/>
      <w:bookmarkEnd w:id="1583"/>
      <w:bookmarkEnd w:id="1584"/>
    </w:p>
    <w:p>
      <w:pPr>
        <w:pStyle w:val="Ednotesection"/>
      </w:pPr>
      <w:r>
        <w:t>[</w:t>
      </w:r>
      <w:r>
        <w:rPr>
          <w:b/>
        </w:rPr>
        <w:t>236.</w:t>
      </w:r>
      <w:r>
        <w:rPr>
          <w:b/>
        </w:rPr>
        <w:tab/>
      </w:r>
      <w:r>
        <w:t>Omitted under the Reprints Act 1984 s. 7(4)(e).]</w:t>
      </w:r>
    </w:p>
    <w:p>
      <w:pPr>
        <w:pStyle w:val="Heading5"/>
        <w:rPr>
          <w:snapToGrid w:val="0"/>
        </w:rPr>
      </w:pPr>
      <w:bookmarkStart w:id="1585" w:name="_Toc405453363"/>
      <w:bookmarkStart w:id="1586" w:name="_Toc427933315"/>
      <w:bookmarkStart w:id="1587" w:name="_Toc422303431"/>
      <w:r>
        <w:rPr>
          <w:rStyle w:val="CharSectno"/>
        </w:rPr>
        <w:t>237</w:t>
      </w:r>
      <w:r>
        <w:rPr>
          <w:snapToGrid w:val="0"/>
        </w:rPr>
        <w:t>.</w:t>
      </w:r>
      <w:r>
        <w:rPr>
          <w:snapToGrid w:val="0"/>
        </w:rPr>
        <w:tab/>
        <w:t>Review of Act</w:t>
      </w:r>
      <w:bookmarkEnd w:id="1585"/>
      <w:bookmarkEnd w:id="1586"/>
      <w:bookmarkEnd w:id="158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588" w:name="_Toc405453364"/>
      <w:bookmarkStart w:id="1589" w:name="_Toc413337089"/>
      <w:bookmarkStart w:id="1590" w:name="_Toc413337365"/>
      <w:bookmarkStart w:id="1591" w:name="_Toc413337480"/>
      <w:bookmarkStart w:id="1592" w:name="_Toc422303432"/>
      <w:bookmarkStart w:id="1593" w:name="_Toc427932645"/>
      <w:bookmarkStart w:id="1594" w:name="_Toc427933316"/>
      <w:r>
        <w:rPr>
          <w:rStyle w:val="CharSchNo"/>
        </w:rPr>
        <w:t>Schedule 1</w:t>
      </w:r>
      <w:r>
        <w:t> — </w:t>
      </w:r>
      <w:r>
        <w:rPr>
          <w:rStyle w:val="CharSchText"/>
        </w:rPr>
        <w:t>Schedule 1 offences</w:t>
      </w:r>
      <w:bookmarkEnd w:id="1588"/>
      <w:bookmarkEnd w:id="1589"/>
      <w:bookmarkEnd w:id="1590"/>
      <w:bookmarkEnd w:id="1591"/>
      <w:bookmarkEnd w:id="1592"/>
      <w:bookmarkEnd w:id="1593"/>
      <w:bookmarkEnd w:id="1594"/>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1595" w:name="_Toc405453365"/>
      <w:bookmarkStart w:id="1596" w:name="_Toc413337090"/>
      <w:bookmarkStart w:id="1597" w:name="_Toc413337366"/>
      <w:bookmarkStart w:id="1598" w:name="_Toc413337481"/>
      <w:bookmarkStart w:id="1599" w:name="_Toc422303433"/>
      <w:bookmarkStart w:id="1600" w:name="_Toc427932646"/>
      <w:bookmarkStart w:id="1601" w:name="_Toc427933317"/>
      <w:r>
        <w:rPr>
          <w:rStyle w:val="CharSchNo"/>
        </w:rPr>
        <w:t>Schedule 2</w:t>
      </w:r>
      <w:r>
        <w:t> — </w:t>
      </w:r>
      <w:r>
        <w:rPr>
          <w:rStyle w:val="CharSchText"/>
        </w:rPr>
        <w:t>Schedule 2 offences</w:t>
      </w:r>
      <w:bookmarkEnd w:id="1595"/>
      <w:bookmarkEnd w:id="1596"/>
      <w:bookmarkEnd w:id="1597"/>
      <w:bookmarkEnd w:id="1598"/>
      <w:bookmarkEnd w:id="1599"/>
      <w:bookmarkEnd w:id="1600"/>
      <w:bookmarkEnd w:id="1601"/>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603" w:name="_Toc405453366"/>
      <w:bookmarkStart w:id="1604" w:name="_Toc413337091"/>
      <w:bookmarkStart w:id="1605" w:name="_Toc413337367"/>
      <w:bookmarkStart w:id="1606" w:name="_Toc413337482"/>
      <w:bookmarkStart w:id="1607" w:name="_Toc422303434"/>
      <w:bookmarkStart w:id="1608" w:name="_Toc427932647"/>
      <w:bookmarkStart w:id="1609" w:name="_Toc427933318"/>
      <w:r>
        <w:rPr>
          <w:rStyle w:val="CharSchNo"/>
        </w:rPr>
        <w:t>Schedule 3</w:t>
      </w:r>
      <w:r>
        <w:t> — </w:t>
      </w:r>
      <w:r>
        <w:rPr>
          <w:rStyle w:val="CharSchText"/>
        </w:rPr>
        <w:t>Adaptations for community work in default of payment</w:t>
      </w:r>
      <w:bookmarkEnd w:id="1603"/>
      <w:bookmarkEnd w:id="1604"/>
      <w:bookmarkEnd w:id="1605"/>
      <w:bookmarkEnd w:id="1606"/>
      <w:bookmarkEnd w:id="1607"/>
      <w:bookmarkEnd w:id="1608"/>
      <w:bookmarkEnd w:id="1609"/>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1610" w:name="_Toc405453367"/>
      <w:bookmarkStart w:id="1611" w:name="_Toc427933319"/>
      <w:bookmarkStart w:id="1612" w:name="_Toc422303435"/>
      <w:r>
        <w:rPr>
          <w:rStyle w:val="CharSClsNo"/>
        </w:rPr>
        <w:t>1</w:t>
      </w:r>
      <w:r>
        <w:t>.</w:t>
      </w:r>
      <w:r>
        <w:tab/>
        <w:t>References to “offender”</w:t>
      </w:r>
      <w:bookmarkEnd w:id="1610"/>
      <w:bookmarkEnd w:id="1611"/>
      <w:bookmarkEnd w:id="161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1613" w:name="_Toc405453368"/>
      <w:bookmarkStart w:id="1614" w:name="_Toc427933320"/>
      <w:bookmarkStart w:id="1615" w:name="_Toc422303436"/>
      <w:r>
        <w:rPr>
          <w:rStyle w:val="CharSClsNo"/>
        </w:rPr>
        <w:t>2</w:t>
      </w:r>
      <w:r>
        <w:t>.</w:t>
      </w:r>
      <w:r>
        <w:tab/>
        <w:t>Conditions</w:t>
      </w:r>
      <w:bookmarkEnd w:id="1613"/>
      <w:bookmarkEnd w:id="1614"/>
      <w:bookmarkEnd w:id="161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1616" w:name="_Toc405453369"/>
      <w:bookmarkStart w:id="1617" w:name="_Toc427933321"/>
      <w:bookmarkStart w:id="1618" w:name="_Toc422303437"/>
      <w:r>
        <w:rPr>
          <w:rStyle w:val="CharSClsNo"/>
        </w:rPr>
        <w:t>3</w:t>
      </w:r>
      <w:r>
        <w:rPr>
          <w:snapToGrid w:val="0"/>
        </w:rPr>
        <w:t>.</w:t>
      </w:r>
      <w:r>
        <w:rPr>
          <w:snapToGrid w:val="0"/>
        </w:rPr>
        <w:tab/>
        <w:t>Duration of order</w:t>
      </w:r>
      <w:bookmarkEnd w:id="1616"/>
      <w:bookmarkEnd w:id="1617"/>
      <w:bookmarkEnd w:id="161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1619" w:name="_Toc405453370"/>
      <w:bookmarkStart w:id="1620" w:name="_Toc427933322"/>
      <w:bookmarkStart w:id="1621" w:name="_Toc422303438"/>
      <w:r>
        <w:rPr>
          <w:rStyle w:val="CharSClsNo"/>
        </w:rPr>
        <w:t>4</w:t>
      </w:r>
      <w:r>
        <w:rPr>
          <w:snapToGrid w:val="0"/>
        </w:rPr>
        <w:t>.</w:t>
      </w:r>
      <w:r>
        <w:rPr>
          <w:snapToGrid w:val="0"/>
        </w:rPr>
        <w:tab/>
        <w:t>Powers of court in dealing with breach</w:t>
      </w:r>
      <w:bookmarkEnd w:id="1619"/>
      <w:bookmarkEnd w:id="1620"/>
      <w:bookmarkEnd w:id="162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1622" w:name="_Toc405453371"/>
      <w:bookmarkStart w:id="1623" w:name="_Toc427933323"/>
      <w:bookmarkStart w:id="1624" w:name="_Toc422303439"/>
      <w:r>
        <w:rPr>
          <w:rStyle w:val="CharSClsNo"/>
        </w:rPr>
        <w:t>5</w:t>
      </w:r>
      <w:r>
        <w:rPr>
          <w:snapToGrid w:val="0"/>
        </w:rPr>
        <w:t>.</w:t>
      </w:r>
      <w:r>
        <w:rPr>
          <w:snapToGrid w:val="0"/>
        </w:rPr>
        <w:tab/>
        <w:t>Effect of partially performing work ordered in default of payment</w:t>
      </w:r>
      <w:bookmarkEnd w:id="1622"/>
      <w:bookmarkEnd w:id="1623"/>
      <w:bookmarkEnd w:id="162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1625" w:name="_Toc405453372"/>
      <w:bookmarkStart w:id="1626" w:name="_Toc427933324"/>
      <w:bookmarkStart w:id="1627" w:name="_Toc422303440"/>
      <w:r>
        <w:rPr>
          <w:rStyle w:val="CharSClsNo"/>
        </w:rPr>
        <w:t>6</w:t>
      </w:r>
      <w:r>
        <w:rPr>
          <w:snapToGrid w:val="0"/>
        </w:rPr>
        <w:t>.</w:t>
      </w:r>
      <w:r>
        <w:rPr>
          <w:snapToGrid w:val="0"/>
        </w:rPr>
        <w:tab/>
        <w:t>Proof of identity</w:t>
      </w:r>
      <w:bookmarkEnd w:id="1625"/>
      <w:bookmarkEnd w:id="1626"/>
      <w:bookmarkEnd w:id="162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1628" w:name="_Toc405453373"/>
      <w:bookmarkStart w:id="1629" w:name="_Toc413337098"/>
      <w:bookmarkStart w:id="1630" w:name="_Toc413337374"/>
      <w:bookmarkStart w:id="1631" w:name="_Toc413337489"/>
      <w:bookmarkStart w:id="1632" w:name="_Toc422303441"/>
      <w:bookmarkStart w:id="1633" w:name="_Toc427932654"/>
      <w:bookmarkStart w:id="1634" w:name="_Toc427933325"/>
      <w:r>
        <w:t>Notes</w:t>
      </w:r>
      <w:bookmarkEnd w:id="1628"/>
      <w:bookmarkEnd w:id="1629"/>
      <w:bookmarkEnd w:id="1630"/>
      <w:bookmarkEnd w:id="1631"/>
      <w:bookmarkEnd w:id="1632"/>
      <w:bookmarkEnd w:id="1633"/>
      <w:bookmarkEnd w:id="163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1635" w:name="_Toc405453374"/>
      <w:bookmarkStart w:id="1636" w:name="_Toc427933326"/>
      <w:bookmarkStart w:id="1637" w:name="_Toc422303442"/>
      <w:r>
        <w:t>Compilation table</w:t>
      </w:r>
      <w:bookmarkEnd w:id="1635"/>
      <w:bookmarkEnd w:id="1636"/>
      <w:bookmarkEnd w:id="163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cantSplit/>
          <w:ins w:id="1638" w:author="svcMRProcess" w:date="2020-02-21T14:38:00Z"/>
        </w:trPr>
        <w:tc>
          <w:tcPr>
            <w:tcW w:w="2268" w:type="dxa"/>
            <w:shd w:val="clear" w:color="auto" w:fill="auto"/>
          </w:tcPr>
          <w:p>
            <w:pPr>
              <w:pStyle w:val="nTable"/>
              <w:spacing w:after="40"/>
              <w:ind w:right="113"/>
              <w:rPr>
                <w:ins w:id="1639" w:author="svcMRProcess" w:date="2020-02-21T14:38:00Z"/>
                <w:i/>
              </w:rPr>
            </w:pPr>
            <w:ins w:id="1640" w:author="svcMRProcess" w:date="2020-02-21T14:38:00Z">
              <w:r>
                <w:rPr>
                  <w:i/>
                </w:rPr>
                <w:t>Custodial Legislation (Officers Discipline) Amendment Act 2014</w:t>
              </w:r>
              <w:r>
                <w:t xml:space="preserve"> Pt. 3</w:t>
              </w:r>
            </w:ins>
          </w:p>
        </w:tc>
        <w:tc>
          <w:tcPr>
            <w:tcW w:w="1134" w:type="dxa"/>
            <w:shd w:val="clear" w:color="auto" w:fill="auto"/>
          </w:tcPr>
          <w:p>
            <w:pPr>
              <w:pStyle w:val="nTable"/>
              <w:spacing w:after="40"/>
              <w:rPr>
                <w:ins w:id="1641" w:author="svcMRProcess" w:date="2020-02-21T14:38:00Z"/>
              </w:rPr>
            </w:pPr>
            <w:ins w:id="1642" w:author="svcMRProcess" w:date="2020-02-21T14:38:00Z">
              <w:r>
                <w:rPr>
                  <w:snapToGrid w:val="0"/>
                </w:rPr>
                <w:t>29 of 2014</w:t>
              </w:r>
            </w:ins>
          </w:p>
        </w:tc>
        <w:tc>
          <w:tcPr>
            <w:tcW w:w="1136" w:type="dxa"/>
            <w:shd w:val="clear" w:color="auto" w:fill="auto"/>
          </w:tcPr>
          <w:p>
            <w:pPr>
              <w:pStyle w:val="nTable"/>
              <w:spacing w:after="40"/>
              <w:rPr>
                <w:ins w:id="1643" w:author="svcMRProcess" w:date="2020-02-21T14:38:00Z"/>
              </w:rPr>
            </w:pPr>
            <w:ins w:id="1644" w:author="svcMRProcess" w:date="2020-02-21T14:38:00Z">
              <w:r>
                <w:t>3 Dec 2014</w:t>
              </w:r>
            </w:ins>
          </w:p>
        </w:tc>
        <w:tc>
          <w:tcPr>
            <w:tcW w:w="2551" w:type="dxa"/>
            <w:shd w:val="clear" w:color="auto" w:fill="auto"/>
          </w:tcPr>
          <w:p>
            <w:pPr>
              <w:pStyle w:val="nTable"/>
              <w:spacing w:after="40"/>
              <w:rPr>
                <w:ins w:id="1645" w:author="svcMRProcess" w:date="2020-02-21T14:38:00Z"/>
                <w:snapToGrid w:val="0"/>
              </w:rPr>
            </w:pPr>
            <w:ins w:id="1646" w:author="svcMRProcess" w:date="2020-02-21T14:38:00Z">
              <w:r>
                <w:rPr>
                  <w:snapToGrid w:val="0"/>
                </w:rPr>
                <w:t xml:space="preserve">24 Aug 2015 (see s. 2(b) and </w:t>
              </w:r>
              <w:r>
                <w:rPr>
                  <w:i/>
                  <w:snapToGrid w:val="0"/>
                </w:rPr>
                <w:t>Gazette</w:t>
              </w:r>
              <w:r>
                <w:rPr>
                  <w:snapToGrid w:val="0"/>
                </w:rPr>
                <w:t xml:space="preserve"> 21 Aug 2015 p. 3310)</w:t>
              </w:r>
            </w:ins>
          </w:p>
        </w:tc>
      </w:tr>
      <w:tr>
        <w:trPr>
          <w:cantSplit/>
        </w:trPr>
        <w:tc>
          <w:tcPr>
            <w:tcW w:w="2268" w:type="dxa"/>
            <w:tcBorders>
              <w:bottom w:val="single" w:sz="4" w:space="0" w:color="auto"/>
            </w:tcBorders>
            <w:shd w:val="clear" w:color="auto" w:fill="auto"/>
          </w:tcPr>
          <w:p>
            <w:pPr>
              <w:pStyle w:val="nTable"/>
              <w:spacing w:after="40"/>
              <w:ind w:right="113"/>
              <w:rPr>
                <w:i/>
              </w:rPr>
            </w:pPr>
            <w:r>
              <w:rPr>
                <w:i/>
              </w:rPr>
              <w:t>Declared Places (Mentally Impaired Accused) Act 2015</w:t>
            </w:r>
            <w:r>
              <w:t xml:space="preserve"> s. 89</w:t>
            </w:r>
          </w:p>
        </w:tc>
        <w:tc>
          <w:tcPr>
            <w:tcW w:w="1134" w:type="dxa"/>
            <w:tcBorders>
              <w:bottom w:val="single" w:sz="4" w:space="0" w:color="auto"/>
            </w:tcBorders>
            <w:shd w:val="clear" w:color="auto" w:fill="auto"/>
          </w:tcPr>
          <w:p>
            <w:pPr>
              <w:pStyle w:val="nTable"/>
              <w:spacing w:after="40"/>
            </w:pPr>
            <w:r>
              <w:rPr>
                <w:snapToGrid w:val="0"/>
                <w:lang w:val="en-US"/>
              </w:rPr>
              <w:t>4 of 2015</w:t>
            </w:r>
          </w:p>
        </w:tc>
        <w:tc>
          <w:tcPr>
            <w:tcW w:w="1136" w:type="dxa"/>
            <w:tcBorders>
              <w:bottom w:val="single" w:sz="4" w:space="0" w:color="auto"/>
            </w:tcBorders>
            <w:shd w:val="clear" w:color="auto" w:fill="auto"/>
          </w:tcPr>
          <w:p>
            <w:pPr>
              <w:pStyle w:val="nTable"/>
              <w:spacing w:after="40"/>
            </w:pPr>
            <w:r>
              <w:t>3 Mar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47" w:name="_Toc405453375"/>
      <w:bookmarkStart w:id="1648" w:name="_Toc427933327"/>
      <w:bookmarkStart w:id="1649" w:name="_Toc422303443"/>
      <w:r>
        <w:rPr>
          <w:snapToGrid w:val="0"/>
        </w:rPr>
        <w:t>Provisions that have not come into operation</w:t>
      </w:r>
      <w:bookmarkEnd w:id="1647"/>
      <w:bookmarkEnd w:id="1648"/>
      <w:bookmarkEnd w:id="164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single" w:sz="4" w:space="0" w:color="auto"/>
            </w:tcBorders>
          </w:tcPr>
          <w:p>
            <w:pPr>
              <w:pStyle w:val="nTable"/>
              <w:spacing w:after="40"/>
              <w:rPr>
                <w:snapToGrid w:val="0"/>
              </w:rPr>
            </w:pPr>
            <w:r>
              <w:rPr>
                <w:snapToGrid w:val="0"/>
              </w:rPr>
              <w:t>25 of 2014</w:t>
            </w:r>
          </w:p>
        </w:tc>
        <w:tc>
          <w:tcPr>
            <w:tcW w:w="1130" w:type="dxa"/>
            <w:gridSpan w:val="2"/>
            <w:tcBorders>
              <w:top w:val="nil"/>
              <w:bottom w:val="single" w:sz="4" w:space="0" w:color="auto"/>
            </w:tcBorders>
          </w:tcPr>
          <w:p>
            <w:pPr>
              <w:pStyle w:val="nTable"/>
              <w:spacing w:after="40"/>
              <w:rPr>
                <w:snapToGrid w:val="0"/>
              </w:rPr>
            </w:pPr>
            <w:r>
              <w:t>3 Nov 2014</w:t>
            </w:r>
          </w:p>
        </w:tc>
        <w:tc>
          <w:tcPr>
            <w:tcW w:w="2542" w:type="dxa"/>
            <w:gridSpan w:val="2"/>
            <w:tcBorders>
              <w:top w:val="nil"/>
              <w:bottom w:val="single" w:sz="4"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del w:id="1650" w:author="svcMRProcess" w:date="2020-02-21T14:38:00Z"/>
        </w:trPr>
        <w:tc>
          <w:tcPr>
            <w:tcW w:w="2258" w:type="dxa"/>
            <w:tcBorders>
              <w:top w:val="nil"/>
              <w:bottom w:val="single" w:sz="4" w:space="0" w:color="auto"/>
            </w:tcBorders>
          </w:tcPr>
          <w:p>
            <w:pPr>
              <w:pStyle w:val="nTable"/>
              <w:spacing w:after="40"/>
              <w:rPr>
                <w:del w:id="1651" w:author="svcMRProcess" w:date="2020-02-21T14:38:00Z"/>
                <w:vertAlign w:val="superscript"/>
              </w:rPr>
            </w:pPr>
            <w:del w:id="1652" w:author="svcMRProcess" w:date="2020-02-21T14:38:00Z">
              <w:r>
                <w:rPr>
                  <w:i/>
                </w:rPr>
                <w:delText>Custodial Legislation (Officers Discipline) Amendment Act 2014</w:delText>
              </w:r>
              <w:r>
                <w:delText xml:space="preserve"> Pt. 3 </w:delText>
              </w:r>
              <w:r>
                <w:rPr>
                  <w:vertAlign w:val="superscript"/>
                </w:rPr>
                <w:delText>15</w:delText>
              </w:r>
            </w:del>
          </w:p>
        </w:tc>
        <w:tc>
          <w:tcPr>
            <w:tcW w:w="1114" w:type="dxa"/>
            <w:tcBorders>
              <w:top w:val="nil"/>
              <w:bottom w:val="single" w:sz="4" w:space="0" w:color="auto"/>
            </w:tcBorders>
          </w:tcPr>
          <w:p>
            <w:pPr>
              <w:pStyle w:val="nTable"/>
              <w:spacing w:after="40"/>
              <w:rPr>
                <w:del w:id="1653" w:author="svcMRProcess" w:date="2020-02-21T14:38:00Z"/>
                <w:snapToGrid w:val="0"/>
              </w:rPr>
            </w:pPr>
            <w:del w:id="1654" w:author="svcMRProcess" w:date="2020-02-21T14:38:00Z">
              <w:r>
                <w:rPr>
                  <w:snapToGrid w:val="0"/>
                </w:rPr>
                <w:delText>29 of 2014</w:delText>
              </w:r>
            </w:del>
          </w:p>
        </w:tc>
        <w:tc>
          <w:tcPr>
            <w:tcW w:w="1130" w:type="dxa"/>
            <w:gridSpan w:val="2"/>
            <w:tcBorders>
              <w:top w:val="nil"/>
              <w:bottom w:val="single" w:sz="4" w:space="0" w:color="auto"/>
            </w:tcBorders>
          </w:tcPr>
          <w:p>
            <w:pPr>
              <w:pStyle w:val="nTable"/>
              <w:spacing w:after="40"/>
              <w:rPr>
                <w:del w:id="1655" w:author="svcMRProcess" w:date="2020-02-21T14:38:00Z"/>
              </w:rPr>
            </w:pPr>
            <w:del w:id="1656" w:author="svcMRProcess" w:date="2020-02-21T14:38:00Z">
              <w:r>
                <w:delText>3 Dec 2014</w:delText>
              </w:r>
            </w:del>
          </w:p>
        </w:tc>
        <w:tc>
          <w:tcPr>
            <w:tcW w:w="2542" w:type="dxa"/>
            <w:gridSpan w:val="2"/>
            <w:tcBorders>
              <w:top w:val="nil"/>
              <w:bottom w:val="single" w:sz="4" w:space="0" w:color="auto"/>
            </w:tcBorders>
          </w:tcPr>
          <w:p>
            <w:pPr>
              <w:pStyle w:val="nTable"/>
              <w:spacing w:after="40"/>
              <w:rPr>
                <w:del w:id="1657" w:author="svcMRProcess" w:date="2020-02-21T14:38:00Z"/>
                <w:snapToGrid w:val="0"/>
              </w:rPr>
            </w:pPr>
            <w:del w:id="1658" w:author="svcMRProcess" w:date="2020-02-21T14:38:00Z">
              <w:r>
                <w:rPr>
                  <w:snapToGrid w:val="0"/>
                </w:rPr>
                <w:delText>To be proclaimed (see s. 2(b))</w:delText>
              </w:r>
            </w:del>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vertAlign w:val="superscript"/>
        </w:rPr>
        <w:tab/>
      </w:r>
      <w:r>
        <w:rPr>
          <w:snapToGrid w:val="0"/>
        </w:rPr>
        <w:t>Footnote no longer applicable.</w:t>
      </w: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del w:id="1659" w:author="svcMRProcess" w:date="2020-02-21T14:38:00Z"/>
          <w:snapToGrid w:val="0"/>
        </w:rPr>
      </w:pPr>
      <w:del w:id="1660" w:author="svcMRProcess" w:date="2020-02-21T14:38: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rPr>
          <w:delText xml:space="preserve">Custodial Legislation (Officers Discipline) Amendment Act 2014 </w:delText>
        </w:r>
        <w:r>
          <w:delText>Pt. 3</w:delText>
        </w:r>
        <w:r>
          <w:rPr>
            <w:snapToGrid w:val="0"/>
          </w:rPr>
          <w:delText xml:space="preserve"> had not come into operation.  It reads as follows:</w:delText>
        </w:r>
      </w:del>
    </w:p>
    <w:p>
      <w:pPr>
        <w:pStyle w:val="BlankOpen"/>
        <w:rPr>
          <w:del w:id="1661" w:author="svcMRProcess" w:date="2020-02-21T14:38:00Z"/>
          <w:rStyle w:val="CharPartText"/>
        </w:rPr>
      </w:pPr>
    </w:p>
    <w:p>
      <w:pPr>
        <w:pStyle w:val="nzHeading2"/>
        <w:rPr>
          <w:del w:id="1662" w:author="svcMRProcess" w:date="2020-02-21T14:38:00Z"/>
        </w:rPr>
      </w:pPr>
      <w:bookmarkStart w:id="1663" w:name="_Toc370987240"/>
      <w:bookmarkStart w:id="1664" w:name="_Toc370987332"/>
      <w:bookmarkStart w:id="1665" w:name="_Toc370987424"/>
      <w:bookmarkStart w:id="1666" w:name="_Toc370987516"/>
      <w:bookmarkStart w:id="1667" w:name="_Toc370987994"/>
      <w:bookmarkStart w:id="1668" w:name="_Toc370988446"/>
      <w:bookmarkStart w:id="1669" w:name="_Toc370988547"/>
      <w:bookmarkStart w:id="1670" w:name="_Toc371347006"/>
      <w:bookmarkStart w:id="1671" w:name="_Toc372281388"/>
      <w:bookmarkStart w:id="1672" w:name="_Toc404765089"/>
      <w:bookmarkStart w:id="1673" w:name="_Toc405375751"/>
      <w:del w:id="1674" w:author="svcMRProcess" w:date="2020-02-21T14:38:00Z">
        <w:r>
          <w:rPr>
            <w:rStyle w:val="CharPartNo"/>
          </w:rPr>
          <w:delText>Part 3</w:delText>
        </w:r>
        <w:r>
          <w:rPr>
            <w:rStyle w:val="CharDivNo"/>
          </w:rPr>
          <w:delText> </w:delText>
        </w:r>
        <w:r>
          <w:delText>—</w:delText>
        </w:r>
        <w:r>
          <w:rPr>
            <w:rStyle w:val="CharDivText"/>
          </w:rPr>
          <w:delText> </w:delText>
        </w:r>
        <w:r>
          <w:rPr>
            <w:rStyle w:val="CharPartText"/>
            <w:i/>
          </w:rPr>
          <w:delText>Young Offenders Act 1994</w:delText>
        </w:r>
        <w:r>
          <w:rPr>
            <w:rStyle w:val="CharPartText"/>
          </w:rPr>
          <w:delText xml:space="preserve"> amended</w:delText>
        </w:r>
        <w:bookmarkEnd w:id="1663"/>
        <w:bookmarkEnd w:id="1664"/>
        <w:bookmarkEnd w:id="1665"/>
        <w:bookmarkEnd w:id="1666"/>
        <w:bookmarkEnd w:id="1667"/>
        <w:bookmarkEnd w:id="1668"/>
        <w:bookmarkEnd w:id="1669"/>
        <w:bookmarkEnd w:id="1670"/>
        <w:bookmarkEnd w:id="1671"/>
        <w:bookmarkEnd w:id="1672"/>
        <w:bookmarkEnd w:id="1673"/>
      </w:del>
    </w:p>
    <w:p>
      <w:pPr>
        <w:pStyle w:val="nzHeading5"/>
        <w:rPr>
          <w:del w:id="1675" w:author="svcMRProcess" w:date="2020-02-21T14:38:00Z"/>
        </w:rPr>
      </w:pPr>
      <w:bookmarkStart w:id="1676" w:name="_Toc404765090"/>
      <w:bookmarkStart w:id="1677" w:name="_Toc405375752"/>
      <w:del w:id="1678" w:author="svcMRProcess" w:date="2020-02-21T14:38:00Z">
        <w:r>
          <w:rPr>
            <w:rStyle w:val="CharSectno"/>
          </w:rPr>
          <w:delText>10</w:delText>
        </w:r>
        <w:r>
          <w:delText>.</w:delText>
        </w:r>
        <w:r>
          <w:tab/>
          <w:delText>Act amended</w:delText>
        </w:r>
        <w:bookmarkEnd w:id="1676"/>
        <w:bookmarkEnd w:id="1677"/>
      </w:del>
    </w:p>
    <w:p>
      <w:pPr>
        <w:pStyle w:val="nzSubsection"/>
        <w:rPr>
          <w:del w:id="1679" w:author="svcMRProcess" w:date="2020-02-21T14:38:00Z"/>
        </w:rPr>
      </w:pPr>
      <w:del w:id="1680" w:author="svcMRProcess" w:date="2020-02-21T14:38:00Z">
        <w:r>
          <w:tab/>
        </w:r>
        <w:r>
          <w:tab/>
          <w:delText xml:space="preserve">This Part amends the </w:delText>
        </w:r>
        <w:r>
          <w:rPr>
            <w:i/>
            <w:iCs/>
          </w:rPr>
          <w:delText>Young Offenders Act 1994</w:delText>
        </w:r>
        <w:r>
          <w:delText>.</w:delText>
        </w:r>
      </w:del>
    </w:p>
    <w:p>
      <w:pPr>
        <w:pStyle w:val="nzHeading5"/>
        <w:rPr>
          <w:del w:id="1681" w:author="svcMRProcess" w:date="2020-02-21T14:38:00Z"/>
        </w:rPr>
      </w:pPr>
      <w:bookmarkStart w:id="1682" w:name="_Toc404765091"/>
      <w:bookmarkStart w:id="1683" w:name="_Toc405375753"/>
      <w:del w:id="1684" w:author="svcMRProcess" w:date="2020-02-21T14:38:00Z">
        <w:r>
          <w:rPr>
            <w:rStyle w:val="CharSectno"/>
          </w:rPr>
          <w:delText>11</w:delText>
        </w:r>
        <w:r>
          <w:delText>.</w:delText>
        </w:r>
        <w:r>
          <w:tab/>
          <w:delText>Section 3 amended</w:delText>
        </w:r>
        <w:bookmarkEnd w:id="1682"/>
        <w:bookmarkEnd w:id="1683"/>
      </w:del>
    </w:p>
    <w:p>
      <w:pPr>
        <w:pStyle w:val="nzSubsection"/>
        <w:rPr>
          <w:del w:id="1685" w:author="svcMRProcess" w:date="2020-02-21T14:38:00Z"/>
        </w:rPr>
      </w:pPr>
      <w:del w:id="1686" w:author="svcMRProcess" w:date="2020-02-21T14:38:00Z">
        <w:r>
          <w:tab/>
        </w:r>
        <w:r>
          <w:tab/>
          <w:delText>In section 3 insert in alphabetical order:</w:delText>
        </w:r>
      </w:del>
    </w:p>
    <w:p>
      <w:pPr>
        <w:pStyle w:val="BlankOpen"/>
        <w:rPr>
          <w:del w:id="1687" w:author="svcMRProcess" w:date="2020-02-21T14:38:00Z"/>
        </w:rPr>
      </w:pPr>
    </w:p>
    <w:p>
      <w:pPr>
        <w:pStyle w:val="nzDefstart"/>
        <w:rPr>
          <w:del w:id="1688" w:author="svcMRProcess" w:date="2020-02-21T14:38:00Z"/>
        </w:rPr>
      </w:pPr>
      <w:del w:id="1689" w:author="svcMRProcess" w:date="2020-02-21T14:38:00Z">
        <w:r>
          <w:tab/>
        </w:r>
        <w:r>
          <w:rPr>
            <w:rStyle w:val="CharDefText"/>
          </w:rPr>
          <w:delText>custodial officer</w:delText>
        </w:r>
        <w:r>
          <w:delText xml:space="preserve"> means — </w:delText>
        </w:r>
      </w:del>
    </w:p>
    <w:p>
      <w:pPr>
        <w:pStyle w:val="nzDefpara"/>
        <w:rPr>
          <w:del w:id="1690" w:author="svcMRProcess" w:date="2020-02-21T14:38:00Z"/>
        </w:rPr>
      </w:pPr>
      <w:del w:id="1691" w:author="svcMRProcess" w:date="2020-02-21T14:38:00Z">
        <w:r>
          <w:tab/>
          <w:delText>(a)</w:delText>
        </w:r>
        <w:r>
          <w:tab/>
          <w:delText>a superintendent, or other officer with custodial functions, appointed under section 11(1); or</w:delText>
        </w:r>
      </w:del>
    </w:p>
    <w:p>
      <w:pPr>
        <w:pStyle w:val="nzDefpara"/>
        <w:rPr>
          <w:del w:id="1692" w:author="svcMRProcess" w:date="2020-02-21T14:38:00Z"/>
        </w:rPr>
      </w:pPr>
      <w:del w:id="1693" w:author="svcMRProcess" w:date="2020-02-21T14:38:00Z">
        <w:r>
          <w:tab/>
          <w:delText>(b)</w:delText>
        </w:r>
        <w:r>
          <w:tab/>
          <w:delText>a person who is appointed under section 11(1a)(a) as a custodial officer;</w:delText>
        </w:r>
      </w:del>
    </w:p>
    <w:p>
      <w:pPr>
        <w:pStyle w:val="nzDefstart"/>
        <w:rPr>
          <w:del w:id="1694" w:author="svcMRProcess" w:date="2020-02-21T14:38:00Z"/>
        </w:rPr>
      </w:pPr>
      <w:del w:id="1695" w:author="svcMRProcess" w:date="2020-02-21T14:38:00Z">
        <w:r>
          <w:tab/>
        </w:r>
        <w:r>
          <w:rPr>
            <w:rStyle w:val="CharDefText"/>
          </w:rPr>
          <w:delText>remove</w:delText>
        </w:r>
        <w:r>
          <w:delText>, in relation to an officer or other person appointed under section 11(1), means terminate the employment of the officer or person;</w:delText>
        </w:r>
      </w:del>
    </w:p>
    <w:p>
      <w:pPr>
        <w:pStyle w:val="BlankClose"/>
        <w:rPr>
          <w:del w:id="1696" w:author="svcMRProcess" w:date="2020-02-21T14:38:00Z"/>
        </w:rPr>
      </w:pPr>
    </w:p>
    <w:p>
      <w:pPr>
        <w:pStyle w:val="nzHeading5"/>
        <w:rPr>
          <w:del w:id="1697" w:author="svcMRProcess" w:date="2020-02-21T14:38:00Z"/>
        </w:rPr>
      </w:pPr>
      <w:bookmarkStart w:id="1698" w:name="_Toc404765092"/>
      <w:bookmarkStart w:id="1699" w:name="_Toc405375754"/>
      <w:del w:id="1700" w:author="svcMRProcess" w:date="2020-02-21T14:38:00Z">
        <w:r>
          <w:rPr>
            <w:rStyle w:val="CharSectno"/>
          </w:rPr>
          <w:delText>12</w:delText>
        </w:r>
        <w:r>
          <w:delText>.</w:delText>
        </w:r>
        <w:r>
          <w:tab/>
          <w:delText>Part 3 Division 1 heading replaced</w:delText>
        </w:r>
        <w:bookmarkEnd w:id="1698"/>
        <w:bookmarkEnd w:id="1699"/>
      </w:del>
    </w:p>
    <w:p>
      <w:pPr>
        <w:pStyle w:val="nzSubsection"/>
        <w:rPr>
          <w:del w:id="1701" w:author="svcMRProcess" w:date="2020-02-21T14:38:00Z"/>
        </w:rPr>
      </w:pPr>
      <w:del w:id="1702" w:author="svcMRProcess" w:date="2020-02-21T14:38:00Z">
        <w:r>
          <w:tab/>
        </w:r>
        <w:r>
          <w:tab/>
          <w:delText>Delete the heading to Part 3 Division 1 and insert:</w:delText>
        </w:r>
      </w:del>
    </w:p>
    <w:p>
      <w:pPr>
        <w:pStyle w:val="BlankOpen"/>
        <w:rPr>
          <w:del w:id="1703" w:author="svcMRProcess" w:date="2020-02-21T14:38:00Z"/>
        </w:rPr>
      </w:pPr>
    </w:p>
    <w:p>
      <w:pPr>
        <w:pStyle w:val="nzHeading3"/>
        <w:rPr>
          <w:del w:id="1704" w:author="svcMRProcess" w:date="2020-02-21T14:38:00Z"/>
        </w:rPr>
      </w:pPr>
      <w:bookmarkStart w:id="1705" w:name="_Toc370987244"/>
      <w:bookmarkStart w:id="1706" w:name="_Toc370987336"/>
      <w:bookmarkStart w:id="1707" w:name="_Toc370987428"/>
      <w:bookmarkStart w:id="1708" w:name="_Toc370987520"/>
      <w:bookmarkStart w:id="1709" w:name="_Toc370987998"/>
      <w:bookmarkStart w:id="1710" w:name="_Toc370988450"/>
      <w:bookmarkStart w:id="1711" w:name="_Toc370988551"/>
      <w:bookmarkStart w:id="1712" w:name="_Toc371347010"/>
      <w:bookmarkStart w:id="1713" w:name="_Toc372281392"/>
      <w:bookmarkStart w:id="1714" w:name="_Toc404765093"/>
      <w:bookmarkStart w:id="1715" w:name="_Toc405375755"/>
      <w:del w:id="1716" w:author="svcMRProcess" w:date="2020-02-21T14:38:00Z">
        <w:r>
          <w:delText>Division 1 — Chief executive officer</w:delText>
        </w:r>
        <w:bookmarkEnd w:id="1705"/>
        <w:bookmarkEnd w:id="1706"/>
        <w:bookmarkEnd w:id="1707"/>
        <w:bookmarkEnd w:id="1708"/>
        <w:bookmarkEnd w:id="1709"/>
        <w:bookmarkEnd w:id="1710"/>
        <w:bookmarkEnd w:id="1711"/>
        <w:bookmarkEnd w:id="1712"/>
        <w:bookmarkEnd w:id="1713"/>
        <w:bookmarkEnd w:id="1714"/>
        <w:bookmarkEnd w:id="1715"/>
      </w:del>
    </w:p>
    <w:p>
      <w:pPr>
        <w:pStyle w:val="BlankClose"/>
        <w:rPr>
          <w:del w:id="1717" w:author="svcMRProcess" w:date="2020-02-21T14:38:00Z"/>
        </w:rPr>
      </w:pPr>
    </w:p>
    <w:p>
      <w:pPr>
        <w:pStyle w:val="nzHeading5"/>
        <w:rPr>
          <w:del w:id="1718" w:author="svcMRProcess" w:date="2020-02-21T14:38:00Z"/>
        </w:rPr>
      </w:pPr>
      <w:bookmarkStart w:id="1719" w:name="_Toc404765094"/>
      <w:bookmarkStart w:id="1720" w:name="_Toc405375756"/>
      <w:del w:id="1721" w:author="svcMRProcess" w:date="2020-02-21T14:38:00Z">
        <w:r>
          <w:rPr>
            <w:rStyle w:val="CharSectno"/>
          </w:rPr>
          <w:delText>13</w:delText>
        </w:r>
        <w:r>
          <w:delText>.</w:delText>
        </w:r>
        <w:r>
          <w:tab/>
          <w:delText>Part 3 Division 2 heading inserted</w:delText>
        </w:r>
        <w:bookmarkEnd w:id="1719"/>
        <w:bookmarkEnd w:id="1720"/>
      </w:del>
    </w:p>
    <w:p>
      <w:pPr>
        <w:pStyle w:val="nzSubsection"/>
        <w:rPr>
          <w:del w:id="1722" w:author="svcMRProcess" w:date="2020-02-21T14:38:00Z"/>
        </w:rPr>
      </w:pPr>
      <w:del w:id="1723" w:author="svcMRProcess" w:date="2020-02-21T14:38:00Z">
        <w:r>
          <w:tab/>
        </w:r>
        <w:r>
          <w:tab/>
          <w:delText>After section 10 insert:</w:delText>
        </w:r>
      </w:del>
    </w:p>
    <w:p>
      <w:pPr>
        <w:pStyle w:val="BlankOpen"/>
        <w:keepNext w:val="0"/>
        <w:rPr>
          <w:del w:id="1724" w:author="svcMRProcess" w:date="2020-02-21T14:38:00Z"/>
        </w:rPr>
      </w:pPr>
    </w:p>
    <w:p>
      <w:pPr>
        <w:pStyle w:val="nzHeading3"/>
        <w:rPr>
          <w:del w:id="1725" w:author="svcMRProcess" w:date="2020-02-21T14:38:00Z"/>
        </w:rPr>
      </w:pPr>
      <w:bookmarkStart w:id="1726" w:name="_Toc370987246"/>
      <w:bookmarkStart w:id="1727" w:name="_Toc370987338"/>
      <w:bookmarkStart w:id="1728" w:name="_Toc370987430"/>
      <w:bookmarkStart w:id="1729" w:name="_Toc370987522"/>
      <w:bookmarkStart w:id="1730" w:name="_Toc370988000"/>
      <w:bookmarkStart w:id="1731" w:name="_Toc370988452"/>
      <w:bookmarkStart w:id="1732" w:name="_Toc370988553"/>
      <w:bookmarkStart w:id="1733" w:name="_Toc371347012"/>
      <w:bookmarkStart w:id="1734" w:name="_Toc372281394"/>
      <w:bookmarkStart w:id="1735" w:name="_Toc404765095"/>
      <w:bookmarkStart w:id="1736" w:name="_Toc405375757"/>
      <w:del w:id="1737" w:author="svcMRProcess" w:date="2020-02-21T14:38:00Z">
        <w:r>
          <w:delText>Division 2 — Other officers and employees</w:delText>
        </w:r>
        <w:bookmarkEnd w:id="1726"/>
        <w:bookmarkEnd w:id="1727"/>
        <w:bookmarkEnd w:id="1728"/>
        <w:bookmarkEnd w:id="1729"/>
        <w:bookmarkEnd w:id="1730"/>
        <w:bookmarkEnd w:id="1731"/>
        <w:bookmarkEnd w:id="1732"/>
        <w:bookmarkEnd w:id="1733"/>
        <w:bookmarkEnd w:id="1734"/>
        <w:bookmarkEnd w:id="1735"/>
        <w:bookmarkEnd w:id="1736"/>
      </w:del>
    </w:p>
    <w:p>
      <w:pPr>
        <w:pStyle w:val="BlankClose"/>
        <w:rPr>
          <w:del w:id="1738" w:author="svcMRProcess" w:date="2020-02-21T14:38:00Z"/>
        </w:rPr>
      </w:pPr>
    </w:p>
    <w:p>
      <w:pPr>
        <w:pStyle w:val="nzHeading5"/>
        <w:rPr>
          <w:del w:id="1739" w:author="svcMRProcess" w:date="2020-02-21T14:38:00Z"/>
        </w:rPr>
      </w:pPr>
      <w:bookmarkStart w:id="1740" w:name="_Toc404765096"/>
      <w:bookmarkStart w:id="1741" w:name="_Toc405375758"/>
      <w:del w:id="1742" w:author="svcMRProcess" w:date="2020-02-21T14:38:00Z">
        <w:r>
          <w:rPr>
            <w:rStyle w:val="CharSectno"/>
          </w:rPr>
          <w:delText>14</w:delText>
        </w:r>
        <w:r>
          <w:delText>.</w:delText>
        </w:r>
        <w:r>
          <w:tab/>
          <w:delText>Section 11 amended</w:delText>
        </w:r>
        <w:bookmarkEnd w:id="1740"/>
        <w:bookmarkEnd w:id="1741"/>
      </w:del>
    </w:p>
    <w:p>
      <w:pPr>
        <w:pStyle w:val="nzSubsection"/>
        <w:rPr>
          <w:del w:id="1743" w:author="svcMRProcess" w:date="2020-02-21T14:38:00Z"/>
        </w:rPr>
      </w:pPr>
      <w:del w:id="1744" w:author="svcMRProcess" w:date="2020-02-21T14:38:00Z">
        <w:r>
          <w:tab/>
          <w:delText>(1)</w:delText>
        </w:r>
        <w:r>
          <w:tab/>
          <w:delText>In section 11(1a):</w:delText>
        </w:r>
      </w:del>
    </w:p>
    <w:p>
      <w:pPr>
        <w:pStyle w:val="nzIndenta"/>
        <w:rPr>
          <w:del w:id="1745" w:author="svcMRProcess" w:date="2020-02-21T14:38:00Z"/>
        </w:rPr>
      </w:pPr>
      <w:del w:id="1746" w:author="svcMRProcess" w:date="2020-02-21T14:38:00Z">
        <w:r>
          <w:tab/>
          <w:delText>(a)</w:delText>
        </w:r>
        <w:r>
          <w:tab/>
          <w:delText>in paragraph (a) delete “functions (</w:delText>
        </w:r>
        <w:r>
          <w:rPr>
            <w:b/>
            <w:i/>
          </w:rPr>
          <w:delText>group workers</w:delText>
        </w:r>
        <w:r>
          <w:delText>);</w:delText>
        </w:r>
        <w:r>
          <w:rPr>
            <w:b/>
          </w:rPr>
          <w:delText xml:space="preserve"> </w:delText>
        </w:r>
        <w:r>
          <w:delText>and” and insert:</w:delText>
        </w:r>
      </w:del>
    </w:p>
    <w:p>
      <w:pPr>
        <w:pStyle w:val="BlankOpen"/>
        <w:rPr>
          <w:del w:id="1747" w:author="svcMRProcess" w:date="2020-02-21T14:38:00Z"/>
        </w:rPr>
      </w:pPr>
    </w:p>
    <w:p>
      <w:pPr>
        <w:pStyle w:val="nzIndenta"/>
        <w:rPr>
          <w:del w:id="1748" w:author="svcMRProcess" w:date="2020-02-21T14:38:00Z"/>
        </w:rPr>
      </w:pPr>
      <w:del w:id="1749" w:author="svcMRProcess" w:date="2020-02-21T14:38:00Z">
        <w:r>
          <w:tab/>
        </w:r>
        <w:r>
          <w:tab/>
          <w:delText>functions; and</w:delText>
        </w:r>
      </w:del>
    </w:p>
    <w:p>
      <w:pPr>
        <w:pStyle w:val="BlankClose"/>
        <w:rPr>
          <w:del w:id="1750" w:author="svcMRProcess" w:date="2020-02-21T14:38:00Z"/>
        </w:rPr>
      </w:pPr>
    </w:p>
    <w:p>
      <w:pPr>
        <w:pStyle w:val="nzIndenta"/>
        <w:rPr>
          <w:del w:id="1751" w:author="svcMRProcess" w:date="2020-02-21T14:38:00Z"/>
        </w:rPr>
      </w:pPr>
      <w:del w:id="1752" w:author="svcMRProcess" w:date="2020-02-21T14:38:00Z">
        <w:r>
          <w:tab/>
          <w:delText>(b)</w:delText>
        </w:r>
        <w:r>
          <w:tab/>
          <w:delText>delete “terminate the appointment o</w:delText>
        </w:r>
        <w:r>
          <w:rPr>
            <w:spacing w:val="30"/>
          </w:rPr>
          <w:delText>f”</w:delText>
        </w:r>
        <w:r>
          <w:delText xml:space="preserve"> and insert:</w:delText>
        </w:r>
      </w:del>
    </w:p>
    <w:p>
      <w:pPr>
        <w:pStyle w:val="BlankOpen"/>
        <w:rPr>
          <w:del w:id="1753" w:author="svcMRProcess" w:date="2020-02-21T14:38:00Z"/>
        </w:rPr>
      </w:pPr>
    </w:p>
    <w:p>
      <w:pPr>
        <w:pStyle w:val="nzIndenta"/>
        <w:rPr>
          <w:del w:id="1754" w:author="svcMRProcess" w:date="2020-02-21T14:38:00Z"/>
        </w:rPr>
      </w:pPr>
      <w:del w:id="1755" w:author="svcMRProcess" w:date="2020-02-21T14:38:00Z">
        <w:r>
          <w:tab/>
        </w:r>
        <w:r>
          <w:tab/>
          <w:delText>remove</w:delText>
        </w:r>
      </w:del>
    </w:p>
    <w:p>
      <w:pPr>
        <w:pStyle w:val="BlankClose"/>
        <w:rPr>
          <w:del w:id="1756" w:author="svcMRProcess" w:date="2020-02-21T14:38:00Z"/>
        </w:rPr>
      </w:pPr>
    </w:p>
    <w:p>
      <w:pPr>
        <w:pStyle w:val="nzSubsection"/>
        <w:rPr>
          <w:del w:id="1757" w:author="svcMRProcess" w:date="2020-02-21T14:38:00Z"/>
        </w:rPr>
      </w:pPr>
      <w:del w:id="1758" w:author="svcMRProcess" w:date="2020-02-21T14:38:00Z">
        <w:r>
          <w:tab/>
          <w:delText>(2)</w:delText>
        </w:r>
        <w:r>
          <w:tab/>
          <w:delText>Delete section 11(1b)(b) and insert:</w:delText>
        </w:r>
      </w:del>
    </w:p>
    <w:p>
      <w:pPr>
        <w:pStyle w:val="BlankOpen"/>
        <w:rPr>
          <w:del w:id="1759" w:author="svcMRProcess" w:date="2020-02-21T14:38:00Z"/>
        </w:rPr>
      </w:pPr>
    </w:p>
    <w:p>
      <w:pPr>
        <w:pStyle w:val="nzIndenta"/>
        <w:rPr>
          <w:del w:id="1760" w:author="svcMRProcess" w:date="2020-02-21T14:38:00Z"/>
        </w:rPr>
      </w:pPr>
      <w:del w:id="1761" w:author="svcMRProcess" w:date="2020-02-21T14:38:00Z">
        <w:r>
          <w:tab/>
          <w:delText>(b)</w:delText>
        </w:r>
        <w:r>
          <w:tab/>
          <w:delText xml:space="preserve">may be subject to — </w:delText>
        </w:r>
      </w:del>
    </w:p>
    <w:p>
      <w:pPr>
        <w:pStyle w:val="nzIndenti"/>
        <w:rPr>
          <w:del w:id="1762" w:author="svcMRProcess" w:date="2020-02-21T14:38:00Z"/>
        </w:rPr>
      </w:pPr>
      <w:del w:id="1763" w:author="svcMRProcess" w:date="2020-02-21T14:38:00Z">
        <w:r>
          <w:tab/>
          <w:delText>(i)</w:delText>
        </w:r>
        <w:r>
          <w:tab/>
          <w:delText>disciplinary proceedings provided for in the regulations; or</w:delText>
        </w:r>
      </w:del>
    </w:p>
    <w:p>
      <w:pPr>
        <w:pStyle w:val="nzIndenti"/>
        <w:rPr>
          <w:del w:id="1764" w:author="svcMRProcess" w:date="2020-02-21T14:38:00Z"/>
        </w:rPr>
      </w:pPr>
      <w:del w:id="1765" w:author="svcMRProcess" w:date="2020-02-21T14:38:00Z">
        <w:r>
          <w:tab/>
          <w:delText>(ii)</w:delText>
        </w:r>
        <w:r>
          <w:tab/>
          <w:delText xml:space="preserve">if regulations are made under subsection (1C) — disciplinary proceedings under the </w:delText>
        </w:r>
        <w:r>
          <w:rPr>
            <w:i/>
          </w:rPr>
          <w:delText>Public Sector Management Act 1994</w:delText>
        </w:r>
        <w:r>
          <w:delText xml:space="preserve"> Part 5.</w:delText>
        </w:r>
      </w:del>
    </w:p>
    <w:p>
      <w:pPr>
        <w:pStyle w:val="BlankClose"/>
        <w:rPr>
          <w:del w:id="1766" w:author="svcMRProcess" w:date="2020-02-21T14:38:00Z"/>
        </w:rPr>
      </w:pPr>
    </w:p>
    <w:p>
      <w:pPr>
        <w:pStyle w:val="nzSubsection"/>
        <w:rPr>
          <w:del w:id="1767" w:author="svcMRProcess" w:date="2020-02-21T14:38:00Z"/>
        </w:rPr>
      </w:pPr>
      <w:del w:id="1768" w:author="svcMRProcess" w:date="2020-02-21T14:38:00Z">
        <w:r>
          <w:tab/>
          <w:delText>(3)</w:delText>
        </w:r>
        <w:r>
          <w:tab/>
          <w:delText>After section 11(1b) insert:</w:delText>
        </w:r>
      </w:del>
    </w:p>
    <w:p>
      <w:pPr>
        <w:pStyle w:val="BlankOpen"/>
        <w:rPr>
          <w:del w:id="1769" w:author="svcMRProcess" w:date="2020-02-21T14:38:00Z"/>
        </w:rPr>
      </w:pPr>
    </w:p>
    <w:p>
      <w:pPr>
        <w:pStyle w:val="nzSubsection"/>
        <w:rPr>
          <w:del w:id="1770" w:author="svcMRProcess" w:date="2020-02-21T14:38:00Z"/>
        </w:rPr>
      </w:pPr>
      <w:del w:id="1771" w:author="svcMRProcess" w:date="2020-02-21T14:38:00Z">
        <w:r>
          <w:tab/>
          <w:delText>(1C)</w:delText>
        </w:r>
        <w:r>
          <w:tab/>
          <w:delText xml:space="preserve">The regulations may prescribe custodial officers for the purposes of the </w:delText>
        </w:r>
        <w:r>
          <w:rPr>
            <w:i/>
          </w:rPr>
          <w:delText>Public Sector Management Act 1994</w:delText>
        </w:r>
        <w:r>
          <w:delText xml:space="preserve"> section 76(1)(b).</w:delText>
        </w:r>
      </w:del>
    </w:p>
    <w:p>
      <w:pPr>
        <w:pStyle w:val="BlankClose"/>
        <w:rPr>
          <w:del w:id="1772" w:author="svcMRProcess" w:date="2020-02-21T14:38:00Z"/>
        </w:rPr>
      </w:pPr>
    </w:p>
    <w:p>
      <w:pPr>
        <w:pStyle w:val="nzHeading5"/>
        <w:rPr>
          <w:del w:id="1773" w:author="svcMRProcess" w:date="2020-02-21T14:38:00Z"/>
        </w:rPr>
      </w:pPr>
      <w:bookmarkStart w:id="1774" w:name="_Toc404765097"/>
      <w:bookmarkStart w:id="1775" w:name="_Toc405375759"/>
      <w:del w:id="1776" w:author="svcMRProcess" w:date="2020-02-21T14:38:00Z">
        <w:r>
          <w:rPr>
            <w:rStyle w:val="CharSectno"/>
          </w:rPr>
          <w:delText>15</w:delText>
        </w:r>
        <w:r>
          <w:delText>.</w:delText>
        </w:r>
        <w:r>
          <w:tab/>
          <w:delText>Section 11B amended</w:delText>
        </w:r>
        <w:bookmarkEnd w:id="1774"/>
        <w:bookmarkEnd w:id="1775"/>
      </w:del>
    </w:p>
    <w:p>
      <w:pPr>
        <w:pStyle w:val="nzSubsection"/>
        <w:rPr>
          <w:del w:id="1777" w:author="svcMRProcess" w:date="2020-02-21T14:38:00Z"/>
        </w:rPr>
      </w:pPr>
      <w:del w:id="1778" w:author="svcMRProcess" w:date="2020-02-21T14:38:00Z">
        <w:r>
          <w:tab/>
        </w:r>
        <w:r>
          <w:tab/>
          <w:delText>In section 11B delete “person who is appointed under section 11(1) or (1a) as a”.</w:delText>
        </w:r>
      </w:del>
    </w:p>
    <w:p>
      <w:pPr>
        <w:pStyle w:val="nzNotesPerm"/>
        <w:rPr>
          <w:del w:id="1779" w:author="svcMRProcess" w:date="2020-02-21T14:38:00Z"/>
        </w:rPr>
      </w:pPr>
      <w:del w:id="1780" w:author="svcMRProcess" w:date="2020-02-21T14:38:00Z">
        <w:r>
          <w:tab/>
          <w:delText>Note:</w:delText>
        </w:r>
        <w:r>
          <w:tab/>
          <w:delText>The heading to amended section 11B is to read:</w:delText>
        </w:r>
      </w:del>
    </w:p>
    <w:p>
      <w:pPr>
        <w:pStyle w:val="nzNotesPerm"/>
        <w:rPr>
          <w:del w:id="1781" w:author="svcMRProcess" w:date="2020-02-21T14:38:00Z"/>
        </w:rPr>
      </w:pPr>
      <w:del w:id="1782" w:author="svcMRProcess" w:date="2020-02-21T14:38:00Z">
        <w:r>
          <w:tab/>
        </w:r>
        <w:r>
          <w:tab/>
        </w:r>
        <w:r>
          <w:rPr>
            <w:b/>
          </w:rPr>
          <w:delText>Powers and duties of custodial officers</w:delText>
        </w:r>
      </w:del>
    </w:p>
    <w:p>
      <w:pPr>
        <w:pStyle w:val="nzHeading5"/>
        <w:rPr>
          <w:del w:id="1783" w:author="svcMRProcess" w:date="2020-02-21T14:38:00Z"/>
        </w:rPr>
      </w:pPr>
      <w:bookmarkStart w:id="1784" w:name="_Toc404765098"/>
      <w:bookmarkStart w:id="1785" w:name="_Toc405375760"/>
      <w:del w:id="1786" w:author="svcMRProcess" w:date="2020-02-21T14:38:00Z">
        <w:r>
          <w:rPr>
            <w:rStyle w:val="CharSectno"/>
          </w:rPr>
          <w:delText>16</w:delText>
        </w:r>
        <w:r>
          <w:delText>.</w:delText>
        </w:r>
        <w:r>
          <w:tab/>
          <w:delText>Part 3 Division 3 inserted</w:delText>
        </w:r>
        <w:bookmarkEnd w:id="1784"/>
        <w:bookmarkEnd w:id="1785"/>
      </w:del>
    </w:p>
    <w:p>
      <w:pPr>
        <w:pStyle w:val="nzSubsection"/>
        <w:rPr>
          <w:del w:id="1787" w:author="svcMRProcess" w:date="2020-02-21T14:38:00Z"/>
        </w:rPr>
      </w:pPr>
      <w:del w:id="1788" w:author="svcMRProcess" w:date="2020-02-21T14:38:00Z">
        <w:r>
          <w:tab/>
        </w:r>
        <w:r>
          <w:tab/>
          <w:delText>After section 11B insert:</w:delText>
        </w:r>
      </w:del>
    </w:p>
    <w:p>
      <w:pPr>
        <w:pStyle w:val="BlankOpen"/>
        <w:rPr>
          <w:del w:id="1789" w:author="svcMRProcess" w:date="2020-02-21T14:38:00Z"/>
        </w:rPr>
      </w:pPr>
    </w:p>
    <w:p>
      <w:pPr>
        <w:pStyle w:val="nzHeading3"/>
        <w:rPr>
          <w:del w:id="1790" w:author="svcMRProcess" w:date="2020-02-21T14:38:00Z"/>
        </w:rPr>
      </w:pPr>
      <w:bookmarkStart w:id="1791" w:name="_Toc370987250"/>
      <w:bookmarkStart w:id="1792" w:name="_Toc370987342"/>
      <w:bookmarkStart w:id="1793" w:name="_Toc370987434"/>
      <w:bookmarkStart w:id="1794" w:name="_Toc370987526"/>
      <w:bookmarkStart w:id="1795" w:name="_Toc370988004"/>
      <w:bookmarkStart w:id="1796" w:name="_Toc370988456"/>
      <w:bookmarkStart w:id="1797" w:name="_Toc370988557"/>
      <w:bookmarkStart w:id="1798" w:name="_Toc371347016"/>
      <w:bookmarkStart w:id="1799" w:name="_Toc372281398"/>
      <w:bookmarkStart w:id="1800" w:name="_Toc404765099"/>
      <w:bookmarkStart w:id="1801" w:name="_Toc405375761"/>
      <w:del w:id="1802" w:author="svcMRProcess" w:date="2020-02-21T14:38:00Z">
        <w:r>
          <w:delText>Division 3 — Removal of custodial officers due to loss of confidence</w:delText>
        </w:r>
        <w:bookmarkEnd w:id="1791"/>
        <w:bookmarkEnd w:id="1792"/>
        <w:bookmarkEnd w:id="1793"/>
        <w:bookmarkEnd w:id="1794"/>
        <w:bookmarkEnd w:id="1795"/>
        <w:bookmarkEnd w:id="1796"/>
        <w:bookmarkEnd w:id="1797"/>
        <w:bookmarkEnd w:id="1798"/>
        <w:bookmarkEnd w:id="1799"/>
        <w:bookmarkEnd w:id="1800"/>
        <w:bookmarkEnd w:id="1801"/>
      </w:del>
    </w:p>
    <w:p>
      <w:pPr>
        <w:pStyle w:val="nzHeading4"/>
        <w:rPr>
          <w:del w:id="1803" w:author="svcMRProcess" w:date="2020-02-21T14:38:00Z"/>
        </w:rPr>
      </w:pPr>
      <w:bookmarkStart w:id="1804" w:name="_Toc370987251"/>
      <w:bookmarkStart w:id="1805" w:name="_Toc370987343"/>
      <w:bookmarkStart w:id="1806" w:name="_Toc370987435"/>
      <w:bookmarkStart w:id="1807" w:name="_Toc370987527"/>
      <w:bookmarkStart w:id="1808" w:name="_Toc370988005"/>
      <w:bookmarkStart w:id="1809" w:name="_Toc370988457"/>
      <w:bookmarkStart w:id="1810" w:name="_Toc370988558"/>
      <w:bookmarkStart w:id="1811" w:name="_Toc371347017"/>
      <w:bookmarkStart w:id="1812" w:name="_Toc372281399"/>
      <w:bookmarkStart w:id="1813" w:name="_Toc404765100"/>
      <w:bookmarkStart w:id="1814" w:name="_Toc405375762"/>
      <w:del w:id="1815" w:author="svcMRProcess" w:date="2020-02-21T14:38:00Z">
        <w:r>
          <w:delText>Subdivision 1 — Preliminary</w:delText>
        </w:r>
        <w:bookmarkEnd w:id="1804"/>
        <w:bookmarkEnd w:id="1805"/>
        <w:bookmarkEnd w:id="1806"/>
        <w:bookmarkEnd w:id="1807"/>
        <w:bookmarkEnd w:id="1808"/>
        <w:bookmarkEnd w:id="1809"/>
        <w:bookmarkEnd w:id="1810"/>
        <w:bookmarkEnd w:id="1811"/>
        <w:bookmarkEnd w:id="1812"/>
        <w:bookmarkEnd w:id="1813"/>
        <w:bookmarkEnd w:id="1814"/>
      </w:del>
    </w:p>
    <w:p>
      <w:pPr>
        <w:pStyle w:val="nzHeading5"/>
        <w:rPr>
          <w:del w:id="1816" w:author="svcMRProcess" w:date="2020-02-21T14:38:00Z"/>
        </w:rPr>
      </w:pPr>
      <w:bookmarkStart w:id="1817" w:name="_Toc404765101"/>
      <w:bookmarkStart w:id="1818" w:name="_Toc405375763"/>
      <w:del w:id="1819" w:author="svcMRProcess" w:date="2020-02-21T14:38:00Z">
        <w:r>
          <w:delText>11CA.</w:delText>
        </w:r>
        <w:r>
          <w:tab/>
          <w:delText>Terms used</w:delText>
        </w:r>
        <w:bookmarkEnd w:id="1817"/>
        <w:bookmarkEnd w:id="1818"/>
      </w:del>
    </w:p>
    <w:p>
      <w:pPr>
        <w:pStyle w:val="nzSubsection"/>
        <w:rPr>
          <w:del w:id="1820" w:author="svcMRProcess" w:date="2020-02-21T14:38:00Z"/>
        </w:rPr>
      </w:pPr>
      <w:del w:id="1821" w:author="svcMRProcess" w:date="2020-02-21T14:38:00Z">
        <w:r>
          <w:tab/>
        </w:r>
        <w:r>
          <w:tab/>
          <w:delText xml:space="preserve">In this Division, unless the contrary intention appears — </w:delText>
        </w:r>
      </w:del>
    </w:p>
    <w:p>
      <w:pPr>
        <w:pStyle w:val="nzDefstart"/>
        <w:rPr>
          <w:del w:id="1822" w:author="svcMRProcess" w:date="2020-02-21T14:38:00Z"/>
        </w:rPr>
      </w:pPr>
      <w:del w:id="1823" w:author="svcMRProcess" w:date="2020-02-21T14:38:00Z">
        <w:r>
          <w:tab/>
        </w:r>
        <w:r>
          <w:rPr>
            <w:rStyle w:val="CharDefText"/>
          </w:rPr>
          <w:delText>appeal</w:delText>
        </w:r>
        <w:r>
          <w:delText xml:space="preserve"> means an appeal under section 11CH;</w:delText>
        </w:r>
      </w:del>
    </w:p>
    <w:p>
      <w:pPr>
        <w:pStyle w:val="nzDefstart"/>
        <w:rPr>
          <w:del w:id="1824" w:author="svcMRProcess" w:date="2020-02-21T14:38:00Z"/>
        </w:rPr>
      </w:pPr>
      <w:del w:id="1825" w:author="svcMRProcess" w:date="2020-02-21T14:38:00Z">
        <w:r>
          <w:tab/>
        </w:r>
        <w:r>
          <w:rPr>
            <w:rStyle w:val="CharDefText"/>
          </w:rPr>
          <w:delText>appellant</w:delText>
        </w:r>
        <w:r>
          <w:delText xml:space="preserve"> means a person who institutes an appeal;</w:delText>
        </w:r>
      </w:del>
    </w:p>
    <w:p>
      <w:pPr>
        <w:pStyle w:val="nzDefstart"/>
        <w:rPr>
          <w:del w:id="1826" w:author="svcMRProcess" w:date="2020-02-21T14:38:00Z"/>
        </w:rPr>
      </w:pPr>
      <w:del w:id="1827" w:author="svcMRProcess" w:date="2020-02-21T14:38:00Z">
        <w:r>
          <w:tab/>
        </w:r>
        <w:r>
          <w:rPr>
            <w:rStyle w:val="CharDefText"/>
          </w:rPr>
          <w:delText>Chief Commissioner</w:delText>
        </w:r>
        <w:r>
          <w:delText xml:space="preserve"> has the same meaning as in the </w:delText>
        </w:r>
        <w:r>
          <w:rPr>
            <w:i/>
          </w:rPr>
          <w:delText>Industrial Relations Act 1979</w:delText>
        </w:r>
        <w:r>
          <w:delText>;</w:delText>
        </w:r>
      </w:del>
    </w:p>
    <w:p>
      <w:pPr>
        <w:pStyle w:val="nzDefstart"/>
        <w:rPr>
          <w:del w:id="1828" w:author="svcMRProcess" w:date="2020-02-21T14:38:00Z"/>
        </w:rPr>
      </w:pPr>
      <w:del w:id="1829" w:author="svcMRProcess" w:date="2020-02-21T14:38:00Z">
        <w:r>
          <w:tab/>
        </w:r>
        <w:r>
          <w:rPr>
            <w:rStyle w:val="CharDefText"/>
          </w:rPr>
          <w:delText>decision notice</w:delText>
        </w:r>
        <w:r>
          <w:delText xml:space="preserve"> has the meaning given in section 11CD(3)(b);</w:delText>
        </w:r>
      </w:del>
    </w:p>
    <w:p>
      <w:pPr>
        <w:pStyle w:val="nzDefstart"/>
        <w:rPr>
          <w:del w:id="1830" w:author="svcMRProcess" w:date="2020-02-21T14:38:00Z"/>
        </w:rPr>
      </w:pPr>
      <w:del w:id="1831" w:author="svcMRProcess" w:date="2020-02-21T14:38:00Z">
        <w:r>
          <w:tab/>
        </w:r>
        <w:r>
          <w:rPr>
            <w:rStyle w:val="CharDefText"/>
          </w:rPr>
          <w:delText>industrial commissioner</w:delText>
        </w:r>
        <w:r>
          <w:delText xml:space="preserve"> means a commissioner as defined in the </w:delText>
        </w:r>
        <w:r>
          <w:rPr>
            <w:i/>
          </w:rPr>
          <w:delText>Industrial Relations Act 1979</w:delText>
        </w:r>
        <w:r>
          <w:delText xml:space="preserve"> section 7(1);</w:delText>
        </w:r>
      </w:del>
    </w:p>
    <w:p>
      <w:pPr>
        <w:pStyle w:val="nzDefstart"/>
        <w:rPr>
          <w:del w:id="1832" w:author="svcMRProcess" w:date="2020-02-21T14:38:00Z"/>
        </w:rPr>
      </w:pPr>
      <w:del w:id="1833" w:author="svcMRProcess" w:date="2020-02-21T14:38:00Z">
        <w:r>
          <w:tab/>
        </w:r>
        <w:r>
          <w:rPr>
            <w:rStyle w:val="CharDefText"/>
          </w:rPr>
          <w:delText>maintenance payment</w:delText>
        </w:r>
        <w:r>
          <w:delText xml:space="preserve"> has the meaning given in section 11CE(1);</w:delText>
        </w:r>
      </w:del>
    </w:p>
    <w:p>
      <w:pPr>
        <w:pStyle w:val="nzDefstart"/>
        <w:rPr>
          <w:del w:id="1834" w:author="svcMRProcess" w:date="2020-02-21T14:38:00Z"/>
        </w:rPr>
      </w:pPr>
      <w:del w:id="1835" w:author="svcMRProcess" w:date="2020-02-21T14:38:00Z">
        <w:r>
          <w:tab/>
        </w:r>
        <w:r>
          <w:rPr>
            <w:rStyle w:val="CharDefText"/>
          </w:rPr>
          <w:delText>maintenance period</w:delText>
        </w:r>
        <w:r>
          <w:delText xml:space="preserve"> has the meaning given in section 11CE(1);</w:delText>
        </w:r>
      </w:del>
    </w:p>
    <w:p>
      <w:pPr>
        <w:pStyle w:val="nzDefstart"/>
        <w:rPr>
          <w:del w:id="1836" w:author="svcMRProcess" w:date="2020-02-21T14:38:00Z"/>
        </w:rPr>
      </w:pPr>
      <w:del w:id="1837" w:author="svcMRProcess" w:date="2020-02-21T14:38:00Z">
        <w:r>
          <w:tab/>
        </w:r>
        <w:r>
          <w:rPr>
            <w:rStyle w:val="CharDefText"/>
          </w:rPr>
          <w:delText>new evidence</w:delText>
        </w:r>
        <w:r>
          <w:delText xml:space="preserve">, on an appeal against the removal of a custodial officer, means evidence other than evidence of any of the following — </w:delText>
        </w:r>
      </w:del>
    </w:p>
    <w:p>
      <w:pPr>
        <w:pStyle w:val="nzDefpara"/>
        <w:rPr>
          <w:del w:id="1838" w:author="svcMRProcess" w:date="2020-02-21T14:38:00Z"/>
        </w:rPr>
      </w:pPr>
      <w:del w:id="1839" w:author="svcMRProcess" w:date="2020-02-21T14:38:00Z">
        <w:r>
          <w:tab/>
          <w:delText>(a)</w:delText>
        </w:r>
        <w:r>
          <w:tab/>
          <w:delText>a document or other material that was examined and taken into account by the chief executive officer in making the removal decision;</w:delText>
        </w:r>
      </w:del>
    </w:p>
    <w:p>
      <w:pPr>
        <w:pStyle w:val="nzDefpara"/>
        <w:rPr>
          <w:del w:id="1840" w:author="svcMRProcess" w:date="2020-02-21T14:38:00Z"/>
        </w:rPr>
      </w:pPr>
      <w:del w:id="1841" w:author="svcMRProcess" w:date="2020-02-21T14:38:00Z">
        <w:r>
          <w:tab/>
          <w:delText>(b)</w:delText>
        </w:r>
        <w:r>
          <w:tab/>
          <w:delText>the notice given under section 11CD(1);</w:delText>
        </w:r>
      </w:del>
    </w:p>
    <w:p>
      <w:pPr>
        <w:pStyle w:val="nzDefpara"/>
        <w:rPr>
          <w:del w:id="1842" w:author="svcMRProcess" w:date="2020-02-21T14:38:00Z"/>
        </w:rPr>
      </w:pPr>
      <w:del w:id="1843" w:author="svcMRProcess" w:date="2020-02-21T14:38:00Z">
        <w:r>
          <w:tab/>
          <w:delText>(c)</w:delText>
        </w:r>
        <w:r>
          <w:tab/>
          <w:delText>a written submission made to the chief executive officer by the custodial officer under section 11CD(2);</w:delText>
        </w:r>
      </w:del>
    </w:p>
    <w:p>
      <w:pPr>
        <w:pStyle w:val="nzDefpara"/>
        <w:rPr>
          <w:del w:id="1844" w:author="svcMRProcess" w:date="2020-02-21T14:38:00Z"/>
        </w:rPr>
      </w:pPr>
      <w:del w:id="1845" w:author="svcMRProcess" w:date="2020-02-21T14:38:00Z">
        <w:r>
          <w:tab/>
          <w:delText>(d)</w:delText>
        </w:r>
        <w:r>
          <w:tab/>
          <w:delText>a decision notice;</w:delText>
        </w:r>
      </w:del>
    </w:p>
    <w:p>
      <w:pPr>
        <w:pStyle w:val="nzDefpara"/>
        <w:rPr>
          <w:del w:id="1846" w:author="svcMRProcess" w:date="2020-02-21T14:38:00Z"/>
        </w:rPr>
      </w:pPr>
      <w:del w:id="1847" w:author="svcMRProcess" w:date="2020-02-21T14:38:00Z">
        <w:r>
          <w:tab/>
          <w:delText>(e)</w:delText>
        </w:r>
        <w:r>
          <w:tab/>
          <w:delText>a notification of the removal;</w:delText>
        </w:r>
      </w:del>
    </w:p>
    <w:p>
      <w:pPr>
        <w:pStyle w:val="nzDefstart"/>
        <w:rPr>
          <w:del w:id="1848" w:author="svcMRProcess" w:date="2020-02-21T14:38:00Z"/>
        </w:rPr>
      </w:pPr>
      <w:del w:id="1849" w:author="svcMRProcess" w:date="2020-02-21T14:38:00Z">
        <w:r>
          <w:tab/>
        </w:r>
        <w:r>
          <w:rPr>
            <w:rStyle w:val="CharDefText"/>
          </w:rPr>
          <w:delText>removal action</w:delText>
        </w:r>
        <w:r>
          <w:delText>, in relation to a custodial officer, means the removal of the custodial officer under section 11CC;</w:delText>
        </w:r>
      </w:del>
    </w:p>
    <w:p>
      <w:pPr>
        <w:pStyle w:val="nzDefstart"/>
        <w:rPr>
          <w:del w:id="1850" w:author="svcMRProcess" w:date="2020-02-21T14:38:00Z"/>
        </w:rPr>
      </w:pPr>
      <w:del w:id="1851" w:author="svcMRProcess" w:date="2020-02-21T14:38:00Z">
        <w:r>
          <w:tab/>
        </w:r>
        <w:r>
          <w:rPr>
            <w:rStyle w:val="CharDefText"/>
          </w:rPr>
          <w:delText>removal decision</w:delText>
        </w:r>
        <w:r>
          <w:delText xml:space="preserve"> means a decision of the chief executive officer to take removal action;</w:delText>
        </w:r>
      </w:del>
    </w:p>
    <w:p>
      <w:pPr>
        <w:pStyle w:val="nzDefstart"/>
        <w:rPr>
          <w:del w:id="1852" w:author="svcMRProcess" w:date="2020-02-21T14:38:00Z"/>
        </w:rPr>
      </w:pPr>
      <w:del w:id="1853" w:author="svcMRProcess" w:date="2020-02-21T14:38:00Z">
        <w:r>
          <w:tab/>
        </w:r>
        <w:r>
          <w:rPr>
            <w:rStyle w:val="CharDefText"/>
          </w:rPr>
          <w:delText>suitability to continue as a custodial officer</w:delText>
        </w:r>
        <w:r>
          <w:delText xml:space="preserve"> means suitability to continue as a custodial officer having regard to the officer’s integrity, honesty, competence, performance or conduct;</w:delText>
        </w:r>
      </w:del>
    </w:p>
    <w:p>
      <w:pPr>
        <w:pStyle w:val="nzDefstart"/>
        <w:rPr>
          <w:del w:id="1854" w:author="svcMRProcess" w:date="2020-02-21T14:38:00Z"/>
        </w:rPr>
      </w:pPr>
      <w:del w:id="1855" w:author="svcMRProcess" w:date="2020-02-21T14:38:00Z">
        <w:r>
          <w:tab/>
        </w:r>
        <w:r>
          <w:rPr>
            <w:rStyle w:val="CharDefText"/>
          </w:rPr>
          <w:delText>WAIRC</w:delText>
        </w:r>
        <w:r>
          <w:delText xml:space="preserve"> means The Western Australian Industrial Relations Commission continued and constituted under the </w:delText>
        </w:r>
        <w:r>
          <w:rPr>
            <w:i/>
          </w:rPr>
          <w:delText>Industrial Relations Act 1979</w:delText>
        </w:r>
        <w:r>
          <w:delText>.</w:delText>
        </w:r>
      </w:del>
    </w:p>
    <w:p>
      <w:pPr>
        <w:pStyle w:val="nzHeading4"/>
        <w:rPr>
          <w:del w:id="1856" w:author="svcMRProcess" w:date="2020-02-21T14:38:00Z"/>
        </w:rPr>
      </w:pPr>
      <w:bookmarkStart w:id="1857" w:name="_Toc370987253"/>
      <w:bookmarkStart w:id="1858" w:name="_Toc370987345"/>
      <w:bookmarkStart w:id="1859" w:name="_Toc370987437"/>
      <w:bookmarkStart w:id="1860" w:name="_Toc370987529"/>
      <w:bookmarkStart w:id="1861" w:name="_Toc370988007"/>
      <w:bookmarkStart w:id="1862" w:name="_Toc370988459"/>
      <w:bookmarkStart w:id="1863" w:name="_Toc370988560"/>
      <w:bookmarkStart w:id="1864" w:name="_Toc371347019"/>
      <w:bookmarkStart w:id="1865" w:name="_Toc372281401"/>
      <w:bookmarkStart w:id="1866" w:name="_Toc404765102"/>
      <w:bookmarkStart w:id="1867" w:name="_Toc405375764"/>
      <w:del w:id="1868" w:author="svcMRProcess" w:date="2020-02-21T14:38:00Z">
        <w:r>
          <w:delText>Subdivision 2 — Removal of custodial officers</w:delText>
        </w:r>
        <w:bookmarkEnd w:id="1857"/>
        <w:bookmarkEnd w:id="1858"/>
        <w:bookmarkEnd w:id="1859"/>
        <w:bookmarkEnd w:id="1860"/>
        <w:bookmarkEnd w:id="1861"/>
        <w:bookmarkEnd w:id="1862"/>
        <w:bookmarkEnd w:id="1863"/>
        <w:bookmarkEnd w:id="1864"/>
        <w:bookmarkEnd w:id="1865"/>
        <w:bookmarkEnd w:id="1866"/>
        <w:bookmarkEnd w:id="1867"/>
      </w:del>
    </w:p>
    <w:p>
      <w:pPr>
        <w:pStyle w:val="nzHeading5"/>
        <w:rPr>
          <w:del w:id="1869" w:author="svcMRProcess" w:date="2020-02-21T14:38:00Z"/>
        </w:rPr>
      </w:pPr>
      <w:bookmarkStart w:id="1870" w:name="_Toc404765103"/>
      <w:bookmarkStart w:id="1871" w:name="_Toc405375765"/>
      <w:del w:id="1872" w:author="svcMRProcess" w:date="2020-02-21T14:38:00Z">
        <w:r>
          <w:delText>11CB.</w:delText>
        </w:r>
        <w:r>
          <w:tab/>
          <w:delText>Application of Subdivision</w:delText>
        </w:r>
        <w:bookmarkEnd w:id="1870"/>
        <w:bookmarkEnd w:id="1871"/>
      </w:del>
    </w:p>
    <w:p>
      <w:pPr>
        <w:pStyle w:val="nzSubsection"/>
        <w:rPr>
          <w:del w:id="1873" w:author="svcMRProcess" w:date="2020-02-21T14:38:00Z"/>
        </w:rPr>
      </w:pPr>
      <w:del w:id="1874" w:author="svcMRProcess" w:date="2020-02-21T14:38:00Z">
        <w:r>
          <w:tab/>
          <w:delText>(1)</w:delText>
        </w:r>
        <w:r>
          <w:tab/>
          <w:delText xml:space="preserve">This Subdivision applies if — </w:delText>
        </w:r>
      </w:del>
    </w:p>
    <w:p>
      <w:pPr>
        <w:pStyle w:val="nzIndenta"/>
        <w:rPr>
          <w:del w:id="1875" w:author="svcMRProcess" w:date="2020-02-21T14:38:00Z"/>
        </w:rPr>
      </w:pPr>
      <w:del w:id="1876" w:author="svcMRProcess" w:date="2020-02-21T14:38:00Z">
        <w:r>
          <w:tab/>
          <w:delText>(a)</w:delText>
        </w:r>
        <w:r>
          <w:tab/>
          <w:delText>the chief executive officer does not have confidence in a custodial officer’s suitability to continue as a custodial officer; and</w:delText>
        </w:r>
      </w:del>
    </w:p>
    <w:p>
      <w:pPr>
        <w:pStyle w:val="nzIndenta"/>
        <w:rPr>
          <w:del w:id="1877" w:author="svcMRProcess" w:date="2020-02-21T14:38:00Z"/>
        </w:rPr>
      </w:pPr>
      <w:del w:id="1878" w:author="svcMRProcess" w:date="2020-02-21T14:38:00Z">
        <w:r>
          <w:tab/>
          <w:delText>(b)</w:delText>
        </w:r>
        <w:r>
          <w:tab/>
          <w:delText xml:space="preserve">the chief executive officer — </w:delText>
        </w:r>
      </w:del>
    </w:p>
    <w:p>
      <w:pPr>
        <w:pStyle w:val="nzIndenti"/>
        <w:rPr>
          <w:del w:id="1879" w:author="svcMRProcess" w:date="2020-02-21T14:38:00Z"/>
        </w:rPr>
      </w:pPr>
      <w:del w:id="1880" w:author="svcMRProcess" w:date="2020-02-21T14:38:00Z">
        <w:r>
          <w:tab/>
          <w:delText>(i)</w:delText>
        </w:r>
        <w:r>
          <w:tab/>
          <w:delText>decides not to take, or continue to take, disciplinary proceedings referred to in section 11(1b)(b) against a custodial officer; and</w:delText>
        </w:r>
      </w:del>
    </w:p>
    <w:p>
      <w:pPr>
        <w:pStyle w:val="nzIndenti"/>
        <w:rPr>
          <w:del w:id="1881" w:author="svcMRProcess" w:date="2020-02-21T14:38:00Z"/>
        </w:rPr>
      </w:pPr>
      <w:del w:id="1882" w:author="svcMRProcess" w:date="2020-02-21T14:38:00Z">
        <w:r>
          <w:tab/>
          <w:delText>(ii)</w:delText>
        </w:r>
        <w:r>
          <w:tab/>
          <w:delText>decides instead to take removal action in relation to the custodial officer.</w:delText>
        </w:r>
      </w:del>
    </w:p>
    <w:p>
      <w:pPr>
        <w:pStyle w:val="nzSubsection"/>
        <w:rPr>
          <w:del w:id="1883" w:author="svcMRProcess" w:date="2020-02-21T14:38:00Z"/>
        </w:rPr>
      </w:pPr>
      <w:del w:id="1884" w:author="svcMRProcess" w:date="2020-02-21T14:38:00Z">
        <w:r>
          <w:tab/>
          <w:delText>(2)</w:delText>
        </w:r>
        <w:r>
          <w:tab/>
          <w:delText xml:space="preserve">If regulations are made under section 11(1C), this Subdivision applies despite the </w:delText>
        </w:r>
        <w:r>
          <w:rPr>
            <w:i/>
          </w:rPr>
          <w:delText>Public Sector Management Act 1994</w:delText>
        </w:r>
        <w:r>
          <w:delText xml:space="preserve"> section 76(2).</w:delText>
        </w:r>
      </w:del>
    </w:p>
    <w:p>
      <w:pPr>
        <w:pStyle w:val="nzHeading5"/>
        <w:rPr>
          <w:del w:id="1885" w:author="svcMRProcess" w:date="2020-02-21T14:38:00Z"/>
        </w:rPr>
      </w:pPr>
      <w:bookmarkStart w:id="1886" w:name="_Toc404765104"/>
      <w:bookmarkStart w:id="1887" w:name="_Toc405375766"/>
      <w:del w:id="1888" w:author="svcMRProcess" w:date="2020-02-21T14:38:00Z">
        <w:r>
          <w:delText>11CC.</w:delText>
        </w:r>
        <w:r>
          <w:tab/>
          <w:delText>Removal action</w:delText>
        </w:r>
        <w:bookmarkEnd w:id="1886"/>
        <w:bookmarkEnd w:id="1887"/>
      </w:del>
    </w:p>
    <w:p>
      <w:pPr>
        <w:pStyle w:val="nzSubsection"/>
        <w:rPr>
          <w:del w:id="1889" w:author="svcMRProcess" w:date="2020-02-21T14:38:00Z"/>
        </w:rPr>
      </w:pPr>
      <w:del w:id="1890" w:author="svcMRProcess" w:date="2020-02-21T14:38:00Z">
        <w:r>
          <w:tab/>
          <w:delText>(1)</w:delText>
        </w:r>
        <w:r>
          <w:tab/>
          <w:delText>If the chief executive officer does not have confidence in a custodial officer’s suitability to continue as a custodial officer, the chief executive officer may remove the custodial officer.</w:delText>
        </w:r>
      </w:del>
    </w:p>
    <w:p>
      <w:pPr>
        <w:pStyle w:val="nzSubsection"/>
        <w:rPr>
          <w:del w:id="1891" w:author="svcMRProcess" w:date="2020-02-21T14:38:00Z"/>
        </w:rPr>
      </w:pPr>
      <w:del w:id="1892" w:author="svcMRProcess" w:date="2020-02-21T14:38:00Z">
        <w:r>
          <w:tab/>
          <w:delText>(2)</w:delText>
        </w:r>
        <w:r>
          <w:tab/>
          <w:delText xml:space="preserve">Subsection (1) applies in addition to, and does not limit the operation of, the </w:delText>
        </w:r>
        <w:r>
          <w:rPr>
            <w:i/>
          </w:rPr>
          <w:delText>Public Sector Management Act 1994</w:delText>
        </w:r>
        <w:r>
          <w:delText>.</w:delText>
        </w:r>
      </w:del>
    </w:p>
    <w:p>
      <w:pPr>
        <w:pStyle w:val="nzSubsection"/>
        <w:rPr>
          <w:del w:id="1893" w:author="svcMRProcess" w:date="2020-02-21T14:38:00Z"/>
        </w:rPr>
      </w:pPr>
      <w:del w:id="1894" w:author="svcMRProcess" w:date="2020-02-21T14:38:00Z">
        <w:r>
          <w:tab/>
          <w:delText>(3)</w:delText>
        </w:r>
        <w:r>
          <w:tab/>
          <w:delText>The chief executive officer may conduct any necessary investigation to determine a custodial officer’s suitability to continue as a custodial officer.</w:delText>
        </w:r>
      </w:del>
    </w:p>
    <w:p>
      <w:pPr>
        <w:pStyle w:val="nzSubsection"/>
        <w:rPr>
          <w:del w:id="1895" w:author="svcMRProcess" w:date="2020-02-21T14:38:00Z"/>
        </w:rPr>
      </w:pPr>
      <w:del w:id="1896" w:author="svcMRProcess" w:date="2020-02-21T14:38:00Z">
        <w:r>
          <w:tab/>
          <w:delText>(4)</w:delText>
        </w:r>
        <w:r>
          <w:tab/>
          <w:delText xml:space="preserve">For the purpose of the investigation the chief executive officer may require the custodial officer to do all or any of the following — </w:delText>
        </w:r>
      </w:del>
    </w:p>
    <w:p>
      <w:pPr>
        <w:pStyle w:val="nzIndenta"/>
        <w:rPr>
          <w:del w:id="1897" w:author="svcMRProcess" w:date="2020-02-21T14:38:00Z"/>
        </w:rPr>
      </w:pPr>
      <w:del w:id="1898" w:author="svcMRProcess" w:date="2020-02-21T14:38:00Z">
        <w:r>
          <w:tab/>
          <w:delText>(a)</w:delText>
        </w:r>
        <w:r>
          <w:tab/>
          <w:delText>provide the chief executive officer with any information or answer any question that the chief executive officer requires;</w:delText>
        </w:r>
      </w:del>
    </w:p>
    <w:p>
      <w:pPr>
        <w:pStyle w:val="nzIndenta"/>
        <w:rPr>
          <w:del w:id="1899" w:author="svcMRProcess" w:date="2020-02-21T14:38:00Z"/>
        </w:rPr>
      </w:pPr>
      <w:del w:id="1900" w:author="svcMRProcess" w:date="2020-02-21T14:38:00Z">
        <w:r>
          <w:tab/>
          <w:delText>(b)</w:delText>
        </w:r>
        <w:r>
          <w:tab/>
          <w:delText>produce to the chief executive officer any document in the custody or under the control of the custodial officer.</w:delText>
        </w:r>
      </w:del>
    </w:p>
    <w:p>
      <w:pPr>
        <w:pStyle w:val="nzSubsection"/>
        <w:rPr>
          <w:del w:id="1901" w:author="svcMRProcess" w:date="2020-02-21T14:38:00Z"/>
        </w:rPr>
      </w:pPr>
      <w:del w:id="1902" w:author="svcMRProcess" w:date="2020-02-21T14:38:00Z">
        <w:r>
          <w:tab/>
          <w:delText>(5)</w:delText>
        </w:r>
        <w:r>
          <w:tab/>
          <w:delText xml:space="preserve">The custodial officer is not excused from giving information, answering any question or producing a document when required to do so under subsection (4) on the ground that the information, answer or document might — </w:delText>
        </w:r>
      </w:del>
    </w:p>
    <w:p>
      <w:pPr>
        <w:pStyle w:val="nzIndenta"/>
        <w:rPr>
          <w:del w:id="1903" w:author="svcMRProcess" w:date="2020-02-21T14:38:00Z"/>
        </w:rPr>
      </w:pPr>
      <w:del w:id="1904" w:author="svcMRProcess" w:date="2020-02-21T14:38:00Z">
        <w:r>
          <w:tab/>
          <w:delText>(a)</w:delText>
        </w:r>
        <w:r>
          <w:tab/>
          <w:delText xml:space="preserve">incriminate the custodial officer; or </w:delText>
        </w:r>
      </w:del>
    </w:p>
    <w:p>
      <w:pPr>
        <w:pStyle w:val="nzIndenta"/>
        <w:rPr>
          <w:del w:id="1905" w:author="svcMRProcess" w:date="2020-02-21T14:38:00Z"/>
        </w:rPr>
      </w:pPr>
      <w:del w:id="1906" w:author="svcMRProcess" w:date="2020-02-21T14:38:00Z">
        <w:r>
          <w:tab/>
          <w:delText>(b)</w:delText>
        </w:r>
        <w:r>
          <w:tab/>
          <w:delText>render the custodial officer liable to a disciplinary measure under section 11 or removal under this Division.</w:delText>
        </w:r>
      </w:del>
    </w:p>
    <w:p>
      <w:pPr>
        <w:pStyle w:val="nzSubsection"/>
        <w:rPr>
          <w:del w:id="1907" w:author="svcMRProcess" w:date="2020-02-21T14:38:00Z"/>
        </w:rPr>
      </w:pPr>
      <w:del w:id="1908" w:author="svcMRProcess" w:date="2020-02-21T14:38:00Z">
        <w:r>
          <w:tab/>
          <w:delText>(6)</w:delText>
        </w:r>
        <w:r>
          <w:tab/>
          <w:delText>The information, answer or document is not admissible in evidence against the custodial officer in any criminal proceedings except in proceedings for an offence under subsection (7).</w:delText>
        </w:r>
      </w:del>
    </w:p>
    <w:p>
      <w:pPr>
        <w:pStyle w:val="nzSubsection"/>
        <w:rPr>
          <w:del w:id="1909" w:author="svcMRProcess" w:date="2020-02-21T14:38:00Z"/>
        </w:rPr>
      </w:pPr>
      <w:del w:id="1910" w:author="svcMRProcess" w:date="2020-02-21T14:38:00Z">
        <w:r>
          <w:tab/>
          <w:delText>(7)</w:delText>
        </w:r>
        <w:r>
          <w:tab/>
          <w:delText xml:space="preserve">A custodial officer must not, in response to a requirement under subsection (4) — </w:delText>
        </w:r>
      </w:del>
    </w:p>
    <w:p>
      <w:pPr>
        <w:pStyle w:val="nzIndenta"/>
        <w:rPr>
          <w:del w:id="1911" w:author="svcMRProcess" w:date="2020-02-21T14:38:00Z"/>
        </w:rPr>
      </w:pPr>
      <w:del w:id="1912" w:author="svcMRProcess" w:date="2020-02-21T14:38:00Z">
        <w:r>
          <w:tab/>
          <w:delText>(a)</w:delText>
        </w:r>
        <w:r>
          <w:tab/>
          <w:delText>fail or refuse to provide the required information or answer or produce the required document; or</w:delText>
        </w:r>
      </w:del>
    </w:p>
    <w:p>
      <w:pPr>
        <w:pStyle w:val="nzIndenta"/>
        <w:rPr>
          <w:del w:id="1913" w:author="svcMRProcess" w:date="2020-02-21T14:38:00Z"/>
        </w:rPr>
      </w:pPr>
      <w:del w:id="1914" w:author="svcMRProcess" w:date="2020-02-21T14:38:00Z">
        <w:r>
          <w:tab/>
          <w:delText>(b)</w:delText>
        </w:r>
        <w:r>
          <w:tab/>
          <w:delText>give information or an answer that is false or misleading in a material particular; or</w:delText>
        </w:r>
      </w:del>
    </w:p>
    <w:p>
      <w:pPr>
        <w:pStyle w:val="nzIndenta"/>
        <w:rPr>
          <w:del w:id="1915" w:author="svcMRProcess" w:date="2020-02-21T14:38:00Z"/>
        </w:rPr>
      </w:pPr>
      <w:del w:id="1916" w:author="svcMRProcess" w:date="2020-02-21T14:38:00Z">
        <w:r>
          <w:tab/>
          <w:delText>(c)</w:delText>
        </w:r>
        <w:r>
          <w:tab/>
          <w:delText>produce a document that the custodial officer knows is false or misleading in a material particular —</w:delText>
        </w:r>
      </w:del>
    </w:p>
    <w:p>
      <w:pPr>
        <w:pStyle w:val="nzIndenti"/>
        <w:rPr>
          <w:del w:id="1917" w:author="svcMRProcess" w:date="2020-02-21T14:38:00Z"/>
        </w:rPr>
      </w:pPr>
      <w:del w:id="1918" w:author="svcMRProcess" w:date="2020-02-21T14:38:00Z">
        <w:r>
          <w:tab/>
          <w:delText>(i)</w:delText>
        </w:r>
        <w:r>
          <w:tab/>
          <w:delText>without indicating that the document is false or misleading and, to the extent the custodial officer can, how the document is false or misleading; and</w:delText>
        </w:r>
      </w:del>
    </w:p>
    <w:p>
      <w:pPr>
        <w:pStyle w:val="nzIndenti"/>
        <w:rPr>
          <w:del w:id="1919" w:author="svcMRProcess" w:date="2020-02-21T14:38:00Z"/>
        </w:rPr>
      </w:pPr>
      <w:del w:id="1920" w:author="svcMRProcess" w:date="2020-02-21T14:38:00Z">
        <w:r>
          <w:tab/>
          <w:delText>(ii)</w:delText>
        </w:r>
        <w:r>
          <w:tab/>
          <w:delText>if the custodial officer has, or can reasonably obtain, the correct information — without providing the correct information.</w:delText>
        </w:r>
      </w:del>
    </w:p>
    <w:p>
      <w:pPr>
        <w:pStyle w:val="nzPenstart"/>
        <w:rPr>
          <w:del w:id="1921" w:author="svcMRProcess" w:date="2020-02-21T14:38:00Z"/>
        </w:rPr>
      </w:pPr>
      <w:del w:id="1922" w:author="svcMRProcess" w:date="2020-02-21T14:38:00Z">
        <w:r>
          <w:tab/>
          <w:delText>Penalty: a fine of $4 000 and imprisonment for 12 months.</w:delText>
        </w:r>
      </w:del>
    </w:p>
    <w:p>
      <w:pPr>
        <w:pStyle w:val="nzHeading5"/>
        <w:rPr>
          <w:del w:id="1923" w:author="svcMRProcess" w:date="2020-02-21T14:38:00Z"/>
        </w:rPr>
      </w:pPr>
      <w:bookmarkStart w:id="1924" w:name="_Toc404765105"/>
      <w:bookmarkStart w:id="1925" w:name="_Toc405375767"/>
      <w:del w:id="1926" w:author="svcMRProcess" w:date="2020-02-21T14:38:00Z">
        <w:r>
          <w:delText>11CD.</w:delText>
        </w:r>
        <w:r>
          <w:tab/>
          <w:delText>Notice of loss of confidence</w:delText>
        </w:r>
        <w:bookmarkEnd w:id="1924"/>
        <w:bookmarkEnd w:id="1925"/>
      </w:del>
    </w:p>
    <w:p>
      <w:pPr>
        <w:pStyle w:val="nzSubsection"/>
        <w:rPr>
          <w:del w:id="1927" w:author="svcMRProcess" w:date="2020-02-21T14:38:00Z"/>
        </w:rPr>
      </w:pPr>
      <w:del w:id="1928" w:author="svcMRProcess" w:date="2020-02-21T14:38:00Z">
        <w:r>
          <w:tab/>
          <w:delText>(1)</w:delText>
        </w:r>
        <w:r>
          <w:tab/>
          <w:delText>The chief executive officer may give the custodial officer a written notice setting out the grounds on which the chief executive officer does not have confidence in the custodial officer’s suitability to continue as a custodial officer.</w:delText>
        </w:r>
      </w:del>
    </w:p>
    <w:p>
      <w:pPr>
        <w:pStyle w:val="nzSubsection"/>
        <w:rPr>
          <w:del w:id="1929" w:author="svcMRProcess" w:date="2020-02-21T14:38:00Z"/>
        </w:rPr>
      </w:pPr>
      <w:del w:id="1930" w:author="svcMRProcess" w:date="2020-02-21T14:38:00Z">
        <w:r>
          <w:tab/>
          <w:delText>(2)</w:delText>
        </w:r>
        <w:r>
          <w:tab/>
          <w:delText xml:space="preserve">The custodial officer may make written submissions to the chief executive officer in relation to the notice within the following period (the </w:delText>
        </w:r>
        <w:r>
          <w:rPr>
            <w:rStyle w:val="CharDefText"/>
          </w:rPr>
          <w:delText>submission period</w:delText>
        </w:r>
        <w:r>
          <w:delText xml:space="preserve">) — </w:delText>
        </w:r>
      </w:del>
    </w:p>
    <w:p>
      <w:pPr>
        <w:pStyle w:val="nzIndenta"/>
        <w:rPr>
          <w:del w:id="1931" w:author="svcMRProcess" w:date="2020-02-21T14:38:00Z"/>
        </w:rPr>
      </w:pPr>
      <w:del w:id="1932" w:author="svcMRProcess" w:date="2020-02-21T14:38:00Z">
        <w:r>
          <w:tab/>
          <w:delText>(a)</w:delText>
        </w:r>
        <w:r>
          <w:tab/>
          <w:delText>21 days after the day on which the notice is given; or</w:delText>
        </w:r>
      </w:del>
    </w:p>
    <w:p>
      <w:pPr>
        <w:pStyle w:val="nzIndenta"/>
        <w:rPr>
          <w:del w:id="1933" w:author="svcMRProcess" w:date="2020-02-21T14:38:00Z"/>
        </w:rPr>
      </w:pPr>
      <w:del w:id="1934" w:author="svcMRProcess" w:date="2020-02-21T14:38:00Z">
        <w:r>
          <w:tab/>
          <w:delText>(b)</w:delText>
        </w:r>
        <w:r>
          <w:tab/>
          <w:delText>any longer period after that day allowed by the chief executive officer.</w:delText>
        </w:r>
      </w:del>
    </w:p>
    <w:p>
      <w:pPr>
        <w:pStyle w:val="nzSubsection"/>
        <w:rPr>
          <w:del w:id="1935" w:author="svcMRProcess" w:date="2020-02-21T14:38:00Z"/>
        </w:rPr>
      </w:pPr>
      <w:del w:id="1936" w:author="svcMRProcess" w:date="2020-02-21T14:38:00Z">
        <w:r>
          <w:tab/>
          <w:delText>(3)</w:delText>
        </w:r>
        <w:r>
          <w:tab/>
          <w:delText xml:space="preserve">After the submission period, the chief executive officer must — </w:delText>
        </w:r>
      </w:del>
    </w:p>
    <w:p>
      <w:pPr>
        <w:pStyle w:val="nzIndenta"/>
        <w:rPr>
          <w:del w:id="1937" w:author="svcMRProcess" w:date="2020-02-21T14:38:00Z"/>
        </w:rPr>
      </w:pPr>
      <w:del w:id="1938" w:author="svcMRProcess" w:date="2020-02-21T14:38:00Z">
        <w:r>
          <w:tab/>
          <w:delText>(a)</w:delText>
        </w:r>
        <w:r>
          <w:tab/>
          <w:delText>decide whether or not to take removal action against the custodial officer; and</w:delText>
        </w:r>
      </w:del>
    </w:p>
    <w:p>
      <w:pPr>
        <w:pStyle w:val="nzIndenta"/>
        <w:rPr>
          <w:del w:id="1939" w:author="svcMRProcess" w:date="2020-02-21T14:38:00Z"/>
        </w:rPr>
      </w:pPr>
      <w:del w:id="1940" w:author="svcMRProcess" w:date="2020-02-21T14:38:00Z">
        <w:r>
          <w:tab/>
          <w:delText>(b)</w:delText>
        </w:r>
        <w:r>
          <w:tab/>
          <w:delText xml:space="preserve">give the custodial officer written notice of the decision (the </w:delText>
        </w:r>
        <w:r>
          <w:rPr>
            <w:rStyle w:val="CharDefText"/>
          </w:rPr>
          <w:delText>decision notice</w:delText>
        </w:r>
        <w:r>
          <w:delText>).</w:delText>
        </w:r>
      </w:del>
    </w:p>
    <w:p>
      <w:pPr>
        <w:pStyle w:val="nzSubsection"/>
        <w:rPr>
          <w:del w:id="1941" w:author="svcMRProcess" w:date="2020-02-21T14:38:00Z"/>
        </w:rPr>
      </w:pPr>
      <w:del w:id="1942" w:author="svcMRProcess" w:date="2020-02-21T14:38:00Z">
        <w:r>
          <w:tab/>
          <w:delText>(4)</w:delText>
        </w:r>
        <w:r>
          <w:tab/>
          <w:delText xml:space="preserve">The chief executive officer must not decide to take removal action against the custodial officer unless the chief executive officer — </w:delText>
        </w:r>
      </w:del>
    </w:p>
    <w:p>
      <w:pPr>
        <w:pStyle w:val="nzIndenta"/>
        <w:rPr>
          <w:del w:id="1943" w:author="svcMRProcess" w:date="2020-02-21T14:38:00Z"/>
        </w:rPr>
      </w:pPr>
      <w:del w:id="1944" w:author="svcMRProcess" w:date="2020-02-21T14:38:00Z">
        <w:r>
          <w:tab/>
          <w:delText>(a)</w:delText>
        </w:r>
        <w:r>
          <w:tab/>
          <w:delText>has taken into account any written submissions received from the custodial officer during the submission period; and</w:delText>
        </w:r>
      </w:del>
    </w:p>
    <w:p>
      <w:pPr>
        <w:pStyle w:val="nzIndenta"/>
        <w:rPr>
          <w:del w:id="1945" w:author="svcMRProcess" w:date="2020-02-21T14:38:00Z"/>
        </w:rPr>
      </w:pPr>
      <w:del w:id="1946" w:author="svcMRProcess" w:date="2020-02-21T14:38:00Z">
        <w:r>
          <w:tab/>
          <w:delText>(b)</w:delText>
        </w:r>
        <w:r>
          <w:tab/>
          <w:delText>still does not have confidence in a custodial officer’s suitability to continue as a custodial officer.</w:delText>
        </w:r>
      </w:del>
    </w:p>
    <w:p>
      <w:pPr>
        <w:pStyle w:val="nzSubsection"/>
        <w:rPr>
          <w:del w:id="1947" w:author="svcMRProcess" w:date="2020-02-21T14:38:00Z"/>
        </w:rPr>
      </w:pPr>
      <w:del w:id="1948" w:author="svcMRProcess" w:date="2020-02-21T14:38:00Z">
        <w:r>
          <w:tab/>
          <w:delText>(5)</w:delText>
        </w:r>
        <w:r>
          <w:tab/>
          <w:delText>If the chief executive officer decides to take removal action against the custodial officer, the decision notice must contain the reasons for the decision.</w:delText>
        </w:r>
      </w:del>
    </w:p>
    <w:p>
      <w:pPr>
        <w:pStyle w:val="nzSubsection"/>
        <w:rPr>
          <w:del w:id="1949" w:author="svcMRProcess" w:date="2020-02-21T14:38:00Z"/>
        </w:rPr>
      </w:pPr>
      <w:del w:id="1950" w:author="svcMRProcess" w:date="2020-02-21T14:38:00Z">
        <w:r>
          <w:tab/>
          <w:delText>(6)</w:delText>
        </w:r>
        <w:r>
          <w:tab/>
          <w:delText xml:space="preserve">Except as provided in the regulations, the chief executive officer must, within 7 days after giving the decision notice — </w:delText>
        </w:r>
      </w:del>
    </w:p>
    <w:p>
      <w:pPr>
        <w:pStyle w:val="nzIndenta"/>
        <w:rPr>
          <w:del w:id="1951" w:author="svcMRProcess" w:date="2020-02-21T14:38:00Z"/>
        </w:rPr>
      </w:pPr>
      <w:del w:id="1952" w:author="svcMRProcess" w:date="2020-02-21T14:38:00Z">
        <w:r>
          <w:tab/>
          <w:delText>(a)</w:delText>
        </w:r>
        <w:r>
          <w:tab/>
          <w:delText xml:space="preserve">give to the custodial officer a copy of any documents that were considered by the chief executive officer in making the decision; and </w:delText>
        </w:r>
      </w:del>
    </w:p>
    <w:p>
      <w:pPr>
        <w:pStyle w:val="nzIndenta"/>
        <w:rPr>
          <w:del w:id="1953" w:author="svcMRProcess" w:date="2020-02-21T14:38:00Z"/>
        </w:rPr>
      </w:pPr>
      <w:del w:id="1954" w:author="svcMRProcess" w:date="2020-02-21T14:38:00Z">
        <w:r>
          <w:tab/>
          <w:delText>(b)</w:delText>
        </w:r>
        <w:r>
          <w:tab/>
          <w:delText>make available to the custodial officer for inspection any other materials that were considered by the chief executive officer in making the decision.</w:delText>
        </w:r>
      </w:del>
    </w:p>
    <w:p>
      <w:pPr>
        <w:pStyle w:val="nzSubsection"/>
        <w:rPr>
          <w:del w:id="1955" w:author="svcMRProcess" w:date="2020-02-21T14:38:00Z"/>
        </w:rPr>
      </w:pPr>
      <w:del w:id="1956" w:author="svcMRProcess" w:date="2020-02-21T14:38:00Z">
        <w:r>
          <w:tab/>
          <w:delText>(7)</w:delText>
        </w:r>
        <w:r>
          <w:tab/>
          <w:delText>The removal action may be carried out when the notice is given or at any time after that.</w:delText>
        </w:r>
      </w:del>
    </w:p>
    <w:p>
      <w:pPr>
        <w:pStyle w:val="nzHeading5"/>
        <w:rPr>
          <w:del w:id="1957" w:author="svcMRProcess" w:date="2020-02-21T14:38:00Z"/>
        </w:rPr>
      </w:pPr>
      <w:bookmarkStart w:id="1958" w:name="_Toc404765106"/>
      <w:bookmarkStart w:id="1959" w:name="_Toc405375768"/>
      <w:del w:id="1960" w:author="svcMRProcess" w:date="2020-02-21T14:38:00Z">
        <w:r>
          <w:delText>11CE.</w:delText>
        </w:r>
        <w:r>
          <w:tab/>
          <w:delText>Maintenance payment</w:delText>
        </w:r>
        <w:bookmarkEnd w:id="1958"/>
        <w:bookmarkEnd w:id="1959"/>
      </w:del>
    </w:p>
    <w:p>
      <w:pPr>
        <w:pStyle w:val="nzSubsection"/>
        <w:rPr>
          <w:del w:id="1961" w:author="svcMRProcess" w:date="2020-02-21T14:38:00Z"/>
        </w:rPr>
      </w:pPr>
      <w:del w:id="1962" w:author="svcMRProcess" w:date="2020-02-21T14:38:00Z">
        <w:r>
          <w:tab/>
          <w:delText>(1)</w:delText>
        </w:r>
        <w:r>
          <w:tab/>
          <w:delText xml:space="preserve">If a custodial officer is removed as a result of removal action, the custodial officer is entitled to receive a payment (a </w:delText>
        </w:r>
        <w:r>
          <w:rPr>
            <w:rStyle w:val="CharDefText"/>
          </w:rPr>
          <w:delText>maintenance payment</w:delText>
        </w:r>
        <w:r>
          <w:delText xml:space="preserve">) for the period of 28 days after the day on which the custodial officer is removed (the </w:delText>
        </w:r>
        <w:r>
          <w:rPr>
            <w:rStyle w:val="CharDefText"/>
          </w:rPr>
          <w:delText>maintenance period</w:delText>
        </w:r>
        <w:r>
          <w:delText>).</w:delText>
        </w:r>
      </w:del>
    </w:p>
    <w:p>
      <w:pPr>
        <w:pStyle w:val="nzSubsection"/>
        <w:rPr>
          <w:del w:id="1963" w:author="svcMRProcess" w:date="2020-02-21T14:38:00Z"/>
        </w:rPr>
      </w:pPr>
      <w:del w:id="1964" w:author="svcMRProcess" w:date="2020-02-21T14:38:00Z">
        <w:r>
          <w:tab/>
          <w:delText>(2)</w:delText>
        </w:r>
        <w:r>
          <w:tab/>
          <w:delText>The Minister may, in exceptional circumstances, direct that a maintenance payment must be paid to the custodial officer for a specified period after the maintenance period.</w:delText>
        </w:r>
      </w:del>
    </w:p>
    <w:p>
      <w:pPr>
        <w:pStyle w:val="nzSubsection"/>
        <w:rPr>
          <w:del w:id="1965" w:author="svcMRProcess" w:date="2020-02-21T14:38:00Z"/>
        </w:rPr>
      </w:pPr>
      <w:del w:id="1966" w:author="svcMRProcess" w:date="2020-02-21T14:38:00Z">
        <w:r>
          <w:tab/>
          <w:delText>(3)</w:delText>
        </w:r>
        <w:r>
          <w:tab/>
          <w:delText>For the purpose of subsection (2), the specified period is a period not exceeding 6 months specified by the Minister but in any event ending on the day any appeal is determined by the WAIRC.</w:delText>
        </w:r>
      </w:del>
    </w:p>
    <w:p>
      <w:pPr>
        <w:pStyle w:val="nzSubsection"/>
        <w:rPr>
          <w:del w:id="1967" w:author="svcMRProcess" w:date="2020-02-21T14:38:00Z"/>
        </w:rPr>
      </w:pPr>
      <w:del w:id="1968" w:author="svcMRProcess" w:date="2020-02-21T14:38:00Z">
        <w:r>
          <w:tab/>
          <w:delText>(4)</w:delText>
        </w:r>
        <w:r>
          <w:tab/>
          <w:delText>Any maintenance payment must be determined on the basis of the salary of the custodial officer at the time of the removal.</w:delText>
        </w:r>
      </w:del>
    </w:p>
    <w:p>
      <w:pPr>
        <w:pStyle w:val="nzHeading5"/>
        <w:rPr>
          <w:del w:id="1969" w:author="svcMRProcess" w:date="2020-02-21T14:38:00Z"/>
        </w:rPr>
      </w:pPr>
      <w:bookmarkStart w:id="1970" w:name="_Toc404765107"/>
      <w:bookmarkStart w:id="1971" w:name="_Toc405375769"/>
      <w:del w:id="1972" w:author="svcMRProcess" w:date="2020-02-21T14:38:00Z">
        <w:r>
          <w:delText>11CF.</w:delText>
        </w:r>
        <w:r>
          <w:tab/>
          <w:delText>Withdrawal of removal action and revocation of removal</w:delText>
        </w:r>
        <w:bookmarkEnd w:id="1970"/>
        <w:bookmarkEnd w:id="1971"/>
      </w:del>
    </w:p>
    <w:p>
      <w:pPr>
        <w:pStyle w:val="nzSubsection"/>
        <w:rPr>
          <w:del w:id="1973" w:author="svcMRProcess" w:date="2020-02-21T14:38:00Z"/>
        </w:rPr>
      </w:pPr>
      <w:del w:id="1974" w:author="svcMRProcess" w:date="2020-02-21T14:38:00Z">
        <w:r>
          <w:tab/>
          <w:delText>(1)</w:delText>
        </w:r>
        <w:r>
          <w:tab/>
          <w:delText>If a custodial officer is removed as a result of removal action, the chief executive officer may, by notice in writing to the custodial officer, revoke the removal.</w:delText>
        </w:r>
      </w:del>
    </w:p>
    <w:p>
      <w:pPr>
        <w:pStyle w:val="nzSubsection"/>
        <w:rPr>
          <w:del w:id="1975" w:author="svcMRProcess" w:date="2020-02-21T14:38:00Z"/>
        </w:rPr>
      </w:pPr>
      <w:del w:id="1976" w:author="svcMRProcess" w:date="2020-02-21T14:38:00Z">
        <w:r>
          <w:tab/>
          <w:delText>(2)</w:delText>
        </w:r>
        <w:r>
          <w:tab/>
          <w:delText>Subsection (1) applies even if an appeal has been instituted against the removal.</w:delText>
        </w:r>
      </w:del>
    </w:p>
    <w:p>
      <w:pPr>
        <w:pStyle w:val="nzSubsection"/>
        <w:rPr>
          <w:del w:id="1977" w:author="svcMRProcess" w:date="2020-02-21T14:38:00Z"/>
        </w:rPr>
      </w:pPr>
      <w:del w:id="1978" w:author="svcMRProcess" w:date="2020-02-21T14:38:00Z">
        <w:r>
          <w:tab/>
          <w:delText>(3)</w:delText>
        </w:r>
        <w:r>
          <w:tab/>
          <w:delText>Despite any other enactment, if the removal is revoked under subsection (1), the removal is to be taken to be of no effect and to have never had any effect.</w:delText>
        </w:r>
      </w:del>
    </w:p>
    <w:p>
      <w:pPr>
        <w:pStyle w:val="nzSubsection"/>
        <w:rPr>
          <w:del w:id="1979" w:author="svcMRProcess" w:date="2020-02-21T14:38:00Z"/>
        </w:rPr>
      </w:pPr>
      <w:del w:id="1980" w:author="svcMRProcess" w:date="2020-02-21T14:38:00Z">
        <w:r>
          <w:tab/>
          <w:delText>(4)</w:delText>
        </w:r>
        <w:r>
          <w:tab/>
          <w:delText>If the chief executive officer revokes the removal of a custodial officer under subsection (1), the custodial officer is not entitled to be paid his or her salary for any period the custodial officer received a maintenance payment.</w:delText>
        </w:r>
      </w:del>
    </w:p>
    <w:p>
      <w:pPr>
        <w:pStyle w:val="nzHeading5"/>
        <w:rPr>
          <w:del w:id="1981" w:author="svcMRProcess" w:date="2020-02-21T14:38:00Z"/>
        </w:rPr>
      </w:pPr>
      <w:bookmarkStart w:id="1982" w:name="_Toc404765108"/>
      <w:bookmarkStart w:id="1983" w:name="_Toc405375770"/>
      <w:del w:id="1984" w:author="svcMRProcess" w:date="2020-02-21T14:38:00Z">
        <w:r>
          <w:delText>11CG.</w:delText>
        </w:r>
        <w:r>
          <w:tab/>
          <w:delText>Resignation of custodial officer who has been removed</w:delText>
        </w:r>
        <w:bookmarkEnd w:id="1982"/>
        <w:bookmarkEnd w:id="1983"/>
      </w:del>
    </w:p>
    <w:p>
      <w:pPr>
        <w:pStyle w:val="nzSubsection"/>
        <w:rPr>
          <w:del w:id="1985" w:author="svcMRProcess" w:date="2020-02-21T14:38:00Z"/>
        </w:rPr>
      </w:pPr>
      <w:del w:id="1986" w:author="svcMRProcess" w:date="2020-02-21T14:38:00Z">
        <w:r>
          <w:tab/>
          <w:delText>(1)</w:delText>
        </w:r>
        <w:r>
          <w:tab/>
          <w:delText>Even if a custodial officer is removed as a result of removal action, the custodial officer may resign at any time before the end of the maintenance period.</w:delText>
        </w:r>
      </w:del>
    </w:p>
    <w:p>
      <w:pPr>
        <w:pStyle w:val="nzSubsection"/>
        <w:rPr>
          <w:del w:id="1987" w:author="svcMRProcess" w:date="2020-02-21T14:38:00Z"/>
        </w:rPr>
      </w:pPr>
      <w:del w:id="1988" w:author="svcMRProcess" w:date="2020-02-21T14:38:00Z">
        <w:r>
          <w:tab/>
          <w:delText>(2)</w:delText>
        </w:r>
        <w:r>
          <w:tab/>
          <w:delText>Subsection (1) does not apply if an appeal has been instituted against the removal.</w:delText>
        </w:r>
      </w:del>
    </w:p>
    <w:p>
      <w:pPr>
        <w:pStyle w:val="nzSubsection"/>
        <w:rPr>
          <w:del w:id="1989" w:author="svcMRProcess" w:date="2020-02-21T14:38:00Z"/>
        </w:rPr>
      </w:pPr>
      <w:del w:id="1990" w:author="svcMRProcess" w:date="2020-02-21T14:38:00Z">
        <w:r>
          <w:tab/>
          <w:delText>(3)</w:delText>
        </w:r>
        <w:r>
          <w:tab/>
          <w:delText>A resignation under subsection (1) takes effect at the end of the maintenance period.</w:delText>
        </w:r>
      </w:del>
    </w:p>
    <w:p>
      <w:pPr>
        <w:pStyle w:val="nzSubsection"/>
        <w:rPr>
          <w:del w:id="1991" w:author="svcMRProcess" w:date="2020-02-21T14:38:00Z"/>
        </w:rPr>
      </w:pPr>
      <w:del w:id="1992" w:author="svcMRProcess" w:date="2020-02-21T14:38:00Z">
        <w:r>
          <w:tab/>
          <w:delText>(4)</w:delText>
        </w:r>
        <w:r>
          <w:tab/>
          <w:delText>Despite any other enactment, if a custodial officer resigns under subsection (1), the removal of the custodial officer is to be taken to be of no effect and to have never had any effect.</w:delText>
        </w:r>
      </w:del>
    </w:p>
    <w:p>
      <w:pPr>
        <w:pStyle w:val="nzHeading4"/>
        <w:rPr>
          <w:del w:id="1993" w:author="svcMRProcess" w:date="2020-02-21T14:38:00Z"/>
        </w:rPr>
      </w:pPr>
      <w:bookmarkStart w:id="1994" w:name="_Toc370987260"/>
      <w:bookmarkStart w:id="1995" w:name="_Toc370987352"/>
      <w:bookmarkStart w:id="1996" w:name="_Toc370987444"/>
      <w:bookmarkStart w:id="1997" w:name="_Toc370987536"/>
      <w:bookmarkStart w:id="1998" w:name="_Toc370988014"/>
      <w:bookmarkStart w:id="1999" w:name="_Toc370988466"/>
      <w:bookmarkStart w:id="2000" w:name="_Toc370988567"/>
      <w:bookmarkStart w:id="2001" w:name="_Toc371347026"/>
      <w:bookmarkStart w:id="2002" w:name="_Toc372281408"/>
      <w:bookmarkStart w:id="2003" w:name="_Toc404765109"/>
      <w:bookmarkStart w:id="2004" w:name="_Toc405375771"/>
      <w:del w:id="2005" w:author="svcMRProcess" w:date="2020-02-21T14:38:00Z">
        <w:r>
          <w:delText>Subdivision 3 — Appeal against removal of custodial officer</w:delText>
        </w:r>
        <w:bookmarkEnd w:id="1994"/>
        <w:bookmarkEnd w:id="1995"/>
        <w:bookmarkEnd w:id="1996"/>
        <w:bookmarkEnd w:id="1997"/>
        <w:bookmarkEnd w:id="1998"/>
        <w:bookmarkEnd w:id="1999"/>
        <w:bookmarkEnd w:id="2000"/>
        <w:bookmarkEnd w:id="2001"/>
        <w:bookmarkEnd w:id="2002"/>
        <w:bookmarkEnd w:id="2003"/>
        <w:bookmarkEnd w:id="2004"/>
      </w:del>
    </w:p>
    <w:p>
      <w:pPr>
        <w:pStyle w:val="nzHeading5"/>
        <w:rPr>
          <w:del w:id="2006" w:author="svcMRProcess" w:date="2020-02-21T14:38:00Z"/>
        </w:rPr>
      </w:pPr>
      <w:bookmarkStart w:id="2007" w:name="_Toc404765110"/>
      <w:bookmarkStart w:id="2008" w:name="_Toc405375772"/>
      <w:del w:id="2009" w:author="svcMRProcess" w:date="2020-02-21T14:38:00Z">
        <w:r>
          <w:delText>11CH.</w:delText>
        </w:r>
        <w:r>
          <w:tab/>
          <w:delText>Appeal right</w:delText>
        </w:r>
        <w:bookmarkEnd w:id="2007"/>
        <w:bookmarkEnd w:id="2008"/>
      </w:del>
    </w:p>
    <w:p>
      <w:pPr>
        <w:pStyle w:val="nzSubsection"/>
        <w:rPr>
          <w:del w:id="2010" w:author="svcMRProcess" w:date="2020-02-21T14:38:00Z"/>
        </w:rPr>
      </w:pPr>
      <w:del w:id="2011" w:author="svcMRProcess" w:date="2020-02-21T14:38:00Z">
        <w:r>
          <w:tab/>
          <w:delText>(1)</w:delText>
        </w:r>
        <w:r>
          <w:tab/>
          <w:delText>If a custodial officer is removed as a result of removal action, the custodial officer may appeal to the WAIRC against the removal decision on the ground that it was harsh, oppressive or unfair.</w:delText>
        </w:r>
      </w:del>
    </w:p>
    <w:p>
      <w:pPr>
        <w:pStyle w:val="nzSubsection"/>
        <w:rPr>
          <w:del w:id="2012" w:author="svcMRProcess" w:date="2020-02-21T14:38:00Z"/>
        </w:rPr>
      </w:pPr>
      <w:del w:id="2013" w:author="svcMRProcess" w:date="2020-02-21T14:38:00Z">
        <w:r>
          <w:tab/>
          <w:delText>(2)</w:delText>
        </w:r>
        <w:r>
          <w:tab/>
          <w:delText xml:space="preserve">The custodial officer may institute the appeal by a notice to the chief executive officer stating — </w:delText>
        </w:r>
      </w:del>
    </w:p>
    <w:p>
      <w:pPr>
        <w:pStyle w:val="nzIndenta"/>
        <w:rPr>
          <w:del w:id="2014" w:author="svcMRProcess" w:date="2020-02-21T14:38:00Z"/>
        </w:rPr>
      </w:pPr>
      <w:del w:id="2015" w:author="svcMRProcess" w:date="2020-02-21T14:38:00Z">
        <w:r>
          <w:tab/>
          <w:delText>(a)</w:delText>
        </w:r>
        <w:r>
          <w:tab/>
          <w:delText>the reasons for the removal decision being harsh, oppressive or unfair; and</w:delText>
        </w:r>
      </w:del>
    </w:p>
    <w:p>
      <w:pPr>
        <w:pStyle w:val="nzIndenta"/>
        <w:rPr>
          <w:del w:id="2016" w:author="svcMRProcess" w:date="2020-02-21T14:38:00Z"/>
        </w:rPr>
      </w:pPr>
      <w:del w:id="2017" w:author="svcMRProcess" w:date="2020-02-21T14:38:00Z">
        <w:r>
          <w:tab/>
          <w:delText>(b)</w:delText>
        </w:r>
        <w:r>
          <w:tab/>
          <w:delText>the nature of the relief sought.</w:delText>
        </w:r>
      </w:del>
    </w:p>
    <w:p>
      <w:pPr>
        <w:pStyle w:val="nzSubsection"/>
        <w:rPr>
          <w:del w:id="2018" w:author="svcMRProcess" w:date="2020-02-21T14:38:00Z"/>
        </w:rPr>
      </w:pPr>
      <w:del w:id="2019" w:author="svcMRProcess" w:date="2020-02-21T14:38:00Z">
        <w:r>
          <w:tab/>
          <w:delText>(3)</w:delText>
        </w:r>
        <w:r>
          <w:tab/>
          <w:delText xml:space="preserve">The appeal cannot be instituted — </w:delText>
        </w:r>
      </w:del>
    </w:p>
    <w:p>
      <w:pPr>
        <w:pStyle w:val="nzIndenta"/>
        <w:rPr>
          <w:del w:id="2020" w:author="svcMRProcess" w:date="2020-02-21T14:38:00Z"/>
        </w:rPr>
      </w:pPr>
      <w:del w:id="2021" w:author="svcMRProcess" w:date="2020-02-21T14:38:00Z">
        <w:r>
          <w:tab/>
          <w:delText>(a)</w:delText>
        </w:r>
        <w:r>
          <w:tab/>
          <w:delText>after the maintenance period; or</w:delText>
        </w:r>
      </w:del>
    </w:p>
    <w:p>
      <w:pPr>
        <w:pStyle w:val="nzIndenta"/>
        <w:rPr>
          <w:del w:id="2022" w:author="svcMRProcess" w:date="2020-02-21T14:38:00Z"/>
        </w:rPr>
      </w:pPr>
      <w:del w:id="2023" w:author="svcMRProcess" w:date="2020-02-21T14:38:00Z">
        <w:r>
          <w:tab/>
          <w:delText>(b)</w:delText>
        </w:r>
        <w:r>
          <w:tab/>
          <w:delText>if the custodial officer has resigned under section 11CG(1).</w:delText>
        </w:r>
      </w:del>
    </w:p>
    <w:p>
      <w:pPr>
        <w:pStyle w:val="nzSubsection"/>
        <w:rPr>
          <w:del w:id="2024" w:author="svcMRProcess" w:date="2020-02-21T14:38:00Z"/>
        </w:rPr>
      </w:pPr>
      <w:del w:id="2025" w:author="svcMRProcess" w:date="2020-02-21T14:38:00Z">
        <w:r>
          <w:tab/>
          <w:delText>(4)</w:delText>
        </w:r>
        <w:r>
          <w:tab/>
          <w:delText xml:space="preserve">For the purposes of proceedings relating to the appeal, the WAIRC is to be constituted by not less than 3 industrial Commissioners, at least one of whom must be — </w:delText>
        </w:r>
      </w:del>
    </w:p>
    <w:p>
      <w:pPr>
        <w:pStyle w:val="nzIndenta"/>
        <w:rPr>
          <w:del w:id="2026" w:author="svcMRProcess" w:date="2020-02-21T14:38:00Z"/>
        </w:rPr>
      </w:pPr>
      <w:del w:id="2027" w:author="svcMRProcess" w:date="2020-02-21T14:38:00Z">
        <w:r>
          <w:tab/>
          <w:delText>(a)</w:delText>
        </w:r>
        <w:r>
          <w:tab/>
          <w:delText xml:space="preserve">the Chief Commissioner; or </w:delText>
        </w:r>
      </w:del>
    </w:p>
    <w:p>
      <w:pPr>
        <w:pStyle w:val="nzIndenta"/>
        <w:rPr>
          <w:del w:id="2028" w:author="svcMRProcess" w:date="2020-02-21T14:38:00Z"/>
        </w:rPr>
      </w:pPr>
      <w:del w:id="2029" w:author="svcMRProcess" w:date="2020-02-21T14:38:00Z">
        <w:r>
          <w:tab/>
          <w:delText>(b)</w:delText>
        </w:r>
        <w:r>
          <w:tab/>
          <w:delText xml:space="preserve">the Senior Commissioner within the meaning of that term in the </w:delText>
        </w:r>
        <w:r>
          <w:rPr>
            <w:i/>
          </w:rPr>
          <w:delText>Industrial Relations Act 1979</w:delText>
        </w:r>
        <w:r>
          <w:delText>.</w:delText>
        </w:r>
      </w:del>
    </w:p>
    <w:p>
      <w:pPr>
        <w:pStyle w:val="nzSubsection"/>
        <w:rPr>
          <w:del w:id="2030" w:author="svcMRProcess" w:date="2020-02-21T14:38:00Z"/>
        </w:rPr>
      </w:pPr>
      <w:del w:id="2031" w:author="svcMRProcess" w:date="2020-02-21T14:38:00Z">
        <w:r>
          <w:tab/>
          <w:delText>(5)</w:delText>
        </w:r>
        <w:r>
          <w:tab/>
          <w:delText>The only parties to the appeal are the custodial officer and the chief executive officer.</w:delText>
        </w:r>
      </w:del>
    </w:p>
    <w:p>
      <w:pPr>
        <w:pStyle w:val="nzSubsection"/>
        <w:rPr>
          <w:del w:id="2032" w:author="svcMRProcess" w:date="2020-02-21T14:38:00Z"/>
        </w:rPr>
      </w:pPr>
      <w:del w:id="2033" w:author="svcMRProcess" w:date="2020-02-21T14:38:00Z">
        <w:r>
          <w:tab/>
          <w:delText>(6)</w:delText>
        </w:r>
        <w:r>
          <w:tab/>
          <w:delText>The custodial officer does not have any right of appeal against the removal decision other than under this section.</w:delText>
        </w:r>
      </w:del>
    </w:p>
    <w:p>
      <w:pPr>
        <w:pStyle w:val="nzHeading5"/>
        <w:rPr>
          <w:del w:id="2034" w:author="svcMRProcess" w:date="2020-02-21T14:38:00Z"/>
        </w:rPr>
      </w:pPr>
      <w:bookmarkStart w:id="2035" w:name="_Toc404765111"/>
      <w:bookmarkStart w:id="2036" w:name="_Toc405375773"/>
      <w:del w:id="2037" w:author="svcMRProcess" w:date="2020-02-21T14:38:00Z">
        <w:r>
          <w:delText>11CI.</w:delText>
        </w:r>
        <w:r>
          <w:tab/>
          <w:delText>Proceedings on appeal</w:delText>
        </w:r>
        <w:bookmarkEnd w:id="2035"/>
        <w:bookmarkEnd w:id="2036"/>
      </w:del>
    </w:p>
    <w:p>
      <w:pPr>
        <w:pStyle w:val="nzSubsection"/>
        <w:rPr>
          <w:del w:id="2038" w:author="svcMRProcess" w:date="2020-02-21T14:38:00Z"/>
        </w:rPr>
      </w:pPr>
      <w:del w:id="2039" w:author="svcMRProcess" w:date="2020-02-21T14:38:00Z">
        <w:r>
          <w:tab/>
          <w:delText>(1)</w:delText>
        </w:r>
        <w:r>
          <w:tab/>
          <w:delText xml:space="preserve">On the hearing of an appeal, the WAIRC must proceed in the following manner — </w:delText>
        </w:r>
      </w:del>
    </w:p>
    <w:p>
      <w:pPr>
        <w:pStyle w:val="nzIndenta"/>
        <w:rPr>
          <w:del w:id="2040" w:author="svcMRProcess" w:date="2020-02-21T14:38:00Z"/>
        </w:rPr>
      </w:pPr>
      <w:del w:id="2041" w:author="svcMRProcess" w:date="2020-02-21T14:38:00Z">
        <w:r>
          <w:tab/>
          <w:delText>(a)</w:delText>
        </w:r>
        <w:r>
          <w:tab/>
          <w:delText>first, it must consider the chief executive officer’s reasons for the removal decision;</w:delText>
        </w:r>
      </w:del>
    </w:p>
    <w:p>
      <w:pPr>
        <w:pStyle w:val="nzIndenta"/>
        <w:rPr>
          <w:del w:id="2042" w:author="svcMRProcess" w:date="2020-02-21T14:38:00Z"/>
        </w:rPr>
      </w:pPr>
      <w:del w:id="2043" w:author="svcMRProcess" w:date="2020-02-21T14:38:00Z">
        <w:r>
          <w:tab/>
          <w:delText>(b)</w:delText>
        </w:r>
        <w:r>
          <w:tab/>
          <w:delText>second, it must consider the case presented by the appellant as to why the removal decision was harsh, oppressive or unfair;</w:delText>
        </w:r>
      </w:del>
    </w:p>
    <w:p>
      <w:pPr>
        <w:pStyle w:val="nzIndenta"/>
        <w:rPr>
          <w:del w:id="2044" w:author="svcMRProcess" w:date="2020-02-21T14:38:00Z"/>
        </w:rPr>
      </w:pPr>
      <w:del w:id="2045" w:author="svcMRProcess" w:date="2020-02-21T14:38:00Z">
        <w:r>
          <w:tab/>
          <w:delText>(c)</w:delText>
        </w:r>
        <w:r>
          <w:tab/>
          <w:delText>third, it must consider the case presented by the chief executive officer in answer to the appellant’s case.</w:delText>
        </w:r>
      </w:del>
    </w:p>
    <w:p>
      <w:pPr>
        <w:pStyle w:val="nzSubsection"/>
        <w:rPr>
          <w:del w:id="2046" w:author="svcMRProcess" w:date="2020-02-21T14:38:00Z"/>
        </w:rPr>
      </w:pPr>
      <w:del w:id="2047" w:author="svcMRProcess" w:date="2020-02-21T14:38:00Z">
        <w:r>
          <w:tab/>
          <w:delText>(2)</w:delText>
        </w:r>
        <w:r>
          <w:tab/>
          <w:delText>The appellant has at all times the burden of establishing that the removal decision was harsh, oppressive or unfair.</w:delText>
        </w:r>
      </w:del>
    </w:p>
    <w:p>
      <w:pPr>
        <w:pStyle w:val="nzSubsection"/>
        <w:rPr>
          <w:del w:id="2048" w:author="svcMRProcess" w:date="2020-02-21T14:38:00Z"/>
        </w:rPr>
      </w:pPr>
      <w:del w:id="2049" w:author="svcMRProcess" w:date="2020-02-21T14:38:00Z">
        <w:r>
          <w:tab/>
          <w:delText>(3)</w:delText>
        </w:r>
        <w:r>
          <w:tab/>
          <w:delText>Subsection (2) has effect despite any law or practice to the contrary.</w:delText>
        </w:r>
      </w:del>
    </w:p>
    <w:p>
      <w:pPr>
        <w:pStyle w:val="nzSubsection"/>
        <w:rPr>
          <w:del w:id="2050" w:author="svcMRProcess" w:date="2020-02-21T14:38:00Z"/>
        </w:rPr>
      </w:pPr>
      <w:del w:id="2051" w:author="svcMRProcess" w:date="2020-02-21T14:38:00Z">
        <w:r>
          <w:tab/>
          <w:delText>(4)</w:delText>
        </w:r>
        <w:r>
          <w:tab/>
          <w:delText xml:space="preserve">Without limiting the matters to which the WAIRC is otherwise required or permitted to have regard in determining the appeal, it must have regard to — </w:delText>
        </w:r>
      </w:del>
    </w:p>
    <w:p>
      <w:pPr>
        <w:pStyle w:val="nzIndenta"/>
        <w:rPr>
          <w:del w:id="2052" w:author="svcMRProcess" w:date="2020-02-21T14:38:00Z"/>
        </w:rPr>
      </w:pPr>
      <w:del w:id="2053" w:author="svcMRProcess" w:date="2020-02-21T14:38:00Z">
        <w:r>
          <w:tab/>
          <w:delText>(a)</w:delText>
        </w:r>
        <w:r>
          <w:tab/>
          <w:delText>the interests of the appellant; and</w:delText>
        </w:r>
      </w:del>
    </w:p>
    <w:p>
      <w:pPr>
        <w:pStyle w:val="nzIndenta"/>
        <w:rPr>
          <w:del w:id="2054" w:author="svcMRProcess" w:date="2020-02-21T14:38:00Z"/>
        </w:rPr>
      </w:pPr>
      <w:del w:id="2055" w:author="svcMRProcess" w:date="2020-02-21T14:38:00Z">
        <w:r>
          <w:tab/>
          <w:delText>(b)</w:delText>
        </w:r>
        <w:r>
          <w:tab/>
          <w:delText xml:space="preserve">the public interest, which is to be taken to include — </w:delText>
        </w:r>
      </w:del>
    </w:p>
    <w:p>
      <w:pPr>
        <w:pStyle w:val="nzIndenti"/>
        <w:rPr>
          <w:del w:id="2056" w:author="svcMRProcess" w:date="2020-02-21T14:38:00Z"/>
        </w:rPr>
      </w:pPr>
      <w:del w:id="2057" w:author="svcMRProcess" w:date="2020-02-21T14:38:00Z">
        <w:r>
          <w:tab/>
          <w:delText>(i)</w:delText>
        </w:r>
        <w:r>
          <w:tab/>
          <w:delText>the importance of maintaining public confidence in the integrity, honesty, conduct and standard of performance of custodial officers; and</w:delText>
        </w:r>
      </w:del>
    </w:p>
    <w:p>
      <w:pPr>
        <w:pStyle w:val="nzIndenti"/>
        <w:rPr>
          <w:del w:id="2058" w:author="svcMRProcess" w:date="2020-02-21T14:38:00Z"/>
        </w:rPr>
      </w:pPr>
      <w:del w:id="2059" w:author="svcMRProcess" w:date="2020-02-21T14:38:00Z">
        <w:r>
          <w:tab/>
          <w:delText>(ii)</w:delText>
        </w:r>
        <w:r>
          <w:tab/>
          <w:delText>the special nature of the relationship between the chief executive officer and custodial officers.</w:delText>
        </w:r>
      </w:del>
    </w:p>
    <w:p>
      <w:pPr>
        <w:pStyle w:val="nzHeading5"/>
        <w:rPr>
          <w:del w:id="2060" w:author="svcMRProcess" w:date="2020-02-21T14:38:00Z"/>
        </w:rPr>
      </w:pPr>
      <w:bookmarkStart w:id="2061" w:name="_Toc404765112"/>
      <w:bookmarkStart w:id="2062" w:name="_Toc405375774"/>
      <w:del w:id="2063" w:author="svcMRProcess" w:date="2020-02-21T14:38:00Z">
        <w:r>
          <w:delText>11CJ.</w:delText>
        </w:r>
        <w:r>
          <w:tab/>
          <w:delText>Leave to tender new evidence on appeal</w:delText>
        </w:r>
        <w:bookmarkEnd w:id="2061"/>
        <w:bookmarkEnd w:id="2062"/>
      </w:del>
    </w:p>
    <w:p>
      <w:pPr>
        <w:pStyle w:val="nzSubsection"/>
        <w:rPr>
          <w:del w:id="2064" w:author="svcMRProcess" w:date="2020-02-21T14:38:00Z"/>
        </w:rPr>
      </w:pPr>
      <w:del w:id="2065" w:author="svcMRProcess" w:date="2020-02-21T14:38:00Z">
        <w:r>
          <w:tab/>
          <w:delText>(1)</w:delText>
        </w:r>
        <w:r>
          <w:tab/>
          <w:delText>New evidence cannot be tendered to the WAIRC during a hearing of an appeal unless the WAIRC grants leave under subsection (2) or (3).</w:delText>
        </w:r>
      </w:del>
    </w:p>
    <w:p>
      <w:pPr>
        <w:pStyle w:val="nzSubsection"/>
        <w:rPr>
          <w:del w:id="2066" w:author="svcMRProcess" w:date="2020-02-21T14:38:00Z"/>
        </w:rPr>
      </w:pPr>
      <w:del w:id="2067" w:author="svcMRProcess" w:date="2020-02-21T14:38:00Z">
        <w:r>
          <w:tab/>
          <w:delText>(2)</w:delText>
        </w:r>
        <w:r>
          <w:tab/>
          <w:delText>The WAIRC may grant the chief executive officer leave to tender new evidence if —</w:delText>
        </w:r>
      </w:del>
    </w:p>
    <w:p>
      <w:pPr>
        <w:pStyle w:val="nzIndenta"/>
        <w:rPr>
          <w:del w:id="2068" w:author="svcMRProcess" w:date="2020-02-21T14:38:00Z"/>
        </w:rPr>
      </w:pPr>
      <w:del w:id="2069" w:author="svcMRProcess" w:date="2020-02-21T14:38:00Z">
        <w:r>
          <w:tab/>
          <w:delText>(a)</w:delText>
        </w:r>
        <w:r>
          <w:tab/>
          <w:delText>the appellant consents; or</w:delText>
        </w:r>
      </w:del>
    </w:p>
    <w:p>
      <w:pPr>
        <w:pStyle w:val="nzIndenta"/>
        <w:rPr>
          <w:del w:id="2070" w:author="svcMRProcess" w:date="2020-02-21T14:38:00Z"/>
        </w:rPr>
      </w:pPr>
      <w:del w:id="2071" w:author="svcMRProcess" w:date="2020-02-21T14:38:00Z">
        <w:r>
          <w:tab/>
          <w:delText>(b)</w:delText>
        </w:r>
        <w:r>
          <w:tab/>
          <w:delText>it is satisfied that it is in the interests of justice to do so.</w:delText>
        </w:r>
      </w:del>
    </w:p>
    <w:p>
      <w:pPr>
        <w:pStyle w:val="nzSubsection"/>
        <w:rPr>
          <w:del w:id="2072" w:author="svcMRProcess" w:date="2020-02-21T14:38:00Z"/>
        </w:rPr>
      </w:pPr>
      <w:del w:id="2073" w:author="svcMRProcess" w:date="2020-02-21T14:38:00Z">
        <w:r>
          <w:tab/>
          <w:delText>(3)</w:delText>
        </w:r>
        <w:r>
          <w:tab/>
          <w:delText xml:space="preserve">The WAIRC may grant the appellant leave to tender new evidence if — </w:delText>
        </w:r>
      </w:del>
    </w:p>
    <w:p>
      <w:pPr>
        <w:pStyle w:val="nzIndenta"/>
        <w:rPr>
          <w:del w:id="2074" w:author="svcMRProcess" w:date="2020-02-21T14:38:00Z"/>
        </w:rPr>
      </w:pPr>
      <w:del w:id="2075" w:author="svcMRProcess" w:date="2020-02-21T14:38:00Z">
        <w:r>
          <w:tab/>
          <w:delText>(a)</w:delText>
        </w:r>
        <w:r>
          <w:tab/>
          <w:delText>the chief executive officer consents; or</w:delText>
        </w:r>
      </w:del>
    </w:p>
    <w:p>
      <w:pPr>
        <w:pStyle w:val="nzIndenta"/>
        <w:rPr>
          <w:del w:id="2076" w:author="svcMRProcess" w:date="2020-02-21T14:38:00Z"/>
        </w:rPr>
      </w:pPr>
      <w:del w:id="2077" w:author="svcMRProcess" w:date="2020-02-21T14:38:00Z">
        <w:r>
          <w:tab/>
          <w:delText>(b)</w:delText>
        </w:r>
        <w:r>
          <w:tab/>
          <w:delText xml:space="preserve">the WAIRC is satisfied that — </w:delText>
        </w:r>
      </w:del>
    </w:p>
    <w:p>
      <w:pPr>
        <w:pStyle w:val="nzIndenti"/>
        <w:rPr>
          <w:del w:id="2078" w:author="svcMRProcess" w:date="2020-02-21T14:38:00Z"/>
        </w:rPr>
      </w:pPr>
      <w:del w:id="2079" w:author="svcMRProcess" w:date="2020-02-21T14:38:00Z">
        <w:r>
          <w:tab/>
          <w:delText>(i)</w:delText>
        </w:r>
        <w:r>
          <w:tab/>
          <w:delText>the appellant is likely to be able to use the new evidence to show that the chief executive officer has acted upon wrong or mistaken information; or</w:delText>
        </w:r>
      </w:del>
    </w:p>
    <w:p>
      <w:pPr>
        <w:pStyle w:val="nzIndenti"/>
        <w:rPr>
          <w:del w:id="2080" w:author="svcMRProcess" w:date="2020-02-21T14:38:00Z"/>
        </w:rPr>
      </w:pPr>
      <w:del w:id="2081" w:author="svcMRProcess" w:date="2020-02-21T14:38:00Z">
        <w:r>
          <w:tab/>
          <w:delText>(ii)</w:delText>
        </w:r>
        <w:r>
          <w:tab/>
          <w:delText>the new evidence might materially have affected the chief executive officer’s removal decision; or</w:delText>
        </w:r>
      </w:del>
    </w:p>
    <w:p>
      <w:pPr>
        <w:pStyle w:val="nzIndenti"/>
        <w:rPr>
          <w:del w:id="2082" w:author="svcMRProcess" w:date="2020-02-21T14:38:00Z"/>
        </w:rPr>
      </w:pPr>
      <w:del w:id="2083" w:author="svcMRProcess" w:date="2020-02-21T14:38:00Z">
        <w:r>
          <w:tab/>
          <w:delText>(iii)</w:delText>
        </w:r>
        <w:r>
          <w:tab/>
          <w:delText>it is in the interests of justice to do so.</w:delText>
        </w:r>
      </w:del>
    </w:p>
    <w:p>
      <w:pPr>
        <w:pStyle w:val="nzSubsection"/>
        <w:rPr>
          <w:del w:id="2084" w:author="svcMRProcess" w:date="2020-02-21T14:38:00Z"/>
        </w:rPr>
      </w:pPr>
      <w:del w:id="2085" w:author="svcMRProcess" w:date="2020-02-21T14:38:00Z">
        <w:r>
          <w:tab/>
          <w:delText>(4)</w:delText>
        </w:r>
        <w:r>
          <w:tab/>
          <w:delText xml:space="preserve">In the exercise of its discretion under subsection (3), the WAIRC must have regard to — </w:delText>
        </w:r>
      </w:del>
    </w:p>
    <w:p>
      <w:pPr>
        <w:pStyle w:val="nzIndenta"/>
        <w:rPr>
          <w:del w:id="2086" w:author="svcMRProcess" w:date="2020-02-21T14:38:00Z"/>
        </w:rPr>
      </w:pPr>
      <w:del w:id="2087" w:author="svcMRProcess" w:date="2020-02-21T14:38:00Z">
        <w:r>
          <w:tab/>
          <w:delText>(a)</w:delText>
        </w:r>
        <w:r>
          <w:tab/>
          <w:delText>whether or not the appellant was aware of the substance of the new evidence before the appellant’s removal; and</w:delText>
        </w:r>
      </w:del>
    </w:p>
    <w:p>
      <w:pPr>
        <w:pStyle w:val="nzIndenta"/>
        <w:rPr>
          <w:del w:id="2088" w:author="svcMRProcess" w:date="2020-02-21T14:38:00Z"/>
        </w:rPr>
      </w:pPr>
      <w:del w:id="2089" w:author="svcMRProcess" w:date="2020-02-21T14:38:00Z">
        <w:r>
          <w:tab/>
          <w:delText>(b)</w:delText>
        </w:r>
        <w:r>
          <w:tab/>
          <w:delText>whether or not the substance of the new evidence was contained in a document to which the appellant had reasonable access before the appellant’s removal.</w:delText>
        </w:r>
      </w:del>
    </w:p>
    <w:p>
      <w:pPr>
        <w:pStyle w:val="nzHeading5"/>
        <w:rPr>
          <w:del w:id="2090" w:author="svcMRProcess" w:date="2020-02-21T14:38:00Z"/>
        </w:rPr>
      </w:pPr>
      <w:bookmarkStart w:id="2091" w:name="_Toc404765113"/>
      <w:bookmarkStart w:id="2092" w:name="_Toc405375775"/>
      <w:del w:id="2093" w:author="svcMRProcess" w:date="2020-02-21T14:38:00Z">
        <w:r>
          <w:delText>11CK.</w:delText>
        </w:r>
        <w:r>
          <w:tab/>
          <w:delText>Opportunity to consider new evidence</w:delText>
        </w:r>
        <w:bookmarkEnd w:id="2091"/>
        <w:bookmarkEnd w:id="2092"/>
      </w:del>
    </w:p>
    <w:p>
      <w:pPr>
        <w:pStyle w:val="nzSubsection"/>
        <w:rPr>
          <w:del w:id="2094" w:author="svcMRProcess" w:date="2020-02-21T14:38:00Z"/>
        </w:rPr>
      </w:pPr>
      <w:del w:id="2095" w:author="svcMRProcess" w:date="2020-02-21T14:38:00Z">
        <w:r>
          <w:tab/>
          <w:delText>(1)</w:delText>
        </w:r>
        <w:r>
          <w:tab/>
          <w:delText xml:space="preserve">If the chief executive officer is given leave to tender new evidence under section 11CJ(2) — </w:delText>
        </w:r>
      </w:del>
    </w:p>
    <w:p>
      <w:pPr>
        <w:pStyle w:val="nzIndenta"/>
        <w:rPr>
          <w:del w:id="2096" w:author="svcMRProcess" w:date="2020-02-21T14:38:00Z"/>
        </w:rPr>
      </w:pPr>
      <w:del w:id="2097" w:author="svcMRProcess" w:date="2020-02-21T14:38:00Z">
        <w:r>
          <w:tab/>
          <w:delText>(a)</w:delText>
        </w:r>
        <w:r>
          <w:tab/>
          <w:delText xml:space="preserve">the WAIRC must give the appellant a reasonable opportunity to consider the new evidence; and </w:delText>
        </w:r>
      </w:del>
    </w:p>
    <w:p>
      <w:pPr>
        <w:pStyle w:val="nzIndenta"/>
        <w:rPr>
          <w:del w:id="2098" w:author="svcMRProcess" w:date="2020-02-21T14:38:00Z"/>
        </w:rPr>
      </w:pPr>
      <w:del w:id="2099" w:author="svcMRProcess" w:date="2020-02-21T14:38:00Z">
        <w:r>
          <w:tab/>
          <w:delText>(b)</w:delText>
        </w:r>
        <w:r>
          <w:tab/>
          <w:delText>the appellant may, without the leave of the WAIRC, tender new evidence under this section in response to the new evidence tendered by the chief executive officer.</w:delText>
        </w:r>
      </w:del>
    </w:p>
    <w:p>
      <w:pPr>
        <w:pStyle w:val="nzSubsection"/>
        <w:rPr>
          <w:del w:id="2100" w:author="svcMRProcess" w:date="2020-02-21T14:38:00Z"/>
        </w:rPr>
      </w:pPr>
      <w:del w:id="2101" w:author="svcMRProcess" w:date="2020-02-21T14:38:00Z">
        <w:r>
          <w:tab/>
          <w:delText>(2)</w:delText>
        </w:r>
        <w:r>
          <w:tab/>
          <w:delText>If the appellant is given leave to tender new evidence under section 11CJ(3), the WAIRC must give the chief executive officer a reasonable opportunity to consider the new evidence.</w:delText>
        </w:r>
      </w:del>
    </w:p>
    <w:p>
      <w:pPr>
        <w:pStyle w:val="nzHeading5"/>
        <w:rPr>
          <w:del w:id="2102" w:author="svcMRProcess" w:date="2020-02-21T14:38:00Z"/>
        </w:rPr>
      </w:pPr>
      <w:bookmarkStart w:id="2103" w:name="_Toc404765114"/>
      <w:bookmarkStart w:id="2104" w:name="_Toc405375776"/>
      <w:del w:id="2105" w:author="svcMRProcess" w:date="2020-02-21T14:38:00Z">
        <w:r>
          <w:delText>11CL.</w:delText>
        </w:r>
        <w:r>
          <w:tab/>
          <w:delText>Revocation of removal after consideration of new evidence</w:delText>
        </w:r>
        <w:bookmarkEnd w:id="2103"/>
        <w:bookmarkEnd w:id="2104"/>
      </w:del>
    </w:p>
    <w:p>
      <w:pPr>
        <w:pStyle w:val="nzSubsection"/>
        <w:rPr>
          <w:del w:id="2106" w:author="svcMRProcess" w:date="2020-02-21T14:38:00Z"/>
        </w:rPr>
      </w:pPr>
      <w:del w:id="2107" w:author="svcMRProcess" w:date="2020-02-21T14:38:00Z">
        <w:r>
          <w:tab/>
          <w:delText>(1)</w:delText>
        </w:r>
        <w:r>
          <w:tab/>
          <w:delText xml:space="preserve">If, having considered any new evidence, the chief executive officer revokes the removal under section 11CF(1) — </w:delText>
        </w:r>
      </w:del>
    </w:p>
    <w:p>
      <w:pPr>
        <w:pStyle w:val="nzIndenta"/>
        <w:rPr>
          <w:del w:id="2108" w:author="svcMRProcess" w:date="2020-02-21T14:38:00Z"/>
        </w:rPr>
      </w:pPr>
      <w:del w:id="2109" w:author="svcMRProcess" w:date="2020-02-21T14:38:00Z">
        <w:r>
          <w:tab/>
          <w:delText>(a)</w:delText>
        </w:r>
        <w:r>
          <w:tab/>
          <w:delText xml:space="preserve">the chief executive officer must give the WAIRC notice of the revocation; and </w:delText>
        </w:r>
      </w:del>
    </w:p>
    <w:p>
      <w:pPr>
        <w:pStyle w:val="nzIndenta"/>
        <w:rPr>
          <w:del w:id="2110" w:author="svcMRProcess" w:date="2020-02-21T14:38:00Z"/>
        </w:rPr>
      </w:pPr>
      <w:del w:id="2111" w:author="svcMRProcess" w:date="2020-02-21T14:38:00Z">
        <w:r>
          <w:tab/>
          <w:delText>(b)</w:delText>
        </w:r>
        <w:r>
          <w:tab/>
          <w:delText>the hearing of the appeal is discontinued when the WAIRC receives the notice.</w:delText>
        </w:r>
      </w:del>
    </w:p>
    <w:p>
      <w:pPr>
        <w:pStyle w:val="nzSubsection"/>
        <w:rPr>
          <w:del w:id="2112" w:author="svcMRProcess" w:date="2020-02-21T14:38:00Z"/>
        </w:rPr>
      </w:pPr>
      <w:del w:id="2113" w:author="svcMRProcess" w:date="2020-02-21T14:38:00Z">
        <w:r>
          <w:tab/>
          <w:delText>(2)</w:delText>
        </w:r>
        <w:r>
          <w:tab/>
          <w:delText xml:space="preserve">If the chief executive officer does not give notice under subsection (1), the hearing of the appeal must continue but the chief executive officer may — </w:delText>
        </w:r>
      </w:del>
    </w:p>
    <w:p>
      <w:pPr>
        <w:pStyle w:val="nzIndenta"/>
        <w:rPr>
          <w:del w:id="2114" w:author="svcMRProcess" w:date="2020-02-21T14:38:00Z"/>
        </w:rPr>
      </w:pPr>
      <w:del w:id="2115" w:author="svcMRProcess" w:date="2020-02-21T14:38:00Z">
        <w:r>
          <w:tab/>
          <w:delText>(a)</w:delText>
        </w:r>
        <w:r>
          <w:tab/>
          <w:delText>reformulate his or her reasons for not having confidence in the appellant’s suitability to continue as a custodial officer; and</w:delText>
        </w:r>
      </w:del>
    </w:p>
    <w:p>
      <w:pPr>
        <w:pStyle w:val="nzIndenta"/>
        <w:rPr>
          <w:del w:id="2116" w:author="svcMRProcess" w:date="2020-02-21T14:38:00Z"/>
        </w:rPr>
      </w:pPr>
      <w:del w:id="2117" w:author="svcMRProcess" w:date="2020-02-21T14:38:00Z">
        <w:r>
          <w:tab/>
          <w:delText>(b)</w:delText>
        </w:r>
        <w:r>
          <w:tab/>
          <w:delText>without the leave of the WAIRC, tender new evidence under this section in response to the new evidence tendered by the appellant.</w:delText>
        </w:r>
      </w:del>
    </w:p>
    <w:p>
      <w:pPr>
        <w:pStyle w:val="nzSubsection"/>
        <w:rPr>
          <w:del w:id="2118" w:author="svcMRProcess" w:date="2020-02-21T14:38:00Z"/>
        </w:rPr>
      </w:pPr>
      <w:del w:id="2119" w:author="svcMRProcess" w:date="2020-02-21T14:38:00Z">
        <w:r>
          <w:tab/>
          <w:delText>(3)</w:delText>
        </w:r>
        <w:r>
          <w:tab/>
          <w:delText>Reasons reformulated under subsection (2)(a) may differ from, or be additional to, the reasons given to the appellant in the decision notice.</w:delText>
        </w:r>
      </w:del>
    </w:p>
    <w:p>
      <w:pPr>
        <w:pStyle w:val="nzSubsection"/>
        <w:rPr>
          <w:del w:id="2120" w:author="svcMRProcess" w:date="2020-02-21T14:38:00Z"/>
        </w:rPr>
      </w:pPr>
      <w:del w:id="2121" w:author="svcMRProcess" w:date="2020-02-21T14:38:00Z">
        <w:r>
          <w:tab/>
          <w:delText>(4)</w:delText>
        </w:r>
        <w:r>
          <w:tab/>
          <w:delText xml:space="preserve">If the chief executive officer reformulates reasons under subsection (2)(a) — </w:delText>
        </w:r>
      </w:del>
    </w:p>
    <w:p>
      <w:pPr>
        <w:pStyle w:val="nzIndenta"/>
        <w:rPr>
          <w:del w:id="2122" w:author="svcMRProcess" w:date="2020-02-21T14:38:00Z"/>
        </w:rPr>
      </w:pPr>
      <w:del w:id="2123" w:author="svcMRProcess" w:date="2020-02-21T14:38:00Z">
        <w:r>
          <w:tab/>
          <w:delText>(a)</w:delText>
        </w:r>
        <w:r>
          <w:tab/>
          <w:delText>the chief executive officer must give the WAIRC and the appellant notice in writing of the reasons before the resumption of the hearing of the appeal; and</w:delText>
        </w:r>
      </w:del>
    </w:p>
    <w:p>
      <w:pPr>
        <w:pStyle w:val="nzIndenta"/>
        <w:rPr>
          <w:del w:id="2124" w:author="svcMRProcess" w:date="2020-02-21T14:38:00Z"/>
        </w:rPr>
      </w:pPr>
      <w:del w:id="2125" w:author="svcMRProcess" w:date="2020-02-21T14:38:00Z">
        <w:r>
          <w:tab/>
          <w:delText>(b)</w:delText>
        </w:r>
        <w:r>
          <w:tab/>
          <w:delText>the WAIRC must consider the reasons as if they had been reasons given to the appellant in the decision notice.</w:delText>
        </w:r>
      </w:del>
    </w:p>
    <w:p>
      <w:pPr>
        <w:pStyle w:val="nzHeading5"/>
        <w:rPr>
          <w:del w:id="2126" w:author="svcMRProcess" w:date="2020-02-21T14:38:00Z"/>
        </w:rPr>
      </w:pPr>
      <w:bookmarkStart w:id="2127" w:name="_Toc404765115"/>
      <w:bookmarkStart w:id="2128" w:name="_Toc405375777"/>
      <w:del w:id="2129" w:author="svcMRProcess" w:date="2020-02-21T14:38:00Z">
        <w:r>
          <w:delText>11CM.</w:delText>
        </w:r>
        <w:r>
          <w:tab/>
          <w:delText xml:space="preserve">Application of </w:delText>
        </w:r>
        <w:r>
          <w:rPr>
            <w:i/>
          </w:rPr>
          <w:delText>Industrial Relations Act 1979</w:delText>
        </w:r>
        <w:r>
          <w:delText xml:space="preserve"> to appeals</w:delText>
        </w:r>
        <w:bookmarkEnd w:id="2127"/>
        <w:bookmarkEnd w:id="2128"/>
      </w:del>
    </w:p>
    <w:p>
      <w:pPr>
        <w:pStyle w:val="nzSubsection"/>
        <w:rPr>
          <w:del w:id="2130" w:author="svcMRProcess" w:date="2020-02-21T14:38:00Z"/>
        </w:rPr>
      </w:pPr>
      <w:del w:id="2131" w:author="svcMRProcess" w:date="2020-02-21T14:38:00Z">
        <w:r>
          <w:tab/>
        </w:r>
        <w:r>
          <w:tab/>
          <w:delText xml:space="preserve">The provisions of the </w:delText>
        </w:r>
        <w:r>
          <w:rPr>
            <w:i/>
          </w:rPr>
          <w:delText>Industrial Relations Act 1979</w:delText>
        </w:r>
        <w:r>
          <w:delText xml:space="preserve"> listed in the Table apply to, and in relation to, an appeal and its determination, subject to —</w:delText>
        </w:r>
      </w:del>
    </w:p>
    <w:p>
      <w:pPr>
        <w:pStyle w:val="nzIndenta"/>
        <w:rPr>
          <w:del w:id="2132" w:author="svcMRProcess" w:date="2020-02-21T14:38:00Z"/>
        </w:rPr>
      </w:pPr>
      <w:del w:id="2133" w:author="svcMRProcess" w:date="2020-02-21T14:38:00Z">
        <w:r>
          <w:tab/>
          <w:delText>(a)</w:delText>
        </w:r>
        <w:r>
          <w:tab/>
          <w:delText>any specific modifications set out in the Table; and</w:delText>
        </w:r>
      </w:del>
    </w:p>
    <w:p>
      <w:pPr>
        <w:pStyle w:val="nzIndenta"/>
        <w:rPr>
          <w:del w:id="2134" w:author="svcMRProcess" w:date="2020-02-21T14:38:00Z"/>
        </w:rPr>
      </w:pPr>
      <w:del w:id="2135" w:author="svcMRProcess" w:date="2020-02-21T14:38:00Z">
        <w:r>
          <w:tab/>
          <w:delText>(b)</w:delText>
        </w:r>
        <w:r>
          <w:tab/>
          <w:delText>all other necessary modifications.</w:delText>
        </w:r>
      </w:del>
    </w:p>
    <w:p>
      <w:pPr>
        <w:pStyle w:val="zTHeadingNAm"/>
        <w:rPr>
          <w:del w:id="2136" w:author="svcMRProcess" w:date="2020-02-21T14:38:00Z"/>
        </w:rPr>
      </w:pPr>
      <w:del w:id="2137" w:author="svcMRProcess" w:date="2020-02-21T14:38: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del w:id="2138" w:author="svcMRProcess" w:date="2020-02-21T14:38:00Z"/>
        </w:trPr>
        <w:tc>
          <w:tcPr>
            <w:tcW w:w="1843" w:type="dxa"/>
          </w:tcPr>
          <w:p>
            <w:pPr>
              <w:pStyle w:val="TableNAm"/>
              <w:rPr>
                <w:del w:id="2139" w:author="svcMRProcess" w:date="2020-02-21T14:38:00Z"/>
                <w:sz w:val="20"/>
              </w:rPr>
            </w:pPr>
            <w:del w:id="2140" w:author="svcMRProcess" w:date="2020-02-21T14:38:00Z">
              <w:r>
                <w:rPr>
                  <w:sz w:val="20"/>
                </w:rPr>
                <w:delText>s. 26(1)(a) and (b)</w:delText>
              </w:r>
            </w:del>
          </w:p>
        </w:tc>
        <w:tc>
          <w:tcPr>
            <w:tcW w:w="3685" w:type="dxa"/>
          </w:tcPr>
          <w:p>
            <w:pPr>
              <w:pStyle w:val="TableNAm"/>
              <w:rPr>
                <w:del w:id="2141" w:author="svcMRProcess" w:date="2020-02-21T14:38:00Z"/>
                <w:sz w:val="20"/>
              </w:rPr>
            </w:pPr>
          </w:p>
        </w:tc>
      </w:tr>
      <w:tr>
        <w:trPr>
          <w:cantSplit/>
          <w:del w:id="2142" w:author="svcMRProcess" w:date="2020-02-21T14:38:00Z"/>
        </w:trPr>
        <w:tc>
          <w:tcPr>
            <w:tcW w:w="1843" w:type="dxa"/>
          </w:tcPr>
          <w:p>
            <w:pPr>
              <w:pStyle w:val="TableNAm"/>
              <w:rPr>
                <w:del w:id="2143" w:author="svcMRProcess" w:date="2020-02-21T14:38:00Z"/>
                <w:sz w:val="20"/>
              </w:rPr>
            </w:pPr>
            <w:del w:id="2144" w:author="svcMRProcess" w:date="2020-02-21T14:38:00Z">
              <w:r>
                <w:rPr>
                  <w:sz w:val="20"/>
                </w:rPr>
                <w:delText>s. 26(3)</w:delText>
              </w:r>
            </w:del>
          </w:p>
        </w:tc>
        <w:tc>
          <w:tcPr>
            <w:tcW w:w="3685" w:type="dxa"/>
          </w:tcPr>
          <w:p>
            <w:pPr>
              <w:pStyle w:val="TableNAm"/>
              <w:rPr>
                <w:del w:id="2145" w:author="svcMRProcess" w:date="2020-02-21T14:38:00Z"/>
                <w:sz w:val="20"/>
              </w:rPr>
            </w:pPr>
          </w:p>
        </w:tc>
      </w:tr>
      <w:tr>
        <w:trPr>
          <w:cantSplit/>
          <w:del w:id="2146" w:author="svcMRProcess" w:date="2020-02-21T14:38:00Z"/>
        </w:trPr>
        <w:tc>
          <w:tcPr>
            <w:tcW w:w="1843" w:type="dxa"/>
          </w:tcPr>
          <w:p>
            <w:pPr>
              <w:pStyle w:val="TableNAm"/>
              <w:rPr>
                <w:del w:id="2147" w:author="svcMRProcess" w:date="2020-02-21T14:38:00Z"/>
                <w:sz w:val="20"/>
              </w:rPr>
            </w:pPr>
            <w:del w:id="2148" w:author="svcMRProcess" w:date="2020-02-21T14:38:00Z">
              <w:r>
                <w:rPr>
                  <w:sz w:val="20"/>
                </w:rPr>
                <w:delText>s. 27(1)(b), (c), (d), (e), (f), (h), (ha), (hb), (l), (m), (n), (o) and (v)</w:delText>
              </w:r>
            </w:del>
          </w:p>
        </w:tc>
        <w:tc>
          <w:tcPr>
            <w:tcW w:w="3685" w:type="dxa"/>
          </w:tcPr>
          <w:p>
            <w:pPr>
              <w:pStyle w:val="TableNAm"/>
              <w:rPr>
                <w:del w:id="2149" w:author="svcMRProcess" w:date="2020-02-21T14:38:00Z"/>
                <w:sz w:val="20"/>
              </w:rPr>
            </w:pPr>
          </w:p>
        </w:tc>
      </w:tr>
      <w:tr>
        <w:trPr>
          <w:cantSplit/>
          <w:del w:id="2150" w:author="svcMRProcess" w:date="2020-02-21T14:38:00Z"/>
        </w:trPr>
        <w:tc>
          <w:tcPr>
            <w:tcW w:w="1843" w:type="dxa"/>
          </w:tcPr>
          <w:p>
            <w:pPr>
              <w:pStyle w:val="TableNAm"/>
              <w:rPr>
                <w:del w:id="2151" w:author="svcMRProcess" w:date="2020-02-21T14:38:00Z"/>
                <w:sz w:val="20"/>
              </w:rPr>
            </w:pPr>
            <w:del w:id="2152" w:author="svcMRProcess" w:date="2020-02-21T14:38:00Z">
              <w:r>
                <w:rPr>
                  <w:sz w:val="20"/>
                </w:rPr>
                <w:delText>s. 27(1a)</w:delText>
              </w:r>
            </w:del>
          </w:p>
        </w:tc>
        <w:tc>
          <w:tcPr>
            <w:tcW w:w="3685" w:type="dxa"/>
          </w:tcPr>
          <w:p>
            <w:pPr>
              <w:pStyle w:val="TableNAm"/>
              <w:rPr>
                <w:del w:id="2153" w:author="svcMRProcess" w:date="2020-02-21T14:38:00Z"/>
                <w:sz w:val="20"/>
              </w:rPr>
            </w:pPr>
          </w:p>
        </w:tc>
      </w:tr>
      <w:tr>
        <w:trPr>
          <w:cantSplit/>
          <w:del w:id="2154" w:author="svcMRProcess" w:date="2020-02-21T14:38:00Z"/>
        </w:trPr>
        <w:tc>
          <w:tcPr>
            <w:tcW w:w="1843" w:type="dxa"/>
          </w:tcPr>
          <w:p>
            <w:pPr>
              <w:pStyle w:val="TableNAm"/>
              <w:rPr>
                <w:del w:id="2155" w:author="svcMRProcess" w:date="2020-02-21T14:38:00Z"/>
                <w:sz w:val="20"/>
              </w:rPr>
            </w:pPr>
            <w:del w:id="2156" w:author="svcMRProcess" w:date="2020-02-21T14:38:00Z">
              <w:r>
                <w:rPr>
                  <w:sz w:val="20"/>
                </w:rPr>
                <w:delText>s. 28</w:delText>
              </w:r>
            </w:del>
          </w:p>
        </w:tc>
        <w:tc>
          <w:tcPr>
            <w:tcW w:w="3685" w:type="dxa"/>
          </w:tcPr>
          <w:p>
            <w:pPr>
              <w:pStyle w:val="TableNAm"/>
              <w:rPr>
                <w:del w:id="2157" w:author="svcMRProcess" w:date="2020-02-21T14:38:00Z"/>
                <w:sz w:val="20"/>
              </w:rPr>
            </w:pPr>
            <w:del w:id="2158" w:author="svcMRProcess" w:date="2020-02-21T14:38:00Z">
              <w:r>
                <w:rPr>
                  <w:sz w:val="20"/>
                </w:rPr>
                <w:delText>The section applies only in relation to powers conferred by section 27 listed in this Table.</w:delText>
              </w:r>
            </w:del>
          </w:p>
        </w:tc>
      </w:tr>
      <w:tr>
        <w:trPr>
          <w:cantSplit/>
          <w:del w:id="2159" w:author="svcMRProcess" w:date="2020-02-21T14:38:00Z"/>
        </w:trPr>
        <w:tc>
          <w:tcPr>
            <w:tcW w:w="1843" w:type="dxa"/>
          </w:tcPr>
          <w:p>
            <w:pPr>
              <w:pStyle w:val="TableNAm"/>
              <w:rPr>
                <w:del w:id="2160" w:author="svcMRProcess" w:date="2020-02-21T14:38:00Z"/>
                <w:sz w:val="20"/>
              </w:rPr>
            </w:pPr>
            <w:del w:id="2161" w:author="svcMRProcess" w:date="2020-02-21T14:38:00Z">
              <w:r>
                <w:rPr>
                  <w:sz w:val="20"/>
                </w:rPr>
                <w:delText>s. 31(1)</w:delText>
              </w:r>
            </w:del>
          </w:p>
        </w:tc>
        <w:tc>
          <w:tcPr>
            <w:tcW w:w="3685" w:type="dxa"/>
          </w:tcPr>
          <w:p>
            <w:pPr>
              <w:pStyle w:val="TableNAm"/>
              <w:rPr>
                <w:del w:id="2162" w:author="svcMRProcess" w:date="2020-02-21T14:38:00Z"/>
                <w:sz w:val="20"/>
              </w:rPr>
            </w:pPr>
            <w:del w:id="2163" w:author="svcMRProcess" w:date="2020-02-21T14:38:00Z">
              <w:r>
                <w:rPr>
                  <w:sz w:val="20"/>
                </w:rPr>
                <w:delText>Paragraphs (b) and (c) do not apply but the subsection is to be read as if it contained the following paragraphs —</w:delText>
              </w:r>
            </w:del>
          </w:p>
          <w:p>
            <w:pPr>
              <w:pStyle w:val="TableNAm"/>
              <w:tabs>
                <w:tab w:val="clear" w:pos="567"/>
                <w:tab w:val="left" w:pos="317"/>
                <w:tab w:val="left" w:pos="884"/>
              </w:tabs>
              <w:ind w:left="884" w:hanging="884"/>
              <w:rPr>
                <w:del w:id="2164" w:author="svcMRProcess" w:date="2020-02-21T14:38:00Z"/>
                <w:sz w:val="20"/>
              </w:rPr>
            </w:pPr>
            <w:del w:id="2165" w:author="svcMRProcess" w:date="2020-02-21T14:38:00Z">
              <w:r>
                <w:rPr>
                  <w:sz w:val="20"/>
                </w:rPr>
                <w:delText>“</w:delText>
              </w:r>
              <w:r>
                <w:rPr>
                  <w:sz w:val="20"/>
                </w:rPr>
                <w:tab/>
                <w:delText>(b)</w:delText>
              </w:r>
              <w:r>
                <w:rPr>
                  <w:sz w:val="20"/>
                </w:rPr>
                <w:tab/>
                <w:delText>with the leave of the Commission, by an agent; or</w:delText>
              </w:r>
            </w:del>
          </w:p>
          <w:p>
            <w:pPr>
              <w:pStyle w:val="TableNAm"/>
              <w:tabs>
                <w:tab w:val="clear" w:pos="567"/>
                <w:tab w:val="left" w:pos="317"/>
                <w:tab w:val="left" w:pos="884"/>
              </w:tabs>
              <w:rPr>
                <w:del w:id="2166" w:author="svcMRProcess" w:date="2020-02-21T14:38:00Z"/>
                <w:sz w:val="20"/>
              </w:rPr>
            </w:pPr>
            <w:del w:id="2167" w:author="svcMRProcess" w:date="2020-02-21T14:38:00Z">
              <w:r>
                <w:rPr>
                  <w:sz w:val="20"/>
                </w:rPr>
                <w:tab/>
                <w:delText>(c)</w:delText>
              </w:r>
              <w:r>
                <w:rPr>
                  <w:sz w:val="20"/>
                </w:rPr>
                <w:tab/>
                <w:delText>by a legal practitioner.  ”.</w:delText>
              </w:r>
            </w:del>
          </w:p>
        </w:tc>
      </w:tr>
      <w:tr>
        <w:trPr>
          <w:cantSplit/>
          <w:del w:id="2168" w:author="svcMRProcess" w:date="2020-02-21T14:38:00Z"/>
        </w:trPr>
        <w:tc>
          <w:tcPr>
            <w:tcW w:w="1843" w:type="dxa"/>
          </w:tcPr>
          <w:p>
            <w:pPr>
              <w:pStyle w:val="TableNAm"/>
              <w:rPr>
                <w:del w:id="2169" w:author="svcMRProcess" w:date="2020-02-21T14:38:00Z"/>
                <w:sz w:val="20"/>
              </w:rPr>
            </w:pPr>
            <w:del w:id="2170" w:author="svcMRProcess" w:date="2020-02-21T14:38:00Z">
              <w:r>
                <w:rPr>
                  <w:sz w:val="20"/>
                </w:rPr>
                <w:delText>s. 31(3)</w:delText>
              </w:r>
            </w:del>
          </w:p>
        </w:tc>
        <w:tc>
          <w:tcPr>
            <w:tcW w:w="3685" w:type="dxa"/>
          </w:tcPr>
          <w:p>
            <w:pPr>
              <w:pStyle w:val="TableNAm"/>
              <w:rPr>
                <w:del w:id="2171" w:author="svcMRProcess" w:date="2020-02-21T14:38:00Z"/>
                <w:sz w:val="20"/>
              </w:rPr>
            </w:pPr>
          </w:p>
        </w:tc>
      </w:tr>
      <w:tr>
        <w:trPr>
          <w:cantSplit/>
          <w:del w:id="2172" w:author="svcMRProcess" w:date="2020-02-21T14:38:00Z"/>
        </w:trPr>
        <w:tc>
          <w:tcPr>
            <w:tcW w:w="1843" w:type="dxa"/>
          </w:tcPr>
          <w:p>
            <w:pPr>
              <w:pStyle w:val="TableNAm"/>
              <w:rPr>
                <w:del w:id="2173" w:author="svcMRProcess" w:date="2020-02-21T14:38:00Z"/>
                <w:sz w:val="20"/>
              </w:rPr>
            </w:pPr>
            <w:del w:id="2174" w:author="svcMRProcess" w:date="2020-02-21T14:38:00Z">
              <w:r>
                <w:rPr>
                  <w:sz w:val="20"/>
                </w:rPr>
                <w:delText>s. 31(5)</w:delText>
              </w:r>
            </w:del>
          </w:p>
        </w:tc>
        <w:tc>
          <w:tcPr>
            <w:tcW w:w="3685" w:type="dxa"/>
          </w:tcPr>
          <w:p>
            <w:pPr>
              <w:pStyle w:val="TableNAm"/>
              <w:rPr>
                <w:del w:id="2175" w:author="svcMRProcess" w:date="2020-02-21T14:38:00Z"/>
                <w:sz w:val="20"/>
              </w:rPr>
            </w:pPr>
          </w:p>
        </w:tc>
      </w:tr>
      <w:tr>
        <w:trPr>
          <w:cantSplit/>
          <w:del w:id="2176" w:author="svcMRProcess" w:date="2020-02-21T14:38:00Z"/>
        </w:trPr>
        <w:tc>
          <w:tcPr>
            <w:tcW w:w="1843" w:type="dxa"/>
          </w:tcPr>
          <w:p>
            <w:pPr>
              <w:pStyle w:val="TableNAm"/>
              <w:rPr>
                <w:del w:id="2177" w:author="svcMRProcess" w:date="2020-02-21T14:38:00Z"/>
                <w:sz w:val="20"/>
              </w:rPr>
            </w:pPr>
            <w:del w:id="2178" w:author="svcMRProcess" w:date="2020-02-21T14:38:00Z">
              <w:r>
                <w:rPr>
                  <w:sz w:val="20"/>
                </w:rPr>
                <w:delText>s. 32</w:delText>
              </w:r>
            </w:del>
          </w:p>
        </w:tc>
        <w:tc>
          <w:tcPr>
            <w:tcW w:w="3685" w:type="dxa"/>
          </w:tcPr>
          <w:p>
            <w:pPr>
              <w:pStyle w:val="TableNAm"/>
              <w:rPr>
                <w:del w:id="2179" w:author="svcMRProcess" w:date="2020-02-21T14:38:00Z"/>
                <w:sz w:val="20"/>
              </w:rPr>
            </w:pPr>
            <w:del w:id="2180" w:author="svcMRProcess" w:date="2020-02-21T14:38:00Z">
              <w:r>
                <w:rPr>
                  <w:sz w:val="20"/>
                </w:rPr>
                <w:delText xml:space="preserve">Section 32(1) is to be read as if a reference to “Where an industrial matter has been referred to the Commission the Commission shall, unless it” were a reference to “Where the Commission is dealing with an appeal instituted under the </w:delText>
              </w:r>
              <w:r>
                <w:rPr>
                  <w:i/>
                  <w:sz w:val="20"/>
                </w:rPr>
                <w:delText>Young Offenders Act 1994</w:delText>
              </w:r>
              <w:r>
                <w:rPr>
                  <w:sz w:val="20"/>
                </w:rPr>
                <w:delText xml:space="preserve"> section 11CH, a member of the Commission may recommend that the parties to the appeal, unless he or she”.</w:delText>
              </w:r>
            </w:del>
          </w:p>
          <w:p>
            <w:pPr>
              <w:pStyle w:val="TableNAm"/>
              <w:rPr>
                <w:del w:id="2181" w:author="svcMRProcess" w:date="2020-02-21T14:38:00Z"/>
                <w:sz w:val="20"/>
              </w:rPr>
            </w:pPr>
            <w:del w:id="2182" w:author="svcMRProcess" w:date="2020-02-21T14:38:00Z">
              <w:r>
                <w:rPr>
                  <w:sz w:val="20"/>
                </w:rPr>
                <w:delText>References to “the matter” and “an industrial matter” are to be read as if they were references to “the appeal”.</w:delText>
              </w:r>
            </w:del>
          </w:p>
        </w:tc>
      </w:tr>
      <w:tr>
        <w:trPr>
          <w:cantSplit/>
          <w:del w:id="2183" w:author="svcMRProcess" w:date="2020-02-21T14:38:00Z"/>
        </w:trPr>
        <w:tc>
          <w:tcPr>
            <w:tcW w:w="1843" w:type="dxa"/>
          </w:tcPr>
          <w:p>
            <w:pPr>
              <w:pStyle w:val="zTableNAm"/>
              <w:rPr>
                <w:del w:id="2184" w:author="svcMRProcess" w:date="2020-02-21T14:38:00Z"/>
                <w:sz w:val="20"/>
              </w:rPr>
            </w:pPr>
          </w:p>
        </w:tc>
        <w:tc>
          <w:tcPr>
            <w:tcW w:w="3685" w:type="dxa"/>
          </w:tcPr>
          <w:p>
            <w:pPr>
              <w:pStyle w:val="TableNAm"/>
              <w:rPr>
                <w:del w:id="2185" w:author="svcMRProcess" w:date="2020-02-21T14:38:00Z"/>
                <w:sz w:val="20"/>
              </w:rPr>
            </w:pPr>
            <w:del w:id="2186" w:author="svcMRProcess" w:date="2020-02-21T14:38:00Z">
              <w:r>
                <w:rPr>
                  <w:sz w:val="20"/>
                </w:rPr>
                <w:delText xml:space="preserve">For the purposes of subsections (2) and (3), </w:delText>
              </w:r>
              <w:r>
                <w:rPr>
                  <w:b/>
                  <w:bCs/>
                  <w:i/>
                  <w:iCs/>
                  <w:sz w:val="20"/>
                </w:rPr>
                <w:delText>Commission</w:delText>
              </w:r>
              <w:r>
                <w:rPr>
                  <w:sz w:val="20"/>
                </w:rPr>
                <w:delText xml:space="preserve"> does not include an industrial commissioner constituting the WAIRC to hear the appeal.</w:delText>
              </w:r>
            </w:del>
          </w:p>
          <w:p>
            <w:pPr>
              <w:pStyle w:val="TableNAm"/>
              <w:rPr>
                <w:del w:id="2187" w:author="svcMRProcess" w:date="2020-02-21T14:38:00Z"/>
                <w:sz w:val="20"/>
              </w:rPr>
            </w:pPr>
            <w:del w:id="2188" w:author="svcMRProcess" w:date="2020-02-21T14:38:00Z">
              <w:r>
                <w:rPr>
                  <w:sz w:val="20"/>
                </w:rPr>
                <w:delText>Subsections (4), (6), (7) and (8) do not apply.</w:delText>
              </w:r>
            </w:del>
          </w:p>
        </w:tc>
      </w:tr>
      <w:tr>
        <w:trPr>
          <w:cantSplit/>
          <w:del w:id="2189" w:author="svcMRProcess" w:date="2020-02-21T14:38:00Z"/>
        </w:trPr>
        <w:tc>
          <w:tcPr>
            <w:tcW w:w="1843" w:type="dxa"/>
          </w:tcPr>
          <w:p>
            <w:pPr>
              <w:pStyle w:val="TableNAm"/>
              <w:rPr>
                <w:del w:id="2190" w:author="svcMRProcess" w:date="2020-02-21T14:38:00Z"/>
                <w:sz w:val="20"/>
              </w:rPr>
            </w:pPr>
            <w:del w:id="2191" w:author="svcMRProcess" w:date="2020-02-21T14:38:00Z">
              <w:r>
                <w:rPr>
                  <w:sz w:val="20"/>
                </w:rPr>
                <w:delText>s. 33</w:delText>
              </w:r>
            </w:del>
          </w:p>
        </w:tc>
        <w:tc>
          <w:tcPr>
            <w:tcW w:w="3685" w:type="dxa"/>
          </w:tcPr>
          <w:p>
            <w:pPr>
              <w:pStyle w:val="TableNAm"/>
              <w:rPr>
                <w:del w:id="2192" w:author="svcMRProcess" w:date="2020-02-21T14:38:00Z"/>
                <w:sz w:val="20"/>
              </w:rPr>
            </w:pPr>
            <w:del w:id="2193" w:author="svcMRProcess" w:date="2020-02-21T14:38:00Z">
              <w:r>
                <w:rPr>
                  <w:sz w:val="20"/>
                </w:rPr>
                <w:delText>A summons must not be issued under section 33(1)(a) to the Governor.</w:delText>
              </w:r>
            </w:del>
          </w:p>
          <w:p>
            <w:pPr>
              <w:pStyle w:val="TableNAm"/>
              <w:rPr>
                <w:del w:id="2194" w:author="svcMRProcess" w:date="2020-02-21T14:38:00Z"/>
                <w:sz w:val="20"/>
              </w:rPr>
            </w:pPr>
            <w:del w:id="2195" w:author="svcMRProcess" w:date="2020-02-21T14:38:00Z">
              <w:r>
                <w:rPr>
                  <w:sz w:val="20"/>
                </w:rPr>
                <w:delText xml:space="preserve">A summons may be issued to the chief executive officer or the Minister but only at the direction of a commissioner appointed under the </w:delText>
              </w:r>
              <w:r>
                <w:rPr>
                  <w:i/>
                  <w:sz w:val="20"/>
                </w:rPr>
                <w:delText>Industrial Relations Act 1979</w:delText>
              </w:r>
              <w:r>
                <w:rPr>
                  <w:sz w:val="20"/>
                </w:rPr>
                <w:delText xml:space="preserve"> if that commissioner is satisfied that there are extraordinary grounds for doing so.</w:delText>
              </w:r>
            </w:del>
          </w:p>
          <w:p>
            <w:pPr>
              <w:pStyle w:val="TableNAm"/>
              <w:rPr>
                <w:del w:id="2196" w:author="svcMRProcess" w:date="2020-02-21T14:38:00Z"/>
                <w:sz w:val="20"/>
              </w:rPr>
            </w:pPr>
            <w:del w:id="2197" w:author="svcMRProcess" w:date="2020-02-21T14:38:00Z">
              <w:r>
                <w:rPr>
                  <w:sz w:val="20"/>
                </w:rPr>
                <w:delText>A summons may not be issued to any other person except at the direction of a commissioner.</w:delText>
              </w:r>
            </w:del>
          </w:p>
        </w:tc>
      </w:tr>
      <w:tr>
        <w:trPr>
          <w:cantSplit/>
          <w:del w:id="2198" w:author="svcMRProcess" w:date="2020-02-21T14:38:00Z"/>
        </w:trPr>
        <w:tc>
          <w:tcPr>
            <w:tcW w:w="1843" w:type="dxa"/>
          </w:tcPr>
          <w:p>
            <w:pPr>
              <w:pStyle w:val="TableNAm"/>
              <w:rPr>
                <w:del w:id="2199" w:author="svcMRProcess" w:date="2020-02-21T14:38:00Z"/>
                <w:sz w:val="20"/>
              </w:rPr>
            </w:pPr>
            <w:del w:id="2200" w:author="svcMRProcess" w:date="2020-02-21T14:38:00Z">
              <w:r>
                <w:rPr>
                  <w:sz w:val="20"/>
                </w:rPr>
                <w:delText>s. 34</w:delText>
              </w:r>
            </w:del>
          </w:p>
        </w:tc>
        <w:tc>
          <w:tcPr>
            <w:tcW w:w="3685" w:type="dxa"/>
          </w:tcPr>
          <w:p>
            <w:pPr>
              <w:pStyle w:val="TableNAm"/>
              <w:rPr>
                <w:del w:id="2201" w:author="svcMRProcess" w:date="2020-02-21T14:38:00Z"/>
                <w:sz w:val="20"/>
              </w:rPr>
            </w:pPr>
            <w:del w:id="2202" w:author="svcMRProcess" w:date="2020-02-21T14:38:00Z">
              <w:r>
                <w:rPr>
                  <w:sz w:val="20"/>
                </w:rPr>
                <w:delText>A reference in subsection (1) to “an award, order, or declaration” is to be read as if it were a reference to “an order”.</w:delText>
              </w:r>
            </w:del>
          </w:p>
          <w:p>
            <w:pPr>
              <w:pStyle w:val="TableNAm"/>
              <w:rPr>
                <w:del w:id="2203" w:author="svcMRProcess" w:date="2020-02-21T14:38:00Z"/>
                <w:sz w:val="20"/>
              </w:rPr>
            </w:pPr>
            <w:del w:id="2204" w:author="svcMRProcess" w:date="2020-02-21T14:38:00Z">
              <w:r>
                <w:rPr>
                  <w:sz w:val="20"/>
                </w:rPr>
                <w:delText>A reference in subsection (3) to “the President, the Full Bench, or the Commission” is to be read as if it were a reference to “the Commission”.</w:delText>
              </w:r>
            </w:del>
          </w:p>
        </w:tc>
      </w:tr>
      <w:tr>
        <w:trPr>
          <w:cantSplit/>
          <w:del w:id="2205" w:author="svcMRProcess" w:date="2020-02-21T14:38:00Z"/>
        </w:trPr>
        <w:tc>
          <w:tcPr>
            <w:tcW w:w="1843" w:type="dxa"/>
          </w:tcPr>
          <w:p>
            <w:pPr>
              <w:pStyle w:val="zTableNAm"/>
              <w:rPr>
                <w:del w:id="2206" w:author="svcMRProcess" w:date="2020-02-21T14:38:00Z"/>
                <w:sz w:val="20"/>
              </w:rPr>
            </w:pPr>
          </w:p>
        </w:tc>
        <w:tc>
          <w:tcPr>
            <w:tcW w:w="3685" w:type="dxa"/>
          </w:tcPr>
          <w:p>
            <w:pPr>
              <w:pStyle w:val="TableNAm"/>
              <w:rPr>
                <w:del w:id="2207" w:author="svcMRProcess" w:date="2020-02-21T14:38:00Z"/>
                <w:sz w:val="20"/>
              </w:rPr>
            </w:pPr>
            <w:del w:id="2208" w:author="svcMRProcess" w:date="2020-02-21T14:38:00Z">
              <w:r>
                <w:rPr>
                  <w:sz w:val="20"/>
                </w:rPr>
                <w:delText>A reference in subsection (4) to “no award, order, declaration, finding, or proceeding of the President, the Full Bench, or the Commission” is to be read as if it were a reference to “no decision, order, finding or proceeding of the Commission”.</w:delText>
              </w:r>
            </w:del>
          </w:p>
        </w:tc>
      </w:tr>
      <w:tr>
        <w:trPr>
          <w:cantSplit/>
          <w:del w:id="2209" w:author="svcMRProcess" w:date="2020-02-21T14:38:00Z"/>
        </w:trPr>
        <w:tc>
          <w:tcPr>
            <w:tcW w:w="1843" w:type="dxa"/>
          </w:tcPr>
          <w:p>
            <w:pPr>
              <w:pStyle w:val="TableNAm"/>
              <w:rPr>
                <w:del w:id="2210" w:author="svcMRProcess" w:date="2020-02-21T14:38:00Z"/>
                <w:sz w:val="20"/>
              </w:rPr>
            </w:pPr>
            <w:del w:id="2211" w:author="svcMRProcess" w:date="2020-02-21T14:38:00Z">
              <w:r>
                <w:rPr>
                  <w:sz w:val="20"/>
                </w:rPr>
                <w:delText>s. 35</w:delText>
              </w:r>
            </w:del>
          </w:p>
        </w:tc>
        <w:tc>
          <w:tcPr>
            <w:tcW w:w="3685" w:type="dxa"/>
          </w:tcPr>
          <w:p>
            <w:pPr>
              <w:pStyle w:val="TableNAm"/>
              <w:rPr>
                <w:del w:id="2212" w:author="svcMRProcess" w:date="2020-02-21T14:38:00Z"/>
                <w:sz w:val="20"/>
              </w:rPr>
            </w:pPr>
          </w:p>
        </w:tc>
      </w:tr>
      <w:tr>
        <w:trPr>
          <w:cantSplit/>
          <w:del w:id="2213" w:author="svcMRProcess" w:date="2020-02-21T14:38:00Z"/>
        </w:trPr>
        <w:tc>
          <w:tcPr>
            <w:tcW w:w="1843" w:type="dxa"/>
          </w:tcPr>
          <w:p>
            <w:pPr>
              <w:pStyle w:val="TableNAm"/>
              <w:rPr>
                <w:del w:id="2214" w:author="svcMRProcess" w:date="2020-02-21T14:38:00Z"/>
                <w:sz w:val="20"/>
              </w:rPr>
            </w:pPr>
            <w:del w:id="2215" w:author="svcMRProcess" w:date="2020-02-21T14:38:00Z">
              <w:r>
                <w:rPr>
                  <w:sz w:val="20"/>
                </w:rPr>
                <w:delText>s. 36</w:delText>
              </w:r>
            </w:del>
          </w:p>
        </w:tc>
        <w:tc>
          <w:tcPr>
            <w:tcW w:w="3685" w:type="dxa"/>
          </w:tcPr>
          <w:p>
            <w:pPr>
              <w:pStyle w:val="TableNAm"/>
              <w:rPr>
                <w:del w:id="2216" w:author="svcMRProcess" w:date="2020-02-21T14:38:00Z"/>
                <w:sz w:val="20"/>
              </w:rPr>
            </w:pPr>
          </w:p>
        </w:tc>
      </w:tr>
      <w:tr>
        <w:trPr>
          <w:cantSplit/>
          <w:del w:id="2217" w:author="svcMRProcess" w:date="2020-02-21T14:38:00Z"/>
        </w:trPr>
        <w:tc>
          <w:tcPr>
            <w:tcW w:w="1843" w:type="dxa"/>
          </w:tcPr>
          <w:p>
            <w:pPr>
              <w:pStyle w:val="TableNAm"/>
              <w:rPr>
                <w:del w:id="2218" w:author="svcMRProcess" w:date="2020-02-21T14:38:00Z"/>
                <w:sz w:val="20"/>
              </w:rPr>
            </w:pPr>
            <w:del w:id="2219" w:author="svcMRProcess" w:date="2020-02-21T14:38:00Z">
              <w:r>
                <w:rPr>
                  <w:sz w:val="20"/>
                </w:rPr>
                <w:delText>s. 86</w:delText>
              </w:r>
            </w:del>
          </w:p>
        </w:tc>
        <w:tc>
          <w:tcPr>
            <w:tcW w:w="3685" w:type="dxa"/>
          </w:tcPr>
          <w:p>
            <w:pPr>
              <w:pStyle w:val="TableNAm"/>
              <w:rPr>
                <w:del w:id="2220" w:author="svcMRProcess" w:date="2020-02-21T14:38:00Z"/>
                <w:sz w:val="20"/>
              </w:rPr>
            </w:pPr>
            <w:del w:id="2221" w:author="svcMRProcess" w:date="2020-02-21T14:38:00Z">
              <w:r>
                <w:rPr>
                  <w:sz w:val="20"/>
                </w:rPr>
                <w:delText>The section does not apply in relation to costs and expenses, other than expenses of witnesses.</w:delText>
              </w:r>
            </w:del>
          </w:p>
        </w:tc>
      </w:tr>
      <w:tr>
        <w:trPr>
          <w:cantSplit/>
          <w:del w:id="2222" w:author="svcMRProcess" w:date="2020-02-21T14:38:00Z"/>
        </w:trPr>
        <w:tc>
          <w:tcPr>
            <w:tcW w:w="1843" w:type="dxa"/>
          </w:tcPr>
          <w:p>
            <w:pPr>
              <w:pStyle w:val="TableNAm"/>
              <w:rPr>
                <w:del w:id="2223" w:author="svcMRProcess" w:date="2020-02-21T14:38:00Z"/>
                <w:sz w:val="20"/>
              </w:rPr>
            </w:pPr>
            <w:del w:id="2224" w:author="svcMRProcess" w:date="2020-02-21T14:38:00Z">
              <w:r>
                <w:rPr>
                  <w:sz w:val="20"/>
                </w:rPr>
                <w:delText>s. 90</w:delText>
              </w:r>
            </w:del>
          </w:p>
        </w:tc>
        <w:tc>
          <w:tcPr>
            <w:tcW w:w="3685" w:type="dxa"/>
          </w:tcPr>
          <w:p>
            <w:pPr>
              <w:pStyle w:val="TableNAm"/>
              <w:rPr>
                <w:del w:id="2225" w:author="svcMRProcess" w:date="2020-02-21T14:38:00Z"/>
                <w:sz w:val="20"/>
              </w:rPr>
            </w:pPr>
            <w:del w:id="2226" w:author="svcMRProcess" w:date="2020-02-21T14:38:00Z">
              <w:r>
                <w:rPr>
                  <w:sz w:val="20"/>
                </w:rPr>
                <w:delText xml:space="preserve">A reference in subsection (1) to “any decision of the President, the Full Bench, or the Commission in Court Session” is to be read as if it were a reference to “a decision of the Commission under the </w:delText>
              </w:r>
              <w:r>
                <w:rPr>
                  <w:i/>
                  <w:sz w:val="20"/>
                </w:rPr>
                <w:delText>Young Offenders Act</w:delText>
              </w:r>
              <w:r>
                <w:rPr>
                  <w:b/>
                  <w:i/>
                  <w:sz w:val="20"/>
                </w:rPr>
                <w:delText> </w:delText>
              </w:r>
              <w:r>
                <w:rPr>
                  <w:i/>
                  <w:sz w:val="20"/>
                </w:rPr>
                <w:delText>1994</w:delText>
              </w:r>
              <w:r>
                <w:rPr>
                  <w:sz w:val="20"/>
                </w:rPr>
                <w:delText xml:space="preserve"> section 11CP”.</w:delText>
              </w:r>
            </w:del>
          </w:p>
        </w:tc>
      </w:tr>
    </w:tbl>
    <w:p>
      <w:pPr>
        <w:pStyle w:val="nzHeading5"/>
        <w:rPr>
          <w:del w:id="2227" w:author="svcMRProcess" w:date="2020-02-21T14:38:00Z"/>
        </w:rPr>
      </w:pPr>
      <w:bookmarkStart w:id="2228" w:name="_Toc404765116"/>
      <w:bookmarkStart w:id="2229" w:name="_Toc405375778"/>
      <w:del w:id="2230" w:author="svcMRProcess" w:date="2020-02-21T14:38:00Z">
        <w:r>
          <w:delText>11CN.</w:delText>
        </w:r>
        <w:r>
          <w:tab/>
          <w:delText>Adjournment of appeal if appellant charged with offence</w:delText>
        </w:r>
        <w:bookmarkEnd w:id="2228"/>
        <w:bookmarkEnd w:id="2229"/>
      </w:del>
    </w:p>
    <w:p>
      <w:pPr>
        <w:pStyle w:val="nzSubsection"/>
        <w:rPr>
          <w:del w:id="2231" w:author="svcMRProcess" w:date="2020-02-21T14:38:00Z"/>
        </w:rPr>
      </w:pPr>
      <w:del w:id="2232" w:author="svcMRProcess" w:date="2020-02-21T14:38:00Z">
        <w:r>
          <w:tab/>
          <w:delText>(1)</w:delText>
        </w:r>
        <w:r>
          <w:tab/>
          <w:delText>The chief executive officer or an appellant may apply to the WAIRC for an adjournment of the hearing of an appeal if the appellant has been —</w:delText>
        </w:r>
      </w:del>
    </w:p>
    <w:p>
      <w:pPr>
        <w:pStyle w:val="nzIndenta"/>
        <w:rPr>
          <w:del w:id="2233" w:author="svcMRProcess" w:date="2020-02-21T14:38:00Z"/>
        </w:rPr>
      </w:pPr>
      <w:del w:id="2234" w:author="svcMRProcess" w:date="2020-02-21T14:38:00Z">
        <w:r>
          <w:tab/>
          <w:delText>(a)</w:delText>
        </w:r>
        <w:r>
          <w:tab/>
          <w:delText>charged with an offence relating to any matter, act or omission that was taken into account by the chief executive officer in deciding that he or she did not have confidence in the appellant’s suitability to continue as a custodial officer; and</w:delText>
        </w:r>
      </w:del>
    </w:p>
    <w:p>
      <w:pPr>
        <w:pStyle w:val="nzIndenta"/>
        <w:rPr>
          <w:del w:id="2235" w:author="svcMRProcess" w:date="2020-02-21T14:38:00Z"/>
        </w:rPr>
      </w:pPr>
      <w:del w:id="2236" w:author="svcMRProcess" w:date="2020-02-21T14:38:00Z">
        <w:r>
          <w:tab/>
          <w:delText>(b)</w:delText>
        </w:r>
        <w:r>
          <w:tab/>
          <w:delText>the charge has not been finally determined by a court or otherwise disposed of.</w:delText>
        </w:r>
      </w:del>
    </w:p>
    <w:p>
      <w:pPr>
        <w:pStyle w:val="nzSubsection"/>
        <w:rPr>
          <w:del w:id="2237" w:author="svcMRProcess" w:date="2020-02-21T14:38:00Z"/>
        </w:rPr>
      </w:pPr>
      <w:del w:id="2238" w:author="svcMRProcess" w:date="2020-02-21T14:38:00Z">
        <w:r>
          <w:tab/>
          <w:delText>(2)</w:delText>
        </w:r>
        <w:r>
          <w:tab/>
          <w:delText>If an adjournment application is made by the chief executive officer, the WAIRC may adjourn the hearing of the appeal if it considers that it is in the interests of justice to do so.</w:delText>
        </w:r>
      </w:del>
    </w:p>
    <w:p>
      <w:pPr>
        <w:pStyle w:val="nzSubsection"/>
        <w:rPr>
          <w:del w:id="2239" w:author="svcMRProcess" w:date="2020-02-21T14:38:00Z"/>
        </w:rPr>
      </w:pPr>
      <w:del w:id="2240" w:author="svcMRProcess" w:date="2020-02-21T14:38:00Z">
        <w:r>
          <w:tab/>
          <w:delText>(3)</w:delText>
        </w:r>
        <w:r>
          <w:tab/>
          <w:delText>If an adjournment application is made by the appellant, the WAIRC must adjourn the hearing of the appeal for the period (not exceeding 12 months) requested by the appellant.</w:delText>
        </w:r>
      </w:del>
    </w:p>
    <w:p>
      <w:pPr>
        <w:pStyle w:val="nzSubsection"/>
        <w:rPr>
          <w:del w:id="2241" w:author="svcMRProcess" w:date="2020-02-21T14:38:00Z"/>
        </w:rPr>
      </w:pPr>
      <w:del w:id="2242" w:author="svcMRProcess" w:date="2020-02-21T14:38:00Z">
        <w:r>
          <w:tab/>
          <w:delText>(4)</w:delText>
        </w:r>
        <w:r>
          <w:tab/>
          <w:delTex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delText>
        </w:r>
      </w:del>
    </w:p>
    <w:p>
      <w:pPr>
        <w:pStyle w:val="nzSubsection"/>
        <w:rPr>
          <w:del w:id="2243" w:author="svcMRProcess" w:date="2020-02-21T14:38:00Z"/>
        </w:rPr>
      </w:pPr>
      <w:del w:id="2244" w:author="svcMRProcess" w:date="2020-02-21T14:38:00Z">
        <w:r>
          <w:tab/>
          <w:delText>(5)</w:delText>
        </w:r>
        <w:r>
          <w:tab/>
          <w:delText>Subsections (2) and (4) do not affect any other power of the WAIRC to grant an adjournment.</w:delText>
        </w:r>
      </w:del>
    </w:p>
    <w:p>
      <w:pPr>
        <w:pStyle w:val="nzHeading5"/>
        <w:rPr>
          <w:del w:id="2245" w:author="svcMRProcess" w:date="2020-02-21T14:38:00Z"/>
        </w:rPr>
      </w:pPr>
      <w:bookmarkStart w:id="2246" w:name="_Toc404765117"/>
      <w:bookmarkStart w:id="2247" w:name="_Toc405375779"/>
      <w:del w:id="2248" w:author="svcMRProcess" w:date="2020-02-21T14:38:00Z">
        <w:r>
          <w:delText>11CO.</w:delText>
        </w:r>
        <w:r>
          <w:tab/>
          <w:delText>Resumption of appeal before end of adjournment</w:delText>
        </w:r>
        <w:bookmarkEnd w:id="2246"/>
        <w:bookmarkEnd w:id="2247"/>
      </w:del>
    </w:p>
    <w:p>
      <w:pPr>
        <w:pStyle w:val="nzSubsection"/>
        <w:rPr>
          <w:del w:id="2249" w:author="svcMRProcess" w:date="2020-02-21T14:38:00Z"/>
        </w:rPr>
      </w:pPr>
      <w:del w:id="2250" w:author="svcMRProcess" w:date="2020-02-21T14:38:00Z">
        <w:r>
          <w:tab/>
        </w:r>
        <w:r>
          <w:tab/>
          <w:delTex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delText>
        </w:r>
      </w:del>
    </w:p>
    <w:p>
      <w:pPr>
        <w:pStyle w:val="nzHeading5"/>
        <w:rPr>
          <w:del w:id="2251" w:author="svcMRProcess" w:date="2020-02-21T14:38:00Z"/>
        </w:rPr>
      </w:pPr>
      <w:bookmarkStart w:id="2252" w:name="_Toc404765118"/>
      <w:bookmarkStart w:id="2253" w:name="_Toc405375780"/>
      <w:del w:id="2254" w:author="svcMRProcess" w:date="2020-02-21T14:38:00Z">
        <w:r>
          <w:delText>11CP.</w:delText>
        </w:r>
        <w:r>
          <w:tab/>
          <w:delText>Decision by WAIRC</w:delText>
        </w:r>
        <w:bookmarkEnd w:id="2252"/>
        <w:bookmarkEnd w:id="2253"/>
      </w:del>
    </w:p>
    <w:p>
      <w:pPr>
        <w:pStyle w:val="nzSubsection"/>
        <w:rPr>
          <w:del w:id="2255" w:author="svcMRProcess" w:date="2020-02-21T14:38:00Z"/>
        </w:rPr>
      </w:pPr>
      <w:del w:id="2256" w:author="svcMRProcess" w:date="2020-02-21T14:38:00Z">
        <w:r>
          <w:tab/>
          <w:delText>(1)</w:delText>
        </w:r>
        <w:r>
          <w:tab/>
          <w:delText>This section applies if the WAIRC decides on an appeal that the decision to take removal action relating to the appellant was harsh, oppressive or unfair.</w:delText>
        </w:r>
      </w:del>
    </w:p>
    <w:p>
      <w:pPr>
        <w:pStyle w:val="nzSubsection"/>
        <w:rPr>
          <w:del w:id="2257" w:author="svcMRProcess" w:date="2020-02-21T14:38:00Z"/>
        </w:rPr>
      </w:pPr>
      <w:del w:id="2258" w:author="svcMRProcess" w:date="2020-02-21T14:38:00Z">
        <w:r>
          <w:tab/>
          <w:delText>(2)</w:delText>
        </w:r>
        <w:r>
          <w:tab/>
          <w:delText>The WAIRC may —</w:delText>
        </w:r>
      </w:del>
    </w:p>
    <w:p>
      <w:pPr>
        <w:pStyle w:val="nzIndenta"/>
        <w:rPr>
          <w:del w:id="2259" w:author="svcMRProcess" w:date="2020-02-21T14:38:00Z"/>
        </w:rPr>
      </w:pPr>
      <w:del w:id="2260" w:author="svcMRProcess" w:date="2020-02-21T14:38:00Z">
        <w:r>
          <w:tab/>
          <w:delText>(a)</w:delText>
        </w:r>
        <w:r>
          <w:tab/>
          <w:delText>order that the appellant’s removal is, and is to be taken to have always been, of no effect; or</w:delText>
        </w:r>
      </w:del>
    </w:p>
    <w:p>
      <w:pPr>
        <w:pStyle w:val="nzIndenta"/>
        <w:rPr>
          <w:del w:id="2261" w:author="svcMRProcess" w:date="2020-02-21T14:38:00Z"/>
        </w:rPr>
      </w:pPr>
      <w:del w:id="2262" w:author="svcMRProcess" w:date="2020-02-21T14:38:00Z">
        <w:r>
          <w:tab/>
          <w:delText>(b)</w:delText>
        </w:r>
        <w:r>
          <w:tab/>
          <w:delText>if it is impracticable to make an order under paragraph (a), order the chief executive officer to pay the appellant an amount of compensation for loss or injury caused by the removal.</w:delText>
        </w:r>
      </w:del>
    </w:p>
    <w:p>
      <w:pPr>
        <w:pStyle w:val="nzSubsection"/>
        <w:rPr>
          <w:del w:id="2263" w:author="svcMRProcess" w:date="2020-02-21T14:38:00Z"/>
        </w:rPr>
      </w:pPr>
      <w:del w:id="2264" w:author="svcMRProcess" w:date="2020-02-21T14:38:00Z">
        <w:r>
          <w:tab/>
          <w:delText>(3)</w:delText>
        </w:r>
        <w:r>
          <w:tab/>
          <w:delText>In considering whether or not it is impracticable to make an order under subsection (2)(a), it is relevant to consider —</w:delText>
        </w:r>
      </w:del>
    </w:p>
    <w:p>
      <w:pPr>
        <w:pStyle w:val="nzIndenta"/>
        <w:rPr>
          <w:del w:id="2265" w:author="svcMRProcess" w:date="2020-02-21T14:38:00Z"/>
        </w:rPr>
      </w:pPr>
      <w:del w:id="2266" w:author="svcMRProcess" w:date="2020-02-21T14:38:00Z">
        <w:r>
          <w:tab/>
          <w:delText>(a)</w:delText>
        </w:r>
        <w:r>
          <w:tab/>
          <w:delText>whether, at the time of the appellant’s removal, the position occupied by the appellant is vacant; and</w:delText>
        </w:r>
      </w:del>
    </w:p>
    <w:p>
      <w:pPr>
        <w:pStyle w:val="nzIndenta"/>
        <w:rPr>
          <w:del w:id="2267" w:author="svcMRProcess" w:date="2020-02-21T14:38:00Z"/>
        </w:rPr>
      </w:pPr>
      <w:del w:id="2268" w:author="svcMRProcess" w:date="2020-02-21T14:38:00Z">
        <w:r>
          <w:tab/>
          <w:delText>(b)</w:delText>
        </w:r>
        <w:r>
          <w:tab/>
          <w:delText>whether there is another suitable vacant position in the Department.</w:delText>
        </w:r>
      </w:del>
    </w:p>
    <w:p>
      <w:pPr>
        <w:pStyle w:val="nzSubsection"/>
        <w:rPr>
          <w:del w:id="2269" w:author="svcMRProcess" w:date="2020-02-21T14:38:00Z"/>
        </w:rPr>
      </w:pPr>
      <w:del w:id="2270" w:author="svcMRProcess" w:date="2020-02-21T14:38:00Z">
        <w:r>
          <w:tab/>
          <w:delText>(4)</w:delText>
        </w:r>
        <w:r>
          <w:tab/>
          <w:delText>If the WAIRC makes an order under subsection (2)(a), the appellant is not entitled to be paid his or her remuneration as a custodial officer for any period the appellant received a maintenance payment.</w:delText>
        </w:r>
      </w:del>
    </w:p>
    <w:p>
      <w:pPr>
        <w:pStyle w:val="nzSubsection"/>
        <w:rPr>
          <w:del w:id="2271" w:author="svcMRProcess" w:date="2020-02-21T14:38:00Z"/>
        </w:rPr>
      </w:pPr>
      <w:del w:id="2272" w:author="svcMRProcess" w:date="2020-02-21T14:38:00Z">
        <w:r>
          <w:tab/>
          <w:delText>(5)</w:delText>
        </w:r>
        <w:r>
          <w:tab/>
          <w:delText>An order under this section may require that it be complied with within a specified time.</w:delText>
        </w:r>
      </w:del>
    </w:p>
    <w:p>
      <w:pPr>
        <w:pStyle w:val="nzHeading5"/>
        <w:rPr>
          <w:del w:id="2273" w:author="svcMRProcess" w:date="2020-02-21T14:38:00Z"/>
        </w:rPr>
      </w:pPr>
      <w:bookmarkStart w:id="2274" w:name="_Toc404765119"/>
      <w:bookmarkStart w:id="2275" w:name="_Toc405375781"/>
      <w:del w:id="2276" w:author="svcMRProcess" w:date="2020-02-21T14:38:00Z">
        <w:r>
          <w:delText>11CQ.</w:delText>
        </w:r>
        <w:r>
          <w:tab/>
          <w:delText>Determining amount of compensation</w:delText>
        </w:r>
        <w:bookmarkEnd w:id="2274"/>
        <w:bookmarkEnd w:id="2275"/>
      </w:del>
    </w:p>
    <w:p>
      <w:pPr>
        <w:pStyle w:val="nzSubsection"/>
        <w:rPr>
          <w:del w:id="2277" w:author="svcMRProcess" w:date="2020-02-21T14:38:00Z"/>
        </w:rPr>
      </w:pPr>
      <w:del w:id="2278" w:author="svcMRProcess" w:date="2020-02-21T14:38:00Z">
        <w:r>
          <w:tab/>
          <w:delText>(1)</w:delText>
        </w:r>
        <w:r>
          <w:tab/>
          <w:delText>An amount of compensation ordered under section 11CP(2)(b) must be determined in accordance with this section.</w:delText>
        </w:r>
      </w:del>
    </w:p>
    <w:p>
      <w:pPr>
        <w:pStyle w:val="nzSubsection"/>
        <w:rPr>
          <w:del w:id="2279" w:author="svcMRProcess" w:date="2020-02-21T14:38:00Z"/>
        </w:rPr>
      </w:pPr>
      <w:del w:id="2280" w:author="svcMRProcess" w:date="2020-02-21T14:38:00Z">
        <w:r>
          <w:tab/>
          <w:delText>(2)</w:delText>
        </w:r>
        <w:r>
          <w:tab/>
          <w:delText xml:space="preserve">In determining the amount, the WAIRC must have regard to all of the following — </w:delText>
        </w:r>
      </w:del>
    </w:p>
    <w:p>
      <w:pPr>
        <w:pStyle w:val="nzIndenta"/>
        <w:rPr>
          <w:del w:id="2281" w:author="svcMRProcess" w:date="2020-02-21T14:38:00Z"/>
        </w:rPr>
      </w:pPr>
      <w:del w:id="2282" w:author="svcMRProcess" w:date="2020-02-21T14:38:00Z">
        <w:r>
          <w:tab/>
          <w:delText>(a)</w:delText>
        </w:r>
        <w:r>
          <w:tab/>
          <w:delText>the efforts, if any, of the chief executive officer and the appellant to mitigate the loss suffered by the appellant as a result of the removal;</w:delText>
        </w:r>
      </w:del>
    </w:p>
    <w:p>
      <w:pPr>
        <w:pStyle w:val="nzIndenta"/>
        <w:rPr>
          <w:del w:id="2283" w:author="svcMRProcess" w:date="2020-02-21T14:38:00Z"/>
        </w:rPr>
      </w:pPr>
      <w:del w:id="2284" w:author="svcMRProcess" w:date="2020-02-21T14:38:00Z">
        <w:r>
          <w:tab/>
          <w:delText>(b)</w:delText>
        </w:r>
        <w:r>
          <w:tab/>
          <w:delText>any maintenance payment received by the appellant;</w:delText>
        </w:r>
      </w:del>
    </w:p>
    <w:p>
      <w:pPr>
        <w:pStyle w:val="nzIndenta"/>
        <w:rPr>
          <w:del w:id="2285" w:author="svcMRProcess" w:date="2020-02-21T14:38:00Z"/>
        </w:rPr>
      </w:pPr>
      <w:del w:id="2286" w:author="svcMRProcess" w:date="2020-02-21T14:38:00Z">
        <w:r>
          <w:tab/>
          <w:delText>(c)</w:delText>
        </w:r>
        <w:r>
          <w:tab/>
          <w:delText>any redress the appellant has obtained under another enactment where the evidence necessary to establish that redress is also the evidence necessary to establish on the appeal that the removal was harsh, oppressive or unfair;</w:delText>
        </w:r>
      </w:del>
    </w:p>
    <w:p>
      <w:pPr>
        <w:pStyle w:val="nzIndenta"/>
        <w:rPr>
          <w:del w:id="2287" w:author="svcMRProcess" w:date="2020-02-21T14:38:00Z"/>
        </w:rPr>
      </w:pPr>
      <w:del w:id="2288" w:author="svcMRProcess" w:date="2020-02-21T14:38:00Z">
        <w:r>
          <w:tab/>
          <w:delText>(d)</w:delText>
        </w:r>
        <w:r>
          <w:tab/>
          <w:delText>any other matter that the WAIRC considers relevant.</w:delText>
        </w:r>
      </w:del>
    </w:p>
    <w:p>
      <w:pPr>
        <w:pStyle w:val="nzSubsection"/>
        <w:rPr>
          <w:del w:id="2289" w:author="svcMRProcess" w:date="2020-02-21T14:38:00Z"/>
        </w:rPr>
      </w:pPr>
      <w:del w:id="2290" w:author="svcMRProcess" w:date="2020-02-21T14:38:00Z">
        <w:r>
          <w:tab/>
          <w:delText>(3)</w:delText>
        </w:r>
        <w:r>
          <w:tab/>
          <w:delText>In determining the amount, the WAIRC may have regard to the average rate of remuneration as a custodial officer received by the appellant during any relevant period of service.</w:delText>
        </w:r>
      </w:del>
    </w:p>
    <w:p>
      <w:pPr>
        <w:pStyle w:val="nzSubsection"/>
        <w:rPr>
          <w:del w:id="2291" w:author="svcMRProcess" w:date="2020-02-21T14:38:00Z"/>
        </w:rPr>
      </w:pPr>
      <w:del w:id="2292" w:author="svcMRProcess" w:date="2020-02-21T14:38:00Z">
        <w:r>
          <w:tab/>
          <w:delText>(4)</w:delText>
        </w:r>
        <w:r>
          <w:tab/>
          <w:delText>The amount must not exceed 12 months’ remuneration as a custodial officer.</w:delText>
        </w:r>
      </w:del>
    </w:p>
    <w:p>
      <w:pPr>
        <w:pStyle w:val="nzHeading5"/>
        <w:rPr>
          <w:del w:id="2293" w:author="svcMRProcess" w:date="2020-02-21T14:38:00Z"/>
        </w:rPr>
      </w:pPr>
      <w:bookmarkStart w:id="2294" w:name="_Toc404765120"/>
      <w:bookmarkStart w:id="2295" w:name="_Toc405375782"/>
      <w:del w:id="2296" w:author="svcMRProcess" w:date="2020-02-21T14:38:00Z">
        <w:r>
          <w:delText>11CR.</w:delText>
        </w:r>
        <w:r>
          <w:tab/>
          <w:delText>Restriction on publication</w:delText>
        </w:r>
        <w:bookmarkEnd w:id="2294"/>
        <w:bookmarkEnd w:id="2295"/>
      </w:del>
    </w:p>
    <w:p>
      <w:pPr>
        <w:pStyle w:val="nzSubsection"/>
        <w:rPr>
          <w:del w:id="2297" w:author="svcMRProcess" w:date="2020-02-21T14:38:00Z"/>
        </w:rPr>
      </w:pPr>
      <w:del w:id="2298" w:author="svcMRProcess" w:date="2020-02-21T14:38:00Z">
        <w:r>
          <w:tab/>
          <w:delText>(1)</w:delText>
        </w:r>
        <w:r>
          <w:tab/>
          <w:delText>If the WAIRC is satisfied that it is in the public interest, it may direct that any evidence given before it, or the contents of any document produced to it, on an appeal —</w:delText>
        </w:r>
      </w:del>
    </w:p>
    <w:p>
      <w:pPr>
        <w:pStyle w:val="nzIndenta"/>
        <w:rPr>
          <w:del w:id="2299" w:author="svcMRProcess" w:date="2020-02-21T14:38:00Z"/>
        </w:rPr>
      </w:pPr>
      <w:del w:id="2300" w:author="svcMRProcess" w:date="2020-02-21T14:38:00Z">
        <w:r>
          <w:tab/>
          <w:delText>(a)</w:delText>
        </w:r>
        <w:r>
          <w:tab/>
          <w:delText>must not be published; or</w:delText>
        </w:r>
      </w:del>
    </w:p>
    <w:p>
      <w:pPr>
        <w:pStyle w:val="nzIndenta"/>
        <w:rPr>
          <w:del w:id="2301" w:author="svcMRProcess" w:date="2020-02-21T14:38:00Z"/>
        </w:rPr>
      </w:pPr>
      <w:del w:id="2302" w:author="svcMRProcess" w:date="2020-02-21T14:38:00Z">
        <w:r>
          <w:tab/>
          <w:delText>(b)</w:delText>
        </w:r>
        <w:r>
          <w:tab/>
          <w:delText>must not be published except in a manner, and to persons, specified by the WAIRC.</w:delText>
        </w:r>
      </w:del>
    </w:p>
    <w:p>
      <w:pPr>
        <w:pStyle w:val="nzSubsection"/>
        <w:rPr>
          <w:del w:id="2303" w:author="svcMRProcess" w:date="2020-02-21T14:38:00Z"/>
        </w:rPr>
      </w:pPr>
      <w:del w:id="2304" w:author="svcMRProcess" w:date="2020-02-21T14:38:00Z">
        <w:r>
          <w:tab/>
          <w:delText>(2)</w:delText>
        </w:r>
        <w:r>
          <w:tab/>
          <w:delText>A person must not contravene a direction given under this section.</w:delText>
        </w:r>
      </w:del>
    </w:p>
    <w:p>
      <w:pPr>
        <w:pStyle w:val="nzPenstart"/>
        <w:rPr>
          <w:del w:id="2305" w:author="svcMRProcess" w:date="2020-02-21T14:38:00Z"/>
        </w:rPr>
      </w:pPr>
      <w:del w:id="2306" w:author="svcMRProcess" w:date="2020-02-21T14:38:00Z">
        <w:r>
          <w:tab/>
          <w:delText>Penalty: a fine of $4 000 and imprisonment for 12 months.</w:delText>
        </w:r>
      </w:del>
    </w:p>
    <w:p>
      <w:pPr>
        <w:pStyle w:val="nzHeading4"/>
        <w:rPr>
          <w:del w:id="2307" w:author="svcMRProcess" w:date="2020-02-21T14:38:00Z"/>
        </w:rPr>
      </w:pPr>
      <w:bookmarkStart w:id="2308" w:name="_Toc370987272"/>
      <w:bookmarkStart w:id="2309" w:name="_Toc370987364"/>
      <w:bookmarkStart w:id="2310" w:name="_Toc370987456"/>
      <w:bookmarkStart w:id="2311" w:name="_Toc370987548"/>
      <w:bookmarkStart w:id="2312" w:name="_Toc370988026"/>
      <w:bookmarkStart w:id="2313" w:name="_Toc370988478"/>
      <w:bookmarkStart w:id="2314" w:name="_Toc370988579"/>
      <w:bookmarkStart w:id="2315" w:name="_Toc371347038"/>
      <w:bookmarkStart w:id="2316" w:name="_Toc372281420"/>
      <w:bookmarkStart w:id="2317" w:name="_Toc404765121"/>
      <w:bookmarkStart w:id="2318" w:name="_Toc405375783"/>
      <w:del w:id="2319" w:author="svcMRProcess" w:date="2020-02-21T14:38:00Z">
        <w:r>
          <w:delText>Subdivision 4 — General</w:delText>
        </w:r>
        <w:bookmarkEnd w:id="2308"/>
        <w:bookmarkEnd w:id="2309"/>
        <w:bookmarkEnd w:id="2310"/>
        <w:bookmarkEnd w:id="2311"/>
        <w:bookmarkEnd w:id="2312"/>
        <w:bookmarkEnd w:id="2313"/>
        <w:bookmarkEnd w:id="2314"/>
        <w:bookmarkEnd w:id="2315"/>
        <w:bookmarkEnd w:id="2316"/>
        <w:bookmarkEnd w:id="2317"/>
        <w:bookmarkEnd w:id="2318"/>
      </w:del>
    </w:p>
    <w:p>
      <w:pPr>
        <w:pStyle w:val="nzHeading5"/>
        <w:rPr>
          <w:del w:id="2320" w:author="svcMRProcess" w:date="2020-02-21T14:38:00Z"/>
        </w:rPr>
      </w:pPr>
      <w:bookmarkStart w:id="2321" w:name="_Toc404765122"/>
      <w:bookmarkStart w:id="2322" w:name="_Toc405375784"/>
      <w:del w:id="2323" w:author="svcMRProcess" w:date="2020-02-21T14:38:00Z">
        <w:r>
          <w:delText>11CS.</w:delText>
        </w:r>
        <w:r>
          <w:tab/>
          <w:delText>Effect of charge for, or conviction or acquittal of, offence</w:delText>
        </w:r>
        <w:bookmarkEnd w:id="2321"/>
        <w:bookmarkEnd w:id="2322"/>
      </w:del>
    </w:p>
    <w:p>
      <w:pPr>
        <w:pStyle w:val="nzSubsection"/>
        <w:rPr>
          <w:del w:id="2324" w:author="svcMRProcess" w:date="2020-02-21T14:38:00Z"/>
        </w:rPr>
      </w:pPr>
      <w:del w:id="2325" w:author="svcMRProcess" w:date="2020-02-21T14:38:00Z">
        <w:r>
          <w:tab/>
        </w:r>
        <w:r>
          <w:tab/>
          <w:delText>The chief executive officer can take removal action in relation to a custodial officer for a particular matter, act or omission even if the matter, act or omission is an element of an offence —</w:delText>
        </w:r>
      </w:del>
    </w:p>
    <w:p>
      <w:pPr>
        <w:pStyle w:val="nzIndenta"/>
        <w:rPr>
          <w:del w:id="2326" w:author="svcMRProcess" w:date="2020-02-21T14:38:00Z"/>
        </w:rPr>
      </w:pPr>
      <w:del w:id="2327" w:author="svcMRProcess" w:date="2020-02-21T14:38:00Z">
        <w:r>
          <w:tab/>
          <w:delText>(a)</w:delText>
        </w:r>
        <w:r>
          <w:tab/>
          <w:delText>with which the custodial officer has been charged; or</w:delText>
        </w:r>
      </w:del>
    </w:p>
    <w:p>
      <w:pPr>
        <w:pStyle w:val="nzIndenta"/>
        <w:rPr>
          <w:del w:id="2328" w:author="svcMRProcess" w:date="2020-02-21T14:38:00Z"/>
        </w:rPr>
      </w:pPr>
      <w:del w:id="2329" w:author="svcMRProcess" w:date="2020-02-21T14:38:00Z">
        <w:r>
          <w:tab/>
          <w:delText>(b)</w:delText>
        </w:r>
        <w:r>
          <w:tab/>
          <w:delText>of which the custodial officer has been convicted or acquitted.</w:delText>
        </w:r>
      </w:del>
    </w:p>
    <w:p>
      <w:pPr>
        <w:pStyle w:val="nzHeading5"/>
        <w:rPr>
          <w:del w:id="2330" w:author="svcMRProcess" w:date="2020-02-21T14:38:00Z"/>
        </w:rPr>
      </w:pPr>
      <w:bookmarkStart w:id="2331" w:name="_Toc404765123"/>
      <w:bookmarkStart w:id="2332" w:name="_Toc405375785"/>
      <w:del w:id="2333" w:author="svcMRProcess" w:date="2020-02-21T14:38:00Z">
        <w:r>
          <w:delText>11CT.</w:delText>
        </w:r>
        <w:r>
          <w:tab/>
          <w:delText>Failure to comply with procedure</w:delText>
        </w:r>
        <w:bookmarkEnd w:id="2331"/>
        <w:bookmarkEnd w:id="2332"/>
      </w:del>
    </w:p>
    <w:p>
      <w:pPr>
        <w:pStyle w:val="nzSubsection"/>
        <w:rPr>
          <w:del w:id="2334" w:author="svcMRProcess" w:date="2020-02-21T14:38:00Z"/>
        </w:rPr>
      </w:pPr>
      <w:del w:id="2335" w:author="svcMRProcess" w:date="2020-02-21T14:38:00Z">
        <w:r>
          <w:tab/>
        </w:r>
        <w:r>
          <w:tab/>
          <w:delText>An act or omission of the chief executive officer is not invalid, and cannot be called in question, if —</w:delText>
        </w:r>
      </w:del>
    </w:p>
    <w:p>
      <w:pPr>
        <w:pStyle w:val="nzIndenta"/>
        <w:rPr>
          <w:del w:id="2336" w:author="svcMRProcess" w:date="2020-02-21T14:38:00Z"/>
        </w:rPr>
      </w:pPr>
      <w:del w:id="2337" w:author="svcMRProcess" w:date="2020-02-21T14:38:00Z">
        <w:r>
          <w:tab/>
          <w:delText>(a)</w:delText>
        </w:r>
        <w:r>
          <w:tab/>
          <w:delText>the act or omission comprises a failure to comply with procedure prescribed for the purposes of this Division; and</w:delText>
        </w:r>
      </w:del>
    </w:p>
    <w:p>
      <w:pPr>
        <w:pStyle w:val="nzIndenta"/>
        <w:rPr>
          <w:del w:id="2338" w:author="svcMRProcess" w:date="2020-02-21T14:38:00Z"/>
        </w:rPr>
      </w:pPr>
      <w:del w:id="2339" w:author="svcMRProcess" w:date="2020-02-21T14:38:00Z">
        <w:r>
          <w:tab/>
          <w:delText>(b)</w:delText>
        </w:r>
        <w:r>
          <w:tab/>
          <w:delText>the failure is not substantive.</w:delText>
        </w:r>
      </w:del>
    </w:p>
    <w:p>
      <w:pPr>
        <w:pStyle w:val="nzHeading5"/>
        <w:rPr>
          <w:del w:id="2340" w:author="svcMRProcess" w:date="2020-02-21T14:38:00Z"/>
        </w:rPr>
      </w:pPr>
      <w:bookmarkStart w:id="2341" w:name="_Toc404765124"/>
      <w:bookmarkStart w:id="2342" w:name="_Toc405375786"/>
      <w:del w:id="2343" w:author="svcMRProcess" w:date="2020-02-21T14:38:00Z">
        <w:r>
          <w:delText>11CU.</w:delText>
        </w:r>
        <w:r>
          <w:tab/>
          <w:delText>Transfer, standing down and leave of custodial officer</w:delText>
        </w:r>
        <w:bookmarkEnd w:id="2341"/>
        <w:bookmarkEnd w:id="2342"/>
      </w:del>
    </w:p>
    <w:p>
      <w:pPr>
        <w:pStyle w:val="nzSubsection"/>
        <w:rPr>
          <w:del w:id="2344" w:author="svcMRProcess" w:date="2020-02-21T14:38:00Z"/>
        </w:rPr>
      </w:pPr>
      <w:del w:id="2345" w:author="svcMRProcess" w:date="2020-02-21T14:38:00Z">
        <w:r>
          <w:tab/>
          <w:delText>(1)</w:delText>
        </w:r>
        <w:r>
          <w:tab/>
          <w:delText xml:space="preserve">This Division does not derogate from the chief executive officer’s power to — </w:delText>
        </w:r>
      </w:del>
    </w:p>
    <w:p>
      <w:pPr>
        <w:pStyle w:val="nzIndenta"/>
        <w:rPr>
          <w:del w:id="2346" w:author="svcMRProcess" w:date="2020-02-21T14:38:00Z"/>
        </w:rPr>
      </w:pPr>
      <w:del w:id="2347" w:author="svcMRProcess" w:date="2020-02-21T14:38:00Z">
        <w:r>
          <w:tab/>
          <w:delText>(a)</w:delText>
        </w:r>
        <w:r>
          <w:tab/>
          <w:delText>transfer a custodial officer; or</w:delText>
        </w:r>
      </w:del>
    </w:p>
    <w:p>
      <w:pPr>
        <w:pStyle w:val="nzIndenta"/>
        <w:rPr>
          <w:del w:id="2348" w:author="svcMRProcess" w:date="2020-02-21T14:38:00Z"/>
        </w:rPr>
      </w:pPr>
      <w:del w:id="2349" w:author="svcMRProcess" w:date="2020-02-21T14:38:00Z">
        <w:r>
          <w:tab/>
          <w:delText>(b)</w:delText>
        </w:r>
        <w:r>
          <w:tab/>
          <w:delText>stand a custodial officer down from performing that custodial officer’s usual duties, with or without pay, until the custodial officer is directed by the chief executive officer to return to those duties; or</w:delText>
        </w:r>
      </w:del>
    </w:p>
    <w:p>
      <w:pPr>
        <w:pStyle w:val="nzIndenta"/>
        <w:rPr>
          <w:del w:id="2350" w:author="svcMRProcess" w:date="2020-02-21T14:38:00Z"/>
        </w:rPr>
      </w:pPr>
      <w:del w:id="2351" w:author="svcMRProcess" w:date="2020-02-21T14:38:00Z">
        <w:r>
          <w:tab/>
          <w:delText>(c)</w:delText>
        </w:r>
        <w:r>
          <w:tab/>
          <w:delText>allocate duties to a custodial officer other than the custodial officer’s usual duties.</w:delText>
        </w:r>
      </w:del>
    </w:p>
    <w:p>
      <w:pPr>
        <w:pStyle w:val="nzSubsection"/>
        <w:rPr>
          <w:del w:id="2352" w:author="svcMRProcess" w:date="2020-02-21T14:38:00Z"/>
        </w:rPr>
      </w:pPr>
      <w:del w:id="2353" w:author="svcMRProcess" w:date="2020-02-21T14:38:00Z">
        <w:r>
          <w:tab/>
          <w:delText>(2)</w:delText>
        </w:r>
        <w:r>
          <w:tab/>
          <w:delTex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delText>
        </w:r>
      </w:del>
    </w:p>
    <w:p>
      <w:pPr>
        <w:pStyle w:val="nzSubsection"/>
        <w:rPr>
          <w:del w:id="2354" w:author="svcMRProcess" w:date="2020-02-21T14:38:00Z"/>
        </w:rPr>
      </w:pPr>
      <w:del w:id="2355" w:author="svcMRProcess" w:date="2020-02-21T14:38:00Z">
        <w:r>
          <w:tab/>
          <w:delText>(3)</w:delText>
        </w:r>
        <w:r>
          <w:tab/>
          <w:delTex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delText>
        </w:r>
      </w:del>
    </w:p>
    <w:p>
      <w:pPr>
        <w:pStyle w:val="nzHeading5"/>
        <w:rPr>
          <w:del w:id="2356" w:author="svcMRProcess" w:date="2020-02-21T14:38:00Z"/>
        </w:rPr>
      </w:pPr>
      <w:bookmarkStart w:id="2357" w:name="_Toc404765125"/>
      <w:bookmarkStart w:id="2358" w:name="_Toc405375787"/>
      <w:del w:id="2359" w:author="svcMRProcess" w:date="2020-02-21T14:38:00Z">
        <w:r>
          <w:delText>11CV.</w:delText>
        </w:r>
        <w:r>
          <w:tab/>
          <w:delText>Review of Division</w:delText>
        </w:r>
        <w:bookmarkEnd w:id="2357"/>
        <w:bookmarkEnd w:id="2358"/>
      </w:del>
    </w:p>
    <w:p>
      <w:pPr>
        <w:pStyle w:val="nzSubsection"/>
        <w:rPr>
          <w:del w:id="2360" w:author="svcMRProcess" w:date="2020-02-21T14:38:00Z"/>
        </w:rPr>
      </w:pPr>
      <w:del w:id="2361" w:author="svcMRProcess" w:date="2020-02-21T14:38:00Z">
        <w:r>
          <w:tab/>
          <w:delText>(1)</w:delText>
        </w:r>
        <w:r>
          <w:tab/>
          <w:delText xml:space="preserve">In this section — </w:delText>
        </w:r>
      </w:del>
    </w:p>
    <w:p>
      <w:pPr>
        <w:pStyle w:val="nzDefstart"/>
        <w:rPr>
          <w:del w:id="2362" w:author="svcMRProcess" w:date="2020-02-21T14:38:00Z"/>
        </w:rPr>
      </w:pPr>
      <w:del w:id="2363" w:author="svcMRProcess" w:date="2020-02-21T14:38:00Z">
        <w:r>
          <w:tab/>
        </w:r>
        <w:r>
          <w:rPr>
            <w:rStyle w:val="CharDefText"/>
          </w:rPr>
          <w:delText>commencement day</w:delText>
        </w:r>
        <w:r>
          <w:delText xml:space="preserve"> means the day on which the </w:delText>
        </w:r>
        <w:r>
          <w:rPr>
            <w:i/>
          </w:rPr>
          <w:delText>Custodial Legislation (Officers Discipline) Amendment Act 2014</w:delText>
        </w:r>
        <w:r>
          <w:delText xml:space="preserve"> Part 3 comes into operation.</w:delText>
        </w:r>
      </w:del>
    </w:p>
    <w:p>
      <w:pPr>
        <w:pStyle w:val="nzSubsection"/>
        <w:rPr>
          <w:del w:id="2364" w:author="svcMRProcess" w:date="2020-02-21T14:38:00Z"/>
        </w:rPr>
      </w:pPr>
      <w:del w:id="2365" w:author="svcMRProcess" w:date="2020-02-21T14:38:00Z">
        <w:r>
          <w:tab/>
          <w:delText>(2)</w:delText>
        </w:r>
        <w:r>
          <w:tab/>
          <w:delText>The Minister must carry out a review of the operation and effectiveness of this Division as soon as is practicable after the expiry of 24 months after the commencement day and in the course of that review the Minister must consider and have regard to —</w:delText>
        </w:r>
      </w:del>
    </w:p>
    <w:p>
      <w:pPr>
        <w:pStyle w:val="nzIndenta"/>
        <w:rPr>
          <w:del w:id="2366" w:author="svcMRProcess" w:date="2020-02-21T14:38:00Z"/>
        </w:rPr>
      </w:pPr>
      <w:del w:id="2367" w:author="svcMRProcess" w:date="2020-02-21T14:38:00Z">
        <w:r>
          <w:tab/>
          <w:delText>(a)</w:delText>
        </w:r>
        <w:r>
          <w:tab/>
          <w:delText>the effectiveness of this Division; and</w:delText>
        </w:r>
      </w:del>
    </w:p>
    <w:p>
      <w:pPr>
        <w:pStyle w:val="nzIndenta"/>
        <w:rPr>
          <w:del w:id="2368" w:author="svcMRProcess" w:date="2020-02-21T14:38:00Z"/>
        </w:rPr>
      </w:pPr>
      <w:del w:id="2369" w:author="svcMRProcess" w:date="2020-02-21T14:38:00Z">
        <w:r>
          <w:tab/>
          <w:delText>(b)</w:delText>
        </w:r>
        <w:r>
          <w:tab/>
          <w:delText>the need for the retention of the Division; and</w:delText>
        </w:r>
      </w:del>
    </w:p>
    <w:p>
      <w:pPr>
        <w:pStyle w:val="nzIndenta"/>
        <w:rPr>
          <w:del w:id="2370" w:author="svcMRProcess" w:date="2020-02-21T14:38:00Z"/>
        </w:rPr>
      </w:pPr>
      <w:del w:id="2371" w:author="svcMRProcess" w:date="2020-02-21T14:38:00Z">
        <w:r>
          <w:tab/>
          <w:delText>(c)</w:delText>
        </w:r>
        <w:r>
          <w:tab/>
          <w:delText>any other matters that appear to the Minister to be relevant to the operation and effectiveness of this Division.</w:delText>
        </w:r>
      </w:del>
    </w:p>
    <w:p>
      <w:pPr>
        <w:pStyle w:val="nzSubsection"/>
        <w:rPr>
          <w:del w:id="2372" w:author="svcMRProcess" w:date="2020-02-21T14:38:00Z"/>
        </w:rPr>
      </w:pPr>
      <w:del w:id="2373" w:author="svcMRProcess" w:date="2020-02-21T14:38:00Z">
        <w:r>
          <w:tab/>
          <w:delText>(3)</w:delText>
        </w:r>
        <w:r>
          <w:tab/>
          <w:delText>Without limiting subsection (2), in carrying out the review, the Minister must consult with and have regard to the views of the Chief Commissioner of the WAIRC, the chief executive officer and any union that has custodial officers as some or all of its members.</w:delText>
        </w:r>
      </w:del>
    </w:p>
    <w:p>
      <w:pPr>
        <w:pStyle w:val="nzSubsection"/>
        <w:rPr>
          <w:del w:id="2374" w:author="svcMRProcess" w:date="2020-02-21T14:38:00Z"/>
        </w:rPr>
      </w:pPr>
      <w:del w:id="2375" w:author="svcMRProcess" w:date="2020-02-21T14:38:00Z">
        <w:r>
          <w:tab/>
          <w:delText>(4)</w:delText>
        </w:r>
        <w:r>
          <w:tab/>
          <w:delText>The Minister must prepare a report based on the review and, as soon as is practicable after the report is prepared (and in any event not more than 30 months after the commencement day), cause a copy of it to be laid before each House of Parliament.</w:delText>
        </w:r>
      </w:del>
    </w:p>
    <w:p>
      <w:pPr>
        <w:pStyle w:val="nzHeading5"/>
        <w:rPr>
          <w:del w:id="2376" w:author="svcMRProcess" w:date="2020-02-21T14:38:00Z"/>
        </w:rPr>
      </w:pPr>
      <w:bookmarkStart w:id="2377" w:name="_Toc404765126"/>
      <w:bookmarkStart w:id="2378" w:name="_Toc405375788"/>
      <w:del w:id="2379" w:author="svcMRProcess" w:date="2020-02-21T14:38:00Z">
        <w:r>
          <w:rPr>
            <w:rStyle w:val="CharSectno"/>
          </w:rPr>
          <w:delText>17</w:delText>
        </w:r>
        <w:r>
          <w:delText>.</w:delText>
        </w:r>
        <w:r>
          <w:tab/>
          <w:delText>Part 3 Division 4 heading inserted</w:delText>
        </w:r>
        <w:bookmarkEnd w:id="2377"/>
        <w:bookmarkEnd w:id="2378"/>
      </w:del>
    </w:p>
    <w:p>
      <w:pPr>
        <w:pStyle w:val="nzSubsection"/>
        <w:rPr>
          <w:del w:id="2380" w:author="svcMRProcess" w:date="2020-02-21T14:38:00Z"/>
        </w:rPr>
      </w:pPr>
      <w:del w:id="2381" w:author="svcMRProcess" w:date="2020-02-21T14:38:00Z">
        <w:r>
          <w:tab/>
        </w:r>
        <w:r>
          <w:tab/>
          <w:delText>Before section 11C insert:</w:delText>
        </w:r>
      </w:del>
    </w:p>
    <w:p>
      <w:pPr>
        <w:pStyle w:val="BlankOpen"/>
        <w:rPr>
          <w:del w:id="2382" w:author="svcMRProcess" w:date="2020-02-21T14:38:00Z"/>
        </w:rPr>
      </w:pPr>
    </w:p>
    <w:p>
      <w:pPr>
        <w:pStyle w:val="nzHeading3"/>
        <w:rPr>
          <w:del w:id="2383" w:author="svcMRProcess" w:date="2020-02-21T14:38:00Z"/>
        </w:rPr>
      </w:pPr>
      <w:bookmarkStart w:id="2384" w:name="_Toc370987278"/>
      <w:bookmarkStart w:id="2385" w:name="_Toc370987370"/>
      <w:bookmarkStart w:id="2386" w:name="_Toc370987462"/>
      <w:bookmarkStart w:id="2387" w:name="_Toc370987554"/>
      <w:bookmarkStart w:id="2388" w:name="_Toc370988032"/>
      <w:bookmarkStart w:id="2389" w:name="_Toc370988484"/>
      <w:bookmarkStart w:id="2390" w:name="_Toc370988585"/>
      <w:bookmarkStart w:id="2391" w:name="_Toc371347044"/>
      <w:bookmarkStart w:id="2392" w:name="_Toc372281426"/>
      <w:bookmarkStart w:id="2393" w:name="_Toc404765127"/>
      <w:bookmarkStart w:id="2394" w:name="_Toc405375789"/>
      <w:del w:id="2395" w:author="svcMRProcess" w:date="2020-02-21T14:38:00Z">
        <w:r>
          <w:delText>Division 4 — Management, control, security and wellbeing of young offenders</w:delText>
        </w:r>
        <w:bookmarkEnd w:id="2384"/>
        <w:bookmarkEnd w:id="2385"/>
        <w:bookmarkEnd w:id="2386"/>
        <w:bookmarkEnd w:id="2387"/>
        <w:bookmarkEnd w:id="2388"/>
        <w:bookmarkEnd w:id="2389"/>
        <w:bookmarkEnd w:id="2390"/>
        <w:bookmarkEnd w:id="2391"/>
        <w:bookmarkEnd w:id="2392"/>
        <w:bookmarkEnd w:id="2393"/>
        <w:bookmarkEnd w:id="2394"/>
      </w:del>
    </w:p>
    <w:p>
      <w:pPr>
        <w:pStyle w:val="BlankClose"/>
        <w:rPr>
          <w:del w:id="2396" w:author="svcMRProcess" w:date="2020-02-21T14:38:00Z"/>
        </w:rPr>
      </w:pPr>
    </w:p>
    <w:p>
      <w:pPr>
        <w:pStyle w:val="nzHeading5"/>
        <w:rPr>
          <w:del w:id="2397" w:author="svcMRProcess" w:date="2020-02-21T14:38:00Z"/>
        </w:rPr>
      </w:pPr>
      <w:bookmarkStart w:id="2398" w:name="_Toc404765128"/>
      <w:bookmarkStart w:id="2399" w:name="_Toc405375790"/>
      <w:del w:id="2400" w:author="svcMRProcess" w:date="2020-02-21T14:38:00Z">
        <w:r>
          <w:rPr>
            <w:rStyle w:val="CharSectno"/>
          </w:rPr>
          <w:delText>18</w:delText>
        </w:r>
        <w:r>
          <w:delText>.</w:delText>
        </w:r>
        <w:r>
          <w:tab/>
          <w:delText>Section 11C amended</w:delText>
        </w:r>
        <w:bookmarkEnd w:id="2398"/>
        <w:bookmarkEnd w:id="2399"/>
      </w:del>
    </w:p>
    <w:p>
      <w:pPr>
        <w:pStyle w:val="nzSubsection"/>
        <w:rPr>
          <w:del w:id="2401" w:author="svcMRProcess" w:date="2020-02-21T14:38:00Z"/>
        </w:rPr>
      </w:pPr>
      <w:del w:id="2402" w:author="svcMRProcess" w:date="2020-02-21T14:38:00Z">
        <w:r>
          <w:tab/>
        </w:r>
        <w:r>
          <w:tab/>
          <w:delText>In section 11C(1) and (2) delete “person who is appointed under section 11(1) or (1a) as a”.</w:delText>
        </w:r>
      </w:del>
    </w:p>
    <w:p>
      <w:pPr>
        <w:pStyle w:val="nzHeading5"/>
        <w:rPr>
          <w:del w:id="2403" w:author="svcMRProcess" w:date="2020-02-21T14:38:00Z"/>
        </w:rPr>
      </w:pPr>
      <w:bookmarkStart w:id="2404" w:name="_Toc404765129"/>
      <w:bookmarkStart w:id="2405" w:name="_Toc405375791"/>
      <w:del w:id="2406" w:author="svcMRProcess" w:date="2020-02-21T14:38:00Z">
        <w:r>
          <w:rPr>
            <w:rStyle w:val="CharSectno"/>
          </w:rPr>
          <w:delText>19</w:delText>
        </w:r>
        <w:r>
          <w:delText>.</w:delText>
        </w:r>
        <w:r>
          <w:tab/>
          <w:delText>Section 11E amended</w:delText>
        </w:r>
        <w:bookmarkEnd w:id="2404"/>
        <w:bookmarkEnd w:id="2405"/>
      </w:del>
    </w:p>
    <w:p>
      <w:pPr>
        <w:pStyle w:val="nzSubsection"/>
        <w:rPr>
          <w:del w:id="2407" w:author="svcMRProcess" w:date="2020-02-21T14:38:00Z"/>
        </w:rPr>
      </w:pPr>
      <w:del w:id="2408" w:author="svcMRProcess" w:date="2020-02-21T14:38:00Z">
        <w:r>
          <w:tab/>
          <w:delText>(1)</w:delText>
        </w:r>
        <w:r>
          <w:tab/>
          <w:delText>In section 11E(2) delete “officer appointed under section 11(1) or (1a),” and insert:</w:delText>
        </w:r>
      </w:del>
    </w:p>
    <w:p>
      <w:pPr>
        <w:pStyle w:val="BlankOpen"/>
        <w:rPr>
          <w:del w:id="2409" w:author="svcMRProcess" w:date="2020-02-21T14:38:00Z"/>
        </w:rPr>
      </w:pPr>
    </w:p>
    <w:p>
      <w:pPr>
        <w:pStyle w:val="nzSubsection"/>
        <w:rPr>
          <w:del w:id="2410" w:author="svcMRProcess" w:date="2020-02-21T14:38:00Z"/>
        </w:rPr>
      </w:pPr>
      <w:del w:id="2411" w:author="svcMRProcess" w:date="2020-02-21T14:38:00Z">
        <w:r>
          <w:tab/>
        </w:r>
        <w:r>
          <w:tab/>
          <w:delText xml:space="preserve">officer, </w:delText>
        </w:r>
      </w:del>
    </w:p>
    <w:p>
      <w:pPr>
        <w:pStyle w:val="BlankClose"/>
        <w:rPr>
          <w:del w:id="2412" w:author="svcMRProcess" w:date="2020-02-21T14:38:00Z"/>
        </w:rPr>
      </w:pPr>
    </w:p>
    <w:p>
      <w:pPr>
        <w:pStyle w:val="nzSubsection"/>
        <w:rPr>
          <w:del w:id="2413" w:author="svcMRProcess" w:date="2020-02-21T14:38:00Z"/>
        </w:rPr>
      </w:pPr>
      <w:del w:id="2414" w:author="svcMRProcess" w:date="2020-02-21T14:38:00Z">
        <w:r>
          <w:tab/>
          <w:delText>(2)</w:delText>
        </w:r>
        <w:r>
          <w:tab/>
          <w:delText>In section 11E(3) delete “appointed under section 11(1) or (1a)”.</w:delText>
        </w:r>
      </w:del>
    </w:p>
    <w:p>
      <w:pPr>
        <w:pStyle w:val="nzHeading5"/>
        <w:rPr>
          <w:del w:id="2415" w:author="svcMRProcess" w:date="2020-02-21T14:38:00Z"/>
        </w:rPr>
      </w:pPr>
      <w:bookmarkStart w:id="2416" w:name="_Toc404765130"/>
      <w:bookmarkStart w:id="2417" w:name="_Toc405375792"/>
      <w:del w:id="2418" w:author="svcMRProcess" w:date="2020-02-21T14:38:00Z">
        <w:r>
          <w:rPr>
            <w:rStyle w:val="CharSectno"/>
          </w:rPr>
          <w:delText>20</w:delText>
        </w:r>
        <w:r>
          <w:delText>.</w:delText>
        </w:r>
        <w:r>
          <w:tab/>
          <w:delText>Section 11F amended</w:delText>
        </w:r>
        <w:bookmarkEnd w:id="2416"/>
        <w:bookmarkEnd w:id="2417"/>
      </w:del>
    </w:p>
    <w:p>
      <w:pPr>
        <w:pStyle w:val="nzSubsection"/>
        <w:rPr>
          <w:del w:id="2419" w:author="svcMRProcess" w:date="2020-02-21T14:38:00Z"/>
        </w:rPr>
      </w:pPr>
      <w:del w:id="2420" w:author="svcMRProcess" w:date="2020-02-21T14:38:00Z">
        <w:r>
          <w:tab/>
        </w:r>
        <w:r>
          <w:tab/>
          <w:delText>In section 11F(2) delete “officer appointed under section 11(1) or (1a),” and insert:</w:delText>
        </w:r>
      </w:del>
    </w:p>
    <w:p>
      <w:pPr>
        <w:pStyle w:val="BlankOpen"/>
        <w:rPr>
          <w:del w:id="2421" w:author="svcMRProcess" w:date="2020-02-21T14:38:00Z"/>
        </w:rPr>
      </w:pPr>
    </w:p>
    <w:p>
      <w:pPr>
        <w:pStyle w:val="nzSubsection"/>
        <w:rPr>
          <w:del w:id="2422" w:author="svcMRProcess" w:date="2020-02-21T14:38:00Z"/>
        </w:rPr>
      </w:pPr>
      <w:del w:id="2423" w:author="svcMRProcess" w:date="2020-02-21T14:38:00Z">
        <w:r>
          <w:tab/>
        </w:r>
        <w:r>
          <w:tab/>
          <w:delText>officer,</w:delText>
        </w:r>
      </w:del>
    </w:p>
    <w:p>
      <w:pPr>
        <w:pStyle w:val="BlankClose"/>
        <w:rPr>
          <w:del w:id="2424" w:author="svcMRProcess" w:date="2020-02-21T14:38:00Z"/>
        </w:rPr>
      </w:pPr>
    </w:p>
    <w:p>
      <w:pPr>
        <w:pStyle w:val="nzHeading5"/>
        <w:rPr>
          <w:del w:id="2425" w:author="svcMRProcess" w:date="2020-02-21T14:38:00Z"/>
        </w:rPr>
      </w:pPr>
      <w:bookmarkStart w:id="2426" w:name="_Toc404765131"/>
      <w:bookmarkStart w:id="2427" w:name="_Toc405375793"/>
      <w:del w:id="2428" w:author="svcMRProcess" w:date="2020-02-21T14:38:00Z">
        <w:r>
          <w:rPr>
            <w:rStyle w:val="CharSectno"/>
          </w:rPr>
          <w:delText>21</w:delText>
        </w:r>
        <w:r>
          <w:delText>.</w:delText>
        </w:r>
        <w:r>
          <w:tab/>
          <w:delText>Part 3 Division 2 heading replaced</w:delText>
        </w:r>
        <w:bookmarkEnd w:id="2426"/>
        <w:bookmarkEnd w:id="2427"/>
      </w:del>
    </w:p>
    <w:p>
      <w:pPr>
        <w:pStyle w:val="nzSubsection"/>
        <w:rPr>
          <w:del w:id="2429" w:author="svcMRProcess" w:date="2020-02-21T14:38:00Z"/>
        </w:rPr>
      </w:pPr>
      <w:del w:id="2430" w:author="svcMRProcess" w:date="2020-02-21T14:38:00Z">
        <w:r>
          <w:tab/>
        </w:r>
        <w:r>
          <w:tab/>
          <w:delText>Delete the heading to Part 3 Division 2 and insert:</w:delText>
        </w:r>
      </w:del>
    </w:p>
    <w:p>
      <w:pPr>
        <w:pStyle w:val="BlankOpen"/>
        <w:rPr>
          <w:del w:id="2431" w:author="svcMRProcess" w:date="2020-02-21T14:38:00Z"/>
        </w:rPr>
      </w:pPr>
    </w:p>
    <w:p>
      <w:pPr>
        <w:pStyle w:val="nzHeading3"/>
        <w:rPr>
          <w:del w:id="2432" w:author="svcMRProcess" w:date="2020-02-21T14:38:00Z"/>
        </w:rPr>
      </w:pPr>
      <w:bookmarkStart w:id="2433" w:name="_Toc370987283"/>
      <w:bookmarkStart w:id="2434" w:name="_Toc370987375"/>
      <w:bookmarkStart w:id="2435" w:name="_Toc370987467"/>
      <w:bookmarkStart w:id="2436" w:name="_Toc370987559"/>
      <w:bookmarkStart w:id="2437" w:name="_Toc370988037"/>
      <w:bookmarkStart w:id="2438" w:name="_Toc370988489"/>
      <w:bookmarkStart w:id="2439" w:name="_Toc370988590"/>
      <w:bookmarkStart w:id="2440" w:name="_Toc371347049"/>
      <w:bookmarkStart w:id="2441" w:name="_Toc372281431"/>
      <w:bookmarkStart w:id="2442" w:name="_Toc404765132"/>
      <w:bookmarkStart w:id="2443" w:name="_Toc405375794"/>
      <w:del w:id="2444" w:author="svcMRProcess" w:date="2020-02-21T14:38:00Z">
        <w:r>
          <w:delText>Division 5 — Arrangements with councils of Aboriginal communities</w:delText>
        </w:r>
        <w:bookmarkEnd w:id="2433"/>
        <w:bookmarkEnd w:id="2434"/>
        <w:bookmarkEnd w:id="2435"/>
        <w:bookmarkEnd w:id="2436"/>
        <w:bookmarkEnd w:id="2437"/>
        <w:bookmarkEnd w:id="2438"/>
        <w:bookmarkEnd w:id="2439"/>
        <w:bookmarkEnd w:id="2440"/>
        <w:bookmarkEnd w:id="2441"/>
        <w:bookmarkEnd w:id="2442"/>
        <w:bookmarkEnd w:id="2443"/>
      </w:del>
    </w:p>
    <w:p>
      <w:pPr>
        <w:pStyle w:val="BlankClose"/>
        <w:rPr>
          <w:del w:id="2445" w:author="svcMRProcess" w:date="2020-02-21T14:38:00Z"/>
        </w:rPr>
      </w:pPr>
    </w:p>
    <w:p>
      <w:pPr>
        <w:pStyle w:val="nzHeading5"/>
        <w:rPr>
          <w:del w:id="2446" w:author="svcMRProcess" w:date="2020-02-21T14:38:00Z"/>
        </w:rPr>
      </w:pPr>
      <w:bookmarkStart w:id="2447" w:name="_Toc404765133"/>
      <w:bookmarkStart w:id="2448" w:name="_Toc405375795"/>
      <w:del w:id="2449" w:author="svcMRProcess" w:date="2020-02-21T14:38:00Z">
        <w:r>
          <w:rPr>
            <w:rStyle w:val="CharSectno"/>
          </w:rPr>
          <w:delText>22</w:delText>
        </w:r>
        <w:r>
          <w:delText>.</w:delText>
        </w:r>
        <w:r>
          <w:tab/>
          <w:delText>Section 169A amended</w:delText>
        </w:r>
        <w:bookmarkEnd w:id="2447"/>
        <w:bookmarkEnd w:id="2448"/>
      </w:del>
    </w:p>
    <w:p>
      <w:pPr>
        <w:pStyle w:val="nzSubsection"/>
        <w:rPr>
          <w:del w:id="2450" w:author="svcMRProcess" w:date="2020-02-21T14:38:00Z"/>
        </w:rPr>
      </w:pPr>
      <w:del w:id="2451" w:author="svcMRProcess" w:date="2020-02-21T14:38:00Z">
        <w:r>
          <w:tab/>
          <w:delText>(1)</w:delText>
        </w:r>
        <w:r>
          <w:tab/>
          <w:delText>In section 169A(4) delete “person who is appointed under section 11(1) or (1a)” and insert:</w:delText>
        </w:r>
      </w:del>
    </w:p>
    <w:p>
      <w:pPr>
        <w:pStyle w:val="BlankOpen"/>
        <w:rPr>
          <w:del w:id="2452" w:author="svcMRProcess" w:date="2020-02-21T14:38:00Z"/>
        </w:rPr>
      </w:pPr>
    </w:p>
    <w:p>
      <w:pPr>
        <w:pStyle w:val="nzSubsection"/>
        <w:rPr>
          <w:del w:id="2453" w:author="svcMRProcess" w:date="2020-02-21T14:38:00Z"/>
        </w:rPr>
      </w:pPr>
      <w:del w:id="2454" w:author="svcMRProcess" w:date="2020-02-21T14:38:00Z">
        <w:r>
          <w:tab/>
        </w:r>
        <w:r>
          <w:tab/>
          <w:delText>custodial officer</w:delText>
        </w:r>
      </w:del>
    </w:p>
    <w:p>
      <w:pPr>
        <w:pStyle w:val="BlankClose"/>
        <w:rPr>
          <w:del w:id="2455" w:author="svcMRProcess" w:date="2020-02-21T14:38:00Z"/>
        </w:rPr>
      </w:pPr>
    </w:p>
    <w:p>
      <w:pPr>
        <w:pStyle w:val="nzSubsection"/>
        <w:rPr>
          <w:del w:id="2456" w:author="svcMRProcess" w:date="2020-02-21T14:38:00Z"/>
        </w:rPr>
      </w:pPr>
      <w:del w:id="2457" w:author="svcMRProcess" w:date="2020-02-21T14:38:00Z">
        <w:r>
          <w:tab/>
          <w:delText>(2)</w:delText>
        </w:r>
        <w:r>
          <w:tab/>
          <w:delText>In section 169A(5) delete “person who is appointed under section 11(1) or (1a),” and insert:</w:delText>
        </w:r>
      </w:del>
    </w:p>
    <w:p>
      <w:pPr>
        <w:pStyle w:val="BlankOpen"/>
        <w:rPr>
          <w:del w:id="2458" w:author="svcMRProcess" w:date="2020-02-21T14:38:00Z"/>
        </w:rPr>
      </w:pPr>
    </w:p>
    <w:p>
      <w:pPr>
        <w:pStyle w:val="nzSubsection"/>
        <w:rPr>
          <w:del w:id="2459" w:author="svcMRProcess" w:date="2020-02-21T14:38:00Z"/>
        </w:rPr>
      </w:pPr>
      <w:del w:id="2460" w:author="svcMRProcess" w:date="2020-02-21T14:38:00Z">
        <w:r>
          <w:tab/>
        </w:r>
        <w:r>
          <w:tab/>
          <w:delText>custodial officer</w:delText>
        </w:r>
      </w:del>
    </w:p>
    <w:p>
      <w:pPr>
        <w:pStyle w:val="BlankClose"/>
        <w:rPr>
          <w:del w:id="2461" w:author="svcMRProcess" w:date="2020-02-21T14:38:00Z"/>
        </w:rPr>
      </w:pPr>
    </w:p>
    <w:p>
      <w:pPr>
        <w:pStyle w:val="BlankClose"/>
        <w:rPr>
          <w:del w:id="2462" w:author="svcMRProcess" w:date="2020-02-21T14:38: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63" w:name="Compilation"/>
    <w:bookmarkEnd w:id="24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4" w:name="Coversheet"/>
    <w:bookmarkEnd w:id="24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02" w:name="Schedule"/>
    <w:bookmarkEnd w:id="16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49247</Words>
  <Characters>229985</Characters>
  <Application>Microsoft Office Word</Application>
  <DocSecurity>0</DocSecurity>
  <Lines>6215</Lines>
  <Paragraphs>3364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05-j0-00 - 05-k0-01</dc:title>
  <dc:subject/>
  <dc:creator/>
  <cp:keywords/>
  <dc:description/>
  <cp:lastModifiedBy>svcMRProcess</cp:lastModifiedBy>
  <cp:revision>2</cp:revision>
  <cp:lastPrinted>2012-08-17T02:43:00Z</cp:lastPrinted>
  <dcterms:created xsi:type="dcterms:W3CDTF">2020-02-21T06:38:00Z</dcterms:created>
  <dcterms:modified xsi:type="dcterms:W3CDTF">2020-02-21T06:38:00Z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CommencementDate">
    <vt:lpwstr>20150824</vt:lpwstr>
  </property>
  <property fmtid="{D5CDD505-2E9C-101B-9397-08002B2CF9AE}" pid="9" name="FromSuffix">
    <vt:lpwstr>05-j0-00</vt:lpwstr>
  </property>
  <property fmtid="{D5CDD505-2E9C-101B-9397-08002B2CF9AE}" pid="10" name="FromAsAtDate">
    <vt:lpwstr>17 Jun 2015</vt:lpwstr>
  </property>
  <property fmtid="{D5CDD505-2E9C-101B-9397-08002B2CF9AE}" pid="11" name="ToSuffix">
    <vt:lpwstr>05-k0-01</vt:lpwstr>
  </property>
  <property fmtid="{D5CDD505-2E9C-101B-9397-08002B2CF9AE}" pid="12" name="ToAsAtDate">
    <vt:lpwstr>24 Aug 2015</vt:lpwstr>
  </property>
</Properties>
</file>