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2015</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14 Aug 2015</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2:18:00Z"/>
        </w:trPr>
        <w:tc>
          <w:tcPr>
            <w:tcW w:w="2434" w:type="dxa"/>
            <w:vMerge w:val="restart"/>
          </w:tcPr>
          <w:p>
            <w:pPr>
              <w:rPr>
                <w:ins w:id="2" w:author="Master Repository Process" w:date="2021-08-29T02:18:00Z"/>
              </w:rPr>
            </w:pPr>
          </w:p>
        </w:tc>
        <w:tc>
          <w:tcPr>
            <w:tcW w:w="2434" w:type="dxa"/>
            <w:vMerge w:val="restart"/>
          </w:tcPr>
          <w:p>
            <w:pPr>
              <w:jc w:val="center"/>
              <w:rPr>
                <w:ins w:id="3" w:author="Master Repository Process" w:date="2021-08-29T02:18:00Z"/>
              </w:rPr>
            </w:pPr>
            <w:ins w:id="4" w:author="Master Repository Process" w:date="2021-08-29T02:1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2:18:00Z"/>
              </w:rPr>
            </w:pPr>
            <w:ins w:id="6" w:author="Master Repository Process" w:date="2021-08-29T02:18: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2:18:00Z"/>
        </w:trPr>
        <w:tc>
          <w:tcPr>
            <w:tcW w:w="2434" w:type="dxa"/>
            <w:vMerge/>
          </w:tcPr>
          <w:p>
            <w:pPr>
              <w:rPr>
                <w:ins w:id="8" w:author="Master Repository Process" w:date="2021-08-29T02:18:00Z"/>
              </w:rPr>
            </w:pPr>
          </w:p>
        </w:tc>
        <w:tc>
          <w:tcPr>
            <w:tcW w:w="2434" w:type="dxa"/>
            <w:vMerge/>
          </w:tcPr>
          <w:p>
            <w:pPr>
              <w:jc w:val="center"/>
              <w:rPr>
                <w:ins w:id="9" w:author="Master Repository Process" w:date="2021-08-29T02:18:00Z"/>
              </w:rPr>
            </w:pPr>
          </w:p>
        </w:tc>
        <w:tc>
          <w:tcPr>
            <w:tcW w:w="2434" w:type="dxa"/>
          </w:tcPr>
          <w:p>
            <w:pPr>
              <w:keepNext/>
              <w:rPr>
                <w:ins w:id="10" w:author="Master Repository Process" w:date="2021-08-29T02:18:00Z"/>
                <w:b/>
                <w:sz w:val="22"/>
              </w:rPr>
            </w:pPr>
            <w:ins w:id="11" w:author="Master Repository Process" w:date="2021-08-29T02:18:00Z">
              <w:r>
                <w:rPr>
                  <w:b/>
                  <w:sz w:val="22"/>
                </w:rPr>
                <w:t>at 14 August 2015</w:t>
              </w:r>
            </w:ins>
          </w:p>
        </w:tc>
      </w:tr>
    </w:tbl>
    <w:p>
      <w:pPr>
        <w:pStyle w:val="WA"/>
        <w:spacing w:before="12"/>
      </w:pPr>
      <w:r>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12" w:name="_Toc426101202"/>
      <w:bookmarkStart w:id="13" w:name="_Toc424811059"/>
      <w:bookmarkStart w:id="14" w:name="_Toc424819463"/>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 matters</w:t>
      </w:r>
      <w:bookmarkEnd w:id="12"/>
      <w:bookmarkEnd w:id="13"/>
      <w:bookmarkEnd w:id="14"/>
    </w:p>
    <w:p>
      <w:pPr>
        <w:pStyle w:val="Heading5"/>
      </w:pPr>
      <w:bookmarkStart w:id="16" w:name="_Toc426101203"/>
      <w:bookmarkStart w:id="17" w:name="_Toc424819464"/>
      <w:r>
        <w:rPr>
          <w:rStyle w:val="CharSectno"/>
        </w:rPr>
        <w:t>1</w:t>
      </w:r>
      <w:r>
        <w:t>.</w:t>
      </w:r>
      <w:r>
        <w:tab/>
        <w:t>Citation</w:t>
      </w:r>
      <w:bookmarkEnd w:id="16"/>
      <w:bookmarkEnd w:id="17"/>
    </w:p>
    <w:p>
      <w:pPr>
        <w:pStyle w:val="Subsection"/>
      </w:pPr>
      <w:r>
        <w:tab/>
      </w:r>
      <w:r>
        <w:tab/>
      </w:r>
      <w:bookmarkStart w:id="18" w:name="Start_Cursor"/>
      <w:bookmarkEnd w:id="18"/>
      <w:r>
        <w:t xml:space="preserve">These rules are the </w:t>
      </w:r>
      <w:r>
        <w:rPr>
          <w:i/>
        </w:rPr>
        <w:t>Legal Profession Rules 2009</w:t>
      </w:r>
      <w:ins w:id="19" w:author="Master Repository Process" w:date="2021-08-29T02:18:00Z">
        <w:r>
          <w:rPr>
            <w:vertAlign w:val="superscript"/>
          </w:rPr>
          <w:t> 1</w:t>
        </w:r>
      </w:ins>
      <w:r>
        <w:t>.</w:t>
      </w:r>
    </w:p>
    <w:p>
      <w:pPr>
        <w:pStyle w:val="Heading5"/>
      </w:pPr>
      <w:bookmarkStart w:id="20" w:name="_Toc426101204"/>
      <w:bookmarkStart w:id="21" w:name="_Toc424819465"/>
      <w:r>
        <w:rPr>
          <w:rStyle w:val="CharSectno"/>
        </w:rPr>
        <w:t>2</w:t>
      </w:r>
      <w:r>
        <w:t>.</w:t>
      </w:r>
      <w:r>
        <w:tab/>
        <w:t>Commencement</w:t>
      </w:r>
      <w:bookmarkEnd w:id="20"/>
      <w:bookmarkEnd w:id="21"/>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ins w:id="22" w:author="Master Repository Process" w:date="2021-08-29T02:18:00Z">
        <w:r>
          <w:rPr>
            <w:vertAlign w:val="superscript"/>
          </w:rPr>
          <w:t> 1</w:t>
        </w:r>
      </w:ins>
      <w:r>
        <w:t>.</w:t>
      </w:r>
    </w:p>
    <w:p>
      <w:pPr>
        <w:pStyle w:val="Heading5"/>
      </w:pPr>
      <w:bookmarkStart w:id="23" w:name="_Toc426101205"/>
      <w:bookmarkStart w:id="24" w:name="_Toc424819466"/>
      <w:r>
        <w:rPr>
          <w:rStyle w:val="CharSectno"/>
        </w:rPr>
        <w:t>3A</w:t>
      </w:r>
      <w:r>
        <w:t>.</w:t>
      </w:r>
      <w:r>
        <w:tab/>
        <w:t>Supervised legal practice (s. 3)</w:t>
      </w:r>
      <w:bookmarkEnd w:id="23"/>
      <w:bookmarkEnd w:id="24"/>
    </w:p>
    <w:p>
      <w:pPr>
        <w:pStyle w:val="Subsection"/>
      </w:pPr>
      <w:r>
        <w:tab/>
      </w:r>
      <w:r>
        <w:tab/>
        <w:t xml:space="preserve">For the purposes of paragraph (f) of the definition of </w:t>
      </w:r>
      <w:r>
        <w:rPr>
          <w:b/>
          <w:i/>
        </w:rPr>
        <w:t>supervised legal practice</w:t>
      </w:r>
      <w:r>
        <w:t xml:space="preserve"> in section 3 of the Act, legal practice by a person who is an Australian legal practitioner in a capacity that is approved under rule 19 or 24 is approved.</w:t>
      </w:r>
    </w:p>
    <w:p>
      <w:pPr>
        <w:pStyle w:val="Footnotesection"/>
      </w:pPr>
      <w:r>
        <w:tab/>
        <w:t>[Rule 3A inserted in Gazette 17 Jul 2015 p. 2884.]</w:t>
      </w:r>
    </w:p>
    <w:p>
      <w:pPr>
        <w:pStyle w:val="Heading2"/>
      </w:pPr>
      <w:bookmarkStart w:id="25" w:name="_Toc426101206"/>
      <w:bookmarkStart w:id="26" w:name="_Toc424811063"/>
      <w:bookmarkStart w:id="27" w:name="_Toc424819467"/>
      <w:r>
        <w:rPr>
          <w:rStyle w:val="CharPartNo"/>
        </w:rPr>
        <w:t>Part 2</w:t>
      </w:r>
      <w:r>
        <w:t> — </w:t>
      </w:r>
      <w:r>
        <w:rPr>
          <w:rStyle w:val="CharPartText"/>
        </w:rPr>
        <w:t>Australian legal practitioners</w:t>
      </w:r>
      <w:bookmarkEnd w:id="25"/>
      <w:bookmarkEnd w:id="26"/>
      <w:bookmarkEnd w:id="27"/>
    </w:p>
    <w:p>
      <w:pPr>
        <w:pStyle w:val="Heading3"/>
      </w:pPr>
      <w:bookmarkStart w:id="28" w:name="_Toc426101207"/>
      <w:bookmarkStart w:id="29" w:name="_Toc424811064"/>
      <w:bookmarkStart w:id="30" w:name="_Toc424819468"/>
      <w:r>
        <w:rPr>
          <w:rStyle w:val="CharDivNo"/>
        </w:rPr>
        <w:t>Division 1</w:t>
      </w:r>
      <w:r>
        <w:t> — </w:t>
      </w:r>
      <w:r>
        <w:rPr>
          <w:rStyle w:val="CharDivText"/>
        </w:rPr>
        <w:t>Grant or renewal of local practising certificates</w:t>
      </w:r>
      <w:bookmarkEnd w:id="28"/>
      <w:bookmarkEnd w:id="29"/>
      <w:bookmarkEnd w:id="30"/>
    </w:p>
    <w:p>
      <w:pPr>
        <w:pStyle w:val="Heading5"/>
      </w:pPr>
      <w:bookmarkStart w:id="31" w:name="_Toc426101208"/>
      <w:bookmarkStart w:id="32" w:name="_Toc424819469"/>
      <w:r>
        <w:rPr>
          <w:rStyle w:val="CharSectno"/>
        </w:rPr>
        <w:t>3</w:t>
      </w:r>
      <w:r>
        <w:t>.</w:t>
      </w:r>
      <w:r>
        <w:tab/>
        <w:t>Application for grant or renewal of local practising certificate (s. 43(1))</w:t>
      </w:r>
      <w:bookmarkEnd w:id="31"/>
      <w:bookmarkEnd w:id="32"/>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33" w:name="_Toc426101209"/>
      <w:bookmarkStart w:id="34" w:name="_Toc424819470"/>
      <w:r>
        <w:rPr>
          <w:rStyle w:val="CharSectno"/>
        </w:rPr>
        <w:t>4</w:t>
      </w:r>
      <w:r>
        <w:t>.</w:t>
      </w:r>
      <w:r>
        <w:tab/>
        <w:t xml:space="preserve">Fee for application for grant </w:t>
      </w:r>
      <w:ins w:id="35" w:author="Master Repository Process" w:date="2021-08-29T02:18:00Z">
        <w:r>
          <w:t xml:space="preserve">or renewal </w:t>
        </w:r>
      </w:ins>
      <w:r>
        <w:t>of local practising certificate (s. 43(1)(b))</w:t>
      </w:r>
      <w:bookmarkEnd w:id="33"/>
      <w:bookmarkEnd w:id="34"/>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in Gazette 12 Dec 2014 p. 4718-19.]</w:t>
      </w:r>
    </w:p>
    <w:p>
      <w:pPr>
        <w:pStyle w:val="Heading5"/>
      </w:pPr>
      <w:bookmarkStart w:id="36" w:name="_Toc426101210"/>
      <w:bookmarkStart w:id="37" w:name="_Toc424819471"/>
      <w:r>
        <w:rPr>
          <w:rStyle w:val="CharSectno"/>
        </w:rPr>
        <w:t>5</w:t>
      </w:r>
      <w:r>
        <w:t>.</w:t>
      </w:r>
      <w:r>
        <w:tab/>
        <w:t>Timing of application for renewal of local practising certificate (s. 44)</w:t>
      </w:r>
      <w:bookmarkEnd w:id="36"/>
      <w:bookmarkEnd w:id="37"/>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38" w:name="_Toc426101211"/>
      <w:bookmarkStart w:id="39" w:name="_Toc424819472"/>
      <w:r>
        <w:rPr>
          <w:rStyle w:val="CharSectno"/>
        </w:rPr>
        <w:t>6</w:t>
      </w:r>
      <w:r>
        <w:t>.</w:t>
      </w:r>
      <w:r>
        <w:tab/>
        <w:t>Notification of change of details</w:t>
      </w:r>
      <w:bookmarkEnd w:id="38"/>
      <w:bookmarkEnd w:id="39"/>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40" w:name="_Toc426101212"/>
      <w:bookmarkStart w:id="41" w:name="_Toc424819473"/>
      <w:r>
        <w:rPr>
          <w:rStyle w:val="CharSectno"/>
        </w:rPr>
        <w:t>7A</w:t>
      </w:r>
      <w:r>
        <w:t>.</w:t>
      </w:r>
      <w:r>
        <w:tab/>
        <w:t>Contributions to Guarantee Fund (s. 337)</w:t>
      </w:r>
      <w:bookmarkEnd w:id="40"/>
      <w:bookmarkEnd w:id="41"/>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42" w:name="_Toc426101213"/>
      <w:bookmarkStart w:id="43" w:name="_Toc424811070"/>
      <w:bookmarkStart w:id="44" w:name="_Toc424819474"/>
      <w:r>
        <w:rPr>
          <w:rStyle w:val="CharDivNo"/>
        </w:rPr>
        <w:t>Division 2</w:t>
      </w:r>
      <w:r>
        <w:t> — </w:t>
      </w:r>
      <w:r>
        <w:rPr>
          <w:rStyle w:val="CharDivText"/>
        </w:rPr>
        <w:t>Condition on local practising certificates: continuing professional development</w:t>
      </w:r>
      <w:bookmarkEnd w:id="42"/>
      <w:bookmarkEnd w:id="43"/>
      <w:bookmarkEnd w:id="44"/>
    </w:p>
    <w:p>
      <w:pPr>
        <w:pStyle w:val="Heading4"/>
      </w:pPr>
      <w:bookmarkStart w:id="45" w:name="_Toc426101214"/>
      <w:bookmarkStart w:id="46" w:name="_Toc424811071"/>
      <w:bookmarkStart w:id="47" w:name="_Toc424819475"/>
      <w:r>
        <w:t>Subdivision 1 — Preliminary</w:t>
      </w:r>
      <w:bookmarkEnd w:id="45"/>
      <w:bookmarkEnd w:id="46"/>
      <w:bookmarkEnd w:id="47"/>
    </w:p>
    <w:p>
      <w:pPr>
        <w:pStyle w:val="Footnoteheading"/>
      </w:pPr>
      <w:r>
        <w:tab/>
        <w:t>[Heading inserted in Gazette 20 Feb 2015 p. 681.]</w:t>
      </w:r>
    </w:p>
    <w:p>
      <w:pPr>
        <w:pStyle w:val="Heading5"/>
      </w:pPr>
      <w:bookmarkStart w:id="48" w:name="_Toc426101215"/>
      <w:bookmarkStart w:id="49" w:name="_Toc424819476"/>
      <w:r>
        <w:rPr>
          <w:rStyle w:val="CharSectno"/>
        </w:rPr>
        <w:t>7</w:t>
      </w:r>
      <w:r>
        <w:t>.</w:t>
      </w:r>
      <w:r>
        <w:tab/>
        <w:t>Terms used</w:t>
      </w:r>
      <w:bookmarkEnd w:id="48"/>
      <w:bookmarkEnd w:id="49"/>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whether or not the 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 in Gazette 20 Feb 2015 p. 681.]</w:t>
      </w:r>
    </w:p>
    <w:p>
      <w:pPr>
        <w:pStyle w:val="Heading4"/>
      </w:pPr>
      <w:bookmarkStart w:id="50" w:name="_Toc426101216"/>
      <w:bookmarkStart w:id="51" w:name="_Toc424811073"/>
      <w:bookmarkStart w:id="52" w:name="_Toc424819477"/>
      <w:r>
        <w:t>Subdivision 2 — Local practising certificates in force before 1 July 2015</w:t>
      </w:r>
      <w:bookmarkEnd w:id="50"/>
      <w:bookmarkEnd w:id="51"/>
      <w:bookmarkEnd w:id="52"/>
    </w:p>
    <w:p>
      <w:pPr>
        <w:pStyle w:val="Footnoteheading"/>
      </w:pPr>
      <w:r>
        <w:tab/>
        <w:t>[Heading inserted in Gazette 20 Feb 2015 p. 681.]</w:t>
      </w:r>
    </w:p>
    <w:p>
      <w:pPr>
        <w:pStyle w:val="Heading5"/>
      </w:pPr>
      <w:bookmarkStart w:id="53" w:name="_Toc426101217"/>
      <w:bookmarkStart w:id="54" w:name="_Toc424819478"/>
      <w:r>
        <w:rPr>
          <w:rStyle w:val="CharSectno"/>
        </w:rPr>
        <w:t>8A</w:t>
      </w:r>
      <w:r>
        <w:t>.</w:t>
      </w:r>
      <w:r>
        <w:tab/>
        <w:t>Terms used</w:t>
      </w:r>
      <w:bookmarkEnd w:id="53"/>
      <w:bookmarkEnd w:id="54"/>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spacing w:before="80"/>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 in Gazette 20 Feb 2015 p. 681.]</w:t>
      </w:r>
    </w:p>
    <w:p>
      <w:pPr>
        <w:pStyle w:val="Heading5"/>
      </w:pPr>
      <w:bookmarkStart w:id="55" w:name="_Toc426101218"/>
      <w:bookmarkStart w:id="56" w:name="_Toc424819479"/>
      <w:r>
        <w:rPr>
          <w:rStyle w:val="CharSectno"/>
        </w:rPr>
        <w:t>8</w:t>
      </w:r>
      <w:r>
        <w:t>.</w:t>
      </w:r>
      <w:r>
        <w:tab/>
        <w:t>Condition on practising certificates before 1 July 2015: practitioner must complete professional development</w:t>
      </w:r>
      <w:bookmarkEnd w:id="55"/>
      <w:bookmarkEnd w:id="56"/>
    </w:p>
    <w:p>
      <w:pPr>
        <w:pStyle w:val="Subsection"/>
        <w:spacing w:before="150"/>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spacing w:before="150"/>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spacing w:before="100"/>
      </w:pPr>
      <w:r>
        <w:tab/>
        <w:t>[Rule 8 amended in Gazette 20 Feb 2015 p. 682.]</w:t>
      </w:r>
    </w:p>
    <w:p>
      <w:pPr>
        <w:pStyle w:val="Heading5"/>
      </w:pPr>
      <w:bookmarkStart w:id="57" w:name="_Toc426101219"/>
      <w:bookmarkStart w:id="58" w:name="_Toc424819480"/>
      <w:r>
        <w:rPr>
          <w:rStyle w:val="CharSectno"/>
        </w:rPr>
        <w:t>9</w:t>
      </w:r>
      <w:r>
        <w:t>.</w:t>
      </w:r>
      <w:r>
        <w:tab/>
        <w:t>Earning CPD points</w:t>
      </w:r>
      <w:bookmarkEnd w:id="57"/>
      <w:bookmarkEnd w:id="58"/>
    </w:p>
    <w:p>
      <w:pPr>
        <w:pStyle w:val="Subsection"/>
        <w:spacing w:before="150"/>
      </w:pPr>
      <w:r>
        <w:tab/>
        <w:t>(1)</w:t>
      </w:r>
      <w:r>
        <w:tab/>
        <w:t>A local legal practitioner earns CPD points by completing approved CPD activities.</w:t>
      </w:r>
    </w:p>
    <w:p>
      <w:pPr>
        <w:pStyle w:val="Subsection"/>
        <w:spacing w:before="150"/>
      </w:pPr>
      <w:r>
        <w:tab/>
        <w:t>(2)</w:t>
      </w:r>
      <w:r>
        <w:tab/>
        <w:t>The number of CPD points earned by completing a particular approved CPD activity is to be determined under rule 12.</w:t>
      </w:r>
    </w:p>
    <w:p>
      <w:pPr>
        <w:pStyle w:val="Subsection"/>
        <w:spacing w:before="150"/>
      </w:pPr>
      <w:r>
        <w:tab/>
        <w:t>(3)</w:t>
      </w:r>
      <w:r>
        <w:tab/>
        <w:t>Subject to subrules (4) and (5A), a CPD point is earned in the certificate year during which the approved CPD activity is completed.</w:t>
      </w:r>
    </w:p>
    <w:p>
      <w:pPr>
        <w:pStyle w:val="Subsection"/>
        <w:spacing w:before="150"/>
      </w:pPr>
      <w:r>
        <w:tab/>
        <w:t>(4)</w:t>
      </w:r>
      <w:r>
        <w:tab/>
        <w:t>A CPD point earned by the completion of an approved CPD activity on or after 1 April but before 30 June in a year is to be taken to have been earned on 1 July of that year.</w:t>
      </w:r>
    </w:p>
    <w:p>
      <w:pPr>
        <w:pStyle w:val="Subsection"/>
        <w:spacing w:before="150"/>
      </w:pPr>
      <w:r>
        <w:tab/>
        <w:t>(5A)</w:t>
      </w:r>
      <w:r>
        <w:tab/>
        <w:t>Subrules (3) and (4) do not apply to points earned after 31 March 2015 and before 1 July 2015.</w:t>
      </w:r>
    </w:p>
    <w:p>
      <w:pPr>
        <w:pStyle w:val="Subsection"/>
        <w:spacing w:before="150"/>
      </w:pPr>
      <w:r>
        <w:tab/>
        <w:t>(5)</w:t>
      </w:r>
      <w:r>
        <w:tab/>
        <w:t xml:space="preserve">A practitioner may complete an interactive activity — </w:t>
      </w:r>
    </w:p>
    <w:p>
      <w:pPr>
        <w:pStyle w:val="Indenta"/>
        <w:spacing w:before="60"/>
      </w:pPr>
      <w:r>
        <w:tab/>
        <w:t>(a)</w:t>
      </w:r>
      <w:r>
        <w:tab/>
        <w:t>as a participant by attending in person or by remote communication; or</w:t>
      </w:r>
    </w:p>
    <w:p>
      <w:pPr>
        <w:pStyle w:val="Indenta"/>
        <w:spacing w:before="60"/>
      </w:pPr>
      <w:r>
        <w:tab/>
        <w:t>(b)</w:t>
      </w:r>
      <w:r>
        <w:tab/>
        <w:t>as a presenter, commentator or chair of the activity.</w:t>
      </w:r>
    </w:p>
    <w:p>
      <w:pPr>
        <w:pStyle w:val="PermNoteHeading"/>
      </w:pPr>
      <w:r>
        <w:tab/>
        <w:t>Note:</w:t>
      </w:r>
      <w:del w:id="59" w:author="Master Repository Process" w:date="2021-08-29T02:18:00Z">
        <w:r>
          <w:tab/>
        </w:r>
      </w:del>
    </w:p>
    <w:p>
      <w:pPr>
        <w:pStyle w:val="PermNoteText"/>
      </w:pPr>
      <w:r>
        <w:tab/>
      </w:r>
      <w:r>
        <w:tab/>
        <w:t>Subdivision 3 deals with earning CPD points after 31 March 2015.</w:t>
      </w:r>
    </w:p>
    <w:p>
      <w:pPr>
        <w:pStyle w:val="Footnotesection"/>
        <w:spacing w:before="100"/>
      </w:pPr>
      <w:r>
        <w:tab/>
        <w:t>[Rule 9 amended in Gazette 20 Feb 2015 p. 682.]</w:t>
      </w:r>
    </w:p>
    <w:p>
      <w:pPr>
        <w:pStyle w:val="Heading5"/>
      </w:pPr>
      <w:bookmarkStart w:id="60" w:name="_Toc426101220"/>
      <w:bookmarkStart w:id="61" w:name="_Toc424819481"/>
      <w:r>
        <w:rPr>
          <w:rStyle w:val="CharSectno"/>
        </w:rPr>
        <w:t>10</w:t>
      </w:r>
      <w:r>
        <w:t>.</w:t>
      </w:r>
      <w:r>
        <w:tab/>
        <w:t>Competency area requirements</w:t>
      </w:r>
      <w:bookmarkEnd w:id="60"/>
      <w:bookmarkEnd w:id="61"/>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w:t>
      </w:r>
      <w:del w:id="62" w:author="Master Repository Process" w:date="2021-08-29T02:18:00Z">
        <w:r>
          <w:rPr>
            <w:rStyle w:val="CharDefText"/>
          </w:rPr>
          <w:delText xml:space="preserve"> </w:delText>
        </w:r>
      </w:del>
      <w:ins w:id="63" w:author="Master Repository Process" w:date="2021-08-29T02:18:00Z">
        <w:r>
          <w:rPr>
            <w:rStyle w:val="CharDefText"/>
          </w:rPr>
          <w:t> </w:t>
        </w:r>
      </w:ins>
      <w:r>
        <w:rPr>
          <w:rStyle w:val="CharDefText"/>
        </w:rPr>
        <w:t>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w:t>
      </w:r>
      <w:del w:id="64" w:author="Master Repository Process" w:date="2021-08-29T02:18:00Z">
        <w:r>
          <w:rPr>
            <w:rStyle w:val="CharDefText"/>
          </w:rPr>
          <w:delText xml:space="preserve"> </w:delText>
        </w:r>
      </w:del>
      <w:ins w:id="65" w:author="Master Repository Process" w:date="2021-08-29T02:18:00Z">
        <w:r>
          <w:rPr>
            <w:rStyle w:val="CharDefText"/>
          </w:rPr>
          <w:t> </w:t>
        </w:r>
      </w:ins>
      <w:r>
        <w:rPr>
          <w:rStyle w:val="CharDefText"/>
        </w:rPr>
        <w:t>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w:t>
      </w:r>
      <w:del w:id="66" w:author="Master Repository Process" w:date="2021-08-29T02:18:00Z">
        <w:r>
          <w:rPr>
            <w:rStyle w:val="CharDefText"/>
          </w:rPr>
          <w:delText xml:space="preserve"> </w:delText>
        </w:r>
      </w:del>
      <w:ins w:id="67" w:author="Master Repository Process" w:date="2021-08-29T02:18:00Z">
        <w:r>
          <w:rPr>
            <w:rStyle w:val="CharDefText"/>
          </w:rPr>
          <w:t> </w:t>
        </w:r>
      </w:ins>
      <w:r>
        <w:rPr>
          <w:rStyle w:val="CharDefText"/>
        </w:rPr>
        <w:t>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68" w:name="_Toc426101221"/>
      <w:bookmarkStart w:id="69" w:name="_Toc424819482"/>
      <w:r>
        <w:rPr>
          <w:rStyle w:val="CharSectno"/>
        </w:rPr>
        <w:t>11</w:t>
      </w:r>
      <w:r>
        <w:t>.</w:t>
      </w:r>
      <w:r>
        <w:tab/>
        <w:t>Interactive and publishing point requirements</w:t>
      </w:r>
      <w:bookmarkEnd w:id="68"/>
      <w:bookmarkEnd w:id="69"/>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70" w:name="_Toc426101222"/>
      <w:bookmarkStart w:id="71" w:name="_Toc424819483"/>
      <w:r>
        <w:rPr>
          <w:rStyle w:val="CharSectno"/>
        </w:rPr>
        <w:t>12</w:t>
      </w:r>
      <w:r>
        <w:t>.</w:t>
      </w:r>
      <w:r>
        <w:tab/>
        <w:t>CPD points for an activity</w:t>
      </w:r>
      <w:bookmarkEnd w:id="70"/>
      <w:bookmarkEnd w:id="71"/>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ind w:left="573" w:hanging="573"/>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keepNext/>
            </w:pPr>
            <w:r>
              <w:t>As writer</w:t>
            </w:r>
          </w:p>
        </w:tc>
        <w:tc>
          <w:tcPr>
            <w:tcW w:w="4252" w:type="dxa"/>
          </w:tcPr>
          <w:p>
            <w:pPr>
              <w:pStyle w:val="TableNAm"/>
              <w:keepNext/>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 in Gazette 20 Feb 2015 p. 682.]</w:t>
      </w:r>
    </w:p>
    <w:p>
      <w:pPr>
        <w:pStyle w:val="Heading4"/>
      </w:pPr>
      <w:bookmarkStart w:id="72" w:name="_Toc426101223"/>
      <w:bookmarkStart w:id="73" w:name="_Toc424811080"/>
      <w:bookmarkStart w:id="74" w:name="_Toc424819484"/>
      <w:r>
        <w:t>Subdivision 3 — Local practising certificates in force on or after 1 July 2015</w:t>
      </w:r>
      <w:bookmarkEnd w:id="72"/>
      <w:bookmarkEnd w:id="73"/>
      <w:bookmarkEnd w:id="74"/>
    </w:p>
    <w:p>
      <w:pPr>
        <w:pStyle w:val="Footnoteheading"/>
      </w:pPr>
      <w:r>
        <w:tab/>
        <w:t>[Heading inserted in Gazette 20 Feb 2015 p. 682.]</w:t>
      </w:r>
    </w:p>
    <w:p>
      <w:pPr>
        <w:pStyle w:val="Heading5"/>
      </w:pPr>
      <w:bookmarkStart w:id="75" w:name="_Toc426101224"/>
      <w:bookmarkStart w:id="76" w:name="_Toc424819485"/>
      <w:r>
        <w:rPr>
          <w:rStyle w:val="CharSectno"/>
        </w:rPr>
        <w:t>13A</w:t>
      </w:r>
      <w:r>
        <w:t>.</w:t>
      </w:r>
      <w:r>
        <w:tab/>
        <w:t>Terms used</w:t>
      </w:r>
      <w:bookmarkEnd w:id="75"/>
      <w:bookmarkEnd w:id="76"/>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 in Gazette 20 Feb 2015 p. 682.]</w:t>
      </w:r>
    </w:p>
    <w:p>
      <w:pPr>
        <w:pStyle w:val="Heading5"/>
      </w:pPr>
      <w:bookmarkStart w:id="77" w:name="_Toc426101225"/>
      <w:bookmarkStart w:id="78" w:name="_Toc424819486"/>
      <w:r>
        <w:rPr>
          <w:rStyle w:val="CharSectno"/>
        </w:rPr>
        <w:t>13B</w:t>
      </w:r>
      <w:r>
        <w:t>.</w:t>
      </w:r>
      <w:r>
        <w:tab/>
        <w:t>Condition on practising certificates on and after 1 July 2015: practitioner must complete professional development</w:t>
      </w:r>
      <w:bookmarkEnd w:id="77"/>
      <w:bookmarkEnd w:id="78"/>
    </w:p>
    <w:p>
      <w:pPr>
        <w:pStyle w:val="Subsection"/>
      </w:pPr>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Month in which local practising certificate granted</w:t>
            </w:r>
          </w:p>
        </w:tc>
        <w:tc>
          <w:tcPr>
            <w:tcW w:w="3034" w:type="dxa"/>
          </w:tcPr>
          <w:p>
            <w:pPr>
              <w:pStyle w:val="TableNAm"/>
              <w:rPr>
                <w:b/>
              </w:rPr>
            </w:pPr>
            <w:r>
              <w:rPr>
                <w:b/>
              </w:rPr>
              <w:t>Number of CPD points to be earned in the CPD period</w:t>
            </w:r>
          </w:p>
        </w:tc>
      </w:tr>
      <w:tr>
        <w:tc>
          <w:tcPr>
            <w:tcW w:w="3033" w:type="dxa"/>
          </w:tcPr>
          <w:p>
            <w:pPr>
              <w:pStyle w:val="TableNAm"/>
            </w:pPr>
            <w:r>
              <w:t>July</w:t>
            </w:r>
          </w:p>
        </w:tc>
        <w:tc>
          <w:tcPr>
            <w:tcW w:w="3034" w:type="dxa"/>
          </w:tcPr>
          <w:p>
            <w:pPr>
              <w:pStyle w:val="TableNAm"/>
            </w:pPr>
            <w:r>
              <w:t>9</w:t>
            </w:r>
          </w:p>
        </w:tc>
      </w:tr>
      <w:tr>
        <w:tc>
          <w:tcPr>
            <w:tcW w:w="3033" w:type="dxa"/>
          </w:tcPr>
          <w:p>
            <w:pPr>
              <w:pStyle w:val="TableNAm"/>
            </w:pPr>
            <w:r>
              <w:t>August</w:t>
            </w:r>
          </w:p>
        </w:tc>
        <w:tc>
          <w:tcPr>
            <w:tcW w:w="3034" w:type="dxa"/>
          </w:tcPr>
          <w:p>
            <w:pPr>
              <w:pStyle w:val="TableNAm"/>
            </w:pPr>
            <w:r>
              <w:t>8</w:t>
            </w:r>
          </w:p>
        </w:tc>
      </w:tr>
      <w:tr>
        <w:tc>
          <w:tcPr>
            <w:tcW w:w="3033" w:type="dxa"/>
          </w:tcPr>
          <w:p>
            <w:pPr>
              <w:pStyle w:val="TableNAm"/>
            </w:pPr>
            <w:r>
              <w:t>September</w:t>
            </w:r>
          </w:p>
        </w:tc>
        <w:tc>
          <w:tcPr>
            <w:tcW w:w="3034" w:type="dxa"/>
          </w:tcPr>
          <w:p>
            <w:pPr>
              <w:pStyle w:val="TableNAm"/>
            </w:pPr>
            <w:r>
              <w:t>7</w:t>
            </w:r>
          </w:p>
        </w:tc>
      </w:tr>
      <w:tr>
        <w:tc>
          <w:tcPr>
            <w:tcW w:w="3033" w:type="dxa"/>
          </w:tcPr>
          <w:p>
            <w:pPr>
              <w:pStyle w:val="TableNAm"/>
            </w:pPr>
            <w:r>
              <w:t>October</w:t>
            </w:r>
          </w:p>
        </w:tc>
        <w:tc>
          <w:tcPr>
            <w:tcW w:w="3034" w:type="dxa"/>
          </w:tcPr>
          <w:p>
            <w:pPr>
              <w:pStyle w:val="TableNAm"/>
            </w:pPr>
            <w:r>
              <w:t>6</w:t>
            </w:r>
          </w:p>
        </w:tc>
      </w:tr>
      <w:tr>
        <w:tc>
          <w:tcPr>
            <w:tcW w:w="3033" w:type="dxa"/>
          </w:tcPr>
          <w:p>
            <w:pPr>
              <w:pStyle w:val="TableNAm"/>
            </w:pPr>
            <w:r>
              <w:t>November</w:t>
            </w:r>
          </w:p>
        </w:tc>
        <w:tc>
          <w:tcPr>
            <w:tcW w:w="3034" w:type="dxa"/>
          </w:tcPr>
          <w:p>
            <w:pPr>
              <w:pStyle w:val="TableNAm"/>
            </w:pPr>
            <w:r>
              <w:t>5</w:t>
            </w:r>
          </w:p>
        </w:tc>
      </w:tr>
      <w:tr>
        <w:tc>
          <w:tcPr>
            <w:tcW w:w="3033" w:type="dxa"/>
          </w:tcPr>
          <w:p>
            <w:pPr>
              <w:pStyle w:val="TableNAm"/>
            </w:pPr>
            <w:r>
              <w:t>December</w:t>
            </w:r>
          </w:p>
        </w:tc>
        <w:tc>
          <w:tcPr>
            <w:tcW w:w="3034" w:type="dxa"/>
          </w:tcPr>
          <w:p>
            <w:pPr>
              <w:pStyle w:val="TableNAm"/>
            </w:pPr>
            <w:r>
              <w:t>4</w:t>
            </w:r>
          </w:p>
        </w:tc>
      </w:tr>
      <w:tr>
        <w:tc>
          <w:tcPr>
            <w:tcW w:w="3033" w:type="dxa"/>
          </w:tcPr>
          <w:p>
            <w:pPr>
              <w:pStyle w:val="TableNAm"/>
            </w:pPr>
            <w:r>
              <w:t>January</w:t>
            </w:r>
          </w:p>
        </w:tc>
        <w:tc>
          <w:tcPr>
            <w:tcW w:w="3034" w:type="dxa"/>
          </w:tcPr>
          <w:p>
            <w:pPr>
              <w:pStyle w:val="TableNAm"/>
            </w:pPr>
            <w:r>
              <w:t>3</w:t>
            </w:r>
          </w:p>
        </w:tc>
      </w:tr>
      <w:tr>
        <w:tc>
          <w:tcPr>
            <w:tcW w:w="3033" w:type="dxa"/>
          </w:tcPr>
          <w:p>
            <w:pPr>
              <w:pStyle w:val="TableNAm"/>
            </w:pPr>
            <w:r>
              <w:t>February</w:t>
            </w:r>
          </w:p>
        </w:tc>
        <w:tc>
          <w:tcPr>
            <w:tcW w:w="3034" w:type="dxa"/>
          </w:tcPr>
          <w:p>
            <w:pPr>
              <w:pStyle w:val="TableNAm"/>
            </w:pPr>
            <w:r>
              <w:t>2</w:t>
            </w:r>
          </w:p>
        </w:tc>
      </w:tr>
      <w:tr>
        <w:tc>
          <w:tcPr>
            <w:tcW w:w="3033" w:type="dxa"/>
          </w:tcPr>
          <w:p>
            <w:pPr>
              <w:pStyle w:val="TableNAm"/>
            </w:pPr>
            <w:r>
              <w:t>March</w:t>
            </w:r>
          </w:p>
        </w:tc>
        <w:tc>
          <w:tcPr>
            <w:tcW w:w="3034" w:type="dxa"/>
          </w:tcPr>
          <w:p>
            <w:pPr>
              <w:pStyle w:val="TableNAm"/>
            </w:pPr>
            <w: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 in Gazette 20 Feb 2015 p. 683.]</w:t>
      </w:r>
    </w:p>
    <w:p>
      <w:pPr>
        <w:pStyle w:val="Heading5"/>
      </w:pPr>
      <w:bookmarkStart w:id="79" w:name="_Toc426101226"/>
      <w:bookmarkStart w:id="80" w:name="_Toc424819487"/>
      <w:r>
        <w:rPr>
          <w:rStyle w:val="CharSectno"/>
        </w:rPr>
        <w:t>13C</w:t>
      </w:r>
      <w:r>
        <w:t>.</w:t>
      </w:r>
      <w:r>
        <w:tab/>
        <w:t>Earning CPD points</w:t>
      </w:r>
      <w:bookmarkEnd w:id="79"/>
      <w:bookmarkEnd w:id="80"/>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 in Gazette 20 Feb 2015 p. 683</w:t>
      </w:r>
      <w:r>
        <w:noBreakHyphen/>
        <w:t>4.]</w:t>
      </w:r>
    </w:p>
    <w:p>
      <w:pPr>
        <w:pStyle w:val="Heading5"/>
      </w:pPr>
      <w:bookmarkStart w:id="81" w:name="_Toc426101227"/>
      <w:bookmarkStart w:id="82" w:name="_Toc424819488"/>
      <w:r>
        <w:rPr>
          <w:rStyle w:val="CharSectno"/>
        </w:rPr>
        <w:t>13D</w:t>
      </w:r>
      <w:r>
        <w:t>.</w:t>
      </w:r>
      <w:r>
        <w:tab/>
        <w:t>Competency area requirements</w:t>
      </w:r>
      <w:bookmarkEnd w:id="81"/>
      <w:bookmarkEnd w:id="82"/>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 in Gazette 20 Feb 2015 p. 684.]</w:t>
      </w:r>
    </w:p>
    <w:p>
      <w:pPr>
        <w:pStyle w:val="Heading5"/>
      </w:pPr>
      <w:bookmarkStart w:id="83" w:name="_Toc426101228"/>
      <w:bookmarkStart w:id="84" w:name="_Toc424819489"/>
      <w:r>
        <w:rPr>
          <w:rStyle w:val="CharSectno"/>
        </w:rPr>
        <w:t>13E</w:t>
      </w:r>
      <w:r>
        <w:t>.</w:t>
      </w:r>
      <w:r>
        <w:tab/>
        <w:t>Requirements for interactive and publication CPD points</w:t>
      </w:r>
      <w:bookmarkEnd w:id="83"/>
      <w:bookmarkEnd w:id="84"/>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 in Gazette 20 Feb 2015 p. 685.]</w:t>
      </w:r>
    </w:p>
    <w:p>
      <w:pPr>
        <w:pStyle w:val="Heading5"/>
      </w:pPr>
      <w:bookmarkStart w:id="85" w:name="_Toc426101229"/>
      <w:bookmarkStart w:id="86" w:name="_Toc424819490"/>
      <w:r>
        <w:rPr>
          <w:rStyle w:val="CharSectno"/>
        </w:rPr>
        <w:t>13F</w:t>
      </w:r>
      <w:r>
        <w:t>.</w:t>
      </w:r>
      <w:r>
        <w:tab/>
        <w:t>CPD points for particular approved CPD activities</w:t>
      </w:r>
      <w:bookmarkEnd w:id="85"/>
      <w:bookmarkEnd w:id="86"/>
    </w:p>
    <w:p>
      <w:pPr>
        <w:pStyle w:val="Subsection"/>
      </w:pPr>
      <w:r>
        <w:tab/>
        <w:t>(1)</w:t>
      </w:r>
      <w:r>
        <w:tab/>
        <w:t>The CPD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rPr>
            </w:pPr>
            <w:r>
              <w:rPr>
                <w:b/>
              </w:rPr>
              <w:t>1.</w:t>
            </w:r>
            <w:r>
              <w:rPr>
                <w:b/>
              </w:rPr>
              <w:tab/>
              <w:t>Interactive activity</w:t>
            </w:r>
          </w:p>
        </w:tc>
      </w:tr>
      <w:tr>
        <w:tc>
          <w:tcPr>
            <w:tcW w:w="1815" w:type="dxa"/>
          </w:tcPr>
          <w:p>
            <w:pPr>
              <w:pStyle w:val="TableNAm"/>
            </w:pPr>
            <w:r>
              <w:t>Participant</w:t>
            </w:r>
          </w:p>
        </w:tc>
        <w:tc>
          <w:tcPr>
            <w:tcW w:w="4252" w:type="dxa"/>
          </w:tcPr>
          <w:p>
            <w:pPr>
              <w:pStyle w:val="TableNAm"/>
            </w:pPr>
            <w:r>
              <w:t>0.5 points for each complete 30 minutes</w:t>
            </w:r>
          </w:p>
        </w:tc>
      </w:tr>
      <w:tr>
        <w:tc>
          <w:tcPr>
            <w:tcW w:w="1815" w:type="dxa"/>
          </w:tcPr>
          <w:p>
            <w:pPr>
              <w:pStyle w:val="TableNAm"/>
            </w:pPr>
            <w:r>
              <w:t>Presenter who prepared the material used in the activity</w:t>
            </w:r>
          </w:p>
        </w:tc>
        <w:tc>
          <w:tcPr>
            <w:tcW w:w="4252" w:type="dxa"/>
          </w:tcPr>
          <w:p>
            <w:pPr>
              <w:pStyle w:val="TableNAm"/>
            </w:pPr>
            <w:r>
              <w:t>1.5 points for each complete 30 minutes</w:t>
            </w:r>
          </w:p>
        </w:tc>
      </w:tr>
      <w:tr>
        <w:tc>
          <w:tcPr>
            <w:tcW w:w="1815" w:type="dxa"/>
          </w:tcPr>
          <w:p>
            <w:pPr>
              <w:pStyle w:val="TableNAm"/>
            </w:pPr>
            <w:r>
              <w:t>Presenter who presents material prepared by someone else</w:t>
            </w:r>
          </w:p>
        </w:tc>
        <w:tc>
          <w:tcPr>
            <w:tcW w:w="4252" w:type="dxa"/>
          </w:tcPr>
          <w:p>
            <w:pPr>
              <w:pStyle w:val="TableNAm"/>
            </w:pPr>
            <w:r>
              <w:t>1 point for each complete 30 minutes</w:t>
            </w:r>
          </w:p>
        </w:tc>
      </w:tr>
      <w:tr>
        <w:tc>
          <w:tcPr>
            <w:tcW w:w="1815" w:type="dxa"/>
          </w:tcPr>
          <w:p>
            <w:pPr>
              <w:pStyle w:val="TableNAm"/>
              <w:rPr>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rPr>
            </w:pPr>
            <w:r>
              <w:rPr>
                <w:b/>
              </w:rPr>
              <w:t>2.</w:t>
            </w:r>
            <w:r>
              <w:rPr>
                <w:b/>
              </w:rPr>
              <w:tab/>
              <w:t>Publication activity</w:t>
            </w:r>
          </w:p>
        </w:tc>
      </w:tr>
      <w:tr>
        <w:tc>
          <w:tcPr>
            <w:tcW w:w="1815" w:type="dxa"/>
          </w:tcPr>
          <w:p>
            <w:pPr>
              <w:pStyle w:val="TableNAm"/>
            </w:pPr>
            <w:r>
              <w:t>All publication activities</w:t>
            </w:r>
          </w:p>
        </w:tc>
        <w:tc>
          <w:tcPr>
            <w:tcW w:w="4252" w:type="dxa"/>
          </w:tcPr>
          <w:p>
            <w:pPr>
              <w:pStyle w:val="TableNAm"/>
            </w:pPr>
            <w:r>
              <w:t>0.5 points for each set of 500 words to a maximum of 5 points for a single article</w:t>
            </w:r>
          </w:p>
        </w:tc>
      </w:tr>
      <w:tr>
        <w:tc>
          <w:tcPr>
            <w:tcW w:w="1815" w:type="dxa"/>
          </w:tcPr>
          <w:p>
            <w:pPr>
              <w:pStyle w:val="TableNAm"/>
            </w:pPr>
            <w:r>
              <w:t>As editor, as an alternative to the previous item</w:t>
            </w:r>
          </w:p>
        </w:tc>
        <w:tc>
          <w:tcPr>
            <w:tcW w:w="4252" w:type="dxa"/>
          </w:tcPr>
          <w:p>
            <w:pPr>
              <w:pStyle w:val="TableNAm"/>
            </w:pPr>
            <w:r>
              <w:t>1 point for each edition to a maximum of 5 editions</w:t>
            </w:r>
          </w:p>
        </w:tc>
      </w:tr>
      <w:tr>
        <w:trPr>
          <w:cantSplit/>
        </w:trPr>
        <w:tc>
          <w:tcPr>
            <w:tcW w:w="6067" w:type="dxa"/>
            <w:gridSpan w:val="2"/>
            <w:shd w:val="clear" w:color="auto" w:fill="E0E0E0"/>
          </w:tcPr>
          <w:p>
            <w:pPr>
              <w:pStyle w:val="TableNAm"/>
              <w:ind w:left="573" w:hanging="573"/>
              <w:rPr>
                <w:b/>
              </w:rPr>
            </w:pPr>
            <w:r>
              <w:rPr>
                <w:b/>
              </w:rPr>
              <w:t>3.</w:t>
            </w:r>
            <w:r>
              <w:rPr>
                <w:b/>
              </w:rPr>
              <w:tab/>
              <w:t>Electronic activity that is not an interactive activity or a publication activity</w:t>
            </w:r>
          </w:p>
        </w:tc>
      </w:tr>
      <w:tr>
        <w:tc>
          <w:tcPr>
            <w:tcW w:w="1815" w:type="dxa"/>
          </w:tcPr>
          <w:p>
            <w:pPr>
              <w:pStyle w:val="TableNAm"/>
            </w:pPr>
            <w:r>
              <w:t>As participant</w:t>
            </w:r>
          </w:p>
        </w:tc>
        <w:tc>
          <w:tcPr>
            <w:tcW w:w="4252" w:type="dxa"/>
          </w:tcPr>
          <w:p>
            <w:pPr>
              <w:pStyle w:val="TableNAm"/>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 in Gazette 20 Feb 2015 p. 685</w:t>
      </w:r>
      <w:r>
        <w:noBreakHyphen/>
        <w:t>6.]</w:t>
      </w:r>
    </w:p>
    <w:p>
      <w:pPr>
        <w:pStyle w:val="Heading4"/>
      </w:pPr>
      <w:bookmarkStart w:id="87" w:name="_Toc426101230"/>
      <w:bookmarkStart w:id="88" w:name="_Toc424811087"/>
      <w:bookmarkStart w:id="89" w:name="_Toc424819491"/>
      <w:r>
        <w:t>Subdivision 4 — Other matters about continuing professional development</w:t>
      </w:r>
      <w:bookmarkEnd w:id="87"/>
      <w:bookmarkEnd w:id="88"/>
      <w:bookmarkEnd w:id="89"/>
    </w:p>
    <w:p>
      <w:pPr>
        <w:pStyle w:val="Footnoteheading"/>
      </w:pPr>
      <w:r>
        <w:tab/>
        <w:t>[Heading inserted in Gazette 20 Feb 2015 p. 686.]</w:t>
      </w:r>
    </w:p>
    <w:p>
      <w:pPr>
        <w:pStyle w:val="Heading5"/>
      </w:pPr>
      <w:bookmarkStart w:id="90" w:name="_Toc426101231"/>
      <w:bookmarkStart w:id="91" w:name="_Toc424819492"/>
      <w:r>
        <w:rPr>
          <w:rStyle w:val="CharSectno"/>
        </w:rPr>
        <w:t>13</w:t>
      </w:r>
      <w:r>
        <w:t>.</w:t>
      </w:r>
      <w:r>
        <w:tab/>
        <w:t>Points for repeated activities</w:t>
      </w:r>
      <w:bookmarkEnd w:id="90"/>
      <w:bookmarkEnd w:id="91"/>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 in Gazette 20 Feb 2015 p. 686.]</w:t>
      </w:r>
    </w:p>
    <w:p>
      <w:pPr>
        <w:pStyle w:val="Heading5"/>
      </w:pPr>
      <w:bookmarkStart w:id="92" w:name="_Toc426101232"/>
      <w:bookmarkStart w:id="93" w:name="_Toc424819493"/>
      <w:r>
        <w:rPr>
          <w:rStyle w:val="CharSectno"/>
        </w:rPr>
        <w:t>14</w:t>
      </w:r>
      <w:r>
        <w:t>.</w:t>
      </w:r>
      <w:r>
        <w:tab/>
        <w:t>QA providers</w:t>
      </w:r>
      <w:bookmarkEnd w:id="92"/>
      <w:bookmarkEnd w:id="93"/>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Ednotepara"/>
        <w:rPr>
          <w:del w:id="94" w:author="Master Repository Process" w:date="2021-08-29T02:18:00Z"/>
        </w:rPr>
      </w:pPr>
      <w:del w:id="95" w:author="Master Repository Process" w:date="2021-08-29T02:18:00Z">
        <w:r>
          <w:tab/>
          <w:delText>[(d)</w:delText>
        </w:r>
        <w:r>
          <w:tab/>
          <w:delText>deleted]</w:delText>
        </w:r>
      </w:del>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 in Gazette 26 Oct 2010 p. 5290; 20 Feb 2015 p. 686.]</w:t>
      </w:r>
    </w:p>
    <w:p>
      <w:pPr>
        <w:pStyle w:val="Heading5"/>
      </w:pPr>
      <w:bookmarkStart w:id="96" w:name="_Toc426101233"/>
      <w:bookmarkStart w:id="97" w:name="_Toc424819494"/>
      <w:r>
        <w:rPr>
          <w:rStyle w:val="CharSectno"/>
        </w:rPr>
        <w:t>15</w:t>
      </w:r>
      <w:r>
        <w:t>.</w:t>
      </w:r>
      <w:r>
        <w:tab/>
        <w:t>Approval of professional development activities</w:t>
      </w:r>
      <w:bookmarkEnd w:id="96"/>
      <w:bookmarkEnd w:id="97"/>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p>
    <w:p>
      <w:pPr>
        <w:pStyle w:val="Footnotesection"/>
      </w:pPr>
      <w:r>
        <w:tab/>
        <w:t>[Rule 15 amended in Gazette 20 Feb 2015 p. 686</w:t>
      </w:r>
      <w:r>
        <w:noBreakHyphen/>
        <w:t>7.]</w:t>
      </w:r>
    </w:p>
    <w:p>
      <w:pPr>
        <w:pStyle w:val="Heading5"/>
      </w:pPr>
      <w:bookmarkStart w:id="98" w:name="_Toc426101234"/>
      <w:bookmarkStart w:id="99" w:name="_Toc424819495"/>
      <w:r>
        <w:rPr>
          <w:rStyle w:val="CharSectno"/>
        </w:rPr>
        <w:t>16</w:t>
      </w:r>
      <w:r>
        <w:t>.</w:t>
      </w:r>
      <w:r>
        <w:tab/>
        <w:t>Approvals generally</w:t>
      </w:r>
      <w:bookmarkEnd w:id="98"/>
      <w:bookmarkEnd w:id="99"/>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 in Gazette 20 Feb 2015 p. 687.]</w:t>
      </w:r>
    </w:p>
    <w:p>
      <w:pPr>
        <w:pStyle w:val="Heading5"/>
      </w:pPr>
      <w:bookmarkStart w:id="100" w:name="_Toc426101235"/>
      <w:bookmarkStart w:id="101" w:name="_Toc424819496"/>
      <w:r>
        <w:rPr>
          <w:rStyle w:val="CharSectno"/>
        </w:rPr>
        <w:t>17</w:t>
      </w:r>
      <w:r>
        <w:t>.</w:t>
      </w:r>
      <w:r>
        <w:tab/>
        <w:t>Variations</w:t>
      </w:r>
      <w:bookmarkEnd w:id="100"/>
      <w:bookmarkEnd w:id="101"/>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condition imposed on a practising certificate by rule 8(1) or 13B(1) or (2) by doing either or both of the following — </w:t>
      </w:r>
    </w:p>
    <w:p>
      <w:pPr>
        <w:pStyle w:val="Indenta"/>
      </w:pPr>
      <w:r>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 in Gazette 20 Feb 2015 p. 687.]</w:t>
      </w:r>
    </w:p>
    <w:p>
      <w:pPr>
        <w:pStyle w:val="Heading5"/>
      </w:pPr>
      <w:bookmarkStart w:id="102" w:name="_Toc426101236"/>
      <w:bookmarkStart w:id="103" w:name="_Toc424819497"/>
      <w:r>
        <w:rPr>
          <w:rStyle w:val="CharSectno"/>
        </w:rPr>
        <w:t>18</w:t>
      </w:r>
      <w:r>
        <w:t>.</w:t>
      </w:r>
      <w:r>
        <w:tab/>
        <w:t>Electronic activities to be reviewed yearly</w:t>
      </w:r>
      <w:bookmarkEnd w:id="102"/>
      <w:bookmarkEnd w:id="103"/>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 in Gazette 20 Feb 2015 p. 687</w:t>
      </w:r>
      <w:r>
        <w:noBreakHyphen/>
        <w:t>8.]</w:t>
      </w:r>
    </w:p>
    <w:p>
      <w:pPr>
        <w:pStyle w:val="Heading3"/>
      </w:pPr>
      <w:bookmarkStart w:id="104" w:name="_Toc426101237"/>
      <w:bookmarkStart w:id="105" w:name="_Toc424811094"/>
      <w:bookmarkStart w:id="106" w:name="_Toc424819498"/>
      <w:r>
        <w:rPr>
          <w:rStyle w:val="CharDivNo"/>
        </w:rPr>
        <w:t>Division 3</w:t>
      </w:r>
      <w:r>
        <w:t> — </w:t>
      </w:r>
      <w:r>
        <w:rPr>
          <w:rStyle w:val="CharDivText"/>
        </w:rPr>
        <w:t>Other conditions on local practising certificates</w:t>
      </w:r>
      <w:bookmarkEnd w:id="104"/>
      <w:bookmarkEnd w:id="105"/>
      <w:bookmarkEnd w:id="106"/>
    </w:p>
    <w:p>
      <w:pPr>
        <w:pStyle w:val="Heading5"/>
      </w:pPr>
      <w:bookmarkStart w:id="107" w:name="_Toc426101238"/>
      <w:bookmarkStart w:id="108" w:name="_Toc424819499"/>
      <w:r>
        <w:rPr>
          <w:rStyle w:val="CharSectno"/>
        </w:rPr>
        <w:t>19</w:t>
      </w:r>
      <w:r>
        <w:t>.</w:t>
      </w:r>
      <w:r>
        <w:tab/>
        <w:t>Restricted legal practice (s. 50)</w:t>
      </w:r>
      <w:bookmarkEnd w:id="107"/>
      <w:bookmarkEnd w:id="108"/>
    </w:p>
    <w:p>
      <w:pPr>
        <w:pStyle w:val="Subsection"/>
      </w:pPr>
      <w:r>
        <w:tab/>
      </w:r>
      <w:r>
        <w:tab/>
        <w:t xml:space="preserve">For the purposes of paragraph (f) of the definition of </w:t>
      </w:r>
      <w:r>
        <w:rPr>
          <w:b/>
          <w:i/>
        </w:rPr>
        <w:t>restricted legal practice</w:t>
      </w:r>
      <w:r>
        <w:t xml:space="preserve"> in section 50(1) of the Act, legal practice by a person who is an Australian legal practitioner in a capacity mentioned in an item of the Table is approved if it is engaged in under the required supervision mentioned in the item.</w:t>
      </w:r>
    </w:p>
    <w:p>
      <w:pPr>
        <w:pStyle w:val="zTHeadingNAm"/>
        <w:ind w:left="851"/>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835"/>
      </w:tblGrid>
      <w:tr>
        <w:trPr>
          <w:cantSplit/>
          <w:tblHeader/>
        </w:trPr>
        <w:tc>
          <w:tcPr>
            <w:tcW w:w="709" w:type="dxa"/>
          </w:tcPr>
          <w:p>
            <w:pPr>
              <w:pStyle w:val="TableNAm"/>
              <w:jc w:val="center"/>
            </w:pPr>
            <w:r>
              <w:rPr>
                <w:b/>
                <w:bCs/>
              </w:rPr>
              <w:t>Item</w:t>
            </w:r>
          </w:p>
        </w:tc>
        <w:tc>
          <w:tcPr>
            <w:tcW w:w="2835" w:type="dxa"/>
          </w:tcPr>
          <w:p>
            <w:pPr>
              <w:pStyle w:val="TableNAm"/>
              <w:jc w:val="center"/>
            </w:pPr>
            <w:r>
              <w:rPr>
                <w:b/>
                <w:bCs/>
              </w:rPr>
              <w:t>Capacity of legal practice</w:t>
            </w:r>
          </w:p>
        </w:tc>
        <w:tc>
          <w:tcPr>
            <w:tcW w:w="2835" w:type="dxa"/>
          </w:tcPr>
          <w:p>
            <w:pPr>
              <w:pStyle w:val="TableNAm"/>
              <w:jc w:val="center"/>
            </w:pPr>
            <w:r>
              <w:rPr>
                <w:b/>
                <w:bCs/>
              </w:rPr>
              <w:t>Required supervision</w:t>
            </w:r>
          </w:p>
        </w:tc>
      </w:tr>
      <w:tr>
        <w:trPr>
          <w:cantSplit/>
        </w:trPr>
        <w:tc>
          <w:tcPr>
            <w:tcW w:w="709" w:type="dxa"/>
          </w:tcPr>
          <w:p>
            <w:pPr>
              <w:pStyle w:val="TableNAm"/>
            </w:pPr>
            <w:r>
              <w:t>1.</w:t>
            </w:r>
          </w:p>
        </w:tc>
        <w:tc>
          <w:tcPr>
            <w:tcW w:w="2835" w:type="dxa"/>
          </w:tcPr>
          <w:p>
            <w:pPr>
              <w:pStyle w:val="TableNAm"/>
            </w:pPr>
            <w:r>
              <w:t>As an employee of a law practice, being an employee who is seconded to work for a body that carries on a business other than the practice of law</w:t>
            </w:r>
          </w:p>
        </w:tc>
        <w:tc>
          <w:tcPr>
            <w:tcW w:w="2835"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835"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835"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835" w:type="dxa"/>
          </w:tcPr>
          <w:p>
            <w:pPr>
              <w:pStyle w:val="TableNAm"/>
            </w:pPr>
            <w:r>
              <w:t xml:space="preserve">As an employee or other member of staff of the Aboriginal Legal Service of Western Australia (Inc.) (the </w:t>
            </w:r>
            <w:r>
              <w:rPr>
                <w:rStyle w:val="CharDefText"/>
              </w:rPr>
              <w:t>ALS</w:t>
            </w:r>
            <w:r>
              <w:t>)</w:t>
            </w:r>
          </w:p>
        </w:tc>
        <w:tc>
          <w:tcPr>
            <w:tcW w:w="2835"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835"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835"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835" w:type="dxa"/>
          </w:tcPr>
          <w:p>
            <w:pPr>
              <w:pStyle w:val="TableNAm"/>
            </w:pPr>
            <w:r>
              <w:t>As an employee or other member of staff of a community legal centre as defined in section 388(1) of the Act</w:t>
            </w:r>
          </w:p>
        </w:tc>
        <w:tc>
          <w:tcPr>
            <w:tcW w:w="2835"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835" w:type="dxa"/>
          </w:tcPr>
          <w:p>
            <w:pPr>
              <w:pStyle w:val="TableNAm"/>
            </w:pPr>
            <w:r>
              <w:t>As a volunteer for a local charitable or not</w:t>
            </w:r>
            <w:r>
              <w:noBreakHyphen/>
              <w:t>for</w:t>
            </w:r>
            <w:r>
              <w:noBreakHyphen/>
              <w:t>profit body if approved by the Board to do so</w:t>
            </w:r>
          </w:p>
        </w:tc>
        <w:tc>
          <w:tcPr>
            <w:tcW w:w="2835"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19 inserted in Gazette 17 Jul 2015 p. 2884</w:t>
      </w:r>
      <w:r>
        <w:noBreakHyphen/>
        <w:t>6.]</w:t>
      </w:r>
    </w:p>
    <w:p>
      <w:pPr>
        <w:pStyle w:val="Heading3"/>
      </w:pPr>
      <w:bookmarkStart w:id="109" w:name="_Toc426101239"/>
      <w:bookmarkStart w:id="110" w:name="_Toc424811096"/>
      <w:bookmarkStart w:id="111" w:name="_Toc424819500"/>
      <w:r>
        <w:rPr>
          <w:rStyle w:val="CharDivNo"/>
        </w:rPr>
        <w:t>Division 4</w:t>
      </w:r>
      <w:r>
        <w:t> — </w:t>
      </w:r>
      <w:r>
        <w:rPr>
          <w:rStyle w:val="CharDivText"/>
        </w:rPr>
        <w:t>Local legal practitioner with articled clerk</w:t>
      </w:r>
      <w:bookmarkEnd w:id="109"/>
      <w:bookmarkEnd w:id="110"/>
      <w:bookmarkEnd w:id="111"/>
    </w:p>
    <w:p>
      <w:pPr>
        <w:pStyle w:val="Heading5"/>
      </w:pPr>
      <w:bookmarkStart w:id="112" w:name="_Toc426101240"/>
      <w:bookmarkStart w:id="113" w:name="_Toc424819501"/>
      <w:r>
        <w:rPr>
          <w:rStyle w:val="CharSectno"/>
        </w:rPr>
        <w:t>20</w:t>
      </w:r>
      <w:r>
        <w:t>.</w:t>
      </w:r>
      <w:r>
        <w:tab/>
        <w:t>Terms used</w:t>
      </w:r>
      <w:bookmarkEnd w:id="112"/>
      <w:bookmarkEnd w:id="113"/>
    </w:p>
    <w:p>
      <w:pPr>
        <w:pStyle w:val="Subsection"/>
      </w:pPr>
      <w:r>
        <w:tab/>
      </w:r>
      <w:r>
        <w:tab/>
        <w:t xml:space="preserve">A term has the same meaning in this Division as it has in the </w:t>
      </w:r>
      <w:r>
        <w:rPr>
          <w:i/>
          <w:iCs/>
        </w:rPr>
        <w:t>Legal Profession (Admission) Rules </w:t>
      </w:r>
      <w:r>
        <w:rPr>
          <w:i/>
        </w:rPr>
        <w:t>2009</w:t>
      </w:r>
      <w:r>
        <w:t xml:space="preserve"> Part 3. </w:t>
      </w:r>
    </w:p>
    <w:p>
      <w:pPr>
        <w:pStyle w:val="Heading5"/>
      </w:pPr>
      <w:bookmarkStart w:id="114" w:name="_Toc426101241"/>
      <w:bookmarkStart w:id="115" w:name="_Toc424819502"/>
      <w:r>
        <w:rPr>
          <w:rStyle w:val="CharSectno"/>
        </w:rPr>
        <w:t>21</w:t>
      </w:r>
      <w:r>
        <w:t>.</w:t>
      </w:r>
      <w:r>
        <w:tab/>
        <w:t>Supervision of articled clerks</w:t>
      </w:r>
      <w:bookmarkEnd w:id="114"/>
      <w:bookmarkEnd w:id="115"/>
    </w:p>
    <w:p>
      <w:pPr>
        <w:pStyle w:val="Subsection"/>
      </w:pPr>
      <w:r>
        <w:rPr>
          <w:snapToGrid w:val="0"/>
        </w:rPr>
        <w:tab/>
      </w:r>
      <w:r>
        <w:rPr>
          <w:snapToGrid w:val="0"/>
        </w:rPr>
        <w:tab/>
      </w:r>
      <w:r>
        <w:t xml:space="preserve">For the purposes of the </w:t>
      </w:r>
      <w:r>
        <w:rPr>
          <w:i/>
          <w:iCs/>
        </w:rPr>
        <w:t>Legal Profession (Admission) Rules </w:t>
      </w:r>
      <w:r>
        <w:rPr>
          <w:i/>
        </w:rPr>
        <w:t>2009</w:t>
      </w:r>
      <w:r>
        <w:t xml:space="preserve">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116" w:name="_Toc426101242"/>
      <w:bookmarkStart w:id="117" w:name="_Toc424819503"/>
      <w:r>
        <w:rPr>
          <w:rStyle w:val="CharSectno"/>
        </w:rPr>
        <w:t>22</w:t>
      </w:r>
      <w:r>
        <w:t>.</w:t>
      </w:r>
      <w:r>
        <w:tab/>
        <w:t>Conduct of principal for articled clerk</w:t>
      </w:r>
      <w:bookmarkEnd w:id="116"/>
      <w:bookmarkEnd w:id="117"/>
    </w:p>
    <w:p>
      <w:pPr>
        <w:pStyle w:val="Subsection"/>
      </w:pPr>
      <w:r>
        <w:tab/>
      </w:r>
      <w:r>
        <w:tab/>
        <w:t>A local legal practitioner who is the principal for an articled clerk under articles of clerkship must comply with that deed.</w:t>
      </w:r>
    </w:p>
    <w:p>
      <w:pPr>
        <w:pStyle w:val="Heading3"/>
      </w:pPr>
      <w:bookmarkStart w:id="118" w:name="_Toc426101243"/>
      <w:bookmarkStart w:id="119" w:name="_Toc424811100"/>
      <w:bookmarkStart w:id="120" w:name="_Toc424819504"/>
      <w:r>
        <w:rPr>
          <w:rStyle w:val="CharDivNo"/>
        </w:rPr>
        <w:t>Division 5</w:t>
      </w:r>
      <w:r>
        <w:t> — </w:t>
      </w:r>
      <w:r>
        <w:rPr>
          <w:rStyle w:val="CharDivText"/>
        </w:rPr>
        <w:t>Interstate legal practitioners</w:t>
      </w:r>
      <w:bookmarkEnd w:id="118"/>
      <w:bookmarkEnd w:id="119"/>
      <w:bookmarkEnd w:id="120"/>
    </w:p>
    <w:p>
      <w:pPr>
        <w:pStyle w:val="Heading5"/>
      </w:pPr>
      <w:bookmarkStart w:id="121" w:name="_Toc426101244"/>
      <w:bookmarkStart w:id="122" w:name="_Toc424819505"/>
      <w:r>
        <w:rPr>
          <w:rStyle w:val="CharSectno"/>
        </w:rPr>
        <w:t>23</w:t>
      </w:r>
      <w:r>
        <w:t>.</w:t>
      </w:r>
      <w:r>
        <w:tab/>
        <w:t>Notification requirements for interstate legal practitioners (s. 71)</w:t>
      </w:r>
      <w:bookmarkEnd w:id="121"/>
      <w:bookmarkEnd w:id="122"/>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123" w:name="_Toc426101245"/>
      <w:bookmarkStart w:id="124" w:name="_Toc424819506"/>
      <w:r>
        <w:rPr>
          <w:rStyle w:val="CharSectno"/>
        </w:rPr>
        <w:t>24</w:t>
      </w:r>
      <w:r>
        <w:t>.</w:t>
      </w:r>
      <w:r>
        <w:tab/>
        <w:t>Restricted legal practice by interstate legal practitioner (s. 72)</w:t>
      </w:r>
      <w:bookmarkEnd w:id="123"/>
      <w:bookmarkEnd w:id="124"/>
    </w:p>
    <w:p>
      <w:pPr>
        <w:pStyle w:val="Subsection"/>
      </w:pPr>
      <w:r>
        <w:tab/>
      </w:r>
      <w:r>
        <w:tab/>
        <w:t xml:space="preserve">For the purposes of paragraph (f) of the definition of </w:t>
      </w:r>
      <w:r>
        <w:rPr>
          <w:b/>
          <w:i/>
        </w:rPr>
        <w:t>restricted legal practice</w:t>
      </w:r>
      <w:r>
        <w:t xml:space="preserve"> in section 72(1) of the Act, legal practice by a person who is an Australian legal practitioner in a capacity mentioned in an item of the Table is approved if it is engaged in under the required supervision mentioned in the item.</w:t>
      </w:r>
    </w:p>
    <w:p>
      <w:pPr>
        <w:pStyle w:val="zTHeadingNAm"/>
        <w:keepLines/>
        <w:widowControl w:val="0"/>
        <w:ind w:left="709"/>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06"/>
        <w:gridCol w:w="2906"/>
      </w:tblGrid>
      <w:tr>
        <w:trPr>
          <w:cantSplit/>
          <w:tblHeader/>
        </w:trPr>
        <w:tc>
          <w:tcPr>
            <w:tcW w:w="709" w:type="dxa"/>
          </w:tcPr>
          <w:p>
            <w:pPr>
              <w:pStyle w:val="TableNAm"/>
              <w:jc w:val="center"/>
            </w:pPr>
            <w:r>
              <w:rPr>
                <w:b/>
                <w:bCs/>
              </w:rPr>
              <w:t>Item</w:t>
            </w:r>
          </w:p>
        </w:tc>
        <w:tc>
          <w:tcPr>
            <w:tcW w:w="2906" w:type="dxa"/>
          </w:tcPr>
          <w:p>
            <w:pPr>
              <w:pStyle w:val="TableNAm"/>
              <w:jc w:val="center"/>
            </w:pPr>
            <w:r>
              <w:rPr>
                <w:b/>
                <w:bCs/>
              </w:rPr>
              <w:t>Capacity of legal practice</w:t>
            </w:r>
          </w:p>
        </w:tc>
        <w:tc>
          <w:tcPr>
            <w:tcW w:w="2906" w:type="dxa"/>
          </w:tcPr>
          <w:p>
            <w:pPr>
              <w:pStyle w:val="TableNAm"/>
              <w:jc w:val="center"/>
            </w:pPr>
            <w:r>
              <w:rPr>
                <w:b/>
                <w:bCs/>
              </w:rPr>
              <w:t>Required supervision</w:t>
            </w:r>
          </w:p>
        </w:tc>
      </w:tr>
      <w:tr>
        <w:trPr>
          <w:cantSplit/>
        </w:trPr>
        <w:tc>
          <w:tcPr>
            <w:tcW w:w="709" w:type="dxa"/>
          </w:tcPr>
          <w:p>
            <w:pPr>
              <w:pStyle w:val="TableNAm"/>
            </w:pPr>
            <w:r>
              <w:t>1.</w:t>
            </w:r>
          </w:p>
        </w:tc>
        <w:tc>
          <w:tcPr>
            <w:tcW w:w="2906" w:type="dxa"/>
          </w:tcPr>
          <w:p>
            <w:pPr>
              <w:pStyle w:val="TableNAm"/>
            </w:pPr>
            <w:r>
              <w:t>As an employee of a law practice, being an employee and who is seconded to work for a body that carries on a business other than the practice of law</w:t>
            </w:r>
          </w:p>
        </w:tc>
        <w:tc>
          <w:tcPr>
            <w:tcW w:w="2906"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906"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906"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906" w:type="dxa"/>
          </w:tcPr>
          <w:p>
            <w:pPr>
              <w:pStyle w:val="TableNAm"/>
            </w:pPr>
            <w:r>
              <w:t xml:space="preserve">As an employee or other member of staff of the Aboriginal Legal Service of Western Australia (Inc.) (the </w:t>
            </w:r>
            <w:r>
              <w:rPr>
                <w:rStyle w:val="CharDefText"/>
              </w:rPr>
              <w:t>ALS</w:t>
            </w:r>
            <w:r>
              <w:t>)</w:t>
            </w:r>
          </w:p>
        </w:tc>
        <w:tc>
          <w:tcPr>
            <w:tcW w:w="2906"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906"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906"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906" w:type="dxa"/>
          </w:tcPr>
          <w:p>
            <w:pPr>
              <w:pStyle w:val="TableNAm"/>
            </w:pPr>
            <w:r>
              <w:t>As an employee or other member of staff of a community legal centre as defined in section 388(1) of the Act</w:t>
            </w:r>
          </w:p>
        </w:tc>
        <w:tc>
          <w:tcPr>
            <w:tcW w:w="2906"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906" w:type="dxa"/>
          </w:tcPr>
          <w:p>
            <w:pPr>
              <w:pStyle w:val="TableNAm"/>
            </w:pPr>
            <w:r>
              <w:t>As a volunteer for a local charitable or not</w:t>
            </w:r>
            <w:r>
              <w:noBreakHyphen/>
              <w:t>for</w:t>
            </w:r>
            <w:r>
              <w:noBreakHyphen/>
              <w:t>profit body if approved by the Board to do so</w:t>
            </w:r>
          </w:p>
        </w:tc>
        <w:tc>
          <w:tcPr>
            <w:tcW w:w="2906"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24 inserted in Gazette 17 Jul 2015 p. 2886</w:t>
      </w:r>
      <w:r>
        <w:noBreakHyphen/>
        <w:t>7.]</w:t>
      </w:r>
    </w:p>
    <w:p>
      <w:pPr>
        <w:pStyle w:val="Heading2"/>
      </w:pPr>
      <w:bookmarkStart w:id="125" w:name="_Toc426101246"/>
      <w:bookmarkStart w:id="126" w:name="_Toc424811103"/>
      <w:bookmarkStart w:id="127" w:name="_Toc424819507"/>
      <w:r>
        <w:rPr>
          <w:rStyle w:val="CharPartNo"/>
        </w:rPr>
        <w:t>Part 3</w:t>
      </w:r>
      <w:r>
        <w:rPr>
          <w:rStyle w:val="CharDivNo"/>
        </w:rPr>
        <w:t> </w:t>
      </w:r>
      <w:r>
        <w:t>—</w:t>
      </w:r>
      <w:r>
        <w:rPr>
          <w:rStyle w:val="CharDivText"/>
        </w:rPr>
        <w:t> </w:t>
      </w:r>
      <w:r>
        <w:rPr>
          <w:rStyle w:val="CharPartText"/>
        </w:rPr>
        <w:t>Foreign lawyers</w:t>
      </w:r>
      <w:bookmarkEnd w:id="125"/>
      <w:bookmarkEnd w:id="126"/>
      <w:bookmarkEnd w:id="127"/>
    </w:p>
    <w:p>
      <w:pPr>
        <w:pStyle w:val="Heading5"/>
      </w:pPr>
      <w:bookmarkStart w:id="128" w:name="_Toc426101247"/>
      <w:bookmarkStart w:id="129" w:name="_Toc424819508"/>
      <w:r>
        <w:rPr>
          <w:rStyle w:val="CharSectno"/>
        </w:rPr>
        <w:t>25</w:t>
      </w:r>
      <w:r>
        <w:t>.</w:t>
      </w:r>
      <w:r>
        <w:tab/>
        <w:t>Fee for application for grant or renewal of registration (s. 168)</w:t>
      </w:r>
      <w:bookmarkEnd w:id="128"/>
      <w:bookmarkEnd w:id="129"/>
    </w:p>
    <w:p>
      <w:pPr>
        <w:pStyle w:val="Subsection"/>
      </w:pPr>
      <w:r>
        <w:tab/>
      </w:r>
      <w:r>
        <w:tab/>
        <w:t>The fee payable for an application for the grant or renewal of registration as a foreign lawyer is the relevant fee specified in Schedule 1.</w:t>
      </w:r>
    </w:p>
    <w:p>
      <w:pPr>
        <w:pStyle w:val="Heading5"/>
      </w:pPr>
      <w:bookmarkStart w:id="130" w:name="_Toc426101248"/>
      <w:bookmarkStart w:id="131" w:name="_Toc424819509"/>
      <w:r>
        <w:rPr>
          <w:rStyle w:val="CharSectno"/>
        </w:rPr>
        <w:t>26</w:t>
      </w:r>
      <w:r>
        <w:t>.</w:t>
      </w:r>
      <w:r>
        <w:tab/>
        <w:t>Conditions regarding notification of offence (s. 191)</w:t>
      </w:r>
      <w:bookmarkEnd w:id="130"/>
      <w:bookmarkEnd w:id="131"/>
    </w:p>
    <w:p>
      <w:pPr>
        <w:pStyle w:val="Subsection"/>
      </w:pPr>
      <w:r>
        <w:tab/>
      </w:r>
      <w:r>
        <w:tab/>
        <w:t>A notice under section 191 of the Act must be in an approved form.</w:t>
      </w:r>
    </w:p>
    <w:p>
      <w:pPr>
        <w:pStyle w:val="Heading5"/>
      </w:pPr>
      <w:bookmarkStart w:id="132" w:name="_Toc426101249"/>
      <w:bookmarkStart w:id="133" w:name="_Toc424819510"/>
      <w:r>
        <w:rPr>
          <w:rStyle w:val="CharSectno"/>
        </w:rPr>
        <w:t>27</w:t>
      </w:r>
      <w:r>
        <w:t>.</w:t>
      </w:r>
      <w:r>
        <w:tab/>
        <w:t>Notification requirements for interstate</w:t>
      </w:r>
      <w:r>
        <w:noBreakHyphen/>
        <w:t>registered foreign lawyers (s. 196)</w:t>
      </w:r>
      <w:bookmarkEnd w:id="132"/>
      <w:bookmarkEnd w:id="133"/>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134" w:name="_Toc426101250"/>
      <w:bookmarkStart w:id="135" w:name="_Toc424811107"/>
      <w:bookmarkStart w:id="136" w:name="_Toc424819511"/>
      <w:r>
        <w:rPr>
          <w:rStyle w:val="CharPartNo"/>
        </w:rPr>
        <w:t>Part 4</w:t>
      </w:r>
      <w:r>
        <w:t> — </w:t>
      </w:r>
      <w:r>
        <w:rPr>
          <w:rStyle w:val="CharPartText"/>
        </w:rPr>
        <w:t>Legal Practice Board</w:t>
      </w:r>
      <w:bookmarkEnd w:id="134"/>
      <w:bookmarkEnd w:id="135"/>
      <w:bookmarkEnd w:id="136"/>
    </w:p>
    <w:p>
      <w:pPr>
        <w:pStyle w:val="Heading3"/>
      </w:pPr>
      <w:bookmarkStart w:id="137" w:name="_Toc426101251"/>
      <w:bookmarkStart w:id="138" w:name="_Toc424811108"/>
      <w:bookmarkStart w:id="139" w:name="_Toc424819512"/>
      <w:r>
        <w:rPr>
          <w:rStyle w:val="CharDivNo"/>
        </w:rPr>
        <w:t>Division 1</w:t>
      </w:r>
      <w:r>
        <w:t> — </w:t>
      </w:r>
      <w:r>
        <w:rPr>
          <w:rStyle w:val="CharDivText"/>
        </w:rPr>
        <w:t>Preliminary matters</w:t>
      </w:r>
      <w:bookmarkEnd w:id="137"/>
      <w:bookmarkEnd w:id="138"/>
      <w:bookmarkEnd w:id="139"/>
    </w:p>
    <w:p>
      <w:pPr>
        <w:pStyle w:val="Heading5"/>
      </w:pPr>
      <w:bookmarkStart w:id="140" w:name="_Toc426101252"/>
      <w:bookmarkStart w:id="141" w:name="_Toc424819513"/>
      <w:r>
        <w:rPr>
          <w:rStyle w:val="CharSectno"/>
        </w:rPr>
        <w:t>28</w:t>
      </w:r>
      <w:r>
        <w:t>.</w:t>
      </w:r>
      <w:r>
        <w:tab/>
        <w:t>Term used: secretary</w:t>
      </w:r>
      <w:bookmarkEnd w:id="140"/>
      <w:bookmarkEnd w:id="141"/>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142" w:name="_Toc426101253"/>
      <w:bookmarkStart w:id="143" w:name="_Toc424811110"/>
      <w:bookmarkStart w:id="144" w:name="_Toc424819514"/>
      <w:r>
        <w:rPr>
          <w:rStyle w:val="CharDivNo"/>
        </w:rPr>
        <w:t>Division 2</w:t>
      </w:r>
      <w:r>
        <w:t> — </w:t>
      </w:r>
      <w:r>
        <w:rPr>
          <w:rStyle w:val="CharDivText"/>
        </w:rPr>
        <w:t>Election of members of the Board</w:t>
      </w:r>
      <w:bookmarkEnd w:id="142"/>
      <w:bookmarkEnd w:id="143"/>
      <w:bookmarkEnd w:id="144"/>
    </w:p>
    <w:p>
      <w:pPr>
        <w:pStyle w:val="Heading5"/>
      </w:pPr>
      <w:bookmarkStart w:id="145" w:name="_Toc426101254"/>
      <w:bookmarkStart w:id="146" w:name="_Toc424819515"/>
      <w:r>
        <w:rPr>
          <w:rStyle w:val="CharSectno"/>
        </w:rPr>
        <w:t>29</w:t>
      </w:r>
      <w:r>
        <w:t>.</w:t>
      </w:r>
      <w:r>
        <w:tab/>
        <w:t>Annual election date</w:t>
      </w:r>
      <w:bookmarkEnd w:id="145"/>
      <w:bookmarkEnd w:id="146"/>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47" w:name="_Toc426101255"/>
      <w:bookmarkStart w:id="148" w:name="_Toc424819516"/>
      <w:r>
        <w:rPr>
          <w:rStyle w:val="CharSectno"/>
        </w:rPr>
        <w:t>30</w:t>
      </w:r>
      <w:r>
        <w:t>.</w:t>
      </w:r>
      <w:r>
        <w:tab/>
        <w:t>Returning officers</w:t>
      </w:r>
      <w:bookmarkEnd w:id="147"/>
      <w:bookmarkEnd w:id="148"/>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149" w:name="_Toc426101256"/>
      <w:bookmarkStart w:id="150" w:name="_Toc424819517"/>
      <w:r>
        <w:rPr>
          <w:rStyle w:val="CharSectno"/>
        </w:rPr>
        <w:t>31</w:t>
      </w:r>
      <w:r>
        <w:t>.</w:t>
      </w:r>
      <w:r>
        <w:tab/>
        <w:t>Nomination of candidates</w:t>
      </w:r>
      <w:bookmarkEnd w:id="149"/>
      <w:bookmarkEnd w:id="150"/>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151" w:name="_Toc426101257"/>
      <w:bookmarkStart w:id="152" w:name="_Toc424819518"/>
      <w:r>
        <w:rPr>
          <w:rStyle w:val="CharSectno"/>
        </w:rPr>
        <w:t>32</w:t>
      </w:r>
      <w:r>
        <w:t>.</w:t>
      </w:r>
      <w:r>
        <w:tab/>
        <w:t>Candidates elected when nominations equal vacancies</w:t>
      </w:r>
      <w:bookmarkEnd w:id="151"/>
      <w:bookmarkEnd w:id="152"/>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53" w:name="_Toc426101258"/>
      <w:bookmarkStart w:id="154" w:name="_Toc424819519"/>
      <w:r>
        <w:rPr>
          <w:rStyle w:val="CharSectno"/>
        </w:rPr>
        <w:t>33</w:t>
      </w:r>
      <w:r>
        <w:t>.</w:t>
      </w:r>
      <w:r>
        <w:tab/>
        <w:t>Ballot papers</w:t>
      </w:r>
      <w:bookmarkEnd w:id="153"/>
      <w:bookmarkEnd w:id="154"/>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55" w:name="_Toc426101259"/>
      <w:bookmarkStart w:id="156" w:name="_Toc424819520"/>
      <w:r>
        <w:rPr>
          <w:rStyle w:val="CharSectno"/>
        </w:rPr>
        <w:t>34</w:t>
      </w:r>
      <w:r>
        <w:t>.</w:t>
      </w:r>
      <w:r>
        <w:tab/>
        <w:t>Voting</w:t>
      </w:r>
      <w:bookmarkEnd w:id="155"/>
      <w:bookmarkEnd w:id="156"/>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spacing w:before="70"/>
        <w:rPr>
          <w:snapToGrid w:val="0"/>
        </w:rPr>
      </w:pPr>
      <w:r>
        <w:tab/>
        <w:t>(a)</w:t>
      </w:r>
      <w:r>
        <w:tab/>
      </w:r>
      <w:r>
        <w:rPr>
          <w:snapToGrid w:val="0"/>
        </w:rPr>
        <w:t>the secretary is to give to the returning officer, unopened, all the ballot paper envelopes returned under subrule (1)(c); and</w:t>
      </w:r>
    </w:p>
    <w:p>
      <w:pPr>
        <w:pStyle w:val="Indenta"/>
        <w:spacing w:before="70"/>
        <w:rPr>
          <w:snapToGrid w:val="0"/>
        </w:rPr>
      </w:pPr>
      <w:r>
        <w:rPr>
          <w:snapToGrid w:val="0"/>
        </w:rPr>
        <w:tab/>
        <w:t>(b)</w:t>
      </w:r>
      <w:r>
        <w:rPr>
          <w:snapToGrid w:val="0"/>
        </w:rPr>
        <w:tab/>
        <w:t xml:space="preserve">the returning officer, assisted by the assistant returning officer, is to — </w:t>
      </w:r>
    </w:p>
    <w:p>
      <w:pPr>
        <w:pStyle w:val="Indenti"/>
        <w:spacing w:before="70"/>
        <w:rPr>
          <w:snapToGrid w:val="0"/>
        </w:rPr>
      </w:pPr>
      <w:r>
        <w:rPr>
          <w:snapToGrid w:val="0"/>
        </w:rPr>
        <w:tab/>
        <w:t>(i)</w:t>
      </w:r>
      <w:r>
        <w:rPr>
          <w:snapToGrid w:val="0"/>
        </w:rPr>
        <w:tab/>
        <w:t>open the ballot paper envelopes; and</w:t>
      </w:r>
    </w:p>
    <w:p>
      <w:pPr>
        <w:pStyle w:val="Indenti"/>
        <w:spacing w:before="70"/>
        <w:rPr>
          <w:snapToGrid w:val="0"/>
        </w:rPr>
      </w:pPr>
      <w:r>
        <w:rPr>
          <w:snapToGrid w:val="0"/>
        </w:rPr>
        <w:tab/>
        <w:t>(ii)</w:t>
      </w:r>
      <w:r>
        <w:rPr>
          <w:snapToGrid w:val="0"/>
        </w:rPr>
        <w:tab/>
        <w:t>decide on the validity of each ballot paper; and</w:t>
      </w:r>
    </w:p>
    <w:p>
      <w:pPr>
        <w:pStyle w:val="Indenti"/>
        <w:spacing w:before="70"/>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spacing w:before="70"/>
        <w:rPr>
          <w:snapToGrid w:val="0"/>
        </w:rPr>
      </w:pPr>
      <w:r>
        <w:rPr>
          <w:snapToGrid w:val="0"/>
        </w:rPr>
        <w:tab/>
        <w:t>(a)</w:t>
      </w:r>
      <w:r>
        <w:rPr>
          <w:snapToGrid w:val="0"/>
        </w:rPr>
        <w:tab/>
        <w:t>the record of votes signed by the returning officer and the assistant returning officer; and</w:t>
      </w:r>
    </w:p>
    <w:p>
      <w:pPr>
        <w:pStyle w:val="Indenta"/>
        <w:spacing w:before="70"/>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spacing w:before="70"/>
      </w:pPr>
      <w:r>
        <w:tab/>
        <w:t>(a)</w:t>
      </w:r>
      <w:r>
        <w:tab/>
        <w:t xml:space="preserve">2 or more candidates receive the same number of votes; and </w:t>
      </w:r>
    </w:p>
    <w:p>
      <w:pPr>
        <w:pStyle w:val="Indenta"/>
        <w:spacing w:before="70"/>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57" w:name="_Toc426101260"/>
      <w:bookmarkStart w:id="158" w:name="_Toc424819521"/>
      <w:r>
        <w:rPr>
          <w:rStyle w:val="CharSectno"/>
        </w:rPr>
        <w:t>35</w:t>
      </w:r>
      <w:r>
        <w:t>.</w:t>
      </w:r>
      <w:r>
        <w:tab/>
        <w:t>Commencement of term of office</w:t>
      </w:r>
      <w:bookmarkEnd w:id="157"/>
      <w:bookmarkEnd w:id="158"/>
    </w:p>
    <w:p>
      <w:pPr>
        <w:pStyle w:val="Subsection"/>
      </w:pPr>
      <w:r>
        <w:tab/>
      </w:r>
      <w:r>
        <w:tab/>
        <w:t>A person elected under rule 32 or 34 takes office on the Thursday after the election date.</w:t>
      </w:r>
    </w:p>
    <w:p>
      <w:pPr>
        <w:pStyle w:val="Heading5"/>
      </w:pPr>
      <w:bookmarkStart w:id="159" w:name="_Toc426101261"/>
      <w:bookmarkStart w:id="160" w:name="_Toc424819522"/>
      <w:r>
        <w:rPr>
          <w:rStyle w:val="CharSectno"/>
        </w:rPr>
        <w:t>36</w:t>
      </w:r>
      <w:r>
        <w:t>.</w:t>
      </w:r>
      <w:r>
        <w:tab/>
        <w:t xml:space="preserve">Results to be published in </w:t>
      </w:r>
      <w:r>
        <w:rPr>
          <w:i/>
          <w:iCs/>
        </w:rPr>
        <w:t>Gazette</w:t>
      </w:r>
      <w:bookmarkEnd w:id="159"/>
      <w:bookmarkEnd w:id="160"/>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spacing w:before="240"/>
      </w:pPr>
      <w:bookmarkStart w:id="161" w:name="_Toc426101262"/>
      <w:bookmarkStart w:id="162" w:name="_Toc424819523"/>
      <w:r>
        <w:rPr>
          <w:rStyle w:val="CharSectno"/>
        </w:rPr>
        <w:t>37</w:t>
      </w:r>
      <w:r>
        <w:t>.</w:t>
      </w:r>
      <w:r>
        <w:tab/>
        <w:t>Non-receipt of ballot papers</w:t>
      </w:r>
      <w:bookmarkEnd w:id="161"/>
      <w:bookmarkEnd w:id="162"/>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spacing w:before="300"/>
      </w:pPr>
      <w:bookmarkStart w:id="163" w:name="_Toc426101263"/>
      <w:bookmarkStart w:id="164" w:name="_Toc424811120"/>
      <w:bookmarkStart w:id="165" w:name="_Toc424819524"/>
      <w:r>
        <w:rPr>
          <w:rStyle w:val="CharDivNo"/>
        </w:rPr>
        <w:t>Division 3</w:t>
      </w:r>
      <w:r>
        <w:t> — </w:t>
      </w:r>
      <w:r>
        <w:rPr>
          <w:rStyle w:val="CharDivText"/>
        </w:rPr>
        <w:t>Board meetings</w:t>
      </w:r>
      <w:bookmarkEnd w:id="163"/>
      <w:bookmarkEnd w:id="164"/>
      <w:bookmarkEnd w:id="165"/>
    </w:p>
    <w:p>
      <w:pPr>
        <w:pStyle w:val="Heading5"/>
        <w:spacing w:before="240"/>
      </w:pPr>
      <w:bookmarkStart w:id="166" w:name="_Toc426101264"/>
      <w:bookmarkStart w:id="167" w:name="_Toc424819525"/>
      <w:r>
        <w:rPr>
          <w:rStyle w:val="CharSectno"/>
        </w:rPr>
        <w:t>38</w:t>
      </w:r>
      <w:r>
        <w:t>.</w:t>
      </w:r>
      <w:r>
        <w:tab/>
        <w:t>Board meetings</w:t>
      </w:r>
      <w:bookmarkEnd w:id="166"/>
      <w:bookmarkEnd w:id="167"/>
    </w:p>
    <w:p>
      <w:pPr>
        <w:pStyle w:val="Subsection"/>
      </w:pPr>
      <w:r>
        <w:tab/>
        <w:t>(1)</w:t>
      </w:r>
      <w:r>
        <w:tab/>
        <w:t xml:space="preserve">Board meetings are to be held — </w:t>
      </w:r>
    </w:p>
    <w:p>
      <w:pPr>
        <w:pStyle w:val="Indenta"/>
        <w:spacing w:before="90"/>
      </w:pPr>
      <w:r>
        <w:tab/>
        <w:t>(a)</w:t>
      </w:r>
      <w:r>
        <w:tab/>
        <w:t>at the times and places determined by the Board; and</w:t>
      </w:r>
    </w:p>
    <w:p>
      <w:pPr>
        <w:pStyle w:val="Indenta"/>
        <w:spacing w:before="90"/>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 before the time requested for the meeting.</w:t>
      </w:r>
    </w:p>
    <w:p>
      <w:pPr>
        <w:pStyle w:val="Heading5"/>
        <w:spacing w:before="240"/>
      </w:pPr>
      <w:bookmarkStart w:id="168" w:name="_Toc426101265"/>
      <w:bookmarkStart w:id="169" w:name="_Toc424819526"/>
      <w:r>
        <w:rPr>
          <w:rStyle w:val="CharSectno"/>
        </w:rPr>
        <w:t>39</w:t>
      </w:r>
      <w:r>
        <w:t>.</w:t>
      </w:r>
      <w:r>
        <w:tab/>
        <w:t>Holding meetings remotely</w:t>
      </w:r>
      <w:bookmarkEnd w:id="168"/>
      <w:bookmarkEnd w:id="169"/>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spacing w:before="240"/>
      </w:pPr>
      <w:bookmarkStart w:id="170" w:name="_Toc426101266"/>
      <w:bookmarkStart w:id="171" w:name="_Toc424819527"/>
      <w:r>
        <w:rPr>
          <w:rStyle w:val="CharSectno"/>
        </w:rPr>
        <w:t>40</w:t>
      </w:r>
      <w:r>
        <w:t>.</w:t>
      </w:r>
      <w:r>
        <w:tab/>
        <w:t>Urgent meetings</w:t>
      </w:r>
      <w:bookmarkEnd w:id="170"/>
      <w:bookmarkEnd w:id="171"/>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172" w:name="_Toc426101267"/>
      <w:bookmarkStart w:id="173" w:name="_Toc424819528"/>
      <w:r>
        <w:rPr>
          <w:rStyle w:val="CharSectno"/>
        </w:rPr>
        <w:t>41</w:t>
      </w:r>
      <w:r>
        <w:t>.</w:t>
      </w:r>
      <w:r>
        <w:tab/>
        <w:t>Resolution without meeting</w:t>
      </w:r>
      <w:bookmarkEnd w:id="172"/>
      <w:bookmarkEnd w:id="173"/>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174" w:name="_Toc426101268"/>
      <w:bookmarkStart w:id="175" w:name="_Toc424819529"/>
      <w:r>
        <w:rPr>
          <w:rStyle w:val="CharSectno"/>
        </w:rPr>
        <w:t>42</w:t>
      </w:r>
      <w:r>
        <w:t>.</w:t>
      </w:r>
      <w:r>
        <w:tab/>
        <w:t>Rescission or amendment</w:t>
      </w:r>
      <w:bookmarkEnd w:id="174"/>
      <w:bookmarkEnd w:id="175"/>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176" w:name="_Toc426101269"/>
      <w:bookmarkStart w:id="177" w:name="_Toc424819530"/>
      <w:r>
        <w:rPr>
          <w:rStyle w:val="CharSectno"/>
        </w:rPr>
        <w:t>43</w:t>
      </w:r>
      <w:r>
        <w:t>.</w:t>
      </w:r>
      <w:r>
        <w:tab/>
        <w:t>Minutes</w:t>
      </w:r>
      <w:bookmarkEnd w:id="176"/>
      <w:bookmarkEnd w:id="177"/>
    </w:p>
    <w:p>
      <w:pPr>
        <w:pStyle w:val="Subsection"/>
        <w:spacing w:before="140"/>
        <w:rPr>
          <w:snapToGrid w:val="0"/>
        </w:rPr>
      </w:pPr>
      <w:r>
        <w:rPr>
          <w:snapToGrid w:val="0"/>
        </w:rPr>
        <w:tab/>
        <w:t>(1)</w:t>
      </w:r>
      <w:r>
        <w:rPr>
          <w:snapToGrid w:val="0"/>
        </w:rPr>
        <w:tab/>
        <w:t>The secretary is to keep minutes of every Board meeting.</w:t>
      </w:r>
    </w:p>
    <w:p>
      <w:pPr>
        <w:pStyle w:val="Subsection"/>
        <w:spacing w:before="140"/>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178" w:name="_Toc426101270"/>
      <w:bookmarkStart w:id="179" w:name="_Toc424811127"/>
      <w:bookmarkStart w:id="180" w:name="_Toc424819531"/>
      <w:r>
        <w:rPr>
          <w:rStyle w:val="CharDivNo"/>
        </w:rPr>
        <w:t>Division 4</w:t>
      </w:r>
      <w:r>
        <w:t> — </w:t>
      </w:r>
      <w:r>
        <w:rPr>
          <w:rStyle w:val="CharDivText"/>
        </w:rPr>
        <w:t>Committees</w:t>
      </w:r>
      <w:bookmarkEnd w:id="178"/>
      <w:bookmarkEnd w:id="179"/>
      <w:bookmarkEnd w:id="180"/>
    </w:p>
    <w:p>
      <w:pPr>
        <w:pStyle w:val="Heading5"/>
        <w:spacing w:before="200"/>
      </w:pPr>
      <w:bookmarkStart w:id="181" w:name="_Toc426101271"/>
      <w:bookmarkStart w:id="182" w:name="_Toc424819532"/>
      <w:r>
        <w:rPr>
          <w:rStyle w:val="CharSectno"/>
        </w:rPr>
        <w:t>44</w:t>
      </w:r>
      <w:r>
        <w:t>.</w:t>
      </w:r>
      <w:r>
        <w:tab/>
        <w:t>Convenor and deputy convenor</w:t>
      </w:r>
      <w:bookmarkEnd w:id="181"/>
      <w:bookmarkEnd w:id="182"/>
    </w:p>
    <w:p>
      <w:pPr>
        <w:pStyle w:val="Subsection"/>
        <w:spacing w:before="140"/>
      </w:pPr>
      <w:r>
        <w:tab/>
        <w:t>(1)</w:t>
      </w:r>
      <w:r>
        <w:tab/>
        <w:t>The Board is to appoint a convenor and deputy convenor for each committee.</w:t>
      </w:r>
    </w:p>
    <w:p>
      <w:pPr>
        <w:pStyle w:val="Subsection"/>
        <w:spacing w:before="140"/>
      </w:pPr>
      <w:r>
        <w:tab/>
        <w:t>(2)</w:t>
      </w:r>
      <w:r>
        <w:tab/>
        <w:t xml:space="preserve">Section 541(2) to (6) of the Act apply to a convenor and deputy convenor of a committee. </w:t>
      </w:r>
    </w:p>
    <w:p>
      <w:pPr>
        <w:pStyle w:val="Heading5"/>
      </w:pPr>
      <w:bookmarkStart w:id="183" w:name="_Toc426101272"/>
      <w:bookmarkStart w:id="184" w:name="_Toc424819533"/>
      <w:r>
        <w:rPr>
          <w:rStyle w:val="CharSectno"/>
        </w:rPr>
        <w:t>45</w:t>
      </w:r>
      <w:r>
        <w:t>.</w:t>
      </w:r>
      <w:r>
        <w:tab/>
        <w:t>Committee meetings</w:t>
      </w:r>
      <w:bookmarkEnd w:id="183"/>
      <w:bookmarkEnd w:id="184"/>
    </w:p>
    <w:p>
      <w:pPr>
        <w:pStyle w:val="Subsection"/>
        <w:spacing w:before="140"/>
      </w:pPr>
      <w:r>
        <w:tab/>
        <w:t>(1)</w:t>
      </w:r>
      <w:r>
        <w:tab/>
      </w:r>
      <w:del w:id="185" w:author="Master Repository Process" w:date="2021-08-29T02:18:00Z">
        <w:r>
          <w:delText>Section</w:delText>
        </w:r>
      </w:del>
      <w:ins w:id="186" w:author="Master Repository Process" w:date="2021-08-29T02:18:00Z">
        <w:r>
          <w:t>Sections</w:t>
        </w:r>
      </w:ins>
      <w:r>
        <w:t> 543, 544 and 545 of the Act and rules 38, 39, 41, 42 and 43(1) apply to committee meetings.</w:t>
      </w:r>
    </w:p>
    <w:p>
      <w:pPr>
        <w:pStyle w:val="Subsection"/>
        <w:spacing w:before="140"/>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187" w:name="_Toc426101273"/>
      <w:bookmarkStart w:id="188" w:name="_Toc424819534"/>
      <w:r>
        <w:rPr>
          <w:rStyle w:val="CharSectno"/>
        </w:rPr>
        <w:t>46</w:t>
      </w:r>
      <w:r>
        <w:t>.</w:t>
      </w:r>
      <w:r>
        <w:tab/>
        <w:t>Application of applied provisions</w:t>
      </w:r>
      <w:bookmarkEnd w:id="187"/>
      <w:bookmarkEnd w:id="188"/>
    </w:p>
    <w:p>
      <w:pPr>
        <w:pStyle w:val="Subsection"/>
        <w:spacing w:before="140"/>
      </w:pPr>
      <w:r>
        <w:tab/>
      </w:r>
      <w:r>
        <w:tab/>
        <w:t>For the purpose of applying the provisions referred to in rules 44(2) and 45(1) —</w:t>
      </w:r>
    </w:p>
    <w:p>
      <w:pPr>
        <w:pStyle w:val="Indenta"/>
        <w:spacing w:before="60"/>
      </w:pPr>
      <w:r>
        <w:tab/>
        <w:t>(a)</w:t>
      </w:r>
      <w:r>
        <w:tab/>
        <w:t>a reference in those provisions to the Board, is to be read as a reference to the committee; and</w:t>
      </w:r>
    </w:p>
    <w:p>
      <w:pPr>
        <w:pStyle w:val="Indenta"/>
        <w:spacing w:before="60"/>
      </w:pPr>
      <w:r>
        <w:tab/>
        <w:t>(b)</w:t>
      </w:r>
      <w:r>
        <w:tab/>
        <w:t>a reference in those provisions to the chairperson, is to be read as a reference to the convenor; and</w:t>
      </w:r>
    </w:p>
    <w:p>
      <w:pPr>
        <w:pStyle w:val="Indenta"/>
        <w:spacing w:before="60"/>
      </w:pPr>
      <w:r>
        <w:tab/>
        <w:t>(c)</w:t>
      </w:r>
      <w:r>
        <w:tab/>
        <w:t>a reference in those provisions to the deputy chairperson, is to be read as a reference to the deputy convenor; and</w:t>
      </w:r>
    </w:p>
    <w:p>
      <w:pPr>
        <w:pStyle w:val="Indenta"/>
        <w:spacing w:before="60"/>
      </w:pPr>
      <w:r>
        <w:tab/>
        <w:t>(d)</w:t>
      </w:r>
      <w:r>
        <w:tab/>
        <w:t>a reference in those provisions to a member of the Board, is to be read as a reference to a member of the committee.</w:t>
      </w:r>
    </w:p>
    <w:p>
      <w:pPr>
        <w:pStyle w:val="Heading2"/>
      </w:pPr>
      <w:bookmarkStart w:id="189" w:name="_Toc426101274"/>
      <w:bookmarkStart w:id="190" w:name="_Toc424811131"/>
      <w:bookmarkStart w:id="191" w:name="_Toc424819535"/>
      <w:r>
        <w:rPr>
          <w:rStyle w:val="CharPartNo"/>
        </w:rPr>
        <w:t>Part 5</w:t>
      </w:r>
      <w:r>
        <w:rPr>
          <w:rStyle w:val="CharDivNo"/>
        </w:rPr>
        <w:t> </w:t>
      </w:r>
      <w:r>
        <w:t>—</w:t>
      </w:r>
      <w:r>
        <w:rPr>
          <w:rStyle w:val="CharDivText"/>
        </w:rPr>
        <w:t> </w:t>
      </w:r>
      <w:r>
        <w:rPr>
          <w:rStyle w:val="CharPartText"/>
        </w:rPr>
        <w:t>Law Library at Supreme Court</w:t>
      </w:r>
      <w:bookmarkEnd w:id="189"/>
      <w:bookmarkEnd w:id="190"/>
      <w:bookmarkEnd w:id="191"/>
    </w:p>
    <w:p>
      <w:pPr>
        <w:pStyle w:val="Heading5"/>
      </w:pPr>
      <w:bookmarkStart w:id="192" w:name="_Toc426101275"/>
      <w:bookmarkStart w:id="193" w:name="_Toc424819536"/>
      <w:r>
        <w:rPr>
          <w:rStyle w:val="CharSectno"/>
        </w:rPr>
        <w:t>47</w:t>
      </w:r>
      <w:r>
        <w:t>.</w:t>
      </w:r>
      <w:r>
        <w:tab/>
        <w:t>Terms used</w:t>
      </w:r>
      <w:bookmarkEnd w:id="192"/>
      <w:bookmarkEnd w:id="193"/>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 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194" w:name="_Toc426101276"/>
      <w:bookmarkStart w:id="195" w:name="_Toc424819537"/>
      <w:r>
        <w:rPr>
          <w:rStyle w:val="CharSectno"/>
        </w:rPr>
        <w:t>48</w:t>
      </w:r>
      <w:r>
        <w:t>.</w:t>
      </w:r>
      <w:r>
        <w:tab/>
        <w:t xml:space="preserve">People entitled to use </w:t>
      </w:r>
      <w:del w:id="196" w:author="Master Repository Process" w:date="2021-08-29T02:18:00Z">
        <w:r>
          <w:delText xml:space="preserve">the </w:delText>
        </w:r>
      </w:del>
      <w:r>
        <w:t>library</w:t>
      </w:r>
      <w:bookmarkEnd w:id="194"/>
      <w:bookmarkEnd w:id="195"/>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197" w:name="_Toc426101277"/>
      <w:bookmarkStart w:id="198" w:name="_Toc424819538"/>
      <w:r>
        <w:rPr>
          <w:rStyle w:val="CharSectno"/>
        </w:rPr>
        <w:t>49</w:t>
      </w:r>
      <w:r>
        <w:t>.</w:t>
      </w:r>
      <w:r>
        <w:tab/>
        <w:t>Librarian may suspend or restrict entitlement to use library</w:t>
      </w:r>
      <w:bookmarkEnd w:id="197"/>
      <w:bookmarkEnd w:id="198"/>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199" w:name="_Toc426101278"/>
      <w:bookmarkStart w:id="200" w:name="_Toc424819539"/>
      <w:r>
        <w:rPr>
          <w:rStyle w:val="CharSectno"/>
        </w:rPr>
        <w:t>50</w:t>
      </w:r>
      <w:r>
        <w:t>.</w:t>
      </w:r>
      <w:r>
        <w:tab/>
        <w:t>Board may suspend or restrict entitlement to use library</w:t>
      </w:r>
      <w:bookmarkEnd w:id="199"/>
      <w:bookmarkEnd w:id="200"/>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201" w:name="_Toc426101279"/>
      <w:bookmarkStart w:id="202" w:name="_Toc424819540"/>
      <w:r>
        <w:rPr>
          <w:rStyle w:val="CharSectno"/>
        </w:rPr>
        <w:t>51</w:t>
      </w:r>
      <w:r>
        <w:t>.</w:t>
      </w:r>
      <w:r>
        <w:tab/>
        <w:t>Use of</w:t>
      </w:r>
      <w:del w:id="203" w:author="Master Repository Process" w:date="2021-08-29T02:18:00Z">
        <w:r>
          <w:delText xml:space="preserve"> the</w:delText>
        </w:r>
      </w:del>
      <w:r>
        <w:t xml:space="preserve"> library and books</w:t>
      </w:r>
      <w:bookmarkEnd w:id="201"/>
      <w:bookmarkEnd w:id="202"/>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204" w:name="_Toc426101280"/>
      <w:bookmarkStart w:id="205" w:name="_Toc424819541"/>
      <w:r>
        <w:rPr>
          <w:rStyle w:val="CharSectno"/>
        </w:rPr>
        <w:t>52</w:t>
      </w:r>
      <w:r>
        <w:t>.</w:t>
      </w:r>
      <w:r>
        <w:tab/>
        <w:t>Borrowing books</w:t>
      </w:r>
      <w:bookmarkEnd w:id="204"/>
      <w:bookmarkEnd w:id="205"/>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206" w:name="_Toc426101281"/>
      <w:bookmarkStart w:id="207" w:name="_Toc424819542"/>
      <w:r>
        <w:rPr>
          <w:rStyle w:val="CharSectno"/>
        </w:rPr>
        <w:t>53</w:t>
      </w:r>
      <w:r>
        <w:t>.</w:t>
      </w:r>
      <w:r>
        <w:tab/>
        <w:t>Removal of unauthorised people and retrieval of books</w:t>
      </w:r>
      <w:bookmarkEnd w:id="206"/>
      <w:bookmarkEnd w:id="207"/>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208" w:name="_Toc426101282"/>
      <w:bookmarkStart w:id="209" w:name="_Toc424811139"/>
      <w:bookmarkStart w:id="210" w:name="_Toc424819543"/>
      <w:r>
        <w:rPr>
          <w:rStyle w:val="CharPartNo"/>
        </w:rPr>
        <w:t>Part 6</w:t>
      </w:r>
      <w:r>
        <w:rPr>
          <w:rStyle w:val="CharDivNo"/>
        </w:rPr>
        <w:t> </w:t>
      </w:r>
      <w:r>
        <w:t>—</w:t>
      </w:r>
      <w:r>
        <w:rPr>
          <w:rStyle w:val="CharDivText"/>
        </w:rPr>
        <w:t> </w:t>
      </w:r>
      <w:r>
        <w:rPr>
          <w:rStyle w:val="CharPartText"/>
        </w:rPr>
        <w:t>General matters</w:t>
      </w:r>
      <w:bookmarkEnd w:id="208"/>
      <w:bookmarkEnd w:id="209"/>
      <w:bookmarkEnd w:id="210"/>
    </w:p>
    <w:p>
      <w:pPr>
        <w:pStyle w:val="Heading5"/>
      </w:pPr>
      <w:bookmarkStart w:id="211" w:name="_Toc426101283"/>
      <w:bookmarkStart w:id="212" w:name="_Toc424819544"/>
      <w:r>
        <w:rPr>
          <w:rStyle w:val="CharSectno"/>
        </w:rPr>
        <w:t>54</w:t>
      </w:r>
      <w:r>
        <w:t>.</w:t>
      </w:r>
      <w:r>
        <w:tab/>
        <w:t xml:space="preserve">Documents given to or by </w:t>
      </w:r>
      <w:del w:id="213" w:author="Master Repository Process" w:date="2021-08-29T02:18:00Z">
        <w:r>
          <w:delText xml:space="preserve">the </w:delText>
        </w:r>
      </w:del>
      <w:r>
        <w:t>Board</w:t>
      </w:r>
      <w:bookmarkEnd w:id="211"/>
      <w:bookmarkEnd w:id="212"/>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214" w:name="_Toc424819545"/>
      <w:bookmarkStart w:id="215" w:name="_Toc426101284"/>
      <w:r>
        <w:rPr>
          <w:rStyle w:val="CharSectno"/>
        </w:rPr>
        <w:t>55</w:t>
      </w:r>
      <w:r>
        <w:t>.</w:t>
      </w:r>
      <w:r>
        <w:tab/>
        <w:t xml:space="preserve">Board may excuse </w:t>
      </w:r>
      <w:del w:id="216" w:author="Master Repository Process" w:date="2021-08-29T02:18:00Z">
        <w:r>
          <w:delText>noncompliance</w:delText>
        </w:r>
      </w:del>
      <w:bookmarkEnd w:id="214"/>
      <w:ins w:id="217" w:author="Master Repository Process" w:date="2021-08-29T02:18:00Z">
        <w:r>
          <w:t>non-compliance</w:t>
        </w:r>
      </w:ins>
      <w:bookmarkEnd w:id="215"/>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del w:id="218" w:author="Master Repository Process" w:date="2021-08-29T02:18:00Z"/>
          <w:snapToGrid w:val="0"/>
        </w:rPr>
      </w:pPr>
      <w:bookmarkStart w:id="219" w:name="_Toc424819546"/>
      <w:del w:id="220" w:author="Master Repository Process" w:date="2021-08-29T02:18:00Z">
        <w:r>
          <w:rPr>
            <w:rStyle w:val="CharSectno"/>
          </w:rPr>
          <w:delText>56</w:delText>
        </w:r>
        <w:r>
          <w:rPr>
            <w:snapToGrid w:val="0"/>
          </w:rPr>
          <w:delText>.</w:delText>
        </w:r>
        <w:r>
          <w:rPr>
            <w:snapToGrid w:val="0"/>
          </w:rPr>
          <w:tab/>
          <w:delText>Rules repealed</w:delText>
        </w:r>
        <w:bookmarkEnd w:id="219"/>
      </w:del>
    </w:p>
    <w:p>
      <w:pPr>
        <w:pStyle w:val="Subsection"/>
        <w:rPr>
          <w:del w:id="221" w:author="Master Repository Process" w:date="2021-08-29T02:18:00Z"/>
          <w:iCs/>
        </w:rPr>
      </w:pPr>
      <w:del w:id="222" w:author="Master Repository Process" w:date="2021-08-29T02:18:00Z">
        <w:r>
          <w:rPr>
            <w:iCs/>
          </w:rPr>
          <w:tab/>
        </w:r>
        <w:r>
          <w:rPr>
            <w:iCs/>
          </w:rPr>
          <w:tab/>
          <w:delText xml:space="preserve">The </w:delText>
        </w:r>
        <w:r>
          <w:rPr>
            <w:i/>
            <w:iCs/>
          </w:rPr>
          <w:delText>Legal Practice Board Rules 2004</w:delText>
        </w:r>
        <w:r>
          <w:rPr>
            <w:iCs/>
          </w:rPr>
          <w:delText xml:space="preserve"> are repealed.</w:delText>
        </w:r>
      </w:del>
    </w:p>
    <w:p>
      <w:pPr>
        <w:pStyle w:val="Ednotesection"/>
        <w:rPr>
          <w:ins w:id="223" w:author="Master Repository Process" w:date="2021-08-29T02:18:00Z"/>
        </w:rPr>
      </w:pPr>
      <w:ins w:id="224" w:author="Master Repository Process" w:date="2021-08-29T02:18:00Z">
        <w:r>
          <w:t>[</w:t>
        </w:r>
        <w:r>
          <w:rPr>
            <w:b/>
          </w:rPr>
          <w:t>56.</w:t>
        </w:r>
        <w:r>
          <w:tab/>
          <w:t>Omitted under the Reprints Act 1984 s. 7(4)(f).]</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5" w:name="_Toc426101285"/>
      <w:bookmarkStart w:id="226" w:name="_Toc424811143"/>
      <w:bookmarkStart w:id="227" w:name="_Toc424819547"/>
      <w:r>
        <w:rPr>
          <w:rStyle w:val="CharSchNo"/>
        </w:rPr>
        <w:t>Schedule 1</w:t>
      </w:r>
      <w:r>
        <w:rPr>
          <w:rStyle w:val="CharSDivNo"/>
        </w:rPr>
        <w:t> </w:t>
      </w:r>
      <w:r>
        <w:t>—</w:t>
      </w:r>
      <w:r>
        <w:rPr>
          <w:rStyle w:val="CharSDivText"/>
        </w:rPr>
        <w:t> </w:t>
      </w:r>
      <w:r>
        <w:rPr>
          <w:rStyle w:val="CharSchText"/>
        </w:rPr>
        <w:t>Fees</w:t>
      </w:r>
      <w:bookmarkEnd w:id="225"/>
      <w:bookmarkEnd w:id="226"/>
      <w:bookmarkEnd w:id="227"/>
    </w:p>
    <w:p>
      <w:pPr>
        <w:pStyle w:val="yShoulderClause"/>
        <w:spacing w:after="60"/>
      </w:pPr>
      <w:r>
        <w:t>[r. 4 and 25]</w:t>
      </w:r>
    </w:p>
    <w:p>
      <w:pPr>
        <w:pStyle w:val="yHeading5"/>
      </w:pPr>
      <w:bookmarkStart w:id="228" w:name="_Toc426101286"/>
      <w:bookmarkStart w:id="229" w:name="_Toc424819548"/>
      <w:r>
        <w:rPr>
          <w:rStyle w:val="CharSClsNo"/>
        </w:rPr>
        <w:t>1</w:t>
      </w:r>
      <w:r>
        <w:t>.</w:t>
      </w:r>
      <w:r>
        <w:tab/>
        <w:t>Terms used</w:t>
      </w:r>
      <w:bookmarkEnd w:id="228"/>
      <w:bookmarkEnd w:id="229"/>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 12 Dec 2014 p. 4719.]</w:t>
      </w:r>
    </w:p>
    <w:p>
      <w:pPr>
        <w:pStyle w:val="yHeading5"/>
      </w:pPr>
      <w:bookmarkStart w:id="230" w:name="_Toc426101287"/>
      <w:bookmarkStart w:id="231" w:name="_Toc424819549"/>
      <w:r>
        <w:rPr>
          <w:rStyle w:val="CharSClsNo"/>
        </w:rPr>
        <w:t>2</w:t>
      </w:r>
      <w:r>
        <w:t>.</w:t>
      </w:r>
      <w:r>
        <w:tab/>
        <w:t>Fees</w:t>
      </w:r>
      <w:bookmarkEnd w:id="230"/>
      <w:bookmarkEnd w:id="231"/>
    </w:p>
    <w:p>
      <w:pPr>
        <w:pStyle w:val="ySubsection"/>
      </w:pPr>
      <w:r>
        <w:tab/>
      </w:r>
      <w:r>
        <w:tab/>
        <w:t>The fees payable in respect of the matters listed in the Table are the fees specified in the Table.</w:t>
      </w:r>
    </w:p>
    <w:p>
      <w:pPr>
        <w:pStyle w:val="yTHeadingNAm"/>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4111"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4111"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del w:id="232" w:author="Master Repository Process" w:date="2021-08-29T02:18:00Z">
              <w:r>
                <w:br/>
              </w:r>
            </w:del>
            <w:r>
              <w:br/>
            </w:r>
            <w:r>
              <w:br/>
              <w:t>45% of standard fee</w:t>
            </w:r>
          </w:p>
        </w:tc>
      </w:tr>
      <w:tr>
        <w:tc>
          <w:tcPr>
            <w:tcW w:w="709" w:type="dxa"/>
            <w:tcBorders>
              <w:top w:val="nil"/>
              <w:left w:val="nil"/>
              <w:bottom w:val="nil"/>
              <w:right w:val="nil"/>
            </w:tcBorders>
          </w:tcPr>
          <w:p>
            <w:pPr>
              <w:pStyle w:val="yTableNAm"/>
              <w:keepNext/>
              <w:keepLines/>
            </w:pPr>
          </w:p>
        </w:tc>
        <w:tc>
          <w:tcPr>
            <w:tcW w:w="4111" w:type="dxa"/>
            <w:tcBorders>
              <w:top w:val="nil"/>
              <w:left w:val="nil"/>
              <w:bottom w:val="nil"/>
              <w:right w:val="nil"/>
            </w:tcBorders>
          </w:tcPr>
          <w:p>
            <w:pPr>
              <w:pStyle w:val="yTableNAm"/>
              <w:keepNext/>
              <w:keepLines/>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keepNext/>
              <w:keepLines/>
            </w:pPr>
            <w:del w:id="233" w:author="Master Repository Process" w:date="2021-08-29T02:18:00Z">
              <w:r>
                <w:br/>
              </w:r>
            </w:del>
            <w:r>
              <w:br/>
            </w:r>
            <w:r>
              <w:br/>
            </w:r>
            <w:r>
              <w:br/>
              <w:t>50%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4111"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del w:id="234" w:author="Master Repository Process" w:date="2021-08-29T02:18:00Z">
              <w:r>
                <w:br/>
              </w:r>
            </w:del>
            <w:r>
              <w:br/>
            </w:r>
            <w:r>
              <w:br/>
              <w:t>95% of 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del w:id="235" w:author="Master Repository Process" w:date="2021-08-29T02:18:00Z">
              <w:r>
                <w:br/>
              </w:r>
            </w:del>
            <w:r>
              <w:br/>
            </w:r>
            <w:r>
              <w:br/>
            </w:r>
            <w:r>
              <w:br/>
              <w:t>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4111"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4111" w:type="dxa"/>
            <w:tcBorders>
              <w:top w:val="nil"/>
              <w:left w:val="nil"/>
              <w:bottom w:val="nil"/>
              <w:right w:val="nil"/>
            </w:tcBorders>
          </w:tcPr>
          <w:p>
            <w:pPr>
              <w:pStyle w:val="yTableNAm"/>
              <w:keepNext/>
              <w:tabs>
                <w:tab w:val="clear" w:pos="567"/>
                <w:tab w:val="left" w:pos="459"/>
                <w:tab w:val="right" w:leader="dot" w:pos="3861"/>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4111" w:type="dxa"/>
            <w:tcBorders>
              <w:top w:val="nil"/>
              <w:left w:val="nil"/>
              <w:bottom w:val="single" w:sz="4" w:space="0" w:color="auto"/>
              <w:right w:val="nil"/>
            </w:tcBorders>
          </w:tcPr>
          <w:p>
            <w:pPr>
              <w:pStyle w:val="yTableNAm"/>
              <w:tabs>
                <w:tab w:val="clear" w:pos="567"/>
                <w:tab w:val="left" w:pos="459"/>
                <w:tab w:val="right" w:leader="dot" w:pos="3861"/>
              </w:tabs>
              <w:ind w:left="459" w:hanging="459"/>
            </w:pPr>
            <w:r>
              <w:t>(b)</w:t>
            </w:r>
            <w:r>
              <w:tab/>
              <w:t>application made on or after 1 June in the year in which the registration is due to expire</w:t>
            </w:r>
            <w:del w:id="236" w:author="Master Repository Process" w:date="2021-08-29T02:18:00Z">
              <w:r>
                <w:delText xml:space="preserve"> </w:delText>
              </w:r>
            </w:del>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pStyle w:val="CentredBaseLine"/>
        <w:jc w:val="center"/>
        <w:rPr>
          <w:ins w:id="237" w:author="Master Repository Process" w:date="2021-08-29T02:18:00Z"/>
        </w:rPr>
      </w:pPr>
      <w:ins w:id="238" w:author="Master Repository Process" w:date="2021-08-29T02:1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40" w:name="_Toc426101288"/>
      <w:bookmarkStart w:id="241" w:name="_Toc424811146"/>
      <w:bookmarkStart w:id="242" w:name="_Toc424819550"/>
      <w:r>
        <w:t>Notes</w:t>
      </w:r>
      <w:bookmarkEnd w:id="240"/>
      <w:bookmarkEnd w:id="241"/>
      <w:bookmarkEnd w:id="242"/>
    </w:p>
    <w:p>
      <w:pPr>
        <w:pStyle w:val="nSubsection"/>
      </w:pPr>
      <w:r>
        <w:rPr>
          <w:vertAlign w:val="superscript"/>
        </w:rPr>
        <w:t>1</w:t>
      </w:r>
      <w:r>
        <w:tab/>
        <w:t xml:space="preserve">This </w:t>
      </w:r>
      <w:ins w:id="243" w:author="Master Repository Process" w:date="2021-08-29T02:18:00Z">
        <w:r>
          <w:t xml:space="preserve">reprint </w:t>
        </w:r>
      </w:ins>
      <w:r>
        <w:t xml:space="preserve">is a compilation </w:t>
      </w:r>
      <w:ins w:id="244" w:author="Master Repository Process" w:date="2021-08-29T02:18:00Z">
        <w:r>
          <w:t xml:space="preserve">as at 14 August 2015 </w:t>
        </w:r>
      </w:ins>
      <w:r>
        <w:t xml:space="preserve">of the </w:t>
      </w:r>
      <w:r>
        <w:rPr>
          <w:i/>
          <w:noProof/>
        </w:rPr>
        <w:t>Legal Profession Rules</w:t>
      </w:r>
      <w:del w:id="245" w:author="Master Repository Process" w:date="2021-08-29T02:18:00Z">
        <w:r>
          <w:rPr>
            <w:i/>
            <w:noProof/>
            <w:snapToGrid w:val="0"/>
          </w:rPr>
          <w:delText xml:space="preserve"> </w:delText>
        </w:r>
      </w:del>
      <w:ins w:id="246" w:author="Master Repository Process" w:date="2021-08-29T02:18:00Z">
        <w:r>
          <w:rPr>
            <w:i/>
            <w:noProof/>
          </w:rPr>
          <w:t> </w:t>
        </w:r>
      </w:ins>
      <w:r>
        <w:rPr>
          <w:i/>
          <w:noProof/>
        </w:rPr>
        <w:t>2009</w:t>
      </w:r>
      <w:r>
        <w:t xml:space="preserve"> and includes the amendments made by the other written laws referred to in the following table.</w:t>
      </w:r>
      <w:ins w:id="247" w:author="Master Repository Process" w:date="2021-08-29T02:18:00Z">
        <w:r>
          <w:t xml:space="preserve">  The table also contains information about any reprint.</w:t>
        </w:r>
      </w:ins>
    </w:p>
    <w:p>
      <w:pPr>
        <w:pStyle w:val="nHeading3"/>
      </w:pPr>
      <w:bookmarkStart w:id="248" w:name="_Toc426101289"/>
      <w:bookmarkStart w:id="249" w:name="_Toc424819551"/>
      <w:r>
        <w:t>Compilation table</w:t>
      </w:r>
      <w:bookmarkEnd w:id="248"/>
      <w:bookmarkEnd w:id="24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Rules 2009</w:t>
            </w:r>
          </w:p>
        </w:tc>
        <w:tc>
          <w:tcPr>
            <w:tcW w:w="1276" w:type="dxa"/>
            <w:tcBorders>
              <w:top w:val="single" w:sz="8" w:space="0" w:color="auto"/>
              <w:bottom w:val="nil"/>
            </w:tcBorders>
          </w:tcPr>
          <w:p>
            <w:pPr>
              <w:pStyle w:val="nTable"/>
              <w:spacing w:after="40"/>
            </w:pPr>
            <w:r>
              <w:t>24 Feb 2009 p. 411</w:t>
            </w:r>
            <w:r>
              <w:noBreakHyphen/>
              <w:t>47</w:t>
            </w:r>
          </w:p>
        </w:tc>
        <w:tc>
          <w:tcPr>
            <w:tcW w:w="2694" w:type="dxa"/>
            <w:tcBorders>
              <w:top w:val="single" w:sz="8" w:space="0" w:color="auto"/>
              <w:bottom w:val="nil"/>
            </w:tcBorders>
          </w:tcPr>
          <w:p>
            <w:pPr>
              <w:pStyle w:val="nTable"/>
              <w:spacing w:after="40"/>
            </w:pPr>
            <w:r>
              <w:rPr>
                <w:snapToGrid w:val="0"/>
              </w:rPr>
              <w:t>r. 1 and 2: 24 Feb 2009 (see r. 2(a));</w:t>
            </w:r>
            <w:r>
              <w:rPr>
                <w:snapToGrid w:val="0"/>
              </w:rPr>
              <w:br/>
              <w:t xml:space="preserve">Rules other than r. 1 and 2: 1 Mar 2009 (see r. 2(b) and </w:t>
            </w:r>
            <w:r>
              <w:rPr>
                <w:i/>
                <w:iCs/>
                <w:snapToGrid w:val="0"/>
              </w:rPr>
              <w:t>Gazette</w:t>
            </w:r>
            <w:r>
              <w:rPr>
                <w:snapToGrid w:val="0"/>
              </w:rPr>
              <w:t xml:space="preserve"> 27 Feb 2009 p. 511)</w:t>
            </w:r>
          </w:p>
        </w:tc>
      </w:tr>
      <w:tr>
        <w:tc>
          <w:tcPr>
            <w:tcW w:w="3118"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4" w:type="dxa"/>
            <w:tcBorders>
              <w:top w:val="nil"/>
              <w:bottom w:val="nil"/>
            </w:tcBorders>
          </w:tcPr>
          <w:p>
            <w:pPr>
              <w:pStyle w:val="nTable"/>
              <w:spacing w:after="40"/>
              <w:rPr>
                <w:snapToGrid w:val="0"/>
              </w:rPr>
            </w:pPr>
            <w:r>
              <w:rPr>
                <w:snapToGrid w:val="0"/>
              </w:rPr>
              <w:t>r. 1 and 2: 7 Apr 2009 (see r. 2(a));</w:t>
            </w:r>
            <w:r>
              <w:rPr>
                <w:snapToGrid w:val="0"/>
              </w:rPr>
              <w:br/>
              <w:t>Rules other than r. 1 and 2: 8 Apr 2009 (see r. 2(b))</w:t>
            </w:r>
          </w:p>
        </w:tc>
      </w:tr>
      <w:tr>
        <w:tc>
          <w:tcPr>
            <w:tcW w:w="3118"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4" w:type="dxa"/>
            <w:tcBorders>
              <w:top w:val="nil"/>
              <w:bottom w:val="nil"/>
            </w:tcBorders>
          </w:tcPr>
          <w:p>
            <w:pPr>
              <w:pStyle w:val="nTable"/>
              <w:spacing w:after="40"/>
              <w:rPr>
                <w:snapToGrid w:val="0"/>
              </w:rPr>
            </w:pPr>
            <w:r>
              <w:rPr>
                <w:snapToGrid w:val="0"/>
              </w:rPr>
              <w:t>r. 1 and 2: 26 Oct 2010 (see r. 2(a));</w:t>
            </w:r>
            <w:r>
              <w:rPr>
                <w:snapToGrid w:val="0"/>
              </w:rPr>
              <w:br/>
              <w:t>Rules other than r. 1 and 2: 27 Oct 2010 (see r. 2(b))</w:t>
            </w:r>
          </w:p>
        </w:tc>
      </w:tr>
      <w:tr>
        <w:tc>
          <w:tcPr>
            <w:tcW w:w="3118"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4" w:type="dxa"/>
            <w:tcBorders>
              <w:top w:val="nil"/>
              <w:bottom w:val="nil"/>
            </w:tcBorders>
          </w:tcPr>
          <w:p>
            <w:pPr>
              <w:pStyle w:val="nTable"/>
              <w:spacing w:after="40"/>
              <w:rPr>
                <w:snapToGrid w:val="0"/>
              </w:rPr>
            </w:pPr>
            <w:r>
              <w:rPr>
                <w:snapToGrid w:val="0"/>
              </w:rPr>
              <w:t>r. 1 and 2: 12 Apr 2011 (see r. 2(a));</w:t>
            </w:r>
            <w:r>
              <w:rPr>
                <w:snapToGrid w:val="0"/>
              </w:rPr>
              <w:br/>
              <w:t>Rules other than r. 1 and 2: 13 Apr 2011 (see r. 2(b))</w:t>
            </w:r>
          </w:p>
        </w:tc>
      </w:tr>
      <w:tr>
        <w:tc>
          <w:tcPr>
            <w:tcW w:w="3118"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Rules other than r. 1 and 2: 13 Dec 2014 (see r. 2(b))</w:t>
            </w:r>
          </w:p>
        </w:tc>
      </w:tr>
      <w:tr>
        <w:tc>
          <w:tcPr>
            <w:tcW w:w="3118" w:type="dxa"/>
            <w:tcBorders>
              <w:top w:val="nil"/>
              <w:bottom w:val="nil"/>
            </w:tcBorders>
            <w:shd w:val="clear" w:color="auto" w:fill="auto"/>
          </w:tcPr>
          <w:p>
            <w:pPr>
              <w:pStyle w:val="nTable"/>
              <w:spacing w:after="40"/>
              <w:rPr>
                <w:i/>
              </w:rPr>
            </w:pPr>
            <w:r>
              <w:rPr>
                <w:i/>
              </w:rPr>
              <w:t>Legal Profession Amendment Rules 2015</w:t>
            </w:r>
          </w:p>
        </w:tc>
        <w:tc>
          <w:tcPr>
            <w:tcW w:w="1276" w:type="dxa"/>
            <w:tcBorders>
              <w:top w:val="nil"/>
              <w:bottom w:val="nil"/>
            </w:tcBorders>
            <w:shd w:val="clear" w:color="auto" w:fill="auto"/>
          </w:tcPr>
          <w:p>
            <w:pPr>
              <w:pStyle w:val="nTable"/>
              <w:spacing w:after="40"/>
            </w:pPr>
            <w:r>
              <w:t>20 Feb 2015 p. 680</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r. 1 and 2: 20 Feb 2015 (see r. 2(a));</w:t>
            </w:r>
            <w:r>
              <w:rPr>
                <w:bCs/>
                <w:snapToGrid w:val="0"/>
              </w:rPr>
              <w:br/>
              <w:t>Rules other than r. 1 and 2: 21</w:t>
            </w:r>
            <w:del w:id="250" w:author="Master Repository Process" w:date="2021-08-29T02:18:00Z">
              <w:r>
                <w:rPr>
                  <w:rFonts w:ascii="Times" w:hAnsi="Times"/>
                  <w:bCs/>
                  <w:snapToGrid w:val="0"/>
                  <w:spacing w:val="-2"/>
                </w:rPr>
                <w:delText xml:space="preserve"> </w:delText>
              </w:r>
            </w:del>
            <w:ins w:id="251" w:author="Master Repository Process" w:date="2021-08-29T02:18:00Z">
              <w:r>
                <w:rPr>
                  <w:bCs/>
                  <w:snapToGrid w:val="0"/>
                </w:rPr>
                <w:t> </w:t>
              </w:r>
            </w:ins>
            <w:r>
              <w:rPr>
                <w:bCs/>
                <w:snapToGrid w:val="0"/>
              </w:rPr>
              <w:t>Feb 2015 (see r. 2(b))</w:t>
            </w:r>
          </w:p>
        </w:tc>
      </w:tr>
      <w:tr>
        <w:tc>
          <w:tcPr>
            <w:tcW w:w="3118" w:type="dxa"/>
            <w:tcBorders>
              <w:top w:val="nil"/>
              <w:bottom w:val="nil"/>
            </w:tcBorders>
            <w:shd w:val="clear" w:color="auto" w:fill="auto"/>
          </w:tcPr>
          <w:p>
            <w:pPr>
              <w:pStyle w:val="nTable"/>
              <w:spacing w:after="40"/>
              <w:rPr>
                <w:i/>
              </w:rPr>
            </w:pPr>
            <w:r>
              <w:rPr>
                <w:i/>
              </w:rPr>
              <w:t>Legal Profession Amendment Rules (No. 2) 2015</w:t>
            </w:r>
          </w:p>
        </w:tc>
        <w:tc>
          <w:tcPr>
            <w:tcW w:w="1276" w:type="dxa"/>
            <w:tcBorders>
              <w:top w:val="nil"/>
              <w:bottom w:val="nil"/>
            </w:tcBorders>
            <w:shd w:val="clear" w:color="auto" w:fill="auto"/>
          </w:tcPr>
          <w:p>
            <w:pPr>
              <w:pStyle w:val="nTable"/>
              <w:spacing w:after="40"/>
            </w:pPr>
            <w:r>
              <w:t>17 Jul 2015 p. 2884</w:t>
            </w:r>
            <w:r>
              <w:noBreakHyphen/>
              <w:t>7</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17 Jul 2015</w:t>
            </w:r>
            <w:r>
              <w:rPr>
                <w:bCs/>
                <w:snapToGrid w:val="0"/>
              </w:rPr>
              <w:t xml:space="preserve"> (see r. 2(a));</w:t>
            </w:r>
            <w:r>
              <w:rPr>
                <w:bCs/>
                <w:snapToGrid w:val="0"/>
              </w:rPr>
              <w:br/>
              <w:t xml:space="preserve">Rules other than r. 1 and 2: </w:t>
            </w:r>
            <w:r>
              <w:t>18 Jul 2015</w:t>
            </w:r>
            <w:r>
              <w:rPr>
                <w:bCs/>
                <w:snapToGrid w:val="0"/>
              </w:rPr>
              <w:t xml:space="preserve"> (see r. 2(b))</w:t>
            </w:r>
          </w:p>
        </w:tc>
      </w:tr>
      <w:tr>
        <w:trPr>
          <w:ins w:id="252" w:author="Master Repository Process" w:date="2021-08-29T02:18:00Z"/>
        </w:trPr>
        <w:tc>
          <w:tcPr>
            <w:tcW w:w="7088" w:type="dxa"/>
            <w:gridSpan w:val="3"/>
            <w:tcBorders>
              <w:top w:val="nil"/>
              <w:bottom w:val="single" w:sz="8" w:space="0" w:color="auto"/>
            </w:tcBorders>
            <w:shd w:val="clear" w:color="auto" w:fill="auto"/>
          </w:tcPr>
          <w:p>
            <w:pPr>
              <w:pStyle w:val="nTable"/>
              <w:spacing w:after="40"/>
              <w:rPr>
                <w:ins w:id="253" w:author="Master Repository Process" w:date="2021-08-29T02:18:00Z"/>
                <w:bCs/>
                <w:snapToGrid w:val="0"/>
                <w:spacing w:val="-2"/>
              </w:rPr>
            </w:pPr>
            <w:ins w:id="254" w:author="Master Repository Process" w:date="2021-08-29T02:18:00Z">
              <w:r>
                <w:rPr>
                  <w:b/>
                  <w:bCs/>
                  <w:snapToGrid w:val="0"/>
                </w:rPr>
                <w:t xml:space="preserve">Reprint </w:t>
              </w:r>
              <w:r>
                <w:rPr>
                  <w:b/>
                  <w:bCs/>
                  <w:snapToGrid w:val="0"/>
                  <w:spacing w:val="-2"/>
                </w:rPr>
                <w:t>1</w:t>
              </w:r>
              <w:r>
                <w:rPr>
                  <w:b/>
                  <w:bCs/>
                  <w:snapToGrid w:val="0"/>
                </w:rPr>
                <w:t xml:space="preserve">: The </w:t>
              </w:r>
              <w:r>
                <w:rPr>
                  <w:b/>
                  <w:bCs/>
                  <w:i/>
                  <w:noProof/>
                  <w:snapToGrid w:val="0"/>
                  <w:spacing w:val="-2"/>
                </w:rPr>
                <w:t>Legal Profession Rules 2009</w:t>
              </w:r>
              <w:r>
                <w:rPr>
                  <w:b/>
                  <w:bCs/>
                  <w:snapToGrid w:val="0"/>
                </w:rPr>
                <w:t xml:space="preserve"> as at </w:t>
              </w:r>
              <w:r>
                <w:rPr>
                  <w:b/>
                  <w:bCs/>
                  <w:snapToGrid w:val="0"/>
                  <w:spacing w:val="-2"/>
                </w:rPr>
                <w:t>14 Aug 2015</w:t>
              </w:r>
              <w:r>
                <w:rPr>
                  <w:bCs/>
                  <w:snapToGrid w:val="0"/>
                </w:rPr>
                <w:t xml:space="preserve"> (includes amendments listed above)</w:t>
              </w:r>
            </w:ins>
          </w:p>
        </w:tc>
      </w:tr>
    </w:tbl>
    <w:p>
      <w:pPr>
        <w:rPr>
          <w:iCs/>
        </w:rPr>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9" w:name="Schedule"/>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15624"/>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407161302" w:val="ResetPageSize,UpdateArrangement,UpdateNTable"/>
    <w:docVar w:name="WAFER_20150407161302_GUID" w:val="78124a77-e201-41a7-aad6-2ab48df84bbe"/>
    <w:docVar w:name="WAFER_20150731101722" w:val="RemoveTocBookmarks,RemoveLanguageTags,RemoveTrackChanges,RunningHeaders"/>
    <w:docVar w:name="WAFER_20150731101722_GUID" w:val="66740fcd-fda3-47fe-a784-f2dbd08e3585"/>
    <w:docVar w:name="WAFER_20150731101733" w:val="RemoveTocBookmarks,RemoveLanguageTags,RemoveTrackChanges,RunningHeaders"/>
    <w:docVar w:name="WAFER_20150731101733_GUID" w:val="5640a3df-b567-4e9c-8e2a-1fc50722e326"/>
    <w:docVar w:name="WAFER_20151125143708" w:val="UpdateStyles"/>
    <w:docVar w:name="WAFER_20151125143708_GUID" w:val="f32f71eb-2319-41eb-9cf1-58cff5444372"/>
    <w:docVar w:name="WAFER_20151125145337" w:val="UsedStyles"/>
    <w:docVar w:name="WAFER_20151125145337_GUID" w:val="75ed02fa-1837-4011-8940-3f8259e70fa8"/>
    <w:docVar w:name="WAFER_20151202103938" w:val="UpdateStyles,UsedStyles"/>
    <w:docVar w:name="WAFER_20151202103938_GUID" w:val="bc1c6765-646b-43d8-9eca-2165b3d72623"/>
    <w:docVar w:name="WAFER_20151202115624" w:val="RemoveTrackChanges"/>
    <w:docVar w:name="WAFER_20151202115624_GUID" w:val="b6756f82-b423-4169-8dff-0ae1e8e4cf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004CA2-50DC-48D7-B75E-77E599D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8153</Words>
  <Characters>38891</Characters>
  <Application>Microsoft Office Word</Application>
  <DocSecurity>0</DocSecurity>
  <Lines>1296</Lines>
  <Paragraphs>735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00-g0-02 - 01-a0-03</dc:title>
  <dc:subject/>
  <dc:creator/>
  <cp:keywords/>
  <dc:description/>
  <cp:lastModifiedBy>Master Repository Process</cp:lastModifiedBy>
  <cp:revision>2</cp:revision>
  <cp:lastPrinted>2015-08-19T03:38:00Z</cp:lastPrinted>
  <dcterms:created xsi:type="dcterms:W3CDTF">2021-08-28T18:18:00Z</dcterms:created>
  <dcterms:modified xsi:type="dcterms:W3CDTF">2021-08-28T18:18:00Z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20150814</vt:lpwstr>
  </property>
  <property fmtid="{D5CDD505-2E9C-101B-9397-08002B2CF9AE}" pid="4" name="OwlsUID">
    <vt:i4>41036</vt:i4>
  </property>
  <property fmtid="{D5CDD505-2E9C-101B-9397-08002B2CF9AE}" pid="5" name="DocumentType">
    <vt:lpwstr>Reg</vt:lpwstr>
  </property>
  <property fmtid="{D5CDD505-2E9C-101B-9397-08002B2CF9AE}" pid="6" name="ReprintedAsAt">
    <vt:filetime>2015-08-13T16:00:00Z</vt:filetime>
  </property>
  <property fmtid="{D5CDD505-2E9C-101B-9397-08002B2CF9AE}" pid="7" name="ReprintNo">
    <vt:lpwstr>1</vt:lpwstr>
  </property>
  <property fmtid="{D5CDD505-2E9C-101B-9397-08002B2CF9AE}" pid="8" name="FromSuffix">
    <vt:lpwstr>00-g0-02</vt:lpwstr>
  </property>
  <property fmtid="{D5CDD505-2E9C-101B-9397-08002B2CF9AE}" pid="9" name="FromAsAtDate">
    <vt:lpwstr>18 Jul 2015</vt:lpwstr>
  </property>
  <property fmtid="{D5CDD505-2E9C-101B-9397-08002B2CF9AE}" pid="10" name="ToSuffix">
    <vt:lpwstr>01-a0-03</vt:lpwstr>
  </property>
  <property fmtid="{D5CDD505-2E9C-101B-9397-08002B2CF9AE}" pid="11" name="ToAsAtDate">
    <vt:lpwstr>14 Aug 2015</vt:lpwstr>
  </property>
</Properties>
</file>