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04:17:00Z"/>
        </w:trPr>
        <w:tc>
          <w:tcPr>
            <w:tcW w:w="2434" w:type="dxa"/>
            <w:vMerge w:val="restart"/>
          </w:tcPr>
          <w:p>
            <w:pPr>
              <w:rPr>
                <w:del w:id="2" w:author="svcMRProcess" w:date="2018-09-08T04:17:00Z"/>
              </w:rPr>
            </w:pPr>
          </w:p>
        </w:tc>
        <w:tc>
          <w:tcPr>
            <w:tcW w:w="2434" w:type="dxa"/>
            <w:vMerge w:val="restart"/>
          </w:tcPr>
          <w:p>
            <w:pPr>
              <w:jc w:val="center"/>
              <w:rPr>
                <w:del w:id="3" w:author="svcMRProcess" w:date="2018-09-08T04:17:00Z"/>
              </w:rPr>
            </w:pPr>
            <w:del w:id="4" w:author="svcMRProcess" w:date="2018-09-08T04: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04:17:00Z"/>
              </w:rPr>
            </w:pPr>
            <w:del w:id="6" w:author="svcMRProcess" w:date="2018-09-08T04:1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04:17:00Z"/>
        </w:trPr>
        <w:tc>
          <w:tcPr>
            <w:tcW w:w="2434" w:type="dxa"/>
            <w:vMerge/>
          </w:tcPr>
          <w:p>
            <w:pPr>
              <w:rPr>
                <w:del w:id="8" w:author="svcMRProcess" w:date="2018-09-08T04:17:00Z"/>
              </w:rPr>
            </w:pPr>
          </w:p>
        </w:tc>
        <w:tc>
          <w:tcPr>
            <w:tcW w:w="2434" w:type="dxa"/>
            <w:vMerge/>
          </w:tcPr>
          <w:p>
            <w:pPr>
              <w:jc w:val="center"/>
              <w:rPr>
                <w:del w:id="9" w:author="svcMRProcess" w:date="2018-09-08T04:17:00Z"/>
              </w:rPr>
            </w:pPr>
          </w:p>
        </w:tc>
        <w:tc>
          <w:tcPr>
            <w:tcW w:w="2434" w:type="dxa"/>
          </w:tcPr>
          <w:p>
            <w:pPr>
              <w:keepNext/>
              <w:rPr>
                <w:del w:id="10" w:author="svcMRProcess" w:date="2018-09-08T04:17:00Z"/>
                <w:b/>
                <w:sz w:val="22"/>
              </w:rPr>
            </w:pPr>
            <w:del w:id="11" w:author="svcMRProcess" w:date="2018-09-08T04:17:00Z">
              <w:r>
                <w:rPr>
                  <w:b/>
                  <w:sz w:val="22"/>
                </w:rPr>
                <w:delText>at 3 February 2012</w:delText>
              </w:r>
            </w:del>
          </w:p>
        </w:tc>
      </w:tr>
    </w:tbl>
    <w:p>
      <w:pPr>
        <w:pStyle w:val="WA"/>
      </w:pPr>
      <w:r>
        <w:t>Western Australia</w:t>
      </w:r>
    </w:p>
    <w:p>
      <w:pPr>
        <w:pStyle w:val="NameofActReg"/>
        <w:suppressLineNumbers/>
      </w:pPr>
      <w:r>
        <w:t>Rail Freight System Act 2000</w:t>
      </w:r>
    </w:p>
    <w:p>
      <w:pPr>
        <w:pStyle w:val="LongTitle"/>
        <w:suppressLineNumbers/>
        <w:rPr>
          <w:snapToGrid w:val="0"/>
        </w:rPr>
      </w:pPr>
      <w:r>
        <w:rPr>
          <w:snapToGrid w:val="0"/>
        </w:rPr>
        <w:t>A</w:t>
      </w:r>
      <w:bookmarkStart w:id="12" w:name="_GoBack"/>
      <w:bookmarkEnd w:id="12"/>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3" w:name="_Toc377110003"/>
      <w:bookmarkStart w:id="14" w:name="_Toc424292549"/>
      <w:bookmarkStart w:id="15" w:name="_Toc430601333"/>
      <w:bookmarkStart w:id="16" w:name="_Toc43061131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p>
    <w:p>
      <w:pPr>
        <w:pStyle w:val="Heading5"/>
      </w:pPr>
      <w:bookmarkStart w:id="17" w:name="_Toc377110004"/>
      <w:bookmarkStart w:id="18" w:name="_Toc430611311"/>
      <w:bookmarkStart w:id="19" w:name="_Toc424292550"/>
      <w:r>
        <w:rPr>
          <w:rStyle w:val="CharSectno"/>
        </w:rPr>
        <w:t>1</w:t>
      </w:r>
      <w:r>
        <w:rPr>
          <w:snapToGrid w:val="0"/>
        </w:rPr>
        <w:t>.</w:t>
      </w:r>
      <w:r>
        <w:rPr>
          <w:snapToGrid w:val="0"/>
        </w:rPr>
        <w:tab/>
        <w:t>Short title</w:t>
      </w:r>
      <w:bookmarkEnd w:id="17"/>
      <w:bookmarkEnd w:id="18"/>
      <w:bookmarkEnd w:id="19"/>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20" w:name="_Toc377110005"/>
      <w:bookmarkStart w:id="21" w:name="_Toc430611312"/>
      <w:bookmarkStart w:id="22" w:name="_Toc424292551"/>
      <w:r>
        <w:rPr>
          <w:rStyle w:val="CharSectno"/>
        </w:rPr>
        <w:t>2</w:t>
      </w:r>
      <w:r>
        <w:rPr>
          <w:snapToGrid w:val="0"/>
        </w:rPr>
        <w:t>.</w:t>
      </w:r>
      <w:r>
        <w:rPr>
          <w:snapToGrid w:val="0"/>
        </w:rPr>
        <w:tab/>
        <w:t>Commencement</w:t>
      </w:r>
      <w:bookmarkEnd w:id="20"/>
      <w:bookmarkEnd w:id="21"/>
      <w:bookmarkEnd w:id="22"/>
    </w:p>
    <w:p>
      <w:pPr>
        <w:pStyle w:val="Subsection"/>
        <w:spacing w:before="180"/>
      </w:pPr>
      <w:r>
        <w:tab/>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1 and 6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3" w:name="_Toc377110006"/>
      <w:bookmarkStart w:id="24" w:name="_Toc430611313"/>
      <w:bookmarkStart w:id="25" w:name="_Toc424292552"/>
      <w:r>
        <w:rPr>
          <w:rStyle w:val="CharSectno"/>
        </w:rPr>
        <w:t>3</w:t>
      </w:r>
      <w:r>
        <w:t>.</w:t>
      </w:r>
      <w:r>
        <w:tab/>
        <w:t>Terms used</w:t>
      </w:r>
      <w:bookmarkEnd w:id="23"/>
      <w:bookmarkEnd w:id="24"/>
      <w:bookmarkEnd w:id="25"/>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3;</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26" w:name="_Toc377110007"/>
      <w:bookmarkStart w:id="27" w:name="_Toc430611314"/>
      <w:bookmarkStart w:id="28" w:name="_Toc424292553"/>
      <w:r>
        <w:rPr>
          <w:rStyle w:val="CharSectno"/>
        </w:rPr>
        <w:t>4</w:t>
      </w:r>
      <w:r>
        <w:t>.</w:t>
      </w:r>
      <w:r>
        <w:tab/>
        <w:t>Land etc. belonging to State, references to</w:t>
      </w:r>
      <w:bookmarkEnd w:id="26"/>
      <w:bookmarkEnd w:id="27"/>
      <w:bookmarkEnd w:id="28"/>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29" w:name="_Toc377110008"/>
      <w:bookmarkStart w:id="30" w:name="_Toc430611315"/>
      <w:bookmarkStart w:id="31" w:name="_Toc424292554"/>
      <w:r>
        <w:rPr>
          <w:rStyle w:val="CharSectno"/>
        </w:rPr>
        <w:t>5</w:t>
      </w:r>
      <w:r>
        <w:t>.</w:t>
      </w:r>
      <w:r>
        <w:tab/>
        <w:t>Disposing of land etc. belonging to State, references to</w:t>
      </w:r>
      <w:bookmarkEnd w:id="29"/>
      <w:bookmarkEnd w:id="30"/>
      <w:bookmarkEnd w:id="31"/>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32" w:name="_Toc377110009"/>
      <w:bookmarkStart w:id="33" w:name="_Toc430611316"/>
      <w:bookmarkStart w:id="34" w:name="_Toc424292555"/>
      <w:r>
        <w:rPr>
          <w:rStyle w:val="CharSectno"/>
        </w:rPr>
        <w:t>6</w:t>
      </w:r>
      <w:r>
        <w:t>.</w:t>
      </w:r>
      <w:r>
        <w:tab/>
        <w:t>Things on land, meaning of</w:t>
      </w:r>
      <w:bookmarkEnd w:id="32"/>
      <w:bookmarkEnd w:id="33"/>
      <w:bookmarkEnd w:id="34"/>
    </w:p>
    <w:p>
      <w:pPr>
        <w:pStyle w:val="Subsection"/>
      </w:pPr>
      <w:r>
        <w:tab/>
      </w:r>
      <w:r>
        <w:tab/>
        <w:t>Anything that is placed in, on, or over, or is buried in, land is on that land for the purposes of this Act.</w:t>
      </w:r>
    </w:p>
    <w:p>
      <w:pPr>
        <w:pStyle w:val="Heading5"/>
        <w:spacing w:before="240"/>
      </w:pPr>
      <w:bookmarkStart w:id="35" w:name="_Toc377110010"/>
      <w:bookmarkStart w:id="36" w:name="_Toc430611317"/>
      <w:bookmarkStart w:id="37" w:name="_Toc424292556"/>
      <w:r>
        <w:rPr>
          <w:rStyle w:val="CharSectno"/>
        </w:rPr>
        <w:t>7</w:t>
      </w:r>
      <w:r>
        <w:t>.</w:t>
      </w:r>
      <w:r>
        <w:tab/>
        <w:t>Property in things on land</w:t>
      </w:r>
      <w:bookmarkEnd w:id="35"/>
      <w:bookmarkEnd w:id="36"/>
      <w:bookmarkEnd w:id="37"/>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38" w:name="_Toc377110011"/>
      <w:bookmarkStart w:id="39" w:name="_Toc430611318"/>
      <w:bookmarkStart w:id="40" w:name="_Toc424292557"/>
      <w:r>
        <w:rPr>
          <w:rStyle w:val="CharSectno"/>
        </w:rPr>
        <w:t>8</w:t>
      </w:r>
      <w:r>
        <w:t>.</w:t>
      </w:r>
      <w:r>
        <w:tab/>
        <w:t>Government railways, effect on of disposals etc. under this Act</w:t>
      </w:r>
      <w:bookmarkEnd w:id="38"/>
      <w:bookmarkEnd w:id="39"/>
      <w:bookmarkEnd w:id="40"/>
    </w:p>
    <w:p>
      <w:pPr>
        <w:pStyle w:val="Subsection"/>
      </w:pPr>
      <w:r>
        <w:tab/>
        <w:t>(1)</w:t>
      </w:r>
      <w:r>
        <w:tab/>
        <w:t>If anything that is part of a Government railway is disposed of under Part 2, it ceases to be part of a Government railway when the right to occupy or possess it passes.</w:t>
      </w:r>
    </w:p>
    <w:p>
      <w:pPr>
        <w:pStyle w:val="Subsection"/>
      </w:pPr>
      <w:r>
        <w:tab/>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41" w:name="_Toc377110012"/>
      <w:bookmarkStart w:id="42" w:name="_Toc430611319"/>
      <w:bookmarkStart w:id="43" w:name="_Toc424292558"/>
      <w:r>
        <w:rPr>
          <w:rStyle w:val="CharSectno"/>
        </w:rPr>
        <w:t>9</w:t>
      </w:r>
      <w:r>
        <w:t>.</w:t>
      </w:r>
      <w:r>
        <w:tab/>
        <w:t>Relationship with other Acts</w:t>
      </w:r>
      <w:bookmarkEnd w:id="41"/>
      <w:bookmarkEnd w:id="42"/>
      <w:bookmarkEnd w:id="43"/>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Act 2010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 or</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by No. 18 of 2010 s. 269.]</w:t>
      </w:r>
    </w:p>
    <w:p>
      <w:pPr>
        <w:pStyle w:val="Heading5"/>
      </w:pPr>
      <w:bookmarkStart w:id="44" w:name="_Toc377110013"/>
      <w:bookmarkStart w:id="45" w:name="_Toc430611320"/>
      <w:bookmarkStart w:id="46" w:name="_Toc424292559"/>
      <w:r>
        <w:rPr>
          <w:rStyle w:val="CharSectno"/>
        </w:rPr>
        <w:t>10</w:t>
      </w:r>
      <w:r>
        <w:t>.</w:t>
      </w:r>
      <w:r>
        <w:tab/>
        <w:t>Act binds Crown</w:t>
      </w:r>
      <w:bookmarkEnd w:id="44"/>
      <w:bookmarkEnd w:id="45"/>
      <w:bookmarkEnd w:id="46"/>
    </w:p>
    <w:p>
      <w:pPr>
        <w:pStyle w:val="Subsection"/>
      </w:pPr>
      <w:r>
        <w:tab/>
      </w:r>
      <w:r>
        <w:tab/>
        <w:t>This Act binds the Crown in right of the State and, subject to the limits of the legislative power of the State, the Crown in all its other capacities.</w:t>
      </w:r>
    </w:p>
    <w:p>
      <w:pPr>
        <w:pStyle w:val="Heading2"/>
      </w:pPr>
      <w:bookmarkStart w:id="47" w:name="_Toc377110014"/>
      <w:bookmarkStart w:id="48" w:name="_Toc424292560"/>
      <w:bookmarkStart w:id="49" w:name="_Toc430601344"/>
      <w:bookmarkStart w:id="50" w:name="_Toc430611321"/>
      <w:r>
        <w:rPr>
          <w:rStyle w:val="CharPartNo"/>
        </w:rPr>
        <w:t>Part 2</w:t>
      </w:r>
      <w:r>
        <w:t xml:space="preserve"> — </w:t>
      </w:r>
      <w:r>
        <w:rPr>
          <w:rStyle w:val="CharPartText"/>
        </w:rPr>
        <w:t>Disposal and related matters</w:t>
      </w:r>
      <w:bookmarkEnd w:id="47"/>
      <w:bookmarkEnd w:id="48"/>
      <w:bookmarkEnd w:id="49"/>
      <w:bookmarkEnd w:id="50"/>
    </w:p>
    <w:p>
      <w:pPr>
        <w:pStyle w:val="Heading3"/>
        <w:spacing w:before="180"/>
      </w:pPr>
      <w:bookmarkStart w:id="51" w:name="_Toc377110015"/>
      <w:bookmarkStart w:id="52" w:name="_Toc424292561"/>
      <w:bookmarkStart w:id="53" w:name="_Toc430601345"/>
      <w:bookmarkStart w:id="54" w:name="_Toc430611322"/>
      <w:r>
        <w:rPr>
          <w:rStyle w:val="CharDivNo"/>
        </w:rPr>
        <w:t>Division 1</w:t>
      </w:r>
      <w:r>
        <w:t xml:space="preserve"> — </w:t>
      </w:r>
      <w:r>
        <w:rPr>
          <w:rStyle w:val="CharDivText"/>
        </w:rPr>
        <w:t>Disposal, generally</w:t>
      </w:r>
      <w:bookmarkEnd w:id="51"/>
      <w:bookmarkEnd w:id="52"/>
      <w:bookmarkEnd w:id="53"/>
      <w:bookmarkEnd w:id="54"/>
    </w:p>
    <w:p>
      <w:pPr>
        <w:pStyle w:val="Heading5"/>
        <w:spacing w:before="180"/>
      </w:pPr>
      <w:bookmarkStart w:id="55" w:name="_Toc377110016"/>
      <w:bookmarkStart w:id="56" w:name="_Toc430611323"/>
      <w:bookmarkStart w:id="57" w:name="_Toc424292562"/>
      <w:r>
        <w:rPr>
          <w:rStyle w:val="CharSectno"/>
        </w:rPr>
        <w:t>11</w:t>
      </w:r>
      <w:r>
        <w:t>.</w:t>
      </w:r>
      <w:r>
        <w:tab/>
        <w:t>Proposals for disposal of rail freight business</w:t>
      </w:r>
      <w:bookmarkEnd w:id="55"/>
      <w:bookmarkEnd w:id="56"/>
      <w:bookmarkEnd w:id="57"/>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 and</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58" w:name="_Toc377110017"/>
      <w:bookmarkStart w:id="59" w:name="_Toc430611324"/>
      <w:bookmarkStart w:id="60" w:name="_Toc424292563"/>
      <w:r>
        <w:rPr>
          <w:rStyle w:val="CharSectno"/>
        </w:rPr>
        <w:t>12</w:t>
      </w:r>
      <w:r>
        <w:t>.</w:t>
      </w:r>
      <w:r>
        <w:tab/>
        <w:t>Limitations on disposal of land</w:t>
      </w:r>
      <w:bookmarkEnd w:id="58"/>
      <w:bookmarkEnd w:id="59"/>
      <w:bookmarkEnd w:id="60"/>
    </w:p>
    <w:p>
      <w:pPr>
        <w:pStyle w:val="Subsection"/>
      </w:pPr>
      <w:r>
        <w:tab/>
        <w:t>(1)</w:t>
      </w:r>
      <w:r>
        <w:tab/>
        <w:t xml:space="preserve">A proposal to dispose of land cannot be approved by the Treasurer until a corridor land order has been published in the </w:t>
      </w:r>
      <w:r>
        <w:rPr>
          <w:i/>
        </w:rPr>
        <w:t>Gazette</w:t>
      </w:r>
      <w:r>
        <w:t xml:space="preserve"> under Part 3.</w:t>
      </w:r>
    </w:p>
    <w:p>
      <w:pPr>
        <w:pStyle w:val="Subsection"/>
      </w:pPr>
      <w:r>
        <w:tab/>
        <w:t>(2)</w:t>
      </w:r>
      <w:r>
        <w:tab/>
        <w:t>A proposal to dispose of land that is, or is to be, corridor land cannot be approved if the interest to be disposed of is greater than a leasehold interest.</w:t>
      </w:r>
    </w:p>
    <w:p>
      <w:pPr>
        <w:pStyle w:val="Subsection"/>
        <w:spacing w:before="180"/>
      </w:pPr>
      <w:r>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 and</w:t>
      </w:r>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 or</w:t>
      </w:r>
    </w:p>
    <w:p>
      <w:pPr>
        <w:pStyle w:val="Indenta"/>
        <w:spacing w:before="60"/>
      </w:pPr>
      <w:r>
        <w:tab/>
        <w:t>(b)</w:t>
      </w:r>
      <w:r>
        <w:tab/>
        <w:t>it controls a body that provides train services; or</w:t>
      </w:r>
    </w:p>
    <w:p>
      <w:pPr>
        <w:pStyle w:val="Indenta"/>
        <w:spacing w:before="60"/>
      </w:pPr>
      <w:r>
        <w:tab/>
        <w:t>(c)</w:t>
      </w:r>
      <w:r>
        <w:tab/>
        <w:t>it is controlled by a body that provides train services on standard gauge corridor land; or</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spacing w:before="120"/>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place">
        <w:smartTag w:uri="urn:schemas-microsoft-com:office:smarttags" w:element="City">
          <w:r>
            <w:t>Kalgoorlie</w:t>
          </w:r>
        </w:smartTag>
      </w:smartTag>
      <w:r>
        <w:t xml:space="preserv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 axle load to travel along it at a maximum speed of 80 km per hour for an average speed of 60 km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 long to cross at all crossing loops existing at the time of the disposal; and</w:t>
      </w:r>
    </w:p>
    <w:p>
      <w:pPr>
        <w:pStyle w:val="Indenti"/>
      </w:pPr>
      <w:r>
        <w:tab/>
        <w:t>(ii)</w:t>
      </w:r>
      <w:r>
        <w:tab/>
        <w:t>rolling stock of a 21 t axle load to travel along it at a maximum speed of 115 km per hour; and</w:t>
      </w:r>
    </w:p>
    <w:p>
      <w:pPr>
        <w:pStyle w:val="Indenti"/>
      </w:pPr>
      <w:r>
        <w:tab/>
        <w:t>(iii)</w:t>
      </w:r>
      <w:r>
        <w:tab/>
        <w:t>rolling stock of a 25 t axle load to travel along it at a maximum speed of 80 km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61" w:name="_Toc377110018"/>
      <w:bookmarkStart w:id="62" w:name="_Toc430611325"/>
      <w:bookmarkStart w:id="63" w:name="_Toc424292564"/>
      <w:r>
        <w:rPr>
          <w:rStyle w:val="CharSectno"/>
        </w:rPr>
        <w:t>13</w:t>
      </w:r>
      <w:r>
        <w:t>.</w:t>
      </w:r>
      <w:r>
        <w:tab/>
        <w:t>Agreements to give effect to proposals for disposals</w:t>
      </w:r>
      <w:bookmarkEnd w:id="61"/>
      <w:bookmarkEnd w:id="62"/>
      <w:bookmarkEnd w:id="63"/>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64" w:name="_Toc377110019"/>
      <w:bookmarkStart w:id="65" w:name="_Toc430611326"/>
      <w:bookmarkStart w:id="66" w:name="_Toc424292565"/>
      <w:r>
        <w:rPr>
          <w:rStyle w:val="CharSectno"/>
        </w:rPr>
        <w:t>14</w:t>
      </w:r>
      <w:r>
        <w:t>.</w:t>
      </w:r>
      <w:r>
        <w:tab/>
        <w:t>Agreements under s. 13, content of</w:t>
      </w:r>
      <w:bookmarkEnd w:id="64"/>
      <w:bookmarkEnd w:id="65"/>
      <w:bookmarkEnd w:id="66"/>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67" w:name="_Toc377110020"/>
      <w:bookmarkStart w:id="68" w:name="_Toc430611327"/>
      <w:bookmarkStart w:id="69" w:name="_Toc424292566"/>
      <w:r>
        <w:rPr>
          <w:rStyle w:val="CharSectno"/>
        </w:rPr>
        <w:t>15</w:t>
      </w:r>
      <w:r>
        <w:t>.</w:t>
      </w:r>
      <w:r>
        <w:tab/>
      </w:r>
      <w:r>
        <w:rPr>
          <w:i/>
        </w:rPr>
        <w:t>Land Administration Act 1997</w:t>
      </w:r>
      <w:r>
        <w:t xml:space="preserve"> s. 18, operation of affected</w:t>
      </w:r>
      <w:bookmarkEnd w:id="67"/>
      <w:bookmarkEnd w:id="68"/>
      <w:bookmarkEnd w:id="69"/>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70" w:name="_Toc377110021"/>
      <w:bookmarkStart w:id="71" w:name="_Toc430611328"/>
      <w:bookmarkStart w:id="72" w:name="_Toc424292567"/>
      <w:r>
        <w:rPr>
          <w:rStyle w:val="CharSectno"/>
        </w:rPr>
        <w:t>16</w:t>
      </w:r>
      <w:r>
        <w:t>.</w:t>
      </w:r>
      <w:r>
        <w:tab/>
        <w:t>Authority’s functions</w:t>
      </w:r>
      <w:bookmarkEnd w:id="70"/>
      <w:bookmarkEnd w:id="71"/>
      <w:bookmarkEnd w:id="72"/>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73" w:name="_Toc377110022"/>
      <w:bookmarkStart w:id="74" w:name="_Toc430611329"/>
      <w:bookmarkStart w:id="75" w:name="_Toc424292568"/>
      <w:r>
        <w:rPr>
          <w:rStyle w:val="CharSectno"/>
        </w:rPr>
        <w:t>18</w:t>
      </w:r>
      <w:r>
        <w:t>.</w:t>
      </w:r>
      <w:r>
        <w:tab/>
        <w:t>Auditor General may disclose information</w:t>
      </w:r>
      <w:bookmarkEnd w:id="73"/>
      <w:bookmarkEnd w:id="74"/>
      <w:bookmarkEnd w:id="75"/>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Sch. 1 cl. 144.]</w:t>
      </w:r>
    </w:p>
    <w:p>
      <w:pPr>
        <w:pStyle w:val="Heading5"/>
      </w:pPr>
      <w:bookmarkStart w:id="76" w:name="_Toc377110023"/>
      <w:bookmarkStart w:id="77" w:name="_Toc430611330"/>
      <w:bookmarkStart w:id="78" w:name="_Toc424292569"/>
      <w:r>
        <w:rPr>
          <w:rStyle w:val="CharSectno"/>
        </w:rPr>
        <w:t>19</w:t>
      </w:r>
      <w:r>
        <w:t>.</w:t>
      </w:r>
      <w:r>
        <w:tab/>
        <w:t>Effect of this Part on contracts etc.</w:t>
      </w:r>
      <w:bookmarkEnd w:id="76"/>
      <w:bookmarkEnd w:id="77"/>
      <w:bookmarkEnd w:id="78"/>
    </w:p>
    <w:p>
      <w:pPr>
        <w:pStyle w:val="Subsection"/>
      </w:pPr>
      <w:r>
        <w:tab/>
      </w:r>
      <w:r>
        <w:tab/>
        <w:t>The operation of a provision of this Part is not to be regarded as —</w:t>
      </w:r>
    </w:p>
    <w:p>
      <w:pPr>
        <w:pStyle w:val="Indenta"/>
      </w:pPr>
      <w:r>
        <w:tab/>
        <w:t>(a)</w:t>
      </w:r>
      <w:r>
        <w:tab/>
        <w:t>a breach of contract or confidence or any other civil wrong; or</w:t>
      </w:r>
    </w:p>
    <w:p>
      <w:pPr>
        <w:pStyle w:val="Indenta"/>
      </w:pPr>
      <w:r>
        <w:tab/>
        <w:t>(b)</w:t>
      </w:r>
      <w:r>
        <w:tab/>
        <w:t>a breach of a contractual provision prohibiting, restricting, or regulating the assignment or transfer of assets or liabilities or the disclosure of information; or</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79" w:name="_Toc377110024"/>
      <w:bookmarkStart w:id="80" w:name="_Toc430611331"/>
      <w:bookmarkStart w:id="81" w:name="_Toc424292570"/>
      <w:r>
        <w:rPr>
          <w:rStyle w:val="CharSectno"/>
        </w:rPr>
        <w:t>20</w:t>
      </w:r>
      <w:r>
        <w:t>.</w:t>
      </w:r>
      <w:r>
        <w:tab/>
        <w:t>Indemnities and guarantees, provision of by State</w:t>
      </w:r>
      <w:bookmarkEnd w:id="79"/>
      <w:bookmarkEnd w:id="80"/>
      <w:bookmarkEnd w:id="81"/>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82" w:name="_Toc377110025"/>
      <w:bookmarkStart w:id="83" w:name="_Toc430611332"/>
      <w:bookmarkStart w:id="84" w:name="_Toc424292571"/>
      <w:r>
        <w:rPr>
          <w:rStyle w:val="CharSectno"/>
        </w:rPr>
        <w:t>21</w:t>
      </w:r>
      <w:r>
        <w:t>.</w:t>
      </w:r>
      <w:r>
        <w:tab/>
        <w:t>Regulations</w:t>
      </w:r>
      <w:bookmarkEnd w:id="82"/>
      <w:bookmarkEnd w:id="83"/>
      <w:bookmarkEnd w:id="84"/>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85" w:name="_Toc377110026"/>
      <w:bookmarkStart w:id="86" w:name="_Toc424292572"/>
      <w:bookmarkStart w:id="87" w:name="_Toc430601356"/>
      <w:bookmarkStart w:id="88" w:name="_Toc430611333"/>
      <w:r>
        <w:rPr>
          <w:rStyle w:val="CharDivNo"/>
        </w:rPr>
        <w:t>Division 2</w:t>
      </w:r>
      <w:r>
        <w:t xml:space="preserve"> — </w:t>
      </w:r>
      <w:r>
        <w:rPr>
          <w:rStyle w:val="CharDivText"/>
        </w:rPr>
        <w:t>Assignment and related matters</w:t>
      </w:r>
      <w:bookmarkEnd w:id="85"/>
      <w:bookmarkEnd w:id="86"/>
      <w:bookmarkEnd w:id="87"/>
      <w:bookmarkEnd w:id="88"/>
    </w:p>
    <w:p>
      <w:pPr>
        <w:pStyle w:val="Heading5"/>
        <w:spacing w:before="180"/>
      </w:pPr>
      <w:bookmarkStart w:id="89" w:name="_Toc377110027"/>
      <w:bookmarkStart w:id="90" w:name="_Toc430611334"/>
      <w:bookmarkStart w:id="91" w:name="_Toc424292573"/>
      <w:r>
        <w:rPr>
          <w:rStyle w:val="CharSectno"/>
        </w:rPr>
        <w:t>22</w:t>
      </w:r>
      <w:r>
        <w:t>.</w:t>
      </w:r>
      <w:r>
        <w:tab/>
        <w:t>Terms used</w:t>
      </w:r>
      <w:bookmarkEnd w:id="89"/>
      <w:bookmarkEnd w:id="90"/>
      <w:bookmarkEnd w:id="91"/>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Authority in an agreement or instrument in order to give effect to section 24(1)(b);</w:t>
      </w:r>
    </w:p>
    <w:p>
      <w:pPr>
        <w:pStyle w:val="Defstart"/>
        <w:keepNex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92" w:name="_Toc377110028"/>
      <w:bookmarkStart w:id="93" w:name="_Toc430611335"/>
      <w:bookmarkStart w:id="94" w:name="_Toc424292574"/>
      <w:r>
        <w:rPr>
          <w:rStyle w:val="CharSectno"/>
        </w:rPr>
        <w:t>23</w:t>
      </w:r>
      <w:r>
        <w:rPr>
          <w:snapToGrid w:val="0"/>
        </w:rPr>
        <w:t>.</w:t>
      </w:r>
      <w:r>
        <w:rPr>
          <w:snapToGrid w:val="0"/>
        </w:rPr>
        <w:tab/>
        <w:t>Transfer orders</w:t>
      </w:r>
      <w:bookmarkEnd w:id="92"/>
      <w:bookmarkEnd w:id="93"/>
      <w:bookmarkEnd w:id="94"/>
    </w:p>
    <w:p>
      <w:pPr>
        <w:pStyle w:val="Subsection"/>
        <w:keepNext/>
        <w:keepLines/>
        <w:rPr>
          <w:snapToGrid w:val="0"/>
        </w:rPr>
      </w:pPr>
      <w:r>
        <w:rPr>
          <w:snapToGrid w:val="0"/>
        </w:rPr>
        <w:tab/>
        <w:t>(1)</w:t>
      </w:r>
      <w:r>
        <w:rPr>
          <w:snapToGrid w:val="0"/>
        </w:rPr>
        <w:tab/>
        <w:t xml:space="preserve">To give effect to an agreement </w:t>
      </w:r>
      <w:r>
        <w:t>under section 13</w:t>
      </w:r>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 and</w:t>
      </w:r>
    </w:p>
    <w:p>
      <w:pPr>
        <w:pStyle w:val="Indenta"/>
        <w:rPr>
          <w:snapToGrid w:val="0"/>
        </w:rPr>
      </w:pPr>
      <w:r>
        <w:rPr>
          <w:snapToGrid w:val="0"/>
        </w:rPr>
        <w:tab/>
        <w:t>(b)</w:t>
      </w:r>
      <w:r>
        <w:rPr>
          <w:snapToGrid w:val="0"/>
        </w:rPr>
        <w:tab/>
        <w:t>specifies any asset or liability that, by operation of section 24, is to be assigned to the person specified in the order; and</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 by No. 31 of 2003 s. 189(1).]</w:t>
      </w:r>
    </w:p>
    <w:p>
      <w:pPr>
        <w:pStyle w:val="Heading5"/>
      </w:pPr>
      <w:bookmarkStart w:id="95" w:name="_Toc377110029"/>
      <w:bookmarkStart w:id="96" w:name="_Toc430611336"/>
      <w:bookmarkStart w:id="97" w:name="_Toc424292575"/>
      <w:r>
        <w:rPr>
          <w:rStyle w:val="CharSectno"/>
        </w:rPr>
        <w:t>24</w:t>
      </w:r>
      <w:r>
        <w:rPr>
          <w:snapToGrid w:val="0"/>
        </w:rPr>
        <w:t>.</w:t>
      </w:r>
      <w:r>
        <w:rPr>
          <w:snapToGrid w:val="0"/>
        </w:rPr>
        <w:tab/>
        <w:t>Transfer orders, consequences of</w:t>
      </w:r>
      <w:bookmarkEnd w:id="95"/>
      <w:bookmarkEnd w:id="96"/>
      <w:bookmarkEnd w:id="97"/>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 and</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assigned by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98" w:name="_Toc377110030"/>
      <w:bookmarkStart w:id="99" w:name="_Toc430611337"/>
      <w:bookmarkStart w:id="100" w:name="_Toc424292576"/>
      <w:r>
        <w:rPr>
          <w:rStyle w:val="CharSectno"/>
        </w:rPr>
        <w:t>25</w:t>
      </w:r>
      <w:r>
        <w:t>.</w:t>
      </w:r>
      <w:r>
        <w:tab/>
        <w:t>Transfer order etc., completion of transactions for</w:t>
      </w:r>
      <w:bookmarkEnd w:id="98"/>
      <w:bookmarkEnd w:id="99"/>
      <w:bookmarkEnd w:id="100"/>
    </w:p>
    <w:p>
      <w:pPr>
        <w:pStyle w:val="Subsection"/>
      </w:pPr>
      <w:r>
        <w:tab/>
      </w:r>
      <w:r>
        <w:tab/>
        <w:t>If section 24 cannot, to any extent, have effect as described in this Division (whether because a matter is governed 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01" w:name="_Toc377110031"/>
      <w:bookmarkStart w:id="102" w:name="_Toc430611338"/>
      <w:bookmarkStart w:id="103" w:name="_Toc424292577"/>
      <w:r>
        <w:rPr>
          <w:rStyle w:val="CharSectno"/>
        </w:rPr>
        <w:t>26</w:t>
      </w:r>
      <w:r>
        <w:t>.</w:t>
      </w:r>
      <w:r>
        <w:tab/>
        <w:t>Certain instruments as to Authority’s internal arrangements may be specified in transfer order</w:t>
      </w:r>
      <w:bookmarkEnd w:id="101"/>
      <w:bookmarkEnd w:id="102"/>
      <w:bookmarkEnd w:id="103"/>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r>
        <w:rPr>
          <w:b/>
          <w:i/>
        </w:rPr>
        <w:t>liability</w:t>
      </w:r>
      <w:r>
        <w:t xml:space="preserve"> and </w:t>
      </w:r>
      <w:r>
        <w:rPr>
          <w:b/>
          <w:i/>
        </w:rPr>
        <w:t>right</w:t>
      </w:r>
      <w:r>
        <w:t xml:space="preserve"> in section 22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04" w:name="_Toc377110032"/>
      <w:bookmarkStart w:id="105" w:name="_Toc430611339"/>
      <w:bookmarkStart w:id="106" w:name="_Toc424292578"/>
      <w:r>
        <w:rPr>
          <w:rStyle w:val="CharSectno"/>
        </w:rPr>
        <w:t>27</w:t>
      </w:r>
      <w:r>
        <w:t>.</w:t>
      </w:r>
      <w:r>
        <w:tab/>
        <w:t>Records, arrangements for delivery of etc.</w:t>
      </w:r>
      <w:bookmarkEnd w:id="104"/>
      <w:bookmarkEnd w:id="105"/>
      <w:bookmarkEnd w:id="106"/>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07" w:name="_Toc377110033"/>
      <w:bookmarkStart w:id="108" w:name="_Toc430611340"/>
      <w:bookmarkStart w:id="109" w:name="_Toc424292579"/>
      <w:r>
        <w:rPr>
          <w:rStyle w:val="CharSectno"/>
        </w:rPr>
        <w:t>28</w:t>
      </w:r>
      <w:r>
        <w:t>.</w:t>
      </w:r>
      <w:r>
        <w:tab/>
        <w:t>Registration of documents to show effect of transfer orders etc.</w:t>
      </w:r>
      <w:bookmarkEnd w:id="107"/>
      <w:bookmarkEnd w:id="108"/>
      <w:bookmarkEnd w:id="109"/>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r>
        <w:rPr>
          <w:spacing w:val="-4"/>
        </w:rPr>
        <w:t>; No. 47 of 2011 s.</w:t>
      </w:r>
      <w:r>
        <w:t> 16.]</w:t>
      </w:r>
    </w:p>
    <w:p>
      <w:pPr>
        <w:pStyle w:val="Heading5"/>
      </w:pPr>
      <w:bookmarkStart w:id="110" w:name="_Toc377110034"/>
      <w:bookmarkStart w:id="111" w:name="_Toc430611341"/>
      <w:bookmarkStart w:id="112" w:name="_Toc424292580"/>
      <w:r>
        <w:rPr>
          <w:rStyle w:val="CharSectno"/>
        </w:rPr>
        <w:t>29</w:t>
      </w:r>
      <w:r>
        <w:t>.</w:t>
      </w:r>
      <w:r>
        <w:tab/>
        <w:t>Error in transfer order, correcting</w:t>
      </w:r>
      <w:bookmarkEnd w:id="110"/>
      <w:bookmarkEnd w:id="111"/>
      <w:bookmarkEnd w:id="112"/>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13" w:name="_Toc377110035"/>
      <w:bookmarkStart w:id="114" w:name="_Toc430611342"/>
      <w:bookmarkStart w:id="115" w:name="_Toc424292581"/>
      <w:r>
        <w:rPr>
          <w:rStyle w:val="CharSectno"/>
        </w:rPr>
        <w:t>30</w:t>
      </w:r>
      <w:r>
        <w:t>.</w:t>
      </w:r>
      <w:r>
        <w:tab/>
        <w:t>Proceeds of disposals, application of</w:t>
      </w:r>
      <w:bookmarkEnd w:id="113"/>
      <w:bookmarkEnd w:id="114"/>
      <w:bookmarkEnd w:id="115"/>
    </w:p>
    <w:p>
      <w:pPr>
        <w:pStyle w:val="Subsection"/>
      </w:pPr>
      <w:r>
        <w:tab/>
      </w:r>
      <w:r>
        <w:tab/>
        <w:t>The proceeds of any disposal under this Part are to be applied by paying them to the Treasurer or otherwise as the Treasurer determines.</w:t>
      </w:r>
    </w:p>
    <w:p>
      <w:pPr>
        <w:pStyle w:val="Heading2"/>
      </w:pPr>
      <w:bookmarkStart w:id="116" w:name="_Toc377110036"/>
      <w:bookmarkStart w:id="117" w:name="_Toc424292582"/>
      <w:bookmarkStart w:id="118" w:name="_Toc430601366"/>
      <w:bookmarkStart w:id="119" w:name="_Toc430611343"/>
      <w:r>
        <w:rPr>
          <w:rStyle w:val="CharPartNo"/>
        </w:rPr>
        <w:t>Part 3</w:t>
      </w:r>
      <w:r>
        <w:t xml:space="preserve"> — </w:t>
      </w:r>
      <w:r>
        <w:rPr>
          <w:rStyle w:val="CharPartText"/>
        </w:rPr>
        <w:t>Railway corridors</w:t>
      </w:r>
      <w:bookmarkEnd w:id="116"/>
      <w:bookmarkEnd w:id="117"/>
      <w:bookmarkEnd w:id="118"/>
      <w:bookmarkEnd w:id="119"/>
    </w:p>
    <w:p>
      <w:pPr>
        <w:pStyle w:val="Heading3"/>
      </w:pPr>
      <w:bookmarkStart w:id="120" w:name="_Toc377110037"/>
      <w:bookmarkStart w:id="121" w:name="_Toc424292583"/>
      <w:bookmarkStart w:id="122" w:name="_Toc430601367"/>
      <w:bookmarkStart w:id="123" w:name="_Toc430611344"/>
      <w:r>
        <w:rPr>
          <w:rStyle w:val="CharDivNo"/>
        </w:rPr>
        <w:t>Division 1</w:t>
      </w:r>
      <w:r>
        <w:t xml:space="preserve"> — </w:t>
      </w:r>
      <w:r>
        <w:rPr>
          <w:rStyle w:val="CharDivText"/>
        </w:rPr>
        <w:t>Preliminary and administrative matters</w:t>
      </w:r>
      <w:bookmarkEnd w:id="120"/>
      <w:bookmarkEnd w:id="121"/>
      <w:bookmarkEnd w:id="122"/>
      <w:bookmarkEnd w:id="123"/>
    </w:p>
    <w:p>
      <w:pPr>
        <w:pStyle w:val="Heading5"/>
        <w:spacing w:before="180"/>
      </w:pPr>
      <w:bookmarkStart w:id="124" w:name="_Toc377110038"/>
      <w:bookmarkStart w:id="125" w:name="_Toc430611345"/>
      <w:bookmarkStart w:id="126" w:name="_Toc424292584"/>
      <w:r>
        <w:rPr>
          <w:rStyle w:val="CharSectno"/>
        </w:rPr>
        <w:t>31</w:t>
      </w:r>
      <w:r>
        <w:t>.</w:t>
      </w:r>
      <w:r>
        <w:tab/>
        <w:t>Term used: Authority land</w:t>
      </w:r>
      <w:bookmarkEnd w:id="124"/>
      <w:bookmarkEnd w:id="125"/>
      <w:bookmarkEnd w:id="126"/>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127" w:name="_Toc377110039"/>
      <w:bookmarkStart w:id="128" w:name="_Toc430611346"/>
      <w:bookmarkStart w:id="129" w:name="_Toc424292585"/>
      <w:r>
        <w:rPr>
          <w:rStyle w:val="CharSectno"/>
        </w:rPr>
        <w:t>32</w:t>
      </w:r>
      <w:r>
        <w:t>.</w:t>
      </w:r>
      <w:r>
        <w:tab/>
        <w:t>Authority’s powers for purposes of this Act</w:t>
      </w:r>
      <w:bookmarkEnd w:id="127"/>
      <w:bookmarkEnd w:id="128"/>
      <w:bookmarkEnd w:id="129"/>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130" w:name="_Toc377110040"/>
      <w:bookmarkStart w:id="131" w:name="_Toc430611347"/>
      <w:bookmarkStart w:id="132" w:name="_Toc424292586"/>
      <w:r>
        <w:rPr>
          <w:rStyle w:val="CharSectno"/>
        </w:rPr>
        <w:t>33</w:t>
      </w:r>
      <w:r>
        <w:t>.</w:t>
      </w:r>
      <w:r>
        <w:tab/>
        <w:t>Guidelines for Authority</w:t>
      </w:r>
      <w:bookmarkEnd w:id="130"/>
      <w:bookmarkEnd w:id="131"/>
      <w:bookmarkEnd w:id="132"/>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Footnotesection"/>
      </w:pPr>
      <w:r>
        <w:tab/>
        <w:t>[Section 33 inserted by No. 31 of 2003 s. 177.]</w:t>
      </w:r>
    </w:p>
    <w:p>
      <w:pPr>
        <w:pStyle w:val="Heading3"/>
        <w:spacing w:before="180"/>
      </w:pPr>
      <w:bookmarkStart w:id="133" w:name="_Toc377110041"/>
      <w:bookmarkStart w:id="134" w:name="_Toc424292587"/>
      <w:bookmarkStart w:id="135" w:name="_Toc430601371"/>
      <w:bookmarkStart w:id="136" w:name="_Toc430611348"/>
      <w:r>
        <w:rPr>
          <w:rStyle w:val="CharDivNo"/>
        </w:rPr>
        <w:t>Division 2</w:t>
      </w:r>
      <w:r>
        <w:t xml:space="preserve"> — </w:t>
      </w:r>
      <w:r>
        <w:rPr>
          <w:rStyle w:val="CharDivText"/>
        </w:rPr>
        <w:t>Ordering land to be, or be no longer, corridor land</w:t>
      </w:r>
      <w:bookmarkEnd w:id="133"/>
      <w:bookmarkEnd w:id="134"/>
      <w:bookmarkEnd w:id="135"/>
      <w:bookmarkEnd w:id="136"/>
    </w:p>
    <w:p>
      <w:pPr>
        <w:pStyle w:val="Heading5"/>
      </w:pPr>
      <w:bookmarkStart w:id="137" w:name="_Toc377110042"/>
      <w:bookmarkStart w:id="138" w:name="_Toc430611349"/>
      <w:bookmarkStart w:id="139" w:name="_Toc424292588"/>
      <w:r>
        <w:rPr>
          <w:rStyle w:val="CharSectno"/>
        </w:rPr>
        <w:t>34</w:t>
      </w:r>
      <w:r>
        <w:t>.</w:t>
      </w:r>
      <w:r>
        <w:tab/>
        <w:t>Authority land, designating as corridor land or land other than corridor land</w:t>
      </w:r>
      <w:bookmarkEnd w:id="137"/>
      <w:bookmarkEnd w:id="138"/>
      <w:bookmarkEnd w:id="139"/>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140" w:name="_Toc377110043"/>
      <w:bookmarkStart w:id="141" w:name="_Toc430611350"/>
      <w:bookmarkStart w:id="142" w:name="_Toc424292589"/>
      <w:r>
        <w:rPr>
          <w:rStyle w:val="CharSectno"/>
        </w:rPr>
        <w:t>35</w:t>
      </w:r>
      <w:r>
        <w:t>.</w:t>
      </w:r>
      <w:r>
        <w:tab/>
        <w:t>Corridor land, descriptions of and orders as to</w:t>
      </w:r>
      <w:bookmarkEnd w:id="140"/>
      <w:bookmarkEnd w:id="141"/>
      <w:bookmarkEnd w:id="142"/>
    </w:p>
    <w:p>
      <w:pPr>
        <w:pStyle w:val="Subsection"/>
      </w:pPr>
      <w:r>
        <w:tab/>
        <w:t>(1)</w:t>
      </w:r>
      <w:r>
        <w:tab/>
        <w:t>For the purpose of assisting the Minister to prepare a proposal under section 11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143" w:name="_Toc377110044"/>
      <w:bookmarkStart w:id="144" w:name="_Toc430611351"/>
      <w:bookmarkStart w:id="145" w:name="_Toc424292590"/>
      <w:r>
        <w:rPr>
          <w:rStyle w:val="CharSectno"/>
        </w:rPr>
        <w:t>36</w:t>
      </w:r>
      <w:r>
        <w:t>.</w:t>
      </w:r>
      <w:r>
        <w:tab/>
        <w:t>Land other than Authority land, designating as corridor land</w:t>
      </w:r>
      <w:bookmarkEnd w:id="143"/>
      <w:bookmarkEnd w:id="144"/>
      <w:bookmarkEnd w:id="145"/>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146" w:name="_Toc377110045"/>
      <w:bookmarkStart w:id="147" w:name="_Toc430611352"/>
      <w:bookmarkStart w:id="148" w:name="_Toc424292591"/>
      <w:r>
        <w:rPr>
          <w:rStyle w:val="CharSectno"/>
        </w:rPr>
        <w:t>37</w:t>
      </w:r>
      <w:r>
        <w:t>.</w:t>
      </w:r>
      <w:r>
        <w:tab/>
        <w:t>Land may be ordered to be no longer corridor land</w:t>
      </w:r>
      <w:bookmarkEnd w:id="146"/>
      <w:bookmarkEnd w:id="147"/>
      <w:bookmarkEnd w:id="148"/>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149" w:name="_Toc377110046"/>
      <w:bookmarkStart w:id="150" w:name="_Toc430611353"/>
      <w:bookmarkStart w:id="151" w:name="_Toc424292592"/>
      <w:r>
        <w:rPr>
          <w:rStyle w:val="CharSectno"/>
        </w:rPr>
        <w:t>38</w:t>
      </w:r>
      <w:r>
        <w:t>.</w:t>
      </w:r>
      <w:r>
        <w:tab/>
        <w:t>Identifying land in an order</w:t>
      </w:r>
      <w:bookmarkEnd w:id="149"/>
      <w:bookmarkEnd w:id="150"/>
      <w:bookmarkEnd w:id="151"/>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152" w:name="_Toc377110047"/>
      <w:bookmarkStart w:id="153" w:name="_Toc430611354"/>
      <w:bookmarkStart w:id="154" w:name="_Toc424292593"/>
      <w:r>
        <w:rPr>
          <w:rStyle w:val="CharSectno"/>
        </w:rPr>
        <w:t>39</w:t>
      </w:r>
      <w:r>
        <w:t>.</w:t>
      </w:r>
      <w:r>
        <w:tab/>
        <w:t>Errors in order, correcting</w:t>
      </w:r>
      <w:bookmarkEnd w:id="152"/>
      <w:bookmarkEnd w:id="153"/>
      <w:bookmarkEnd w:id="154"/>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155" w:name="_Toc377110048"/>
      <w:bookmarkStart w:id="156" w:name="_Toc430611355"/>
      <w:bookmarkStart w:id="157" w:name="_Toc424292594"/>
      <w:r>
        <w:rPr>
          <w:rStyle w:val="CharSectno"/>
        </w:rPr>
        <w:t>40</w:t>
      </w:r>
      <w:r>
        <w:t>.</w:t>
      </w:r>
      <w:r>
        <w:tab/>
        <w:t>When order comes into operation</w:t>
      </w:r>
      <w:bookmarkEnd w:id="155"/>
      <w:bookmarkEnd w:id="156"/>
      <w:bookmarkEnd w:id="157"/>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158" w:name="_Toc377110049"/>
      <w:bookmarkStart w:id="159" w:name="_Toc430611356"/>
      <w:bookmarkStart w:id="160" w:name="_Toc424292595"/>
      <w:r>
        <w:rPr>
          <w:rStyle w:val="CharSectno"/>
        </w:rPr>
        <w:t>41</w:t>
      </w:r>
      <w:r>
        <w:t>.</w:t>
      </w:r>
      <w:r>
        <w:tab/>
        <w:t>Notation on title to corridor land</w:t>
      </w:r>
      <w:bookmarkEnd w:id="158"/>
      <w:bookmarkEnd w:id="159"/>
      <w:bookmarkEnd w:id="160"/>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r>
        <w:rPr>
          <w:spacing w:val="-4"/>
        </w:rPr>
        <w:t>; No. 47 of 2011 s.</w:t>
      </w:r>
      <w:r>
        <w:t> 16.]</w:t>
      </w:r>
    </w:p>
    <w:p>
      <w:pPr>
        <w:pStyle w:val="Heading3"/>
        <w:keepNext w:val="0"/>
        <w:spacing w:before="180"/>
      </w:pPr>
      <w:bookmarkStart w:id="161" w:name="_Toc377110050"/>
      <w:bookmarkStart w:id="162" w:name="_Toc424292596"/>
      <w:bookmarkStart w:id="163" w:name="_Toc430601380"/>
      <w:bookmarkStart w:id="164" w:name="_Toc430611357"/>
      <w:r>
        <w:rPr>
          <w:rStyle w:val="CharDivNo"/>
        </w:rPr>
        <w:t>Division 3</w:t>
      </w:r>
      <w:r>
        <w:t xml:space="preserve"> — </w:t>
      </w:r>
      <w:r>
        <w:rPr>
          <w:rStyle w:val="CharDivText"/>
        </w:rPr>
        <w:t>Dealing with corridor land and things on it</w:t>
      </w:r>
      <w:bookmarkEnd w:id="161"/>
      <w:bookmarkEnd w:id="162"/>
      <w:bookmarkEnd w:id="163"/>
      <w:bookmarkEnd w:id="164"/>
    </w:p>
    <w:p>
      <w:pPr>
        <w:pStyle w:val="Heading5"/>
      </w:pPr>
      <w:bookmarkStart w:id="165" w:name="_Toc377110051"/>
      <w:bookmarkStart w:id="166" w:name="_Toc430611358"/>
      <w:bookmarkStart w:id="167" w:name="_Toc424292597"/>
      <w:r>
        <w:rPr>
          <w:rStyle w:val="CharSectno"/>
        </w:rPr>
        <w:t>42</w:t>
      </w:r>
      <w:r>
        <w:t>.</w:t>
      </w:r>
      <w:r>
        <w:tab/>
        <w:t>Authority’s functions as to corridor land and certain things on it</w:t>
      </w:r>
      <w:bookmarkEnd w:id="165"/>
      <w:bookmarkEnd w:id="166"/>
      <w:bookmarkEnd w:id="167"/>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Government 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168" w:name="_Toc377110052"/>
      <w:bookmarkStart w:id="169" w:name="_Toc430611359"/>
      <w:bookmarkStart w:id="170" w:name="_Toc424292598"/>
      <w:r>
        <w:rPr>
          <w:rStyle w:val="CharSectno"/>
        </w:rPr>
        <w:t>43</w:t>
      </w:r>
      <w:r>
        <w:t>.</w:t>
      </w:r>
      <w:r>
        <w:tab/>
        <w:t>Authority to fulfil State’s obligations under s. 13 agreement</w:t>
      </w:r>
      <w:bookmarkEnd w:id="168"/>
      <w:bookmarkEnd w:id="169"/>
      <w:bookmarkEnd w:id="170"/>
    </w:p>
    <w:p>
      <w:pPr>
        <w:pStyle w:val="Subsection"/>
        <w:spacing w:before="100"/>
      </w:pPr>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70"/>
      </w:pPr>
      <w:bookmarkStart w:id="171" w:name="_Toc377110053"/>
      <w:bookmarkStart w:id="172" w:name="_Toc430611360"/>
      <w:bookmarkStart w:id="173" w:name="_Toc424292599"/>
      <w:r>
        <w:rPr>
          <w:rStyle w:val="CharSectno"/>
        </w:rPr>
        <w:t>44</w:t>
      </w:r>
      <w:r>
        <w:t>.</w:t>
      </w:r>
      <w:r>
        <w:tab/>
        <w:t>Other persons to convey property disposed of by Authority</w:t>
      </w:r>
      <w:bookmarkEnd w:id="171"/>
      <w:bookmarkEnd w:id="172"/>
      <w:bookmarkEnd w:id="173"/>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 by No. 31 of 2003 s. 184 and 188.]</w:t>
      </w:r>
    </w:p>
    <w:p>
      <w:pPr>
        <w:pStyle w:val="Heading3"/>
        <w:spacing w:before="160"/>
      </w:pPr>
      <w:bookmarkStart w:id="174" w:name="_Toc377110054"/>
      <w:bookmarkStart w:id="175" w:name="_Toc424292600"/>
      <w:bookmarkStart w:id="176" w:name="_Toc430601384"/>
      <w:bookmarkStart w:id="177" w:name="_Toc430611361"/>
      <w:r>
        <w:rPr>
          <w:rStyle w:val="CharDivNo"/>
        </w:rPr>
        <w:t>Division 4</w:t>
      </w:r>
      <w:r>
        <w:t xml:space="preserve"> — </w:t>
      </w:r>
      <w:r>
        <w:rPr>
          <w:rStyle w:val="CharDivText"/>
        </w:rPr>
        <w:t>Regulatory and other matters to do with corridor land</w:t>
      </w:r>
      <w:bookmarkEnd w:id="174"/>
      <w:bookmarkEnd w:id="175"/>
      <w:bookmarkEnd w:id="176"/>
      <w:bookmarkEnd w:id="177"/>
    </w:p>
    <w:p>
      <w:pPr>
        <w:pStyle w:val="Heading5"/>
        <w:spacing w:before="170"/>
      </w:pPr>
      <w:bookmarkStart w:id="178" w:name="_Toc377110055"/>
      <w:bookmarkStart w:id="179" w:name="_Toc430611362"/>
      <w:bookmarkStart w:id="180" w:name="_Toc424292601"/>
      <w:r>
        <w:rPr>
          <w:rStyle w:val="CharSectno"/>
        </w:rPr>
        <w:t>45</w:t>
      </w:r>
      <w:r>
        <w:t>.</w:t>
      </w:r>
      <w:r>
        <w:tab/>
      </w:r>
      <w:r>
        <w:rPr>
          <w:i/>
        </w:rPr>
        <w:t>Dividing Fences Act 1961</w:t>
      </w:r>
      <w:r>
        <w:t>, application of to corridor land</w:t>
      </w:r>
      <w:bookmarkEnd w:id="178"/>
      <w:bookmarkEnd w:id="179"/>
      <w:bookmarkEnd w:id="180"/>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181" w:name="_Toc377110056"/>
      <w:bookmarkStart w:id="182" w:name="_Toc430611363"/>
      <w:bookmarkStart w:id="183" w:name="_Toc424292602"/>
      <w:r>
        <w:rPr>
          <w:rStyle w:val="CharSectno"/>
        </w:rPr>
        <w:t>46</w:t>
      </w:r>
      <w:r>
        <w:t>.</w:t>
      </w:r>
      <w:r>
        <w:tab/>
        <w:t>Corridor land not subject to certain rates or taxes</w:t>
      </w:r>
      <w:bookmarkEnd w:id="181"/>
      <w:bookmarkEnd w:id="182"/>
      <w:bookmarkEnd w:id="183"/>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 by No. 31 of 2003 s. 185.]</w:t>
      </w:r>
    </w:p>
    <w:p>
      <w:pPr>
        <w:pStyle w:val="Heading5"/>
      </w:pPr>
      <w:bookmarkStart w:id="184" w:name="_Toc377110057"/>
      <w:bookmarkStart w:id="185" w:name="_Toc430611364"/>
      <w:bookmarkStart w:id="186" w:name="_Toc424292603"/>
      <w:r>
        <w:rPr>
          <w:rStyle w:val="CharSectno"/>
        </w:rPr>
        <w:t>47</w:t>
      </w:r>
      <w:r>
        <w:t>.</w:t>
      </w:r>
      <w:r>
        <w:tab/>
        <w:t>No construction on corridor land without consent</w:t>
      </w:r>
      <w:bookmarkEnd w:id="184"/>
      <w:bookmarkEnd w:id="185"/>
      <w:bookmarkEnd w:id="186"/>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187" w:name="_Toc377110058"/>
      <w:bookmarkStart w:id="188" w:name="_Toc430611365"/>
      <w:bookmarkStart w:id="189" w:name="_Toc424292604"/>
      <w:r>
        <w:rPr>
          <w:rStyle w:val="CharSectno"/>
        </w:rPr>
        <w:t>48</w:t>
      </w:r>
      <w:r>
        <w:t>.</w:t>
      </w:r>
      <w:r>
        <w:tab/>
        <w:t>Restrictions on use etc. of corridor land</w:t>
      </w:r>
      <w:bookmarkEnd w:id="187"/>
      <w:bookmarkEnd w:id="188"/>
      <w:bookmarkEnd w:id="189"/>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 and</w:t>
      </w:r>
    </w:p>
    <w:p>
      <w:pPr>
        <w:pStyle w:val="Indenta"/>
      </w:pPr>
      <w:r>
        <w:tab/>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190" w:name="_Toc377110059"/>
      <w:bookmarkStart w:id="191" w:name="_Toc430611366"/>
      <w:bookmarkStart w:id="192" w:name="_Toc424292605"/>
      <w:r>
        <w:rPr>
          <w:rStyle w:val="CharSectno"/>
        </w:rPr>
        <w:t>49</w:t>
      </w:r>
      <w:r>
        <w:t>.</w:t>
      </w:r>
      <w:r>
        <w:tab/>
        <w:t xml:space="preserve">Delegation by </w:t>
      </w:r>
      <w:r>
        <w:rPr>
          <w:snapToGrid w:val="0"/>
        </w:rPr>
        <w:t>Authority</w:t>
      </w:r>
      <w:bookmarkEnd w:id="190"/>
      <w:bookmarkEnd w:id="191"/>
      <w:bookmarkEnd w:id="192"/>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193" w:name="_Toc377110060"/>
      <w:bookmarkStart w:id="194" w:name="_Toc430611367"/>
      <w:bookmarkStart w:id="195" w:name="_Toc424292606"/>
      <w:r>
        <w:rPr>
          <w:rStyle w:val="CharSectno"/>
        </w:rPr>
        <w:t>50</w:t>
      </w:r>
      <w:r>
        <w:t>.</w:t>
      </w:r>
      <w:r>
        <w:tab/>
        <w:t>Regulations, specific subjects for</w:t>
      </w:r>
      <w:bookmarkEnd w:id="193"/>
      <w:bookmarkEnd w:id="194"/>
      <w:bookmarkEnd w:id="195"/>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196" w:name="_Toc377110061"/>
      <w:bookmarkStart w:id="197" w:name="_Toc430611368"/>
      <w:bookmarkStart w:id="198" w:name="_Toc424292607"/>
      <w:r>
        <w:rPr>
          <w:rStyle w:val="CharSectno"/>
        </w:rPr>
        <w:t>51</w:t>
      </w:r>
      <w:r>
        <w:t>.</w:t>
      </w:r>
      <w:r>
        <w:tab/>
        <w:t>Protecting corridor land etc., use of entry powers for</w:t>
      </w:r>
      <w:bookmarkEnd w:id="196"/>
      <w:bookmarkEnd w:id="197"/>
      <w:bookmarkEnd w:id="198"/>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199" w:name="_Toc377110062"/>
      <w:bookmarkStart w:id="200" w:name="_Toc430611369"/>
      <w:bookmarkStart w:id="201" w:name="_Toc424292608"/>
      <w:r>
        <w:rPr>
          <w:rStyle w:val="CharSectno"/>
        </w:rPr>
        <w:t>52</w:t>
      </w:r>
      <w:r>
        <w:t>.</w:t>
      </w:r>
      <w:r>
        <w:tab/>
        <w:t>Assistants etc., entry by</w:t>
      </w:r>
      <w:bookmarkEnd w:id="199"/>
      <w:bookmarkEnd w:id="200"/>
      <w:bookmarkEnd w:id="201"/>
    </w:p>
    <w:p>
      <w:pPr>
        <w:pStyle w:val="Subsection"/>
      </w:pPr>
      <w:r>
        <w:tab/>
      </w:r>
      <w:r>
        <w:tab/>
        <w:t>Entry under this Division may be made with such assistants and equipment as are considered necessary for the purpose for which entry is required.</w:t>
      </w:r>
    </w:p>
    <w:p>
      <w:pPr>
        <w:pStyle w:val="Heading5"/>
      </w:pPr>
      <w:bookmarkStart w:id="202" w:name="_Toc377110063"/>
      <w:bookmarkStart w:id="203" w:name="_Toc430611370"/>
      <w:bookmarkStart w:id="204" w:name="_Toc424292609"/>
      <w:r>
        <w:rPr>
          <w:rStyle w:val="CharSectno"/>
        </w:rPr>
        <w:t>53</w:t>
      </w:r>
      <w:r>
        <w:t>.</w:t>
      </w:r>
      <w:r>
        <w:tab/>
        <w:t>Entering property, general procedure for</w:t>
      </w:r>
      <w:bookmarkEnd w:id="202"/>
      <w:bookmarkEnd w:id="203"/>
      <w:bookmarkEnd w:id="204"/>
      <w:r>
        <w:t xml:space="preserve"> </w:t>
      </w:r>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205" w:name="_Toc377110064"/>
      <w:bookmarkStart w:id="206" w:name="_Toc430611371"/>
      <w:bookmarkStart w:id="207" w:name="_Toc424292610"/>
      <w:r>
        <w:rPr>
          <w:rStyle w:val="CharSectno"/>
        </w:rPr>
        <w:t>54</w:t>
      </w:r>
      <w:r>
        <w:t>.</w:t>
      </w:r>
      <w:r>
        <w:tab/>
        <w:t>Notice of intended entry</w:t>
      </w:r>
      <w:bookmarkEnd w:id="205"/>
      <w:bookmarkEnd w:id="206"/>
      <w:bookmarkEnd w:id="20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208" w:name="_Toc377110065"/>
      <w:bookmarkStart w:id="209" w:name="_Toc430611372"/>
      <w:bookmarkStart w:id="210" w:name="_Toc424292611"/>
      <w:r>
        <w:rPr>
          <w:rStyle w:val="CharSectno"/>
        </w:rPr>
        <w:t>55</w:t>
      </w:r>
      <w:r>
        <w:t>.</w:t>
      </w:r>
      <w:r>
        <w:tab/>
        <w:t>Entry under warrant</w:t>
      </w:r>
      <w:bookmarkEnd w:id="208"/>
      <w:bookmarkEnd w:id="209"/>
      <w:bookmarkEnd w:id="210"/>
    </w:p>
    <w:p>
      <w:pPr>
        <w:pStyle w:val="Subsection"/>
      </w:pPr>
      <w:r>
        <w:tab/>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211" w:name="_Toc377110066"/>
      <w:bookmarkStart w:id="212" w:name="_Toc430611373"/>
      <w:bookmarkStart w:id="213" w:name="_Toc424292612"/>
      <w:r>
        <w:rPr>
          <w:rStyle w:val="CharSectno"/>
        </w:rPr>
        <w:t>56</w:t>
      </w:r>
      <w:r>
        <w:t>.</w:t>
      </w:r>
      <w:r>
        <w:tab/>
        <w:t>Entry in an emergency</w:t>
      </w:r>
      <w:bookmarkEnd w:id="211"/>
      <w:bookmarkEnd w:id="212"/>
      <w:bookmarkEnd w:id="213"/>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214" w:name="_Toc377110067"/>
      <w:bookmarkStart w:id="215" w:name="_Toc430611374"/>
      <w:bookmarkStart w:id="216" w:name="_Toc424292613"/>
      <w:r>
        <w:rPr>
          <w:rStyle w:val="CharSectno"/>
        </w:rPr>
        <w:t>57</w:t>
      </w:r>
      <w:r>
        <w:t>.</w:t>
      </w:r>
      <w:r>
        <w:tab/>
        <w:t>Purpose of entry to be given on request</w:t>
      </w:r>
      <w:bookmarkEnd w:id="214"/>
      <w:bookmarkEnd w:id="215"/>
      <w:bookmarkEnd w:id="216"/>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217" w:name="_Toc377110068"/>
      <w:bookmarkStart w:id="218" w:name="_Toc424292614"/>
      <w:bookmarkStart w:id="219" w:name="_Toc430601398"/>
      <w:bookmarkStart w:id="220" w:name="_Toc430611375"/>
      <w:r>
        <w:rPr>
          <w:rStyle w:val="CharPartNo"/>
        </w:rPr>
        <w:t>Part 4</w:t>
      </w:r>
      <w:r>
        <w:rPr>
          <w:rStyle w:val="CharDivNo"/>
        </w:rPr>
        <w:t xml:space="preserve"> </w:t>
      </w:r>
      <w:r>
        <w:t>—</w:t>
      </w:r>
      <w:r>
        <w:rPr>
          <w:rStyle w:val="CharDivText"/>
        </w:rPr>
        <w:t xml:space="preserve"> </w:t>
      </w:r>
      <w:r>
        <w:rPr>
          <w:rStyle w:val="CharPartText"/>
        </w:rPr>
        <w:t>Miscellaneous</w:t>
      </w:r>
      <w:bookmarkEnd w:id="217"/>
      <w:bookmarkEnd w:id="218"/>
      <w:bookmarkEnd w:id="219"/>
      <w:bookmarkEnd w:id="220"/>
    </w:p>
    <w:p>
      <w:pPr>
        <w:pStyle w:val="Heading5"/>
      </w:pPr>
      <w:bookmarkStart w:id="221" w:name="_Toc377110069"/>
      <w:bookmarkStart w:id="222" w:name="_Toc430611376"/>
      <w:bookmarkStart w:id="223" w:name="_Toc424292615"/>
      <w:r>
        <w:rPr>
          <w:rStyle w:val="CharSectno"/>
        </w:rPr>
        <w:t>58</w:t>
      </w:r>
      <w:r>
        <w:t>.</w:t>
      </w:r>
      <w:r>
        <w:tab/>
        <w:t>Civil penalty, agreements etc. may provide for</w:t>
      </w:r>
      <w:bookmarkEnd w:id="221"/>
      <w:bookmarkEnd w:id="222"/>
      <w:bookmarkEnd w:id="223"/>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224" w:name="_Toc377110070"/>
      <w:bookmarkStart w:id="225" w:name="_Toc430611377"/>
      <w:bookmarkStart w:id="226" w:name="_Toc424292616"/>
      <w:r>
        <w:rPr>
          <w:rStyle w:val="CharSectno"/>
        </w:rPr>
        <w:t>59</w:t>
      </w:r>
      <w:r>
        <w:t>.</w:t>
      </w:r>
      <w:r>
        <w:tab/>
        <w:t>Regulations</w:t>
      </w:r>
      <w:bookmarkEnd w:id="224"/>
      <w:bookmarkEnd w:id="225"/>
      <w:bookmarkEnd w:id="2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227" w:name="_Toc377110071"/>
      <w:bookmarkStart w:id="228" w:name="_Toc424292617"/>
      <w:bookmarkStart w:id="229" w:name="_Toc430601401"/>
      <w:bookmarkStart w:id="230" w:name="_Toc430611378"/>
      <w:r>
        <w:rPr>
          <w:rStyle w:val="CharPartNo"/>
        </w:rPr>
        <w:t>Part 5</w:t>
      </w:r>
      <w:r>
        <w:t xml:space="preserve"> — </w:t>
      </w:r>
      <w:r>
        <w:rPr>
          <w:rStyle w:val="CharPartText"/>
        </w:rPr>
        <w:t>Amendments to, or modification of, other Acts</w:t>
      </w:r>
      <w:bookmarkEnd w:id="227"/>
      <w:bookmarkEnd w:id="228"/>
      <w:bookmarkEnd w:id="229"/>
      <w:bookmarkEnd w:id="230"/>
    </w:p>
    <w:p>
      <w:pPr>
        <w:pStyle w:val="Ednotedivision"/>
      </w:pPr>
      <w:r>
        <w:t>[Divisions 1</w:t>
      </w:r>
      <w:r>
        <w:noBreakHyphen/>
        <w:t>3 (s. 60</w:t>
      </w:r>
      <w:r>
        <w:noBreakHyphen/>
        <w:t>95) omitted under the Reprints Act 1984 s. 7(4)(e).]</w:t>
      </w:r>
    </w:p>
    <w:p>
      <w:pPr>
        <w:pStyle w:val="Heading3"/>
      </w:pPr>
      <w:bookmarkStart w:id="231" w:name="_Toc377110072"/>
      <w:bookmarkStart w:id="232" w:name="_Toc424292618"/>
      <w:bookmarkStart w:id="233" w:name="_Toc430601402"/>
      <w:bookmarkStart w:id="234" w:name="_Toc430611379"/>
      <w:r>
        <w:rPr>
          <w:rStyle w:val="CharDivNo"/>
        </w:rPr>
        <w:t>Division 4</w:t>
      </w:r>
      <w:r>
        <w:t xml:space="preserve"> — </w:t>
      </w:r>
      <w:r>
        <w:rPr>
          <w:rStyle w:val="CharDivText"/>
          <w:i/>
        </w:rPr>
        <w:t>Land Administration Act 1997</w:t>
      </w:r>
      <w:bookmarkEnd w:id="231"/>
      <w:bookmarkEnd w:id="232"/>
      <w:bookmarkEnd w:id="233"/>
      <w:bookmarkEnd w:id="234"/>
    </w:p>
    <w:p>
      <w:pPr>
        <w:pStyle w:val="Heading5"/>
        <w:spacing w:before="180"/>
      </w:pPr>
      <w:bookmarkStart w:id="235" w:name="_Toc377110073"/>
      <w:bookmarkStart w:id="236" w:name="_Toc430611380"/>
      <w:bookmarkStart w:id="237" w:name="_Toc424292619"/>
      <w:r>
        <w:rPr>
          <w:rStyle w:val="CharSectno"/>
        </w:rPr>
        <w:t>96</w:t>
      </w:r>
      <w:r>
        <w:t>.</w:t>
      </w:r>
      <w:r>
        <w:tab/>
        <w:t>Act amended or modified</w:t>
      </w:r>
      <w:bookmarkEnd w:id="235"/>
      <w:bookmarkEnd w:id="236"/>
      <w:bookmarkEnd w:id="237"/>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r>
        <w:rPr>
          <w:b/>
        </w:rPr>
        <w:noBreakHyphen/>
        <w:t>99.</w:t>
      </w:r>
      <w:r>
        <w:tab/>
        <w:t>Omitted under the Reprints Act 1984 s. 7(4)(e).]</w:t>
      </w:r>
    </w:p>
    <w:p>
      <w:pPr>
        <w:pStyle w:val="Heading5"/>
      </w:pPr>
      <w:bookmarkStart w:id="238" w:name="_Toc377110074"/>
      <w:bookmarkStart w:id="239" w:name="_Toc430611381"/>
      <w:bookmarkStart w:id="240" w:name="_Toc424292620"/>
      <w:r>
        <w:rPr>
          <w:rStyle w:val="CharSectno"/>
        </w:rPr>
        <w:t>100</w:t>
      </w:r>
      <w:r>
        <w:t>.</w:t>
      </w:r>
      <w:r>
        <w:tab/>
      </w:r>
      <w:r>
        <w:rPr>
          <w:snapToGrid w:val="0"/>
        </w:rPr>
        <w:t>Sections 187</w:t>
      </w:r>
      <w:r>
        <w:rPr>
          <w:snapToGrid w:val="0"/>
        </w:rPr>
        <w:noBreakHyphen/>
        <w:t>191 not to apply</w:t>
      </w:r>
      <w:bookmarkEnd w:id="238"/>
      <w:bookmarkEnd w:id="239"/>
      <w:bookmarkEnd w:id="240"/>
    </w:p>
    <w:p>
      <w:pPr>
        <w:pStyle w:val="Subsection"/>
      </w:pPr>
      <w:r>
        <w:tab/>
      </w:r>
      <w:r>
        <w:tab/>
        <w:t>Sections 187 to 191 do not apply to or in relation to corridor land.</w:t>
      </w:r>
    </w:p>
    <w:p>
      <w:pPr>
        <w:pStyle w:val="Heading5"/>
        <w:rPr>
          <w:snapToGrid w:val="0"/>
        </w:rPr>
      </w:pPr>
      <w:bookmarkStart w:id="241" w:name="_Toc377110075"/>
      <w:bookmarkStart w:id="242" w:name="_Toc430611382"/>
      <w:bookmarkStart w:id="243" w:name="_Toc424292621"/>
      <w:r>
        <w:rPr>
          <w:rStyle w:val="CharSectno"/>
        </w:rPr>
        <w:t>101</w:t>
      </w:r>
      <w:r>
        <w:t>.</w:t>
      </w:r>
      <w:r>
        <w:tab/>
      </w:r>
      <w:r>
        <w:rPr>
          <w:snapToGrid w:val="0"/>
        </w:rPr>
        <w:t>Taking of land to be as if for conferral of rights</w:t>
      </w:r>
      <w:bookmarkEnd w:id="241"/>
      <w:bookmarkEnd w:id="242"/>
      <w:bookmarkEnd w:id="243"/>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r>
        <w:t>[Divisions 5 and 6 (s. 102</w:t>
      </w:r>
      <w:r>
        <w:noBreakHyphen/>
        <w:t>104) omitted under the Reprints Act 1984 s. 7(4)(e).]</w:t>
      </w:r>
    </w:p>
    <w:p>
      <w:pPr>
        <w:pStyle w:val="Heading3"/>
      </w:pPr>
      <w:bookmarkStart w:id="244" w:name="_Toc377110076"/>
      <w:bookmarkStart w:id="245" w:name="_Toc424292622"/>
      <w:bookmarkStart w:id="246" w:name="_Toc430601406"/>
      <w:bookmarkStart w:id="247" w:name="_Toc430611383"/>
      <w:r>
        <w:rPr>
          <w:rStyle w:val="CharDivNo"/>
        </w:rPr>
        <w:t>Division 7</w:t>
      </w:r>
      <w:r>
        <w:t xml:space="preserve"> — </w:t>
      </w:r>
      <w:r>
        <w:rPr>
          <w:rStyle w:val="CharDivText"/>
          <w:i/>
        </w:rPr>
        <w:t>Planning and Development Act 2005</w:t>
      </w:r>
      <w:bookmarkEnd w:id="244"/>
      <w:bookmarkEnd w:id="245"/>
      <w:bookmarkEnd w:id="246"/>
      <w:bookmarkEnd w:id="247"/>
    </w:p>
    <w:p>
      <w:pPr>
        <w:pStyle w:val="Footnoteheading"/>
      </w:pPr>
      <w:r>
        <w:tab/>
        <w:t>[Heading amended by No. 38 of 2005 s. 15.]</w:t>
      </w:r>
    </w:p>
    <w:p>
      <w:pPr>
        <w:pStyle w:val="Heading5"/>
      </w:pPr>
      <w:bookmarkStart w:id="248" w:name="_Toc377110077"/>
      <w:bookmarkStart w:id="249" w:name="_Toc430611384"/>
      <w:bookmarkStart w:id="250" w:name="_Toc424292623"/>
      <w:r>
        <w:rPr>
          <w:rStyle w:val="CharSectno"/>
        </w:rPr>
        <w:t>105</w:t>
      </w:r>
      <w:r>
        <w:t>.</w:t>
      </w:r>
      <w:r>
        <w:tab/>
        <w:t>Sections 135 and 136 not to apply</w:t>
      </w:r>
      <w:bookmarkEnd w:id="248"/>
      <w:bookmarkEnd w:id="249"/>
      <w:bookmarkEnd w:id="250"/>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 or</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51" w:name="_Toc377110078"/>
      <w:bookmarkStart w:id="252" w:name="_Toc424292624"/>
      <w:bookmarkStart w:id="253" w:name="_Toc430601408"/>
      <w:bookmarkStart w:id="254" w:name="_Toc430611385"/>
      <w:r>
        <w:t>Notes</w:t>
      </w:r>
      <w:bookmarkEnd w:id="251"/>
      <w:bookmarkEnd w:id="252"/>
      <w:bookmarkEnd w:id="253"/>
      <w:bookmarkEnd w:id="254"/>
    </w:p>
    <w:p>
      <w:pPr>
        <w:pStyle w:val="nSubsection"/>
        <w:rPr>
          <w:snapToGrid w:val="0"/>
        </w:rPr>
      </w:pPr>
      <w:r>
        <w:rPr>
          <w:snapToGrid w:val="0"/>
          <w:vertAlign w:val="superscript"/>
        </w:rPr>
        <w:t>1</w:t>
      </w:r>
      <w:r>
        <w:rPr>
          <w:snapToGrid w:val="0"/>
        </w:rPr>
        <w:tab/>
        <w:t xml:space="preserve">This </w:t>
      </w:r>
      <w:del w:id="255" w:author="svcMRProcess" w:date="2018-09-08T04:17:00Z">
        <w:r>
          <w:rPr>
            <w:snapToGrid w:val="0"/>
          </w:rPr>
          <w:delText xml:space="preserve">reprint </w:delText>
        </w:r>
      </w:del>
      <w:r>
        <w:rPr>
          <w:snapToGrid w:val="0"/>
        </w:rPr>
        <w:t>is a compilation</w:t>
      </w:r>
      <w:del w:id="256" w:author="svcMRProcess" w:date="2018-09-08T04:17:00Z">
        <w:r>
          <w:rPr>
            <w:snapToGrid w:val="0"/>
          </w:rPr>
          <w:delText xml:space="preserve"> as at 3 February 2012</w:delText>
        </w:r>
      </w:del>
      <w:r>
        <w:rPr>
          <w:snapToGrid w:val="0"/>
        </w:rPr>
        <w:t xml:space="preserve"> of the </w:t>
      </w:r>
      <w:r>
        <w:rPr>
          <w:i/>
          <w:snapToGrid w:val="0"/>
        </w:rPr>
        <w:t xml:space="preserve">Rail Freight System Act 2000 </w:t>
      </w:r>
      <w:r>
        <w:rPr>
          <w:snapToGrid w:val="0"/>
        </w:rPr>
        <w:t>and includes the amendments made by the other written laws referred to in the following table</w:t>
      </w:r>
      <w:ins w:id="257" w:author="svcMRProcess" w:date="2018-09-08T04:17:00Z">
        <w:r>
          <w:rPr>
            <w:snapToGrid w:val="0"/>
            <w:vertAlign w:val="superscript"/>
          </w:rPr>
          <w:t> 1a</w:t>
        </w:r>
      </w:ins>
      <w:r>
        <w:rPr>
          <w:snapToGrid w:val="0"/>
        </w:rPr>
        <w:t>.  The table also contains information about any reprint.</w:t>
      </w:r>
    </w:p>
    <w:p>
      <w:pPr>
        <w:pStyle w:val="nHeading3"/>
        <w:rPr>
          <w:snapToGrid w:val="0"/>
        </w:rPr>
      </w:pPr>
      <w:bookmarkStart w:id="258" w:name="_Toc377110079"/>
      <w:bookmarkStart w:id="259" w:name="_Toc430611386"/>
      <w:bookmarkStart w:id="260" w:name="_Toc424292625"/>
      <w:r>
        <w:rPr>
          <w:snapToGrid w:val="0"/>
        </w:rPr>
        <w:t>Compilation table</w:t>
      </w:r>
      <w:bookmarkEnd w:id="258"/>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1" w:type="dxa"/>
            <w:tcBorders>
              <w:top w:val="single" w:sz="8" w:space="0" w:color="auto"/>
            </w:tcBorders>
          </w:tcPr>
          <w:p>
            <w:pPr>
              <w:pStyle w:val="nTable"/>
              <w:spacing w:after="40"/>
            </w:pPr>
            <w:r>
              <w:t>s. 1 and 2: 8 Jun 2000;</w:t>
            </w:r>
            <w:r>
              <w:br/>
              <w:t xml:space="preserve">Act other than s. 1 and 2, Pt. 5 Div. 1 and 6 and s. 91(1)(a) and (b) and 93: 30 Jun 2000 (see s. 2(1) and </w:t>
            </w:r>
            <w:r>
              <w:rPr>
                <w:i/>
              </w:rPr>
              <w:t>Gazette</w:t>
            </w:r>
            <w:r>
              <w:t xml:space="preserve"> 30 Jun 2000 p. 3397);</w:t>
            </w:r>
            <w:r>
              <w:br/>
              <w:t xml:space="preserve">Pt. 5 Div. 1 and 6: 1 Jul 2000 (see s. 2(2) and </w:t>
            </w:r>
            <w:r>
              <w:rPr>
                <w:i/>
              </w:rPr>
              <w:t>Gazette</w:t>
            </w:r>
            <w:r>
              <w:t xml:space="preserve"> 30 Jun 2000 p. 3397);</w:t>
            </w:r>
            <w:r>
              <w:br/>
              <w:t>s. 91(1)(a) and (b) and 93: 1 Sep 2001 (see s. 2(5)</w:t>
            </w:r>
            <w:r>
              <w:noBreakHyphen/>
              <w:t xml:space="preserve">(7) and </w:t>
            </w:r>
            <w:r>
              <w:rPr>
                <w:i/>
              </w:rPr>
              <w:t>Gazette</w:t>
            </w:r>
            <w:r>
              <w:t xml:space="preserve"> 28 Aug 2001 p. 4795)</w:t>
            </w:r>
          </w:p>
        </w:tc>
      </w:tr>
      <w:tr>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1" w:type="dxa"/>
          </w:tcPr>
          <w:p>
            <w:pPr>
              <w:pStyle w:val="nTable"/>
              <w:spacing w:after="40"/>
            </w:pPr>
            <w:r>
              <w:t>28 Nov 2000 (see s. 2)</w:t>
            </w:r>
          </w:p>
        </w:tc>
      </w:tr>
      <w:tr>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pacing w:val="-2"/>
              </w:rPr>
            </w:pPr>
            <w:r>
              <w:rPr>
                <w:i/>
              </w:rPr>
              <w:t>Public Transport Authority Act 2003</w:t>
            </w:r>
            <w:r>
              <w:t xml:space="preserve"> Pt. 8 Div. 4</w:t>
            </w:r>
            <w:r>
              <w:rPr>
                <w:vertAlign w:val="superscript"/>
              </w:rPr>
              <w:t> 5</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1"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144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 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1"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rPr>
              <w:t xml:space="preserve">Reprint 2: The </w:t>
            </w:r>
            <w:r>
              <w:rPr>
                <w:b/>
                <w:i/>
                <w:snapToGrid w:val="0"/>
              </w:rPr>
              <w:t xml:space="preserve">Rail Freight System Act 2000 </w:t>
            </w:r>
            <w:r>
              <w:rPr>
                <w:b/>
              </w:rPr>
              <w:t>as at 3 Feb 2012</w:t>
            </w:r>
            <w:r>
              <w:t xml:space="preserve"> (includes amendments listed above)</w:t>
            </w:r>
          </w:p>
        </w:tc>
      </w:tr>
    </w:tbl>
    <w:p>
      <w:pPr>
        <w:pStyle w:val="nSubsection"/>
        <w:spacing w:before="360"/>
        <w:rPr>
          <w:ins w:id="261" w:author="svcMRProcess" w:date="2018-09-08T04:17:00Z"/>
        </w:rPr>
      </w:pPr>
      <w:ins w:id="262" w:author="svcMRProcess" w:date="2018-09-08T04: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3" w:author="svcMRProcess" w:date="2018-09-08T04:17:00Z"/>
        </w:rPr>
      </w:pPr>
      <w:bookmarkStart w:id="264" w:name="_Toc430600633"/>
      <w:bookmarkStart w:id="265" w:name="_Toc430611387"/>
      <w:ins w:id="266" w:author="svcMRProcess" w:date="2018-09-08T04:17:00Z">
        <w:r>
          <w:t>Provisions that have not come into operation</w:t>
        </w:r>
        <w:bookmarkEnd w:id="264"/>
        <w:bookmarkEnd w:id="26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67" w:author="svcMRProcess" w:date="2018-09-08T04:17:00Z"/>
        </w:trPr>
        <w:tc>
          <w:tcPr>
            <w:tcW w:w="2268" w:type="dxa"/>
          </w:tcPr>
          <w:p>
            <w:pPr>
              <w:pStyle w:val="nTable"/>
              <w:spacing w:after="40"/>
              <w:rPr>
                <w:ins w:id="268" w:author="svcMRProcess" w:date="2018-09-08T04:17:00Z"/>
                <w:b/>
              </w:rPr>
            </w:pPr>
            <w:ins w:id="269" w:author="svcMRProcess" w:date="2018-09-08T04:17:00Z">
              <w:r>
                <w:rPr>
                  <w:b/>
                </w:rPr>
                <w:t>Short title</w:t>
              </w:r>
            </w:ins>
          </w:p>
        </w:tc>
        <w:tc>
          <w:tcPr>
            <w:tcW w:w="1134" w:type="dxa"/>
          </w:tcPr>
          <w:p>
            <w:pPr>
              <w:pStyle w:val="nTable"/>
              <w:spacing w:after="40"/>
              <w:rPr>
                <w:ins w:id="270" w:author="svcMRProcess" w:date="2018-09-08T04:17:00Z"/>
                <w:b/>
              </w:rPr>
            </w:pPr>
            <w:ins w:id="271" w:author="svcMRProcess" w:date="2018-09-08T04:17:00Z">
              <w:r>
                <w:rPr>
                  <w:b/>
                </w:rPr>
                <w:t>Number and year</w:t>
              </w:r>
            </w:ins>
          </w:p>
        </w:tc>
        <w:tc>
          <w:tcPr>
            <w:tcW w:w="1134" w:type="dxa"/>
          </w:tcPr>
          <w:p>
            <w:pPr>
              <w:pStyle w:val="nTable"/>
              <w:spacing w:after="40"/>
              <w:rPr>
                <w:ins w:id="272" w:author="svcMRProcess" w:date="2018-09-08T04:17:00Z"/>
                <w:b/>
              </w:rPr>
            </w:pPr>
            <w:ins w:id="273" w:author="svcMRProcess" w:date="2018-09-08T04:17:00Z">
              <w:r>
                <w:rPr>
                  <w:b/>
                </w:rPr>
                <w:t>Assent</w:t>
              </w:r>
            </w:ins>
          </w:p>
        </w:tc>
        <w:tc>
          <w:tcPr>
            <w:tcW w:w="2552" w:type="dxa"/>
          </w:tcPr>
          <w:p>
            <w:pPr>
              <w:pStyle w:val="nTable"/>
              <w:spacing w:after="40"/>
              <w:rPr>
                <w:ins w:id="274" w:author="svcMRProcess" w:date="2018-09-08T04:17:00Z"/>
                <w:b/>
              </w:rPr>
            </w:pPr>
            <w:ins w:id="275" w:author="svcMRProcess" w:date="2018-09-08T04:17:00Z">
              <w:r>
                <w:rPr>
                  <w:b/>
                </w:rPr>
                <w:t>Commencement</w:t>
              </w:r>
            </w:ins>
          </w:p>
        </w:tc>
      </w:tr>
      <w:tr>
        <w:trPr>
          <w:ins w:id="276" w:author="svcMRProcess" w:date="2018-09-08T04:17:00Z"/>
        </w:trPr>
        <w:tc>
          <w:tcPr>
            <w:tcW w:w="2268" w:type="dxa"/>
          </w:tcPr>
          <w:p>
            <w:pPr>
              <w:pStyle w:val="nTable"/>
              <w:spacing w:after="40"/>
              <w:rPr>
                <w:ins w:id="277" w:author="svcMRProcess" w:date="2018-09-08T04:17:00Z"/>
              </w:rPr>
            </w:pPr>
            <w:ins w:id="278" w:author="svcMRProcess" w:date="2018-09-08T04:17:00Z">
              <w:r>
                <w:rPr>
                  <w:i/>
                </w:rPr>
                <w:t>Rail Safety National Law (WA) Act 2015</w:t>
              </w:r>
              <w:r>
                <w:t xml:space="preserve"> Pt. 5 </w:t>
              </w:r>
              <w:r>
                <w:rPr>
                  <w:vertAlign w:val="superscript"/>
                </w:rPr>
                <w:t>6</w:t>
              </w:r>
            </w:ins>
          </w:p>
        </w:tc>
        <w:tc>
          <w:tcPr>
            <w:tcW w:w="1134" w:type="dxa"/>
          </w:tcPr>
          <w:p>
            <w:pPr>
              <w:pStyle w:val="nTable"/>
              <w:spacing w:after="40"/>
              <w:rPr>
                <w:ins w:id="279" w:author="svcMRProcess" w:date="2018-09-08T04:17:00Z"/>
              </w:rPr>
            </w:pPr>
            <w:ins w:id="280" w:author="svcMRProcess" w:date="2018-09-08T04:17:00Z">
              <w:r>
                <w:t>21 of 2015</w:t>
              </w:r>
            </w:ins>
          </w:p>
        </w:tc>
        <w:tc>
          <w:tcPr>
            <w:tcW w:w="1134" w:type="dxa"/>
          </w:tcPr>
          <w:p>
            <w:pPr>
              <w:pStyle w:val="nTable"/>
              <w:spacing w:after="40"/>
              <w:rPr>
                <w:ins w:id="281" w:author="svcMRProcess" w:date="2018-09-08T04:17:00Z"/>
              </w:rPr>
            </w:pPr>
            <w:ins w:id="282" w:author="svcMRProcess" w:date="2018-09-08T04:17:00Z">
              <w:r>
                <w:t>17 Sep 2015</w:t>
              </w:r>
            </w:ins>
          </w:p>
        </w:tc>
        <w:tc>
          <w:tcPr>
            <w:tcW w:w="2552" w:type="dxa"/>
          </w:tcPr>
          <w:p>
            <w:pPr>
              <w:pStyle w:val="nTable"/>
              <w:spacing w:after="40"/>
              <w:rPr>
                <w:ins w:id="283" w:author="svcMRProcess" w:date="2018-09-08T04:17:00Z"/>
              </w:rPr>
            </w:pPr>
            <w:ins w:id="284" w:author="svcMRProcess" w:date="2018-09-08T04:17:00Z">
              <w:r>
                <w:t>To be proclaimed (see s. 2(b))</w:t>
              </w:r>
            </w:ins>
          </w:p>
        </w:tc>
      </w:tr>
    </w:tbl>
    <w:p>
      <w:pPr>
        <w:pStyle w:val="nSubsection"/>
        <w:spacing w:before="160"/>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ins w:id="285" w:author="svcMRProcess" w:date="2018-09-08T04:17:00Z"/>
        </w:rPr>
      </w:pPr>
      <w:ins w:id="286" w:author="svcMRProcess" w:date="2018-09-08T04:17:00Z">
        <w:r>
          <w:rPr>
            <w:vertAlign w:val="superscript"/>
          </w:rPr>
          <w:t>6</w:t>
        </w:r>
        <w:r>
          <w:tab/>
          <w:t xml:space="preserve">On the date as at which this compilation was prepared, the </w:t>
        </w:r>
        <w:r>
          <w:rPr>
            <w:i/>
          </w:rPr>
          <w:t>Rail Safety National Law (WA) Act 2015</w:t>
        </w:r>
        <w:r>
          <w:t xml:space="preserve"> Pt. 5 had not come into operation.  It reads as follows:</w:t>
        </w:r>
      </w:ins>
    </w:p>
    <w:p>
      <w:pPr>
        <w:pStyle w:val="BlankOpen"/>
        <w:rPr>
          <w:ins w:id="287" w:author="svcMRProcess" w:date="2018-09-08T04:17:00Z"/>
        </w:rPr>
      </w:pPr>
    </w:p>
    <w:p>
      <w:pPr>
        <w:pStyle w:val="nzHeading2"/>
        <w:rPr>
          <w:ins w:id="288" w:author="svcMRProcess" w:date="2018-09-08T04:17:00Z"/>
        </w:rPr>
      </w:pPr>
      <w:bookmarkStart w:id="289" w:name="_Toc391301407"/>
      <w:bookmarkStart w:id="290" w:name="_Toc391301841"/>
      <w:bookmarkStart w:id="291" w:name="_Toc391302275"/>
      <w:bookmarkStart w:id="292" w:name="_Toc391302709"/>
      <w:bookmarkStart w:id="293" w:name="_Toc391306941"/>
      <w:bookmarkStart w:id="294" w:name="_Toc391366211"/>
      <w:bookmarkStart w:id="295" w:name="_Toc391994425"/>
      <w:bookmarkStart w:id="296" w:name="_Toc391995620"/>
      <w:bookmarkStart w:id="297" w:name="_Toc395025433"/>
      <w:bookmarkStart w:id="298" w:name="_Toc395090974"/>
      <w:bookmarkStart w:id="299" w:name="_Toc395102452"/>
      <w:bookmarkStart w:id="300" w:name="_Toc427845828"/>
      <w:bookmarkStart w:id="301" w:name="_Toc427846262"/>
      <w:bookmarkStart w:id="302" w:name="_Toc427846696"/>
      <w:bookmarkStart w:id="303" w:name="_Toc427847327"/>
      <w:bookmarkStart w:id="304" w:name="_Toc427847822"/>
      <w:bookmarkStart w:id="305" w:name="_Toc427849396"/>
      <w:bookmarkStart w:id="306" w:name="_Toc428521026"/>
      <w:bookmarkStart w:id="307" w:name="_Toc428522176"/>
      <w:bookmarkStart w:id="308" w:name="_Toc429561046"/>
      <w:bookmarkStart w:id="309" w:name="_Toc430343931"/>
      <w:bookmarkStart w:id="310" w:name="_Toc430351985"/>
      <w:ins w:id="311" w:author="svcMRProcess" w:date="2018-09-08T04:17:00Z">
        <w:r>
          <w:rPr>
            <w:rStyle w:val="CharPartNo"/>
          </w:rPr>
          <w:t>Part 5</w:t>
        </w:r>
        <w:r>
          <w:rPr>
            <w:rStyle w:val="CharDivNo"/>
          </w:rPr>
          <w:t> </w:t>
        </w:r>
        <w:r>
          <w:t>—</w:t>
        </w:r>
        <w:r>
          <w:rPr>
            <w:rStyle w:val="CharDivText"/>
          </w:rPr>
          <w:t> </w:t>
        </w:r>
        <w:r>
          <w:rPr>
            <w:rStyle w:val="CharPartText"/>
          </w:rPr>
          <w:t>Consequential amendments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ins>
    </w:p>
    <w:p>
      <w:pPr>
        <w:pStyle w:val="nzHeading5"/>
        <w:rPr>
          <w:ins w:id="312" w:author="svcMRProcess" w:date="2018-09-08T04:17:00Z"/>
        </w:rPr>
      </w:pPr>
      <w:bookmarkStart w:id="313" w:name="_Toc430343932"/>
      <w:bookmarkStart w:id="314" w:name="_Toc430351986"/>
      <w:ins w:id="315" w:author="svcMRProcess" w:date="2018-09-08T04:17:00Z">
        <w:r>
          <w:rPr>
            <w:rStyle w:val="CharSectno"/>
          </w:rPr>
          <w:t>50</w:t>
        </w:r>
        <w:r>
          <w:t>.</w:t>
        </w:r>
        <w:r>
          <w:tab/>
          <w:t>Various references to “</w:t>
        </w:r>
        <w:r>
          <w:rPr>
            <w:i/>
          </w:rPr>
          <w:t>Rail Safety Act 2010</w:t>
        </w:r>
        <w:r>
          <w:t>” amended</w:t>
        </w:r>
        <w:bookmarkEnd w:id="313"/>
        <w:bookmarkEnd w:id="314"/>
      </w:ins>
    </w:p>
    <w:p>
      <w:pPr>
        <w:pStyle w:val="nzSubsection"/>
        <w:rPr>
          <w:ins w:id="316" w:author="svcMRProcess" w:date="2018-09-08T04:17:00Z"/>
        </w:rPr>
      </w:pPr>
      <w:ins w:id="317" w:author="svcMRProcess" w:date="2018-09-08T04:17:00Z">
        <w:r>
          <w:tab/>
          <w:t>(1)</w:t>
        </w:r>
        <w:r>
          <w:tab/>
          <w:t>This section amends the Acts listed in the Table.</w:t>
        </w:r>
      </w:ins>
    </w:p>
    <w:p>
      <w:pPr>
        <w:pStyle w:val="nzSubsection"/>
        <w:rPr>
          <w:ins w:id="318" w:author="svcMRProcess" w:date="2018-09-08T04:17:00Z"/>
        </w:rPr>
      </w:pPr>
      <w:ins w:id="319" w:author="svcMRProcess" w:date="2018-09-08T04:17:00Z">
        <w:r>
          <w:tab/>
          <w:t>(2)</w:t>
        </w:r>
        <w:r>
          <w:tab/>
          <w:t>In the provisions listed in the Table delete “</w:t>
        </w:r>
        <w:r>
          <w:rPr>
            <w:i/>
          </w:rPr>
          <w:t>Rail Safety Act 2010</w:t>
        </w:r>
        <w:r>
          <w:t>” and insert:</w:t>
        </w:r>
      </w:ins>
    </w:p>
    <w:p>
      <w:pPr>
        <w:pStyle w:val="BlankOpen"/>
        <w:rPr>
          <w:ins w:id="320" w:author="svcMRProcess" w:date="2018-09-08T04:17:00Z"/>
        </w:rPr>
      </w:pPr>
    </w:p>
    <w:p>
      <w:pPr>
        <w:pStyle w:val="nzSubsection"/>
        <w:rPr>
          <w:ins w:id="321" w:author="svcMRProcess" w:date="2018-09-08T04:17:00Z"/>
        </w:rPr>
      </w:pPr>
      <w:ins w:id="322" w:author="svcMRProcess" w:date="2018-09-08T04:17:00Z">
        <w:r>
          <w:tab/>
        </w:r>
        <w:r>
          <w:tab/>
        </w:r>
        <w:r>
          <w:rPr>
            <w:i/>
          </w:rPr>
          <w:t>Rail Safety National Law (WA) Act 2015</w:t>
        </w:r>
      </w:ins>
    </w:p>
    <w:p>
      <w:pPr>
        <w:pStyle w:val="BlankClose"/>
        <w:rPr>
          <w:ins w:id="323" w:author="svcMRProcess" w:date="2018-09-08T04:17:00Z"/>
        </w:rPr>
      </w:pPr>
    </w:p>
    <w:p>
      <w:pPr>
        <w:pStyle w:val="THeading"/>
        <w:rPr>
          <w:ins w:id="324" w:author="svcMRProcess" w:date="2018-09-08T04:17:00Z"/>
        </w:rPr>
      </w:pPr>
      <w:ins w:id="325" w:author="svcMRProcess" w:date="2018-09-08T04:17:00Z">
        <w:r>
          <w:t>Table</w:t>
        </w:r>
      </w:ins>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ins w:id="326" w:author="svcMRProcess" w:date="2018-09-08T04:17:00Z"/>
        </w:trPr>
        <w:tc>
          <w:tcPr>
            <w:tcW w:w="2555" w:type="dxa"/>
          </w:tcPr>
          <w:p>
            <w:pPr>
              <w:pStyle w:val="TableAm"/>
              <w:rPr>
                <w:ins w:id="327" w:author="svcMRProcess" w:date="2018-09-08T04:17:00Z"/>
                <w:i/>
                <w:iCs/>
              </w:rPr>
            </w:pPr>
            <w:ins w:id="328" w:author="svcMRProcess" w:date="2018-09-08T04:17:00Z">
              <w:r>
                <w:rPr>
                  <w:i/>
                  <w:iCs/>
                </w:rPr>
                <w:t>Rail Freight System Act 2000</w:t>
              </w:r>
            </w:ins>
          </w:p>
        </w:tc>
        <w:tc>
          <w:tcPr>
            <w:tcW w:w="2545" w:type="dxa"/>
          </w:tcPr>
          <w:p>
            <w:pPr>
              <w:pStyle w:val="TableAm"/>
              <w:rPr>
                <w:ins w:id="329" w:author="svcMRProcess" w:date="2018-09-08T04:17:00Z"/>
              </w:rPr>
            </w:pPr>
            <w:ins w:id="330" w:author="svcMRProcess" w:date="2018-09-08T04:17:00Z">
              <w:r>
                <w:t>s. 9(1)(a)</w:t>
              </w:r>
            </w:ins>
          </w:p>
        </w:tc>
      </w:tr>
    </w:tbl>
    <w:p>
      <w:pPr>
        <w:pStyle w:val="BlankClose"/>
        <w:rPr>
          <w:ins w:id="331" w:author="svcMRProcess" w:date="2018-09-08T04:17:00Z"/>
        </w:rPr>
      </w:pPr>
    </w:p>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14019"/>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9156</Words>
  <Characters>42393</Characters>
  <Application>Microsoft Office Word</Application>
  <DocSecurity>0</DocSecurity>
  <Lines>1115</Lines>
  <Paragraphs>599</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50950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02-a0-03 - 02-b0-01</dc:title>
  <dc:subject/>
  <dc:creator/>
  <cp:keywords/>
  <dc:description/>
  <cp:lastModifiedBy>svcMRProcess</cp:lastModifiedBy>
  <cp:revision>2</cp:revision>
  <cp:lastPrinted>2012-02-03T02:41:00Z</cp:lastPrinted>
  <dcterms:created xsi:type="dcterms:W3CDTF">2018-09-07T20:17:00Z</dcterms:created>
  <dcterms:modified xsi:type="dcterms:W3CDTF">2018-09-07T20:17:00Z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DocumentType">
    <vt:lpwstr>Act</vt:lpwstr>
  </property>
  <property fmtid="{D5CDD505-2E9C-101B-9397-08002B2CF9AE}" pid="4" name="OwlsUID">
    <vt:i4>1997</vt:i4>
  </property>
  <property fmtid="{D5CDD505-2E9C-101B-9397-08002B2CF9AE}" pid="5" name="ReprintNo">
    <vt:lpwstr>2</vt:lpwstr>
  </property>
  <property fmtid="{D5CDD505-2E9C-101B-9397-08002B2CF9AE}" pid="6" name="ReprintedAsAt">
    <vt:filetime>2012-02-02T16:00:00Z</vt:filetime>
  </property>
  <property fmtid="{D5CDD505-2E9C-101B-9397-08002B2CF9AE}" pid="7" name="CommencementDate">
    <vt:lpwstr>20150917</vt:lpwstr>
  </property>
  <property fmtid="{D5CDD505-2E9C-101B-9397-08002B2CF9AE}" pid="8" name="FromSuffix">
    <vt:lpwstr>02-a0-03</vt:lpwstr>
  </property>
  <property fmtid="{D5CDD505-2E9C-101B-9397-08002B2CF9AE}" pid="9" name="FromAsAtDate">
    <vt:lpwstr>03 Feb 2012</vt:lpwstr>
  </property>
  <property fmtid="{D5CDD505-2E9C-101B-9397-08002B2CF9AE}" pid="10" name="ToSuffix">
    <vt:lpwstr>02-b0-01</vt:lpwstr>
  </property>
  <property fmtid="{D5CDD505-2E9C-101B-9397-08002B2CF9AE}" pid="11" name="ToAsAtDate">
    <vt:lpwstr>17 Sep 2015</vt:lpwstr>
  </property>
</Properties>
</file>