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Electoral Act 1907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2014</w:t>
      </w:r>
      <w:r>
        <w:fldChar w:fldCharType="end"/>
      </w:r>
      <w:r>
        <w:t xml:space="preserve">, </w:t>
      </w:r>
      <w:r>
        <w:fldChar w:fldCharType="begin"/>
      </w:r>
      <w:r>
        <w:instrText xml:space="preserve"> DocProperty FromSuffix </w:instrText>
      </w:r>
      <w:r>
        <w:fldChar w:fldCharType="separate"/>
      </w:r>
      <w:r>
        <w:t>16-d0-02</w:t>
      </w:r>
      <w:r>
        <w:fldChar w:fldCharType="end"/>
      </w:r>
      <w:r>
        <w:t>] and [</w:t>
      </w:r>
      <w:r>
        <w:fldChar w:fldCharType="begin"/>
      </w:r>
      <w:r>
        <w:instrText xml:space="preserve"> DocProperty ToAsAtDate</w:instrText>
      </w:r>
      <w:r>
        <w:fldChar w:fldCharType="separate"/>
      </w:r>
      <w:r>
        <w:t>30 Nov 2015</w:t>
      </w:r>
      <w:r>
        <w:fldChar w:fldCharType="end"/>
      </w:r>
      <w:r>
        <w:t xml:space="preserve">, </w:t>
      </w:r>
      <w:r>
        <w:fldChar w:fldCharType="begin"/>
      </w:r>
      <w:r>
        <w:instrText xml:space="preserve"> DocProperty ToSuffix</w:instrText>
      </w:r>
      <w:r>
        <w:fldChar w:fldCharType="separate"/>
      </w:r>
      <w:r>
        <w:t>16-e0-00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680" w:after="1240"/>
      </w:pPr>
      <w:r>
        <w:t>Electoral Act 1907</w:t>
      </w:r>
    </w:p>
    <w:p>
      <w:pPr>
        <w:pStyle w:val="LongTitle"/>
        <w:outlineLvl w:val="0"/>
      </w:pPr>
      <w:r>
        <w:t>A</w:t>
      </w:r>
      <w:bookmarkStart w:id="1" w:name="_GoBack"/>
      <w:bookmarkEnd w:id="1"/>
      <w:r>
        <w:t>n Act to regulate parliamentary elections and for related purposes.</w:t>
      </w:r>
    </w:p>
    <w:p>
      <w:pPr>
        <w:pStyle w:val="Footnotelongtitle"/>
      </w:pPr>
      <w:r>
        <w:tab/>
        <w:t>[Long title amended by No. 64 of 2006 s. 12.]</w:t>
      </w:r>
    </w:p>
    <w:p>
      <w:pPr>
        <w:pStyle w:val="Heading2"/>
        <w:keepNext w:val="0"/>
      </w:pPr>
      <w:bookmarkStart w:id="2" w:name="_Toc402969225"/>
      <w:bookmarkStart w:id="3" w:name="_Toc416702657"/>
      <w:bookmarkStart w:id="4" w:name="_Toc416703041"/>
      <w:bookmarkStart w:id="5" w:name="_Toc435714293"/>
      <w:bookmarkStart w:id="6" w:name="_Toc436057408"/>
      <w:bookmarkStart w:id="7" w:name="_Toc436057796"/>
      <w:bookmarkStart w:id="8" w:name="_Toc436058181"/>
      <w:bookmarkStart w:id="9" w:name="_Toc436058003"/>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spacing w:before="180"/>
        <w:rPr>
          <w:snapToGrid w:val="0"/>
        </w:rPr>
      </w:pPr>
      <w:bookmarkStart w:id="10" w:name="_Toc402969226"/>
      <w:bookmarkStart w:id="11" w:name="_Toc436058005"/>
      <w:bookmarkStart w:id="12" w:name="_Toc416703042"/>
      <w:r>
        <w:rPr>
          <w:rStyle w:val="CharSectno"/>
        </w:rPr>
        <w:t>1</w:t>
      </w:r>
      <w:r>
        <w:rPr>
          <w:snapToGrid w:val="0"/>
        </w:rPr>
        <w:t>.</w:t>
      </w:r>
      <w:r>
        <w:rPr>
          <w:snapToGrid w:val="0"/>
        </w:rPr>
        <w:tab/>
        <w:t>Short title</w:t>
      </w:r>
      <w:bookmarkEnd w:id="10"/>
      <w:bookmarkEnd w:id="11"/>
      <w:bookmarkEnd w:id="12"/>
    </w:p>
    <w:p>
      <w:pPr>
        <w:pStyle w:val="Subsection"/>
        <w:spacing w:before="120"/>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spacing w:before="200"/>
        <w:rPr>
          <w:snapToGrid w:val="0"/>
        </w:rPr>
      </w:pPr>
      <w:bookmarkStart w:id="13" w:name="_Toc402969227"/>
      <w:bookmarkStart w:id="14" w:name="_Toc436058006"/>
      <w:bookmarkStart w:id="15" w:name="_Toc416703043"/>
      <w:r>
        <w:rPr>
          <w:rStyle w:val="CharSectno"/>
        </w:rPr>
        <w:t>2</w:t>
      </w:r>
      <w:r>
        <w:rPr>
          <w:snapToGrid w:val="0"/>
        </w:rPr>
        <w:t>.</w:t>
      </w:r>
      <w:r>
        <w:rPr>
          <w:snapToGrid w:val="0"/>
        </w:rPr>
        <w:tab/>
        <w:t>Commencement</w:t>
      </w:r>
      <w:bookmarkEnd w:id="13"/>
      <w:bookmarkEnd w:id="14"/>
      <w:bookmarkEnd w:id="15"/>
    </w:p>
    <w:p>
      <w:pPr>
        <w:pStyle w:val="Subsection"/>
        <w:spacing w:before="120"/>
        <w:rPr>
          <w:snapToGrid w:val="0"/>
        </w:rPr>
      </w:pPr>
      <w:r>
        <w:rPr>
          <w:snapToGrid w:val="0"/>
        </w:rPr>
        <w:tab/>
      </w:r>
      <w:r>
        <w:rPr>
          <w:snapToGrid w:val="0"/>
        </w:rPr>
        <w:tab/>
        <w:t>This Act shall come into operation on 1 March 1908.</w:t>
      </w:r>
    </w:p>
    <w:p>
      <w:pPr>
        <w:pStyle w:val="Ednotesection"/>
        <w:spacing w:before="200"/>
      </w:pPr>
      <w:r>
        <w:t>[</w:t>
      </w:r>
      <w:r>
        <w:rPr>
          <w:b/>
        </w:rPr>
        <w:t>3.</w:t>
      </w:r>
      <w:r>
        <w:tab/>
        <w:t>Deleted by No. 10 of 1998 s. 76.]</w:t>
      </w:r>
    </w:p>
    <w:p>
      <w:pPr>
        <w:pStyle w:val="Heading5"/>
        <w:spacing w:before="200"/>
        <w:rPr>
          <w:snapToGrid w:val="0"/>
        </w:rPr>
      </w:pPr>
      <w:bookmarkStart w:id="16" w:name="_Toc402969228"/>
      <w:bookmarkStart w:id="17" w:name="_Toc436058007"/>
      <w:bookmarkStart w:id="18" w:name="_Toc416703044"/>
      <w:r>
        <w:rPr>
          <w:rStyle w:val="CharSectno"/>
        </w:rPr>
        <w:t>4</w:t>
      </w:r>
      <w:r>
        <w:rPr>
          <w:snapToGrid w:val="0"/>
        </w:rPr>
        <w:t>.</w:t>
      </w:r>
      <w:r>
        <w:rPr>
          <w:snapToGrid w:val="0"/>
        </w:rPr>
        <w:tab/>
        <w:t>Terms used</w:t>
      </w:r>
      <w:bookmarkEnd w:id="16"/>
      <w:bookmarkEnd w:id="17"/>
      <w:bookmarkEnd w:id="18"/>
    </w:p>
    <w:p>
      <w:pPr>
        <w:pStyle w:val="Subsection"/>
        <w:spacing w:before="12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absent voter</w:t>
      </w:r>
      <w:r>
        <w:t xml:space="preserve"> means any person who votes under the provisions of section 99A;</w:t>
      </w:r>
    </w:p>
    <w:p>
      <w:pPr>
        <w:pStyle w:val="Defstart"/>
        <w:spacing w:before="60"/>
      </w:pPr>
      <w:r>
        <w:tab/>
      </w:r>
      <w:r>
        <w:rPr>
          <w:rStyle w:val="CharDefText"/>
        </w:rPr>
        <w:t>approved form</w:t>
      </w:r>
      <w:r>
        <w:t xml:space="preserve"> means a form that —</w:t>
      </w:r>
    </w:p>
    <w:p>
      <w:pPr>
        <w:pStyle w:val="Defpara"/>
        <w:spacing w:before="60"/>
      </w:pPr>
      <w:r>
        <w:tab/>
        <w:t>(a)</w:t>
      </w:r>
      <w:r>
        <w:tab/>
        <w:t>is approved by the Electoral Commissioner; and</w:t>
      </w:r>
    </w:p>
    <w:p>
      <w:pPr>
        <w:pStyle w:val="Defpara"/>
        <w:spacing w:before="60"/>
      </w:pPr>
      <w:r>
        <w:tab/>
        <w:t>(b)</w:t>
      </w:r>
      <w:r>
        <w:tab/>
        <w:t>has been published by the Electoral Commissioner by any means (including on an internet site maintained by the Electoral Commissioner) that the Electoral Commissioner thinks fit;</w:t>
      </w:r>
    </w:p>
    <w:p>
      <w:pPr>
        <w:pStyle w:val="Defstart"/>
        <w:spacing w:before="60"/>
      </w:pPr>
      <w:r>
        <w:rPr>
          <w:b/>
        </w:rPr>
        <w:tab/>
      </w:r>
      <w:r>
        <w:rPr>
          <w:rStyle w:val="CharDefText"/>
        </w:rPr>
        <w:t>Assembly</w:t>
      </w:r>
      <w:r>
        <w:t xml:space="preserve"> means the Legislative Assembly;</w:t>
      </w:r>
    </w:p>
    <w:p>
      <w:pPr>
        <w:pStyle w:val="Defstart"/>
        <w:spacing w:before="60"/>
      </w:pPr>
      <w:r>
        <w:rPr>
          <w:b/>
        </w:rPr>
        <w:tab/>
      </w:r>
      <w:r>
        <w:rPr>
          <w:rStyle w:val="CharDefText"/>
        </w:rPr>
        <w:t>Australian citizen</w:t>
      </w:r>
      <w:r>
        <w:t xml:space="preserve"> means a person who is an Australian citizen under the </w:t>
      </w:r>
      <w:r>
        <w:rPr>
          <w:i/>
        </w:rPr>
        <w:t>Australian Citizenship Act 1948</w:t>
      </w:r>
      <w:r>
        <w:rPr>
          <w:vertAlign w:val="superscript"/>
        </w:rPr>
        <w:t> 2</w:t>
      </w:r>
      <w:r>
        <w:t xml:space="preserve"> of the Commonwealth or any Act amending that Act or substituted therefor;</w:t>
      </w:r>
    </w:p>
    <w:p>
      <w:pPr>
        <w:pStyle w:val="Defstart"/>
        <w:spacing w:before="60"/>
      </w:pPr>
      <w:r>
        <w:rPr>
          <w:b/>
        </w:rPr>
        <w:tab/>
      </w:r>
      <w:r>
        <w:rPr>
          <w:rStyle w:val="CharDefText"/>
        </w:rPr>
        <w:t>authorised witness</w:t>
      </w:r>
      <w:r>
        <w:t xml:space="preserve"> has the meaning given by section 94;</w:t>
      </w:r>
    </w:p>
    <w:p>
      <w:pPr>
        <w:pStyle w:val="Defstart"/>
        <w:spacing w:before="60"/>
      </w:pPr>
      <w:r>
        <w:rPr>
          <w:b/>
        </w:rPr>
        <w:tab/>
      </w:r>
      <w:r>
        <w:rPr>
          <w:rStyle w:val="CharDefText"/>
        </w:rPr>
        <w:t>candidate</w:t>
      </w:r>
      <w:r>
        <w:t xml:space="preserve"> in Parts II and VII includes any person who, within 3 months before the day of election, offers himself for election as a member of the Council or Assembly;</w:t>
      </w:r>
    </w:p>
    <w:p>
      <w:pPr>
        <w:pStyle w:val="Defstart"/>
        <w:spacing w:before="60"/>
      </w:pPr>
      <w:r>
        <w:rPr>
          <w:b/>
        </w:rPr>
        <w:tab/>
      </w:r>
      <w:r>
        <w:rPr>
          <w:rStyle w:val="CharDefText"/>
        </w:rPr>
        <w:t>christian name</w:t>
      </w:r>
      <w:r>
        <w:t xml:space="preserve"> means the name or names prefixed to the surname of any person, whether received at Christian baptism or not;</w:t>
      </w:r>
    </w:p>
    <w:p>
      <w:pPr>
        <w:pStyle w:val="Defstart"/>
        <w:spacing w:before="60"/>
      </w:pPr>
      <w:r>
        <w:rPr>
          <w:b/>
        </w:rPr>
        <w:tab/>
      </w:r>
      <w:r>
        <w:rPr>
          <w:rStyle w:val="CharDefText"/>
        </w:rPr>
        <w:t>conjoint election</w:t>
      </w:r>
      <w:r>
        <w:t xml:space="preserve"> means a general election for the Council and the Assembly that are both to be held on the same day pursuant to writs issued on the same day;</w:t>
      </w:r>
    </w:p>
    <w:p>
      <w:pPr>
        <w:pStyle w:val="Defstart"/>
      </w:pPr>
      <w:r>
        <w:lastRenderedPageBreak/>
        <w:tab/>
      </w:r>
      <w:r>
        <w:rPr>
          <w:rStyle w:val="CharDefText"/>
        </w:rPr>
        <w:t>constitution</w:t>
      </w:r>
      <w:r>
        <w:t>, in relation to a political party, means a written set of principles and rules (however described) under which the party is governed;</w:t>
      </w:r>
    </w:p>
    <w:p>
      <w:pPr>
        <w:pStyle w:val="Defstart"/>
      </w:pPr>
      <w:r>
        <w:rPr>
          <w:b/>
        </w:rPr>
        <w:tab/>
      </w:r>
      <w:r>
        <w:rPr>
          <w:rStyle w:val="CharDefText"/>
        </w:rPr>
        <w:t>Council</w:t>
      </w:r>
      <w:r>
        <w:t xml:space="preserve"> means the Legislative Council;</w:t>
      </w:r>
    </w:p>
    <w:p>
      <w:pPr>
        <w:pStyle w:val="Defstart"/>
      </w:pPr>
      <w:r>
        <w:rPr>
          <w:b/>
        </w:rPr>
        <w:tab/>
      </w:r>
      <w:r>
        <w:rPr>
          <w:rStyle w:val="CharDefText"/>
        </w:rPr>
        <w:t>Deputy Electoral Commissioner</w:t>
      </w:r>
      <w:r>
        <w:t xml:space="preserve"> means the person holding or acting in the office of Deputy Electoral Commissioner referred to in section 5A;</w:t>
      </w:r>
    </w:p>
    <w:p>
      <w:pPr>
        <w:pStyle w:val="Defstart"/>
        <w:spacing w:before="60"/>
      </w:pPr>
      <w:r>
        <w:rPr>
          <w:b/>
        </w:rPr>
        <w:tab/>
      </w:r>
      <w:r>
        <w:rPr>
          <w:rStyle w:val="CharDefText"/>
        </w:rPr>
        <w:t>district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rStyle w:val="CharDefText"/>
        </w:rPr>
        <w:t>early ballot paper</w:t>
      </w:r>
      <w:r>
        <w:t xml:space="preserve"> means a ballot paper issued under section 90 and </w:t>
      </w:r>
      <w:r>
        <w:rPr>
          <w:rStyle w:val="CharDefText"/>
        </w:rPr>
        <w:t>early vote</w:t>
      </w:r>
      <w:r>
        <w:t xml:space="preserve"> has a corresponding meaning;</w:t>
      </w:r>
    </w:p>
    <w:p>
      <w:pPr>
        <w:pStyle w:val="Defstart"/>
        <w:spacing w:before="60"/>
      </w:pPr>
      <w:r>
        <w:rPr>
          <w:b/>
        </w:rPr>
        <w:tab/>
      </w:r>
      <w:r>
        <w:rPr>
          <w:rStyle w:val="CharDefText"/>
        </w:rPr>
        <w:t>election</w:t>
      </w:r>
      <w:r>
        <w:t xml:space="preserve"> means an election in a region or an election in a district;</w:t>
      </w:r>
    </w:p>
    <w:p>
      <w:pPr>
        <w:pStyle w:val="Defstart"/>
      </w:pPr>
      <w:r>
        <w:tab/>
      </w:r>
      <w:r>
        <w:rPr>
          <w:rStyle w:val="CharDefText"/>
        </w:rPr>
        <w:t>election year</w:t>
      </w:r>
      <w:r>
        <w:t>, in relation to a periodic election, means the year in which the writ for the periodic election is issued;</w:t>
      </w:r>
    </w:p>
    <w:p>
      <w:pPr>
        <w:pStyle w:val="Defstart"/>
        <w:spacing w:before="60"/>
      </w:pPr>
      <w:r>
        <w:rPr>
          <w:b/>
        </w:rPr>
        <w:tab/>
      </w:r>
      <w:r>
        <w:rPr>
          <w:rStyle w:val="CharDefText"/>
        </w:rPr>
        <w:t>elector</w:t>
      </w:r>
      <w:r>
        <w:t xml:space="preserve"> means any person whose name appears on a roll as an elector;</w:t>
      </w:r>
    </w:p>
    <w:p>
      <w:pPr>
        <w:pStyle w:val="Defstart"/>
        <w:spacing w:before="60"/>
      </w:pPr>
      <w:r>
        <w:rPr>
          <w:b/>
        </w:rPr>
        <w:tab/>
      </w:r>
      <w:r>
        <w:rPr>
          <w:rStyle w:val="CharDefText"/>
        </w:rPr>
        <w:t>electoral census</w:t>
      </w:r>
      <w:r>
        <w:t xml:space="preserve"> means any enumeration of persons eligible as electors for the Council or Assembly, made under the provisions of Part III;</w:t>
      </w:r>
    </w:p>
    <w:p>
      <w:pPr>
        <w:pStyle w:val="Defstart"/>
        <w:spacing w:before="60"/>
      </w:pPr>
      <w:r>
        <w:rPr>
          <w:b/>
        </w:rPr>
        <w:tab/>
      </w:r>
      <w:r>
        <w:rPr>
          <w:rStyle w:val="CharDefText"/>
        </w:rPr>
        <w:t>Electoral Commissioner</w:t>
      </w:r>
      <w:r>
        <w:t xml:space="preserve"> means the Electoral Commissioner appointed under this Act;</w:t>
      </w:r>
    </w:p>
    <w:p>
      <w:pPr>
        <w:pStyle w:val="Defstart"/>
      </w:pPr>
      <w:r>
        <w:rPr>
          <w:b/>
        </w:rPr>
        <w:tab/>
      </w:r>
      <w:r>
        <w:rPr>
          <w:rStyle w:val="CharDefText"/>
        </w:rPr>
        <w:t>enrolment information</w:t>
      </w:r>
      <w:r>
        <w:t xml:space="preserve"> means a roll, information on a roll or other information relating to electors;</w:t>
      </w:r>
    </w:p>
    <w:p>
      <w:pPr>
        <w:pStyle w:val="Defstart"/>
      </w:pPr>
      <w:r>
        <w:tab/>
      </w:r>
      <w:r>
        <w:rPr>
          <w:rStyle w:val="CharDefText"/>
        </w:rPr>
        <w:t>expiry year</w:t>
      </w:r>
      <w:r>
        <w:t xml:space="preserve"> means a year in which an Assembly, if it is not previously dissolved, will expire by effluxion of time;</w:t>
      </w:r>
    </w:p>
    <w:p>
      <w:pPr>
        <w:pStyle w:val="Defstart"/>
        <w:spacing w:before="60"/>
      </w:pPr>
      <w:r>
        <w:rPr>
          <w:b/>
        </w:rPr>
        <w:tab/>
      </w:r>
      <w:r>
        <w:rPr>
          <w:rStyle w:val="CharDefText"/>
        </w:rPr>
        <w:t>general election</w:t>
      </w:r>
      <w:r>
        <w:rPr>
          <w:b/>
        </w:rPr>
        <w:t> </w:t>
      </w:r>
      <w:r>
        <w:t>—</w:t>
      </w:r>
    </w:p>
    <w:p>
      <w:pPr>
        <w:pStyle w:val="Defpara"/>
        <w:spacing w:before="60"/>
      </w:pPr>
      <w:r>
        <w:tab/>
        <w:t>(a)</w:t>
      </w:r>
      <w:r>
        <w:tab/>
        <w:t>in relation to the Assembly, means the elections in the districts the writ for which is issued under section 64(1) or (2);</w:t>
      </w:r>
    </w:p>
    <w:p>
      <w:pPr>
        <w:pStyle w:val="Defpara"/>
        <w:spacing w:before="60"/>
      </w:pPr>
      <w:r>
        <w:lastRenderedPageBreak/>
        <w:tab/>
        <w:t>(b)</w:t>
      </w:r>
      <w:r>
        <w:tab/>
        <w:t>in relation to the Council, means the elections in the regions the writ for which is issued under section 64(3);</w:t>
      </w:r>
    </w:p>
    <w:p>
      <w:pPr>
        <w:pStyle w:val="Defstart"/>
        <w:spacing w:before="70"/>
      </w:pPr>
      <w:r>
        <w:tab/>
      </w:r>
      <w:r>
        <w:rPr>
          <w:rStyle w:val="CharDefText"/>
        </w:rPr>
        <w:t>general polling place</w:t>
      </w:r>
      <w:r>
        <w:t xml:space="preserve"> has the meaning given by section 100(3);</w:t>
      </w:r>
    </w:p>
    <w:p>
      <w:pPr>
        <w:pStyle w:val="Defstart"/>
        <w:spacing w:before="70"/>
      </w:pPr>
      <w:r>
        <w:rPr>
          <w:b/>
        </w:rPr>
        <w:tab/>
      </w:r>
      <w:r>
        <w:rPr>
          <w:rStyle w:val="CharDefText"/>
        </w:rPr>
        <w:t>group</w:t>
      </w:r>
      <w:r>
        <w:t xml:space="preserve"> means a group constituted in accordance with section 80;</w:t>
      </w:r>
    </w:p>
    <w:p>
      <w:pPr>
        <w:pStyle w:val="Defstart"/>
        <w:spacing w:before="70"/>
      </w:pPr>
      <w:r>
        <w:rPr>
          <w:b/>
        </w:rPr>
        <w:tab/>
      </w:r>
      <w:r>
        <w:rPr>
          <w:rStyle w:val="CharDefText"/>
        </w:rPr>
        <w:t>hour of nomination</w:t>
      </w:r>
      <w:r>
        <w:t xml:space="preserve"> means the hour fixed by section 85(2);</w:t>
      </w:r>
    </w:p>
    <w:p>
      <w:pPr>
        <w:pStyle w:val="Defstart"/>
        <w:spacing w:before="70"/>
      </w:pPr>
      <w:r>
        <w:rPr>
          <w:b/>
        </w:rPr>
        <w:tab/>
      </w:r>
      <w:r>
        <w:rPr>
          <w:rStyle w:val="CharDefText"/>
        </w:rPr>
        <w:t>officer</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spacing w:before="70"/>
      </w:pPr>
      <w:r>
        <w:rPr>
          <w:b/>
        </w:rPr>
        <w:tab/>
      </w:r>
      <w:r>
        <w:rPr>
          <w:rStyle w:val="CharDefText"/>
        </w:rPr>
        <w:t>official paper</w:t>
      </w:r>
      <w:r>
        <w:t xml:space="preserve"> means paper referred to in section 113(4);</w:t>
      </w:r>
    </w:p>
    <w:p>
      <w:pPr>
        <w:pStyle w:val="Defstart"/>
        <w:spacing w:before="70"/>
      </w:pPr>
      <w:r>
        <w:tab/>
      </w:r>
      <w:r>
        <w:rPr>
          <w:rStyle w:val="CharDefText"/>
        </w:rPr>
        <w:t>periodic election</w:t>
      </w:r>
      <w:r>
        <w:t xml:space="preserve"> means —</w:t>
      </w:r>
    </w:p>
    <w:p>
      <w:pPr>
        <w:pStyle w:val="Defpara"/>
        <w:spacing w:before="56"/>
      </w:pPr>
      <w:r>
        <w:tab/>
        <w:t>(a)</w:t>
      </w:r>
      <w:r>
        <w:tab/>
        <w:t>a general election for the Assembly the writ for which is issued under section 64(2); or</w:t>
      </w:r>
    </w:p>
    <w:p>
      <w:pPr>
        <w:pStyle w:val="Defpara"/>
        <w:spacing w:before="56"/>
      </w:pPr>
      <w:r>
        <w:tab/>
        <w:t>(b)</w:t>
      </w:r>
      <w:r>
        <w:tab/>
        <w:t>any general election for the Council;</w:t>
      </w:r>
    </w:p>
    <w:p>
      <w:pPr>
        <w:pStyle w:val="Defstart"/>
      </w:pPr>
      <w:r>
        <w:tab/>
      </w:r>
      <w:r>
        <w:rPr>
          <w:rStyle w:val="CharDefText"/>
        </w:rPr>
        <w:t>political party</w:t>
      </w:r>
      <w:r>
        <w:t xml:space="preserve"> means —</w:t>
      </w:r>
    </w:p>
    <w:p>
      <w:pPr>
        <w:pStyle w:val="Defpara"/>
        <w:spacing w:before="60"/>
        <w:rPr>
          <w:rFonts w:ascii="Times" w:hAnsi="Times"/>
        </w:rPr>
      </w:pPr>
      <w:r>
        <w:rPr>
          <w:spacing w:val="-4"/>
        </w:rPr>
        <w:tab/>
        <w:t>(a)</w:t>
      </w:r>
      <w:r>
        <w:rPr>
          <w:spacing w:val="-4"/>
        </w:rPr>
        <w:tab/>
      </w:r>
      <w:r>
        <w:rPr>
          <w:rFonts w:ascii="Times" w:hAnsi="Times"/>
        </w:rPr>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spacing w:before="60"/>
      </w:pPr>
      <w:r>
        <w:tab/>
        <w:t>(b)</w:t>
      </w:r>
      <w:r>
        <w:tab/>
        <w:t>the branch or division for this State of a body corporate or other body or organisation which —</w:t>
      </w:r>
    </w:p>
    <w:p>
      <w:pPr>
        <w:pStyle w:val="Defsubpara"/>
        <w:spacing w:before="60"/>
      </w:pPr>
      <w:r>
        <w:tab/>
        <w:t>(i)</w:t>
      </w:r>
      <w:r>
        <w:tab/>
        <w:t>is organised on a basis that includes this State and another State or Territory or other States or Territories; and</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spacing w:before="70"/>
      </w:pPr>
      <w:r>
        <w:rPr>
          <w:b/>
        </w:rPr>
        <w:tab/>
      </w:r>
      <w:r>
        <w:rPr>
          <w:rStyle w:val="CharDefText"/>
        </w:rPr>
        <w:t>polling place</w:t>
      </w:r>
      <w:r>
        <w:t xml:space="preserve"> means any building or structure in which the polling at elections is appointed to take place;</w:t>
      </w:r>
    </w:p>
    <w:p>
      <w:pPr>
        <w:pStyle w:val="Defstart"/>
        <w:spacing w:before="70"/>
      </w:pPr>
      <w:r>
        <w:rPr>
          <w:b/>
        </w:rPr>
        <w:tab/>
      </w:r>
      <w:r>
        <w:rPr>
          <w:rStyle w:val="CharDefText"/>
        </w:rPr>
        <w:t>President</w:t>
      </w:r>
      <w:r>
        <w:t xml:space="preserve"> means the President of the Legislative Council;</w:t>
      </w:r>
    </w:p>
    <w:p>
      <w:pPr>
        <w:pStyle w:val="Defstart"/>
      </w:pPr>
      <w:r>
        <w:rPr>
          <w:b/>
        </w:rPr>
        <w:tab/>
      </w:r>
      <w:r>
        <w:rPr>
          <w:rStyle w:val="CharDefText"/>
        </w:rPr>
        <w:t>prison</w:t>
      </w:r>
      <w:r>
        <w:t xml:space="preserve"> means a prison within the meaning of that expression as defined by section 3 of the </w:t>
      </w:r>
      <w:r>
        <w:rPr>
          <w:i/>
        </w:rPr>
        <w:t>Prisons Act 1981</w:t>
      </w:r>
      <w:r>
        <w:t>;</w:t>
      </w:r>
    </w:p>
    <w:p>
      <w:pPr>
        <w:pStyle w:val="Defstart"/>
      </w:pPr>
      <w:r>
        <w:rPr>
          <w:b/>
        </w:rPr>
        <w:tab/>
      </w:r>
      <w:r>
        <w:rPr>
          <w:rStyle w:val="CharDefText"/>
        </w:rPr>
        <w:t>referendum</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r>
      <w:r>
        <w:rPr>
          <w:rStyle w:val="CharDefText"/>
        </w:rPr>
        <w:t>region</w:t>
      </w:r>
      <w:r>
        <w:t xml:space="preserve"> means an electoral region for the election of members of the Council;</w:t>
      </w:r>
    </w:p>
    <w:p>
      <w:pPr>
        <w:pStyle w:val="Defstart"/>
      </w:pPr>
      <w:r>
        <w:tab/>
      </w:r>
      <w:r>
        <w:rPr>
          <w:rStyle w:val="CharDefText"/>
        </w:rPr>
        <w:t>registered political party</w:t>
      </w:r>
      <w:r>
        <w:t xml:space="preserve"> has the meaning given by section 62C;</w:t>
      </w:r>
    </w:p>
    <w:p>
      <w:pPr>
        <w:pStyle w:val="Defstart"/>
      </w:pPr>
      <w:r>
        <w:rPr>
          <w:b/>
        </w:rPr>
        <w:tab/>
      </w:r>
      <w:r>
        <w:rPr>
          <w:rStyle w:val="CharDefText"/>
        </w:rPr>
        <w:t>relevant citizenship law</w:t>
      </w:r>
      <w:r>
        <w:t xml:space="preserve"> means the </w:t>
      </w:r>
      <w:r>
        <w:rPr>
          <w:i/>
        </w:rPr>
        <w:t>Australian Citizenship Act 1948</w:t>
      </w:r>
      <w:r>
        <w:rPr>
          <w:vertAlign w:val="superscript"/>
        </w:rPr>
        <w:t> 2</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rPr>
          <w:vertAlign w:val="superscript"/>
        </w:rPr>
        <w:t> 2</w:t>
      </w:r>
      <w:r>
        <w:t xml:space="preserve"> of the Commonwealth, as so amended and in force;</w:t>
      </w:r>
    </w:p>
    <w:p>
      <w:pPr>
        <w:pStyle w:val="Defstart"/>
      </w:pPr>
      <w:r>
        <w:rPr>
          <w:b/>
        </w:rPr>
        <w:tab/>
      </w:r>
      <w:r>
        <w:rPr>
          <w:rStyle w:val="CharDefText"/>
        </w:rPr>
        <w:t>relevant number</w:t>
      </w:r>
      <w:r>
        <w:t>, in relation to an election in a region, means the number of members of the Council that are to be returned at the election;</w:t>
      </w:r>
    </w:p>
    <w:p>
      <w:pPr>
        <w:pStyle w:val="Defstart"/>
      </w:pPr>
      <w:r>
        <w:rPr>
          <w:b/>
        </w:rPr>
        <w:tab/>
      </w:r>
      <w:r>
        <w:rPr>
          <w:rStyle w:val="CharDefText"/>
        </w:rPr>
        <w:t>returning officer</w:t>
      </w:r>
      <w:r>
        <w:t xml:space="preserve"> includes deputy returning officer;</w:t>
      </w:r>
    </w:p>
    <w:p>
      <w:pPr>
        <w:pStyle w:val="Defstart"/>
      </w:pPr>
      <w:r>
        <w:rPr>
          <w:b/>
        </w:rPr>
        <w:tab/>
      </w:r>
      <w:r>
        <w:rPr>
          <w:rStyle w:val="CharDefText"/>
        </w:rPr>
        <w:t>roll</w:t>
      </w:r>
      <w:r>
        <w:t xml:space="preserve"> means an electoral roll under this Act;</w:t>
      </w:r>
    </w:p>
    <w:p>
      <w:pPr>
        <w:pStyle w:val="Defstart"/>
      </w:pPr>
      <w:r>
        <w:tab/>
      </w:r>
      <w:r>
        <w:rPr>
          <w:rStyle w:val="CharDefText"/>
        </w:rPr>
        <w:t>secretary</w:t>
      </w:r>
      <w:r>
        <w:t>, in relation to a political party, means the person who holds the office of secretary or chief administrative officer (however described) of the party;</w:t>
      </w:r>
    </w:p>
    <w:p>
      <w:pPr>
        <w:pStyle w:val="Defstart"/>
      </w:pPr>
      <w:r>
        <w:rPr>
          <w:b/>
        </w:rPr>
        <w:tab/>
      </w:r>
      <w:r>
        <w:rPr>
          <w:rStyle w:val="CharDefText"/>
        </w:rPr>
        <w:t>single member election</w:t>
      </w:r>
      <w:r>
        <w:t xml:space="preserve"> means —</w:t>
      </w:r>
    </w:p>
    <w:p>
      <w:pPr>
        <w:pStyle w:val="Defpara"/>
        <w:spacing w:before="60"/>
      </w:pPr>
      <w:r>
        <w:tab/>
        <w:t>(a)</w:t>
      </w:r>
      <w:r>
        <w:tab/>
        <w:t>an election in a district; or</w:t>
      </w:r>
    </w:p>
    <w:p>
      <w:pPr>
        <w:pStyle w:val="Defpara"/>
        <w:spacing w:before="60"/>
      </w:pPr>
      <w:r>
        <w:tab/>
        <w:t>(b)</w:t>
      </w:r>
      <w:r>
        <w:tab/>
        <w:t>an election in a region where the relevant number is one;</w:t>
      </w:r>
    </w:p>
    <w:p>
      <w:pPr>
        <w:pStyle w:val="Defstart"/>
      </w:pPr>
      <w:r>
        <w:rPr>
          <w:b/>
        </w:rPr>
        <w:tab/>
      </w:r>
      <w:r>
        <w:rPr>
          <w:rStyle w:val="CharDefText"/>
        </w:rPr>
        <w:t>Speaker</w:t>
      </w:r>
      <w:r>
        <w:t xml:space="preserve"> means the Speaker of the Legislative Assembly;</w:t>
      </w:r>
    </w:p>
    <w:p>
      <w:pPr>
        <w:pStyle w:val="Defstart"/>
      </w:pPr>
      <w:r>
        <w:rPr>
          <w:b/>
        </w:rPr>
        <w:tab/>
      </w:r>
      <w:r>
        <w:rPr>
          <w:rStyle w:val="CharDefText"/>
        </w:rPr>
        <w:t>sub</w:t>
      </w:r>
      <w:r>
        <w:rPr>
          <w:rStyle w:val="CharDefText"/>
        </w:rPr>
        <w:noBreakHyphen/>
        <w:t>district</w:t>
      </w:r>
      <w:r>
        <w:t xml:space="preserve"> means a portion of a district the boundaries of which have been defined under the provisions of section 100;</w:t>
      </w:r>
    </w:p>
    <w:p>
      <w:pPr>
        <w:pStyle w:val="Defstart"/>
      </w:pPr>
      <w:r>
        <w:rPr>
          <w:b/>
        </w:rPr>
        <w:tab/>
      </w:r>
      <w:r>
        <w:rPr>
          <w:rStyle w:val="CharDefText"/>
        </w:rPr>
        <w:t>voting ticket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r>
      <w:r>
        <w:rPr>
          <w:rStyle w:val="CharDefText"/>
        </w:rPr>
        <w:t>voting ticket square</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rStyle w:val="CharDefText"/>
        </w:rPr>
        <w:t>writ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pPr>
      <w:r>
        <w:tab/>
        <w:t>(4)</w:t>
      </w:r>
      <w:r>
        <w:tab/>
        <w:t>A reference in this Act to a full election in a region is a reference to an election in a region for the return of 6 members of the Council.</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keepLines w:val="0"/>
      </w:pPr>
      <w:r>
        <w:tab/>
        <w:t>[Section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No. 7 of 2009 s. 4; No. 49 of 2011 s. 4; No. 35 of 2012 s. 4.]</w:t>
      </w:r>
    </w:p>
    <w:p>
      <w:pPr>
        <w:pStyle w:val="Heading2"/>
      </w:pPr>
      <w:bookmarkStart w:id="19" w:name="_Toc402969229"/>
      <w:bookmarkStart w:id="20" w:name="_Toc416702661"/>
      <w:bookmarkStart w:id="21" w:name="_Toc416703045"/>
      <w:bookmarkStart w:id="22" w:name="_Toc435714297"/>
      <w:bookmarkStart w:id="23" w:name="_Toc436057412"/>
      <w:bookmarkStart w:id="24" w:name="_Toc436057800"/>
      <w:bookmarkStart w:id="25" w:name="_Toc436058185"/>
      <w:bookmarkStart w:id="26" w:name="_Toc436058008"/>
      <w:r>
        <w:rPr>
          <w:rStyle w:val="CharPartNo"/>
        </w:rPr>
        <w:t>Part II</w:t>
      </w:r>
      <w:r>
        <w:rPr>
          <w:rStyle w:val="CharDivNo"/>
        </w:rPr>
        <w:t> </w:t>
      </w:r>
      <w:r>
        <w:t>—</w:t>
      </w:r>
      <w:r>
        <w:rPr>
          <w:rStyle w:val="CharDivText"/>
        </w:rPr>
        <w:t> </w:t>
      </w:r>
      <w:r>
        <w:rPr>
          <w:rStyle w:val="CharPartText"/>
        </w:rPr>
        <w:t>Administration</w:t>
      </w:r>
      <w:bookmarkEnd w:id="19"/>
      <w:bookmarkEnd w:id="20"/>
      <w:bookmarkEnd w:id="21"/>
      <w:bookmarkEnd w:id="22"/>
      <w:bookmarkEnd w:id="23"/>
      <w:bookmarkEnd w:id="24"/>
      <w:bookmarkEnd w:id="25"/>
      <w:bookmarkEnd w:id="26"/>
    </w:p>
    <w:p>
      <w:pPr>
        <w:pStyle w:val="Heading5"/>
        <w:rPr>
          <w:snapToGrid w:val="0"/>
        </w:rPr>
      </w:pPr>
      <w:bookmarkStart w:id="27" w:name="_Toc402969230"/>
      <w:bookmarkStart w:id="28" w:name="_Toc436058009"/>
      <w:bookmarkStart w:id="29" w:name="_Toc416703046"/>
      <w:r>
        <w:rPr>
          <w:rStyle w:val="CharSectno"/>
        </w:rPr>
        <w:t>4A</w:t>
      </w:r>
      <w:r>
        <w:rPr>
          <w:snapToGrid w:val="0"/>
        </w:rPr>
        <w:t>.</w:t>
      </w:r>
      <w:r>
        <w:rPr>
          <w:snapToGrid w:val="0"/>
        </w:rPr>
        <w:tab/>
        <w:t>Western Australian Electoral Commission, nature of</w:t>
      </w:r>
      <w:bookmarkEnd w:id="27"/>
      <w:bookmarkEnd w:id="28"/>
      <w:bookmarkEnd w:id="29"/>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[Section 4A inserted by No. 40 of 1987 s. 18.]</w:t>
      </w:r>
    </w:p>
    <w:p>
      <w:pPr>
        <w:pStyle w:val="Heading5"/>
        <w:rPr>
          <w:snapToGrid w:val="0"/>
        </w:rPr>
      </w:pPr>
      <w:bookmarkStart w:id="30" w:name="_Toc402969231"/>
      <w:bookmarkStart w:id="31" w:name="_Toc436058010"/>
      <w:bookmarkStart w:id="32" w:name="_Toc416703047"/>
      <w:r>
        <w:rPr>
          <w:rStyle w:val="CharSectno"/>
        </w:rPr>
        <w:t>5</w:t>
      </w:r>
      <w:r>
        <w:rPr>
          <w:snapToGrid w:val="0"/>
        </w:rPr>
        <w:t>.</w:t>
      </w:r>
      <w:r>
        <w:rPr>
          <w:snapToGrid w:val="0"/>
        </w:rPr>
        <w:tab/>
        <w:t>Electoral Commissioner, office of established</w:t>
      </w:r>
      <w:bookmarkEnd w:id="30"/>
      <w:bookmarkEnd w:id="31"/>
      <w:bookmarkEnd w:id="32"/>
    </w:p>
    <w:p>
      <w:pPr>
        <w:pStyle w:val="Subsection"/>
        <w:rPr>
          <w:snapToGrid w:val="0"/>
        </w:rPr>
      </w:pPr>
      <w:r>
        <w:rPr>
          <w:snapToGrid w:val="0"/>
        </w:rPr>
        <w:tab/>
      </w:r>
      <w:r>
        <w:rPr>
          <w:snapToGrid w:val="0"/>
        </w:rPr>
        <w:tab/>
        <w:t>There shall be an Electoral Commissioner.</w:t>
      </w:r>
    </w:p>
    <w:p>
      <w:pPr>
        <w:pStyle w:val="Footnotesection"/>
      </w:pPr>
      <w:r>
        <w:tab/>
        <w:t>[Section 5 inserted by No. 40 of 1987 s. 19.]</w:t>
      </w:r>
    </w:p>
    <w:p>
      <w:pPr>
        <w:pStyle w:val="Heading5"/>
        <w:rPr>
          <w:snapToGrid w:val="0"/>
        </w:rPr>
      </w:pPr>
      <w:bookmarkStart w:id="33" w:name="_Toc402969232"/>
      <w:bookmarkStart w:id="34" w:name="_Toc436058011"/>
      <w:bookmarkStart w:id="35" w:name="_Toc416703048"/>
      <w:r>
        <w:rPr>
          <w:rStyle w:val="CharSectno"/>
        </w:rPr>
        <w:t>5A</w:t>
      </w:r>
      <w:r>
        <w:rPr>
          <w:snapToGrid w:val="0"/>
        </w:rPr>
        <w:t>.</w:t>
      </w:r>
      <w:r>
        <w:rPr>
          <w:snapToGrid w:val="0"/>
        </w:rPr>
        <w:tab/>
        <w:t>Deputy Electoral Commissioner, office of established</w:t>
      </w:r>
      <w:bookmarkEnd w:id="33"/>
      <w:bookmarkEnd w:id="34"/>
      <w:bookmarkEnd w:id="35"/>
    </w:p>
    <w:p>
      <w:pPr>
        <w:pStyle w:val="Subsection"/>
        <w:rPr>
          <w:snapToGrid w:val="0"/>
        </w:rPr>
      </w:pPr>
      <w:r>
        <w:rPr>
          <w:snapToGrid w:val="0"/>
        </w:rPr>
        <w:tab/>
      </w:r>
      <w:r>
        <w:rPr>
          <w:snapToGrid w:val="0"/>
        </w:rPr>
        <w:tab/>
        <w:t>There shall be a Deputy Electoral Commissioner.</w:t>
      </w:r>
    </w:p>
    <w:p>
      <w:pPr>
        <w:pStyle w:val="Footnotesection"/>
      </w:pPr>
      <w:r>
        <w:tab/>
        <w:t>[Section 5A inserted by No. 40 of 1987 s. 19.]</w:t>
      </w:r>
    </w:p>
    <w:p>
      <w:pPr>
        <w:pStyle w:val="Heading5"/>
        <w:rPr>
          <w:snapToGrid w:val="0"/>
        </w:rPr>
      </w:pPr>
      <w:bookmarkStart w:id="36" w:name="_Toc402969233"/>
      <w:bookmarkStart w:id="37" w:name="_Toc436058012"/>
      <w:bookmarkStart w:id="38" w:name="_Toc416703049"/>
      <w:r>
        <w:rPr>
          <w:rStyle w:val="CharSectno"/>
        </w:rPr>
        <w:t>5B</w:t>
      </w:r>
      <w:r>
        <w:rPr>
          <w:snapToGrid w:val="0"/>
        </w:rPr>
        <w:t>.</w:t>
      </w:r>
      <w:r>
        <w:rPr>
          <w:snapToGrid w:val="0"/>
        </w:rPr>
        <w:tab/>
        <w:t>Electoral Commissioner and Deputy Electoral Commissioner, appointment etc. of</w:t>
      </w:r>
      <w:bookmarkEnd w:id="36"/>
      <w:bookmarkEnd w:id="37"/>
      <w:bookmarkEnd w:id="38"/>
    </w:p>
    <w:p>
      <w:pPr>
        <w:pStyle w:val="Subsection"/>
        <w:rPr>
          <w:snapToGrid w:val="0"/>
        </w:rPr>
      </w:pPr>
      <w:r>
        <w:rPr>
          <w:snapToGrid w:val="0"/>
        </w:rPr>
        <w:tab/>
        <w:t>(1)</w:t>
      </w:r>
      <w:r>
        <w:rPr>
          <w:snapToGrid w:val="0"/>
        </w:rPr>
        <w:tab/>
        <w:t xml:space="preserve">In this section and sections 5C and 5E </w:t>
      </w:r>
      <w:r>
        <w:rPr>
          <w:rStyle w:val="CharDefText"/>
        </w:rPr>
        <w:t>Electoral Commissioner</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deleted]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keepNext/>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[Section 5B inserted by No. 40 of 1987 s. 20; amended by No. 6 of 1993 s. 11; No. 49 of 1996 s. 64; No. 42 of 1997 s. 8; No. 77 of 2006 s. 4.]</w:t>
      </w:r>
    </w:p>
    <w:p>
      <w:pPr>
        <w:pStyle w:val="Heading5"/>
        <w:spacing w:before="240"/>
        <w:rPr>
          <w:snapToGrid w:val="0"/>
        </w:rPr>
      </w:pPr>
      <w:bookmarkStart w:id="39" w:name="_Toc402969234"/>
      <w:bookmarkStart w:id="40" w:name="_Toc436058013"/>
      <w:bookmarkStart w:id="41" w:name="_Toc416703050"/>
      <w:r>
        <w:rPr>
          <w:rStyle w:val="CharSectno"/>
        </w:rPr>
        <w:t>5C</w:t>
      </w:r>
      <w:r>
        <w:rPr>
          <w:snapToGrid w:val="0"/>
        </w:rPr>
        <w:t>.</w:t>
      </w:r>
      <w:r>
        <w:rPr>
          <w:snapToGrid w:val="0"/>
        </w:rPr>
        <w:tab/>
        <w:t>Electoral Commissioner or Deputy Electoral Commissioner, suspension or removal of</w:t>
      </w:r>
      <w:bookmarkEnd w:id="39"/>
      <w:bookmarkEnd w:id="40"/>
      <w:bookmarkEnd w:id="41"/>
    </w:p>
    <w:p>
      <w:pPr>
        <w:pStyle w:val="Subsection"/>
        <w:spacing w:before="18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80"/>
        <w:rPr>
          <w:snapToGrid w:val="0"/>
        </w:rPr>
      </w:pPr>
      <w:r>
        <w:rPr>
          <w:snapToGrid w:val="0"/>
        </w:rPr>
        <w:tab/>
        <w:t>(2)</w:t>
      </w:r>
      <w:r>
        <w:rPr>
          <w:snapToGrid w:val="0"/>
        </w:rPr>
        <w:tab/>
        <w:t>Where the Governor is satisfied that the Electoral Commissioner —</w:t>
      </w:r>
    </w:p>
    <w:p>
      <w:pPr>
        <w:pStyle w:val="Indenta"/>
        <w:spacing w:before="100"/>
        <w:rPr>
          <w:snapToGrid w:val="0"/>
        </w:rPr>
      </w:pPr>
      <w:r>
        <w:rPr>
          <w:snapToGrid w:val="0"/>
        </w:rPr>
        <w:tab/>
        <w:t>(a)</w:t>
      </w:r>
      <w:r>
        <w:rPr>
          <w:snapToGrid w:val="0"/>
        </w:rPr>
        <w:tab/>
        <w:t>is incapable of properly performing the duties of his office; or</w:t>
      </w:r>
    </w:p>
    <w:p>
      <w:pPr>
        <w:pStyle w:val="Indenta"/>
        <w:spacing w:before="100"/>
        <w:rPr>
          <w:snapToGrid w:val="0"/>
        </w:rPr>
      </w:pPr>
      <w:r>
        <w:rPr>
          <w:snapToGrid w:val="0"/>
        </w:rPr>
        <w:tab/>
        <w:t>(b)</w:t>
      </w:r>
      <w:r>
        <w:rPr>
          <w:snapToGrid w:val="0"/>
        </w:rPr>
        <w:tab/>
        <w:t>has shown himself incompetent properly to perform, or has neglected, those duties; or</w:t>
      </w:r>
    </w:p>
    <w:p>
      <w:pPr>
        <w:pStyle w:val="Indenta"/>
        <w:spacing w:before="100"/>
      </w:pPr>
      <w:r>
        <w:tab/>
        <w:t>(c)</w:t>
      </w:r>
      <w:r>
        <w:tab/>
        <w:t xml:space="preserve">is, according to the </w:t>
      </w:r>
      <w:r>
        <w:rPr>
          <w:i/>
        </w:rPr>
        <w:t>Interpretation Act 1984</w:t>
      </w:r>
      <w:r>
        <w:t xml:space="preserve"> section 13D, a bankrupt or a person whose affairs are under insolvency laws; or</w:t>
      </w:r>
    </w:p>
    <w:p>
      <w:pPr>
        <w:pStyle w:val="Indenta"/>
        <w:spacing w:before="100"/>
        <w:rPr>
          <w:snapToGrid w:val="0"/>
        </w:rPr>
      </w:pPr>
      <w:r>
        <w:rPr>
          <w:snapToGrid w:val="0"/>
        </w:rPr>
        <w:tab/>
        <w:t>(d)</w:t>
      </w:r>
      <w:r>
        <w:rPr>
          <w:snapToGrid w:val="0"/>
        </w:rPr>
        <w:tab/>
        <w:t>has been guilty of misconduct,</w:t>
      </w:r>
    </w:p>
    <w:p>
      <w:pPr>
        <w:pStyle w:val="Subsection"/>
        <w:spacing w:before="180"/>
        <w:rPr>
          <w:snapToGrid w:val="0"/>
        </w:rPr>
      </w:pPr>
      <w:r>
        <w:rPr>
          <w:snapToGrid w:val="0"/>
        </w:rPr>
        <w:tab/>
      </w:r>
      <w:r>
        <w:rPr>
          <w:snapToGrid w:val="0"/>
        </w:rPr>
        <w:tab/>
        <w:t>the Governor may suspend him from his office.</w:t>
      </w:r>
    </w:p>
    <w:p>
      <w:pPr>
        <w:pStyle w:val="Subsection"/>
        <w:spacing w:before="180"/>
        <w:rPr>
          <w:snapToGrid w:val="0"/>
        </w:rPr>
      </w:pPr>
      <w:r>
        <w:rPr>
          <w:snapToGrid w:val="0"/>
        </w:rPr>
        <w:tab/>
        <w:t>(3)</w:t>
      </w:r>
      <w:r>
        <w:rPr>
          <w:snapToGrid w:val="0"/>
        </w:rPr>
        <w:tab/>
        <w:t>When the Electoral Commissioner has been suspended from his office under subsection (2) he shall be restored to office unless —</w:t>
      </w:r>
    </w:p>
    <w:p>
      <w:pPr>
        <w:pStyle w:val="Indenta"/>
        <w:spacing w:before="10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10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5C inserted by No. 40 of 1987 s. 20; amended by No. 18 of 2009 s. 34.]</w:t>
      </w:r>
    </w:p>
    <w:p>
      <w:pPr>
        <w:pStyle w:val="Heading5"/>
        <w:rPr>
          <w:snapToGrid w:val="0"/>
        </w:rPr>
      </w:pPr>
      <w:bookmarkStart w:id="42" w:name="_Toc402969235"/>
      <w:bookmarkStart w:id="43" w:name="_Toc436058014"/>
      <w:bookmarkStart w:id="44" w:name="_Toc416703051"/>
      <w:r>
        <w:rPr>
          <w:rStyle w:val="CharSectno"/>
        </w:rPr>
        <w:t>5D</w:t>
      </w:r>
      <w:r>
        <w:rPr>
          <w:snapToGrid w:val="0"/>
        </w:rPr>
        <w:t>.</w:t>
      </w:r>
      <w:r>
        <w:rPr>
          <w:snapToGrid w:val="0"/>
        </w:rPr>
        <w:tab/>
        <w:t>Acting Electoral Commissioner etc., appointment of</w:t>
      </w:r>
      <w:bookmarkEnd w:id="42"/>
      <w:bookmarkEnd w:id="43"/>
      <w:bookmarkEnd w:id="44"/>
    </w:p>
    <w:p>
      <w:pPr>
        <w:pStyle w:val="Subsection"/>
        <w:rPr>
          <w:snapToGrid w:val="0"/>
        </w:rPr>
      </w:pPr>
      <w:r>
        <w:rPr>
          <w:snapToGrid w:val="0"/>
        </w:rPr>
        <w:tab/>
        <w:t>(1)</w:t>
      </w:r>
      <w:r>
        <w:rPr>
          <w:snapToGrid w:val="0"/>
        </w:rPr>
        <w:tab/>
        <w:t>The Governor, on the recommendation of the Premier, may appoint an Acting Electoral Commissioner to act in the office of the Electoral Commissioner —</w:t>
      </w:r>
    </w:p>
    <w:p>
      <w:pPr>
        <w:pStyle w:val="Indenta"/>
        <w:spacing w:before="70"/>
        <w:rPr>
          <w:snapToGrid w:val="0"/>
        </w:rPr>
      </w:pPr>
      <w:r>
        <w:rPr>
          <w:snapToGrid w:val="0"/>
        </w:rPr>
        <w:tab/>
        <w:t>(a)</w:t>
      </w:r>
      <w:r>
        <w:rPr>
          <w:snapToGrid w:val="0"/>
        </w:rPr>
        <w:tab/>
        <w:t>when the Electoral Commissioner is absent from duty for any reason or is absent from the State; or</w:t>
      </w:r>
    </w:p>
    <w:p>
      <w:pPr>
        <w:pStyle w:val="Indenta"/>
        <w:spacing w:before="70"/>
        <w:rPr>
          <w:snapToGrid w:val="0"/>
          <w:spacing w:val="-2"/>
        </w:rPr>
      </w:pPr>
      <w:r>
        <w:rPr>
          <w:snapToGrid w:val="0"/>
        </w:rPr>
        <w:tab/>
        <w:t>(b)</w:t>
      </w:r>
      <w:r>
        <w:rPr>
          <w:snapToGrid w:val="0"/>
        </w:rPr>
        <w:tab/>
      </w:r>
      <w:r>
        <w:rPr>
          <w:snapToGrid w:val="0"/>
          <w:spacing w:val="-2"/>
        </w:rPr>
        <w:t>when the Electoral Commissioner has been suspended; or</w:t>
      </w:r>
    </w:p>
    <w:p>
      <w:pPr>
        <w:pStyle w:val="Indenta"/>
        <w:spacing w:before="70"/>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w:t>
      </w:r>
    </w:p>
    <w:p>
      <w:pPr>
        <w:pStyle w:val="Indenta"/>
        <w:spacing w:before="60"/>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spacing w:before="60"/>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The Governor, on the recommendation of the Premier, may appoint an Acting Deputy Electoral Commissioner to act in the office of the Deputy Electoral Commissioner —</w:t>
      </w:r>
    </w:p>
    <w:p>
      <w:pPr>
        <w:pStyle w:val="Indenta"/>
        <w:spacing w:before="70"/>
      </w:pPr>
      <w:r>
        <w:tab/>
        <w:t>(a)</w:t>
      </w:r>
      <w:r>
        <w:tab/>
        <w:t>when the Deputy Electoral Commissioner is absent from duty for any reason or is absent from the State; or</w:t>
      </w:r>
    </w:p>
    <w:p>
      <w:pPr>
        <w:pStyle w:val="Indenta"/>
        <w:spacing w:before="70"/>
      </w:pPr>
      <w:r>
        <w:tab/>
        <w:t>(b)</w:t>
      </w:r>
      <w:r>
        <w:tab/>
        <w:t>when the Deputy Electoral Commissioner is acting in the office of Electoral Commissioner under section 5H(2); or</w:t>
      </w:r>
    </w:p>
    <w:p>
      <w:pPr>
        <w:pStyle w:val="Indenta"/>
        <w:spacing w:before="70"/>
      </w:pPr>
      <w:r>
        <w:tab/>
        <w:t>(c)</w:t>
      </w:r>
      <w:r>
        <w:tab/>
        <w:t>when the Deputy Electoral Commissioner has been suspended; or</w:t>
      </w:r>
    </w:p>
    <w:p>
      <w:pPr>
        <w:pStyle w:val="Indenta"/>
        <w:spacing w:before="70"/>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While the Acting Deputy Electoral Commissioner is so acting —</w:t>
      </w:r>
    </w:p>
    <w:p>
      <w:pPr>
        <w:pStyle w:val="Indenta"/>
        <w:spacing w:before="60"/>
      </w:pPr>
      <w:r>
        <w:tab/>
        <w:t>(a)</w:t>
      </w:r>
      <w:r>
        <w:tab/>
        <w:t>he may perform the functions of the Deputy Electoral Commissioner, and anything done by him in so performing those functions has the like effect as if it were done by the Deputy Electoral Commissioner;</w:t>
      </w:r>
    </w:p>
    <w:p>
      <w:pPr>
        <w:pStyle w:val="Indenta"/>
        <w:spacing w:before="60"/>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[Section 5D inserted by No. 40 of 1987 s. 20; amended by No. 64 of 2006 s. 14.]</w:t>
      </w:r>
    </w:p>
    <w:p>
      <w:pPr>
        <w:pStyle w:val="Heading5"/>
        <w:rPr>
          <w:snapToGrid w:val="0"/>
        </w:rPr>
      </w:pPr>
      <w:bookmarkStart w:id="45" w:name="_Toc402969236"/>
      <w:bookmarkStart w:id="46" w:name="_Toc436058015"/>
      <w:bookmarkStart w:id="47" w:name="_Toc416703052"/>
      <w:r>
        <w:rPr>
          <w:rStyle w:val="CharSectno"/>
        </w:rPr>
        <w:t>5E</w:t>
      </w:r>
      <w:r>
        <w:rPr>
          <w:snapToGrid w:val="0"/>
        </w:rPr>
        <w:t>.</w:t>
      </w:r>
      <w:r>
        <w:rPr>
          <w:snapToGrid w:val="0"/>
        </w:rPr>
        <w:tab/>
        <w:t>Electoral Commissioner etc., other provisions as to</w:t>
      </w:r>
      <w:bookmarkEnd w:id="45"/>
      <w:bookmarkEnd w:id="46"/>
      <w:bookmarkEnd w:id="47"/>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3</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[Section 5E inserted by No. 40 of 1987 s. 20; amended by No. 32 of 1994 s. 11; No. 42 of 1997 s. 8.]</w:t>
      </w:r>
    </w:p>
    <w:p>
      <w:pPr>
        <w:pStyle w:val="Heading5"/>
        <w:rPr>
          <w:snapToGrid w:val="0"/>
        </w:rPr>
      </w:pPr>
      <w:bookmarkStart w:id="48" w:name="_Toc402969237"/>
      <w:bookmarkStart w:id="49" w:name="_Toc436058016"/>
      <w:bookmarkStart w:id="50" w:name="_Toc416703053"/>
      <w:r>
        <w:rPr>
          <w:rStyle w:val="CharSectno"/>
        </w:rPr>
        <w:t>5F</w:t>
      </w:r>
      <w:r>
        <w:rPr>
          <w:snapToGrid w:val="0"/>
        </w:rPr>
        <w:t>.</w:t>
      </w:r>
      <w:r>
        <w:rPr>
          <w:snapToGrid w:val="0"/>
        </w:rPr>
        <w:tab/>
        <w:t>Electoral Commissioner, functions of</w:t>
      </w:r>
      <w:bookmarkEnd w:id="48"/>
      <w:bookmarkEnd w:id="49"/>
      <w:bookmarkEnd w:id="50"/>
    </w:p>
    <w:p>
      <w:pPr>
        <w:pStyle w:val="Subsection"/>
        <w:rPr>
          <w:snapToGrid w:val="0"/>
        </w:rPr>
      </w:pPr>
      <w:r>
        <w:rPr>
          <w:snapToGrid w:val="0"/>
        </w:rPr>
        <w:tab/>
        <w:t>(1)</w:t>
      </w:r>
      <w:r>
        <w:rPr>
          <w:snapToGrid w:val="0"/>
        </w:rPr>
        <w:tab/>
        <w:t>The Electoral Commissioner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rPr>
          <w:snapToGrid w:val="0"/>
        </w:rPr>
      </w:pPr>
      <w:r>
        <w:rPr>
          <w:snapToGrid w:val="0"/>
        </w:rPr>
        <w:tab/>
        <w:t>(b)</w:t>
      </w:r>
      <w:r>
        <w:rPr>
          <w:snapToGrid w:val="0"/>
        </w:rPr>
        <w:tab/>
        <w:t>is responsible for the proper maintenance of electoral rolls and the proper conduct of elections under this Act; and</w:t>
      </w:r>
    </w:p>
    <w:p>
      <w:pPr>
        <w:pStyle w:val="Indenta"/>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may conduct other elections, referendums or polls —</w:t>
      </w:r>
    </w:p>
    <w:p>
      <w:pPr>
        <w:pStyle w:val="Indenti"/>
      </w:pPr>
      <w:r>
        <w:tab/>
        <w:t>(i)</w:t>
      </w:r>
      <w:r>
        <w:tab/>
        <w:t>if authorised to do so under another written law; or</w:t>
      </w:r>
    </w:p>
    <w:p>
      <w:pPr>
        <w:pStyle w:val="Indenti"/>
      </w:pPr>
      <w:r>
        <w:tab/>
        <w:t>(ii)</w:t>
      </w:r>
      <w:r>
        <w:tab/>
        <w:t>if they are provided for under another written law and the regulations authorise the Electoral Commissioner to conduct them;</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[Section 5F inserted by No. 40 of 1987 s. 20; amended by No. 36 of 2000 s. 72; No. 64 of 2006 s. 15.]</w:t>
      </w:r>
    </w:p>
    <w:p>
      <w:pPr>
        <w:pStyle w:val="Heading5"/>
        <w:rPr>
          <w:snapToGrid w:val="0"/>
        </w:rPr>
      </w:pPr>
      <w:bookmarkStart w:id="51" w:name="_Toc402969238"/>
      <w:bookmarkStart w:id="52" w:name="_Toc436058017"/>
      <w:bookmarkStart w:id="53" w:name="_Toc416703054"/>
      <w:r>
        <w:rPr>
          <w:rStyle w:val="CharSectno"/>
        </w:rPr>
        <w:t>5G</w:t>
      </w:r>
      <w:r>
        <w:rPr>
          <w:snapToGrid w:val="0"/>
        </w:rPr>
        <w:t>.</w:t>
      </w:r>
      <w:r>
        <w:rPr>
          <w:snapToGrid w:val="0"/>
        </w:rPr>
        <w:tab/>
        <w:t xml:space="preserve">Electoral Commissioner, </w:t>
      </w:r>
      <w:smartTag w:uri="urn:schemas-microsoft-com:office:smarttags" w:element="State">
        <w:smartTag w:uri="urn:schemas-microsoft-com:office:smarttags" w:element="place">
          <w:r>
            <w:rPr>
              <w:snapToGrid w:val="0"/>
            </w:rPr>
            <w:t>del</w:t>
          </w:r>
        </w:smartTag>
      </w:smartTag>
      <w:r>
        <w:rPr>
          <w:snapToGrid w:val="0"/>
        </w:rPr>
        <w:t>egation by</w:t>
      </w:r>
      <w:bookmarkEnd w:id="51"/>
      <w:bookmarkEnd w:id="52"/>
      <w:bookmarkEnd w:id="53"/>
    </w:p>
    <w:p>
      <w:pPr>
        <w:pStyle w:val="Subsection"/>
        <w:rPr>
          <w:snapToGrid w:val="0"/>
        </w:rPr>
      </w:pPr>
      <w:r>
        <w:rPr>
          <w:snapToGrid w:val="0"/>
        </w:rPr>
        <w:tab/>
        <w:t>(1)</w:t>
      </w:r>
      <w:r>
        <w:rPr>
          <w:snapToGrid w:val="0"/>
        </w:rPr>
        <w:tab/>
        <w:t>The Electoral Commissioner may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either generally or as otherwise provided by that instrument,</w:t>
      </w:r>
    </w:p>
    <w:p>
      <w:pPr>
        <w:pStyle w:val="Subsection"/>
        <w:rPr>
          <w:snapToGrid w:val="0"/>
        </w:rPr>
      </w:pPr>
      <w:r>
        <w:rPr>
          <w:snapToGrid w:val="0"/>
        </w:rPr>
        <w:tab/>
      </w:r>
      <w:r>
        <w:rPr>
          <w:snapToGrid w:val="0"/>
        </w:rPr>
        <w:tab/>
        <w:t>delegate to the Deputy Electoral Commissioner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pPr>
      <w:r>
        <w:tab/>
        <w:t>(2)</w:t>
      </w:r>
      <w:r>
        <w:tab/>
        <w:t>Nothing in subsection (1) is to be read as limiting the ability of the Electoral Commissioner to act through officers in the normal course of operations.</w:t>
      </w:r>
    </w:p>
    <w:p>
      <w:pPr>
        <w:pStyle w:val="Footnotesection"/>
        <w:ind w:left="890" w:hanging="890"/>
      </w:pPr>
      <w:r>
        <w:tab/>
        <w:t>[Section 5G inserted by No. 40 of 1987 s. 20; amended by No. 36 of 2000 s. 73.]</w:t>
      </w:r>
    </w:p>
    <w:p>
      <w:pPr>
        <w:pStyle w:val="Heading5"/>
        <w:rPr>
          <w:snapToGrid w:val="0"/>
        </w:rPr>
      </w:pPr>
      <w:bookmarkStart w:id="54" w:name="_Toc402969239"/>
      <w:bookmarkStart w:id="55" w:name="_Toc436058019"/>
      <w:bookmarkStart w:id="56" w:name="_Toc416703055"/>
      <w:r>
        <w:rPr>
          <w:rStyle w:val="CharSectno"/>
        </w:rPr>
        <w:t>5H</w:t>
      </w:r>
      <w:r>
        <w:rPr>
          <w:snapToGrid w:val="0"/>
        </w:rPr>
        <w:t>.</w:t>
      </w:r>
      <w:r>
        <w:rPr>
          <w:snapToGrid w:val="0"/>
        </w:rPr>
        <w:tab/>
        <w:t>Deputy Electoral Commissioner, functions of</w:t>
      </w:r>
      <w:bookmarkEnd w:id="54"/>
      <w:bookmarkEnd w:id="55"/>
      <w:bookmarkEnd w:id="56"/>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w:t>
      </w:r>
    </w:p>
    <w:p>
      <w:pPr>
        <w:pStyle w:val="Indenta"/>
        <w:rPr>
          <w:snapToGrid w:val="0"/>
        </w:rPr>
      </w:pPr>
      <w:r>
        <w:rPr>
          <w:snapToGrid w:val="0"/>
        </w:rPr>
        <w:tab/>
        <w:t>(a)</w:t>
      </w:r>
      <w:r>
        <w:rPr>
          <w:snapToGrid w:val="0"/>
        </w:rPr>
        <w:tab/>
        <w:t>the Electoral Commissioner is absent from duty for any reason or is absent from the State; or</w:t>
      </w:r>
    </w:p>
    <w:p>
      <w:pPr>
        <w:pStyle w:val="Indenta"/>
        <w:rPr>
          <w:snapToGrid w:val="0"/>
        </w:rPr>
      </w:pPr>
      <w:r>
        <w:rPr>
          <w:snapToGrid w:val="0"/>
        </w:rPr>
        <w:tab/>
        <w:t>(b)</w:t>
      </w:r>
      <w:r>
        <w:rPr>
          <w:snapToGrid w:val="0"/>
        </w:rPr>
        <w:tab/>
        <w:t>the Electoral Commissioner has been suspended; or</w:t>
      </w:r>
    </w:p>
    <w:p>
      <w:pPr>
        <w:pStyle w:val="Indenta"/>
        <w:keepNext/>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[Section 5H inserted by No. 40 of 1987 s. 20.]</w:t>
      </w:r>
    </w:p>
    <w:p>
      <w:pPr>
        <w:pStyle w:val="Heading5"/>
        <w:rPr>
          <w:snapToGrid w:val="0"/>
        </w:rPr>
      </w:pPr>
      <w:bookmarkStart w:id="57" w:name="_Toc402969240"/>
      <w:bookmarkStart w:id="58" w:name="_Toc436058020"/>
      <w:bookmarkStart w:id="59" w:name="_Toc416703056"/>
      <w:r>
        <w:rPr>
          <w:rStyle w:val="CharSectno"/>
        </w:rPr>
        <w:t>6</w:t>
      </w:r>
      <w:r>
        <w:rPr>
          <w:snapToGrid w:val="0"/>
        </w:rPr>
        <w:t>.</w:t>
      </w:r>
      <w:r>
        <w:rPr>
          <w:snapToGrid w:val="0"/>
        </w:rPr>
        <w:tab/>
        <w:t>Enrolment officers and returning officers, appointment of</w:t>
      </w:r>
      <w:bookmarkEnd w:id="57"/>
      <w:bookmarkEnd w:id="58"/>
      <w:bookmarkEnd w:id="59"/>
    </w:p>
    <w:p>
      <w:pPr>
        <w:pStyle w:val="Subsection"/>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[Section 6 inserted by No. 68 of 1964 s. 4; amended by No. 40 of 1987 s. 21; No. 36 of 2000 s. 28(1).]</w:t>
      </w:r>
    </w:p>
    <w:p>
      <w:pPr>
        <w:pStyle w:val="Heading5"/>
        <w:rPr>
          <w:snapToGrid w:val="0"/>
        </w:rPr>
      </w:pPr>
      <w:bookmarkStart w:id="60" w:name="_Toc402969241"/>
      <w:bookmarkStart w:id="61" w:name="_Toc436058021"/>
      <w:bookmarkStart w:id="62" w:name="_Toc416703057"/>
      <w:r>
        <w:rPr>
          <w:rStyle w:val="CharSectno"/>
        </w:rPr>
        <w:t>7</w:t>
      </w:r>
      <w:r>
        <w:rPr>
          <w:snapToGrid w:val="0"/>
        </w:rPr>
        <w:t>.</w:t>
      </w:r>
      <w:r>
        <w:rPr>
          <w:snapToGrid w:val="0"/>
        </w:rPr>
        <w:tab/>
        <w:t>Substitute for returning officer, appointment of</w:t>
      </w:r>
      <w:bookmarkEnd w:id="60"/>
      <w:bookmarkEnd w:id="61"/>
      <w:bookmarkEnd w:id="62"/>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[Section 7 inserted by No. 40 of 1987 s. 22; amended by No. 36 of 2000 s. 28(1).]</w:t>
      </w:r>
    </w:p>
    <w:p>
      <w:pPr>
        <w:pStyle w:val="Ednotesection"/>
        <w:ind w:left="890" w:hanging="890"/>
      </w:pPr>
      <w:r>
        <w:t>[</w:t>
      </w:r>
      <w:r>
        <w:rPr>
          <w:b/>
        </w:rPr>
        <w:t>8.</w:t>
      </w:r>
      <w:r>
        <w:tab/>
        <w:t>Deleted by No. 36 of 2000 s. 28(1).]</w:t>
      </w:r>
    </w:p>
    <w:p>
      <w:pPr>
        <w:pStyle w:val="Heading5"/>
        <w:rPr>
          <w:snapToGrid w:val="0"/>
        </w:rPr>
      </w:pPr>
      <w:bookmarkStart w:id="63" w:name="_Toc402969242"/>
      <w:bookmarkStart w:id="64" w:name="_Toc436058022"/>
      <w:bookmarkStart w:id="65" w:name="_Toc416703058"/>
      <w:r>
        <w:rPr>
          <w:rStyle w:val="CharSectno"/>
        </w:rPr>
        <w:t>9</w:t>
      </w:r>
      <w:r>
        <w:rPr>
          <w:snapToGrid w:val="0"/>
        </w:rPr>
        <w:t>.</w:t>
      </w:r>
      <w:r>
        <w:rPr>
          <w:snapToGrid w:val="0"/>
        </w:rPr>
        <w:tab/>
        <w:t>Returning officers, number of</w:t>
      </w:r>
      <w:bookmarkEnd w:id="63"/>
      <w:bookmarkEnd w:id="64"/>
      <w:bookmarkEnd w:id="65"/>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[Section 9 amended by No. 40 of 1987 s. 84.]</w:t>
      </w:r>
    </w:p>
    <w:p>
      <w:pPr>
        <w:pStyle w:val="Heading5"/>
        <w:spacing w:before="240"/>
        <w:rPr>
          <w:snapToGrid w:val="0"/>
        </w:rPr>
      </w:pPr>
      <w:bookmarkStart w:id="66" w:name="_Toc402969243"/>
      <w:bookmarkStart w:id="67" w:name="_Toc436058023"/>
      <w:bookmarkStart w:id="68" w:name="_Toc416703059"/>
      <w:r>
        <w:rPr>
          <w:rStyle w:val="CharSectno"/>
        </w:rPr>
        <w:t>10</w:t>
      </w:r>
      <w:r>
        <w:rPr>
          <w:snapToGrid w:val="0"/>
        </w:rPr>
        <w:t>.</w:t>
      </w:r>
      <w:r>
        <w:rPr>
          <w:snapToGrid w:val="0"/>
        </w:rPr>
        <w:tab/>
        <w:t>Returning officer for district is deputy returning officer for region</w:t>
      </w:r>
      <w:bookmarkEnd w:id="66"/>
      <w:bookmarkEnd w:id="67"/>
      <w:bookmarkEnd w:id="68"/>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[Section 10 amended by No. 40 of 1987 s. 84.]</w:t>
      </w:r>
    </w:p>
    <w:p>
      <w:pPr>
        <w:pStyle w:val="Ednotesection"/>
        <w:spacing w:before="240"/>
        <w:ind w:left="890" w:hanging="890"/>
      </w:pPr>
      <w:r>
        <w:t>[</w:t>
      </w:r>
      <w:r>
        <w:rPr>
          <w:b/>
        </w:rPr>
        <w:t>11.</w:t>
      </w:r>
      <w:r>
        <w:tab/>
        <w:t>Deleted by No. 36 of 2000 s. 28(1).]</w:t>
      </w:r>
    </w:p>
    <w:p>
      <w:pPr>
        <w:pStyle w:val="Ednotesection"/>
        <w:spacing w:before="240"/>
      </w:pPr>
      <w:r>
        <w:t>[</w:t>
      </w:r>
      <w:r>
        <w:rPr>
          <w:b/>
        </w:rPr>
        <w:t>12.</w:t>
      </w:r>
      <w:r>
        <w:tab/>
        <w:t>Deleted by No. 43 of 1996 s. 5.]</w:t>
      </w:r>
    </w:p>
    <w:p>
      <w:pPr>
        <w:pStyle w:val="Heading5"/>
        <w:spacing w:before="240"/>
        <w:rPr>
          <w:snapToGrid w:val="0"/>
        </w:rPr>
      </w:pPr>
      <w:bookmarkStart w:id="69" w:name="_Toc402969244"/>
      <w:bookmarkStart w:id="70" w:name="_Toc436058024"/>
      <w:bookmarkStart w:id="71" w:name="_Toc416703060"/>
      <w:r>
        <w:rPr>
          <w:rStyle w:val="CharSectno"/>
        </w:rPr>
        <w:t>13</w:t>
      </w:r>
      <w:r>
        <w:rPr>
          <w:snapToGrid w:val="0"/>
        </w:rPr>
        <w:t>.</w:t>
      </w:r>
      <w:r>
        <w:rPr>
          <w:snapToGrid w:val="0"/>
        </w:rPr>
        <w:tab/>
        <w:t>Returning officer resigning after issue of writ, duty of</w:t>
      </w:r>
      <w:bookmarkEnd w:id="69"/>
      <w:bookmarkEnd w:id="70"/>
      <w:bookmarkEnd w:id="71"/>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[Section 13 amended by No. 40 of 1987 s. 23 and 84; No. 36 of 2000 s. 5.]</w:t>
      </w:r>
    </w:p>
    <w:p>
      <w:pPr>
        <w:pStyle w:val="Heading5"/>
        <w:spacing w:before="240"/>
        <w:rPr>
          <w:snapToGrid w:val="0"/>
        </w:rPr>
      </w:pPr>
      <w:bookmarkStart w:id="72" w:name="_Toc402969245"/>
      <w:bookmarkStart w:id="73" w:name="_Toc436058025"/>
      <w:bookmarkStart w:id="74" w:name="_Toc416703061"/>
      <w:r>
        <w:rPr>
          <w:rStyle w:val="CharSectno"/>
        </w:rPr>
        <w:t>14</w:t>
      </w:r>
      <w:r>
        <w:rPr>
          <w:snapToGrid w:val="0"/>
        </w:rPr>
        <w:t>.</w:t>
      </w:r>
      <w:r>
        <w:rPr>
          <w:snapToGrid w:val="0"/>
        </w:rPr>
        <w:tab/>
        <w:t>Returning officer dying etc. after issue of writ, consequences of</w:t>
      </w:r>
      <w:bookmarkEnd w:id="72"/>
      <w:bookmarkEnd w:id="73"/>
      <w:bookmarkEnd w:id="74"/>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 xml:space="preserve">so far as the </w:t>
      </w:r>
      <w:r>
        <w:rPr>
          <w:snapToGrid w:val="0"/>
        </w:rPr>
        <w:t>returning</w:t>
      </w:r>
      <w:r>
        <w:t xml:space="preserve">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deleted]</w:t>
      </w:r>
    </w:p>
    <w:p>
      <w:pPr>
        <w:pStyle w:val="Footnotesection"/>
      </w:pPr>
      <w:r>
        <w:tab/>
        <w:t>[Section 14 amended by No. 44 of 1911 s. 5; No. 40 of 1987 s. 24 and 84; No. 36 of 2000 s. 6.]</w:t>
      </w:r>
    </w:p>
    <w:p>
      <w:pPr>
        <w:pStyle w:val="Heading5"/>
        <w:rPr>
          <w:snapToGrid w:val="0"/>
        </w:rPr>
      </w:pPr>
      <w:bookmarkStart w:id="75" w:name="_Toc402969246"/>
      <w:bookmarkStart w:id="76" w:name="_Toc436058026"/>
      <w:bookmarkStart w:id="77" w:name="_Toc416703062"/>
      <w:r>
        <w:rPr>
          <w:rStyle w:val="CharSectno"/>
        </w:rPr>
        <w:t>15</w:t>
      </w:r>
      <w:r>
        <w:rPr>
          <w:snapToGrid w:val="0"/>
        </w:rPr>
        <w:t>.</w:t>
      </w:r>
      <w:r>
        <w:rPr>
          <w:snapToGrid w:val="0"/>
        </w:rPr>
        <w:tab/>
        <w:t>Temporary assistants, appointment of</w:t>
      </w:r>
      <w:bookmarkEnd w:id="75"/>
      <w:bookmarkEnd w:id="76"/>
      <w:bookmarkEnd w:id="77"/>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[Section 15 amended by No. 40 of 1987 s. 25; No. 32 of 1994 s. 11.]</w:t>
      </w:r>
    </w:p>
    <w:p>
      <w:pPr>
        <w:pStyle w:val="Heading5"/>
        <w:rPr>
          <w:snapToGrid w:val="0"/>
        </w:rPr>
      </w:pPr>
      <w:bookmarkStart w:id="78" w:name="_Toc402969247"/>
      <w:bookmarkStart w:id="79" w:name="_Toc436058027"/>
      <w:bookmarkStart w:id="80" w:name="_Toc416703063"/>
      <w:r>
        <w:rPr>
          <w:rStyle w:val="CharSectno"/>
        </w:rPr>
        <w:t>15A</w:t>
      </w:r>
      <w:r>
        <w:rPr>
          <w:snapToGrid w:val="0"/>
        </w:rPr>
        <w:t>.</w:t>
      </w:r>
      <w:r>
        <w:rPr>
          <w:snapToGrid w:val="0"/>
        </w:rPr>
        <w:tab/>
        <w:t>Officers to make declaration before acting etc.</w:t>
      </w:r>
      <w:bookmarkEnd w:id="78"/>
      <w:bookmarkEnd w:id="79"/>
      <w:bookmarkEnd w:id="80"/>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[Section 15A inserted by No. 43 of 1996 s. 6.]</w:t>
      </w:r>
    </w:p>
    <w:p>
      <w:pPr>
        <w:pStyle w:val="Heading5"/>
        <w:rPr>
          <w:snapToGrid w:val="0"/>
        </w:rPr>
      </w:pPr>
      <w:bookmarkStart w:id="81" w:name="_Toc402969248"/>
      <w:bookmarkStart w:id="82" w:name="_Toc436058028"/>
      <w:bookmarkStart w:id="83" w:name="_Toc416703064"/>
      <w:r>
        <w:rPr>
          <w:rStyle w:val="CharSectno"/>
        </w:rPr>
        <w:t>16</w:t>
      </w:r>
      <w:r>
        <w:rPr>
          <w:snapToGrid w:val="0"/>
        </w:rPr>
        <w:t>.</w:t>
      </w:r>
      <w:r>
        <w:rPr>
          <w:snapToGrid w:val="0"/>
        </w:rPr>
        <w:tab/>
        <w:t>People not eligible to be officer etc.</w:t>
      </w:r>
      <w:bookmarkEnd w:id="81"/>
      <w:bookmarkEnd w:id="82"/>
      <w:bookmarkEnd w:id="83"/>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84" w:name="_Toc402969249"/>
      <w:bookmarkStart w:id="85" w:name="_Toc416702681"/>
      <w:bookmarkStart w:id="86" w:name="_Toc416703065"/>
      <w:bookmarkStart w:id="87" w:name="_Toc435714317"/>
      <w:bookmarkStart w:id="88" w:name="_Toc436057432"/>
      <w:bookmarkStart w:id="89" w:name="_Toc436057820"/>
      <w:bookmarkStart w:id="90" w:name="_Toc436058205"/>
      <w:bookmarkStart w:id="91" w:name="_Toc436058030"/>
      <w:r>
        <w:rPr>
          <w:rStyle w:val="CharPartNo"/>
        </w:rPr>
        <w:t>Part IIA</w:t>
      </w:r>
      <w:r>
        <w:t> — </w:t>
      </w:r>
      <w:r>
        <w:rPr>
          <w:rStyle w:val="CharPartText"/>
        </w:rPr>
        <w:t>Representation in Parliament</w:t>
      </w:r>
      <w:bookmarkEnd w:id="84"/>
      <w:bookmarkEnd w:id="85"/>
      <w:bookmarkEnd w:id="86"/>
      <w:bookmarkEnd w:id="87"/>
      <w:bookmarkEnd w:id="88"/>
      <w:bookmarkEnd w:id="89"/>
      <w:bookmarkEnd w:id="90"/>
      <w:bookmarkEnd w:id="91"/>
    </w:p>
    <w:p>
      <w:pPr>
        <w:pStyle w:val="Footnoteheading"/>
        <w:tabs>
          <w:tab w:val="left" w:pos="851"/>
        </w:tabs>
      </w:pPr>
      <w:r>
        <w:tab/>
        <w:t>[Heading inserted by No. 1 of 2005 s. 4.]</w:t>
      </w:r>
    </w:p>
    <w:p>
      <w:pPr>
        <w:pStyle w:val="Heading3"/>
      </w:pPr>
      <w:bookmarkStart w:id="92" w:name="_Toc402969250"/>
      <w:bookmarkStart w:id="93" w:name="_Toc416702682"/>
      <w:bookmarkStart w:id="94" w:name="_Toc416703066"/>
      <w:bookmarkStart w:id="95" w:name="_Toc435714318"/>
      <w:bookmarkStart w:id="96" w:name="_Toc436057433"/>
      <w:bookmarkStart w:id="97" w:name="_Toc436057821"/>
      <w:bookmarkStart w:id="98" w:name="_Toc436058206"/>
      <w:bookmarkStart w:id="99" w:name="_Toc436058031"/>
      <w:r>
        <w:rPr>
          <w:rStyle w:val="CharDivNo"/>
        </w:rPr>
        <w:t>Division 1</w:t>
      </w:r>
      <w:r>
        <w:t> — </w:t>
      </w:r>
      <w:r>
        <w:rPr>
          <w:rStyle w:val="CharDivText"/>
        </w:rPr>
        <w:t>Preliminary</w:t>
      </w:r>
      <w:bookmarkEnd w:id="92"/>
      <w:bookmarkEnd w:id="93"/>
      <w:bookmarkEnd w:id="94"/>
      <w:bookmarkEnd w:id="95"/>
      <w:bookmarkEnd w:id="96"/>
      <w:bookmarkEnd w:id="97"/>
      <w:bookmarkEnd w:id="98"/>
      <w:bookmarkEnd w:id="99"/>
    </w:p>
    <w:p>
      <w:pPr>
        <w:pStyle w:val="Footnoteheading"/>
        <w:tabs>
          <w:tab w:val="left" w:pos="851"/>
        </w:tabs>
      </w:pPr>
      <w:r>
        <w:tab/>
        <w:t>[Heading inserted by No. 1 of 2005 s. 4.]</w:t>
      </w:r>
    </w:p>
    <w:p>
      <w:pPr>
        <w:pStyle w:val="Heading5"/>
      </w:pPr>
      <w:bookmarkStart w:id="100" w:name="_Toc402969251"/>
      <w:bookmarkStart w:id="101" w:name="_Toc436058032"/>
      <w:bookmarkStart w:id="102" w:name="_Toc416703067"/>
      <w:r>
        <w:rPr>
          <w:rStyle w:val="CharSectno"/>
        </w:rPr>
        <w:t>16A</w:t>
      </w:r>
      <w:r>
        <w:t>.</w:t>
      </w:r>
      <w:r>
        <w:tab/>
        <w:t>Terms used</w:t>
      </w:r>
      <w:bookmarkEnd w:id="100"/>
      <w:bookmarkEnd w:id="101"/>
      <w:bookmarkEnd w:id="102"/>
    </w:p>
    <w:p>
      <w:pPr>
        <w:pStyle w:val="Subsection"/>
      </w:pPr>
      <w:r>
        <w:tab/>
      </w:r>
      <w:r>
        <w:tab/>
        <w:t>In this Part —</w:t>
      </w:r>
    </w:p>
    <w:p>
      <w:pPr>
        <w:pStyle w:val="Defstart"/>
      </w:pPr>
      <w:r>
        <w:tab/>
      </w:r>
      <w:r>
        <w:rPr>
          <w:rStyle w:val="CharDefText"/>
        </w:rPr>
        <w:t>average district enrolment</w:t>
      </w:r>
      <w:r>
        <w:t xml:space="preserve"> has the meaning given to that term in section 16G(1);</w:t>
      </w:r>
    </w:p>
    <w:p>
      <w:pPr>
        <w:pStyle w:val="Defstart"/>
      </w:pPr>
      <w:r>
        <w:tab/>
      </w:r>
      <w:r>
        <w:rPr>
          <w:rStyle w:val="CharDefText"/>
        </w:rPr>
        <w:t>Commissioners</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Defstart"/>
      </w:pPr>
      <w:r>
        <w:tab/>
      </w:r>
      <w:r>
        <w:rPr>
          <w:rStyle w:val="CharDefText"/>
        </w:rPr>
        <w:t>Land Information 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person with judicial experience</w:t>
      </w:r>
      <w:r>
        <w:t xml:space="preserve"> means a person who is or has been a judge of the Supreme Court of Western Australia;</w:t>
      </w:r>
    </w:p>
    <w:p>
      <w:pPr>
        <w:pStyle w:val="Defstart"/>
      </w:pPr>
      <w:r>
        <w:tab/>
      </w:r>
      <w:r>
        <w:rPr>
          <w:rStyle w:val="CharDefText"/>
        </w:rPr>
        <w:t>relevant day</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[Section 16A inserted by No. 1 of 2005 s. 4; amended by No. 38 of 2008 s. 4; No. 14 of 2014 s. 4.]</w:t>
      </w:r>
    </w:p>
    <w:p>
      <w:pPr>
        <w:pStyle w:val="Heading5"/>
      </w:pPr>
      <w:bookmarkStart w:id="103" w:name="_Toc402969252"/>
      <w:bookmarkStart w:id="104" w:name="_Toc436058033"/>
      <w:bookmarkStart w:id="105" w:name="_Toc416703068"/>
      <w:r>
        <w:rPr>
          <w:rStyle w:val="CharSectno"/>
        </w:rPr>
        <w:t>16B</w:t>
      </w:r>
      <w:r>
        <w:t>.</w:t>
      </w:r>
      <w:r>
        <w:tab/>
        <w:t>Electoral Distribution Commissioners, appointment of etc.</w:t>
      </w:r>
      <w:bookmarkEnd w:id="103"/>
      <w:bookmarkEnd w:id="104"/>
      <w:bookmarkEnd w:id="105"/>
    </w:p>
    <w:p>
      <w:pPr>
        <w:pStyle w:val="Subsection"/>
      </w:pPr>
      <w:r>
        <w:tab/>
        <w:t>(1)</w:t>
      </w:r>
      <w:r>
        <w:tab/>
        <w:t>For the purposes of this Part there shall be 3 Electoral Distribution Commissioners of whom —</w:t>
      </w:r>
    </w:p>
    <w:p>
      <w:pPr>
        <w:pStyle w:val="Indenta"/>
      </w:pPr>
      <w:r>
        <w:tab/>
        <w:t>(a)</w:t>
      </w:r>
      <w:r>
        <w:tab/>
        <w:t>one shall be a person with judicial experience, appointed by the Governor on the recommendation of the Premier, who shall be chairman; and</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(4A)</w:t>
      </w:r>
      <w:r>
        <w:tab/>
        <w:t>Before making a recommendation under subsection (1)(a) or (2) that a judge of the Supreme Court of Western Australia be appointed, the Premier shall consult the Chief Justice of Western Australia.</w:t>
      </w:r>
    </w:p>
    <w:p>
      <w:pPr>
        <w:pStyle w:val="Subsection"/>
      </w:pPr>
      <w:r>
        <w:tab/>
        <w:t>(5)</w:t>
      </w:r>
      <w:r>
        <w:tab/>
        <w:t>Before making a recommendation under subsection (1)(a), (2) or (4) the Premier shall consult with, and seek the written views of, the parliamentary leader or representative of each party and Independent members in the Parliament.</w:t>
      </w:r>
    </w:p>
    <w:p>
      <w:pPr>
        <w:pStyle w:val="Subsection"/>
      </w:pPr>
      <w:r>
        <w:tab/>
        <w:t>(5A)</w:t>
      </w:r>
      <w:r>
        <w:tab/>
        <w:t>A person appointed under subsection (1)(a) shall hold office for such term, not exceeding 5 years, as is specified in his or her instrument of appointment, and is eligible for reappointment once.</w:t>
      </w:r>
    </w:p>
    <w:p>
      <w:pPr>
        <w:pStyle w:val="Subsection"/>
      </w:pPr>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p>
    <w:p>
      <w:pPr>
        <w:pStyle w:val="Subsection"/>
      </w:pPr>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p>
    <w:p>
      <w:pPr>
        <w:pStyle w:val="Subsection"/>
      </w:pPr>
      <w:r>
        <w:tab/>
        <w:t>(5D)</w:t>
      </w:r>
      <w:r>
        <w:tab/>
        <w:t xml:space="preserve">Any remuneration and allowances paid to a person under subsection (5C) do not affect any entitlements the person may have under the </w:t>
      </w:r>
      <w:r>
        <w:rPr>
          <w:i/>
        </w:rPr>
        <w:t>Judges’ Salaries and Pensions Act 1950</w:t>
      </w:r>
      <w:r>
        <w: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 </w:t>
      </w:r>
    </w:p>
    <w:p>
      <w:pPr>
        <w:pStyle w:val="Indenta"/>
      </w:pPr>
      <w:r>
        <w:tab/>
        <w:t>(a)</w:t>
      </w:r>
      <w:r>
        <w:tab/>
        <w:t xml:space="preserve">the Commissioners have the powers, protections and immunities of a Royal Commission and the Chairman of a Royal Commission under the </w:t>
      </w:r>
      <w:r>
        <w:rPr>
          <w:i/>
        </w:rPr>
        <w:t>Royal Commissions Act 1968</w:t>
      </w:r>
      <w:r>
        <w:t>; and</w:t>
      </w:r>
    </w:p>
    <w:p>
      <w:pPr>
        <w:pStyle w:val="Indenta"/>
      </w:pPr>
      <w:r>
        <w:tab/>
        <w:t>(b)</w:t>
      </w:r>
      <w:r>
        <w:tab/>
        <w:t xml:space="preserve">the provisions of the </w:t>
      </w:r>
      <w:r>
        <w:rPr>
          <w:i/>
        </w:rPr>
        <w:t>Royal Commissions Act 1968</w:t>
      </w:r>
      <w:r>
        <w:t xml:space="preserve"> have effect in relation to the Commissioners as if they were enacted in this Act and in terms made applicable to the Commissioners and the performance of the functions of the Commissioners under this Part.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[Section 16B inserted by No. 1 of 2005 s. 4; amended by No. 77 of 2006 s. 4; No. 38 of 2008 s. 5; No. 14 of 2014 s. 5.]</w:t>
      </w:r>
    </w:p>
    <w:p>
      <w:pPr>
        <w:pStyle w:val="Heading3"/>
      </w:pPr>
      <w:bookmarkStart w:id="106" w:name="_Toc402969253"/>
      <w:bookmarkStart w:id="107" w:name="_Toc416702685"/>
      <w:bookmarkStart w:id="108" w:name="_Toc416703069"/>
      <w:bookmarkStart w:id="109" w:name="_Toc435714321"/>
      <w:bookmarkStart w:id="110" w:name="_Toc436057436"/>
      <w:bookmarkStart w:id="111" w:name="_Toc436057824"/>
      <w:bookmarkStart w:id="112" w:name="_Toc436058209"/>
      <w:bookmarkStart w:id="113" w:name="_Toc436058035"/>
      <w:r>
        <w:rPr>
          <w:rStyle w:val="CharDivNo"/>
        </w:rPr>
        <w:t>Division 2</w:t>
      </w:r>
      <w:r>
        <w:t xml:space="preserve"> — </w:t>
      </w:r>
      <w:r>
        <w:rPr>
          <w:rStyle w:val="CharDivText"/>
        </w:rPr>
        <w:t>Districts, regions and representation</w:t>
      </w:r>
      <w:bookmarkEnd w:id="106"/>
      <w:bookmarkEnd w:id="107"/>
      <w:bookmarkEnd w:id="108"/>
      <w:bookmarkEnd w:id="109"/>
      <w:bookmarkEnd w:id="110"/>
      <w:bookmarkEnd w:id="111"/>
      <w:bookmarkEnd w:id="112"/>
      <w:bookmarkEnd w:id="113"/>
    </w:p>
    <w:p>
      <w:pPr>
        <w:pStyle w:val="Footnoteheading"/>
        <w:keepNext/>
        <w:tabs>
          <w:tab w:val="left" w:pos="851"/>
        </w:tabs>
      </w:pPr>
      <w:r>
        <w:tab/>
        <w:t>[Heading inserted by No. 1 of 2005 s. 4.]</w:t>
      </w:r>
    </w:p>
    <w:p>
      <w:pPr>
        <w:pStyle w:val="Heading5"/>
      </w:pPr>
      <w:bookmarkStart w:id="114" w:name="_Toc402969254"/>
      <w:bookmarkStart w:id="115" w:name="_Toc436058036"/>
      <w:bookmarkStart w:id="116" w:name="_Toc416703070"/>
      <w:r>
        <w:rPr>
          <w:rStyle w:val="CharSectno"/>
        </w:rPr>
        <w:t>16C</w:t>
      </w:r>
      <w:r>
        <w:t>.</w:t>
      </w:r>
      <w:r>
        <w:tab/>
        <w:t>Electoral districts, number of and MLAs for</w:t>
      </w:r>
      <w:bookmarkEnd w:id="114"/>
      <w:bookmarkEnd w:id="115"/>
      <w:bookmarkEnd w:id="116"/>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[Section 16C inserted by No. 1 of 2005 s. 4; amended by No. 2 of 2005 s. 4(2).]</w:t>
      </w:r>
    </w:p>
    <w:p>
      <w:pPr>
        <w:pStyle w:val="Heading5"/>
      </w:pPr>
      <w:bookmarkStart w:id="117" w:name="_Toc402969255"/>
      <w:bookmarkStart w:id="118" w:name="_Toc436058037"/>
      <w:bookmarkStart w:id="119" w:name="_Toc416703071"/>
      <w:r>
        <w:rPr>
          <w:rStyle w:val="CharSectno"/>
        </w:rPr>
        <w:t>16D</w:t>
      </w:r>
      <w:r>
        <w:t>.</w:t>
      </w:r>
      <w:r>
        <w:tab/>
        <w:t>Electoral regions, number of and MLCs for</w:t>
      </w:r>
      <w:bookmarkEnd w:id="117"/>
      <w:bookmarkEnd w:id="118"/>
      <w:bookmarkEnd w:id="119"/>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spacing w:before="100"/>
        <w:ind w:left="890" w:hanging="890"/>
      </w:pPr>
      <w:r>
        <w:tab/>
        <w:t>[Section 16D inserted by No. 1 of 2005 s. 4.]</w:t>
      </w:r>
    </w:p>
    <w:p>
      <w:pPr>
        <w:pStyle w:val="Heading3"/>
      </w:pPr>
      <w:bookmarkStart w:id="120" w:name="_Toc402969256"/>
      <w:bookmarkStart w:id="121" w:name="_Toc416702688"/>
      <w:bookmarkStart w:id="122" w:name="_Toc416703072"/>
      <w:bookmarkStart w:id="123" w:name="_Toc435714324"/>
      <w:bookmarkStart w:id="124" w:name="_Toc436057439"/>
      <w:bookmarkStart w:id="125" w:name="_Toc436057827"/>
      <w:bookmarkStart w:id="126" w:name="_Toc436058212"/>
      <w:bookmarkStart w:id="127" w:name="_Toc436058038"/>
      <w:r>
        <w:rPr>
          <w:rStyle w:val="CharDivNo"/>
        </w:rPr>
        <w:t>Division 3</w:t>
      </w:r>
      <w:r>
        <w:t xml:space="preserve"> — </w:t>
      </w:r>
      <w:r>
        <w:rPr>
          <w:rStyle w:val="CharDivText"/>
        </w:rPr>
        <w:t>Division of State into districts and regions</w:t>
      </w:r>
      <w:bookmarkEnd w:id="120"/>
      <w:bookmarkEnd w:id="121"/>
      <w:bookmarkEnd w:id="122"/>
      <w:bookmarkEnd w:id="123"/>
      <w:bookmarkEnd w:id="124"/>
      <w:bookmarkEnd w:id="125"/>
      <w:bookmarkEnd w:id="126"/>
      <w:bookmarkEnd w:id="127"/>
    </w:p>
    <w:p>
      <w:pPr>
        <w:pStyle w:val="Footnoteheading"/>
        <w:tabs>
          <w:tab w:val="left" w:pos="851"/>
        </w:tabs>
        <w:spacing w:before="100"/>
      </w:pPr>
      <w:r>
        <w:tab/>
        <w:t>[Heading inserted by No. 1 of 2005 s. 4.]</w:t>
      </w:r>
    </w:p>
    <w:p>
      <w:pPr>
        <w:pStyle w:val="Heading5"/>
      </w:pPr>
      <w:bookmarkStart w:id="128" w:name="_Toc402969257"/>
      <w:bookmarkStart w:id="129" w:name="_Toc436058039"/>
      <w:bookmarkStart w:id="130" w:name="_Toc416703073"/>
      <w:r>
        <w:rPr>
          <w:rStyle w:val="CharSectno"/>
        </w:rPr>
        <w:t>16E</w:t>
      </w:r>
      <w:r>
        <w:t>.</w:t>
      </w:r>
      <w:r>
        <w:tab/>
        <w:t>Division into districts etc. required after each general election for Assembly</w:t>
      </w:r>
      <w:bookmarkEnd w:id="128"/>
      <w:bookmarkEnd w:id="129"/>
      <w:bookmarkEnd w:id="130"/>
    </w:p>
    <w:p>
      <w:pPr>
        <w:pStyle w:val="Subsection"/>
        <w:rPr>
          <w:snapToGrid w:val="0"/>
        </w:rPr>
      </w:pPr>
      <w:r>
        <w:rPr>
          <w:snapToGrid w:val="0"/>
        </w:rPr>
        <w:tab/>
      </w:r>
      <w:r>
        <w:rPr>
          <w:snapToGrid w:val="0"/>
        </w:rPr>
        <w:tab/>
        <w:t>The State shall be divided into districts and regions in accordance with this Part —</w:t>
      </w:r>
    </w:p>
    <w:p>
      <w:pPr>
        <w:pStyle w:val="Indenta"/>
        <w:spacing w:before="60"/>
        <w:rPr>
          <w:snapToGrid w:val="0"/>
        </w:rPr>
      </w:pPr>
      <w:r>
        <w:rPr>
          <w:snapToGrid w:val="0"/>
        </w:rPr>
        <w:tab/>
        <w:t>(a)</w:t>
      </w:r>
      <w:r>
        <w:rPr>
          <w:snapToGrid w:val="0"/>
        </w:rPr>
        <w:tab/>
        <w:t>as soon as practicable after 26 February 2007; and</w:t>
      </w:r>
    </w:p>
    <w:p>
      <w:pPr>
        <w:pStyle w:val="Indenta"/>
        <w:spacing w:before="60"/>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spacing w:before="100"/>
        <w:ind w:left="890" w:hanging="890"/>
      </w:pPr>
      <w:r>
        <w:tab/>
        <w:t>[Section 16E inserted by No. 1 of 2005 s. 4.]</w:t>
      </w:r>
    </w:p>
    <w:p>
      <w:pPr>
        <w:pStyle w:val="Heading5"/>
      </w:pPr>
      <w:bookmarkStart w:id="131" w:name="_Toc402969258"/>
      <w:bookmarkStart w:id="132" w:name="_Toc436058040"/>
      <w:bookmarkStart w:id="133" w:name="_Toc416703074"/>
      <w:r>
        <w:rPr>
          <w:rStyle w:val="CharSectno"/>
        </w:rPr>
        <w:t>16F</w:t>
      </w:r>
      <w:r>
        <w:rPr>
          <w:snapToGrid w:val="0"/>
        </w:rPr>
        <w:t>.</w:t>
      </w:r>
      <w:r>
        <w:rPr>
          <w:snapToGrid w:val="0"/>
        </w:rPr>
        <w:tab/>
      </w:r>
      <w:r>
        <w:t>Commissioners, functions of</w:t>
      </w:r>
      <w:bookmarkEnd w:id="131"/>
      <w:bookmarkEnd w:id="132"/>
      <w:bookmarkEnd w:id="133"/>
    </w:p>
    <w:p>
      <w:pPr>
        <w:pStyle w:val="Subsection"/>
        <w:spacing w:before="150"/>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spacing w:before="150"/>
        <w:rPr>
          <w:snapToGrid w:val="0"/>
        </w:rPr>
      </w:pPr>
      <w:r>
        <w:rPr>
          <w:snapToGrid w:val="0"/>
        </w:rPr>
        <w:tab/>
        <w:t>(2)</w:t>
      </w:r>
      <w:r>
        <w:rPr>
          <w:snapToGrid w:val="0"/>
        </w:rPr>
        <w:tab/>
        <w:t>For the purposes of carrying out their duty under subsection (1) the Commissioners shall —</w:t>
      </w:r>
    </w:p>
    <w:p>
      <w:pPr>
        <w:pStyle w:val="Indenta"/>
        <w:spacing w:before="60"/>
        <w:rPr>
          <w:snapToGrid w:val="0"/>
        </w:rPr>
      </w:pPr>
      <w:r>
        <w:rPr>
          <w:snapToGrid w:val="0"/>
        </w:rPr>
        <w:tab/>
        <w:t>(</w:t>
      </w:r>
      <w:r>
        <w:t>a)</w:t>
      </w:r>
      <w:r>
        <w:tab/>
        <w:t xml:space="preserve">by notice published in the </w:t>
      </w:r>
      <w:r>
        <w:rPr>
          <w:i/>
        </w:rPr>
        <w:t>Gazette</w:t>
      </w:r>
      <w:r>
        <w:t xml:space="preserve"> and in a newspaper circulating throughout the State —</w:t>
      </w:r>
    </w:p>
    <w:p>
      <w:pPr>
        <w:pStyle w:val="Indenti"/>
        <w:spacing w:before="60"/>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spacing w:before="60"/>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spacing w:before="60"/>
        <w:rPr>
          <w:snapToGrid w:val="0"/>
        </w:rPr>
      </w:pPr>
      <w:r>
        <w:rPr>
          <w:snapToGrid w:val="0"/>
        </w:rPr>
        <w:tab/>
      </w:r>
      <w:r>
        <w:rPr>
          <w:snapToGrid w:val="0"/>
        </w:rPr>
        <w:tab/>
        <w:t>and</w:t>
      </w:r>
    </w:p>
    <w:p>
      <w:pPr>
        <w:pStyle w:val="Indenta"/>
        <w:spacing w:before="60"/>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 and</w:t>
      </w:r>
    </w:p>
    <w:p>
      <w:pPr>
        <w:pStyle w:val="Indenta"/>
        <w:spacing w:before="60"/>
      </w:pPr>
      <w:r>
        <w:tab/>
        <w:t>(c)</w:t>
      </w:r>
      <w:r>
        <w:tab/>
        <w:t>consider all of the suggestions and comments lodged with the Commissioners under paragraph (a); and</w:t>
      </w:r>
    </w:p>
    <w:p>
      <w:pPr>
        <w:pStyle w:val="Indenta"/>
        <w:spacing w:before="60"/>
      </w:pPr>
      <w:r>
        <w:tab/>
        <w:t>(d)</w:t>
      </w:r>
      <w:r>
        <w:tab/>
        <w:t xml:space="preserve">as soon as practicable after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w:t>
      </w:r>
    </w:p>
    <w:p>
      <w:pPr>
        <w:pStyle w:val="Indenti"/>
        <w:spacing w:before="60"/>
      </w:pPr>
      <w:r>
        <w:tab/>
        <w:t>(i)</w:t>
      </w:r>
      <w:r>
        <w:tab/>
        <w:t>a map or maps setting out those proposals; and</w:t>
      </w:r>
    </w:p>
    <w:p>
      <w:pPr>
        <w:pStyle w:val="Indenti"/>
        <w:spacing w:before="60"/>
      </w:pPr>
      <w:r>
        <w:tab/>
        <w:t>(ii)</w:t>
      </w:r>
      <w:r>
        <w:tab/>
        <w:t>a statement of the Commissioners’ reasons for making those proposals;</w:t>
      </w:r>
    </w:p>
    <w:p>
      <w:pPr>
        <w:pStyle w:val="Indenta"/>
        <w:spacing w:before="60"/>
      </w:pPr>
      <w:r>
        <w:tab/>
      </w:r>
      <w:r>
        <w:tab/>
        <w:t>and</w:t>
      </w:r>
    </w:p>
    <w:p>
      <w:pPr>
        <w:pStyle w:val="Indenta"/>
        <w:spacing w:before="60"/>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spacing w:before="60"/>
      </w:pPr>
      <w:r>
        <w:tab/>
        <w:t>(f)</w:t>
      </w:r>
      <w:r>
        <w:tab/>
        <w:t xml:space="preserve">as soon as practicable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w:t>
      </w:r>
    </w:p>
    <w:p>
      <w:pPr>
        <w:pStyle w:val="Indenta"/>
        <w:spacing w:before="60"/>
      </w:pPr>
      <w:r>
        <w:tab/>
        <w:t>(a)</w:t>
      </w:r>
      <w:r>
        <w:tab/>
        <w:t xml:space="preserve">the average district enrolment at </w:t>
      </w:r>
      <w:r>
        <w:rPr>
          <w:snapToGrid w:val="0"/>
        </w:rPr>
        <w:t>the relevant day</w:t>
      </w:r>
      <w:r>
        <w:t>; and</w:t>
      </w:r>
    </w:p>
    <w:p>
      <w:pPr>
        <w:pStyle w:val="Indenta"/>
        <w:keepNext/>
      </w:pPr>
      <w:r>
        <w:tab/>
        <w:t>(b)</w:t>
      </w:r>
      <w:r>
        <w:tab/>
        <w:t>in respect of each of the districts —</w:t>
      </w:r>
    </w:p>
    <w:p>
      <w:pPr>
        <w:pStyle w:val="Indenti"/>
      </w:pPr>
      <w:r>
        <w:tab/>
        <w:t>(i)</w:t>
      </w:r>
      <w:r>
        <w:tab/>
        <w:t>the name assigned to the district; and</w:t>
      </w:r>
    </w:p>
    <w:p>
      <w:pPr>
        <w:pStyle w:val="Indenti"/>
      </w:pPr>
      <w:r>
        <w:tab/>
        <w:t>(ii)</w:t>
      </w:r>
      <w:r>
        <w:tab/>
        <w:t>a description of 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keepNext/>
      </w:pPr>
      <w:r>
        <w:tab/>
        <w:t>(5A)</w:t>
      </w:r>
      <w:r>
        <w:tab/>
        <w:t xml:space="preserve">For the purposes of subsection (4)(b)(ii), the boundaries may be described — </w:t>
      </w:r>
    </w:p>
    <w:p>
      <w:pPr>
        <w:pStyle w:val="Indenta"/>
      </w:pPr>
      <w:r>
        <w:tab/>
        <w:t>(a)</w:t>
      </w:r>
      <w:r>
        <w:tab/>
        <w:t xml:space="preserve">by setting out in the notice a description of the boundaries by reference to any of the following — </w:t>
      </w:r>
    </w:p>
    <w:p>
      <w:pPr>
        <w:pStyle w:val="Indenti"/>
      </w:pPr>
      <w:r>
        <w:tab/>
        <w:t>(i)</w:t>
      </w:r>
      <w:r>
        <w:tab/>
        <w:t>local government or other administrative boundaries;</w:t>
      </w:r>
    </w:p>
    <w:p>
      <w:pPr>
        <w:pStyle w:val="Indenti"/>
      </w:pPr>
      <w:r>
        <w:tab/>
        <w:t>(ii)</w:t>
      </w:r>
      <w:r>
        <w:tab/>
        <w:t>cadastral, topographical or other spatial information;</w:t>
      </w:r>
    </w:p>
    <w:p>
      <w:pPr>
        <w:pStyle w:val="Indenti"/>
      </w:pPr>
      <w:r>
        <w:tab/>
        <w:t>(iii)</w:t>
      </w:r>
      <w:r>
        <w:tab/>
        <w:t>such other matters as the Commissioners think appropriate;</w:t>
      </w:r>
    </w:p>
    <w:p>
      <w:pPr>
        <w:pStyle w:val="Indenta"/>
      </w:pPr>
      <w:r>
        <w:tab/>
      </w:r>
      <w:r>
        <w:tab/>
        <w:t>or</w:t>
      </w:r>
    </w:p>
    <w:p>
      <w:pPr>
        <w:pStyle w:val="Indenta"/>
      </w:pPr>
      <w:r>
        <w:tab/>
        <w:t>(b)</w:t>
      </w:r>
      <w:r>
        <w:tab/>
        <w:t>by referring in the notice to a version of a map or maps showing those boundaries that has been lodged with the Land Information Authority under section 16MA(1).</w:t>
      </w:r>
    </w:p>
    <w:p>
      <w:pPr>
        <w:pStyle w:val="Subsection"/>
      </w:pPr>
      <w:r>
        <w:tab/>
        <w:t>(5)</w:t>
      </w:r>
      <w:r>
        <w:tab/>
        <w:t>Suggestions under subsection (2)(a)(i), comments under subsection (2)(a)(ii) and objections under subsection (2)(e) may be made by any person.</w:t>
      </w:r>
    </w:p>
    <w:p>
      <w:pPr>
        <w:pStyle w:val="Subsection"/>
      </w:pPr>
      <w:r>
        <w:tab/>
        <w:t>(6)</w:t>
      </w:r>
      <w:r>
        <w:tab/>
        <w:t>In performing functions under this section, the Commissioners must ensure that the period beginning on the day on which the notice under subsection (2)(a) is published and ending on the day on which the notice under subsection (2)(f) is published does not exceed 8 months.</w:t>
      </w:r>
    </w:p>
    <w:p>
      <w:pPr>
        <w:pStyle w:val="Subsection"/>
      </w:pPr>
      <w:r>
        <w:tab/>
        <w:t>(7)</w:t>
      </w:r>
      <w:r>
        <w:tab/>
        <w:t>The Commissioners may at any time publish in any manner the Commissioners think appropriate a consultation paper formulated by the Commissioners about any division of the State required under this Part.</w:t>
      </w:r>
    </w:p>
    <w:p>
      <w:pPr>
        <w:pStyle w:val="Footnotesection"/>
      </w:pPr>
      <w:r>
        <w:tab/>
        <w:t>[Section 16F inserted by No. 1 of 2005 s. 4; amended by No. 2 of 2005 s. 4(3); No. 14 of 2014 s. 6.]</w:t>
      </w:r>
    </w:p>
    <w:p>
      <w:pPr>
        <w:pStyle w:val="Heading5"/>
        <w:rPr>
          <w:snapToGrid w:val="0"/>
        </w:rPr>
      </w:pPr>
      <w:bookmarkStart w:id="134" w:name="_Toc402969259"/>
      <w:bookmarkStart w:id="135" w:name="_Toc436058041"/>
      <w:bookmarkStart w:id="136" w:name="_Toc416703075"/>
      <w:r>
        <w:rPr>
          <w:rStyle w:val="CharSectno"/>
        </w:rPr>
        <w:t>16G</w:t>
      </w:r>
      <w:r>
        <w:rPr>
          <w:snapToGrid w:val="0"/>
        </w:rPr>
        <w:t>.</w:t>
      </w:r>
      <w:r>
        <w:rPr>
          <w:snapToGrid w:val="0"/>
        </w:rPr>
        <w:tab/>
        <w:t>Districts, how State to be divided into</w:t>
      </w:r>
      <w:bookmarkEnd w:id="134"/>
      <w:bookmarkEnd w:id="135"/>
      <w:bookmarkEnd w:id="136"/>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rStyle w:val="CharDefText"/>
        </w:rPr>
        <w:t>average district enrolment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w:t>
      </w:r>
    </w:p>
    <w:p>
      <w:pPr>
        <w:pStyle w:val="Indenta"/>
        <w:rPr>
          <w:snapToGrid w:val="0"/>
        </w:rPr>
      </w:pPr>
      <w:r>
        <w:tab/>
        <w:t>(a)</w:t>
      </w:r>
      <w:r>
        <w:tab/>
      </w:r>
      <w:r>
        <w:rPr>
          <w:snapToGrid w:val="0"/>
        </w:rPr>
        <w:t>the number of electors that the district would have had at the relevant day; and</w:t>
      </w:r>
    </w:p>
    <w:p>
      <w:pPr>
        <w:pStyle w:val="Indenta"/>
        <w:keepNext/>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r>
      <w:r>
        <w:rPr>
          <w:rStyle w:val="CharDefText"/>
        </w:rPr>
        <w:t>large district allowance</w:t>
      </w:r>
      <w:r>
        <w:t xml:space="preserve"> means 1.5% of the number of square kilometres in the area of the district.</w:t>
      </w:r>
    </w:p>
    <w:p>
      <w:pPr>
        <w:pStyle w:val="Footnotesection"/>
      </w:pPr>
      <w:r>
        <w:tab/>
        <w:t>[Section 16G inserted by No. 1 of 2005 s. 4.]</w:t>
      </w:r>
    </w:p>
    <w:p>
      <w:pPr>
        <w:pStyle w:val="Heading5"/>
        <w:rPr>
          <w:snapToGrid w:val="0"/>
        </w:rPr>
      </w:pPr>
      <w:bookmarkStart w:id="137" w:name="_Toc402969260"/>
      <w:bookmarkStart w:id="138" w:name="_Toc436058043"/>
      <w:bookmarkStart w:id="139" w:name="_Toc416703076"/>
      <w:r>
        <w:rPr>
          <w:rStyle w:val="CharSectno"/>
        </w:rPr>
        <w:t>16H</w:t>
      </w:r>
      <w:r>
        <w:rPr>
          <w:snapToGrid w:val="0"/>
        </w:rPr>
        <w:t>.</w:t>
      </w:r>
      <w:r>
        <w:rPr>
          <w:snapToGrid w:val="0"/>
        </w:rPr>
        <w:tab/>
        <w:t>Regions, how State to be divided into</w:t>
      </w:r>
      <w:bookmarkEnd w:id="137"/>
      <w:bookmarkEnd w:id="138"/>
      <w:bookmarkEnd w:id="139"/>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 xml:space="preserve">together form an area that is generally coextensive with the metropolitan area of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spacing w:val="-4"/>
        </w:rPr>
      </w:pPr>
      <w:r>
        <w:rPr>
          <w:snapToGrid w:val="0"/>
          <w:spacing w:val="-4"/>
        </w:rPr>
        <w:tab/>
      </w:r>
      <w:r>
        <w:rPr>
          <w:snapToGrid w:val="0"/>
          <w:spacing w:val="-4"/>
        </w:rPr>
        <w:tab/>
        <w:t>and</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 and</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rStyle w:val="CharDefText"/>
        </w:rPr>
        <w:t xml:space="preserve">metropolitan area of </w:t>
      </w:r>
      <w:smartTag w:uri="urn:schemas-microsoft-com:office:smarttags" w:element="place">
        <w:smartTag w:uri="urn:schemas-microsoft-com:office:smarttags" w:element="City">
          <w:r>
            <w:rPr>
              <w:rStyle w:val="CharDefText"/>
            </w:rPr>
            <w:t>Perth</w:t>
          </w:r>
        </w:smartTag>
      </w:smartTag>
      <w:r>
        <w:t xml:space="preserve"> means the part of the State that comprises —</w:t>
      </w:r>
    </w:p>
    <w:p>
      <w:pPr>
        <w:pStyle w:val="Defpara"/>
      </w:pPr>
      <w:r>
        <w:tab/>
        <w:t>(a)</w:t>
      </w:r>
      <w:r>
        <w:tab/>
        <w:t xml:space="preserve">the region that was, as at the relevant day,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4</w:t>
      </w:r>
      <w:r>
        <w:t>; and</w:t>
      </w:r>
    </w:p>
    <w:p>
      <w:pPr>
        <w:pStyle w:val="Defpara"/>
      </w:pPr>
      <w:r>
        <w:tab/>
        <w:t>(b)</w:t>
      </w:r>
      <w:r>
        <w:tab/>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w:t>
      </w:r>
    </w:p>
    <w:p>
      <w:pPr>
        <w:pStyle w:val="Footnotesection"/>
      </w:pPr>
      <w:r>
        <w:tab/>
        <w:t>[Section 16H inserted by No. 1 of 2005 s. 4.]</w:t>
      </w:r>
    </w:p>
    <w:p>
      <w:pPr>
        <w:pStyle w:val="Heading5"/>
        <w:rPr>
          <w:snapToGrid w:val="0"/>
        </w:rPr>
      </w:pPr>
      <w:bookmarkStart w:id="140" w:name="_Toc402969261"/>
      <w:bookmarkStart w:id="141" w:name="_Toc436058044"/>
      <w:bookmarkStart w:id="142" w:name="_Toc416703077"/>
      <w:r>
        <w:rPr>
          <w:rStyle w:val="CharSectno"/>
        </w:rPr>
        <w:t>16I</w:t>
      </w:r>
      <w:r>
        <w:rPr>
          <w:snapToGrid w:val="0"/>
        </w:rPr>
        <w:t>.</w:t>
      </w:r>
      <w:r>
        <w:rPr>
          <w:snapToGrid w:val="0"/>
        </w:rPr>
        <w:tab/>
        <w:t>Dividing State, matters Commissioners to consider when</w:t>
      </w:r>
      <w:bookmarkEnd w:id="140"/>
      <w:bookmarkEnd w:id="141"/>
      <w:bookmarkEnd w:id="142"/>
    </w:p>
    <w:p>
      <w:pPr>
        <w:pStyle w:val="Subsection"/>
        <w:rPr>
          <w:snapToGrid w:val="0"/>
        </w:rPr>
      </w:pPr>
      <w:r>
        <w:rPr>
          <w:snapToGrid w:val="0"/>
        </w:rPr>
        <w:tab/>
      </w:r>
      <w:r>
        <w:rPr>
          <w:snapToGrid w:val="0"/>
        </w:rPr>
        <w:tab/>
        <w:t xml:space="preserve">In making the </w:t>
      </w:r>
      <w:r>
        <w:t>division</w:t>
      </w:r>
      <w:r>
        <w:rPr>
          <w:snapToGrid w:val="0"/>
        </w:rPr>
        <w:t> of the State into regions and districts the Commissioners shall give due consideration to —</w:t>
      </w:r>
    </w:p>
    <w:p>
      <w:pPr>
        <w:pStyle w:val="Indenta"/>
        <w:rPr>
          <w:snapToGrid w:val="0"/>
        </w:rPr>
      </w:pPr>
      <w:r>
        <w:rPr>
          <w:snapToGrid w:val="0"/>
        </w:rPr>
        <w:tab/>
        <w:t>(a)</w:t>
      </w:r>
      <w:r>
        <w:rPr>
          <w:snapToGrid w:val="0"/>
        </w:rPr>
        <w:tab/>
        <w:t>community of interest; and</w:t>
      </w:r>
    </w:p>
    <w:p>
      <w:pPr>
        <w:pStyle w:val="Indenta"/>
        <w:rPr>
          <w:snapToGrid w:val="0"/>
        </w:rPr>
      </w:pPr>
      <w:r>
        <w:rPr>
          <w:snapToGrid w:val="0"/>
        </w:rPr>
        <w:tab/>
        <w:t>(b)</w:t>
      </w:r>
      <w:r>
        <w:rPr>
          <w:snapToGrid w:val="0"/>
        </w:rPr>
        <w:tab/>
        <w:t>land use patterns; and</w:t>
      </w:r>
    </w:p>
    <w:p>
      <w:pPr>
        <w:pStyle w:val="Indenta"/>
        <w:rPr>
          <w:snapToGrid w:val="0"/>
        </w:rPr>
      </w:pPr>
      <w:r>
        <w:rPr>
          <w:snapToGrid w:val="0"/>
        </w:rPr>
        <w:tab/>
        <w:t>(c)</w:t>
      </w:r>
      <w:r>
        <w:rPr>
          <w:snapToGrid w:val="0"/>
        </w:rPr>
        <w:tab/>
        <w:t xml:space="preserve">means of </w:t>
      </w:r>
      <w:r>
        <w:t>communication, means of travel</w:t>
      </w:r>
      <w:r>
        <w:rPr>
          <w:snapToGrid w:val="0"/>
        </w:rPr>
        <w:t xml:space="preserve"> and distance from the capital; and</w:t>
      </w:r>
    </w:p>
    <w:p>
      <w:pPr>
        <w:pStyle w:val="Indenta"/>
        <w:rPr>
          <w:snapToGrid w:val="0"/>
        </w:rPr>
      </w:pPr>
      <w:r>
        <w:rPr>
          <w:snapToGrid w:val="0"/>
        </w:rPr>
        <w:tab/>
        <w:t>(d)</w:t>
      </w:r>
      <w:r>
        <w:rPr>
          <w:snapToGrid w:val="0"/>
        </w:rPr>
        <w:tab/>
        <w:t>physical features; and</w:t>
      </w:r>
    </w:p>
    <w:p>
      <w:pPr>
        <w:pStyle w:val="Indenta"/>
        <w:rPr>
          <w:snapToGrid w:val="0"/>
        </w:rPr>
      </w:pPr>
      <w:r>
        <w:rPr>
          <w:snapToGrid w:val="0"/>
        </w:rPr>
        <w:tab/>
        <w:t>(e)</w:t>
      </w:r>
      <w:r>
        <w:rPr>
          <w:snapToGrid w:val="0"/>
        </w:rPr>
        <w:tab/>
        <w:t>existing boundaries of regions and districts; and</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r>
        <w:tab/>
        <w:t>[Section 16I inserted by No. 1 of 2005 s. 4; amended by No. 14 of 2014 s. 7.]</w:t>
      </w:r>
    </w:p>
    <w:p>
      <w:pPr>
        <w:pStyle w:val="Heading5"/>
        <w:rPr>
          <w:snapToGrid w:val="0"/>
        </w:rPr>
      </w:pPr>
      <w:bookmarkStart w:id="143" w:name="_Toc402969262"/>
      <w:bookmarkStart w:id="144" w:name="_Toc436058045"/>
      <w:bookmarkStart w:id="145" w:name="_Toc416703078"/>
      <w:r>
        <w:rPr>
          <w:rStyle w:val="CharSectno"/>
        </w:rPr>
        <w:t>16J</w:t>
      </w:r>
      <w:r>
        <w:rPr>
          <w:snapToGrid w:val="0"/>
        </w:rPr>
        <w:t>.</w:t>
      </w:r>
      <w:r>
        <w:rPr>
          <w:snapToGrid w:val="0"/>
        </w:rPr>
        <w:tab/>
        <w:t>District boundaries etc., Commissioners may modify etc.</w:t>
      </w:r>
      <w:bookmarkEnd w:id="143"/>
      <w:bookmarkEnd w:id="144"/>
      <w:bookmarkEnd w:id="145"/>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r>
        <w:tab/>
        <w:t>[Section 16J inserted by No. 1 of 2005 s. 4.]</w:t>
      </w:r>
    </w:p>
    <w:p>
      <w:pPr>
        <w:pStyle w:val="Heading5"/>
        <w:rPr>
          <w:snapToGrid w:val="0"/>
        </w:rPr>
      </w:pPr>
      <w:bookmarkStart w:id="146" w:name="_Toc402969263"/>
      <w:bookmarkStart w:id="147" w:name="_Toc436058047"/>
      <w:bookmarkStart w:id="148" w:name="_Toc416703079"/>
      <w:r>
        <w:rPr>
          <w:rStyle w:val="CharSectno"/>
        </w:rPr>
        <w:t>16K</w:t>
      </w:r>
      <w:r>
        <w:rPr>
          <w:snapToGrid w:val="0"/>
        </w:rPr>
        <w:t>.</w:t>
      </w:r>
      <w:r>
        <w:rPr>
          <w:snapToGrid w:val="0"/>
        </w:rPr>
        <w:tab/>
        <w:t>Notice under s. 16F(2)(f) of division of State, effect of</w:t>
      </w:r>
      <w:bookmarkEnd w:id="146"/>
      <w:bookmarkEnd w:id="147"/>
      <w:bookmarkEnd w:id="148"/>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w:t>
      </w:r>
      <w:r>
        <w:t xml:space="preserve">in accordance with </w:t>
      </w:r>
      <w:r>
        <w:rPr>
          <w:snapToGrid w:val="0"/>
        </w:rPr>
        <w:t>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[Section 16K inserted by No. 1 of 2005 s. 4; amended by No. 14 of 2014 s. 8.]</w:t>
      </w:r>
    </w:p>
    <w:p>
      <w:pPr>
        <w:pStyle w:val="Heading5"/>
        <w:rPr>
          <w:snapToGrid w:val="0"/>
        </w:rPr>
      </w:pPr>
      <w:bookmarkStart w:id="149" w:name="_Toc402969264"/>
      <w:bookmarkStart w:id="150" w:name="_Toc436058048"/>
      <w:bookmarkStart w:id="151" w:name="_Toc416703080"/>
      <w:r>
        <w:rPr>
          <w:rStyle w:val="CharSectno"/>
        </w:rPr>
        <w:t>16L</w:t>
      </w:r>
      <w:r>
        <w:rPr>
          <w:snapToGrid w:val="0"/>
        </w:rPr>
        <w:t>.</w:t>
      </w:r>
      <w:r>
        <w:rPr>
          <w:snapToGrid w:val="0"/>
        </w:rPr>
        <w:tab/>
        <w:t>Transitional provisions for amendments to law etc. in 2005</w:t>
      </w:r>
      <w:bookmarkEnd w:id="149"/>
      <w:bookmarkEnd w:id="150"/>
      <w:bookmarkEnd w:id="151"/>
    </w:p>
    <w:p>
      <w:pPr>
        <w:pStyle w:val="Subsection"/>
        <w:rPr>
          <w:snapToGrid w:val="0"/>
        </w:rPr>
      </w:pPr>
      <w:r>
        <w:rPr>
          <w:snapToGrid w:val="0"/>
        </w:rPr>
        <w:tab/>
        <w:t>(1)</w:t>
      </w:r>
      <w:r>
        <w:rPr>
          <w:snapToGrid w:val="0"/>
        </w:rPr>
        <w:tab/>
        <w:t>In this section —</w:t>
      </w:r>
    </w:p>
    <w:p>
      <w:pPr>
        <w:pStyle w:val="Defstart"/>
      </w:pPr>
      <w:r>
        <w:rPr>
          <w:b/>
        </w:rPr>
        <w:tab/>
      </w:r>
      <w:r>
        <w:rPr>
          <w:rStyle w:val="CharDefText"/>
        </w:rPr>
        <w:t>previous electoral distribution</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the previous electoral distribution continues to apply in respect of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 and</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the representation of electoral districts and electoral regions by members of the Assembly and the Council elected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 or</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[Section 16L inserted by No. 1 of 2005 s. 4.]</w:t>
      </w:r>
    </w:p>
    <w:p>
      <w:pPr>
        <w:pStyle w:val="Heading5"/>
      </w:pPr>
      <w:bookmarkStart w:id="152" w:name="_Toc402969265"/>
      <w:bookmarkStart w:id="153" w:name="_Toc436058049"/>
      <w:bookmarkStart w:id="154" w:name="_Toc416703081"/>
      <w:r>
        <w:rPr>
          <w:rStyle w:val="CharSectno"/>
        </w:rPr>
        <w:t>16MA</w:t>
      </w:r>
      <w:r>
        <w:t>.</w:t>
      </w:r>
      <w:r>
        <w:tab/>
        <w:t>Map or maps of districts generated from digital or electronic record</w:t>
      </w:r>
      <w:bookmarkEnd w:id="152"/>
      <w:bookmarkEnd w:id="153"/>
      <w:bookmarkEnd w:id="154"/>
    </w:p>
    <w:p>
      <w:pPr>
        <w:pStyle w:val="Subsection"/>
      </w:pPr>
      <w:r>
        <w:tab/>
        <w:t>(1)</w:t>
      </w:r>
      <w:r>
        <w:tab/>
        <w:t xml:space="preserve">For the purposes of preparing a notice for publication under section 16F(2)(f) that will describe the boundaries of the districts into which the State is divided in accordance with section 16F(5A)(b), the Commissioners must — </w:t>
      </w:r>
    </w:p>
    <w:p>
      <w:pPr>
        <w:pStyle w:val="Indenta"/>
      </w:pPr>
      <w:r>
        <w:tab/>
        <w:t>(a)</w:t>
      </w:r>
      <w:r>
        <w:tab/>
        <w:t>identify the boundaries of the districts by reference to any of the matters referred to in section 16F(5A)(a); and</w:t>
      </w:r>
    </w:p>
    <w:p>
      <w:pPr>
        <w:pStyle w:val="Indenta"/>
      </w:pPr>
      <w:r>
        <w:tab/>
        <w:t>(b)</w:t>
      </w:r>
      <w:r>
        <w:tab/>
        <w:t>cause those boundaries to be recorded in digital or electronic form in such a way as to be capable of generating a digital, electronic or printed version of a map or maps showing the boundaries of each district; and</w:t>
      </w:r>
    </w:p>
    <w:p>
      <w:pPr>
        <w:pStyle w:val="Indenta"/>
      </w:pPr>
      <w:r>
        <w:tab/>
        <w:t>(c)</w:t>
      </w:r>
      <w:r>
        <w:tab/>
        <w:t>lodge with the Land Information Authority a version of a map or maps showing the boundaries of each district that is generated from a record made under paragraph (b).</w:t>
      </w:r>
    </w:p>
    <w:p>
      <w:pPr>
        <w:pStyle w:val="Subsection"/>
      </w:pPr>
      <w:r>
        <w:tab/>
        <w:t>(2)</w:t>
      </w:r>
      <w:r>
        <w:tab/>
        <w:t>In any proceedings, the version of a map or maps lodged under subsection (1)(c) is, without proof of any appointment or signature, evidence of the boundaries of the districts fixed under a notice mentioned in section 16F(2)(f) if that notice describes those boundaries by reference to that version.</w:t>
      </w:r>
    </w:p>
    <w:p>
      <w:pPr>
        <w:pStyle w:val="Footnotesection"/>
        <w:spacing w:before="100"/>
        <w:ind w:left="890" w:hanging="890"/>
      </w:pPr>
      <w:r>
        <w:tab/>
        <w:t>[Section 16MA inserted by No. 14 of 2014 s. 9.]</w:t>
      </w:r>
    </w:p>
    <w:p>
      <w:pPr>
        <w:pStyle w:val="Heading5"/>
      </w:pPr>
      <w:bookmarkStart w:id="155" w:name="_Toc402969266"/>
      <w:bookmarkStart w:id="156" w:name="_Toc436058050"/>
      <w:bookmarkStart w:id="157" w:name="_Toc416703082"/>
      <w:r>
        <w:rPr>
          <w:rStyle w:val="CharSectno"/>
        </w:rPr>
        <w:t>16M</w:t>
      </w:r>
      <w:r>
        <w:t>.</w:t>
      </w:r>
      <w:r>
        <w:tab/>
        <w:t>One vote one value principle, absolute majorities required for Bills affecting</w:t>
      </w:r>
      <w:bookmarkEnd w:id="155"/>
      <w:bookmarkEnd w:id="156"/>
      <w:bookmarkEnd w:id="157"/>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[Section 16M inserted by No. 1 of 2005 s. 4.]</w:t>
      </w:r>
    </w:p>
    <w:p>
      <w:pPr>
        <w:pStyle w:val="Heading2"/>
      </w:pPr>
      <w:bookmarkStart w:id="158" w:name="_Toc402969267"/>
      <w:bookmarkStart w:id="159" w:name="_Toc416702699"/>
      <w:bookmarkStart w:id="160" w:name="_Toc416703083"/>
      <w:bookmarkStart w:id="161" w:name="_Toc435714335"/>
      <w:bookmarkStart w:id="162" w:name="_Toc436057450"/>
      <w:bookmarkStart w:id="163" w:name="_Toc436057838"/>
      <w:bookmarkStart w:id="164" w:name="_Toc436058223"/>
      <w:bookmarkStart w:id="165" w:name="_Toc436058051"/>
      <w:r>
        <w:rPr>
          <w:rStyle w:val="CharPartNo"/>
        </w:rPr>
        <w:t>Part III</w:t>
      </w:r>
      <w:r>
        <w:t> — </w:t>
      </w:r>
      <w:r>
        <w:rPr>
          <w:rStyle w:val="CharPartText"/>
        </w:rPr>
        <w:t>Enrolment</w:t>
      </w:r>
      <w:bookmarkEnd w:id="158"/>
      <w:bookmarkEnd w:id="159"/>
      <w:bookmarkEnd w:id="160"/>
      <w:bookmarkEnd w:id="161"/>
      <w:bookmarkEnd w:id="162"/>
      <w:bookmarkEnd w:id="163"/>
      <w:bookmarkEnd w:id="164"/>
      <w:bookmarkEnd w:id="165"/>
    </w:p>
    <w:p>
      <w:pPr>
        <w:pStyle w:val="Heading3"/>
      </w:pPr>
      <w:bookmarkStart w:id="166" w:name="_Toc402969268"/>
      <w:bookmarkStart w:id="167" w:name="_Toc416702700"/>
      <w:bookmarkStart w:id="168" w:name="_Toc416703084"/>
      <w:bookmarkStart w:id="169" w:name="_Toc435714336"/>
      <w:bookmarkStart w:id="170" w:name="_Toc436057451"/>
      <w:bookmarkStart w:id="171" w:name="_Toc436057839"/>
      <w:bookmarkStart w:id="172" w:name="_Toc436058224"/>
      <w:bookmarkStart w:id="173" w:name="_Toc436058053"/>
      <w:r>
        <w:rPr>
          <w:rStyle w:val="CharDivNo"/>
        </w:rPr>
        <w:t>Division (1)</w:t>
      </w:r>
      <w:r>
        <w:rPr>
          <w:snapToGrid w:val="0"/>
        </w:rPr>
        <w:t> — </w:t>
      </w:r>
      <w:r>
        <w:rPr>
          <w:rStyle w:val="CharDivText"/>
        </w:rPr>
        <w:t>Qualification of electors</w:t>
      </w:r>
      <w:bookmarkEnd w:id="166"/>
      <w:bookmarkEnd w:id="167"/>
      <w:bookmarkEnd w:id="168"/>
      <w:bookmarkEnd w:id="169"/>
      <w:bookmarkEnd w:id="170"/>
      <w:bookmarkEnd w:id="171"/>
      <w:bookmarkEnd w:id="172"/>
      <w:bookmarkEnd w:id="173"/>
    </w:p>
    <w:p>
      <w:pPr>
        <w:pStyle w:val="Heading5"/>
        <w:rPr>
          <w:snapToGrid w:val="0"/>
        </w:rPr>
      </w:pPr>
      <w:bookmarkStart w:id="174" w:name="_Toc402969269"/>
      <w:bookmarkStart w:id="175" w:name="_Toc436058054"/>
      <w:bookmarkStart w:id="176" w:name="_Toc416703085"/>
      <w:r>
        <w:rPr>
          <w:rStyle w:val="CharSectno"/>
        </w:rPr>
        <w:t>17</w:t>
      </w:r>
      <w:r>
        <w:rPr>
          <w:snapToGrid w:val="0"/>
        </w:rPr>
        <w:t>.</w:t>
      </w:r>
      <w:r>
        <w:rPr>
          <w:snapToGrid w:val="0"/>
        </w:rPr>
        <w:tab/>
        <w:t>Who is entitled to be enrolled and vote</w:t>
      </w:r>
      <w:bookmarkEnd w:id="174"/>
      <w:bookmarkEnd w:id="175"/>
      <w:bookmarkEnd w:id="176"/>
    </w:p>
    <w:p>
      <w:pPr>
        <w:pStyle w:val="Subsection"/>
        <w:rPr>
          <w:snapToGrid w:val="0"/>
        </w:rPr>
      </w:pPr>
      <w:r>
        <w:rPr>
          <w:snapToGrid w:val="0"/>
        </w:rPr>
        <w:tab/>
        <w:t>(1)</w:t>
      </w:r>
      <w:r>
        <w:rPr>
          <w:snapToGrid w:val="0"/>
        </w:rPr>
        <w:tab/>
        <w:t>Subject to the provisions of this Act, any person —</w:t>
      </w:r>
    </w:p>
    <w:p>
      <w:pPr>
        <w:pStyle w:val="Indenta"/>
        <w:rPr>
          <w:snapToGrid w:val="0"/>
        </w:rPr>
      </w:pPr>
      <w:r>
        <w:rPr>
          <w:snapToGrid w:val="0"/>
        </w:rPr>
        <w:tab/>
        <w:t>(a)</w:t>
      </w:r>
      <w:r>
        <w:rPr>
          <w:snapToGrid w:val="0"/>
        </w:rPr>
        <w:tab/>
        <w:t>who is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w:t>
      </w:r>
    </w:p>
    <w:p>
      <w:pPr>
        <w:pStyle w:val="Indenti"/>
        <w:rPr>
          <w:snapToGrid w:val="0"/>
        </w:rPr>
      </w:pPr>
      <w:r>
        <w:rPr>
          <w:snapToGrid w:val="0"/>
        </w:rPr>
        <w:tab/>
        <w:t>(i)</w:t>
      </w:r>
      <w:r>
        <w:rPr>
          <w:snapToGrid w:val="0"/>
        </w:rPr>
        <w:tab/>
        <w:t>an elector; or</w:t>
      </w:r>
    </w:p>
    <w:p>
      <w:pPr>
        <w:pStyle w:val="Indenti"/>
        <w:rPr>
          <w:snapToGrid w:val="0"/>
        </w:rPr>
      </w:pPr>
      <w:r>
        <w:rPr>
          <w:snapToGrid w:val="0"/>
        </w:rPr>
        <w:tab/>
        <w:t>(ii)</w:t>
      </w:r>
      <w:r>
        <w:rPr>
          <w:snapToGrid w:val="0"/>
        </w:rPr>
        <w:tab/>
        <w:t>entitled to be enrolled on a roll; or</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sections 17A and 17B</w:t>
      </w:r>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[Section 17 inserted by No. 33 of 1964 s. 6; amended by No. 33 of 1967 s. 3; No. 94 of 1970 s. 3; No. 39 of 1979 s. 6; No. 9 of 1983 s. 4 and 30; No. 104 of 1985 s. 4; No. 40 of 1987 s. 26 and 84; No. 79 of 1987 s. 3; No. 36 of 2000 s. 32(1); No. 64 of 2006 s. 16; No. 7 of 2009 s. 5.]</w:t>
      </w:r>
    </w:p>
    <w:p>
      <w:pPr>
        <w:pStyle w:val="Heading5"/>
      </w:pPr>
      <w:bookmarkStart w:id="177" w:name="_Toc402969270"/>
      <w:bookmarkStart w:id="178" w:name="_Toc436058055"/>
      <w:bookmarkStart w:id="179" w:name="_Toc416703086"/>
      <w:r>
        <w:rPr>
          <w:rStyle w:val="CharSectno"/>
        </w:rPr>
        <w:t>17A</w:t>
      </w:r>
      <w:r>
        <w:t>.</w:t>
      </w:r>
      <w:r>
        <w:tab/>
        <w:t xml:space="preserve">Enrolled voter leaving </w:t>
      </w:r>
      <w:smartTag w:uri="urn:schemas-microsoft-com:office:smarttags" w:element="place">
        <w:smartTag w:uri="urn:schemas-microsoft-com:office:smarttags" w:element="country-region">
          <w:r>
            <w:t>Australia</w:t>
          </w:r>
        </w:smartTag>
      </w:smartTag>
      <w:r>
        <w:t xml:space="preserve"> but staying on Cwlth roll to stay on WA roll etc.</w:t>
      </w:r>
      <w:bookmarkEnd w:id="177"/>
      <w:bookmarkEnd w:id="178"/>
      <w:bookmarkEnd w:id="179"/>
    </w:p>
    <w:p>
      <w:pPr>
        <w:pStyle w:val="Subsection"/>
      </w:pPr>
      <w:r>
        <w:tab/>
        <w:t>(1)</w:t>
      </w:r>
      <w:r>
        <w:tab/>
        <w:t>This section applies to a person if —</w:t>
      </w:r>
    </w:p>
    <w:p>
      <w:pPr>
        <w:pStyle w:val="Indenta"/>
      </w:pPr>
      <w:r>
        <w:tab/>
        <w:t>(a)</w:t>
      </w:r>
      <w:r>
        <w:tab/>
        <w:t>the name of the person appeared on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in respect of the same address; and</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w:t>
      </w:r>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While the name of the person continues to be included on the Commonwealth roll referred to in subsection (1)(b) with the annotation referred to in subsection (1)(c)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the person is entitled to vote at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17A inserted by No. 64 of 2006 s. 17.]</w:t>
      </w:r>
    </w:p>
    <w:p>
      <w:pPr>
        <w:pStyle w:val="Heading5"/>
      </w:pPr>
      <w:bookmarkStart w:id="180" w:name="_Toc402969271"/>
      <w:bookmarkStart w:id="181" w:name="_Toc436058056"/>
      <w:bookmarkStart w:id="182" w:name="_Toc416703087"/>
      <w:r>
        <w:rPr>
          <w:rStyle w:val="CharSectno"/>
        </w:rPr>
        <w:t>17B</w:t>
      </w:r>
      <w:r>
        <w:t>.</w:t>
      </w:r>
      <w:r>
        <w:tab/>
        <w:t>Elector with no fixed address on Cwlth roll, enrolment of on WA roll</w:t>
      </w:r>
      <w:bookmarkEnd w:id="180"/>
      <w:bookmarkEnd w:id="181"/>
      <w:bookmarkEnd w:id="182"/>
    </w:p>
    <w:p>
      <w:pPr>
        <w:pStyle w:val="Subsection"/>
      </w:pPr>
      <w:r>
        <w:tab/>
        <w:t>(1)</w:t>
      </w:r>
      <w:r>
        <w:tab/>
        <w:t>If —</w:t>
      </w:r>
    </w:p>
    <w:p>
      <w:pPr>
        <w:pStyle w:val="Indenta"/>
      </w:pPr>
      <w:r>
        <w:tab/>
        <w:t>(a)</w:t>
      </w:r>
      <w:r>
        <w:tab/>
        <w:t>a person fulfils the requirements of section 17(1)(a) and (b) but does not live in any particular district or sub</w:t>
      </w:r>
      <w:r>
        <w:noBreakHyphen/>
        <w:t>district in the State; and</w:t>
      </w:r>
    </w:p>
    <w:p>
      <w:pPr>
        <w:pStyle w:val="Indenta"/>
      </w:pPr>
      <w:r>
        <w:tab/>
        <w:t>(b)</w:t>
      </w:r>
      <w:r>
        <w:tab/>
        <w:t xml:space="preserve">the person’s name appears on a roll maintained under the </w:t>
      </w:r>
      <w:r>
        <w:rPr>
          <w:i/>
          <w:iCs/>
        </w:rPr>
        <w:t>Commonwealth</w:t>
      </w:r>
      <w:r>
        <w:rPr>
          <w:i/>
        </w:rPr>
        <w:t xml:space="preserve"> </w:t>
      </w:r>
      <w:r>
        <w:rPr>
          <w:i/>
          <w:iCs/>
        </w:rPr>
        <w:t>Electoral Act 1918</w:t>
      </w:r>
      <w:r>
        <w:t xml:space="preserve"> in respect of an address in a Commonwealth subdivision in the State with which the person has established a connection under section 96 of that Act; and</w:t>
      </w:r>
    </w:p>
    <w:p>
      <w:pPr>
        <w:pStyle w:val="Indenta"/>
      </w:pPr>
      <w:r>
        <w:tab/>
        <w:t>(c)</w:t>
      </w:r>
      <w:r>
        <w:tab/>
        <w:t xml:space="preserve">the Commonwealth roll referred to in paragraph (b) is annotated to indicate that the person is an itinerant elector under the </w:t>
      </w:r>
      <w:r>
        <w:rPr>
          <w:i/>
          <w:iCs/>
        </w:rPr>
        <w:t>Commonwealth</w:t>
      </w:r>
      <w:r>
        <w:rPr>
          <w:i/>
        </w:rPr>
        <w:t xml:space="preserve"> </w:t>
      </w:r>
      <w:r>
        <w:rPr>
          <w:i/>
          <w:iCs/>
        </w:rPr>
        <w:t>Electoral Act 1918</w:t>
      </w:r>
      <w:r>
        <w:t xml:space="preserve"> section 96,</w:t>
      </w:r>
    </w:p>
    <w:p>
      <w:pPr>
        <w:pStyle w:val="Subsection"/>
      </w:pPr>
      <w:r>
        <w:tab/>
      </w:r>
      <w:r>
        <w:tab/>
        <w:t>the person is to be enrolled on the roll for the district or sub</w:t>
      </w:r>
      <w:r>
        <w:noBreakHyphen/>
        <w:t>district in which the address referred to in paragraph (b) is situated.</w:t>
      </w:r>
    </w:p>
    <w:p>
      <w:pPr>
        <w:pStyle w:val="Subsection"/>
      </w:pPr>
      <w:r>
        <w:tab/>
        <w:t>(2)</w:t>
      </w:r>
      <w:r>
        <w:tab/>
        <w:t>While the name of the person continues to be included on the Commonwealth roll referred to in subsection (1)(b) with the annotation referred to in subsection (1)(c), the person is entitled —</w:t>
      </w:r>
    </w:p>
    <w:p>
      <w:pPr>
        <w:pStyle w:val="Indenta"/>
      </w:pPr>
      <w:r>
        <w:tab/>
        <w:t>(a)</w:t>
      </w:r>
      <w:r>
        <w:tab/>
        <w:t>to remain enrolled on the roll for the district or sub</w:t>
      </w:r>
      <w:r>
        <w:noBreakHyphen/>
        <w:t>district referred to in subsection (1); and</w:t>
      </w:r>
    </w:p>
    <w:p>
      <w:pPr>
        <w:pStyle w:val="Indenta"/>
      </w:pPr>
      <w:r>
        <w:tab/>
        <w:t>(b)</w:t>
      </w:r>
      <w:r>
        <w:tab/>
        <w:t>to vote at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17B inserted by No. 7 of 2009 s. 6.]</w:t>
      </w:r>
    </w:p>
    <w:p>
      <w:pPr>
        <w:pStyle w:val="Heading5"/>
        <w:rPr>
          <w:snapToGrid w:val="0"/>
        </w:rPr>
      </w:pPr>
      <w:bookmarkStart w:id="183" w:name="_Toc402969272"/>
      <w:bookmarkStart w:id="184" w:name="_Toc436058057"/>
      <w:bookmarkStart w:id="185" w:name="_Toc416703088"/>
      <w:r>
        <w:rPr>
          <w:rStyle w:val="CharSectno"/>
        </w:rPr>
        <w:t>18</w:t>
      </w:r>
      <w:r>
        <w:rPr>
          <w:snapToGrid w:val="0"/>
        </w:rPr>
        <w:t>.</w:t>
      </w:r>
      <w:r>
        <w:rPr>
          <w:snapToGrid w:val="0"/>
        </w:rPr>
        <w:tab/>
        <w:t>People disqualified from voting and being enrolled</w:t>
      </w:r>
      <w:bookmarkEnd w:id="183"/>
      <w:bookmarkEnd w:id="184"/>
      <w:bookmarkEnd w:id="185"/>
    </w:p>
    <w:p>
      <w:pPr>
        <w:pStyle w:val="Subsection"/>
        <w:rPr>
          <w:snapToGrid w:val="0"/>
        </w:rPr>
      </w:pPr>
      <w:r>
        <w:rPr>
          <w:snapToGrid w:val="0"/>
        </w:rPr>
        <w:tab/>
        <w:t>(1)</w:t>
      </w:r>
      <w:r>
        <w:rPr>
          <w:snapToGrid w:val="0"/>
        </w:rPr>
        <w:tab/>
        <w:t>Every person, nevertheless, shall be disqualified from voting at any election, who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 or</w:t>
      </w:r>
    </w:p>
    <w:p>
      <w:pPr>
        <w:pStyle w:val="Indenta"/>
      </w:pPr>
      <w:r>
        <w:tab/>
        <w:t>(c)</w:t>
      </w:r>
      <w:r>
        <w:tab/>
        <w:t xml:space="preserve">is serving or is yet to serve a sentence of detention (imposed under the </w:t>
      </w:r>
      <w:r>
        <w:rPr>
          <w:i/>
        </w:rPr>
        <w:t>Young Offenders Act 1994</w:t>
      </w:r>
      <w:r>
        <w:t>), or imprisonment, of one year or longer; or</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 or</w:t>
      </w:r>
    </w:p>
    <w:p>
      <w:pPr>
        <w:pStyle w:val="Indenta"/>
      </w:pPr>
      <w:r>
        <w:tab/>
        <w:t>(cb)</w:t>
      </w:r>
      <w:r>
        <w:tab/>
        <w:t xml:space="preserve">is subject to an order under section 279(5)(b) of </w:t>
      </w:r>
      <w:r>
        <w:rPr>
          <w:i/>
        </w:rPr>
        <w:t>The Criminal Code</w:t>
      </w:r>
      <w:r>
        <w:t>; or</w:t>
      </w:r>
    </w:p>
    <w:p>
      <w:pPr>
        <w:pStyle w:val="Indenta"/>
      </w:pPr>
      <w:r>
        <w:tab/>
        <w:t>(cc)</w:t>
      </w:r>
      <w:r>
        <w:tab/>
        <w:t xml:space="preserve">is subject to an order under repealed section 19(6a)(a), 282(c)(iii) or (d)(ii), 653, 661, 662 or 693(4) of </w:t>
      </w:r>
      <w:r>
        <w:rPr>
          <w:i/>
        </w:rPr>
        <w:t>The Criminal Code</w:t>
      </w:r>
      <w:r>
        <w:t>; or</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pPr>
      <w:r>
        <w:tab/>
        <w:t>(2)</w:t>
      </w:r>
      <w:r>
        <w:tab/>
        <w:t>A person mentioned in subsection (1)(a), (b) or (d) is disqualified from being enrolled as an elector.</w:t>
      </w:r>
    </w:p>
    <w:p>
      <w:pPr>
        <w:pStyle w:val="Footnotesection"/>
      </w:pPr>
      <w:r>
        <w:tab/>
        <w:t xml:space="preserve">[Section 18 amended by No. 39 of 1934 s. 2; No. 58 of 1951 s. 3; No. 51 of 1962 s. 3; No. 68 of 1964 s. 6; No. 39 of 1979 s. 7; No. 78 of 1995 s. 35; No. 69 of 1996 s. 23; </w:t>
      </w:r>
      <w:r>
        <w:rPr>
          <w:spacing w:val="-6"/>
        </w:rPr>
        <w:t xml:space="preserve">No. 34 of 2004 </w:t>
      </w:r>
      <w:r>
        <w:t>Sch. 2 cl. 8; No. 84 of 2004 s. 82; No. 64 of 2006 s. 18; No. 29 of 2008 s. 32; No. 7 of 2009 s. 7.]</w:t>
      </w:r>
    </w:p>
    <w:p>
      <w:pPr>
        <w:pStyle w:val="Heading3"/>
      </w:pPr>
      <w:bookmarkStart w:id="186" w:name="_Toc402969273"/>
      <w:bookmarkStart w:id="187" w:name="_Toc416702705"/>
      <w:bookmarkStart w:id="188" w:name="_Toc416703089"/>
      <w:bookmarkStart w:id="189" w:name="_Toc435714341"/>
      <w:bookmarkStart w:id="190" w:name="_Toc436057456"/>
      <w:bookmarkStart w:id="191" w:name="_Toc436057844"/>
      <w:bookmarkStart w:id="192" w:name="_Toc436058229"/>
      <w:bookmarkStart w:id="193" w:name="_Toc436058058"/>
      <w:r>
        <w:rPr>
          <w:rStyle w:val="CharDivNo"/>
        </w:rPr>
        <w:t>Division (2)</w:t>
      </w:r>
      <w:r>
        <w:rPr>
          <w:snapToGrid w:val="0"/>
        </w:rPr>
        <w:t> — </w:t>
      </w:r>
      <w:r>
        <w:rPr>
          <w:rStyle w:val="CharDivText"/>
        </w:rPr>
        <w:t>Electoral rolls</w:t>
      </w:r>
      <w:bookmarkEnd w:id="186"/>
      <w:bookmarkEnd w:id="187"/>
      <w:bookmarkEnd w:id="188"/>
      <w:bookmarkEnd w:id="189"/>
      <w:bookmarkEnd w:id="190"/>
      <w:bookmarkEnd w:id="191"/>
      <w:bookmarkEnd w:id="192"/>
      <w:bookmarkEnd w:id="193"/>
    </w:p>
    <w:p>
      <w:pPr>
        <w:pStyle w:val="Heading5"/>
        <w:rPr>
          <w:snapToGrid w:val="0"/>
        </w:rPr>
      </w:pPr>
      <w:bookmarkStart w:id="194" w:name="_Toc402969274"/>
      <w:bookmarkStart w:id="195" w:name="_Toc436058059"/>
      <w:bookmarkStart w:id="196" w:name="_Toc416703090"/>
      <w:r>
        <w:rPr>
          <w:rStyle w:val="CharSectno"/>
        </w:rPr>
        <w:t>19</w:t>
      </w:r>
      <w:r>
        <w:rPr>
          <w:snapToGrid w:val="0"/>
        </w:rPr>
        <w:t>.</w:t>
      </w:r>
      <w:r>
        <w:rPr>
          <w:snapToGrid w:val="0"/>
        </w:rPr>
        <w:tab/>
        <w:t>Electoral rolls required</w:t>
      </w:r>
      <w:bookmarkEnd w:id="194"/>
      <w:bookmarkEnd w:id="195"/>
      <w:bookmarkEnd w:id="196"/>
    </w:p>
    <w:p>
      <w:pPr>
        <w:pStyle w:val="Subsection"/>
        <w:rPr>
          <w:snapToGrid w:val="0"/>
        </w:rPr>
      </w:pPr>
      <w:r>
        <w:rPr>
          <w:snapToGrid w:val="0"/>
        </w:rPr>
        <w:tab/>
        <w:t>(1)</w:t>
      </w:r>
      <w:r>
        <w:rPr>
          <w:snapToGrid w:val="0"/>
        </w:rPr>
        <w:tab/>
        <w:t>There shall be a roll for each region.</w:t>
      </w:r>
    </w:p>
    <w:p>
      <w:pPr>
        <w:pStyle w:val="Subsection"/>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[Section 19 inserted by No. 33 of 1964 s. 7; amended by No. 40 of 1987 s. 27 and 84.]</w:t>
      </w:r>
    </w:p>
    <w:p>
      <w:pPr>
        <w:pStyle w:val="Ednotesection"/>
      </w:pPr>
      <w:r>
        <w:t>[</w:t>
      </w:r>
      <w:r>
        <w:rPr>
          <w:b/>
        </w:rPr>
        <w:t>20.</w:t>
      </w:r>
      <w:r>
        <w:tab/>
        <w:t>Deleted by No. 36 of 2000 s. 28(1).]</w:t>
      </w:r>
    </w:p>
    <w:p>
      <w:pPr>
        <w:pStyle w:val="Ednotesection"/>
      </w:pPr>
      <w:r>
        <w:t>[</w:t>
      </w:r>
      <w:r>
        <w:rPr>
          <w:b/>
        </w:rPr>
        <w:t>21.</w:t>
      </w:r>
      <w:r>
        <w:tab/>
        <w:t>Omitted under the Reprints Act 1984 s. 7(4)(e).]</w:t>
      </w:r>
    </w:p>
    <w:p>
      <w:pPr>
        <w:pStyle w:val="Heading5"/>
        <w:rPr>
          <w:snapToGrid w:val="0"/>
        </w:rPr>
      </w:pPr>
      <w:bookmarkStart w:id="197" w:name="_Toc402969275"/>
      <w:bookmarkStart w:id="198" w:name="_Toc436058060"/>
      <w:bookmarkStart w:id="199" w:name="_Toc416703091"/>
      <w:r>
        <w:rPr>
          <w:rStyle w:val="CharSectno"/>
        </w:rPr>
        <w:t>22</w:t>
      </w:r>
      <w:r>
        <w:rPr>
          <w:snapToGrid w:val="0"/>
        </w:rPr>
        <w:t>.</w:t>
      </w:r>
      <w:r>
        <w:rPr>
          <w:snapToGrid w:val="0"/>
        </w:rPr>
        <w:tab/>
        <w:t>Form and content of rolls; when information can be omitted from printed etc. rolls</w:t>
      </w:r>
      <w:bookmarkEnd w:id="197"/>
      <w:bookmarkEnd w:id="198"/>
      <w:bookmarkEnd w:id="199"/>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[Section 22 inserted by No. 79 of 1987 s. 4; amended by No. 43 of 1996 s. 7; No. 36 of 2000 s. 30; No. 64 of 2006 s. 19.]</w:t>
      </w:r>
    </w:p>
    <w:p>
      <w:pPr>
        <w:pStyle w:val="Heading5"/>
        <w:rPr>
          <w:snapToGrid w:val="0"/>
        </w:rPr>
      </w:pPr>
      <w:bookmarkStart w:id="200" w:name="_Toc402969276"/>
      <w:bookmarkStart w:id="201" w:name="_Toc436058061"/>
      <w:bookmarkStart w:id="202" w:name="_Toc416703092"/>
      <w:r>
        <w:rPr>
          <w:rStyle w:val="CharSectno"/>
        </w:rPr>
        <w:t>23</w:t>
      </w:r>
      <w:r>
        <w:rPr>
          <w:snapToGrid w:val="0"/>
        </w:rPr>
        <w:t>.</w:t>
      </w:r>
      <w:r>
        <w:rPr>
          <w:snapToGrid w:val="0"/>
        </w:rPr>
        <w:tab/>
        <w:t>Rolls, arrangement of names on</w:t>
      </w:r>
      <w:bookmarkEnd w:id="200"/>
      <w:bookmarkEnd w:id="201"/>
      <w:bookmarkEnd w:id="202"/>
    </w:p>
    <w:p>
      <w:pPr>
        <w:pStyle w:val="Subsection"/>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[Section 23 amended by No. 44 of 1911 s. 8; No. 79 of 1987 s. 5.]</w:t>
      </w:r>
    </w:p>
    <w:p>
      <w:pPr>
        <w:pStyle w:val="Heading5"/>
        <w:rPr>
          <w:snapToGrid w:val="0"/>
        </w:rPr>
      </w:pPr>
      <w:bookmarkStart w:id="203" w:name="_Toc402969277"/>
      <w:bookmarkStart w:id="204" w:name="_Toc436058062"/>
      <w:bookmarkStart w:id="205" w:name="_Toc416703093"/>
      <w:r>
        <w:rPr>
          <w:rStyle w:val="CharSectno"/>
        </w:rPr>
        <w:t>24</w:t>
      </w:r>
      <w:r>
        <w:rPr>
          <w:snapToGrid w:val="0"/>
        </w:rPr>
        <w:t>.</w:t>
      </w:r>
      <w:r>
        <w:rPr>
          <w:snapToGrid w:val="0"/>
        </w:rPr>
        <w:tab/>
        <w:t>Rolls, when to be printed and issued</w:t>
      </w:r>
      <w:bookmarkEnd w:id="203"/>
      <w:bookmarkEnd w:id="204"/>
      <w:bookmarkEnd w:id="205"/>
    </w:p>
    <w:p>
      <w:pPr>
        <w:pStyle w:val="Subsection"/>
        <w:rPr>
          <w:snapToGrid w:val="0"/>
        </w:rPr>
      </w:pPr>
      <w:r>
        <w:rPr>
          <w:snapToGrid w:val="0"/>
        </w:rPr>
        <w:tab/>
        <w:t>(1)</w:t>
      </w:r>
      <w:r>
        <w:rPr>
          <w:snapToGrid w:val="0"/>
        </w:rPr>
        <w:tab/>
        <w:t>The rolls shall be printed, and issued under the hand of the Electoral Commissioner, whenever he thinks fit.</w:t>
      </w:r>
    </w:p>
    <w:p>
      <w:pPr>
        <w:pStyle w:val="Subsection"/>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[Section 24 amended by No. 5 of 1918 s. 2; No. 54 of 1983 s. 5; No. 40 of 1987 s. 84; No. 79 of 1987 s. 6; No. 1 of 2005 s. 5.]</w:t>
      </w:r>
    </w:p>
    <w:p>
      <w:pPr>
        <w:pStyle w:val="Heading5"/>
        <w:spacing w:before="180"/>
      </w:pPr>
      <w:bookmarkStart w:id="206" w:name="_Toc402969278"/>
      <w:bookmarkStart w:id="207" w:name="_Toc436058063"/>
      <w:bookmarkStart w:id="208" w:name="_Toc416703094"/>
      <w:r>
        <w:rPr>
          <w:rStyle w:val="CharSectno"/>
        </w:rPr>
        <w:t>25</w:t>
      </w:r>
      <w:r>
        <w:t>.</w:t>
      </w:r>
      <w:r>
        <w:tab/>
        <w:t>Rolls, public inspection of</w:t>
      </w:r>
      <w:bookmarkEnd w:id="206"/>
      <w:bookmarkEnd w:id="207"/>
      <w:bookmarkEnd w:id="208"/>
    </w:p>
    <w:p>
      <w:pPr>
        <w:pStyle w:val="Subsection"/>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w:t>
      </w:r>
      <w:r>
        <w:noBreakHyphen/>
        <w:t>(4)</w:t>
      </w:r>
      <w:r>
        <w:tab/>
        <w:t>deleted]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by No. 36 of 2000 s. 31; amended by No. 64 of 2006 s. 20.]</w:t>
      </w:r>
    </w:p>
    <w:p>
      <w:pPr>
        <w:pStyle w:val="Heading5"/>
        <w:rPr>
          <w:snapToGrid w:val="0"/>
        </w:rPr>
      </w:pPr>
      <w:bookmarkStart w:id="209" w:name="_Toc402969279"/>
      <w:bookmarkStart w:id="210" w:name="_Toc436058064"/>
      <w:bookmarkStart w:id="211" w:name="_Toc416703095"/>
      <w:r>
        <w:rPr>
          <w:rStyle w:val="CharSectno"/>
        </w:rPr>
        <w:t>25A</w:t>
      </w:r>
      <w:r>
        <w:rPr>
          <w:snapToGrid w:val="0"/>
        </w:rPr>
        <w:t>.</w:t>
      </w:r>
      <w:r>
        <w:rPr>
          <w:snapToGrid w:val="0"/>
        </w:rPr>
        <w:tab/>
        <w:t>Enrolment information, entitlement of parliamentary parties and MPs to</w:t>
      </w:r>
      <w:bookmarkEnd w:id="209"/>
      <w:bookmarkEnd w:id="210"/>
      <w:bookmarkEnd w:id="211"/>
    </w:p>
    <w:p>
      <w:pPr>
        <w:pStyle w:val="Subsection"/>
        <w:rPr>
          <w:snapToGrid w:val="0"/>
        </w:rPr>
      </w:pPr>
      <w:r>
        <w:rPr>
          <w:snapToGrid w:val="0"/>
        </w:rPr>
        <w:tab/>
        <w:t>(1)</w:t>
      </w:r>
      <w:r>
        <w:rPr>
          <w:snapToGrid w:val="0"/>
        </w:rPr>
        <w:tab/>
        <w:t>Subject to subsections (3) and (5), the Electoral Commissioner shall at the request of the person or organisation in question cause to be provided, without charge —</w:t>
      </w:r>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In subsection (1) —</w:t>
      </w:r>
    </w:p>
    <w:p>
      <w:pPr>
        <w:pStyle w:val="Defstart"/>
      </w:pPr>
      <w:r>
        <w:rPr>
          <w:b/>
        </w:rPr>
        <w:tab/>
      </w:r>
      <w:r>
        <w:rPr>
          <w:rStyle w:val="CharDefText"/>
        </w:rPr>
        <w:t>prescribed information</w:t>
      </w:r>
      <w:r>
        <w:t xml:space="preserve"> relating to an elector means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 and</w:t>
      </w:r>
    </w:p>
    <w:p>
      <w:pPr>
        <w:pStyle w:val="Indenta"/>
      </w:pPr>
      <w:r>
        <w:tab/>
        <w:t>(d)</w:t>
      </w:r>
      <w:r>
        <w:tab/>
        <w:t>the elector’s date of birth.</w:t>
      </w:r>
    </w:p>
    <w:p>
      <w:pPr>
        <w:pStyle w:val="Subsection"/>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In this section —</w:t>
      </w:r>
    </w:p>
    <w:p>
      <w:pPr>
        <w:pStyle w:val="Defstart"/>
      </w:pPr>
      <w:r>
        <w:tab/>
      </w:r>
      <w:r>
        <w:rPr>
          <w:rStyle w:val="CharDefText"/>
        </w:rPr>
        <w:t>parliamentary party</w:t>
      </w:r>
      <w:r>
        <w:t xml:space="preserve"> has the meaning given by section 62C.</w:t>
      </w:r>
    </w:p>
    <w:p>
      <w:pPr>
        <w:pStyle w:val="Footnotesection"/>
        <w:spacing w:before="60"/>
        <w:ind w:left="890" w:hanging="890"/>
      </w:pPr>
      <w:r>
        <w:tab/>
        <w:t>[Section 25A inserted by No. 79 of 1987 s. 7; amended by No. 36 of 2000 s. 64; No. 64 of 2006 s. 21; No. 7 of 2009 s. 8.]</w:t>
      </w:r>
    </w:p>
    <w:p>
      <w:pPr>
        <w:pStyle w:val="Heading5"/>
      </w:pPr>
      <w:bookmarkStart w:id="212" w:name="_Toc402969280"/>
      <w:bookmarkStart w:id="213" w:name="_Toc436058065"/>
      <w:bookmarkStart w:id="214" w:name="_Toc416703096"/>
      <w:r>
        <w:rPr>
          <w:rStyle w:val="CharSectno"/>
        </w:rPr>
        <w:t>25B</w:t>
      </w:r>
      <w:r>
        <w:t>.</w:t>
      </w:r>
      <w:r>
        <w:tab/>
        <w:t>Enrolment information, when available to others</w:t>
      </w:r>
      <w:bookmarkEnd w:id="212"/>
      <w:bookmarkEnd w:id="213"/>
      <w:bookmarkEnd w:id="214"/>
    </w:p>
    <w:p>
      <w:pPr>
        <w:pStyle w:val="Subsection"/>
        <w:spacing w:before="18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8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spacing w:before="180"/>
      </w:pPr>
      <w:r>
        <w:tab/>
        <w:t>(3)</w:t>
      </w:r>
      <w:r>
        <w:tab/>
        <w:t>The Electoral Commissioner must obtain from the person or organisation to which enrolment information is to be made available under this section an undertaking that the person or organisation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spacing w:before="180"/>
      </w:pPr>
      <w:r>
        <w:tab/>
        <w:t>(4)</w:t>
      </w:r>
      <w:r>
        <w:tab/>
        <w:t>If by virtue of section 51B information is not shown on a roll, that information is not to be made available under this section.</w:t>
      </w:r>
    </w:p>
    <w:p>
      <w:pPr>
        <w:pStyle w:val="Subsection"/>
        <w:spacing w:before="180"/>
      </w:pPr>
      <w:r>
        <w:tab/>
        <w:t>(5)</w:t>
      </w:r>
      <w:r>
        <w:tab/>
        <w:t>The regulations may provide that if by virtue of section 51B information relating to a person is not shown on a roll, that person’s name may be omitted when the Electoral Commissioner makes enrolment information available under this section.</w:t>
      </w:r>
    </w:p>
    <w:p>
      <w:pPr>
        <w:pStyle w:val="Subsection"/>
        <w:spacing w:before="180"/>
      </w:pPr>
      <w:r>
        <w:tab/>
        <w:t>(6)</w:t>
      </w:r>
      <w:r>
        <w:tab/>
        <w:t>The Electoral Commissioner may charge a fee that covers the cost of making enrolment information available under this section.</w:t>
      </w:r>
    </w:p>
    <w:p>
      <w:pPr>
        <w:pStyle w:val="Footnotesection"/>
        <w:spacing w:before="100"/>
        <w:ind w:left="890" w:hanging="890"/>
      </w:pPr>
      <w:r>
        <w:tab/>
        <w:t>[Section 25B inserted by No. 64 of 2006 s. 22.]</w:t>
      </w:r>
    </w:p>
    <w:p>
      <w:pPr>
        <w:pStyle w:val="Heading5"/>
        <w:spacing w:before="180"/>
      </w:pPr>
      <w:bookmarkStart w:id="215" w:name="_Toc402969281"/>
      <w:bookmarkStart w:id="216" w:name="_Toc436058066"/>
      <w:bookmarkStart w:id="217" w:name="_Toc416703097"/>
      <w:r>
        <w:rPr>
          <w:rStyle w:val="CharSectno"/>
        </w:rPr>
        <w:t>25C</w:t>
      </w:r>
      <w:r>
        <w:t>.</w:t>
      </w:r>
      <w:r>
        <w:tab/>
        <w:t>Enrolment information may be given to government departments etc.</w:t>
      </w:r>
      <w:bookmarkEnd w:id="215"/>
      <w:bookmarkEnd w:id="216"/>
      <w:bookmarkEnd w:id="217"/>
    </w:p>
    <w:p>
      <w:pPr>
        <w:pStyle w:val="Subsection"/>
        <w:spacing w:before="12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spacing w:before="100"/>
        <w:ind w:left="890" w:hanging="890"/>
      </w:pPr>
      <w:r>
        <w:tab/>
        <w:t>[Section 25C inserted by No. 64 of 2006 s. 22.]</w:t>
      </w:r>
    </w:p>
    <w:p>
      <w:pPr>
        <w:pStyle w:val="Heading5"/>
        <w:spacing w:before="180"/>
      </w:pPr>
      <w:bookmarkStart w:id="218" w:name="_Toc402969282"/>
      <w:bookmarkStart w:id="219" w:name="_Toc436058067"/>
      <w:bookmarkStart w:id="220" w:name="_Toc416703098"/>
      <w:r>
        <w:rPr>
          <w:rStyle w:val="CharSectno"/>
        </w:rPr>
        <w:t>25D</w:t>
      </w:r>
      <w:r>
        <w:t>.</w:t>
      </w:r>
      <w:r>
        <w:tab/>
        <w:t>Enrolment information given under s. 25A, 25B or 25C, use of restricted</w:t>
      </w:r>
      <w:bookmarkEnd w:id="218"/>
      <w:bookmarkEnd w:id="219"/>
      <w:bookmarkEnd w:id="220"/>
    </w:p>
    <w:p>
      <w:pPr>
        <w:pStyle w:val="Subsection"/>
        <w:spacing w:before="120"/>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spacing w:before="120"/>
      </w:pPr>
      <w:r>
        <w:tab/>
        <w:t>(2)</w:t>
      </w:r>
      <w:r>
        <w:tab/>
        <w:t>In this section —</w:t>
      </w:r>
    </w:p>
    <w:p>
      <w:pPr>
        <w:pStyle w:val="Defstart"/>
        <w:spacing w:before="60"/>
      </w:pPr>
      <w:r>
        <w:rPr>
          <w:b/>
        </w:rPr>
        <w:tab/>
      </w:r>
      <w:r>
        <w:rPr>
          <w:rStyle w:val="CharDefText"/>
        </w:rPr>
        <w:t>permitted purpose</w:t>
      </w:r>
      <w:r>
        <w:t xml:space="preserve"> means —</w:t>
      </w:r>
    </w:p>
    <w:p>
      <w:pPr>
        <w:pStyle w:val="Defpara"/>
        <w:spacing w:before="60"/>
      </w:pPr>
      <w:r>
        <w:tab/>
        <w:t>(a)</w:t>
      </w:r>
      <w:r>
        <w:tab/>
        <w:t>for a member of the Council or a member of the Assembly —</w:t>
      </w:r>
    </w:p>
    <w:p>
      <w:pPr>
        <w:pStyle w:val="Defsubpara"/>
        <w:spacing w:before="60"/>
      </w:pPr>
      <w:r>
        <w:tab/>
        <w:t>(i)</w:t>
      </w:r>
      <w:r>
        <w:tab/>
        <w:t>the exercise of the member’s functions; or</w:t>
      </w:r>
    </w:p>
    <w:p>
      <w:pPr>
        <w:pStyle w:val="Defsubpara"/>
        <w:spacing w:before="60"/>
      </w:pPr>
      <w:r>
        <w:tab/>
        <w:t>(ii)</w:t>
      </w:r>
      <w:r>
        <w:tab/>
        <w:t>a purpose connected with an election or referendum; or</w:t>
      </w:r>
    </w:p>
    <w:p>
      <w:pPr>
        <w:pStyle w:val="Defsubpara"/>
        <w:spacing w:before="60"/>
      </w:pPr>
      <w:r>
        <w:tab/>
        <w:t>(iii)</w:t>
      </w:r>
      <w:r>
        <w:tab/>
        <w:t>monitoring the accuracy of information in the roll; or</w:t>
      </w:r>
    </w:p>
    <w:p>
      <w:pPr>
        <w:pStyle w:val="Defsubpara"/>
        <w:spacing w:before="60"/>
      </w:pPr>
      <w:r>
        <w:tab/>
        <w:t>(iv)</w:t>
      </w:r>
      <w:r>
        <w:tab/>
        <w:t>research regarding electoral matters;</w:t>
      </w:r>
    </w:p>
    <w:p>
      <w:pPr>
        <w:pStyle w:val="Defpara"/>
        <w:spacing w:before="60"/>
      </w:pPr>
      <w:r>
        <w:tab/>
      </w:r>
      <w:r>
        <w:tab/>
        <w:t>and</w:t>
      </w:r>
    </w:p>
    <w:p>
      <w:pPr>
        <w:pStyle w:val="Defpara"/>
        <w:spacing w:before="60"/>
      </w:pPr>
      <w:r>
        <w:tab/>
        <w:t>(b)</w:t>
      </w:r>
      <w:r>
        <w:tab/>
        <w:t>for a parliamentary party —</w:t>
      </w:r>
    </w:p>
    <w:p>
      <w:pPr>
        <w:pStyle w:val="Defsubpara"/>
        <w:keepLines w:val="0"/>
        <w:spacing w:before="60"/>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research regarding electoral matters;</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r>
        <w:tab/>
        <w:t>[Section 25D inserted by No. 64 of 2006 s. 22.]</w:t>
      </w:r>
    </w:p>
    <w:p>
      <w:pPr>
        <w:pStyle w:val="Heading5"/>
      </w:pPr>
      <w:bookmarkStart w:id="221" w:name="_Toc402969283"/>
      <w:bookmarkStart w:id="222" w:name="_Toc436058068"/>
      <w:bookmarkStart w:id="223" w:name="_Toc416703099"/>
      <w:r>
        <w:rPr>
          <w:rStyle w:val="CharSectno"/>
        </w:rPr>
        <w:t>25E</w:t>
      </w:r>
      <w:r>
        <w:t>.</w:t>
      </w:r>
      <w:r>
        <w:tab/>
        <w:t>Enrolment information given under s. 25A, 25B or 25C, disclosure of restricted</w:t>
      </w:r>
      <w:bookmarkEnd w:id="221"/>
      <w:bookmarkEnd w:id="222"/>
      <w:bookmarkEnd w:id="223"/>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by No. 64 of 2006 s. 22.]</w:t>
      </w:r>
    </w:p>
    <w:p>
      <w:pPr>
        <w:pStyle w:val="Heading5"/>
        <w:spacing w:before="180"/>
        <w:rPr>
          <w:snapToGrid w:val="0"/>
        </w:rPr>
      </w:pPr>
      <w:bookmarkStart w:id="224" w:name="_Toc402969284"/>
      <w:bookmarkStart w:id="225" w:name="_Toc436058069"/>
      <w:bookmarkStart w:id="226" w:name="_Toc416703100"/>
      <w:r>
        <w:rPr>
          <w:rStyle w:val="CharSectno"/>
        </w:rPr>
        <w:t>26</w:t>
      </w:r>
      <w:r>
        <w:rPr>
          <w:snapToGrid w:val="0"/>
        </w:rPr>
        <w:t>.</w:t>
      </w:r>
      <w:r>
        <w:rPr>
          <w:snapToGrid w:val="0"/>
        </w:rPr>
        <w:tab/>
        <w:t>Supplementary rolls, when to be printed and issued</w:t>
      </w:r>
      <w:bookmarkEnd w:id="224"/>
      <w:bookmarkEnd w:id="225"/>
      <w:bookmarkEnd w:id="226"/>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[Section 26 inserted by No. 28 of 1970 s. 4; amended by No. 40 of 1987 s. 84.]</w:t>
      </w:r>
    </w:p>
    <w:p>
      <w:pPr>
        <w:pStyle w:val="Heading5"/>
        <w:rPr>
          <w:snapToGrid w:val="0"/>
        </w:rPr>
      </w:pPr>
      <w:bookmarkStart w:id="227" w:name="_Toc402969285"/>
      <w:bookmarkStart w:id="228" w:name="_Toc436058070"/>
      <w:bookmarkStart w:id="229" w:name="_Toc416703101"/>
      <w:r>
        <w:rPr>
          <w:rStyle w:val="CharSectno"/>
        </w:rPr>
        <w:t>27</w:t>
      </w:r>
      <w:r>
        <w:rPr>
          <w:snapToGrid w:val="0"/>
        </w:rPr>
        <w:t>.</w:t>
      </w:r>
      <w:r>
        <w:rPr>
          <w:snapToGrid w:val="0"/>
        </w:rPr>
        <w:tab/>
        <w:t>Previous supplementary roll to be incorporated in subsequent one</w:t>
      </w:r>
      <w:bookmarkEnd w:id="227"/>
      <w:bookmarkEnd w:id="228"/>
      <w:bookmarkEnd w:id="229"/>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[Section 27 inserted by No. 44 of 1911 s. 11.]</w:t>
      </w:r>
    </w:p>
    <w:p>
      <w:pPr>
        <w:pStyle w:val="Heading5"/>
        <w:rPr>
          <w:snapToGrid w:val="0"/>
        </w:rPr>
      </w:pPr>
      <w:bookmarkStart w:id="230" w:name="_Toc402969286"/>
      <w:bookmarkStart w:id="231" w:name="_Toc436058073"/>
      <w:bookmarkStart w:id="232" w:name="_Toc416703102"/>
      <w:r>
        <w:rPr>
          <w:rStyle w:val="CharSectno"/>
        </w:rPr>
        <w:t>28</w:t>
      </w:r>
      <w:r>
        <w:rPr>
          <w:snapToGrid w:val="0"/>
        </w:rPr>
        <w:t>.</w:t>
      </w:r>
      <w:r>
        <w:rPr>
          <w:snapToGrid w:val="0"/>
        </w:rPr>
        <w:tab/>
        <w:t>Amalgamated roll, printing of</w:t>
      </w:r>
      <w:bookmarkEnd w:id="230"/>
      <w:bookmarkEnd w:id="231"/>
      <w:bookmarkEnd w:id="232"/>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[Section 28 amended by No. 40 of 1987 s. 28.]</w:t>
      </w:r>
    </w:p>
    <w:p>
      <w:pPr>
        <w:pStyle w:val="Heading5"/>
        <w:rPr>
          <w:snapToGrid w:val="0"/>
        </w:rPr>
      </w:pPr>
      <w:bookmarkStart w:id="233" w:name="_Toc402969287"/>
      <w:bookmarkStart w:id="234" w:name="_Toc436058074"/>
      <w:bookmarkStart w:id="235" w:name="_Toc416703103"/>
      <w:r>
        <w:rPr>
          <w:rStyle w:val="CharSectno"/>
        </w:rPr>
        <w:t>29</w:t>
      </w:r>
      <w:r>
        <w:rPr>
          <w:snapToGrid w:val="0"/>
        </w:rPr>
        <w:t>.</w:t>
      </w:r>
      <w:r>
        <w:rPr>
          <w:snapToGrid w:val="0"/>
        </w:rPr>
        <w:tab/>
        <w:t>Rolls to be dated</w:t>
      </w:r>
      <w:bookmarkEnd w:id="233"/>
      <w:bookmarkEnd w:id="234"/>
      <w:bookmarkEnd w:id="235"/>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236" w:name="_Toc402969288"/>
      <w:bookmarkStart w:id="237" w:name="_Toc436058076"/>
      <w:bookmarkStart w:id="238" w:name="_Toc416703104"/>
      <w:r>
        <w:rPr>
          <w:rStyle w:val="CharSectno"/>
        </w:rPr>
        <w:t>30</w:t>
      </w:r>
      <w:r>
        <w:rPr>
          <w:snapToGrid w:val="0"/>
        </w:rPr>
        <w:t>.</w:t>
      </w:r>
      <w:r>
        <w:rPr>
          <w:snapToGrid w:val="0"/>
        </w:rPr>
        <w:tab/>
        <w:t>Supplementary rolls to be numbered and dated</w:t>
      </w:r>
      <w:bookmarkEnd w:id="236"/>
      <w:bookmarkEnd w:id="237"/>
      <w:bookmarkEnd w:id="238"/>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spacing w:before="300"/>
        <w:rPr>
          <w:snapToGrid w:val="0"/>
        </w:rPr>
      </w:pPr>
      <w:bookmarkStart w:id="239" w:name="_Toc402969289"/>
      <w:bookmarkStart w:id="240" w:name="_Toc436058077"/>
      <w:bookmarkStart w:id="241" w:name="_Toc416703105"/>
      <w:r>
        <w:rPr>
          <w:rStyle w:val="CharSectno"/>
        </w:rPr>
        <w:t>31</w:t>
      </w:r>
      <w:r>
        <w:rPr>
          <w:snapToGrid w:val="0"/>
        </w:rPr>
        <w:t>.</w:t>
      </w:r>
      <w:r>
        <w:rPr>
          <w:snapToGrid w:val="0"/>
        </w:rPr>
        <w:tab/>
        <w:t>Arrangement with Cwlth for single enrolment procedure</w:t>
      </w:r>
      <w:bookmarkEnd w:id="239"/>
      <w:bookmarkEnd w:id="240"/>
      <w:bookmarkEnd w:id="241"/>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w:t>
      </w:r>
    </w:p>
    <w:p>
      <w:pPr>
        <w:pStyle w:val="Indenta"/>
        <w:spacing w:before="100"/>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spacing w:before="100"/>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w:t>
      </w:r>
    </w:p>
    <w:p>
      <w:pPr>
        <w:pStyle w:val="Indenta"/>
        <w:spacing w:before="100"/>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 and</w:t>
      </w:r>
    </w:p>
    <w:p>
      <w:pPr>
        <w:pStyle w:val="Indenta"/>
        <w:spacing w:before="100"/>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42(1)(c), 44(2) and (3), 44A(3) and (5), and 45(4); and</w:t>
      </w:r>
    </w:p>
    <w:p>
      <w:pPr>
        <w:pStyle w:val="Indenta"/>
        <w:spacing w:before="100"/>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rPr>
          <w:snapToGrid w:val="0"/>
        </w:rPr>
      </w:pPr>
      <w:r>
        <w:rPr>
          <w:snapToGrid w:val="0"/>
        </w:rPr>
        <w:tab/>
        <w:t>(4)</w:t>
      </w:r>
      <w:r>
        <w:rPr>
          <w:snapToGrid w:val="0"/>
        </w:rPr>
        <w:tab/>
        <w:t>An order under subsection (3)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rPr>
          <w:snapToGrid w:val="0"/>
        </w:rPr>
      </w:pPr>
      <w:r>
        <w:rPr>
          <w:snapToGrid w:val="0"/>
        </w:rPr>
        <w:tab/>
        <w:t>(6)</w:t>
      </w:r>
      <w:r>
        <w:rPr>
          <w:snapToGrid w:val="0"/>
        </w:rPr>
        <w:tab/>
        <w:t xml:space="preserve">In this section and in sections 31A and 31B </w:t>
      </w:r>
      <w:r>
        <w:rPr>
          <w:rStyle w:val="CharDefText"/>
        </w:rPr>
        <w:t>Australian Electoral Officer</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[Section 31 inserted by No. 9 of 1983 s. 5; amended by No. 76 of 1984 s. 4; No. 40 of 1987 s. 84; No. 36 of 2000 s. 28(1) and 29.]</w:t>
      </w:r>
    </w:p>
    <w:p>
      <w:pPr>
        <w:pStyle w:val="Heading5"/>
        <w:spacing w:before="200"/>
        <w:rPr>
          <w:snapToGrid w:val="0"/>
        </w:rPr>
      </w:pPr>
      <w:bookmarkStart w:id="242" w:name="_Toc402969290"/>
      <w:bookmarkStart w:id="243" w:name="_Toc436058078"/>
      <w:bookmarkStart w:id="244" w:name="_Toc416703106"/>
      <w:r>
        <w:rPr>
          <w:rStyle w:val="CharSectno"/>
        </w:rPr>
        <w:t>31A</w:t>
      </w:r>
      <w:r>
        <w:rPr>
          <w:snapToGrid w:val="0"/>
        </w:rPr>
        <w:t xml:space="preserve">. </w:t>
      </w:r>
      <w:r>
        <w:rPr>
          <w:snapToGrid w:val="0"/>
        </w:rPr>
        <w:tab/>
        <w:t>Arrangement with Cwlth for sharing of certain information for revision of rolls</w:t>
      </w:r>
      <w:bookmarkEnd w:id="242"/>
      <w:bookmarkEnd w:id="243"/>
      <w:bookmarkEnd w:id="244"/>
    </w:p>
    <w:p>
      <w:pPr>
        <w:pStyle w:val="Subsection"/>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[Section 31A inserted by No. 9 of 1983 s. 5; amended by No. 76 of 1984 s. 5; No. 40 of 1987 s. 84; No. 79 of 1987 s. 8; No. 36 of 2000 s. 28(1).]</w:t>
      </w:r>
    </w:p>
    <w:p>
      <w:pPr>
        <w:pStyle w:val="Heading5"/>
        <w:rPr>
          <w:snapToGrid w:val="0"/>
        </w:rPr>
      </w:pPr>
      <w:bookmarkStart w:id="245" w:name="_Toc402969291"/>
      <w:bookmarkStart w:id="246" w:name="_Toc436058079"/>
      <w:bookmarkStart w:id="247" w:name="_Toc416703107"/>
      <w:r>
        <w:rPr>
          <w:rStyle w:val="CharSectno"/>
        </w:rPr>
        <w:t>31B</w:t>
      </w:r>
      <w:r>
        <w:rPr>
          <w:snapToGrid w:val="0"/>
        </w:rPr>
        <w:t>.</w:t>
      </w:r>
      <w:r>
        <w:rPr>
          <w:snapToGrid w:val="0"/>
        </w:rPr>
        <w:tab/>
        <w:t>Arrangement with Cwlth as to s. 51B requests</w:t>
      </w:r>
      <w:bookmarkEnd w:id="245"/>
      <w:bookmarkEnd w:id="246"/>
      <w:bookmarkEnd w:id="247"/>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 and</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ind w:left="890" w:hanging="890"/>
      </w:pPr>
      <w:r>
        <w:tab/>
        <w:t>[Section 31B inserted by No. 76 of 1984 s. 6; amended by No. 40 of 1987 s. 84; No. 36 of 2000 s. 28(1) and 29.]</w:t>
      </w:r>
    </w:p>
    <w:p>
      <w:pPr>
        <w:pStyle w:val="Ednotesection"/>
      </w:pPr>
      <w:r>
        <w:t>[</w:t>
      </w:r>
      <w:r>
        <w:rPr>
          <w:b/>
        </w:rPr>
        <w:t>32, 33.</w:t>
      </w:r>
      <w:r>
        <w:tab/>
        <w:t>Deleted by No. 36 of 2000 s. 28(1).]</w:t>
      </w:r>
    </w:p>
    <w:p>
      <w:pPr>
        <w:pStyle w:val="Heading5"/>
        <w:rPr>
          <w:snapToGrid w:val="0"/>
        </w:rPr>
      </w:pPr>
      <w:bookmarkStart w:id="248" w:name="_Toc402969292"/>
      <w:bookmarkStart w:id="249" w:name="_Toc436058080"/>
      <w:bookmarkStart w:id="250" w:name="_Toc416703108"/>
      <w:r>
        <w:rPr>
          <w:rStyle w:val="CharSectno"/>
        </w:rPr>
        <w:t>34</w:t>
      </w:r>
      <w:r>
        <w:rPr>
          <w:snapToGrid w:val="0"/>
        </w:rPr>
        <w:t>.</w:t>
      </w:r>
      <w:r>
        <w:rPr>
          <w:snapToGrid w:val="0"/>
        </w:rPr>
        <w:tab/>
        <w:t>Rolls and documents, when not invalid</w:t>
      </w:r>
      <w:bookmarkEnd w:id="248"/>
      <w:bookmarkEnd w:id="249"/>
      <w:bookmarkEnd w:id="250"/>
    </w:p>
    <w:p>
      <w:pPr>
        <w:pStyle w:val="Subsection"/>
        <w:spacing w:before="140"/>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spacing w:before="180"/>
        <w:rPr>
          <w:snapToGrid w:val="0"/>
        </w:rPr>
      </w:pPr>
      <w:bookmarkStart w:id="251" w:name="_Toc402969293"/>
      <w:bookmarkStart w:id="252" w:name="_Toc436058081"/>
      <w:bookmarkStart w:id="253" w:name="_Toc416703109"/>
      <w:r>
        <w:rPr>
          <w:rStyle w:val="CharSectno"/>
        </w:rPr>
        <w:t>35</w:t>
      </w:r>
      <w:r>
        <w:rPr>
          <w:snapToGrid w:val="0"/>
        </w:rPr>
        <w:t>.</w:t>
      </w:r>
      <w:r>
        <w:rPr>
          <w:snapToGrid w:val="0"/>
        </w:rPr>
        <w:tab/>
        <w:t>Public officers to give Electoral Commissioner etc. information</w:t>
      </w:r>
      <w:bookmarkEnd w:id="251"/>
      <w:bookmarkEnd w:id="252"/>
      <w:bookmarkEnd w:id="253"/>
    </w:p>
    <w:p>
      <w:pPr>
        <w:pStyle w:val="Subsection"/>
        <w:spacing w:before="140"/>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spacing w:before="100"/>
        <w:ind w:left="890" w:hanging="890"/>
      </w:pPr>
      <w:r>
        <w:tab/>
        <w:t>[Section 35 amended by No. 40 of 1987 s. 84; No. 14 of 1996 s. 4.]</w:t>
      </w:r>
    </w:p>
    <w:p>
      <w:pPr>
        <w:pStyle w:val="Ednotesection"/>
        <w:spacing w:before="180"/>
      </w:pPr>
      <w:r>
        <w:t>[</w:t>
      </w:r>
      <w:r>
        <w:rPr>
          <w:b/>
        </w:rPr>
        <w:t>36.</w:t>
      </w:r>
      <w:r>
        <w:tab/>
        <w:t>Deleted by No. 36 of 2000 s. 28(1).]</w:t>
      </w:r>
    </w:p>
    <w:p>
      <w:pPr>
        <w:pStyle w:val="Heading5"/>
        <w:spacing w:before="180"/>
        <w:rPr>
          <w:snapToGrid w:val="0"/>
        </w:rPr>
      </w:pPr>
      <w:bookmarkStart w:id="254" w:name="_Toc402969294"/>
      <w:bookmarkStart w:id="255" w:name="_Toc436058082"/>
      <w:bookmarkStart w:id="256" w:name="_Toc416703110"/>
      <w:r>
        <w:rPr>
          <w:rStyle w:val="CharSectno"/>
        </w:rPr>
        <w:t>37</w:t>
      </w:r>
      <w:r>
        <w:rPr>
          <w:snapToGrid w:val="0"/>
        </w:rPr>
        <w:t>.</w:t>
      </w:r>
      <w:r>
        <w:rPr>
          <w:snapToGrid w:val="0"/>
        </w:rPr>
        <w:tab/>
        <w:t>New rolls, when required etc.</w:t>
      </w:r>
      <w:bookmarkEnd w:id="254"/>
      <w:bookmarkEnd w:id="255"/>
      <w:bookmarkEnd w:id="256"/>
    </w:p>
    <w:p>
      <w:pPr>
        <w:pStyle w:val="Subsection"/>
        <w:spacing w:before="130"/>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spacing w:before="100"/>
        <w:ind w:left="890" w:hanging="890"/>
      </w:pPr>
      <w:r>
        <w:tab/>
        <w:t>[Section 37 amended by No. 40 of 1987 s. 84; No. 36 of 2000 s. 28(1).]</w:t>
      </w:r>
    </w:p>
    <w:p>
      <w:pPr>
        <w:pStyle w:val="Heading5"/>
        <w:spacing w:before="180"/>
        <w:rPr>
          <w:snapToGrid w:val="0"/>
        </w:rPr>
      </w:pPr>
      <w:bookmarkStart w:id="257" w:name="_Toc402969295"/>
      <w:bookmarkStart w:id="258" w:name="_Toc436058083"/>
      <w:bookmarkStart w:id="259" w:name="_Toc416703111"/>
      <w:r>
        <w:rPr>
          <w:rStyle w:val="CharSectno"/>
        </w:rPr>
        <w:t>38</w:t>
      </w:r>
      <w:r>
        <w:rPr>
          <w:snapToGrid w:val="0"/>
        </w:rPr>
        <w:t>.</w:t>
      </w:r>
      <w:r>
        <w:rPr>
          <w:snapToGrid w:val="0"/>
        </w:rPr>
        <w:tab/>
        <w:t>Regulations as to preparation of rolls and compulsory enrolment</w:t>
      </w:r>
      <w:bookmarkEnd w:id="257"/>
      <w:bookmarkEnd w:id="258"/>
      <w:bookmarkEnd w:id="259"/>
    </w:p>
    <w:p>
      <w:pPr>
        <w:pStyle w:val="Subsection"/>
        <w:spacing w:before="130"/>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spacing w:before="130"/>
        <w:rPr>
          <w:snapToGrid w:val="0"/>
        </w:rPr>
      </w:pPr>
      <w:r>
        <w:rPr>
          <w:snapToGrid w:val="0"/>
        </w:rPr>
        <w:tab/>
      </w:r>
      <w:r>
        <w:rPr>
          <w:snapToGrid w:val="0"/>
        </w:rPr>
        <w:tab/>
        <w:t>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w:t>
      </w:r>
    </w:p>
    <w:p>
      <w:pPr>
        <w:pStyle w:val="Subsection"/>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[Section 38 inserted by No. 59 of 1919 s. 2; amended by No. 33 of 1964 s. 14; No. 68 of 1964 s. 7; No. 113 of 1965 s. 8; No. 76 of 1984 s. 7; No. 40 of 1987 s. 84.]</w:t>
      </w:r>
    </w:p>
    <w:p>
      <w:pPr>
        <w:pStyle w:val="Heading5"/>
        <w:rPr>
          <w:snapToGrid w:val="0"/>
        </w:rPr>
      </w:pPr>
      <w:bookmarkStart w:id="260" w:name="_Toc402969296"/>
      <w:bookmarkStart w:id="261" w:name="_Toc436058084"/>
      <w:bookmarkStart w:id="262" w:name="_Toc416703112"/>
      <w:r>
        <w:rPr>
          <w:rStyle w:val="CharSectno"/>
        </w:rPr>
        <w:t>39</w:t>
      </w:r>
      <w:r>
        <w:rPr>
          <w:snapToGrid w:val="0"/>
        </w:rPr>
        <w:t>.</w:t>
      </w:r>
      <w:r>
        <w:rPr>
          <w:snapToGrid w:val="0"/>
        </w:rPr>
        <w:tab/>
        <w:t>Electoral census, when required etc.</w:t>
      </w:r>
      <w:bookmarkEnd w:id="260"/>
      <w:bookmarkEnd w:id="261"/>
      <w:bookmarkEnd w:id="262"/>
    </w:p>
    <w:p>
      <w:pPr>
        <w:pStyle w:val="Subsection"/>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[Section 39 amended by No. 40 of 1987 s. 84; No. 36 of 2000 s. 28(1).]</w:t>
      </w:r>
    </w:p>
    <w:p>
      <w:pPr>
        <w:pStyle w:val="Heading5"/>
        <w:rPr>
          <w:snapToGrid w:val="0"/>
        </w:rPr>
      </w:pPr>
      <w:bookmarkStart w:id="263" w:name="_Toc402969297"/>
      <w:bookmarkStart w:id="264" w:name="_Toc436058085"/>
      <w:bookmarkStart w:id="265" w:name="_Toc416703113"/>
      <w:r>
        <w:rPr>
          <w:rStyle w:val="CharSectno"/>
        </w:rPr>
        <w:t>40</w:t>
      </w:r>
      <w:r>
        <w:rPr>
          <w:snapToGrid w:val="0"/>
        </w:rPr>
        <w:t>.</w:t>
      </w:r>
      <w:r>
        <w:rPr>
          <w:snapToGrid w:val="0"/>
        </w:rPr>
        <w:tab/>
        <w:t>New rolls, rules for preparing</w:t>
      </w:r>
      <w:bookmarkEnd w:id="263"/>
      <w:bookmarkEnd w:id="264"/>
      <w:bookmarkEnd w:id="265"/>
    </w:p>
    <w:p>
      <w:pPr>
        <w:pStyle w:val="Subsection"/>
        <w:keepNext/>
        <w:keepLines/>
        <w:spacing w:before="100"/>
        <w:rPr>
          <w:snapToGrid w:val="0"/>
        </w:rPr>
      </w:pPr>
      <w:r>
        <w:rPr>
          <w:snapToGrid w:val="0"/>
        </w:rPr>
        <w:tab/>
        <w:t>(1)</w:t>
      </w:r>
      <w:r>
        <w:rPr>
          <w:snapToGrid w:val="0"/>
        </w:rPr>
        <w:tab/>
        <w:t>In preparing new rolls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w:t>
      </w:r>
    </w:p>
    <w:p>
      <w:pPr>
        <w:pStyle w:val="Indenti"/>
        <w:rPr>
          <w:ins w:id="266" w:author="svcMRProcess" w:date="2020-02-15T11:58:00Z"/>
        </w:rPr>
      </w:pPr>
      <w:r>
        <w:tab/>
        <w:t>(i)</w:t>
      </w:r>
      <w:r>
        <w:tab/>
        <w:t>who, from information supplied by the Registrar of Births, Deaths and Marriages, appear to be dead</w:t>
      </w:r>
      <w:del w:id="267" w:author="svcMRProcess" w:date="2020-02-15T11:58:00Z">
        <w:r>
          <w:rPr>
            <w:snapToGrid w:val="0"/>
          </w:rPr>
          <w:delText>,</w:delText>
        </w:r>
      </w:del>
      <w:ins w:id="268" w:author="svcMRProcess" w:date="2020-02-15T11:58:00Z">
        <w:r>
          <w:t>;</w:t>
        </w:r>
      </w:ins>
      <w:r>
        <w:t xml:space="preserve"> or</w:t>
      </w:r>
      <w:del w:id="269" w:author="svcMRProcess" w:date="2020-02-15T11:58:00Z">
        <w:r>
          <w:rPr>
            <w:snapToGrid w:val="0"/>
          </w:rPr>
          <w:delText xml:space="preserve"> </w:delText>
        </w:r>
      </w:del>
    </w:p>
    <w:p>
      <w:pPr>
        <w:pStyle w:val="Indenti"/>
        <w:rPr>
          <w:snapToGrid w:val="0"/>
        </w:rPr>
      </w:pPr>
      <w:ins w:id="270" w:author="svcMRProcess" w:date="2020-02-15T11:58:00Z">
        <w:r>
          <w:tab/>
          <w:t>(iia)</w:t>
        </w:r>
        <w:r>
          <w:tab/>
        </w:r>
      </w:ins>
      <w:r>
        <w:t xml:space="preserve">who, from information supplied by </w:t>
      </w:r>
      <w:r>
        <w:rPr>
          <w:snapToGrid w:val="0"/>
        </w:rPr>
        <w:t xml:space="preserve">the </w:t>
      </w:r>
      <w:del w:id="271" w:author="svcMRProcess" w:date="2020-02-15T11:58:00Z">
        <w:r>
          <w:rPr>
            <w:spacing w:val="-2"/>
          </w:rPr>
          <w:delText xml:space="preserve">Chief Psychiatrist referred to in section 8 of the </w:delText>
        </w:r>
        <w:r>
          <w:rPr>
            <w:i/>
            <w:spacing w:val="-2"/>
          </w:rPr>
          <w:delText>Mental Health Act 1996</w:delText>
        </w:r>
        <w:r>
          <w:rPr>
            <w:snapToGrid w:val="0"/>
          </w:rPr>
          <w:delText xml:space="preserve">, and the </w:delText>
        </w:r>
      </w:del>
      <w:r>
        <w:t>chief executive officer</w:t>
      </w:r>
      <w:del w:id="272" w:author="svcMRProcess" w:date="2020-02-15T11:58:00Z">
        <w:r>
          <w:delText xml:space="preserve">, within the meaning of that expression </w:delText>
        </w:r>
      </w:del>
      <w:ins w:id="273" w:author="svcMRProcess" w:date="2020-02-15T11:58:00Z">
        <w:r>
          <w:t xml:space="preserve"> (</w:t>
        </w:r>
      </w:ins>
      <w:r>
        <w:t xml:space="preserve">as defined in </w:t>
      </w:r>
      <w:del w:id="274" w:author="svcMRProcess" w:date="2020-02-15T11:58:00Z">
        <w:r>
          <w:delText xml:space="preserve">section 3 of </w:delText>
        </w:r>
      </w:del>
      <w:r>
        <w:t xml:space="preserve">the </w:t>
      </w:r>
      <w:r>
        <w:rPr>
          <w:i/>
        </w:rPr>
        <w:t>Prisons Act 1981</w:t>
      </w:r>
      <w:del w:id="275" w:author="svcMRProcess" w:date="2020-02-15T11:58:00Z">
        <w:r>
          <w:delText>,</w:delText>
        </w:r>
      </w:del>
      <w:ins w:id="276" w:author="svcMRProcess" w:date="2020-02-15T11:58:00Z">
        <w:r>
          <w:t xml:space="preserve"> section 3(1))</w:t>
        </w:r>
      </w:ins>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spacing w:before="100"/>
      </w:pPr>
      <w:r>
        <w:tab/>
        <w:t>(1a)</w:t>
      </w:r>
      <w:r>
        <w:tab/>
        <w:t>Subsection (1)(b)(iii) does not apply to a person whose name is on the existing roll because of section 17(4), 17A or 17B.</w:t>
      </w:r>
    </w:p>
    <w:p>
      <w:pPr>
        <w:pStyle w:val="Subsection"/>
        <w:spacing w:before="10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0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60"/>
        <w:ind w:left="890" w:hanging="890"/>
      </w:pPr>
      <w:r>
        <w:tab/>
        <w:t>[Section 40 amended by No. 33 of 1964 s. 15; No. 33 of 1967 s. 4; No. 40 of 1987 s. 30 and 84; No. 69 of 1996 s. 24; No. 40 of 1998 s. 11(a); No. 36 of 2000 s. 28(1) and (2) and 82; No. 64 of 2006 s. 23; No. 7 of 2009 s. </w:t>
      </w:r>
      <w:del w:id="277" w:author="svcMRProcess" w:date="2020-02-15T11:58:00Z">
        <w:r>
          <w:delText>9</w:delText>
        </w:r>
      </w:del>
      <w:ins w:id="278" w:author="svcMRProcess" w:date="2020-02-15T11:58:00Z">
        <w:r>
          <w:t>9; No. 25 of 2014 s. 58</w:t>
        </w:r>
      </w:ins>
      <w:r>
        <w:t>.]</w:t>
      </w:r>
    </w:p>
    <w:p>
      <w:pPr>
        <w:pStyle w:val="Heading3"/>
        <w:keepNext w:val="0"/>
      </w:pPr>
      <w:bookmarkStart w:id="279" w:name="_Toc402969298"/>
      <w:bookmarkStart w:id="280" w:name="_Toc416702730"/>
      <w:bookmarkStart w:id="281" w:name="_Toc416703114"/>
      <w:bookmarkStart w:id="282" w:name="_Toc435714366"/>
      <w:bookmarkStart w:id="283" w:name="_Toc436057481"/>
      <w:bookmarkStart w:id="284" w:name="_Toc436057869"/>
      <w:bookmarkStart w:id="285" w:name="_Toc436058254"/>
      <w:bookmarkStart w:id="286" w:name="_Toc436058086"/>
      <w:r>
        <w:rPr>
          <w:rStyle w:val="CharDivNo"/>
        </w:rPr>
        <w:t>Division (3)</w:t>
      </w:r>
      <w:r>
        <w:rPr>
          <w:snapToGrid w:val="0"/>
        </w:rPr>
        <w:t> — </w:t>
      </w:r>
      <w:r>
        <w:rPr>
          <w:rStyle w:val="CharDivText"/>
        </w:rPr>
        <w:t>Additions to rolls</w:t>
      </w:r>
      <w:bookmarkEnd w:id="279"/>
      <w:bookmarkEnd w:id="280"/>
      <w:bookmarkEnd w:id="281"/>
      <w:bookmarkEnd w:id="282"/>
      <w:bookmarkEnd w:id="283"/>
      <w:bookmarkEnd w:id="284"/>
      <w:bookmarkEnd w:id="285"/>
      <w:bookmarkEnd w:id="286"/>
    </w:p>
    <w:p>
      <w:pPr>
        <w:pStyle w:val="Heading5"/>
        <w:rPr>
          <w:snapToGrid w:val="0"/>
        </w:rPr>
      </w:pPr>
      <w:bookmarkStart w:id="287" w:name="_Toc402969299"/>
      <w:bookmarkStart w:id="288" w:name="_Toc436058088"/>
      <w:bookmarkStart w:id="289" w:name="_Toc416703115"/>
      <w:r>
        <w:rPr>
          <w:rStyle w:val="CharSectno"/>
        </w:rPr>
        <w:t>41</w:t>
      </w:r>
      <w:r>
        <w:rPr>
          <w:snapToGrid w:val="0"/>
        </w:rPr>
        <w:t>.</w:t>
      </w:r>
      <w:r>
        <w:rPr>
          <w:snapToGrid w:val="0"/>
        </w:rPr>
        <w:tab/>
        <w:t>New names, when may be added</w:t>
      </w:r>
      <w:bookmarkEnd w:id="287"/>
      <w:bookmarkEnd w:id="288"/>
      <w:bookmarkEnd w:id="289"/>
    </w:p>
    <w:p>
      <w:pPr>
        <w:pStyle w:val="Subsection"/>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ind w:left="890" w:hanging="890"/>
      </w:pPr>
      <w:r>
        <w:tab/>
        <w:t>[Section 41 amended by No. 36 of 2000 s. 28(1).]</w:t>
      </w:r>
    </w:p>
    <w:p>
      <w:pPr>
        <w:pStyle w:val="Heading5"/>
        <w:rPr>
          <w:snapToGrid w:val="0"/>
        </w:rPr>
      </w:pPr>
      <w:bookmarkStart w:id="290" w:name="_Toc402969300"/>
      <w:bookmarkStart w:id="291" w:name="_Toc436058089"/>
      <w:bookmarkStart w:id="292" w:name="_Toc416703116"/>
      <w:r>
        <w:rPr>
          <w:rStyle w:val="CharSectno"/>
        </w:rPr>
        <w:t>42</w:t>
      </w:r>
      <w:r>
        <w:rPr>
          <w:snapToGrid w:val="0"/>
        </w:rPr>
        <w:t>.</w:t>
      </w:r>
      <w:r>
        <w:rPr>
          <w:snapToGrid w:val="0"/>
        </w:rPr>
        <w:tab/>
        <w:t>Claims, form etc. of</w:t>
      </w:r>
      <w:bookmarkEnd w:id="290"/>
      <w:bookmarkEnd w:id="291"/>
      <w:bookmarkEnd w:id="292"/>
    </w:p>
    <w:p>
      <w:pPr>
        <w:pStyle w:val="Subsection"/>
        <w:rPr>
          <w:snapToGrid w:val="0"/>
        </w:rPr>
      </w:pPr>
      <w:r>
        <w:rPr>
          <w:snapToGrid w:val="0"/>
        </w:rPr>
        <w:tab/>
      </w:r>
      <w:r>
        <w:t>(1)</w:t>
      </w:r>
      <w:r>
        <w:tab/>
        <w:t>A claim —</w:t>
      </w:r>
    </w:p>
    <w:p>
      <w:pPr>
        <w:pStyle w:val="Indenta"/>
        <w:rPr>
          <w:snapToGrid w:val="0"/>
        </w:rPr>
      </w:pPr>
      <w:r>
        <w:rPr>
          <w:snapToGrid w:val="0"/>
        </w:rPr>
        <w:tab/>
        <w:t>(a)</w:t>
      </w:r>
      <w:r>
        <w:rPr>
          <w:snapToGrid w:val="0"/>
        </w:rPr>
        <w:tab/>
        <w:t>may be in the prescribed form; and</w:t>
      </w:r>
    </w:p>
    <w:p>
      <w:pPr>
        <w:pStyle w:val="Indenta"/>
      </w:pPr>
      <w:r>
        <w:tab/>
        <w:t>(b)</w:t>
      </w:r>
      <w:r>
        <w:tab/>
        <w:t>shall be signed by the claimant; and</w:t>
      </w:r>
    </w:p>
    <w:p>
      <w:pPr>
        <w:pStyle w:val="Indenta"/>
      </w:pPr>
      <w:r>
        <w:tab/>
        <w:t>(ca)</w:t>
      </w:r>
      <w:r>
        <w:tab/>
        <w:t xml:space="preserve">shall include or be accompanied by such evidence of identity as is required under the </w:t>
      </w:r>
      <w:r>
        <w:rPr>
          <w:i/>
        </w:rPr>
        <w:t>Commonwealth Electoral Act 1918</w:t>
      </w:r>
      <w:r>
        <w:t xml:space="preserve"> section 98AA(2) in relation to an application or claim to which that section applies;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the </w:t>
      </w:r>
      <w:r>
        <w:rPr>
          <w:rStyle w:val="CharDefText"/>
        </w:rPr>
        <w:t>enrolment officer</w:t>
      </w:r>
      <w:r>
        <w:t>).</w:t>
      </w:r>
    </w:p>
    <w:p>
      <w:pPr>
        <w:pStyle w:val="Subsection"/>
      </w:pPr>
      <w:r>
        <w:tab/>
        <w:t>(2)</w:t>
      </w:r>
      <w:r>
        <w:tab/>
        <w:t>Despite subsection (1)(b), if —</w:t>
      </w:r>
    </w:p>
    <w:p>
      <w:pPr>
        <w:pStyle w:val="Indenta"/>
      </w:pPr>
      <w:r>
        <w:tab/>
        <w:t>(a)</w:t>
      </w:r>
      <w:r>
        <w:tab/>
        <w:t>the claimant is already enrolled; and</w:t>
      </w:r>
    </w:p>
    <w:p>
      <w:pPr>
        <w:pStyle w:val="Indenta"/>
      </w:pPr>
      <w:r>
        <w:tab/>
        <w:t>(b)</w:t>
      </w:r>
      <w:r>
        <w:tab/>
        <w:t>the claimant’s name is still the same as the name under which the claimant is enrolled,</w:t>
      </w:r>
    </w:p>
    <w:p>
      <w:pPr>
        <w:pStyle w:val="Subsection"/>
      </w:pPr>
      <w:r>
        <w:tab/>
      </w:r>
      <w:r>
        <w:tab/>
        <w:t xml:space="preserve">the requirement that the claim be signed is to be taken to be satisfied if the claimant instead satisfies the requirements to be satisfied in respect of a claim under the </w:t>
      </w:r>
      <w:r>
        <w:rPr>
          <w:i/>
        </w:rPr>
        <w:t>Commonwealth Electoral Act 1918</w:t>
      </w:r>
      <w:r>
        <w:t xml:space="preserve"> section 382(7).</w:t>
      </w:r>
    </w:p>
    <w:p>
      <w:pPr>
        <w:pStyle w:val="Footnotesection"/>
        <w:keepLines w:val="0"/>
        <w:spacing w:before="60"/>
        <w:ind w:left="890" w:hanging="890"/>
      </w:pPr>
      <w:r>
        <w:tab/>
        <w:t>[Section 42 inserted by No. 9 of 1983 s. 6; amended by No. 36 of 2000 s. 28(1); No. 35 of 2012 s. 8.]</w:t>
      </w:r>
    </w:p>
    <w:p>
      <w:pPr>
        <w:pStyle w:val="Ednotesection"/>
      </w:pPr>
      <w:r>
        <w:t>[</w:t>
      </w:r>
      <w:r>
        <w:rPr>
          <w:b/>
        </w:rPr>
        <w:t>42A.</w:t>
      </w:r>
      <w:r>
        <w:rPr>
          <w:b/>
        </w:rPr>
        <w:tab/>
      </w:r>
      <w:r>
        <w:t>Omitted under the Reprints Act 1984 s. 7(4)(e).]</w:t>
      </w:r>
    </w:p>
    <w:p>
      <w:pPr>
        <w:pStyle w:val="Heading5"/>
      </w:pPr>
      <w:bookmarkStart w:id="293" w:name="_Toc402969301"/>
      <w:bookmarkStart w:id="294" w:name="_Toc436058090"/>
      <w:bookmarkStart w:id="295" w:name="_Toc416703117"/>
      <w:r>
        <w:rPr>
          <w:rStyle w:val="CharSectno"/>
        </w:rPr>
        <w:t>43</w:t>
      </w:r>
      <w:r>
        <w:t>.</w:t>
      </w:r>
      <w:r>
        <w:tab/>
        <w:t>Claims of certain Cwlth electors to be taken to be in order</w:t>
      </w:r>
      <w:bookmarkEnd w:id="293"/>
      <w:bookmarkEnd w:id="294"/>
      <w:bookmarkEnd w:id="295"/>
    </w:p>
    <w:p>
      <w:pPr>
        <w:pStyle w:val="Subsection"/>
      </w:pPr>
      <w:r>
        <w:tab/>
        <w:t>(1)</w:t>
      </w:r>
      <w:r>
        <w:tab/>
        <w:t>In this section —</w:t>
      </w:r>
    </w:p>
    <w:p>
      <w:pPr>
        <w:pStyle w:val="Defstart"/>
        <w:spacing w:before="100"/>
      </w:pPr>
      <w:r>
        <w:tab/>
      </w:r>
      <w:r>
        <w:rPr>
          <w:rStyle w:val="CharDefText"/>
        </w:rPr>
        <w:t>claim</w:t>
      </w:r>
      <w:r>
        <w:t xml:space="preserve"> means a claim made —</w:t>
      </w:r>
    </w:p>
    <w:p>
      <w:pPr>
        <w:pStyle w:val="Indenta"/>
        <w:spacing w:before="100"/>
      </w:pPr>
      <w:r>
        <w:tab/>
        <w:t>(a)</w:t>
      </w:r>
      <w:r>
        <w:tab/>
        <w:t>on or after 21 November 2006; but</w:t>
      </w:r>
    </w:p>
    <w:p>
      <w:pPr>
        <w:pStyle w:val="Indenta"/>
        <w:spacing w:before="100"/>
      </w:pPr>
      <w:r>
        <w:tab/>
        <w:t>(b)</w:t>
      </w:r>
      <w:r>
        <w:tab/>
        <w:t>before commencement day;</w:t>
      </w:r>
    </w:p>
    <w:p>
      <w:pPr>
        <w:pStyle w:val="Defstart"/>
        <w:spacing w:before="100"/>
      </w:pPr>
      <w:r>
        <w:tab/>
      </w:r>
      <w:r>
        <w:rPr>
          <w:rStyle w:val="CharDefText"/>
        </w:rPr>
        <w:t>commencement day</w:t>
      </w:r>
      <w:r>
        <w:t xml:space="preserve"> means the day on which the </w:t>
      </w:r>
      <w:r>
        <w:rPr>
          <w:i/>
        </w:rPr>
        <w:t>Electoral Amendment Act 2012</w:t>
      </w:r>
      <w:r>
        <w:t xml:space="preserve"> Part 3 Division 1 comes into operation;</w:t>
      </w:r>
    </w:p>
    <w:p>
      <w:pPr>
        <w:pStyle w:val="Defstart"/>
        <w:spacing w:before="100"/>
      </w:pPr>
      <w:r>
        <w:tab/>
      </w:r>
      <w:r>
        <w:rPr>
          <w:rStyle w:val="CharDefText"/>
        </w:rPr>
        <w:t>Commonwealth elector</w:t>
      </w:r>
      <w:r>
        <w:t xml:space="preserve"> means a person enrolled under the </w:t>
      </w:r>
      <w:r>
        <w:rPr>
          <w:i/>
        </w:rPr>
        <w:t>Commonwealth Electoral Act 1918</w:t>
      </w:r>
      <w:r>
        <w:t xml:space="preserve"> in respect of an address in a Commonwealth subdivision in the State;</w:t>
      </w:r>
    </w:p>
    <w:p>
      <w:pPr>
        <w:pStyle w:val="Defstart"/>
        <w:spacing w:before="100"/>
      </w:pPr>
      <w:r>
        <w:tab/>
      </w:r>
      <w:r>
        <w:rPr>
          <w:rStyle w:val="CharDefText"/>
        </w:rPr>
        <w:t>in order</w:t>
      </w:r>
      <w:r>
        <w:t xml:space="preserve"> means in order for the purposes of section 44A.</w:t>
      </w:r>
    </w:p>
    <w:p>
      <w:pPr>
        <w:pStyle w:val="Subsection"/>
      </w:pPr>
      <w:r>
        <w:tab/>
        <w:t>(2)</w:t>
      </w:r>
      <w:r>
        <w:tab/>
        <w:t>If a claimant —</w:t>
      </w:r>
    </w:p>
    <w:p>
      <w:pPr>
        <w:pStyle w:val="Indenta"/>
        <w:spacing w:before="100"/>
      </w:pPr>
      <w:r>
        <w:tab/>
        <w:t>(a)</w:t>
      </w:r>
      <w:r>
        <w:tab/>
        <w:t>is a Commonwealth elector on commencement day; and</w:t>
      </w:r>
    </w:p>
    <w:p>
      <w:pPr>
        <w:pStyle w:val="Indenta"/>
        <w:spacing w:before="100"/>
      </w:pPr>
      <w:r>
        <w:tab/>
        <w:t>(b)</w:t>
      </w:r>
      <w:r>
        <w:tab/>
        <w:t>made a claim that was rejected as not in order,</w:t>
      </w:r>
    </w:p>
    <w:p>
      <w:pPr>
        <w:pStyle w:val="Subsection"/>
      </w:pPr>
      <w:r>
        <w:tab/>
      </w:r>
      <w:r>
        <w:tab/>
        <w:t>then, on and after commencement day, the claim is to be taken to be in order if the claim would have been in order had it been made on commencement day.</w:t>
      </w:r>
    </w:p>
    <w:p>
      <w:pPr>
        <w:pStyle w:val="Footnotesection"/>
      </w:pPr>
      <w:r>
        <w:tab/>
        <w:t>[Section 43 inserted by No. 35 of 2012 s. 9.]</w:t>
      </w:r>
    </w:p>
    <w:p>
      <w:pPr>
        <w:pStyle w:val="Heading5"/>
        <w:rPr>
          <w:snapToGrid w:val="0"/>
        </w:rPr>
      </w:pPr>
      <w:bookmarkStart w:id="296" w:name="_Toc402969302"/>
      <w:bookmarkStart w:id="297" w:name="_Toc436058091"/>
      <w:bookmarkStart w:id="298" w:name="_Toc416703118"/>
      <w:r>
        <w:rPr>
          <w:rStyle w:val="CharSectno"/>
        </w:rPr>
        <w:t>44</w:t>
      </w:r>
      <w:r>
        <w:rPr>
          <w:snapToGrid w:val="0"/>
        </w:rPr>
        <w:t>.</w:t>
      </w:r>
      <w:r>
        <w:rPr>
          <w:snapToGrid w:val="0"/>
        </w:rPr>
        <w:tab/>
        <w:t>Claims, essential parts of</w:t>
      </w:r>
      <w:bookmarkEnd w:id="296"/>
      <w:bookmarkEnd w:id="297"/>
      <w:bookmarkEnd w:id="298"/>
    </w:p>
    <w:p>
      <w:pPr>
        <w:pStyle w:val="Subsection"/>
        <w:spacing w:before="140"/>
        <w:rPr>
          <w:snapToGrid w:val="0"/>
        </w:rPr>
      </w:pPr>
      <w:r>
        <w:rPr>
          <w:snapToGrid w:val="0"/>
        </w:rPr>
        <w:tab/>
        <w:t>(1)</w:t>
      </w:r>
      <w:r>
        <w:rPr>
          <w:snapToGrid w:val="0"/>
        </w:rPr>
        <w:tab/>
        <w:t>The essential parts of a claim shall be —</w:t>
      </w:r>
    </w:p>
    <w:p>
      <w:pPr>
        <w:pStyle w:val="Indenta"/>
        <w:spacing w:before="100"/>
        <w:rPr>
          <w:snapToGrid w:val="0"/>
        </w:rPr>
      </w:pPr>
      <w:r>
        <w:rPr>
          <w:snapToGrid w:val="0"/>
        </w:rPr>
        <w:tab/>
        <w:t>(a)</w:t>
      </w:r>
      <w:r>
        <w:rPr>
          <w:snapToGrid w:val="0"/>
        </w:rPr>
        <w:tab/>
        <w:t>the surname and christian or given names in full of the claimant; and</w:t>
      </w:r>
    </w:p>
    <w:p>
      <w:pPr>
        <w:pStyle w:val="Indenta"/>
        <w:spacing w:before="100"/>
        <w:rPr>
          <w:snapToGrid w:val="0"/>
        </w:rPr>
      </w:pPr>
      <w:r>
        <w:rPr>
          <w:snapToGrid w:val="0"/>
        </w:rPr>
        <w:tab/>
        <w:t>(b)</w:t>
      </w:r>
      <w:r>
        <w:rPr>
          <w:snapToGrid w:val="0"/>
        </w:rPr>
        <w:tab/>
        <w:t>the residence of the claimant; and</w:t>
      </w:r>
    </w:p>
    <w:p>
      <w:pPr>
        <w:pStyle w:val="Indenta"/>
        <w:spacing w:before="100"/>
        <w:rPr>
          <w:snapToGrid w:val="0"/>
        </w:rPr>
      </w:pPr>
      <w:r>
        <w:rPr>
          <w:snapToGrid w:val="0"/>
        </w:rPr>
        <w:tab/>
        <w:t>(c)</w:t>
      </w:r>
      <w:r>
        <w:rPr>
          <w:snapToGrid w:val="0"/>
        </w:rPr>
        <w:tab/>
        <w:t>the date of birth of the claimant; and</w:t>
      </w:r>
    </w:p>
    <w:p>
      <w:pPr>
        <w:pStyle w:val="Indenta"/>
        <w:spacing w:before="100"/>
        <w:rPr>
          <w:snapToGrid w:val="0"/>
        </w:rPr>
      </w:pPr>
      <w:r>
        <w:rPr>
          <w:snapToGrid w:val="0"/>
        </w:rPr>
        <w:tab/>
        <w:t>(d)</w:t>
      </w:r>
      <w:r>
        <w:rPr>
          <w:snapToGrid w:val="0"/>
        </w:rPr>
        <w:tab/>
        <w:t>the place of birth of the claimant; and</w:t>
      </w:r>
    </w:p>
    <w:p>
      <w:pPr>
        <w:pStyle w:val="Indenta"/>
        <w:spacing w:before="100"/>
        <w:rPr>
          <w:snapToGrid w:val="0"/>
        </w:rPr>
      </w:pPr>
      <w:r>
        <w:rPr>
          <w:snapToGrid w:val="0"/>
        </w:rPr>
        <w:tab/>
        <w:t>(e)</w:t>
      </w:r>
      <w:r>
        <w:rPr>
          <w:snapToGrid w:val="0"/>
        </w:rPr>
        <w:tab/>
        <w:t xml:space="preserve">the usual signature of the claimant in his own </w:t>
      </w:r>
      <w:r>
        <w:t>handwriting.</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w:t>
      </w:r>
    </w:p>
    <w:p>
      <w:pPr>
        <w:pStyle w:val="Indenta"/>
        <w:rPr>
          <w:snapToGrid w:val="0"/>
        </w:rPr>
      </w:pPr>
      <w:r>
        <w:rPr>
          <w:snapToGrid w:val="0"/>
        </w:rPr>
        <w:tab/>
        <w:t>(a)</w:t>
      </w:r>
      <w:r>
        <w:rPr>
          <w:snapToGrid w:val="0"/>
        </w:rPr>
        <w:tab/>
        <w:t>the claim contains a statement to that effect; and</w:t>
      </w:r>
    </w:p>
    <w:p>
      <w:pPr>
        <w:pStyle w:val="Indenta"/>
      </w:pPr>
      <w:r>
        <w:tab/>
        <w:t>(b)</w:t>
      </w:r>
      <w:r>
        <w:tab/>
        <w:t xml:space="preserve">a person who may attest as to the claimant’s identity under the </w:t>
      </w:r>
      <w:r>
        <w:rPr>
          <w:i/>
        </w:rPr>
        <w:t xml:space="preserve">Commonwealth Electoral Act 1918 </w:t>
      </w:r>
      <w:r>
        <w:t>section 98AA(2)(c), as read with section 42(1)(ca), certifies in writing that he or she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[Section 44 amended by No. 44 of 1911 s. 14 and 43; No. 63 of 1948 s. 7; No. 33 of 1964 s. 16; No. 68 of 1964 s. 8; No. 33 of 1967 s. 6; No. 94 of 1970 s. 4; No. 39 of 1979 s. 9; No. 31 of 1982 s. 4; No. 9 of 1983 s. 9; No. 79 of 1987 s. 9; No. 14 of 1996 s. 4; No. 36 of 2000 s. 28(2); No. 35 of 2012 s. 10.]</w:t>
      </w:r>
    </w:p>
    <w:p>
      <w:pPr>
        <w:pStyle w:val="Heading5"/>
        <w:rPr>
          <w:snapToGrid w:val="0"/>
        </w:rPr>
      </w:pPr>
      <w:bookmarkStart w:id="299" w:name="_Toc402969303"/>
      <w:bookmarkStart w:id="300" w:name="_Toc436058092"/>
      <w:bookmarkStart w:id="301" w:name="_Toc416703119"/>
      <w:r>
        <w:rPr>
          <w:rStyle w:val="CharSectno"/>
        </w:rPr>
        <w:t>44A</w:t>
      </w:r>
      <w:r>
        <w:rPr>
          <w:snapToGrid w:val="0"/>
        </w:rPr>
        <w:t xml:space="preserve">. </w:t>
      </w:r>
      <w:r>
        <w:rPr>
          <w:snapToGrid w:val="0"/>
        </w:rPr>
        <w:tab/>
        <w:t>Enrolment of claimants and rejection of claims</w:t>
      </w:r>
      <w:bookmarkEnd w:id="299"/>
      <w:bookmarkEnd w:id="300"/>
      <w:bookmarkEnd w:id="301"/>
    </w:p>
    <w:p>
      <w:pPr>
        <w:pStyle w:val="Subsection"/>
        <w:rPr>
          <w:snapToGrid w:val="0"/>
        </w:rPr>
      </w:pPr>
      <w:r>
        <w:rPr>
          <w:snapToGrid w:val="0"/>
        </w:rPr>
        <w:tab/>
        <w:t>(1)</w:t>
      </w:r>
      <w:r>
        <w:rPr>
          <w:snapToGrid w:val="0"/>
        </w:rPr>
        <w:tab/>
        <w:t xml:space="preserve">A claim is in order for the purposes of this section if it complies with sections 42(1)(b) </w:t>
      </w:r>
      <w:r>
        <w:t>and (ca)</w:t>
      </w:r>
      <w:r>
        <w:rPr>
          <w:snapToGrid w:val="0"/>
        </w:rPr>
        <w:t xml:space="preserve"> and 44.</w:t>
      </w:r>
    </w:p>
    <w:p>
      <w:pPr>
        <w:pStyle w:val="Subsection"/>
        <w:keepNext/>
        <w:keepLines/>
        <w:rPr>
          <w:snapToGrid w:val="0"/>
        </w:rPr>
      </w:pPr>
      <w:r>
        <w:rPr>
          <w:snapToGrid w:val="0"/>
        </w:rPr>
        <w:tab/>
        <w:t>(2)</w:t>
      </w:r>
      <w:r>
        <w:rPr>
          <w:snapToGrid w:val="0"/>
        </w:rPr>
        <w:tab/>
        <w:t>If a claim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spacing w:before="180"/>
        <w:rPr>
          <w:snapToGrid w:val="0"/>
        </w:rPr>
      </w:pPr>
      <w:r>
        <w:rPr>
          <w:snapToGrid w:val="0"/>
        </w:rPr>
        <w:tab/>
        <w:t>(3)</w:t>
      </w:r>
      <w:r>
        <w:rPr>
          <w:snapToGrid w:val="0"/>
        </w:rPr>
        <w:tab/>
        <w:t xml:space="preserve">If a claim is not in order the </w:t>
      </w:r>
      <w:r>
        <w:t>enrolment officer</w:t>
      </w:r>
      <w:r>
        <w:rPr>
          <w:snapToGrid w:val="0"/>
        </w:rPr>
        <w:t xml:space="preserve"> shall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spacing w:before="180"/>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spacing w:before="180"/>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[Section 44A inserted by No. 9 of 1983 s. 10; amended by No. 36 of 2000 s. 28(1) and (2); No. 35 of 2012 s. 11.]</w:t>
      </w:r>
    </w:p>
    <w:p>
      <w:pPr>
        <w:pStyle w:val="Heading5"/>
        <w:spacing w:before="260"/>
        <w:rPr>
          <w:snapToGrid w:val="0"/>
        </w:rPr>
      </w:pPr>
      <w:bookmarkStart w:id="302" w:name="_Toc402969304"/>
      <w:bookmarkStart w:id="303" w:name="_Toc436058093"/>
      <w:bookmarkStart w:id="304" w:name="_Toc416703120"/>
      <w:r>
        <w:rPr>
          <w:rStyle w:val="CharSectno"/>
        </w:rPr>
        <w:t>45</w:t>
      </w:r>
      <w:r>
        <w:rPr>
          <w:snapToGrid w:val="0"/>
        </w:rPr>
        <w:t>.</w:t>
      </w:r>
      <w:r>
        <w:rPr>
          <w:snapToGrid w:val="0"/>
        </w:rPr>
        <w:tab/>
        <w:t>Compulsory enrolment, offences as to etc.</w:t>
      </w:r>
      <w:bookmarkEnd w:id="302"/>
      <w:bookmarkEnd w:id="303"/>
      <w:bookmarkEnd w:id="304"/>
    </w:p>
    <w:p>
      <w:pPr>
        <w:pStyle w:val="Subsection"/>
        <w:spacing w:before="180"/>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spacing w:before="180"/>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spacing w:before="180"/>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spacing w:before="180"/>
      </w:pPr>
      <w:r>
        <w:rPr>
          <w:snapToGrid w:val="0"/>
        </w:rPr>
        <w:tab/>
      </w:r>
      <w:r>
        <w:t>(4)</w:t>
      </w:r>
      <w:r>
        <w:tab/>
        <w:t>The Electoral Commissioner or the enrolment officer shall issue a receipt to an elector for each claim received from the elector.</w:t>
      </w:r>
    </w:p>
    <w:p>
      <w:pPr>
        <w:pStyle w:val="Subsection"/>
        <w:spacing w:before="180"/>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keepNext/>
        <w:keepLines/>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[Section 45 inserted by No. 59 of 1919 s. 3; amended by No. 58 of 1951 s. 4; No. 51 of 1962 s. 4; No. 33 of 1967 s. 7; No. 28 of 1970 s. 6; No. 70 of 1973 s. 4; No. 39 of 1979 s. 5; No. 66 of 1983 s. 4; No. 76 of 1984 s. 8; No. 40 of 1987 s. 84; No. 79 of 1987 s. 10 and 77; No. 36 of 2000 s. 28(1).]</w:t>
      </w:r>
    </w:p>
    <w:p>
      <w:pPr>
        <w:pStyle w:val="Heading5"/>
        <w:rPr>
          <w:snapToGrid w:val="0"/>
        </w:rPr>
      </w:pPr>
      <w:bookmarkStart w:id="305" w:name="_Toc402969305"/>
      <w:bookmarkStart w:id="306" w:name="_Toc436058094"/>
      <w:bookmarkStart w:id="307" w:name="_Toc416703121"/>
      <w:r>
        <w:rPr>
          <w:rStyle w:val="CharSectno"/>
        </w:rPr>
        <w:t>46</w:t>
      </w:r>
      <w:r>
        <w:rPr>
          <w:snapToGrid w:val="0"/>
        </w:rPr>
        <w:t>.</w:t>
      </w:r>
      <w:r>
        <w:rPr>
          <w:snapToGrid w:val="0"/>
        </w:rPr>
        <w:tab/>
        <w:t>Qualification of claimant considered insufficient or incorrect, enrolment officer’s functions as to</w:t>
      </w:r>
      <w:bookmarkEnd w:id="305"/>
      <w:bookmarkEnd w:id="306"/>
      <w:bookmarkEnd w:id="307"/>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[Section 46 inserted by No. 9 of 1983 s. 11; amended by No. 36 of 2000 s. 28(2) and 29.]</w:t>
      </w:r>
    </w:p>
    <w:p>
      <w:pPr>
        <w:pStyle w:val="Heading3"/>
      </w:pPr>
      <w:bookmarkStart w:id="308" w:name="_Toc402969306"/>
      <w:bookmarkStart w:id="309" w:name="_Toc416702738"/>
      <w:bookmarkStart w:id="310" w:name="_Toc416703122"/>
      <w:bookmarkStart w:id="311" w:name="_Toc435714374"/>
      <w:bookmarkStart w:id="312" w:name="_Toc436057489"/>
      <w:bookmarkStart w:id="313" w:name="_Toc436057877"/>
      <w:bookmarkStart w:id="314" w:name="_Toc436058262"/>
      <w:bookmarkStart w:id="315" w:name="_Toc436058095"/>
      <w:r>
        <w:rPr>
          <w:rStyle w:val="CharDivNo"/>
        </w:rPr>
        <w:t>Division (4)</w:t>
      </w:r>
      <w:r>
        <w:rPr>
          <w:snapToGrid w:val="0"/>
        </w:rPr>
        <w:t> — </w:t>
      </w:r>
      <w:r>
        <w:rPr>
          <w:rStyle w:val="CharDivText"/>
        </w:rPr>
        <w:t>Objections</w:t>
      </w:r>
      <w:bookmarkEnd w:id="308"/>
      <w:bookmarkEnd w:id="309"/>
      <w:bookmarkEnd w:id="310"/>
      <w:bookmarkEnd w:id="311"/>
      <w:bookmarkEnd w:id="312"/>
      <w:bookmarkEnd w:id="313"/>
      <w:bookmarkEnd w:id="314"/>
      <w:bookmarkEnd w:id="315"/>
    </w:p>
    <w:p>
      <w:pPr>
        <w:pStyle w:val="Heading4"/>
        <w:rPr>
          <w:i/>
          <w:snapToGrid w:val="0"/>
        </w:rPr>
      </w:pPr>
      <w:bookmarkStart w:id="316" w:name="_Toc402969307"/>
      <w:bookmarkStart w:id="317" w:name="_Toc416702739"/>
      <w:bookmarkStart w:id="318" w:name="_Toc416703123"/>
      <w:bookmarkStart w:id="319" w:name="_Toc435714375"/>
      <w:bookmarkStart w:id="320" w:name="_Toc436057490"/>
      <w:bookmarkStart w:id="321" w:name="_Toc436057878"/>
      <w:bookmarkStart w:id="322" w:name="_Toc436058263"/>
      <w:bookmarkStart w:id="323" w:name="_Toc436058096"/>
      <w:r>
        <w:rPr>
          <w:i/>
          <w:snapToGrid w:val="0"/>
        </w:rPr>
        <w:t>(i) To claims</w:t>
      </w:r>
      <w:bookmarkEnd w:id="316"/>
      <w:bookmarkEnd w:id="317"/>
      <w:bookmarkEnd w:id="318"/>
      <w:bookmarkEnd w:id="319"/>
      <w:bookmarkEnd w:id="320"/>
      <w:bookmarkEnd w:id="321"/>
      <w:bookmarkEnd w:id="322"/>
      <w:bookmarkEnd w:id="323"/>
    </w:p>
    <w:p>
      <w:pPr>
        <w:pStyle w:val="Heading5"/>
        <w:rPr>
          <w:snapToGrid w:val="0"/>
        </w:rPr>
      </w:pPr>
      <w:bookmarkStart w:id="324" w:name="_Toc402969308"/>
      <w:bookmarkStart w:id="325" w:name="_Toc436058097"/>
      <w:bookmarkStart w:id="326" w:name="_Toc416703124"/>
      <w:r>
        <w:rPr>
          <w:rStyle w:val="CharSectno"/>
        </w:rPr>
        <w:t>47</w:t>
      </w:r>
      <w:r>
        <w:rPr>
          <w:snapToGrid w:val="0"/>
        </w:rPr>
        <w:t>.</w:t>
      </w:r>
      <w:r>
        <w:rPr>
          <w:snapToGrid w:val="0"/>
        </w:rPr>
        <w:tab/>
        <w:t>Objections to claims</w:t>
      </w:r>
      <w:bookmarkEnd w:id="324"/>
      <w:bookmarkEnd w:id="325"/>
      <w:bookmarkEnd w:id="326"/>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deleted]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[Section 47 amended by No. 44 of 1911 s. 43; No. 63 of 1948 s. 8; No. 68 of 1964 s. 9; No. 113 of 1965 s. 8; No. 9 of 1983 s. 12; No. 54 of 1983 s. 6; No. 40 of 1987 s. 31 and 84; No. 79 of 1987 s. 11; No. 36 of 2000 s. 28(2).]</w:t>
      </w:r>
    </w:p>
    <w:p>
      <w:pPr>
        <w:pStyle w:val="Heading4"/>
        <w:rPr>
          <w:i/>
          <w:snapToGrid w:val="0"/>
        </w:rPr>
      </w:pPr>
      <w:bookmarkStart w:id="327" w:name="_Toc402969309"/>
      <w:bookmarkStart w:id="328" w:name="_Toc416702741"/>
      <w:bookmarkStart w:id="329" w:name="_Toc416703125"/>
      <w:bookmarkStart w:id="330" w:name="_Toc435714377"/>
      <w:bookmarkStart w:id="331" w:name="_Toc436057492"/>
      <w:bookmarkStart w:id="332" w:name="_Toc436057880"/>
      <w:bookmarkStart w:id="333" w:name="_Toc436058265"/>
      <w:bookmarkStart w:id="334" w:name="_Toc436058098"/>
      <w:r>
        <w:rPr>
          <w:i/>
          <w:snapToGrid w:val="0"/>
        </w:rPr>
        <w:t>(ii) To enrolment</w:t>
      </w:r>
      <w:bookmarkEnd w:id="327"/>
      <w:bookmarkEnd w:id="328"/>
      <w:bookmarkEnd w:id="329"/>
      <w:bookmarkEnd w:id="330"/>
      <w:bookmarkEnd w:id="331"/>
      <w:bookmarkEnd w:id="332"/>
      <w:bookmarkEnd w:id="333"/>
      <w:bookmarkEnd w:id="334"/>
    </w:p>
    <w:p>
      <w:pPr>
        <w:pStyle w:val="Heading5"/>
        <w:rPr>
          <w:snapToGrid w:val="0"/>
        </w:rPr>
      </w:pPr>
      <w:bookmarkStart w:id="335" w:name="_Toc402969310"/>
      <w:bookmarkStart w:id="336" w:name="_Toc436058100"/>
      <w:bookmarkStart w:id="337" w:name="_Toc416703126"/>
      <w:r>
        <w:rPr>
          <w:rStyle w:val="CharSectno"/>
        </w:rPr>
        <w:t>48</w:t>
      </w:r>
      <w:r>
        <w:rPr>
          <w:snapToGrid w:val="0"/>
        </w:rPr>
        <w:t>.</w:t>
      </w:r>
      <w:r>
        <w:rPr>
          <w:snapToGrid w:val="0"/>
        </w:rPr>
        <w:tab/>
        <w:t>Objections to enrolment</w:t>
      </w:r>
      <w:bookmarkEnd w:id="335"/>
      <w:bookmarkEnd w:id="336"/>
      <w:bookmarkEnd w:id="337"/>
    </w:p>
    <w:p>
      <w:pPr>
        <w:pStyle w:val="Subsection"/>
        <w:rPr>
          <w:snapToGrid w:val="0"/>
        </w:rPr>
      </w:pPr>
      <w:r>
        <w:rPr>
          <w:snapToGrid w:val="0"/>
        </w:rPr>
        <w:tab/>
        <w:t>(1)</w:t>
      </w:r>
      <w:r>
        <w:rPr>
          <w:snapToGrid w:val="0"/>
        </w:rPr>
        <w:tab/>
        <w:t>Any name on the roll may be objected to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[Section 48 amended by No. 44 of 1911 s. 43; No. 63 of 1948 s. 9; No. 33 of 1964 s. 17; No. 68 of 1964 s. 10; No. 113 of 1965 s. 8; No. 54 of 1983 s. 7; No. 40 of 1987 s. 32 and 84; No. 79 of 1987 s. 12; No. 36 of 2000 s. 28(1), (2) and (3); No. 64 of 2006 s. 24.]</w:t>
      </w:r>
    </w:p>
    <w:p>
      <w:pPr>
        <w:pStyle w:val="Heading4"/>
        <w:keepLines/>
        <w:rPr>
          <w:i/>
          <w:snapToGrid w:val="0"/>
        </w:rPr>
      </w:pPr>
      <w:bookmarkStart w:id="338" w:name="_Toc402969311"/>
      <w:bookmarkStart w:id="339" w:name="_Toc416702743"/>
      <w:bookmarkStart w:id="340" w:name="_Toc416703127"/>
      <w:bookmarkStart w:id="341" w:name="_Toc435714379"/>
      <w:bookmarkStart w:id="342" w:name="_Toc436057494"/>
      <w:bookmarkStart w:id="343" w:name="_Toc436057882"/>
      <w:bookmarkStart w:id="344" w:name="_Toc436058267"/>
      <w:bookmarkStart w:id="345" w:name="_Toc436058101"/>
      <w:r>
        <w:rPr>
          <w:i/>
          <w:snapToGrid w:val="0"/>
        </w:rPr>
        <w:t>(iii) Powers of Electoral Commissioner on appeal</w:t>
      </w:r>
      <w:bookmarkEnd w:id="338"/>
      <w:bookmarkEnd w:id="339"/>
      <w:bookmarkEnd w:id="340"/>
      <w:bookmarkEnd w:id="341"/>
      <w:bookmarkEnd w:id="342"/>
      <w:bookmarkEnd w:id="343"/>
      <w:bookmarkEnd w:id="344"/>
      <w:bookmarkEnd w:id="345"/>
    </w:p>
    <w:p>
      <w:pPr>
        <w:pStyle w:val="Footnoteheading"/>
        <w:keepNext/>
        <w:keepLines/>
        <w:rPr>
          <w:snapToGrid w:val="0"/>
        </w:rPr>
      </w:pPr>
      <w:r>
        <w:rPr>
          <w:snapToGrid w:val="0"/>
        </w:rPr>
        <w:tab/>
        <w:t>[Heading amended by No. 40 of 1987 s. 33.]</w:t>
      </w:r>
    </w:p>
    <w:p>
      <w:pPr>
        <w:pStyle w:val="Heading5"/>
        <w:spacing w:before="180"/>
        <w:rPr>
          <w:snapToGrid w:val="0"/>
        </w:rPr>
      </w:pPr>
      <w:bookmarkStart w:id="346" w:name="_Toc402969312"/>
      <w:bookmarkStart w:id="347" w:name="_Toc436058102"/>
      <w:bookmarkStart w:id="348" w:name="_Toc416703128"/>
      <w:r>
        <w:rPr>
          <w:rStyle w:val="CharSectno"/>
        </w:rPr>
        <w:t>49</w:t>
      </w:r>
      <w:r>
        <w:rPr>
          <w:snapToGrid w:val="0"/>
        </w:rPr>
        <w:t>.</w:t>
      </w:r>
      <w:r>
        <w:rPr>
          <w:snapToGrid w:val="0"/>
        </w:rPr>
        <w:tab/>
        <w:t>Electoral Commissioner’s powers</w:t>
      </w:r>
      <w:bookmarkEnd w:id="346"/>
      <w:bookmarkEnd w:id="347"/>
      <w:bookmarkEnd w:id="348"/>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[Section 49 amended by No. 40 of 1987 s. 34; No. 36 of 2000 s. 28(3); No. 59 of 2004 s. 141.]</w:t>
      </w:r>
    </w:p>
    <w:p>
      <w:pPr>
        <w:pStyle w:val="Heading3"/>
        <w:rPr>
          <w:snapToGrid w:val="0"/>
        </w:rPr>
      </w:pPr>
      <w:bookmarkStart w:id="349" w:name="_Toc402969313"/>
      <w:bookmarkStart w:id="350" w:name="_Toc416702745"/>
      <w:bookmarkStart w:id="351" w:name="_Toc416703129"/>
      <w:bookmarkStart w:id="352" w:name="_Toc435714381"/>
      <w:bookmarkStart w:id="353" w:name="_Toc436057496"/>
      <w:bookmarkStart w:id="354" w:name="_Toc436057884"/>
      <w:bookmarkStart w:id="355" w:name="_Toc436058269"/>
      <w:bookmarkStart w:id="356" w:name="_Toc436058103"/>
      <w:r>
        <w:rPr>
          <w:rStyle w:val="CharDivNo"/>
        </w:rPr>
        <w:t>Division (5)</w:t>
      </w:r>
      <w:r>
        <w:rPr>
          <w:snapToGrid w:val="0"/>
        </w:rPr>
        <w:t> — </w:t>
      </w:r>
      <w:r>
        <w:rPr>
          <w:rStyle w:val="CharDivText"/>
        </w:rPr>
        <w:t>Miscellaneous</w:t>
      </w:r>
      <w:bookmarkEnd w:id="349"/>
      <w:bookmarkEnd w:id="350"/>
      <w:bookmarkEnd w:id="351"/>
      <w:bookmarkEnd w:id="352"/>
      <w:bookmarkEnd w:id="353"/>
      <w:bookmarkEnd w:id="354"/>
      <w:bookmarkEnd w:id="355"/>
      <w:bookmarkEnd w:id="356"/>
    </w:p>
    <w:p>
      <w:pPr>
        <w:pStyle w:val="Ednotesection"/>
        <w:ind w:left="890" w:hanging="890"/>
      </w:pPr>
      <w:r>
        <w:t>[</w:t>
      </w:r>
      <w:r>
        <w:rPr>
          <w:b/>
        </w:rPr>
        <w:t>50.</w:t>
      </w:r>
      <w:r>
        <w:tab/>
        <w:t>Deleted by No. 33 of 1964 s. 18.]</w:t>
      </w:r>
    </w:p>
    <w:p>
      <w:pPr>
        <w:pStyle w:val="Heading5"/>
        <w:rPr>
          <w:snapToGrid w:val="0"/>
        </w:rPr>
      </w:pPr>
      <w:bookmarkStart w:id="357" w:name="_Toc402969314"/>
      <w:bookmarkStart w:id="358" w:name="_Toc436058104"/>
      <w:bookmarkStart w:id="359" w:name="_Toc416703130"/>
      <w:r>
        <w:rPr>
          <w:rStyle w:val="CharSectno"/>
        </w:rPr>
        <w:t>51</w:t>
      </w:r>
      <w:r>
        <w:rPr>
          <w:snapToGrid w:val="0"/>
        </w:rPr>
        <w:t>.</w:t>
      </w:r>
      <w:r>
        <w:rPr>
          <w:snapToGrid w:val="0"/>
        </w:rPr>
        <w:tab/>
        <w:t>Names repeated on roll, removal of; adjusting rolls</w:t>
      </w:r>
      <w:bookmarkEnd w:id="357"/>
      <w:bookmarkEnd w:id="358"/>
      <w:bookmarkEnd w:id="359"/>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[Section 51 amended by No. 44 of 1911 s. 17; No. 63 of 1948 s. 10; No. 33 of 1964 s. 19; No. 40 of 1987 s. 35 and 84; No. 36 of 2000 s. 28(1); No. 1 of 2005 s. 6.]</w:t>
      </w:r>
    </w:p>
    <w:p>
      <w:pPr>
        <w:pStyle w:val="Heading5"/>
        <w:rPr>
          <w:snapToGrid w:val="0"/>
        </w:rPr>
      </w:pPr>
      <w:bookmarkStart w:id="360" w:name="_Toc402969315"/>
      <w:bookmarkStart w:id="361" w:name="_Toc436058105"/>
      <w:bookmarkStart w:id="362" w:name="_Toc416703131"/>
      <w:r>
        <w:rPr>
          <w:rStyle w:val="CharSectno"/>
        </w:rPr>
        <w:t>51A</w:t>
      </w:r>
      <w:r>
        <w:rPr>
          <w:snapToGrid w:val="0"/>
        </w:rPr>
        <w:t>.</w:t>
      </w:r>
      <w:r>
        <w:rPr>
          <w:snapToGrid w:val="0"/>
        </w:rPr>
        <w:tab/>
        <w:t>Incapacitated elector, removal of name of from roll etc.</w:t>
      </w:r>
      <w:bookmarkEnd w:id="360"/>
      <w:bookmarkEnd w:id="361"/>
      <w:bookmarkEnd w:id="362"/>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spacing w:before="180"/>
        <w:rPr>
          <w:snapToGrid w:val="0"/>
        </w:rPr>
      </w:pPr>
      <w:r>
        <w:rPr>
          <w:snapToGrid w:val="0"/>
        </w:rPr>
        <w:tab/>
        <w:t>(2)</w:t>
      </w:r>
      <w:r>
        <w:rPr>
          <w:snapToGrid w:val="0"/>
        </w:rPr>
        <w:tab/>
        <w:t>The Electoral Commissioner shall not, under subsection (1), remove the name of the elector from the roll unless —</w:t>
      </w:r>
    </w:p>
    <w:p>
      <w:pPr>
        <w:pStyle w:val="Indenta"/>
        <w:rPr>
          <w:snapToGrid w:val="0"/>
        </w:rPr>
      </w:pPr>
      <w:r>
        <w:rPr>
          <w:snapToGrid w:val="0"/>
        </w:rPr>
        <w:tab/>
        <w:t>(a)</w:t>
      </w:r>
      <w:r>
        <w:rPr>
          <w:snapToGrid w:val="0"/>
        </w:rPr>
        <w:tab/>
        <w:t>he has, by notice in writing served on the elector, given notice of his intention so to remove the name of the elector; and</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spacing w:before="180"/>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rPr>
          <w:ins w:id="363" w:author="svcMRProcess" w:date="2020-02-15T11:58:00Z"/>
        </w:rPr>
      </w:pPr>
      <w:ins w:id="364" w:author="svcMRProcess" w:date="2020-02-15T11:58:00Z">
        <w:r>
          <w:tab/>
          <w:t>(4A)</w:t>
        </w:r>
        <w:r>
          <w:tab/>
          <w:t xml:space="preserve">A person’s name is taken to have been removed from a roll pursuant to this section if, immediately before the day on which the </w:t>
        </w:r>
        <w:r>
          <w:rPr>
            <w:i/>
          </w:rPr>
          <w:t>Mental Health Legislation Amendment Act 2014</w:t>
        </w:r>
        <w:r>
          <w:t xml:space="preserve"> Part 4 Division 4 Subdivision 11 commences, the person’s name did not appear on the roll because it had been removed from the roll under section 51AA(1a) of this Act as in force before that day.</w:t>
        </w:r>
      </w:ins>
    </w:p>
    <w:p>
      <w:pPr>
        <w:pStyle w:val="Subsection"/>
        <w:spacing w:before="180"/>
        <w:rPr>
          <w:del w:id="365" w:author="svcMRProcess" w:date="2020-02-15T11:58:00Z"/>
        </w:rPr>
      </w:pPr>
      <w:r>
        <w:tab/>
        <w:t>(4)</w:t>
      </w:r>
      <w:r>
        <w:tab/>
        <w:t>The power of removal conferred on the Electoral Commissioner by subsection (1) does not extend to</w:t>
      </w:r>
      <w:del w:id="366" w:author="svcMRProcess" w:date="2020-02-15T11:58:00Z">
        <w:r>
          <w:delText> —</w:delText>
        </w:r>
      </w:del>
    </w:p>
    <w:p>
      <w:pPr>
        <w:pStyle w:val="Subsection"/>
      </w:pPr>
      <w:del w:id="367" w:author="svcMRProcess" w:date="2020-02-15T11:58:00Z">
        <w:r>
          <w:tab/>
          <w:delText>(a)</w:delText>
        </w:r>
        <w:r>
          <w:tab/>
        </w:r>
      </w:del>
      <w:ins w:id="368" w:author="svcMRProcess" w:date="2020-02-15T11:58:00Z">
        <w:r>
          <w:t xml:space="preserve"> </w:t>
        </w:r>
      </w:ins>
      <w:r>
        <w:t xml:space="preserve">a person in respect of whom a guardianship or administration order is in force under the </w:t>
      </w:r>
      <w:r>
        <w:rPr>
          <w:i/>
        </w:rPr>
        <w:t>Guardianship and Administration Act 1990</w:t>
      </w:r>
      <w:del w:id="369" w:author="svcMRProcess" w:date="2020-02-15T11:58:00Z">
        <w:r>
          <w:delText>; or</w:delText>
        </w:r>
      </w:del>
      <w:ins w:id="370" w:author="svcMRProcess" w:date="2020-02-15T11:58:00Z">
        <w:r>
          <w:t>.</w:t>
        </w:r>
      </w:ins>
    </w:p>
    <w:p>
      <w:pPr>
        <w:pStyle w:val="Indenta"/>
        <w:keepNext/>
        <w:rPr>
          <w:del w:id="371" w:author="svcMRProcess" w:date="2020-02-15T11:58:00Z"/>
        </w:rPr>
      </w:pPr>
      <w:del w:id="372" w:author="svcMRProcess" w:date="2020-02-15T11:58:00Z">
        <w:r>
          <w:tab/>
          <w:delText>(b)</w:delText>
        </w:r>
        <w:r>
          <w:tab/>
          <w:delText xml:space="preserve">a person in respect of whom an order of the kind referred to in section 201(1) of the </w:delText>
        </w:r>
        <w:r>
          <w:rPr>
            <w:i/>
          </w:rPr>
          <w:delText>Mental Health Act 1996</w:delText>
        </w:r>
        <w:r>
          <w:delText xml:space="preserve"> is in force.</w:delText>
        </w:r>
      </w:del>
    </w:p>
    <w:p>
      <w:pPr>
        <w:pStyle w:val="Footnotesection"/>
        <w:ind w:left="890" w:hanging="890"/>
      </w:pPr>
      <w:r>
        <w:tab/>
        <w:t>[Section 51A inserted by No. 33 of 1967 s. 8; amended by No. 40 of 1987 s. 84; No. 24 of 1990 s. 123; No. 69 of 1996 s. </w:t>
      </w:r>
      <w:del w:id="373" w:author="svcMRProcess" w:date="2020-02-15T11:58:00Z">
        <w:r>
          <w:delText>25</w:delText>
        </w:r>
      </w:del>
      <w:ins w:id="374" w:author="svcMRProcess" w:date="2020-02-15T11:58:00Z">
        <w:r>
          <w:t>25; No. 25 of 2014 s. 59</w:t>
        </w:r>
      </w:ins>
      <w:r>
        <w:t>.]</w:t>
      </w:r>
    </w:p>
    <w:p>
      <w:pPr>
        <w:pStyle w:val="Heading5"/>
        <w:rPr>
          <w:snapToGrid w:val="0"/>
        </w:rPr>
      </w:pPr>
      <w:bookmarkStart w:id="375" w:name="_Toc402969316"/>
      <w:bookmarkStart w:id="376" w:name="_Toc436058106"/>
      <w:bookmarkStart w:id="377" w:name="_Toc416703132"/>
      <w:r>
        <w:rPr>
          <w:rStyle w:val="CharSectno"/>
        </w:rPr>
        <w:t>51AA</w:t>
      </w:r>
      <w:r>
        <w:rPr>
          <w:snapToGrid w:val="0"/>
        </w:rPr>
        <w:t>.</w:t>
      </w:r>
      <w:r>
        <w:rPr>
          <w:snapToGrid w:val="0"/>
        </w:rPr>
        <w:tab/>
        <w:t>Removal of name following declaration by SAT etc.</w:t>
      </w:r>
      <w:bookmarkEnd w:id="375"/>
      <w:bookmarkEnd w:id="376"/>
      <w:bookmarkEnd w:id="377"/>
    </w:p>
    <w:p>
      <w:pPr>
        <w:pStyle w:val="Subsection"/>
        <w:spacing w:before="120"/>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spacing w:before="120"/>
        <w:rPr>
          <w:del w:id="378" w:author="svcMRProcess" w:date="2020-02-15T11:58:00Z"/>
        </w:rPr>
      </w:pPr>
      <w:del w:id="379" w:author="svcMRProcess" w:date="2020-02-15T11:58:00Z">
        <w:r>
          <w:tab/>
          <w:delText>(1a)</w:delText>
        </w:r>
        <w:r>
          <w:tab/>
          <w:delText xml:space="preserve">On receipt under section 202 of the </w:delText>
        </w:r>
        <w:r>
          <w:rPr>
            <w:i/>
          </w:rPr>
          <w:delText>Mental Health Act 1996</w:delText>
        </w:r>
        <w:r>
          <w:delText xml:space="preserve"> of notice of a determination under section 201 of that Act in respect of an </w:delText>
        </w:r>
        <w:r>
          <w:rPr>
            <w:snapToGrid w:val="0"/>
          </w:rPr>
          <w:delText>elector</w:delText>
        </w:r>
        <w:r>
          <w:delText>, the Electoral Commissioner shall remove the name of that elector from the roll.</w:delText>
        </w:r>
      </w:del>
    </w:p>
    <w:p>
      <w:pPr>
        <w:pStyle w:val="Subsection"/>
        <w:spacing w:before="120"/>
        <w:rPr>
          <w:snapToGrid w:val="0"/>
        </w:rPr>
      </w:pPr>
      <w:r>
        <w:rPr>
          <w:snapToGrid w:val="0"/>
        </w:rPr>
        <w:tab/>
        <w:t>(2)</w:t>
      </w:r>
      <w:r>
        <w:rPr>
          <w:snapToGrid w:val="0"/>
        </w:rPr>
        <w:tab/>
        <w:t xml:space="preserve">A person whose name has been removed from a roll pursuant to this section may claim in the manner prescribed in section 42 to have his name entered upon any roll for which he possesses the necessary qualification, but may not do so while a declaration referred to in </w:t>
      </w:r>
      <w:r>
        <w:t>subsection (1</w:t>
      </w:r>
      <w:del w:id="380" w:author="svcMRProcess" w:date="2020-02-15T11:58:00Z">
        <w:r>
          <w:rPr>
            <w:snapToGrid w:val="0"/>
          </w:rPr>
          <w:delText>)</w:delText>
        </w:r>
        <w:r>
          <w:delText>, or a determination referred to in subsection (1a),</w:delText>
        </w:r>
      </w:del>
      <w:ins w:id="381" w:author="svcMRProcess" w:date="2020-02-15T11:58:00Z">
        <w:r>
          <w:t>)</w:t>
        </w:r>
      </w:ins>
      <w:r>
        <w:t xml:space="preserve"> </w:t>
      </w:r>
      <w:r>
        <w:rPr>
          <w:snapToGrid w:val="0"/>
        </w:rPr>
        <w:t>is in force.</w:t>
      </w:r>
    </w:p>
    <w:p>
      <w:pPr>
        <w:pStyle w:val="Footnotesection"/>
        <w:ind w:left="890" w:hanging="890"/>
      </w:pPr>
      <w:r>
        <w:tab/>
        <w:t>[Section 51AA inserted by No. 24 of 1990 s. 123; amended by No. 69 of 1996 s. 26; No. 36 of 2000 s. 28(1); No. 55 of 2004 s. 468</w:t>
      </w:r>
      <w:ins w:id="382" w:author="svcMRProcess" w:date="2020-02-15T11:58:00Z">
        <w:r>
          <w:t>; No. 25 of 2014 s. 60</w:t>
        </w:r>
      </w:ins>
      <w:r>
        <w:t>.]</w:t>
      </w:r>
    </w:p>
    <w:p>
      <w:pPr>
        <w:pStyle w:val="Heading5"/>
        <w:rPr>
          <w:snapToGrid w:val="0"/>
        </w:rPr>
      </w:pPr>
      <w:bookmarkStart w:id="383" w:name="_Toc402969317"/>
      <w:bookmarkStart w:id="384" w:name="_Toc436058107"/>
      <w:bookmarkStart w:id="385" w:name="_Toc416703133"/>
      <w:r>
        <w:rPr>
          <w:rStyle w:val="CharSectno"/>
        </w:rPr>
        <w:t>51B</w:t>
      </w:r>
      <w:r>
        <w:rPr>
          <w:snapToGrid w:val="0"/>
        </w:rPr>
        <w:t xml:space="preserve">. </w:t>
      </w:r>
      <w:r>
        <w:rPr>
          <w:snapToGrid w:val="0"/>
        </w:rPr>
        <w:tab/>
        <w:t>Request for address not to be shown on roll</w:t>
      </w:r>
      <w:bookmarkEnd w:id="383"/>
      <w:bookmarkEnd w:id="384"/>
      <w:bookmarkEnd w:id="385"/>
    </w:p>
    <w:p>
      <w:pPr>
        <w:pStyle w:val="Subsection"/>
        <w:spacing w:before="120"/>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keepNext/>
        <w:spacing w:before="120"/>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residence of a person is included in the particulars relating to the person that are entered on a roll; and</w:t>
      </w:r>
    </w:p>
    <w:p>
      <w:pPr>
        <w:pStyle w:val="Indenta"/>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12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[Section 51B inserted by No. 76 of 1984 s. 9; amended by No. 40 of 1987 s. 84; No. 36 of 2000 s. 28(1) and (2).]</w:t>
      </w:r>
    </w:p>
    <w:p>
      <w:pPr>
        <w:pStyle w:val="Heading5"/>
        <w:rPr>
          <w:snapToGrid w:val="0"/>
        </w:rPr>
      </w:pPr>
      <w:bookmarkStart w:id="386" w:name="_Toc402969318"/>
      <w:bookmarkStart w:id="387" w:name="_Toc436058109"/>
      <w:bookmarkStart w:id="388" w:name="_Toc416703134"/>
      <w:r>
        <w:rPr>
          <w:rStyle w:val="CharSectno"/>
        </w:rPr>
        <w:t>52</w:t>
      </w:r>
      <w:r>
        <w:rPr>
          <w:snapToGrid w:val="0"/>
        </w:rPr>
        <w:t>.</w:t>
      </w:r>
      <w:r>
        <w:rPr>
          <w:snapToGrid w:val="0"/>
        </w:rPr>
        <w:tab/>
        <w:t>Alteration of rolls, Electoral Commissioner’s powers as to</w:t>
      </w:r>
      <w:bookmarkEnd w:id="386"/>
      <w:bookmarkEnd w:id="387"/>
      <w:bookmarkEnd w:id="388"/>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w:t>
      </w:r>
    </w:p>
    <w:p>
      <w:pPr>
        <w:pStyle w:val="Indenti"/>
        <w:spacing w:before="70"/>
        <w:rPr>
          <w:snapToGrid w:val="0"/>
        </w:rPr>
      </w:pPr>
      <w:r>
        <w:rPr>
          <w:snapToGrid w:val="0"/>
        </w:rPr>
        <w:tab/>
        <w:t>(i)</w:t>
      </w:r>
      <w:r>
        <w:rPr>
          <w:snapToGrid w:val="0"/>
        </w:rPr>
        <w:tab/>
        <w:t>the numbering or renumbering of a street or locality; or</w:t>
      </w:r>
    </w:p>
    <w:p>
      <w:pPr>
        <w:pStyle w:val="Indenti"/>
        <w:spacing w:before="70"/>
        <w:rPr>
          <w:snapToGrid w:val="0"/>
        </w:rPr>
      </w:pPr>
      <w:r>
        <w:rPr>
          <w:snapToGrid w:val="0"/>
        </w:rPr>
        <w:tab/>
        <w:t>(ii)</w:t>
      </w:r>
      <w:r>
        <w:rPr>
          <w:snapToGrid w:val="0"/>
        </w:rPr>
        <w:tab/>
        <w:t>the naming or renaming of a street or locality; or</w:t>
      </w:r>
    </w:p>
    <w:p>
      <w:pPr>
        <w:pStyle w:val="Indenti"/>
        <w:spacing w:before="70"/>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Ednotepara"/>
        <w:spacing w:before="80"/>
        <w:ind w:left="1610" w:hanging="1610"/>
        <w:rPr>
          <w:snapToGrid w:val="0"/>
        </w:rPr>
      </w:pPr>
      <w:r>
        <w:tab/>
        <w:t>[(d)</w:t>
      </w:r>
      <w:r>
        <w:tab/>
        <w:t>deleted]</w:t>
      </w:r>
    </w:p>
    <w:p>
      <w:pPr>
        <w:pStyle w:val="Indenta"/>
        <w:rPr>
          <w:snapToGrid w:val="0"/>
        </w:rPr>
      </w:pPr>
      <w:r>
        <w:rPr>
          <w:snapToGrid w:val="0"/>
        </w:rPr>
        <w:tab/>
        <w:t>(e)</w:t>
      </w:r>
      <w:r>
        <w:rPr>
          <w:snapToGrid w:val="0"/>
        </w:rPr>
        <w:tab/>
        <w:t>By removing the names of persons reported as being —</w:t>
      </w:r>
    </w:p>
    <w:p>
      <w:pPr>
        <w:pStyle w:val="Indenti"/>
        <w:spacing w:before="70"/>
        <w:rPr>
          <w:snapToGrid w:val="0"/>
        </w:rPr>
      </w:pPr>
      <w:r>
        <w:rPr>
          <w:snapToGrid w:val="0"/>
        </w:rPr>
        <w:tab/>
        <w:t>(i)</w:t>
      </w:r>
      <w:r>
        <w:rPr>
          <w:snapToGrid w:val="0"/>
        </w:rPr>
        <w:tab/>
        <w:t>dead;</w:t>
      </w:r>
    </w:p>
    <w:p>
      <w:pPr>
        <w:pStyle w:val="Indenti"/>
        <w:spacing w:before="70"/>
        <w:rPr>
          <w:snapToGrid w:val="0"/>
        </w:rPr>
      </w:pPr>
      <w:r>
        <w:rPr>
          <w:snapToGrid w:val="0"/>
        </w:rPr>
        <w:tab/>
        <w:t>(ii)</w:t>
      </w:r>
      <w:r>
        <w:rPr>
          <w:snapToGrid w:val="0"/>
        </w:rPr>
        <w:tab/>
        <w:t>disqualified by section 18;</w:t>
      </w:r>
    </w:p>
    <w:p>
      <w:pPr>
        <w:pStyle w:val="Indenti"/>
        <w:spacing w:before="70"/>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deleted]</w:t>
      </w:r>
    </w:p>
    <w:p>
      <w:pPr>
        <w:pStyle w:val="Footnotesection"/>
      </w:pPr>
      <w:r>
        <w:tab/>
        <w:t>[Section 52 amended by No. 44 of 1911 s. 18 and 43; No. 63 of 1948 s. 11; No. 68 of 1964 s. 11; No. 28 of 1970 s. 7; No. 39 of 1979 s. 10; No. 40 of 1987 s. 36 and 84; No. 79 of 1987 s. 13; No. 36 of 2000 s. 28(3); No. 35 of 2012 s. 30.]</w:t>
      </w:r>
    </w:p>
    <w:p>
      <w:pPr>
        <w:pStyle w:val="Heading5"/>
        <w:rPr>
          <w:snapToGrid w:val="0"/>
        </w:rPr>
      </w:pPr>
      <w:bookmarkStart w:id="389" w:name="_Toc402969319"/>
      <w:bookmarkStart w:id="390" w:name="_Toc436058110"/>
      <w:bookmarkStart w:id="391" w:name="_Toc416703135"/>
      <w:r>
        <w:rPr>
          <w:rStyle w:val="CharSectno"/>
        </w:rPr>
        <w:t>53</w:t>
      </w:r>
      <w:r>
        <w:rPr>
          <w:snapToGrid w:val="0"/>
        </w:rPr>
        <w:t>.</w:t>
      </w:r>
      <w:r>
        <w:rPr>
          <w:snapToGrid w:val="0"/>
        </w:rPr>
        <w:tab/>
        <w:t>Alteration to rolls, time for making</w:t>
      </w:r>
      <w:bookmarkEnd w:id="389"/>
      <w:bookmarkEnd w:id="390"/>
      <w:bookmarkEnd w:id="391"/>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 and</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[Section 53 inserted by No. 63 of 1948 s. 12; amended by No. 33 of 1964 s. 20; No. 9 of 1983 s. 13; No. 54 of 1983 s. 8; No. 40 of 1987 s. 84; No. 79 of 1987 s. 14.]</w:t>
      </w:r>
    </w:p>
    <w:p>
      <w:pPr>
        <w:pStyle w:val="Heading5"/>
        <w:rPr>
          <w:snapToGrid w:val="0"/>
        </w:rPr>
      </w:pPr>
      <w:bookmarkStart w:id="392" w:name="_Toc402969320"/>
      <w:bookmarkStart w:id="393" w:name="_Toc436058111"/>
      <w:bookmarkStart w:id="394" w:name="_Toc416703136"/>
      <w:r>
        <w:rPr>
          <w:rStyle w:val="CharSectno"/>
        </w:rPr>
        <w:t>54</w:t>
      </w:r>
      <w:r>
        <w:rPr>
          <w:snapToGrid w:val="0"/>
        </w:rPr>
        <w:t>.</w:t>
      </w:r>
      <w:r>
        <w:rPr>
          <w:snapToGrid w:val="0"/>
        </w:rPr>
        <w:tab/>
        <w:t>Alteration to roll, how to be made</w:t>
      </w:r>
      <w:bookmarkEnd w:id="392"/>
      <w:bookmarkEnd w:id="393"/>
      <w:bookmarkEnd w:id="394"/>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[Section 54 amended by No. 44 of 1911 s. 19; No. 36 of 2000 s. 28(1).]</w:t>
      </w:r>
    </w:p>
    <w:p>
      <w:pPr>
        <w:pStyle w:val="Heading5"/>
        <w:spacing w:before="260"/>
        <w:rPr>
          <w:snapToGrid w:val="0"/>
        </w:rPr>
      </w:pPr>
      <w:bookmarkStart w:id="395" w:name="_Toc402969321"/>
      <w:bookmarkStart w:id="396" w:name="_Toc436058112"/>
      <w:bookmarkStart w:id="397" w:name="_Toc416703137"/>
      <w:r>
        <w:rPr>
          <w:rStyle w:val="CharSectno"/>
        </w:rPr>
        <w:t>55</w:t>
      </w:r>
      <w:r>
        <w:rPr>
          <w:snapToGrid w:val="0"/>
        </w:rPr>
        <w:t>.</w:t>
      </w:r>
      <w:r>
        <w:rPr>
          <w:snapToGrid w:val="0"/>
        </w:rPr>
        <w:tab/>
        <w:t>Removing name from printed roll, manner of</w:t>
      </w:r>
      <w:bookmarkEnd w:id="395"/>
      <w:bookmarkEnd w:id="396"/>
      <w:bookmarkEnd w:id="397"/>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spacing w:before="260"/>
      </w:pPr>
      <w:bookmarkStart w:id="398" w:name="_Toc402969322"/>
      <w:bookmarkStart w:id="399" w:name="_Toc436058113"/>
      <w:bookmarkStart w:id="400" w:name="_Toc416703138"/>
      <w:r>
        <w:rPr>
          <w:rStyle w:val="CharSectno"/>
        </w:rPr>
        <w:t>56</w:t>
      </w:r>
      <w:r>
        <w:t>.</w:t>
      </w:r>
      <w:r>
        <w:tab/>
        <w:t>Deaths in State, Registrar of Births etc. to notify Electoral Commissioner of</w:t>
      </w:r>
      <w:bookmarkEnd w:id="398"/>
      <w:bookmarkEnd w:id="399"/>
      <w:bookmarkEnd w:id="400"/>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ind w:left="890" w:hanging="890"/>
      </w:pPr>
      <w:r>
        <w:tab/>
        <w:t>[Section 56 inserted by No. 40 of 1998 s. 11(b); amended by No. 36 of 2000 s. 82.]</w:t>
      </w:r>
    </w:p>
    <w:p>
      <w:pPr>
        <w:pStyle w:val="Ednotesection"/>
        <w:spacing w:before="260"/>
      </w:pPr>
      <w:r>
        <w:t>[</w:t>
      </w:r>
      <w:r>
        <w:rPr>
          <w:b/>
        </w:rPr>
        <w:t>57.</w:t>
      </w:r>
      <w:r>
        <w:tab/>
        <w:t>Deleted by No. 69 of 1996 s. 27.]</w:t>
      </w:r>
    </w:p>
    <w:p>
      <w:pPr>
        <w:pStyle w:val="Ednotesection"/>
        <w:spacing w:before="260"/>
        <w:ind w:left="890" w:hanging="890"/>
      </w:pPr>
      <w:r>
        <w:t>[</w:t>
      </w:r>
      <w:r>
        <w:rPr>
          <w:b/>
        </w:rPr>
        <w:t>58.</w:t>
      </w:r>
      <w:r>
        <w:tab/>
        <w:t>Deleted by No. 58 of 1951 s. 6.]</w:t>
      </w:r>
    </w:p>
    <w:p>
      <w:pPr>
        <w:pStyle w:val="Heading5"/>
      </w:pPr>
      <w:bookmarkStart w:id="401" w:name="_Toc402969323"/>
      <w:bookmarkStart w:id="402" w:name="_Toc436058114"/>
      <w:bookmarkStart w:id="403" w:name="_Toc416703139"/>
      <w:r>
        <w:rPr>
          <w:rStyle w:val="CharSectno"/>
        </w:rPr>
        <w:t>59</w:t>
      </w:r>
      <w:r>
        <w:t>.</w:t>
      </w:r>
      <w:r>
        <w:tab/>
        <w:t>Certain prisoners and detained persons, Electoral Commissioner to be informed about</w:t>
      </w:r>
      <w:bookmarkEnd w:id="401"/>
      <w:bookmarkEnd w:id="402"/>
      <w:bookmarkEnd w:id="403"/>
    </w:p>
    <w:p>
      <w:pPr>
        <w:pStyle w:val="Subsection"/>
        <w:keepNext/>
      </w:pPr>
      <w:r>
        <w:tab/>
        <w:t>(1)</w:t>
      </w:r>
      <w:r>
        <w:tab/>
        <w:t>In this section —</w:t>
      </w:r>
    </w:p>
    <w:p>
      <w:pPr>
        <w:pStyle w:val="Defstart"/>
      </w:pPr>
      <w:r>
        <w:rPr>
          <w:b/>
        </w:rPr>
        <w:tab/>
      </w:r>
      <w:r>
        <w:rPr>
          <w:rStyle w:val="CharDefText"/>
        </w:rPr>
        <w:t>chief executive officer, prisons</w:t>
      </w:r>
      <w:r>
        <w:t xml:space="preserve"> means the chief executive officer as defined in the </w:t>
      </w:r>
      <w:r>
        <w:rPr>
          <w:i/>
        </w:rPr>
        <w:t>Prisons Act 1981</w:t>
      </w:r>
      <w:r>
        <w:t xml:space="preserve"> section 3;</w:t>
      </w:r>
    </w:p>
    <w:p>
      <w:pPr>
        <w:pStyle w:val="Defstart"/>
      </w:pPr>
      <w:r>
        <w:rPr>
          <w:b/>
        </w:rPr>
        <w:tab/>
      </w:r>
      <w:r>
        <w:rPr>
          <w:rStyle w:val="CharDefText"/>
        </w:rPr>
        <w:t>mentally impaired accused</w:t>
      </w:r>
      <w:r>
        <w:t xml:space="preserve"> has the meaning given to that term in the </w:t>
      </w:r>
      <w:r>
        <w:rPr>
          <w:i/>
        </w:rPr>
        <w:t>Criminal Law (Mentally Impaired Accused) Act 1996</w:t>
      </w:r>
      <w:r>
        <w:rPr>
          <w:iCs/>
        </w:rPr>
        <w:t xml:space="preserve"> Part 5;</w:t>
      </w:r>
    </w:p>
    <w:p>
      <w:pPr>
        <w:pStyle w:val="Defstart"/>
      </w:pPr>
      <w:r>
        <w:rPr>
          <w:b/>
        </w:rPr>
        <w:tab/>
      </w:r>
      <w:r>
        <w:rPr>
          <w:rStyle w:val="CharDefText"/>
        </w:rPr>
        <w:t>prisoner</w:t>
      </w:r>
      <w:r>
        <w:t xml:space="preserve"> means a person of a kind referred to in section 18(1)(b) to (cd) who is detained in a prison;</w:t>
      </w:r>
    </w:p>
    <w:p>
      <w:pPr>
        <w:pStyle w:val="Defstart"/>
      </w:pPr>
      <w:r>
        <w:tab/>
      </w:r>
      <w:r>
        <w:rPr>
          <w:rStyle w:val="CharDefText"/>
        </w:rPr>
        <w:t>registrar, MIARB</w:t>
      </w:r>
      <w:r>
        <w:t xml:space="preserve"> means the registrar of the Mentally Impaired Accused Review Board established under the </w:t>
      </w:r>
      <w:r>
        <w:rPr>
          <w:i/>
        </w:rPr>
        <w:t>Criminal Law (Mentally Impaired Accused) Act 1996</w:t>
      </w:r>
      <w:r>
        <w:t>;</w:t>
      </w:r>
    </w:p>
    <w:p>
      <w:pPr>
        <w:pStyle w:val="Defstart"/>
        <w:rPr>
          <w:bCs/>
        </w:rPr>
      </w:pPr>
      <w:r>
        <w:rPr>
          <w:b/>
        </w:rPr>
        <w:tab/>
      </w:r>
      <w:r>
        <w:rPr>
          <w:rStyle w:val="CharDefText"/>
        </w:rPr>
        <w:t>required information</w:t>
      </w:r>
      <w:r>
        <w:rPr>
          <w:bCs/>
        </w:rPr>
        <w:t>, in relation to a person, means that person’s name, address, date of birth, occupation and</w:t>
      </w:r>
      <w:r>
        <w:t xml:space="preserve"> sex.</w:t>
      </w:r>
    </w:p>
    <w:p>
      <w:pPr>
        <w:pStyle w:val="Subsection"/>
      </w:pPr>
      <w:r>
        <w:tab/>
        <w:t>(2)</w:t>
      </w:r>
      <w:r>
        <w:tab/>
        <w:t>As soon as practicable after the beginning of each month —</w:t>
      </w:r>
    </w:p>
    <w:p>
      <w:pPr>
        <w:pStyle w:val="Indenta"/>
      </w:pPr>
      <w:r>
        <w:tab/>
        <w:t>(a)</w:t>
      </w:r>
      <w:r>
        <w:tab/>
        <w:t>the chief executive officer, prisons must forward to the Electoral Commissioner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pPr>
      <w:r>
        <w:tab/>
        <w:t>(b)</w:t>
      </w:r>
      <w:r>
        <w:tab/>
        <w:t>the registrar, MIARB must forward to the Electoral Commissioner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Within 4 days after the date of the writ for an election —</w:t>
      </w:r>
    </w:p>
    <w:p>
      <w:pPr>
        <w:pStyle w:val="Indenta"/>
      </w:pPr>
      <w:r>
        <w:tab/>
        <w:t>(a)</w:t>
      </w:r>
      <w:r>
        <w:tab/>
        <w:t>the chief executive officer, prisons must forward to the Electoral Commissioner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the registrar, MIARB must forward to the Electoral Commissioner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Subsection"/>
      </w:pPr>
      <w:r>
        <w:tab/>
        <w:t>(4)</w:t>
      </w:r>
      <w:r>
        <w:tab/>
        <w:t>If required information is forwarded to the Electoral Commissioner under subsection (2)(a)(i) or (3)(a)(i) in relation to a person referred to in section 18(1)(c), the chief executive officer, prisons must include in the list containing the required information the length of the term of detention or imprisonment of the person.</w:t>
      </w:r>
    </w:p>
    <w:p>
      <w:pPr>
        <w:pStyle w:val="Footnotesection"/>
      </w:pPr>
      <w:r>
        <w:tab/>
        <w:t>[Section 59 inserted by No. 64 of 2006 s. 25; amended by No. 7 of 2009 s. 10; No. 17 of 2014 s. 11.]</w:t>
      </w:r>
    </w:p>
    <w:p>
      <w:pPr>
        <w:pStyle w:val="Heading5"/>
        <w:rPr>
          <w:snapToGrid w:val="0"/>
        </w:rPr>
      </w:pPr>
      <w:bookmarkStart w:id="404" w:name="_Toc402969324"/>
      <w:bookmarkStart w:id="405" w:name="_Toc436058116"/>
      <w:bookmarkStart w:id="406" w:name="_Toc416703140"/>
      <w:r>
        <w:rPr>
          <w:rStyle w:val="CharSectno"/>
        </w:rPr>
        <w:t>60</w:t>
      </w:r>
      <w:r>
        <w:rPr>
          <w:snapToGrid w:val="0"/>
        </w:rPr>
        <w:t>.</w:t>
      </w:r>
      <w:r>
        <w:rPr>
          <w:snapToGrid w:val="0"/>
        </w:rPr>
        <w:tab/>
        <w:t>Changes to rolls required due to information given under s. 56 and 59</w:t>
      </w:r>
      <w:bookmarkEnd w:id="404"/>
      <w:bookmarkEnd w:id="405"/>
      <w:bookmarkEnd w:id="406"/>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r>
      <w:r>
        <w:rPr>
          <w:spacing w:val="-2"/>
        </w:rPr>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r>
        <w:t>.</w:t>
      </w:r>
    </w:p>
    <w:p>
      <w:pPr>
        <w:pStyle w:val="Footnotesection"/>
      </w:pPr>
      <w:r>
        <w:tab/>
        <w:t>[Section 60 amended by No. 44 of 1911 s. 21; No. 33 of 1964 s. 22; No. 68 of 1964 s. 12; No. 40 of 1987 s. 84; No. 24 of 1990 s. 123; No. 36 of 2000 s. 28(1); No. 64 of 2006 s. 26.]</w:t>
      </w:r>
    </w:p>
    <w:p>
      <w:pPr>
        <w:pStyle w:val="Ednotesection"/>
        <w:spacing w:before="180"/>
        <w:ind w:left="890" w:hanging="890"/>
      </w:pPr>
      <w:r>
        <w:t>[</w:t>
      </w:r>
      <w:r>
        <w:rPr>
          <w:b/>
          <w:bCs/>
        </w:rPr>
        <w:t>61.</w:t>
      </w:r>
      <w:r>
        <w:tab/>
        <w:t>Deleted by No. 64 of 2006 s. 53.]</w:t>
      </w:r>
    </w:p>
    <w:p>
      <w:pPr>
        <w:pStyle w:val="Ednotesection"/>
        <w:spacing w:before="180"/>
        <w:ind w:left="890" w:hanging="890"/>
      </w:pPr>
      <w:r>
        <w:t>[</w:t>
      </w:r>
      <w:r>
        <w:rPr>
          <w:b/>
          <w:bCs/>
        </w:rPr>
        <w:t>62.</w:t>
      </w:r>
      <w:r>
        <w:tab/>
        <w:t>Deleted by No. 7 of 2009 s. 11.]</w:t>
      </w:r>
    </w:p>
    <w:p>
      <w:pPr>
        <w:pStyle w:val="Heading5"/>
        <w:rPr>
          <w:snapToGrid w:val="0"/>
        </w:rPr>
      </w:pPr>
      <w:bookmarkStart w:id="407" w:name="_Toc402969325"/>
      <w:bookmarkStart w:id="408" w:name="_Toc436058117"/>
      <w:bookmarkStart w:id="409" w:name="_Toc416703141"/>
      <w:r>
        <w:rPr>
          <w:rStyle w:val="CharSectno"/>
        </w:rPr>
        <w:t>62A</w:t>
      </w:r>
      <w:r>
        <w:rPr>
          <w:snapToGrid w:val="0"/>
        </w:rPr>
        <w:t>.</w:t>
      </w:r>
      <w:r>
        <w:rPr>
          <w:snapToGrid w:val="0"/>
        </w:rPr>
        <w:tab/>
        <w:t>Enrolment information may be recorded etc. on computer etc.</w:t>
      </w:r>
      <w:bookmarkEnd w:id="407"/>
      <w:bookmarkEnd w:id="408"/>
      <w:bookmarkEnd w:id="409"/>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deleted]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spacing w:before="80"/>
        <w:ind w:left="890" w:hanging="890"/>
      </w:pPr>
      <w:r>
        <w:tab/>
        <w:t>[Section 62A inserted by No. 79 of 1987 s. 18; amended by No. 36 of 2000 s. 28(1) and (2).]</w:t>
      </w:r>
    </w:p>
    <w:p>
      <w:pPr>
        <w:pStyle w:val="Heading2"/>
      </w:pPr>
      <w:bookmarkStart w:id="410" w:name="_Toc402969326"/>
      <w:bookmarkStart w:id="411" w:name="_Toc416702758"/>
      <w:bookmarkStart w:id="412" w:name="_Toc416703142"/>
      <w:bookmarkStart w:id="413" w:name="_Toc435714394"/>
      <w:bookmarkStart w:id="414" w:name="_Toc436057509"/>
      <w:bookmarkStart w:id="415" w:name="_Toc436057897"/>
      <w:bookmarkStart w:id="416" w:name="_Toc436058282"/>
      <w:bookmarkStart w:id="417" w:name="_Toc436058118"/>
      <w:r>
        <w:rPr>
          <w:rStyle w:val="CharPartNo"/>
        </w:rPr>
        <w:t>Part IIIA</w:t>
      </w:r>
      <w:r>
        <w:rPr>
          <w:rStyle w:val="CharDivNo"/>
        </w:rPr>
        <w:t> </w:t>
      </w:r>
      <w:r>
        <w:t>—</w:t>
      </w:r>
      <w:r>
        <w:rPr>
          <w:rStyle w:val="CharDivText"/>
        </w:rPr>
        <w:t> </w:t>
      </w:r>
      <w:r>
        <w:rPr>
          <w:rStyle w:val="CharPartText"/>
        </w:rPr>
        <w:t>Registration of political parties</w:t>
      </w:r>
      <w:bookmarkEnd w:id="410"/>
      <w:bookmarkEnd w:id="411"/>
      <w:bookmarkEnd w:id="412"/>
      <w:bookmarkEnd w:id="413"/>
      <w:bookmarkEnd w:id="414"/>
      <w:bookmarkEnd w:id="415"/>
      <w:bookmarkEnd w:id="416"/>
      <w:bookmarkEnd w:id="417"/>
    </w:p>
    <w:p>
      <w:pPr>
        <w:pStyle w:val="Footnoteheading"/>
      </w:pPr>
      <w:r>
        <w:tab/>
        <w:t>[Heading inserted by No. 36 of 2000 s. 63.]</w:t>
      </w:r>
    </w:p>
    <w:p>
      <w:pPr>
        <w:pStyle w:val="Heading5"/>
      </w:pPr>
      <w:bookmarkStart w:id="418" w:name="_Toc402969327"/>
      <w:bookmarkStart w:id="419" w:name="_Toc436058119"/>
      <w:bookmarkStart w:id="420" w:name="_Toc416703143"/>
      <w:r>
        <w:rPr>
          <w:rStyle w:val="CharSectno"/>
        </w:rPr>
        <w:t>62B</w:t>
      </w:r>
      <w:r>
        <w:t>.</w:t>
      </w:r>
      <w:r>
        <w:tab/>
        <w:t>Scope of Part</w:t>
      </w:r>
      <w:bookmarkEnd w:id="418"/>
      <w:bookmarkEnd w:id="419"/>
      <w:bookmarkEnd w:id="420"/>
    </w:p>
    <w:p>
      <w:pPr>
        <w:pStyle w:val="Subsection"/>
      </w:pPr>
      <w:r>
        <w:tab/>
      </w:r>
      <w:r>
        <w:tab/>
        <w:t>This Part sets out the way in which certain political parties may become registered for various purposes under this Act.</w:t>
      </w:r>
    </w:p>
    <w:p>
      <w:pPr>
        <w:pStyle w:val="Footnotesection"/>
        <w:spacing w:before="100"/>
        <w:ind w:left="890" w:hanging="890"/>
      </w:pPr>
      <w:r>
        <w:tab/>
        <w:t>[Section 62B inserted by No. 36 of 2000 s. 63.]</w:t>
      </w:r>
    </w:p>
    <w:p>
      <w:pPr>
        <w:pStyle w:val="Heading5"/>
      </w:pPr>
      <w:bookmarkStart w:id="421" w:name="_Toc402969328"/>
      <w:bookmarkStart w:id="422" w:name="_Toc436058120"/>
      <w:bookmarkStart w:id="423" w:name="_Toc416703144"/>
      <w:r>
        <w:rPr>
          <w:rStyle w:val="CharSectno"/>
        </w:rPr>
        <w:t>62C</w:t>
      </w:r>
      <w:r>
        <w:t>.</w:t>
      </w:r>
      <w:r>
        <w:tab/>
        <w:t>Terms used</w:t>
      </w:r>
      <w:bookmarkEnd w:id="421"/>
      <w:bookmarkEnd w:id="422"/>
      <w:bookmarkEnd w:id="423"/>
    </w:p>
    <w:p>
      <w:pPr>
        <w:pStyle w:val="Subsection"/>
      </w:pPr>
      <w:r>
        <w:tab/>
        <w:t>(1)</w:t>
      </w:r>
      <w:r>
        <w:tab/>
        <w:t>In this Part —</w:t>
      </w:r>
    </w:p>
    <w:p>
      <w:pPr>
        <w:pStyle w:val="Defstart"/>
      </w:pPr>
      <w:r>
        <w:tab/>
      </w:r>
      <w:r>
        <w:rPr>
          <w:rStyle w:val="CharDefText"/>
        </w:rPr>
        <w:t>election period</w:t>
      </w:r>
      <w:r>
        <w:t>, in relation to an election, means the period commencing on the day of issue of the writ for the election and ending on the last day for the return of the writ;</w:t>
      </w:r>
    </w:p>
    <w:p>
      <w:pPr>
        <w:pStyle w:val="Defstart"/>
      </w:pPr>
      <w:r>
        <w:tab/>
      </w:r>
      <w:r>
        <w:rPr>
          <w:rStyle w:val="CharDefText"/>
        </w:rPr>
        <w:t>eligible political party</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pPr>
      <w:r>
        <w:tab/>
      </w:r>
      <w:r>
        <w:rPr>
          <w:rStyle w:val="CharDefText"/>
        </w:rPr>
        <w:t>member</w:t>
      </w:r>
      <w:r>
        <w:t>, in relation to</w:t>
      </w:r>
      <w:r>
        <w:rPr>
          <w:b/>
        </w:rPr>
        <w:t xml:space="preserve"> </w:t>
      </w:r>
      <w:r>
        <w:t>a political party, includes a person who is a member of a related political party;</w:t>
      </w:r>
    </w:p>
    <w:p>
      <w:pPr>
        <w:pStyle w:val="Defstart"/>
      </w:pPr>
      <w:r>
        <w:tab/>
      </w:r>
      <w:r>
        <w:rPr>
          <w:rStyle w:val="CharDefText"/>
        </w:rPr>
        <w:t>parliamentary party</w:t>
      </w:r>
      <w:r>
        <w:t xml:space="preserve"> means a political party of which at least one member is a member of the Assembly or the Council;</w:t>
      </w:r>
    </w:p>
    <w:p>
      <w:pPr>
        <w:pStyle w:val="Defstart"/>
      </w:pPr>
      <w:r>
        <w:tab/>
      </w:r>
      <w:r>
        <w:rPr>
          <w:rStyle w:val="CharDefText"/>
        </w:rPr>
        <w:t>register of political parties</w:t>
      </w:r>
      <w:r>
        <w:t xml:space="preserve"> means the register kept under section 62D;</w:t>
      </w:r>
    </w:p>
    <w:p>
      <w:pPr>
        <w:pStyle w:val="Defstart"/>
      </w:pPr>
      <w:r>
        <w:tab/>
      </w:r>
      <w:r>
        <w:rPr>
          <w:rStyle w:val="CharDefText"/>
        </w:rPr>
        <w:t>registered political party</w:t>
      </w:r>
      <w:r>
        <w:t xml:space="preserve"> means a political party that is registered in the register of political parties;</w:t>
      </w:r>
    </w:p>
    <w:p>
      <w:pPr>
        <w:pStyle w:val="Defstart"/>
      </w:pPr>
      <w:r>
        <w:tab/>
      </w:r>
      <w:r>
        <w:rPr>
          <w:rStyle w:val="CharDefText"/>
        </w:rPr>
        <w:t>related political party</w:t>
      </w:r>
      <w:r>
        <w:t xml:space="preserve"> has the meaning given by subsection (2).</w:t>
      </w:r>
    </w:p>
    <w:p>
      <w:pPr>
        <w:pStyle w:val="Subsection"/>
      </w:pPr>
      <w:r>
        <w:tab/>
        <w:t>(2)</w:t>
      </w:r>
      <w:r>
        <w:tab/>
        <w:t>For the purposes of this Part, 2 political parties are related political parties if —</w:t>
      </w:r>
    </w:p>
    <w:p>
      <w:pPr>
        <w:pStyle w:val="Indenta"/>
      </w:pPr>
      <w:r>
        <w:tab/>
        <w:t>(a)</w:t>
      </w:r>
      <w:r>
        <w:tab/>
        <w:t>one is a part of the other; or</w:t>
      </w:r>
    </w:p>
    <w:p>
      <w:pPr>
        <w:pStyle w:val="Indenta"/>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rStyle w:val="CharDefText"/>
        </w:rPr>
        <w:t>State party</w:t>
      </w:r>
      <w:r>
        <w:t>) is the branch or division for this State of a political party (the</w:t>
      </w:r>
      <w:r>
        <w:rPr>
          <w:b/>
        </w:rPr>
        <w:t xml:space="preserve"> </w:t>
      </w:r>
      <w:r>
        <w:rPr>
          <w:rStyle w:val="CharDefText"/>
        </w:rPr>
        <w:t>parent body</w:t>
      </w:r>
      <w:r>
        <w:t xml:space="preserve">) that is organised on a basis that includes this State and another State or Territory or other States or Territories, the reference to the constitution of the State party in the definition of </w:t>
      </w:r>
      <w:r>
        <w:rPr>
          <w:b/>
          <w:bCs/>
          <w:i/>
          <w:iCs/>
        </w:rPr>
        <w:t>eligible political party</w:t>
      </w:r>
      <w:r>
        <w:t xml:space="preserve"> in subsection (1) includes a reference to the constitution of the parent body.</w:t>
      </w:r>
    </w:p>
    <w:p>
      <w:pPr>
        <w:pStyle w:val="Footnotesection"/>
      </w:pPr>
      <w:r>
        <w:tab/>
        <w:t>[Section 62C inserted by No. 36 of 2000 s. 63.]</w:t>
      </w:r>
    </w:p>
    <w:p>
      <w:pPr>
        <w:pStyle w:val="Heading5"/>
      </w:pPr>
      <w:bookmarkStart w:id="424" w:name="_Toc402969329"/>
      <w:bookmarkStart w:id="425" w:name="_Toc436058121"/>
      <w:bookmarkStart w:id="426" w:name="_Toc416703145"/>
      <w:r>
        <w:rPr>
          <w:rStyle w:val="CharSectno"/>
        </w:rPr>
        <w:t>62D</w:t>
      </w:r>
      <w:r>
        <w:t>.</w:t>
      </w:r>
      <w:r>
        <w:tab/>
        <w:t>Register of political parties, Electoral Commissioner to keep etc.</w:t>
      </w:r>
      <w:bookmarkEnd w:id="424"/>
      <w:bookmarkEnd w:id="425"/>
      <w:bookmarkEnd w:id="426"/>
    </w:p>
    <w:p>
      <w:pPr>
        <w:pStyle w:val="Subsection"/>
      </w:pPr>
      <w:r>
        <w:tab/>
        <w:t>(1)</w:t>
      </w:r>
      <w:r>
        <w:tab/>
        <w:t>The Electoral Commissioner is to keep a register containing the names of, and other information and documents related to, political parties registered under this Part.</w:t>
      </w:r>
    </w:p>
    <w:p>
      <w:pPr>
        <w:pStyle w:val="Subsection"/>
      </w:pPr>
      <w:r>
        <w:tab/>
        <w:t>(2)</w:t>
      </w:r>
      <w:r>
        <w:tab/>
        <w:t>Subject to this Part, the register is to be kept in the form and way that the Electoral Commissioner considers appropriate.</w:t>
      </w:r>
    </w:p>
    <w:p>
      <w:pPr>
        <w:pStyle w:val="Subsection"/>
      </w:pPr>
      <w:r>
        <w:tab/>
        <w:t>(3)</w:t>
      </w:r>
      <w:r>
        <w:tab/>
        <w:t>The register is called the register of political parties.</w:t>
      </w:r>
    </w:p>
    <w:p>
      <w:pPr>
        <w:pStyle w:val="Footnotesection"/>
      </w:pPr>
      <w:r>
        <w:tab/>
        <w:t>[Section 62D inserted by No. 36 of 2000 s. 63.]</w:t>
      </w:r>
    </w:p>
    <w:p>
      <w:pPr>
        <w:pStyle w:val="Heading5"/>
      </w:pPr>
      <w:bookmarkStart w:id="427" w:name="_Toc402969330"/>
      <w:bookmarkStart w:id="428" w:name="_Toc436058122"/>
      <w:bookmarkStart w:id="429" w:name="_Toc416703146"/>
      <w:r>
        <w:rPr>
          <w:rStyle w:val="CharSectno"/>
        </w:rPr>
        <w:t>62E</w:t>
      </w:r>
      <w:r>
        <w:t>.</w:t>
      </w:r>
      <w:r>
        <w:tab/>
        <w:t>Applications for registration</w:t>
      </w:r>
      <w:bookmarkEnd w:id="427"/>
      <w:bookmarkEnd w:id="428"/>
      <w:bookmarkEnd w:id="429"/>
    </w:p>
    <w:p>
      <w:pPr>
        <w:pStyle w:val="Subsection"/>
      </w:pPr>
      <w:r>
        <w:tab/>
        <w:t>(1)</w:t>
      </w:r>
      <w:r>
        <w:tab/>
        <w:t>An application for registration of a political party is to be made in accordance with this section.</w:t>
      </w:r>
    </w:p>
    <w:p>
      <w:pPr>
        <w:pStyle w:val="Subsection"/>
      </w:pPr>
      <w:r>
        <w:tab/>
        <w:t>(2)</w:t>
      </w:r>
      <w:r>
        <w:tab/>
        <w:t>The application can only be made for the registration of an eligible political party.</w:t>
      </w:r>
    </w:p>
    <w:p>
      <w:pPr>
        <w:pStyle w:val="Subsection"/>
      </w:pPr>
      <w:r>
        <w:tab/>
        <w:t>(3)</w:t>
      </w:r>
      <w:r>
        <w:tab/>
        <w:t>The application is to be made by the secretary of the party.</w:t>
      </w:r>
    </w:p>
    <w:p>
      <w:pPr>
        <w:pStyle w:val="Subsection"/>
      </w:pPr>
      <w:r>
        <w:tab/>
        <w:t>(4)</w:t>
      </w:r>
      <w:r>
        <w:tab/>
        <w:t>The application is to be made to the Electoral Commissioner in an approved form and is to —</w:t>
      </w:r>
    </w:p>
    <w:p>
      <w:pPr>
        <w:pStyle w:val="Indenta"/>
      </w:pPr>
      <w:r>
        <w:tab/>
        <w:t>(a)</w:t>
      </w:r>
      <w:r>
        <w:tab/>
        <w:t>state a name for the political party; and</w:t>
      </w:r>
    </w:p>
    <w:p>
      <w:pPr>
        <w:pStyle w:val="Indenta"/>
        <w:spacing w:before="60"/>
      </w:pPr>
      <w:r>
        <w:tab/>
        <w:t>(b)</w:t>
      </w:r>
      <w:r>
        <w:tab/>
        <w:t>if the political party wishes to use an abbreviation of its name on ballot papers for elections — set out the abbreviation; and</w:t>
      </w:r>
    </w:p>
    <w:p>
      <w:pPr>
        <w:pStyle w:val="Indenta"/>
        <w:spacing w:before="60"/>
      </w:pPr>
      <w:r>
        <w:tab/>
        <w:t>(c)</w:t>
      </w:r>
      <w:r>
        <w:tab/>
        <w:t>set out the name and address of the secretary of  the political party; and</w:t>
      </w:r>
    </w:p>
    <w:p>
      <w:pPr>
        <w:pStyle w:val="Indenta"/>
        <w:spacing w:before="60"/>
      </w:pPr>
      <w:r>
        <w:tab/>
        <w:t>(d)</w:t>
      </w:r>
      <w:r>
        <w:tab/>
        <w:t>set out the names and addresses of at least 500 members of the party who are electors; and</w:t>
      </w:r>
    </w:p>
    <w:p>
      <w:pPr>
        <w:pStyle w:val="Indenta"/>
        <w:spacing w:before="60"/>
      </w:pPr>
      <w:r>
        <w:tab/>
        <w:t>(e)</w:t>
      </w:r>
      <w:r>
        <w:tab/>
        <w:t>be accompanied by a copy of the party’s constitution; and</w:t>
      </w:r>
    </w:p>
    <w:p>
      <w:pPr>
        <w:pStyle w:val="Indenta"/>
        <w:spacing w:before="60"/>
      </w:pPr>
      <w:r>
        <w:tab/>
        <w:t>(f)</w:t>
      </w:r>
      <w: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pPr>
      <w:r>
        <w:tab/>
        <w:t>[Section 62E inserted by No. 36 of 2000 s. 63; amended by No. 35 of 2012 s. 7.]</w:t>
      </w:r>
    </w:p>
    <w:p>
      <w:pPr>
        <w:pStyle w:val="Heading5"/>
      </w:pPr>
      <w:bookmarkStart w:id="430" w:name="_Toc402969331"/>
      <w:bookmarkStart w:id="431" w:name="_Toc436058123"/>
      <w:bookmarkStart w:id="432" w:name="_Toc416703147"/>
      <w:r>
        <w:rPr>
          <w:rStyle w:val="CharSectno"/>
        </w:rPr>
        <w:t>62F</w:t>
      </w:r>
      <w:r>
        <w:t>.</w:t>
      </w:r>
      <w:r>
        <w:tab/>
        <w:t>Variation of application, Electoral Commissioner may advise etc.</w:t>
      </w:r>
      <w:bookmarkEnd w:id="430"/>
      <w:bookmarkEnd w:id="431"/>
      <w:bookmarkEnd w:id="432"/>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Within one month after notice is given under subsection (1) in relation to an application for the registration of a political party, the applicant may lodge with the Electoral Commissioner a written request, signed by the applicant, to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pPr>
      <w:r>
        <w:tab/>
      </w:r>
      <w:r>
        <w:tab/>
        <w:t>and the Electoral Commissioner is to comply with the request.</w:t>
      </w:r>
    </w:p>
    <w:p>
      <w:pPr>
        <w:pStyle w:val="Subsection"/>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pPr>
      <w:r>
        <w:tab/>
        <w:t>[Section 62F inserted by No. 36 of 2000 s. 63.]</w:t>
      </w:r>
    </w:p>
    <w:p>
      <w:pPr>
        <w:pStyle w:val="Heading5"/>
      </w:pPr>
      <w:bookmarkStart w:id="433" w:name="_Toc402969332"/>
      <w:bookmarkStart w:id="434" w:name="_Toc436058124"/>
      <w:bookmarkStart w:id="435" w:name="_Toc416703148"/>
      <w:r>
        <w:rPr>
          <w:rStyle w:val="CharSectno"/>
        </w:rPr>
        <w:t>62G</w:t>
      </w:r>
      <w:r>
        <w:t>.</w:t>
      </w:r>
      <w:r>
        <w:tab/>
        <w:t>Public notice of application to be given etc.</w:t>
      </w:r>
      <w:bookmarkEnd w:id="433"/>
      <w:bookmarkEnd w:id="434"/>
      <w:bookmarkEnd w:id="435"/>
    </w:p>
    <w:p>
      <w:pPr>
        <w:pStyle w:val="Subsection"/>
      </w:pPr>
      <w:r>
        <w:tab/>
        <w:t>(1)</w:t>
      </w:r>
      <w:r>
        <w:tab/>
        <w:t>As soon as practicable after an application is made to the Electoral Commissioner, the Electoral Commissioner is to publish a notice in relation to the application in —</w:t>
      </w:r>
    </w:p>
    <w:p>
      <w:pPr>
        <w:pStyle w:val="Indenta"/>
        <w:spacing w:before="70"/>
      </w:pPr>
      <w:r>
        <w:tab/>
        <w:t>(a)</w:t>
      </w:r>
      <w:r>
        <w:tab/>
        <w:t xml:space="preserve">the </w:t>
      </w:r>
      <w:r>
        <w:rPr>
          <w:i/>
        </w:rPr>
        <w:t>Gazette</w:t>
      </w:r>
      <w:r>
        <w:t>; and</w:t>
      </w:r>
    </w:p>
    <w:p>
      <w:pPr>
        <w:pStyle w:val="Indenta"/>
        <w:spacing w:before="70"/>
      </w:pPr>
      <w:r>
        <w:tab/>
        <w:t>(b)</w:t>
      </w:r>
      <w:r>
        <w:tab/>
        <w:t>a newspaper circulating generally in the State.</w:t>
      </w:r>
    </w:p>
    <w:p>
      <w:pPr>
        <w:pStyle w:val="Subsection"/>
      </w:pPr>
      <w:r>
        <w:tab/>
        <w:t>(2)</w:t>
      </w:r>
      <w:r>
        <w:tab/>
        <w:t>Subsection (1) does not apply if the Electoral Commissioner gives a notice under section 62F(1) unless and until a request is made under section 62F(3)(b).</w:t>
      </w:r>
    </w:p>
    <w:p>
      <w:pPr>
        <w:pStyle w:val="Subsection"/>
      </w:pPr>
      <w:r>
        <w:tab/>
        <w:t>(3)</w:t>
      </w:r>
      <w:r>
        <w:tab/>
        <w:t>The notice has to —</w:t>
      </w:r>
    </w:p>
    <w:p>
      <w:pPr>
        <w:pStyle w:val="Indenta"/>
        <w:spacing w:before="70"/>
      </w:pPr>
      <w:r>
        <w:tab/>
        <w:t>(a)</w:t>
      </w:r>
      <w:r>
        <w:tab/>
        <w:t>set out any information included in the application under section 62E(4)(a) to (c); and</w:t>
      </w:r>
    </w:p>
    <w:p>
      <w:pPr>
        <w:pStyle w:val="Indenta"/>
        <w:spacing w:before="70"/>
      </w:pPr>
      <w:r>
        <w:tab/>
        <w:t>(b)</w:t>
      </w:r>
      <w:r>
        <w:tab/>
        <w:t>invite any elector who believes that the application —</w:t>
      </w:r>
    </w:p>
    <w:p>
      <w:pPr>
        <w:pStyle w:val="Indenti"/>
        <w:spacing w:before="70"/>
      </w:pPr>
      <w:r>
        <w:tab/>
        <w:t>(i)</w:t>
      </w:r>
      <w:r>
        <w:tab/>
        <w:t>is not in accordance with section 62E; or</w:t>
      </w:r>
    </w:p>
    <w:p>
      <w:pPr>
        <w:pStyle w:val="Indenti"/>
        <w:spacing w:before="70"/>
      </w:pPr>
      <w:r>
        <w:tab/>
        <w:t>(ii)</w:t>
      </w:r>
      <w:r>
        <w:tab/>
        <w:t>should be refused under section 62J,</w:t>
      </w:r>
    </w:p>
    <w:p>
      <w:pPr>
        <w:pStyle w:val="Indenta"/>
      </w:pPr>
      <w:r>
        <w:tab/>
      </w:r>
      <w:r>
        <w:tab/>
        <w:t xml:space="preserve">to submit to the Electoral Commissioner, within one month after the day of publication of the </w:t>
      </w:r>
      <w:r>
        <w:rPr>
          <w:i/>
        </w:rPr>
        <w:t>Gazette</w:t>
      </w:r>
      <w:r>
        <w:t xml:space="preserve"> notice, a statement under subsection (4).</w:t>
      </w:r>
    </w:p>
    <w:p>
      <w:pPr>
        <w:pStyle w:val="Subsection"/>
      </w:pPr>
      <w:r>
        <w:tab/>
        <w:t>(4)</w:t>
      </w:r>
      <w:r>
        <w:tab/>
        <w:t>The statement has to —</w:t>
      </w:r>
    </w:p>
    <w:p>
      <w:pPr>
        <w:pStyle w:val="Indenta"/>
      </w:pPr>
      <w:r>
        <w:tab/>
        <w:t>(a)</w:t>
      </w:r>
      <w:r>
        <w:tab/>
        <w:t>set out in detail the grounds for the elector’s belief under subsection (3)(b); and</w:t>
      </w:r>
    </w:p>
    <w:p>
      <w:pPr>
        <w:pStyle w:val="Indenta"/>
      </w:pPr>
      <w:r>
        <w:tab/>
        <w:t>(b)</w:t>
      </w:r>
      <w:r>
        <w:tab/>
        <w:t>set out the elector’s residential address and postal address; and</w:t>
      </w:r>
    </w:p>
    <w:p>
      <w:pPr>
        <w:pStyle w:val="Indenta"/>
      </w:pPr>
      <w:r>
        <w:tab/>
        <w:t>(c)</w:t>
      </w:r>
      <w:r>
        <w:tab/>
        <w:t>be signed by the elector.</w:t>
      </w:r>
    </w:p>
    <w:p>
      <w:pPr>
        <w:pStyle w:val="Subsection"/>
      </w:pPr>
      <w:r>
        <w:tab/>
        <w:t>(5)</w:t>
      </w:r>
      <w:r>
        <w:tab/>
        <w:t>The Electoral Commissioner is to make the statement available at the office of the Electoral Commissioner and allow public inspection of the statement without fee.</w:t>
      </w:r>
    </w:p>
    <w:p>
      <w:pPr>
        <w:pStyle w:val="Subsection"/>
      </w:pPr>
      <w:r>
        <w:tab/>
        <w:t>(6)</w:t>
      </w:r>
      <w:r>
        <w:tab/>
        <w:t>Unless the Electoral Commissioner considers the statement to be frivolous the Electoral Commissioner is to give the applicant —</w:t>
      </w:r>
    </w:p>
    <w:p>
      <w:pPr>
        <w:pStyle w:val="Indenta"/>
      </w:pPr>
      <w:r>
        <w:tab/>
        <w:t>(a)</w:t>
      </w:r>
      <w:r>
        <w:tab/>
        <w:t>a copy of the statement; and</w:t>
      </w:r>
    </w:p>
    <w:p>
      <w:pPr>
        <w:pStyle w:val="Indenta"/>
      </w:pPr>
      <w:r>
        <w:tab/>
        <w:t>(b)</w:t>
      </w:r>
      <w:r>
        <w:tab/>
        <w:t>a notice inviting the applicant to give the Electoral Commissioner a reply to the statement within such reasonable period as is specified in the notice.</w:t>
      </w:r>
    </w:p>
    <w:p>
      <w:pPr>
        <w:pStyle w:val="Subsection"/>
      </w:pPr>
      <w:r>
        <w:tab/>
        <w:t>(7)</w:t>
      </w:r>
      <w: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pPr>
      <w:r>
        <w:tab/>
        <w:t>[Section 62G inserted by No. 36 of 2000 s. 63.]</w:t>
      </w:r>
    </w:p>
    <w:p>
      <w:pPr>
        <w:pStyle w:val="Heading5"/>
      </w:pPr>
      <w:bookmarkStart w:id="436" w:name="_Toc402969333"/>
      <w:bookmarkStart w:id="437" w:name="_Toc436058125"/>
      <w:bookmarkStart w:id="438" w:name="_Toc416703149"/>
      <w:r>
        <w:rPr>
          <w:rStyle w:val="CharSectno"/>
        </w:rPr>
        <w:t>62H</w:t>
      </w:r>
      <w:r>
        <w:t>.</w:t>
      </w:r>
      <w:r>
        <w:tab/>
        <w:t>Registration of political party</w:t>
      </w:r>
      <w:bookmarkEnd w:id="436"/>
      <w:bookmarkEnd w:id="437"/>
      <w:bookmarkEnd w:id="438"/>
    </w:p>
    <w:p>
      <w:pPr>
        <w:pStyle w:val="Subsection"/>
      </w:pPr>
      <w:r>
        <w:tab/>
        <w:t>(1)</w:t>
      </w:r>
      <w: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pPr>
      <w:r>
        <w:tab/>
        <w:t>(2)</w:t>
      </w:r>
      <w:r>
        <w:tab/>
        <w:t>Registration is effected by entering or otherwise including in the register of political parties —</w:t>
      </w:r>
    </w:p>
    <w:p>
      <w:pPr>
        <w:pStyle w:val="Indenta"/>
      </w:pPr>
      <w:r>
        <w:tab/>
        <w:t>(a)</w:t>
      </w:r>
      <w:r>
        <w:tab/>
        <w:t>the information set out in the application (other than under section 62E(4)(d)); and</w:t>
      </w:r>
    </w:p>
    <w:p>
      <w:pPr>
        <w:pStyle w:val="Indenta"/>
      </w:pPr>
      <w:r>
        <w:tab/>
        <w:t>(b)</w:t>
      </w:r>
      <w:r>
        <w:tab/>
        <w:t>any document accompanying the application as required by section 62E(4)(e) and (f).</w:t>
      </w:r>
    </w:p>
    <w:p>
      <w:pPr>
        <w:pStyle w:val="Subsection"/>
      </w:pPr>
      <w:r>
        <w:tab/>
        <w:t>(3)</w:t>
      </w:r>
      <w:r>
        <w:tab/>
        <w:t>The Electoral Commissioner is not to register the political party or take any other action in relation to the application during the election period in relation to an election</w:t>
      </w:r>
      <w:r>
        <w:rPr>
          <w:sz w:val="26"/>
        </w:rPr>
        <w:t>.</w:t>
      </w:r>
    </w:p>
    <w:p>
      <w:pPr>
        <w:pStyle w:val="Subsection"/>
      </w:pPr>
      <w:r>
        <w:tab/>
        <w:t>(4)</w:t>
      </w:r>
      <w:r>
        <w:tab/>
        <w:t>The Electoral Commissioner is not to register a political party other than in accordance with this section.</w:t>
      </w:r>
    </w:p>
    <w:p>
      <w:pPr>
        <w:pStyle w:val="Subsection"/>
      </w:pPr>
      <w:r>
        <w:tab/>
        <w:t>(5)</w:t>
      </w:r>
      <w:r>
        <w:tab/>
        <w:t>As soon as possible after registering the political party, the Electoral Commissioner is to —</w:t>
      </w:r>
    </w:p>
    <w:p>
      <w:pPr>
        <w:pStyle w:val="Indenta"/>
        <w:spacing w:before="70"/>
      </w:pPr>
      <w:r>
        <w:tab/>
        <w:t>(a)</w:t>
      </w:r>
      <w:r>
        <w:tab/>
        <w:t>give written notice of the registration to the applicant; and</w:t>
      </w:r>
    </w:p>
    <w:p>
      <w:pPr>
        <w:pStyle w:val="Indenta"/>
        <w:spacing w:before="70"/>
        <w:rPr>
          <w:sz w:val="26"/>
        </w:rPr>
      </w:pPr>
      <w:r>
        <w:tab/>
        <w:t>(b)</w:t>
      </w:r>
      <w: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spacing w:before="70"/>
      </w:pPr>
      <w:r>
        <w:tab/>
        <w:t>(c)</w:t>
      </w:r>
      <w:r>
        <w:tab/>
        <w:t xml:space="preserve">notify the party’s registration by notice in the </w:t>
      </w:r>
      <w:r>
        <w:rPr>
          <w:i/>
        </w:rPr>
        <w:t>Gazette</w:t>
      </w:r>
      <w:r>
        <w:t>.</w:t>
      </w:r>
    </w:p>
    <w:p>
      <w:pPr>
        <w:pStyle w:val="Footnotesection"/>
      </w:pPr>
      <w:r>
        <w:tab/>
        <w:t>[Section 62H inserted by No. 36 of 2000 s. 63.]</w:t>
      </w:r>
    </w:p>
    <w:p>
      <w:pPr>
        <w:pStyle w:val="Heading5"/>
      </w:pPr>
      <w:bookmarkStart w:id="439" w:name="_Toc402969334"/>
      <w:bookmarkStart w:id="440" w:name="_Toc436058126"/>
      <w:bookmarkStart w:id="441" w:name="_Toc416703150"/>
      <w:r>
        <w:rPr>
          <w:rStyle w:val="CharSectno"/>
        </w:rPr>
        <w:t>62I</w:t>
      </w:r>
      <w:r>
        <w:t>.</w:t>
      </w:r>
      <w:r>
        <w:tab/>
        <w:t>Parliamentary party existing at 21 Oct 2000, registration of as political party</w:t>
      </w:r>
      <w:bookmarkEnd w:id="439"/>
      <w:bookmarkEnd w:id="440"/>
      <w:bookmarkEnd w:id="441"/>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pPr>
      <w:r>
        <w:tab/>
        <w:t>[Section 62I inserted by No. 36 of 2000 s. 63; amended by No. 64 of 2006 s. 53.]</w:t>
      </w:r>
    </w:p>
    <w:p>
      <w:pPr>
        <w:pStyle w:val="Heading5"/>
      </w:pPr>
      <w:bookmarkStart w:id="442" w:name="_Toc402969335"/>
      <w:bookmarkStart w:id="443" w:name="_Toc436058127"/>
      <w:bookmarkStart w:id="444" w:name="_Toc416703151"/>
      <w:r>
        <w:rPr>
          <w:rStyle w:val="CharSectno"/>
        </w:rPr>
        <w:t>62J</w:t>
      </w:r>
      <w:r>
        <w:t>.</w:t>
      </w:r>
      <w:r>
        <w:tab/>
        <w:t>Refusal of registration, grounds for etc.</w:t>
      </w:r>
      <w:bookmarkEnd w:id="442"/>
      <w:bookmarkEnd w:id="443"/>
      <w:bookmarkEnd w:id="444"/>
    </w:p>
    <w:p>
      <w:pPr>
        <w:pStyle w:val="Subsection"/>
      </w:pPr>
      <w:r>
        <w:tab/>
        <w:t>(1)</w:t>
      </w:r>
      <w:r>
        <w:tab/>
        <w:t>In this section —</w:t>
      </w:r>
    </w:p>
    <w:p>
      <w:pPr>
        <w:pStyle w:val="Defstart"/>
      </w:pPr>
      <w:r>
        <w:tab/>
      </w:r>
      <w:r>
        <w:rPr>
          <w:rStyle w:val="CharDefText"/>
        </w:rPr>
        <w:t>application name</w:t>
      </w:r>
      <w:r>
        <w:t xml:space="preserve"> means a name for a political party, or the abbreviation of the name for a political party, set out in the party’s application for registration;</w:t>
      </w:r>
    </w:p>
    <w:p>
      <w:pPr>
        <w:pStyle w:val="Defstart"/>
      </w:pPr>
      <w:r>
        <w:tab/>
      </w:r>
      <w:r>
        <w:rPr>
          <w:rStyle w:val="CharDefText"/>
        </w:rPr>
        <w:t>existing party</w:t>
      </w:r>
      <w:r>
        <w:t xml:space="preserve"> means another party —</w:t>
      </w:r>
    </w:p>
    <w:p>
      <w:pPr>
        <w:pStyle w:val="Defpara"/>
      </w:pPr>
      <w:r>
        <w:tab/>
        <w:t>(a)</w:t>
      </w:r>
      <w:r>
        <w:tab/>
        <w:t>that is a parliamentary party; or</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rStyle w:val="CharDefText"/>
        </w:rPr>
        <w:t>public body name</w:t>
      </w:r>
      <w:r>
        <w:t xml:space="preserve"> means the name, or an abbreviation or acronym of the name, of a prominent public body.</w:t>
      </w:r>
    </w:p>
    <w:p>
      <w:pPr>
        <w:pStyle w:val="Subsection"/>
      </w:pPr>
      <w:r>
        <w:tab/>
        <w:t>(2)</w:t>
      </w:r>
      <w:r>
        <w:tab/>
        <w:t>The Electoral Commissioner may refuse to register a political party if the Electoral Commissioner believes on reasonable grounds that information set out in, or documents required to accompany, the application are incorrect.</w:t>
      </w:r>
    </w:p>
    <w:p>
      <w:pPr>
        <w:pStyle w:val="Subsection"/>
      </w:pPr>
      <w:r>
        <w:tab/>
        <w:t>(3)</w:t>
      </w:r>
      <w:r>
        <w:tab/>
        <w:t>The Electoral Commissioner is to refuse to register a political party if the party’s application name —</w:t>
      </w:r>
    </w:p>
    <w:p>
      <w:pPr>
        <w:pStyle w:val="Indenta"/>
      </w:pPr>
      <w:r>
        <w:tab/>
        <w:t>(a)</w:t>
      </w:r>
      <w:r>
        <w:tab/>
        <w:t>has more than 6 words; or</w:t>
      </w:r>
    </w:p>
    <w:p>
      <w:pPr>
        <w:pStyle w:val="Indenta"/>
      </w:pPr>
      <w:r>
        <w:tab/>
        <w:t>(b)</w:t>
      </w:r>
      <w:r>
        <w:tab/>
        <w:t>is obscene or offensive; or</w:t>
      </w:r>
    </w:p>
    <w:p>
      <w:pPr>
        <w:pStyle w:val="Indenta"/>
      </w:pPr>
      <w:r>
        <w:tab/>
        <w:t>(c)</w:t>
      </w:r>
      <w:r>
        <w:tab/>
        <w:t>is the name, or an abbreviation or acronym of the name, of an existing party; or</w:t>
      </w:r>
    </w:p>
    <w:p>
      <w:pPr>
        <w:pStyle w:val="Indenta"/>
      </w:pPr>
      <w:r>
        <w:tab/>
        <w:t>(d)</w:t>
      </w:r>
      <w:r>
        <w:tab/>
        <w:t>so nearly resembles the name, or an abbreviation or acronym of the name, of an existing party that it is likely to be confused with or mistaken for the name, abbreviation or acronym; or</w:t>
      </w:r>
    </w:p>
    <w:p>
      <w:pPr>
        <w:pStyle w:val="Indenta"/>
      </w:pPr>
      <w:r>
        <w:tab/>
        <w:t>(e)</w:t>
      </w:r>
      <w:r>
        <w:tab/>
        <w:t>includes the word “royal” or the word “independent”; or</w:t>
      </w:r>
    </w:p>
    <w:p>
      <w:pPr>
        <w:pStyle w:val="Indenta"/>
      </w:pPr>
      <w:r>
        <w:tab/>
        <w:t>(f)</w:t>
      </w:r>
      <w:r>
        <w:tab/>
        <w:t>would otherwise be likely to cause confusion if registered.</w:t>
      </w:r>
    </w:p>
    <w:p>
      <w:pPr>
        <w:pStyle w:val="Subsection"/>
      </w:pPr>
      <w:r>
        <w:tab/>
        <w:t>(4)</w:t>
      </w:r>
      <w:r>
        <w:tab/>
        <w:t>Subsection (3)(c) or (d) does not apply if the existing party is related to the party in respect of which the application is made.</w:t>
      </w:r>
    </w:p>
    <w:p>
      <w:pPr>
        <w:pStyle w:val="Subsection"/>
      </w:pPr>
      <w:r>
        <w:tab/>
        <w:t>(5)</w:t>
      </w:r>
      <w:r>
        <w:tab/>
        <w:t>The Electoral Commissioner may refuse to register a political party if the party’s application name —</w:t>
      </w:r>
    </w:p>
    <w:p>
      <w:pPr>
        <w:pStyle w:val="Indenta"/>
      </w:pPr>
      <w:r>
        <w:tab/>
        <w:t>(a)</w:t>
      </w:r>
      <w:r>
        <w:tab/>
        <w:t>is a public body name; or</w:t>
      </w:r>
    </w:p>
    <w:p>
      <w:pPr>
        <w:pStyle w:val="Indenta"/>
      </w:pPr>
      <w:r>
        <w:tab/>
        <w:t>(b)</w:t>
      </w:r>
      <w:r>
        <w:tab/>
        <w:t>so nearly resembles a public body name that it is likely to be confused with or mistaken for the public body name.</w:t>
      </w:r>
    </w:p>
    <w:p>
      <w:pPr>
        <w:pStyle w:val="Subsection"/>
      </w:pPr>
      <w:r>
        <w:tab/>
        <w:t>(6)</w:t>
      </w:r>
      <w: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pPr>
      <w:r>
        <w:tab/>
        <w:t>(7)</w:t>
      </w:r>
      <w:r>
        <w:tab/>
        <w:t>If the Electoral Commissioner decides to refuse an application, the Electoral Commissioner is to give the applicant written notice of —</w:t>
      </w:r>
    </w:p>
    <w:p>
      <w:pPr>
        <w:pStyle w:val="Indenta"/>
      </w:pPr>
      <w:r>
        <w:tab/>
        <w:t>(a)</w:t>
      </w:r>
      <w:r>
        <w:tab/>
        <w:t>the refusal; and</w:t>
      </w:r>
    </w:p>
    <w:p>
      <w:pPr>
        <w:pStyle w:val="Indenta"/>
      </w:pPr>
      <w:r>
        <w:tab/>
        <w:t>(b)</w:t>
      </w:r>
      <w:r>
        <w:tab/>
        <w:t>the reasons for the refusal.</w:t>
      </w:r>
    </w:p>
    <w:p>
      <w:pPr>
        <w:pStyle w:val="Footnotesection"/>
      </w:pPr>
      <w:r>
        <w:tab/>
        <w:t>[Section 62J inserted by No. 36 of 2000 s. 63.]</w:t>
      </w:r>
    </w:p>
    <w:p>
      <w:pPr>
        <w:pStyle w:val="Heading5"/>
      </w:pPr>
      <w:bookmarkStart w:id="445" w:name="_Toc402969336"/>
      <w:bookmarkStart w:id="446" w:name="_Toc436058128"/>
      <w:bookmarkStart w:id="447" w:name="_Toc416703152"/>
      <w:r>
        <w:rPr>
          <w:rStyle w:val="CharSectno"/>
        </w:rPr>
        <w:t>62K</w:t>
      </w:r>
      <w:r>
        <w:t>.</w:t>
      </w:r>
      <w:r>
        <w:tab/>
        <w:t>Amendment of register</w:t>
      </w:r>
      <w:bookmarkEnd w:id="445"/>
      <w:bookmarkEnd w:id="446"/>
      <w:bookmarkEnd w:id="447"/>
    </w:p>
    <w:p>
      <w:pPr>
        <w:pStyle w:val="Subsection"/>
      </w:pPr>
      <w:r>
        <w:tab/>
        <w:t>(1)</w:t>
      </w:r>
      <w:r>
        <w:tab/>
        <w:t>An application may be made under this section to the Electoral Commissioner for the amendment of the information, or the replacement of documents, in the register of political parties in relation to a registered political party.</w:t>
      </w:r>
    </w:p>
    <w:p>
      <w:pPr>
        <w:pStyle w:val="Subsection"/>
      </w:pPr>
      <w:r>
        <w:tab/>
        <w:t>(2)</w:t>
      </w:r>
      <w:r>
        <w:tab/>
        <w:t>The application has to be made in an approved form and in a way approved by the Electoral Commissioner.</w:t>
      </w:r>
    </w:p>
    <w:p>
      <w:pPr>
        <w:pStyle w:val="Subsection"/>
      </w:pPr>
      <w:r>
        <w:tab/>
        <w:t>(3)</w:t>
      </w:r>
      <w:r>
        <w:tab/>
        <w:t>The application is to be made by the secretary of the party.</w:t>
      </w:r>
    </w:p>
    <w:p>
      <w:pPr>
        <w:pStyle w:val="Subsection"/>
      </w:pPr>
      <w:r>
        <w:tab/>
        <w:t>(4)</w:t>
      </w:r>
      <w:r>
        <w:tab/>
        <w:t>If the application is to amend the register by —</w:t>
      </w:r>
    </w:p>
    <w:p>
      <w:pPr>
        <w:pStyle w:val="Indenta"/>
        <w:spacing w:before="70"/>
      </w:pPr>
      <w:r>
        <w:tab/>
        <w:t>(a)</w:t>
      </w:r>
      <w:r>
        <w:tab/>
        <w:t>changing the name of the party to a name set out in the application; or</w:t>
      </w:r>
    </w:p>
    <w:p>
      <w:pPr>
        <w:pStyle w:val="Indenta"/>
        <w:spacing w:before="70"/>
      </w:pPr>
      <w:r>
        <w:tab/>
        <w:t>(b)</w:t>
      </w:r>
      <w:r>
        <w:tab/>
        <w:t>if an abbreviation of the name of the party is entered in the register, changing that abbreviation to an abbreviation set out in the application; or</w:t>
      </w:r>
    </w:p>
    <w:p>
      <w:pPr>
        <w:pStyle w:val="Indenta"/>
        <w:spacing w:before="70"/>
      </w:pPr>
      <w:r>
        <w:tab/>
        <w:t>(c)</w:t>
      </w:r>
      <w:r>
        <w:tab/>
        <w:t>if an abbreviation of the name of the party is not entered in the register, entering in the register an abbreviation set out in the application,</w:t>
      </w:r>
    </w:p>
    <w:p>
      <w:pPr>
        <w:pStyle w:val="Subsection"/>
        <w:spacing w:before="120"/>
      </w:pPr>
      <w:r>
        <w:tab/>
      </w:r>
      <w:r>
        <w:tab/>
        <w:t>sections 62F, 62G, 62H and 62J apply to the application under this section, subject to any necessary changes, as if it were an application for registration of a political party.</w:t>
      </w:r>
    </w:p>
    <w:p>
      <w:pPr>
        <w:pStyle w:val="Footnotesection"/>
      </w:pPr>
      <w:r>
        <w:tab/>
        <w:t>[Section 62K inserted by No. 36 of 2000 s. 63; amended by No. 35 of 2012 s. 7.]</w:t>
      </w:r>
    </w:p>
    <w:p>
      <w:pPr>
        <w:pStyle w:val="Heading5"/>
      </w:pPr>
      <w:bookmarkStart w:id="448" w:name="_Toc402969337"/>
      <w:bookmarkStart w:id="449" w:name="_Toc436058129"/>
      <w:bookmarkStart w:id="450" w:name="_Toc416703153"/>
      <w:r>
        <w:rPr>
          <w:rStyle w:val="CharSectno"/>
        </w:rPr>
        <w:t>62L</w:t>
      </w:r>
      <w:r>
        <w:t>.</w:t>
      </w:r>
      <w:r>
        <w:tab/>
        <w:t>Cancellation of registration</w:t>
      </w:r>
      <w:bookmarkEnd w:id="448"/>
      <w:bookmarkEnd w:id="449"/>
      <w:bookmarkEnd w:id="450"/>
    </w:p>
    <w:p>
      <w:pPr>
        <w:pStyle w:val="Subsection"/>
      </w:pPr>
      <w:r>
        <w:tab/>
        <w:t>(1)</w:t>
      </w:r>
      <w:r>
        <w:tab/>
        <w:t>The Electoral Commissioner may cancel the registration of a political party at the written request of the secretary of the party.</w:t>
      </w:r>
    </w:p>
    <w:p>
      <w:pPr>
        <w:pStyle w:val="Subsection"/>
      </w:pPr>
      <w:r>
        <w:tab/>
        <w:t>(2)</w:t>
      </w:r>
      <w:r>
        <w:tab/>
        <w:t>The Electoral Commissioner may cancel the registration of a political party if the Electoral Commissioner is satisfied on reasonable grounds that —</w:t>
      </w:r>
    </w:p>
    <w:p>
      <w:pPr>
        <w:pStyle w:val="Indenta"/>
        <w:spacing w:before="70"/>
      </w:pPr>
      <w:r>
        <w:tab/>
        <w:t>(a)</w:t>
      </w:r>
      <w:r>
        <w:tab/>
        <w:t>the party no longer exists; or</w:t>
      </w:r>
    </w:p>
    <w:p>
      <w:pPr>
        <w:pStyle w:val="Indenta"/>
        <w:spacing w:before="70"/>
      </w:pPr>
      <w:r>
        <w:tab/>
        <w:t>(b)</w:t>
      </w:r>
      <w:r>
        <w:tab/>
        <w:t>the party is not a parliamentary party and does not have at least 500 members who are electors; or</w:t>
      </w:r>
    </w:p>
    <w:p>
      <w:pPr>
        <w:pStyle w:val="Indenta"/>
        <w:spacing w:before="70"/>
      </w:pPr>
      <w:r>
        <w:tab/>
        <w:t>(c)</w:t>
      </w:r>
      <w:r>
        <w:tab/>
        <w:t>the candidates at a conjoint election held after the registration of the party did not include at least one candidate endorsed by the party; or</w:t>
      </w:r>
    </w:p>
    <w:p>
      <w:pPr>
        <w:pStyle w:val="Indenta"/>
        <w:spacing w:before="70"/>
      </w:pPr>
      <w:r>
        <w:tab/>
        <w:t>(d)</w:t>
      </w:r>
      <w:r>
        <w:tab/>
        <w:t>the registration was obtained by fraud or misrepresentation; or</w:t>
      </w:r>
    </w:p>
    <w:p>
      <w:pPr>
        <w:pStyle w:val="Indenta"/>
        <w:spacing w:before="70"/>
      </w:pPr>
      <w:r>
        <w:tab/>
        <w:t>(e)</w:t>
      </w:r>
      <w:r>
        <w:tab/>
        <w:t>a return required to be lodged under Part VI by the agent of that political party has been outstanding for more than 12 months.</w:t>
      </w:r>
    </w:p>
    <w:p>
      <w:pPr>
        <w:pStyle w:val="Subsection"/>
      </w:pPr>
      <w:r>
        <w:tab/>
        <w:t>(3)</w:t>
      </w:r>
      <w:r>
        <w:tab/>
        <w:t>If the Electoral Commissioner proposes to cancel the registration of a political party, other than because of subsection (2)(d), the Electoral Commissioner is to —</w:t>
      </w:r>
    </w:p>
    <w:p>
      <w:pPr>
        <w:pStyle w:val="Indenta"/>
      </w:pPr>
      <w:r>
        <w:tab/>
        <w:t>(a)</w:t>
      </w:r>
      <w:r>
        <w:tab/>
        <w:t>give written notice of the proposed cancellation to the secretary of the party at the address shown in the register; and</w:t>
      </w:r>
    </w:p>
    <w:p>
      <w:pPr>
        <w:pStyle w:val="Indenta"/>
      </w:pPr>
      <w:r>
        <w:tab/>
        <w:t>(b)</w:t>
      </w:r>
      <w:r>
        <w:tab/>
        <w:t>give notice of the proposed cancellation in —</w:t>
      </w:r>
    </w:p>
    <w:p>
      <w:pPr>
        <w:pStyle w:val="Indenti"/>
      </w:pPr>
      <w:r>
        <w:tab/>
        <w:t>(i)</w:t>
      </w:r>
      <w:r>
        <w:tab/>
        <w:t xml:space="preserve">the </w:t>
      </w:r>
      <w:r>
        <w:rPr>
          <w:i/>
        </w:rPr>
        <w:t>Gazette</w:t>
      </w:r>
      <w:r>
        <w:t>; and</w:t>
      </w:r>
    </w:p>
    <w:p>
      <w:pPr>
        <w:pStyle w:val="Indenti"/>
      </w:pPr>
      <w:r>
        <w:tab/>
        <w:t>(ii)</w:t>
      </w:r>
      <w:r>
        <w:tab/>
        <w:t>a newspaper circulating generally in the State;</w:t>
      </w:r>
    </w:p>
    <w:p>
      <w:pPr>
        <w:pStyle w:val="Indenta"/>
      </w:pPr>
      <w:r>
        <w:tab/>
      </w:r>
      <w:r>
        <w:tab/>
        <w:t>and</w:t>
      </w:r>
    </w:p>
    <w:p>
      <w:pPr>
        <w:pStyle w:val="Indenta"/>
      </w:pPr>
      <w:r>
        <w:tab/>
        <w:t>(c)</w:t>
      </w:r>
      <w:r>
        <w:tab/>
        <w:t xml:space="preserve">include in the notice under paragraph (b) a statement that persons may, within 14 days after the </w:t>
      </w:r>
      <w:r>
        <w:rPr>
          <w:i/>
        </w:rPr>
        <w:t>Gazette</w:t>
      </w:r>
      <w:r>
        <w:t xml:space="preserve"> notice is given, object to the Electoral Commissioner in writing against the proposed cancellation.</w:t>
      </w:r>
    </w:p>
    <w:p>
      <w:pPr>
        <w:pStyle w:val="Subsection"/>
      </w:pPr>
      <w:r>
        <w:tab/>
        <w:t>(4)</w:t>
      </w:r>
      <w:r>
        <w:tab/>
        <w:t>The Electoral Commissioner is to consider any objection made under subsection (3) before taking any further action in relation to the cancellation.</w:t>
      </w:r>
    </w:p>
    <w:p>
      <w:pPr>
        <w:pStyle w:val="Subsection"/>
      </w:pPr>
      <w:r>
        <w:tab/>
        <w:t>(5)</w:t>
      </w:r>
      <w:r>
        <w:tab/>
        <w:t>If the Electoral Commissioner decides to cancel the registration of a political party, the Electoral Commissioner is to —</w:t>
      </w:r>
    </w:p>
    <w:p>
      <w:pPr>
        <w:pStyle w:val="Indenta"/>
      </w:pPr>
      <w:r>
        <w:tab/>
        <w:t>(a)</w:t>
      </w:r>
      <w:r>
        <w:tab/>
        <w:t>give notice of the cancellation and the reasons for it to the secretary of the party; and</w:t>
      </w:r>
    </w:p>
    <w:p>
      <w:pPr>
        <w:pStyle w:val="Indenta"/>
      </w:pPr>
      <w:r>
        <w:tab/>
        <w:t>(b)</w:t>
      </w:r>
      <w:r>
        <w:tab/>
        <w:t xml:space="preserve">give notice of the cancellation in the </w:t>
      </w:r>
      <w:r>
        <w:rPr>
          <w:i/>
        </w:rPr>
        <w:t>Gazette</w:t>
      </w:r>
      <w:r>
        <w:t>; and</w:t>
      </w:r>
    </w:p>
    <w:p>
      <w:pPr>
        <w:pStyle w:val="Indenta"/>
      </w:pPr>
      <w:r>
        <w:tab/>
        <w:t>(c)</w:t>
      </w:r>
      <w:r>
        <w:tab/>
        <w:t>cancel the information in, and remove the documents from, the register of political parties relating to the political party; and</w:t>
      </w:r>
    </w:p>
    <w:p>
      <w:pPr>
        <w:pStyle w:val="Indenta"/>
      </w:pPr>
      <w:r>
        <w:tab/>
        <w:t>(d)</w:t>
      </w:r>
      <w:r>
        <w:tab/>
        <w:t>retain the documents.</w:t>
      </w:r>
    </w:p>
    <w:p>
      <w:pPr>
        <w:pStyle w:val="Subsection"/>
      </w:pPr>
      <w:r>
        <w:tab/>
        <w:t>(6)</w:t>
      </w:r>
      <w:r>
        <w:tab/>
        <w:t>During the election period in relation to an election, the Electoral Commissioner is not to cancel the registration of a political party other than because of subsection (2)(d).</w:t>
      </w:r>
    </w:p>
    <w:p>
      <w:pPr>
        <w:pStyle w:val="Footnotesection"/>
      </w:pPr>
      <w:r>
        <w:tab/>
        <w:t>[Section 62L inserted by No. 36 of 2000 s. 63.]</w:t>
      </w:r>
    </w:p>
    <w:p>
      <w:pPr>
        <w:pStyle w:val="Heading5"/>
      </w:pPr>
      <w:bookmarkStart w:id="451" w:name="_Toc402969338"/>
      <w:bookmarkStart w:id="452" w:name="_Toc436058131"/>
      <w:bookmarkStart w:id="453" w:name="_Toc416703154"/>
      <w:r>
        <w:rPr>
          <w:rStyle w:val="CharSectno"/>
        </w:rPr>
        <w:t>62M</w:t>
      </w:r>
      <w:r>
        <w:t>.</w:t>
      </w:r>
      <w:r>
        <w:tab/>
        <w:t>Public inspection and notice of register etc.</w:t>
      </w:r>
      <w:bookmarkEnd w:id="451"/>
      <w:bookmarkEnd w:id="452"/>
      <w:bookmarkEnd w:id="453"/>
    </w:p>
    <w:p>
      <w:pPr>
        <w:pStyle w:val="Subsection"/>
      </w:pPr>
      <w:r>
        <w:tab/>
        <w:t>(1)</w:t>
      </w:r>
      <w:r>
        <w:tab/>
        <w:t>The Electoral Commissioner is to make the register of political parties available at the office of the Electoral Commissioner and allow public inspection of the register without fee.</w:t>
      </w:r>
    </w:p>
    <w:p>
      <w:pPr>
        <w:pStyle w:val="Subsection"/>
      </w:pPr>
      <w:r>
        <w:tab/>
        <w:t>(2)</w:t>
      </w:r>
      <w:r>
        <w:tab/>
        <w:t xml:space="preserve">As soon as practicable after the issue of a writ for an election, the Electoral Commissioner is to publish in the </w:t>
      </w:r>
      <w:r>
        <w:rPr>
          <w:i/>
        </w:rPr>
        <w:t>Gazette</w:t>
      </w:r>
      <w:r>
        <w:t> —</w:t>
      </w:r>
    </w:p>
    <w:p>
      <w:pPr>
        <w:pStyle w:val="Indenta"/>
      </w:pPr>
      <w:r>
        <w:tab/>
        <w:t>(a)</w:t>
      </w:r>
      <w:r>
        <w:tab/>
        <w:t>a list of the names of all political parties included in the register; and</w:t>
      </w:r>
    </w:p>
    <w:p>
      <w:pPr>
        <w:pStyle w:val="Indenta"/>
      </w:pPr>
      <w:r>
        <w:tab/>
        <w:t>(b)</w:t>
      </w:r>
      <w:r>
        <w:tab/>
        <w:t>a list of the names of the secretaries of the political parties.</w:t>
      </w:r>
    </w:p>
    <w:p>
      <w:pPr>
        <w:pStyle w:val="Footnotesection"/>
      </w:pPr>
      <w:r>
        <w:tab/>
        <w:t>[Section 62M inserted by No. 36 of 2000 s. 63.]</w:t>
      </w:r>
    </w:p>
    <w:p>
      <w:pPr>
        <w:pStyle w:val="Heading5"/>
      </w:pPr>
      <w:bookmarkStart w:id="454" w:name="_Toc402969339"/>
      <w:bookmarkStart w:id="455" w:name="_Toc436058132"/>
      <w:bookmarkStart w:id="456" w:name="_Toc416703155"/>
      <w:r>
        <w:rPr>
          <w:rStyle w:val="CharSectno"/>
        </w:rPr>
        <w:t>62N</w:t>
      </w:r>
      <w:r>
        <w:t>.</w:t>
      </w:r>
      <w:r>
        <w:tab/>
        <w:t>Review of decision under s. 62H, 62J or 62L</w:t>
      </w:r>
      <w:bookmarkEnd w:id="454"/>
      <w:bookmarkEnd w:id="455"/>
      <w:bookmarkEnd w:id="456"/>
    </w:p>
    <w:p>
      <w:pPr>
        <w:pStyle w:val="Subsection"/>
      </w:pPr>
      <w:r>
        <w:tab/>
        <w:t>(1)</w:t>
      </w:r>
      <w:r>
        <w:tab/>
        <w:t>Any person affected by —</w:t>
      </w:r>
    </w:p>
    <w:p>
      <w:pPr>
        <w:pStyle w:val="Indenta"/>
      </w:pPr>
      <w:r>
        <w:tab/>
        <w:t>(a)</w:t>
      </w:r>
      <w:r>
        <w:tab/>
        <w:t>a decision under section 62H to register a political party; or</w:t>
      </w:r>
    </w:p>
    <w:p>
      <w:pPr>
        <w:pStyle w:val="Indenta"/>
      </w:pPr>
      <w:r>
        <w:tab/>
        <w:t>(b)</w:t>
      </w:r>
      <w:r>
        <w:tab/>
        <w:t>a decision under section 62J to refuse to register a political party; or</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An application for review of a decision has to —</w:t>
      </w:r>
    </w:p>
    <w:p>
      <w:pPr>
        <w:pStyle w:val="Indenta"/>
      </w:pPr>
      <w:r>
        <w:tab/>
        <w:t>(a)</w:t>
      </w:r>
      <w:r>
        <w:tab/>
        <w:t>be in writing; and</w:t>
      </w:r>
    </w:p>
    <w:p>
      <w:pPr>
        <w:pStyle w:val="Indenta"/>
      </w:pPr>
      <w:r>
        <w:tab/>
        <w:t>(b)</w:t>
      </w:r>
      <w:r>
        <w:tab/>
        <w:t>be made to the Supreme Court; and</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pPr>
      <w:r>
        <w:tab/>
        <w:t>(3)</w:t>
      </w:r>
      <w:r>
        <w:tab/>
        <w:t>The Supreme Court is to review the decision and make an order —</w:t>
      </w:r>
    </w:p>
    <w:p>
      <w:pPr>
        <w:pStyle w:val="Indenta"/>
      </w:pPr>
      <w:r>
        <w:tab/>
        <w:t>(a)</w:t>
      </w:r>
      <w:r>
        <w:tab/>
        <w:t>confirming the decision; or</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pPr>
      <w:r>
        <w:tab/>
        <w:t>[Section 62N inserted by No. 36 of 2000 s. 63; amended by No. 64 of 2006 s. 53.]</w:t>
      </w:r>
    </w:p>
    <w:p>
      <w:pPr>
        <w:pStyle w:val="Heading5"/>
      </w:pPr>
      <w:bookmarkStart w:id="457" w:name="_Toc402969340"/>
      <w:bookmarkStart w:id="458" w:name="_Toc436058133"/>
      <w:bookmarkStart w:id="459" w:name="_Toc416703156"/>
      <w:r>
        <w:rPr>
          <w:rStyle w:val="CharSectno"/>
        </w:rPr>
        <w:t>62O</w:t>
      </w:r>
      <w:r>
        <w:t>.</w:t>
      </w:r>
      <w:r>
        <w:tab/>
        <w:t>False representation as to registration, offence</w:t>
      </w:r>
      <w:bookmarkEnd w:id="457"/>
      <w:bookmarkEnd w:id="458"/>
      <w:bookmarkEnd w:id="459"/>
    </w:p>
    <w:p>
      <w:pPr>
        <w:pStyle w:val="Subsection"/>
      </w:pPr>
      <w:r>
        <w:tab/>
      </w:r>
      <w:r>
        <w:tab/>
        <w:t>Any person who, knowing that a political party is not registered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pPr>
      <w:r>
        <w:tab/>
      </w:r>
      <w:r>
        <w:tab/>
        <w:t>commits an offence.</w:t>
      </w:r>
    </w:p>
    <w:p>
      <w:pPr>
        <w:pStyle w:val="Penstart"/>
      </w:pPr>
      <w:r>
        <w:tab/>
        <w:t>Penalty: $1 500.</w:t>
      </w:r>
    </w:p>
    <w:p>
      <w:pPr>
        <w:pStyle w:val="Footnotesection"/>
        <w:spacing w:before="100"/>
        <w:ind w:left="890" w:hanging="890"/>
      </w:pPr>
      <w:r>
        <w:tab/>
        <w:t>[Section 62O inserted by No. 36 of 2000 s. 63.]</w:t>
      </w:r>
    </w:p>
    <w:p>
      <w:pPr>
        <w:pStyle w:val="Heading5"/>
      </w:pPr>
      <w:bookmarkStart w:id="460" w:name="_Toc402969341"/>
      <w:bookmarkStart w:id="461" w:name="_Toc436058134"/>
      <w:bookmarkStart w:id="462" w:name="_Toc416703157"/>
      <w:r>
        <w:rPr>
          <w:rStyle w:val="CharSectno"/>
        </w:rPr>
        <w:t>62P</w:t>
      </w:r>
      <w:r>
        <w:t>.</w:t>
      </w:r>
      <w:r>
        <w:tab/>
        <w:t>Information, Electoral Commissioner may request from party etc.</w:t>
      </w:r>
      <w:bookmarkEnd w:id="460"/>
      <w:bookmarkEnd w:id="461"/>
      <w:bookmarkEnd w:id="462"/>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pPr>
      <w:r>
        <w:tab/>
        <w:t>[Section 62P inserted by No. 36 of 2000 s. 63.]</w:t>
      </w:r>
    </w:p>
    <w:p>
      <w:pPr>
        <w:pStyle w:val="Heading5"/>
      </w:pPr>
      <w:bookmarkStart w:id="463" w:name="_Toc402969342"/>
      <w:bookmarkStart w:id="464" w:name="_Toc436058135"/>
      <w:bookmarkStart w:id="465" w:name="_Toc416703158"/>
      <w:r>
        <w:rPr>
          <w:rStyle w:val="CharSectno"/>
        </w:rPr>
        <w:t>62Q</w:t>
      </w:r>
      <w:r>
        <w:t>.</w:t>
      </w:r>
      <w:r>
        <w:tab/>
        <w:t>Offences relating to information</w:t>
      </w:r>
      <w:bookmarkEnd w:id="463"/>
      <w:bookmarkEnd w:id="464"/>
      <w:bookmarkEnd w:id="465"/>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pPr>
      <w:r>
        <w:tab/>
        <w:t>[Section 62Q inserted by No. 36 of 2000 s. 63.]</w:t>
      </w:r>
    </w:p>
    <w:p>
      <w:pPr>
        <w:pStyle w:val="Heading5"/>
      </w:pPr>
      <w:bookmarkStart w:id="466" w:name="_Toc402969343"/>
      <w:bookmarkStart w:id="467" w:name="_Toc436058136"/>
      <w:bookmarkStart w:id="468" w:name="_Toc416703159"/>
      <w:r>
        <w:rPr>
          <w:rStyle w:val="CharSectno"/>
        </w:rPr>
        <w:t>62R</w:t>
      </w:r>
      <w:r>
        <w:t>.</w:t>
      </w:r>
      <w:r>
        <w:tab/>
        <w:t>Certificate of Electoral Commissioner is evidence</w:t>
      </w:r>
      <w:bookmarkEnd w:id="466"/>
      <w:bookmarkEnd w:id="467"/>
      <w:bookmarkEnd w:id="468"/>
    </w:p>
    <w:p>
      <w:pPr>
        <w:pStyle w:val="Subsection"/>
      </w:pPr>
      <w:r>
        <w:tab/>
      </w:r>
      <w:r>
        <w:tab/>
        <w:t>A certificate of the Electoral Commissioner as to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pPr>
      <w:r>
        <w:tab/>
        <w:t>[Section 62R inserted by No. 36 of 2000 s. 63.]</w:t>
      </w:r>
    </w:p>
    <w:p>
      <w:pPr>
        <w:pStyle w:val="Heading2"/>
      </w:pPr>
      <w:bookmarkStart w:id="469" w:name="_Toc402969344"/>
      <w:bookmarkStart w:id="470" w:name="_Toc416702776"/>
      <w:bookmarkStart w:id="471" w:name="_Toc416703160"/>
      <w:bookmarkStart w:id="472" w:name="_Toc435714412"/>
      <w:bookmarkStart w:id="473" w:name="_Toc436057527"/>
      <w:bookmarkStart w:id="474" w:name="_Toc436057915"/>
      <w:bookmarkStart w:id="475" w:name="_Toc436058300"/>
      <w:bookmarkStart w:id="476" w:name="_Toc436058137"/>
      <w:r>
        <w:rPr>
          <w:rStyle w:val="CharPartNo"/>
        </w:rPr>
        <w:t>Part IV</w:t>
      </w:r>
      <w:r>
        <w:t> — </w:t>
      </w:r>
      <w:r>
        <w:rPr>
          <w:rStyle w:val="CharPartText"/>
        </w:rPr>
        <w:t>Elections</w:t>
      </w:r>
      <w:bookmarkEnd w:id="469"/>
      <w:bookmarkEnd w:id="470"/>
      <w:bookmarkEnd w:id="471"/>
      <w:bookmarkEnd w:id="472"/>
      <w:bookmarkEnd w:id="473"/>
      <w:bookmarkEnd w:id="474"/>
      <w:bookmarkEnd w:id="475"/>
      <w:bookmarkEnd w:id="476"/>
    </w:p>
    <w:p>
      <w:pPr>
        <w:pStyle w:val="Heading3"/>
        <w:spacing w:before="160"/>
      </w:pPr>
      <w:bookmarkStart w:id="477" w:name="_Toc402969345"/>
      <w:bookmarkStart w:id="478" w:name="_Toc416702777"/>
      <w:bookmarkStart w:id="479" w:name="_Toc416703161"/>
      <w:bookmarkStart w:id="480" w:name="_Toc435714413"/>
      <w:bookmarkStart w:id="481" w:name="_Toc436057528"/>
      <w:bookmarkStart w:id="482" w:name="_Toc436057916"/>
      <w:bookmarkStart w:id="483" w:name="_Toc436058301"/>
      <w:bookmarkStart w:id="484" w:name="_Toc436058138"/>
      <w:r>
        <w:rPr>
          <w:rStyle w:val="CharDivNo"/>
        </w:rPr>
        <w:t>Division (1)</w:t>
      </w:r>
      <w:r>
        <w:rPr>
          <w:snapToGrid w:val="0"/>
        </w:rPr>
        <w:t> — </w:t>
      </w:r>
      <w:r>
        <w:rPr>
          <w:rStyle w:val="CharDivText"/>
        </w:rPr>
        <w:t>Writs</w:t>
      </w:r>
      <w:bookmarkEnd w:id="477"/>
      <w:bookmarkEnd w:id="478"/>
      <w:bookmarkEnd w:id="479"/>
      <w:bookmarkEnd w:id="480"/>
      <w:bookmarkEnd w:id="481"/>
      <w:bookmarkEnd w:id="482"/>
      <w:bookmarkEnd w:id="483"/>
      <w:bookmarkEnd w:id="484"/>
    </w:p>
    <w:p>
      <w:pPr>
        <w:pStyle w:val="Ednotesection"/>
        <w:spacing w:before="160"/>
        <w:ind w:left="890" w:hanging="890"/>
      </w:pPr>
      <w:r>
        <w:t>[</w:t>
      </w:r>
      <w:r>
        <w:rPr>
          <w:b/>
        </w:rPr>
        <w:t>63.</w:t>
      </w:r>
      <w:r>
        <w:tab/>
        <w:t>Deleted by No. 36 of 2000 s. 7.]</w:t>
      </w:r>
    </w:p>
    <w:p>
      <w:pPr>
        <w:pStyle w:val="Heading5"/>
        <w:spacing w:before="160"/>
      </w:pPr>
      <w:bookmarkStart w:id="485" w:name="_Toc402969346"/>
      <w:bookmarkStart w:id="486" w:name="_Toc436058139"/>
      <w:bookmarkStart w:id="487" w:name="_Toc416703162"/>
      <w:r>
        <w:rPr>
          <w:rStyle w:val="CharSectno"/>
        </w:rPr>
        <w:t>64</w:t>
      </w:r>
      <w:r>
        <w:t>.</w:t>
      </w:r>
      <w:r>
        <w:tab/>
        <w:t>General elections, issue of writs for</w:t>
      </w:r>
      <w:bookmarkEnd w:id="485"/>
      <w:bookmarkEnd w:id="486"/>
      <w:bookmarkEnd w:id="487"/>
    </w:p>
    <w:p>
      <w:pPr>
        <w:pStyle w:val="Subsection"/>
        <w:spacing w:before="110"/>
      </w:pPr>
      <w:r>
        <w:tab/>
        <w:t>(1)</w:t>
      </w:r>
      <w:r>
        <w:tab/>
        <w:t>If an Assembly is dissolved before 1 November last preceding its expiry year, the Governor shall cause a writ for elections in all the districts to be issued not later than 10 days after the dissolution.</w:t>
      </w:r>
    </w:p>
    <w:p>
      <w:pPr>
        <w:pStyle w:val="Subsection"/>
        <w:spacing w:before="110"/>
      </w:pPr>
      <w:r>
        <w:tab/>
        <w:t>(2)</w:t>
      </w:r>
      <w:r>
        <w:tab/>
        <w:t>If an Assembly is not dissolved before 1 November last preceding its expiry year, the Governor shall cause a writ for elections in all the districts to be issued on the first Wednesday of February in the expiry year.</w:t>
      </w:r>
    </w:p>
    <w:p>
      <w:pPr>
        <w:pStyle w:val="Subsection"/>
        <w:spacing w:before="110"/>
      </w:pPr>
      <w:r>
        <w:tab/>
        <w:t>(3)</w:t>
      </w:r>
      <w:r>
        <w:tab/>
        <w:t>In order to fill seats in the Council that are to be vacated by effluxion of time at the end of 21 May in a year, the Governor shall cause a writ for elections in all the regions to be issued on the first Wednesday of February last preceding that 21 May.</w:t>
      </w:r>
    </w:p>
    <w:p>
      <w:pPr>
        <w:pStyle w:val="Footnotesection"/>
        <w:spacing w:before="80"/>
        <w:ind w:left="890" w:hanging="890"/>
      </w:pPr>
      <w:r>
        <w:tab/>
        <w:t>[Section 64 inserted by No. 49 of 2011 s. 5.]</w:t>
      </w:r>
    </w:p>
    <w:p>
      <w:pPr>
        <w:pStyle w:val="Heading5"/>
        <w:spacing w:before="180"/>
      </w:pPr>
      <w:bookmarkStart w:id="488" w:name="_Toc402969347"/>
      <w:bookmarkStart w:id="489" w:name="_Toc436058140"/>
      <w:bookmarkStart w:id="490" w:name="_Toc416703163"/>
      <w:r>
        <w:rPr>
          <w:rStyle w:val="CharSectno"/>
        </w:rPr>
        <w:t>65</w:t>
      </w:r>
      <w:r>
        <w:t>.</w:t>
      </w:r>
      <w:r>
        <w:tab/>
        <w:t>Writ issued under s. 64, 67 or 156E, notice of to be gazetted etc.</w:t>
      </w:r>
      <w:bookmarkEnd w:id="488"/>
      <w:bookmarkEnd w:id="489"/>
      <w:bookmarkEnd w:id="490"/>
    </w:p>
    <w:p>
      <w:pPr>
        <w:pStyle w:val="Subsection"/>
        <w:spacing w:before="110"/>
      </w:pPr>
      <w:r>
        <w:tab/>
        <w:t>(1)</w:t>
      </w:r>
      <w:r>
        <w:tab/>
        <w:t>The Electoral Commissioner is to publish notice of the issue of a writ under section 64, 67 or 156E in the </w:t>
      </w:r>
      <w:r>
        <w:rPr>
          <w:i/>
        </w:rPr>
        <w:t>Gazette.</w:t>
      </w:r>
    </w:p>
    <w:p>
      <w:pPr>
        <w:pStyle w:val="Subsection"/>
        <w:spacing w:before="110"/>
      </w:pPr>
      <w:r>
        <w:tab/>
        <w:t>(2)</w:t>
      </w:r>
      <w:r>
        <w:tab/>
        <w:t>The notice is to state the day of issue of the writ.</w:t>
      </w:r>
    </w:p>
    <w:p>
      <w:pPr>
        <w:pStyle w:val="Footnotesection"/>
        <w:spacing w:before="80"/>
        <w:ind w:left="890" w:hanging="890"/>
      </w:pPr>
      <w:r>
        <w:tab/>
        <w:t>[Section 65 inserted by No. 36 of 2000 s. 9.]</w:t>
      </w:r>
    </w:p>
    <w:p>
      <w:pPr>
        <w:pStyle w:val="Ednotesection"/>
        <w:spacing w:before="170"/>
        <w:ind w:left="890" w:hanging="890"/>
      </w:pPr>
      <w:r>
        <w:t>[</w:t>
      </w:r>
      <w:r>
        <w:rPr>
          <w:b/>
        </w:rPr>
        <w:t>66.</w:t>
      </w:r>
      <w:r>
        <w:tab/>
        <w:t>Deleted by No. 79 of 1987 s. 20.]</w:t>
      </w:r>
    </w:p>
    <w:p>
      <w:pPr>
        <w:pStyle w:val="Ednotesection"/>
        <w:spacing w:before="170"/>
        <w:ind w:left="890" w:hanging="890"/>
      </w:pPr>
      <w:r>
        <w:t>[</w:t>
      </w:r>
      <w:r>
        <w:rPr>
          <w:b/>
        </w:rPr>
        <w:t>66A.</w:t>
      </w:r>
      <w:r>
        <w:tab/>
        <w:t>Deleted by No. 47 of 1940 s. 2.]</w:t>
      </w:r>
    </w:p>
    <w:p>
      <w:pPr>
        <w:pStyle w:val="Heading5"/>
        <w:spacing w:before="170"/>
        <w:rPr>
          <w:snapToGrid w:val="0"/>
        </w:rPr>
      </w:pPr>
      <w:bookmarkStart w:id="491" w:name="_Toc402969348"/>
      <w:bookmarkStart w:id="492" w:name="_Toc436058141"/>
      <w:bookmarkStart w:id="493" w:name="_Toc416703164"/>
      <w:r>
        <w:rPr>
          <w:rStyle w:val="CharSectno"/>
        </w:rPr>
        <w:t>67</w:t>
      </w:r>
      <w:r>
        <w:rPr>
          <w:snapToGrid w:val="0"/>
        </w:rPr>
        <w:t>.</w:t>
      </w:r>
      <w:r>
        <w:rPr>
          <w:snapToGrid w:val="0"/>
        </w:rPr>
        <w:tab/>
        <w:t>Vacancy in Assembly, issue of writ for etc.</w:t>
      </w:r>
      <w:bookmarkEnd w:id="491"/>
      <w:bookmarkEnd w:id="492"/>
      <w:bookmarkEnd w:id="493"/>
    </w:p>
    <w:p>
      <w:pPr>
        <w:pStyle w:val="Subsection"/>
        <w:spacing w:before="110"/>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ind w:left="890" w:hanging="890"/>
      </w:pPr>
      <w:r>
        <w:tab/>
        <w:t>[Section 67 amended by No. 44 of 1911 s. 24 and 43; No. 78 of 1984 s. 16; No. 40 of 1987 s. 39; No. 36 of 2000 s. 10; No. 64 of 2006 s. 53.]</w:t>
      </w:r>
    </w:p>
    <w:p>
      <w:pPr>
        <w:pStyle w:val="Heading5"/>
        <w:rPr>
          <w:snapToGrid w:val="0"/>
        </w:rPr>
      </w:pPr>
      <w:bookmarkStart w:id="494" w:name="_Toc402969349"/>
      <w:bookmarkStart w:id="495" w:name="_Toc436058142"/>
      <w:bookmarkStart w:id="496" w:name="_Toc416703165"/>
      <w:r>
        <w:rPr>
          <w:rStyle w:val="CharSectno"/>
        </w:rPr>
        <w:t>68</w:t>
      </w:r>
      <w:r>
        <w:rPr>
          <w:snapToGrid w:val="0"/>
        </w:rPr>
        <w:t>.</w:t>
      </w:r>
      <w:r>
        <w:rPr>
          <w:snapToGrid w:val="0"/>
        </w:rPr>
        <w:tab/>
        <w:t>Writ deemed to be issued at 6 p.m. on day of issue</w:t>
      </w:r>
      <w:bookmarkEnd w:id="494"/>
      <w:bookmarkEnd w:id="495"/>
      <w:bookmarkEnd w:id="496"/>
    </w:p>
    <w:p>
      <w:pPr>
        <w:pStyle w:val="Ednotesubsection"/>
      </w:pPr>
      <w:r>
        <w:tab/>
        <w:t>[(1)</w:t>
      </w:r>
      <w:r>
        <w:tab/>
        <w:t>deleted]</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[Section 68 amended by No. 9 of 1983 s. 15; No. 40 of 1987 s. 40.]</w:t>
      </w:r>
    </w:p>
    <w:p>
      <w:pPr>
        <w:pStyle w:val="Heading5"/>
      </w:pPr>
      <w:bookmarkStart w:id="497" w:name="_Toc402969350"/>
      <w:bookmarkStart w:id="498" w:name="_Toc436058143"/>
      <w:bookmarkStart w:id="499" w:name="_Toc416703166"/>
      <w:r>
        <w:rPr>
          <w:rStyle w:val="CharSectno"/>
        </w:rPr>
        <w:t>69</w:t>
      </w:r>
      <w:r>
        <w:t>.</w:t>
      </w:r>
      <w:r>
        <w:tab/>
        <w:t>Writ, form and content of</w:t>
      </w:r>
      <w:bookmarkEnd w:id="497"/>
      <w:bookmarkEnd w:id="498"/>
      <w:bookmarkEnd w:id="499"/>
    </w:p>
    <w:p>
      <w:pPr>
        <w:pStyle w:val="Subsection"/>
      </w:pPr>
      <w:r>
        <w:tab/>
      </w:r>
      <w:r>
        <w:tab/>
        <w:t>A writ is to be in the prescribed form and is to fix —</w:t>
      </w:r>
    </w:p>
    <w:p>
      <w:pPr>
        <w:pStyle w:val="Indenta"/>
      </w:pPr>
      <w:r>
        <w:tab/>
        <w:t>(a)</w:t>
      </w:r>
      <w:r>
        <w:tab/>
        <w:t>the last day for the nomination of candidates; and</w:t>
      </w:r>
    </w:p>
    <w:p>
      <w:pPr>
        <w:pStyle w:val="Indenta"/>
      </w:pPr>
      <w:r>
        <w:tab/>
        <w:t>(b)</w:t>
      </w:r>
      <w:r>
        <w:tab/>
        <w:t>the day for the polling (</w:t>
      </w:r>
      <w:r>
        <w:rPr>
          <w:rStyle w:val="CharDefText"/>
        </w:rPr>
        <w:t>polling day</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500" w:name="_Toc402969351"/>
      <w:bookmarkStart w:id="501" w:name="_Toc436058144"/>
      <w:bookmarkStart w:id="502" w:name="_Toc416703167"/>
      <w:r>
        <w:rPr>
          <w:rStyle w:val="CharSectno"/>
        </w:rPr>
        <w:t>69A</w:t>
      </w:r>
      <w:r>
        <w:rPr>
          <w:snapToGrid w:val="0"/>
        </w:rPr>
        <w:t>.</w:t>
      </w:r>
      <w:r>
        <w:rPr>
          <w:snapToGrid w:val="0"/>
        </w:rPr>
        <w:tab/>
        <w:t>Rolls, when closed after issue of writ</w:t>
      </w:r>
      <w:bookmarkEnd w:id="500"/>
      <w:bookmarkEnd w:id="501"/>
      <w:bookmarkEnd w:id="502"/>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[Section 69A inserted by No. 79 of 1987 s. 21.]</w:t>
      </w:r>
    </w:p>
    <w:p>
      <w:pPr>
        <w:pStyle w:val="Heading5"/>
      </w:pPr>
      <w:bookmarkStart w:id="503" w:name="_Toc402969352"/>
      <w:bookmarkStart w:id="504" w:name="_Toc436058145"/>
      <w:bookmarkStart w:id="505" w:name="_Toc416703168"/>
      <w:r>
        <w:rPr>
          <w:rStyle w:val="CharSectno"/>
        </w:rPr>
        <w:t>70</w:t>
      </w:r>
      <w:r>
        <w:t>.</w:t>
      </w:r>
      <w:r>
        <w:tab/>
        <w:t>Last day for nomination, rules for fixing</w:t>
      </w:r>
      <w:bookmarkEnd w:id="503"/>
      <w:bookmarkEnd w:id="504"/>
      <w:bookmarkEnd w:id="505"/>
    </w:p>
    <w:p>
      <w:pPr>
        <w:pStyle w:val="Subsection"/>
      </w:pPr>
      <w:r>
        <w:tab/>
        <w:t>(1)</w:t>
      </w:r>
      <w:r>
        <w:tab/>
        <w:t>Subject to subsection (2), the date fixed as the last day for the nomination of candidates shall be not less than 7 nor more than 45 days after the date of the writ.</w:t>
      </w:r>
    </w:p>
    <w:p>
      <w:pPr>
        <w:pStyle w:val="Subsection"/>
      </w:pPr>
      <w:r>
        <w:tab/>
        <w:t>(2)</w:t>
      </w:r>
      <w:r>
        <w:tab/>
        <w:t>In the case of a periodic election the date fixed as the last day for the nomination of candidates shall be the second Friday next following the date of the writ.</w:t>
      </w:r>
    </w:p>
    <w:p>
      <w:pPr>
        <w:pStyle w:val="Footnotesection"/>
        <w:ind w:left="890" w:hanging="890"/>
      </w:pPr>
      <w:r>
        <w:tab/>
        <w:t>[Section 70 inserted by No. 49 of 2011 s. 6.]</w:t>
      </w:r>
    </w:p>
    <w:p>
      <w:pPr>
        <w:pStyle w:val="Heading5"/>
      </w:pPr>
      <w:bookmarkStart w:id="506" w:name="_Toc402969353"/>
      <w:bookmarkStart w:id="507" w:name="_Toc436058146"/>
      <w:bookmarkStart w:id="508" w:name="_Toc416703169"/>
      <w:r>
        <w:rPr>
          <w:rStyle w:val="CharSectno"/>
        </w:rPr>
        <w:t>71</w:t>
      </w:r>
      <w:r>
        <w:t>.</w:t>
      </w:r>
      <w:r>
        <w:tab/>
        <w:t>Polling day, rules for fixing</w:t>
      </w:r>
      <w:bookmarkEnd w:id="506"/>
      <w:bookmarkEnd w:id="507"/>
      <w:bookmarkEnd w:id="508"/>
    </w:p>
    <w:p>
      <w:pPr>
        <w:pStyle w:val="Subsection"/>
      </w:pPr>
      <w:r>
        <w:tab/>
        <w:t>(1)</w:t>
      </w:r>
      <w:r>
        <w:tab/>
        <w:t>In this section —</w:t>
      </w:r>
    </w:p>
    <w:p>
      <w:pPr>
        <w:pStyle w:val="Defstart"/>
      </w:pPr>
      <w:r>
        <w:tab/>
      </w:r>
      <w:r>
        <w:rPr>
          <w:rStyle w:val="CharDefText"/>
        </w:rPr>
        <w:t>available day</w:t>
      </w:r>
      <w:r>
        <w:t xml:space="preserve"> means any day that is not an excluded day;</w:t>
      </w:r>
    </w:p>
    <w:p>
      <w:pPr>
        <w:pStyle w:val="Defstart"/>
      </w:pPr>
      <w:r>
        <w:tab/>
      </w:r>
      <w:r>
        <w:rPr>
          <w:rStyle w:val="CharDefText"/>
        </w:rPr>
        <w:t>excluded day</w:t>
      </w:r>
      <w:r>
        <w:t xml:space="preserve"> means —</w:t>
      </w:r>
    </w:p>
    <w:p>
      <w:pPr>
        <w:pStyle w:val="Defpara"/>
      </w:pPr>
      <w:r>
        <w:tab/>
        <w:t>(a)</w:t>
      </w:r>
      <w:r>
        <w:tab/>
        <w:t xml:space="preserve">a day appointed as polling day for an election of the Senate or a general election of the House of Representatives or as the voting day for a referendum as defined in the </w:t>
      </w:r>
      <w:r>
        <w:rPr>
          <w:i/>
          <w:iCs/>
        </w:rPr>
        <w:t xml:space="preserve">Referendum (Machinery Provisions) Act 1984 </w:t>
      </w:r>
      <w:r>
        <w:t>(Commonwealth); or</w:t>
      </w:r>
    </w:p>
    <w:p>
      <w:pPr>
        <w:pStyle w:val="Defpara"/>
      </w:pPr>
      <w:r>
        <w:tab/>
        <w:t>(b)</w:t>
      </w:r>
      <w:r>
        <w:tab/>
        <w:t>Easter Saturday or the Saturday immediately preceding or succeeding Easter Saturday.</w:t>
      </w:r>
    </w:p>
    <w:p>
      <w:pPr>
        <w:pStyle w:val="Subsection"/>
      </w:pPr>
      <w:r>
        <w:tab/>
        <w:t>(2)</w:t>
      </w:r>
      <w:r>
        <w:tab/>
        <w:t>Subsection (3) applies to any election other than an election held as part of a periodic election.</w:t>
      </w:r>
    </w:p>
    <w:p>
      <w:pPr>
        <w:pStyle w:val="Subsection"/>
      </w:pPr>
      <w:r>
        <w:tab/>
        <w:t>(3)</w:t>
      </w:r>
      <w:r>
        <w:tab/>
        <w:t>The date fixed for the polling in an election to which this subsection applies shall be a Saturday that —</w:t>
      </w:r>
    </w:p>
    <w:p>
      <w:pPr>
        <w:pStyle w:val="Indenta"/>
      </w:pPr>
      <w:r>
        <w:tab/>
        <w:t>(a)</w:t>
      </w:r>
      <w:r>
        <w:tab/>
        <w:t>is not less than 21 nor more than 45 days after the date of nomination; and</w:t>
      </w:r>
    </w:p>
    <w:p>
      <w:pPr>
        <w:pStyle w:val="Indenta"/>
      </w:pPr>
      <w:r>
        <w:tab/>
        <w:t>(b)</w:t>
      </w:r>
      <w:r>
        <w:tab/>
        <w:t>is an available day.</w:t>
      </w:r>
    </w:p>
    <w:p>
      <w:pPr>
        <w:pStyle w:val="Subsection"/>
      </w:pPr>
      <w:r>
        <w:tab/>
        <w:t>(4)</w:t>
      </w:r>
      <w:r>
        <w:tab/>
        <w:t>The same date shall be fixed under subsection (3) for the polling in each election in a district held as part of a general election for the Assembly for which the writ is issued under section 64(1).</w:t>
      </w:r>
    </w:p>
    <w:p>
      <w:pPr>
        <w:pStyle w:val="Subsection"/>
      </w:pPr>
      <w:r>
        <w:tab/>
        <w:t>(5)</w:t>
      </w:r>
      <w:r>
        <w:tab/>
        <w:t>In the case of a periodic election, the date fixed for the polling in each election in a region or election in a district, as the case requires, shall be —</w:t>
      </w:r>
    </w:p>
    <w:p>
      <w:pPr>
        <w:pStyle w:val="Indenta"/>
      </w:pPr>
      <w:r>
        <w:tab/>
        <w:t>(a)</w:t>
      </w:r>
      <w:r>
        <w:tab/>
        <w:t>the second Saturday of March in the election year; or</w:t>
      </w:r>
    </w:p>
    <w:p>
      <w:pPr>
        <w:pStyle w:val="Indenta"/>
      </w:pPr>
      <w:r>
        <w:tab/>
        <w:t>(b)</w:t>
      </w:r>
      <w:r>
        <w:tab/>
        <w:t>if the second Saturday of March in the election year is an excluded day, the first succeeding Saturday that is an available day.</w:t>
      </w:r>
    </w:p>
    <w:p>
      <w:pPr>
        <w:pStyle w:val="Subsection"/>
      </w:pPr>
      <w:r>
        <w:tab/>
        <w:t>(6)</w:t>
      </w:r>
      <w:r>
        <w:tab/>
        <w:t>If in the case of a periodic election the Premier, with the agreement of the Leader of the Opposition in the Legislative Assembly, recommends to the Governor that the date to be fixed for the polling be postponed because of exceptional circumstances, the date fixed for the polling shall be the first Saturday after the second Saturday of March that is an available day on which polling is practicable.</w:t>
      </w:r>
    </w:p>
    <w:p>
      <w:pPr>
        <w:pStyle w:val="Subsection"/>
      </w:pPr>
      <w:r>
        <w:tab/>
        <w:t>(7)</w:t>
      </w:r>
      <w:r>
        <w:tab/>
        <w:t>In the case of a general election for the Council, the date fixed for the polling shall not be postponed to such an extent as would prevent the return of the writ on or before 21 May in the year in which seats in the Council are to be vacated by effluxion of time.</w:t>
      </w:r>
    </w:p>
    <w:p>
      <w:pPr>
        <w:pStyle w:val="Footnotesection"/>
        <w:spacing w:before="80"/>
        <w:ind w:left="890" w:hanging="890"/>
      </w:pPr>
      <w:r>
        <w:tab/>
        <w:t>[Section 71 inserted by No. 49 of 2011 s. 7.]</w:t>
      </w:r>
    </w:p>
    <w:p>
      <w:pPr>
        <w:pStyle w:val="Heading5"/>
        <w:spacing w:before="200"/>
        <w:rPr>
          <w:snapToGrid w:val="0"/>
        </w:rPr>
      </w:pPr>
      <w:bookmarkStart w:id="509" w:name="_Toc402969354"/>
      <w:bookmarkStart w:id="510" w:name="_Toc436058147"/>
      <w:bookmarkStart w:id="511" w:name="_Toc416703170"/>
      <w:r>
        <w:rPr>
          <w:rStyle w:val="CharSectno"/>
        </w:rPr>
        <w:t>72</w:t>
      </w:r>
      <w:r>
        <w:rPr>
          <w:snapToGrid w:val="0"/>
        </w:rPr>
        <w:t>.</w:t>
      </w:r>
      <w:r>
        <w:rPr>
          <w:snapToGrid w:val="0"/>
        </w:rPr>
        <w:tab/>
        <w:t>Last day for return of writ, rules for fixing</w:t>
      </w:r>
      <w:bookmarkEnd w:id="509"/>
      <w:bookmarkEnd w:id="510"/>
      <w:bookmarkEnd w:id="511"/>
    </w:p>
    <w:p>
      <w:pPr>
        <w:pStyle w:val="Subsection"/>
        <w:spacing w:before="140"/>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Subsection"/>
        <w:spacing w:before="140"/>
      </w:pPr>
      <w:r>
        <w:tab/>
        <w:t>(2)</w:t>
      </w:r>
      <w:r>
        <w:tab/>
        <w:t>In the case of a general election for the Council, the date fixed as the last day for the return of a writ in the election shall be not later than 21 May in the year in which seats in the Council are to be vacated by effluxion of time.</w:t>
      </w:r>
    </w:p>
    <w:p>
      <w:pPr>
        <w:pStyle w:val="Footnotesection"/>
        <w:spacing w:before="80"/>
        <w:ind w:left="890" w:hanging="890"/>
      </w:pPr>
      <w:r>
        <w:tab/>
        <w:t>[Section 72 amended by No. 63 of 1948 s. 15; No. 9 of 1983 s. 17; No. 79 of 1987 s. 24; No. 36 of 2000 s. 12; No. 49 of 2011 s. 8.]</w:t>
      </w:r>
    </w:p>
    <w:p>
      <w:pPr>
        <w:pStyle w:val="Ednotesection"/>
        <w:spacing w:before="200"/>
      </w:pPr>
      <w:r>
        <w:t>[</w:t>
      </w:r>
      <w:r>
        <w:rPr>
          <w:b/>
        </w:rPr>
        <w:t>73.</w:t>
      </w:r>
      <w:r>
        <w:tab/>
        <w:t>Deleted by No. 36 of 2000 s. 13.]</w:t>
      </w:r>
    </w:p>
    <w:p>
      <w:pPr>
        <w:pStyle w:val="Heading5"/>
        <w:spacing w:before="200"/>
      </w:pPr>
      <w:bookmarkStart w:id="512" w:name="_Toc402969355"/>
      <w:bookmarkStart w:id="513" w:name="_Toc436058148"/>
      <w:bookmarkStart w:id="514" w:name="_Toc416703171"/>
      <w:r>
        <w:rPr>
          <w:rStyle w:val="CharSectno"/>
        </w:rPr>
        <w:t>74</w:t>
      </w:r>
      <w:r>
        <w:t>.</w:t>
      </w:r>
      <w:r>
        <w:tab/>
        <w:t>Writ to be addressed to Electoral Commissioner who is to forward copy to returning officer etc.</w:t>
      </w:r>
      <w:bookmarkEnd w:id="512"/>
      <w:bookmarkEnd w:id="513"/>
      <w:bookmarkEnd w:id="514"/>
    </w:p>
    <w:p>
      <w:pPr>
        <w:pStyle w:val="Subsection"/>
        <w:spacing w:before="140"/>
      </w:pPr>
      <w:r>
        <w:tab/>
      </w:r>
      <w:r>
        <w:tab/>
        <w:t>A writ is to be addressed to the Electoral Commissioner and the Electoral Commissioner is to forward a copy of the writ —</w:t>
      </w:r>
    </w:p>
    <w:p>
      <w:pPr>
        <w:pStyle w:val="Indenta"/>
        <w:spacing w:before="60"/>
      </w:pPr>
      <w:r>
        <w:tab/>
        <w:t>(a)</w:t>
      </w:r>
      <w:r>
        <w:tab/>
        <w:t>in the case of a general election for the Council, to the returning officer and deputy returning officers for each region;</w:t>
      </w:r>
    </w:p>
    <w:p>
      <w:pPr>
        <w:pStyle w:val="Indenta"/>
        <w:spacing w:before="60"/>
      </w:pPr>
      <w:r>
        <w:tab/>
        <w:t>(b)</w:t>
      </w:r>
      <w:r>
        <w:tab/>
        <w:t>in the case of any other election in a region, to the returning officer and deputy returning officers for the region;</w:t>
      </w:r>
    </w:p>
    <w:p>
      <w:pPr>
        <w:pStyle w:val="Indenta"/>
        <w:spacing w:before="60"/>
      </w:pPr>
      <w:r>
        <w:tab/>
        <w:t>(c)</w:t>
      </w:r>
      <w:r>
        <w:tab/>
        <w:t>in the case of a general election for the Assembly, to the returning officer for each district;</w:t>
      </w:r>
    </w:p>
    <w:p>
      <w:pPr>
        <w:pStyle w:val="Indenta"/>
        <w:spacing w:before="60"/>
      </w:pPr>
      <w:r>
        <w:tab/>
        <w:t>(d)</w:t>
      </w:r>
      <w:r>
        <w:tab/>
        <w:t>in the case of any other election in a district, to the returning officer for the district.</w:t>
      </w:r>
    </w:p>
    <w:p>
      <w:pPr>
        <w:pStyle w:val="Footnotesection"/>
        <w:spacing w:before="80"/>
        <w:ind w:left="890" w:hanging="890"/>
      </w:pPr>
      <w:r>
        <w:tab/>
        <w:t>[Section 74 inserted by No. 36 of 2000 s. 14.]</w:t>
      </w:r>
    </w:p>
    <w:p>
      <w:pPr>
        <w:pStyle w:val="Heading5"/>
        <w:rPr>
          <w:snapToGrid w:val="0"/>
        </w:rPr>
      </w:pPr>
      <w:bookmarkStart w:id="515" w:name="_Toc402969356"/>
      <w:bookmarkStart w:id="516" w:name="_Toc436058149"/>
      <w:bookmarkStart w:id="517" w:name="_Toc416703172"/>
      <w:r>
        <w:rPr>
          <w:rStyle w:val="CharSectno"/>
        </w:rPr>
        <w:t>75</w:t>
      </w:r>
      <w:r>
        <w:rPr>
          <w:snapToGrid w:val="0"/>
        </w:rPr>
        <w:t>.</w:t>
      </w:r>
      <w:r>
        <w:rPr>
          <w:snapToGrid w:val="0"/>
        </w:rPr>
        <w:tab/>
        <w:t>Advertisement of writ etc., Electoral Commissioner’s duties as to</w:t>
      </w:r>
      <w:bookmarkEnd w:id="515"/>
      <w:bookmarkEnd w:id="516"/>
      <w:bookmarkEnd w:id="517"/>
    </w:p>
    <w:p>
      <w:pPr>
        <w:pStyle w:val="Subsection"/>
        <w:rPr>
          <w:spacing w:val="-4"/>
        </w:rPr>
      </w:pPr>
      <w:r>
        <w:rPr>
          <w:spacing w:val="-4"/>
        </w:rPr>
        <w:tab/>
        <w:t>(1)</w:t>
      </w:r>
      <w:r>
        <w:rPr>
          <w:spacing w:val="-4"/>
        </w:rPr>
        <w:tab/>
        <w:t>Having received a writ for an election in a region or an election in a district the Electoral Commissioner is to —</w:t>
      </w:r>
    </w:p>
    <w:p>
      <w:pPr>
        <w:pStyle w:val="Indenta"/>
      </w:pPr>
      <w:r>
        <w:tab/>
        <w:t>(a)</w:t>
      </w:r>
      <w:r>
        <w:tab/>
        <w:t>advertise in the region or district the day of issue of the writ and the writ’s particulars; and</w:t>
      </w:r>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rStyle w:val="CharDefText"/>
        </w:rPr>
        <w:t>advertise</w:t>
      </w:r>
      <w:r>
        <w:rPr>
          <w:snapToGrid w:val="0"/>
        </w:rPr>
        <w:t xml:space="preserve"> in relation to a region or district means advertise in a newspaper circulating in the region or district, or by placards or otherwise.</w:t>
      </w:r>
    </w:p>
    <w:p>
      <w:pPr>
        <w:pStyle w:val="Footnotesection"/>
      </w:pPr>
      <w:r>
        <w:tab/>
        <w:t>[Section 75 inserted by No. 40 of 1987 s. 41; amended by No. 58 of 1988 s. 4; No. 36 of 2000 s. 15; No. 64 of 2006 s. 53.]</w:t>
      </w:r>
    </w:p>
    <w:p>
      <w:pPr>
        <w:pStyle w:val="Heading5"/>
        <w:rPr>
          <w:snapToGrid w:val="0"/>
        </w:rPr>
      </w:pPr>
      <w:bookmarkStart w:id="518" w:name="_Toc402969357"/>
      <w:bookmarkStart w:id="519" w:name="_Toc436058150"/>
      <w:bookmarkStart w:id="520" w:name="_Toc416703173"/>
      <w:r>
        <w:rPr>
          <w:rStyle w:val="CharSectno"/>
        </w:rPr>
        <w:t>76</w:t>
      </w:r>
      <w:r>
        <w:rPr>
          <w:snapToGrid w:val="0"/>
        </w:rPr>
        <w:t>.</w:t>
      </w:r>
      <w:r>
        <w:rPr>
          <w:snapToGrid w:val="0"/>
        </w:rPr>
        <w:tab/>
        <w:t>Time fixed in writ, extending</w:t>
      </w:r>
      <w:bookmarkEnd w:id="518"/>
      <w:bookmarkEnd w:id="519"/>
      <w:bookmarkEnd w:id="520"/>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pPr>
      <w:r>
        <w:tab/>
        <w:t>(3)</w:t>
      </w:r>
      <w:r>
        <w:tab/>
        <w:t>In the case of a general election for the Council —</w:t>
      </w:r>
    </w:p>
    <w:p>
      <w:pPr>
        <w:pStyle w:val="Indenta"/>
      </w:pPr>
      <w:r>
        <w:tab/>
        <w:t>(a)</w:t>
      </w:r>
      <w:r>
        <w:tab/>
        <w:t>the time appointed for the nomination of candidates or the taking of the poll shall not be extended to such an extent as would prevent the return of the writ on or before 21 May; and</w:t>
      </w:r>
    </w:p>
    <w:p>
      <w:pPr>
        <w:pStyle w:val="Indenta"/>
      </w:pPr>
      <w:r>
        <w:tab/>
        <w:t>(b)</w:t>
      </w:r>
      <w:r>
        <w:tab/>
        <w:t>the time appointed for the return of the writ shall not be extended beyond 21 May,</w:t>
      </w:r>
    </w:p>
    <w:p>
      <w:pPr>
        <w:pStyle w:val="Subsection"/>
      </w:pPr>
      <w:r>
        <w:tab/>
      </w:r>
      <w:r>
        <w:tab/>
        <w:t>in the year in which seats in the Council are to be vacated by effluxion of time.</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[Section 76 inserted by No. 40 of 1987 s. 41; amended by No. 36 of 2000 s. 16; No. 49 of 2011 s. 9.]</w:t>
      </w:r>
    </w:p>
    <w:p>
      <w:pPr>
        <w:pStyle w:val="Heading3"/>
      </w:pPr>
      <w:bookmarkStart w:id="521" w:name="_Toc402969358"/>
      <w:bookmarkStart w:id="522" w:name="_Toc416702790"/>
      <w:bookmarkStart w:id="523" w:name="_Toc416703174"/>
      <w:bookmarkStart w:id="524" w:name="_Toc435714426"/>
      <w:bookmarkStart w:id="525" w:name="_Toc436057541"/>
      <w:bookmarkStart w:id="526" w:name="_Toc436057929"/>
      <w:bookmarkStart w:id="527" w:name="_Toc436058314"/>
      <w:bookmarkStart w:id="528" w:name="_Toc436058151"/>
      <w:r>
        <w:rPr>
          <w:rStyle w:val="CharDivNo"/>
        </w:rPr>
        <w:t>Division (2)</w:t>
      </w:r>
      <w:r>
        <w:rPr>
          <w:snapToGrid w:val="0"/>
        </w:rPr>
        <w:t> — </w:t>
      </w:r>
      <w:r>
        <w:rPr>
          <w:rStyle w:val="CharDivText"/>
        </w:rPr>
        <w:t>Nominations</w:t>
      </w:r>
      <w:bookmarkEnd w:id="521"/>
      <w:bookmarkEnd w:id="522"/>
      <w:bookmarkEnd w:id="523"/>
      <w:bookmarkEnd w:id="524"/>
      <w:bookmarkEnd w:id="525"/>
      <w:bookmarkEnd w:id="526"/>
      <w:bookmarkEnd w:id="527"/>
      <w:bookmarkEnd w:id="528"/>
    </w:p>
    <w:p>
      <w:pPr>
        <w:pStyle w:val="Heading5"/>
      </w:pPr>
      <w:bookmarkStart w:id="529" w:name="_Toc402969359"/>
      <w:bookmarkStart w:id="530" w:name="_Toc436058152"/>
      <w:bookmarkStart w:id="531" w:name="_Toc416703175"/>
      <w:r>
        <w:rPr>
          <w:rStyle w:val="CharSectno"/>
        </w:rPr>
        <w:t>76A</w:t>
      </w:r>
      <w:r>
        <w:t>.</w:t>
      </w:r>
      <w:r>
        <w:tab/>
        <w:t>Who is qualified to be elected as MP</w:t>
      </w:r>
      <w:bookmarkEnd w:id="529"/>
      <w:bookmarkEnd w:id="530"/>
      <w:bookmarkEnd w:id="531"/>
    </w:p>
    <w:p>
      <w:pPr>
        <w:pStyle w:val="Subsection"/>
      </w:pPr>
      <w:r>
        <w:tab/>
        <w:t>(1)</w:t>
      </w:r>
      <w:r>
        <w:tab/>
        <w:t>Unless this Act or another enactment provides otherwise, a person who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rPr>
          <w:snapToGrid w:val="0"/>
        </w:rPr>
      </w:pPr>
      <w:r>
        <w:tab/>
        <w:t>(2)</w:t>
      </w:r>
      <w:r>
        <w:tab/>
        <w:t xml:space="preserve">The </w:t>
      </w:r>
      <w:r>
        <w:rPr>
          <w:snapToGrid w:val="0"/>
        </w:rPr>
        <w:t>reference</w:t>
      </w:r>
      <w:r>
        <w:t xml:space="preserve"> in subsection (1)(e) to an elector </w:t>
      </w:r>
      <w:r>
        <w:rPr>
          <w:snapToGrid w:val="0"/>
        </w:rPr>
        <w:t xml:space="preserve">entitled to vote at an election in a district includes a </w:t>
      </w:r>
      <w:r>
        <w:t>reference</w:t>
      </w:r>
      <w:r>
        <w:rPr>
          <w:snapToGrid w:val="0"/>
        </w:rPr>
        <w:t xml:space="preserve"> to a person if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r>
        <w:tab/>
        <w:t>[Section 76A inserted by No. 64 of 2006 s. 27(1).]</w:t>
      </w:r>
    </w:p>
    <w:p>
      <w:pPr>
        <w:pStyle w:val="Heading5"/>
      </w:pPr>
      <w:bookmarkStart w:id="532" w:name="_Toc402969360"/>
      <w:bookmarkStart w:id="533" w:name="_Toc436058153"/>
      <w:bookmarkStart w:id="534" w:name="_Toc416703176"/>
      <w:r>
        <w:rPr>
          <w:rStyle w:val="CharSectno"/>
        </w:rPr>
        <w:t>76B</w:t>
      </w:r>
      <w:r>
        <w:t>.</w:t>
      </w:r>
      <w:r>
        <w:tab/>
        <w:t>Who is not qualified to be elected as MP</w:t>
      </w:r>
      <w:bookmarkEnd w:id="532"/>
      <w:bookmarkEnd w:id="533"/>
      <w:bookmarkEnd w:id="534"/>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by No. 64 of 2006 s. 27(1).]</w:t>
      </w:r>
    </w:p>
    <w:p>
      <w:pPr>
        <w:pStyle w:val="Heading5"/>
        <w:rPr>
          <w:snapToGrid w:val="0"/>
        </w:rPr>
      </w:pPr>
      <w:bookmarkStart w:id="535" w:name="_Toc402969361"/>
      <w:bookmarkStart w:id="536" w:name="_Toc436058154"/>
      <w:bookmarkStart w:id="537" w:name="_Toc416703177"/>
      <w:r>
        <w:rPr>
          <w:rStyle w:val="CharSectno"/>
        </w:rPr>
        <w:t>77</w:t>
      </w:r>
      <w:r>
        <w:rPr>
          <w:snapToGrid w:val="0"/>
        </w:rPr>
        <w:t>.</w:t>
      </w:r>
      <w:r>
        <w:rPr>
          <w:snapToGrid w:val="0"/>
        </w:rPr>
        <w:tab/>
        <w:t>Candidates to nominate; invalid nominations etc.</w:t>
      </w:r>
      <w:bookmarkEnd w:id="535"/>
      <w:bookmarkEnd w:id="536"/>
      <w:bookmarkEnd w:id="537"/>
    </w:p>
    <w:p>
      <w:pPr>
        <w:pStyle w:val="Subsection"/>
        <w:rPr>
          <w:snapToGrid w:val="0"/>
        </w:rPr>
      </w:pPr>
      <w:r>
        <w:rPr>
          <w:snapToGrid w:val="0"/>
        </w:rPr>
        <w:tab/>
        <w:t>(1)</w:t>
      </w:r>
      <w:r>
        <w:rPr>
          <w:snapToGrid w:val="0"/>
        </w:rPr>
        <w:tab/>
        <w:t>A person shall not be capable of being elected at an election unless he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[Section 77 inserted by No. 40 of 1987 s. 42; amended by No. 50 of 2003 s. 56(2); No. 64 of 2006 s. 28 and 53.]</w:t>
      </w:r>
    </w:p>
    <w:p>
      <w:pPr>
        <w:pStyle w:val="Heading5"/>
        <w:rPr>
          <w:snapToGrid w:val="0"/>
        </w:rPr>
      </w:pPr>
      <w:bookmarkStart w:id="538" w:name="_Toc402969362"/>
      <w:bookmarkStart w:id="539" w:name="_Toc436058155"/>
      <w:bookmarkStart w:id="540" w:name="_Toc416703178"/>
      <w:r>
        <w:rPr>
          <w:rStyle w:val="CharSectno"/>
        </w:rPr>
        <w:t>78</w:t>
      </w:r>
      <w:r>
        <w:rPr>
          <w:snapToGrid w:val="0"/>
        </w:rPr>
        <w:t>.</w:t>
      </w:r>
      <w:r>
        <w:rPr>
          <w:snapToGrid w:val="0"/>
        </w:rPr>
        <w:tab/>
        <w:t>Nomination, form and content of etc.</w:t>
      </w:r>
      <w:bookmarkEnd w:id="538"/>
      <w:bookmarkEnd w:id="539"/>
      <w:bookmarkEnd w:id="540"/>
    </w:p>
    <w:p>
      <w:pPr>
        <w:pStyle w:val="Subsection"/>
        <w:rPr>
          <w:snapToGrid w:val="0"/>
        </w:rPr>
      </w:pPr>
      <w:r>
        <w:rPr>
          <w:snapToGrid w:val="0"/>
        </w:rPr>
        <w:tab/>
        <w:t>(1)</w:t>
      </w:r>
      <w:r>
        <w:rPr>
          <w:snapToGrid w:val="0"/>
        </w:rPr>
        <w:tab/>
        <w:t>Nominations may be in</w:t>
      </w:r>
      <w:r>
        <w:t xml:space="preserve"> an approved form</w:t>
      </w:r>
      <w:r>
        <w:rPr>
          <w:snapToGrid w:val="0"/>
        </w:rPr>
        <w:t xml:space="preserve"> and shall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pPr>
      <w:r>
        <w:tab/>
        <w:t>(2A)</w:t>
      </w:r>
      <w:r>
        <w:tab/>
        <w:t>Despite subsection (1)(b), the place of residence of a candidate is not required to be stated on the nomination form if the candidate’s residence is not shown on the roll because a request under section 51B has been granted.</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w:t>
      </w:r>
    </w:p>
    <w:p>
      <w:pPr>
        <w:pStyle w:val="Indenta"/>
        <w:spacing w:before="60"/>
        <w:rPr>
          <w:snapToGrid w:val="0"/>
        </w:rPr>
      </w:pPr>
      <w:r>
        <w:rPr>
          <w:snapToGrid w:val="0"/>
        </w:rPr>
        <w:tab/>
        <w:t>(a)</w:t>
      </w:r>
      <w:r>
        <w:rPr>
          <w:snapToGrid w:val="0"/>
        </w:rPr>
        <w:tab/>
        <w:t>the name; or</w:t>
      </w:r>
    </w:p>
    <w:p>
      <w:pPr>
        <w:pStyle w:val="Indenta"/>
        <w:spacing w:before="60"/>
        <w:rPr>
          <w:snapToGrid w:val="0"/>
        </w:rPr>
      </w:pPr>
      <w:r>
        <w:rPr>
          <w:snapToGrid w:val="0"/>
        </w:rPr>
        <w:tab/>
        <w:t>(b)</w:t>
      </w:r>
      <w:r>
        <w:rPr>
          <w:snapToGrid w:val="0"/>
        </w:rPr>
        <w:tab/>
        <w:t>an initial standing for the name; or</w:t>
      </w:r>
    </w:p>
    <w:p>
      <w:pPr>
        <w:pStyle w:val="Indenta"/>
        <w:spacing w:before="60"/>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[Section 78 amended by No. 44 of 1911 s. 43; No. 51 of 1962 s. 5; No. 79 of 1987 s. 25; No. 36 of 2000 s. 34; No. 35 of 2012 s. 7 and 12.]</w:t>
      </w:r>
    </w:p>
    <w:p>
      <w:pPr>
        <w:pStyle w:val="Heading5"/>
        <w:rPr>
          <w:snapToGrid w:val="0"/>
        </w:rPr>
      </w:pPr>
      <w:bookmarkStart w:id="541" w:name="_Toc402969363"/>
      <w:bookmarkStart w:id="542" w:name="_Toc436058156"/>
      <w:bookmarkStart w:id="543" w:name="_Toc416703179"/>
      <w:r>
        <w:rPr>
          <w:rStyle w:val="CharSectno"/>
        </w:rPr>
        <w:t>79</w:t>
      </w:r>
      <w:r>
        <w:rPr>
          <w:snapToGrid w:val="0"/>
        </w:rPr>
        <w:t>.</w:t>
      </w:r>
      <w:r>
        <w:rPr>
          <w:snapToGrid w:val="0"/>
        </w:rPr>
        <w:tab/>
        <w:t>Nomination, when receivable by returning officer</w:t>
      </w:r>
      <w:bookmarkEnd w:id="541"/>
      <w:bookmarkEnd w:id="542"/>
      <w:bookmarkEnd w:id="543"/>
    </w:p>
    <w:p>
      <w:pPr>
        <w:pStyle w:val="Subsection"/>
        <w:spacing w:before="18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544" w:name="_Toc402969364"/>
      <w:bookmarkStart w:id="545" w:name="_Toc436058157"/>
      <w:bookmarkStart w:id="546" w:name="_Toc416703180"/>
      <w:r>
        <w:rPr>
          <w:rStyle w:val="CharSectno"/>
        </w:rPr>
        <w:t>80</w:t>
      </w:r>
      <w:r>
        <w:rPr>
          <w:snapToGrid w:val="0"/>
        </w:rPr>
        <w:t>.</w:t>
      </w:r>
      <w:r>
        <w:rPr>
          <w:snapToGrid w:val="0"/>
        </w:rPr>
        <w:tab/>
        <w:t>Grouping of candidates</w:t>
      </w:r>
      <w:bookmarkEnd w:id="544"/>
      <w:bookmarkEnd w:id="545"/>
      <w:bookmarkEnd w:id="546"/>
    </w:p>
    <w:p>
      <w:pPr>
        <w:pStyle w:val="Subsection"/>
        <w:spacing w:before="180"/>
        <w:rPr>
          <w:snapToGrid w:val="0"/>
        </w:rPr>
      </w:pPr>
      <w:r>
        <w:rPr>
          <w:snapToGrid w:val="0"/>
        </w:rPr>
        <w:tab/>
        <w:t>(1)</w:t>
      </w:r>
      <w:r>
        <w:rPr>
          <w:snapToGrid w:val="0"/>
        </w:rPr>
        <w:tab/>
        <w:t xml:space="preserve">Two or more candidates nominated for an election in a region where the relevant number is more than one may, in </w:t>
      </w:r>
      <w:r>
        <w:t>an approved form</w:t>
      </w:r>
      <w:r>
        <w:rPr>
          <w:snapToGrid w:val="0"/>
        </w:rPr>
        <w:t xml:space="preserve"> and before the hour of nomination, make a claim to the returning officer —</w:t>
      </w:r>
    </w:p>
    <w:p>
      <w:pPr>
        <w:pStyle w:val="Indenta"/>
        <w:spacing w:before="60"/>
        <w:rPr>
          <w:snapToGrid w:val="0"/>
        </w:rPr>
      </w:pPr>
      <w:r>
        <w:rPr>
          <w:snapToGrid w:val="0"/>
        </w:rPr>
        <w:tab/>
        <w:t>(a)</w:t>
      </w:r>
      <w:r>
        <w:rPr>
          <w:snapToGrid w:val="0"/>
        </w:rPr>
        <w:tab/>
        <w:t>to have their names included in a group in the ballot papers to be used in that election; and</w:t>
      </w:r>
    </w:p>
    <w:p>
      <w:pPr>
        <w:pStyle w:val="Indenta"/>
        <w:spacing w:before="60"/>
        <w:rPr>
          <w:snapToGrid w:val="0"/>
        </w:rPr>
      </w:pPr>
      <w:r>
        <w:rPr>
          <w:snapToGrid w:val="0"/>
        </w:rPr>
        <w:tab/>
        <w:t>(b)</w:t>
      </w:r>
      <w:r>
        <w:rPr>
          <w:snapToGrid w:val="0"/>
        </w:rPr>
        <w:tab/>
        <w:t>to have their names included in that group in the order specified in that claim.</w:t>
      </w:r>
    </w:p>
    <w:p>
      <w:pPr>
        <w:pStyle w:val="Subsection"/>
      </w:pPr>
      <w:r>
        <w:tab/>
        <w:t>(2A)</w:t>
      </w:r>
      <w:r>
        <w:tab/>
        <w:t>A claim may be made under subsection (1) on behalf of a group —</w:t>
      </w:r>
    </w:p>
    <w:p>
      <w:pPr>
        <w:pStyle w:val="Indenta"/>
        <w:spacing w:before="60"/>
      </w:pPr>
      <w:r>
        <w:tab/>
        <w:t>(a)</w:t>
      </w:r>
      <w:r>
        <w:tab/>
        <w:t>where all the candidates in the group are the subject of a party nomination, under section 81A, by a particular registered political party — by the secretary of the party; or</w:t>
      </w:r>
    </w:p>
    <w:p>
      <w:pPr>
        <w:pStyle w:val="Indenta"/>
        <w:spacing w:before="60"/>
      </w:pPr>
      <w:r>
        <w:tab/>
        <w:t>(b)</w:t>
      </w:r>
      <w:r>
        <w:tab/>
        <w:t>where the candidates in the group have been endorsed by different registered political parties — jointly by the secretaries of all of those parties.</w:t>
      </w:r>
    </w:p>
    <w:p>
      <w:pPr>
        <w:pStyle w:val="Subsection"/>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spacing w:before="130"/>
        <w:rPr>
          <w:snapToGrid w:val="0"/>
        </w:rPr>
      </w:pPr>
      <w:r>
        <w:rPr>
          <w:snapToGrid w:val="0"/>
        </w:rPr>
        <w:tab/>
        <w:t>(3)</w:t>
      </w:r>
      <w:r>
        <w:rPr>
          <w:snapToGrid w:val="0"/>
        </w:rPr>
        <w:tab/>
        <w:t xml:space="preserve">Two or more </w:t>
      </w:r>
      <w:r>
        <w:t xml:space="preserve">candidates, or a secretary of a political party, or the secretaries of political parties, by whom a claim has been made, </w:t>
      </w:r>
      <w:r>
        <w:rPr>
          <w:snapToGrid w:val="0"/>
        </w:rPr>
        <w:t xml:space="preserve">under subsection (1) may, in </w:t>
      </w:r>
      <w:r>
        <w:t>an approved form</w:t>
      </w:r>
      <w:r>
        <w:rPr>
          <w:snapToGrid w:val="0"/>
        </w:rPr>
        <w:t xml:space="preserve"> and before the hour of nomination, withdraw that claim.</w:t>
      </w:r>
    </w:p>
    <w:p>
      <w:pPr>
        <w:pStyle w:val="Subsection"/>
        <w:spacing w:before="130"/>
        <w:rPr>
          <w:snapToGrid w:val="0"/>
        </w:rPr>
      </w:pPr>
      <w:r>
        <w:rPr>
          <w:snapToGrid w:val="0"/>
        </w:rPr>
        <w:tab/>
        <w:t>(4)</w:t>
      </w:r>
      <w:r>
        <w:rPr>
          <w:snapToGrid w:val="0"/>
        </w:rPr>
        <w:tab/>
        <w:t>A claim under subsection (1) is of no force or effect if —</w:t>
      </w:r>
    </w:p>
    <w:p>
      <w:pPr>
        <w:pStyle w:val="Indenta"/>
        <w:spacing w:before="60"/>
        <w:rPr>
          <w:snapToGrid w:val="0"/>
        </w:rPr>
      </w:pPr>
      <w:r>
        <w:rPr>
          <w:snapToGrid w:val="0"/>
        </w:rPr>
        <w:tab/>
        <w:t>(a)</w:t>
      </w:r>
      <w:r>
        <w:rPr>
          <w:snapToGrid w:val="0"/>
        </w:rPr>
        <w:tab/>
        <w:t>the name of any candidate included in the claim is included in any other claim under that subsection; or</w:t>
      </w:r>
    </w:p>
    <w:p>
      <w:pPr>
        <w:pStyle w:val="Indenta"/>
        <w:spacing w:before="60"/>
        <w:rPr>
          <w:snapToGrid w:val="0"/>
        </w:rPr>
      </w:pPr>
      <w:r>
        <w:rPr>
          <w:snapToGrid w:val="0"/>
        </w:rPr>
        <w:tab/>
        <w:t>(b)</w:t>
      </w:r>
      <w:r>
        <w:rPr>
          <w:snapToGrid w:val="0"/>
        </w:rPr>
        <w:tab/>
        <w:t>the nomination of any candidate whose name is included in the claim is withdrawn under section 82.</w:t>
      </w:r>
    </w:p>
    <w:p>
      <w:pPr>
        <w:pStyle w:val="Subsection"/>
        <w:spacing w:before="140"/>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 incapable of being elected at that election, then, after the making of the declaration —</w:t>
      </w:r>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Subsection"/>
        <w:spacing w:before="140"/>
        <w:rPr>
          <w:snapToGrid w:val="0"/>
        </w:rPr>
      </w:pPr>
      <w:r>
        <w:rPr>
          <w:snapToGrid w:val="0"/>
        </w:rPr>
        <w:tab/>
        <w:t>(6)</w:t>
      </w:r>
      <w:r>
        <w:rPr>
          <w:snapToGrid w:val="0"/>
        </w:rPr>
        <w:tab/>
        <w:t>Where a claim is made under subsection (1) and any of the persons who made the claim is a person whose nomination is invalid under section 77 —</w:t>
      </w:r>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Footnotesection"/>
        <w:spacing w:before="80"/>
        <w:ind w:left="890" w:hanging="890"/>
      </w:pPr>
      <w:r>
        <w:tab/>
        <w:t>[Section 80 inserted by No. 40 of 1987 s. 43; amended by No. 35 of 2012 s. 7 and 13.]</w:t>
      </w:r>
    </w:p>
    <w:p>
      <w:pPr>
        <w:pStyle w:val="Heading5"/>
        <w:rPr>
          <w:snapToGrid w:val="0"/>
        </w:rPr>
      </w:pPr>
      <w:bookmarkStart w:id="547" w:name="_Toc402969365"/>
      <w:bookmarkStart w:id="548" w:name="_Toc436058158"/>
      <w:bookmarkStart w:id="549" w:name="_Toc416703181"/>
      <w:r>
        <w:rPr>
          <w:rStyle w:val="CharSectno"/>
        </w:rPr>
        <w:t>81</w:t>
      </w:r>
      <w:r>
        <w:rPr>
          <w:snapToGrid w:val="0"/>
        </w:rPr>
        <w:t>.</w:t>
      </w:r>
      <w:r>
        <w:rPr>
          <w:snapToGrid w:val="0"/>
        </w:rPr>
        <w:tab/>
        <w:t>Nomination paper and deposit required for valid nomination</w:t>
      </w:r>
      <w:bookmarkEnd w:id="547"/>
      <w:bookmarkEnd w:id="548"/>
      <w:bookmarkEnd w:id="549"/>
    </w:p>
    <w:p>
      <w:pPr>
        <w:pStyle w:val="Subsection"/>
        <w:rPr>
          <w:snapToGrid w:val="0"/>
        </w:rPr>
      </w:pPr>
      <w:r>
        <w:rPr>
          <w:snapToGrid w:val="0"/>
        </w:rPr>
        <w:tab/>
        <w:t>(1)</w:t>
      </w:r>
      <w:r>
        <w:rPr>
          <w:snapToGrid w:val="0"/>
        </w:rPr>
        <w:tab/>
        <w:t>No nomination shall be valid unless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 xml:space="preserve">at or before the hour of nomination, the required deposit is lodged with the returning officer by or on behalf of the candidate in </w:t>
      </w:r>
      <w:r>
        <w:t xml:space="preserve">money, </w:t>
      </w:r>
      <w:r>
        <w:rPr>
          <w:snapToGrid w:val="0"/>
        </w:rPr>
        <w:t xml:space="preserve">by a cheque drawn by a financial institution upon itself and payable to the Electoral </w:t>
      </w:r>
      <w:r>
        <w:t>Commissioner or in such other manner as may be prescribed.</w:t>
      </w:r>
    </w:p>
    <w:p>
      <w:pPr>
        <w:pStyle w:val="Subsection"/>
        <w:rPr>
          <w:snapToGrid w:val="0"/>
        </w:rPr>
      </w:pPr>
      <w:r>
        <w:rPr>
          <w:snapToGrid w:val="0"/>
        </w:rPr>
        <w:tab/>
        <w:t>(2)</w:t>
      </w:r>
      <w:r>
        <w:rPr>
          <w:snapToGrid w:val="0"/>
        </w:rPr>
        <w:tab/>
        <w:t xml:space="preserve">Unless a greater amount is prescribed, $250 is the </w:t>
      </w:r>
      <w:r>
        <w:rPr>
          <w:rStyle w:val="CharDefText"/>
        </w:rPr>
        <w:t>required deposit</w:t>
      </w:r>
      <w:r>
        <w:rPr>
          <w:snapToGrid w:val="0"/>
        </w:rPr>
        <w:t xml:space="preserve"> for the purposes of subsection (1)(b).</w:t>
      </w:r>
    </w:p>
    <w:p>
      <w:pPr>
        <w:pStyle w:val="Footnotesection"/>
      </w:pPr>
      <w:r>
        <w:tab/>
        <w:t>[Section 81 inserted by No. 43 of 1996 s. 9; amended by No. 24 of 2000 s. 50; No. 35 of 2012 s. 14.]</w:t>
      </w:r>
    </w:p>
    <w:p>
      <w:pPr>
        <w:pStyle w:val="Heading5"/>
      </w:pPr>
      <w:bookmarkStart w:id="550" w:name="_Toc402969366"/>
      <w:bookmarkStart w:id="551" w:name="_Toc436058159"/>
      <w:bookmarkStart w:id="552" w:name="_Toc416703182"/>
      <w:r>
        <w:rPr>
          <w:rStyle w:val="CharSectno"/>
        </w:rPr>
        <w:t>81A</w:t>
      </w:r>
      <w:r>
        <w:t>.</w:t>
      </w:r>
      <w:r>
        <w:tab/>
        <w:t>Party nomination, making and effect of</w:t>
      </w:r>
      <w:bookmarkEnd w:id="550"/>
      <w:bookmarkEnd w:id="551"/>
      <w:bookmarkEnd w:id="552"/>
    </w:p>
    <w:p>
      <w:pPr>
        <w:pStyle w:val="Subsection"/>
      </w:pPr>
      <w:r>
        <w:tab/>
        <w:t>(1)</w:t>
      </w:r>
      <w:r>
        <w:tab/>
        <w:t>In this section —</w:t>
      </w:r>
    </w:p>
    <w:p>
      <w:pPr>
        <w:pStyle w:val="Defstart"/>
      </w:pPr>
      <w:r>
        <w:tab/>
      </w:r>
      <w:r>
        <w:rPr>
          <w:rStyle w:val="CharDefText"/>
        </w:rPr>
        <w:t>party nomination</w:t>
      </w:r>
      <w:r>
        <w:t xml:space="preserve"> means the nomination for an election of a candidate publicly recognised by a particular registered political party as being an endorsed candidate of that party.</w:t>
      </w:r>
    </w:p>
    <w:p>
      <w:pPr>
        <w:pStyle w:val="Subsection"/>
        <w:spacing w:before="180"/>
      </w:pPr>
      <w:r>
        <w:tab/>
        <w:t>(2)</w:t>
      </w:r>
      <w:r>
        <w:tab/>
        <w:t>A party nomination is to be regarded as having been made in accordance with sections 79 and 81 if —</w:t>
      </w:r>
    </w:p>
    <w:p>
      <w:pPr>
        <w:pStyle w:val="Indenta"/>
      </w:pPr>
      <w:r>
        <w:tab/>
        <w:t>(a)</w:t>
      </w:r>
      <w:r>
        <w:tab/>
        <w:t>it contains a declaration by the secretary of the registered political party that the candidate is publicly recognised by the party as being an endorsed candidate of the party; and</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by a cheque drawn by a financial institution on itself and payable to the Electoral Commissioner or in such other manner as may be prescribed under that section.</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If a party nomination has been made in accordance with subsection (2), the Electoral Commissioner is to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give the returning officer, as soon as practicable before the hour of nomination —</w:t>
      </w:r>
    </w:p>
    <w:p>
      <w:pPr>
        <w:pStyle w:val="Indenti"/>
      </w:pPr>
      <w:r>
        <w:tab/>
        <w:t>(i)</w:t>
      </w:r>
      <w:r>
        <w:tab/>
        <w:t>a copy of the nomination paper; and</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 No. 35 of 2012 s. 15.]</w:t>
      </w:r>
    </w:p>
    <w:p>
      <w:pPr>
        <w:pStyle w:val="Heading5"/>
        <w:rPr>
          <w:snapToGrid w:val="0"/>
        </w:rPr>
      </w:pPr>
      <w:bookmarkStart w:id="553" w:name="_Toc402969367"/>
      <w:bookmarkStart w:id="554" w:name="_Toc436058160"/>
      <w:bookmarkStart w:id="555" w:name="_Toc416703183"/>
      <w:r>
        <w:rPr>
          <w:rStyle w:val="CharSectno"/>
        </w:rPr>
        <w:t>82</w:t>
      </w:r>
      <w:r>
        <w:rPr>
          <w:snapToGrid w:val="0"/>
        </w:rPr>
        <w:t>.</w:t>
      </w:r>
      <w:r>
        <w:rPr>
          <w:snapToGrid w:val="0"/>
        </w:rPr>
        <w:tab/>
        <w:t>Nomination, withdrawal of</w:t>
      </w:r>
      <w:bookmarkEnd w:id="553"/>
      <w:bookmarkEnd w:id="554"/>
      <w:bookmarkEnd w:id="555"/>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[Section 82 inserted by No. 33 of 1967 s. 10; amended by No. 40 of 1987 s. 44.]</w:t>
      </w:r>
    </w:p>
    <w:p>
      <w:pPr>
        <w:pStyle w:val="Heading5"/>
        <w:rPr>
          <w:snapToGrid w:val="0"/>
        </w:rPr>
      </w:pPr>
      <w:bookmarkStart w:id="556" w:name="_Toc402969368"/>
      <w:bookmarkStart w:id="557" w:name="_Toc436058161"/>
      <w:bookmarkStart w:id="558" w:name="_Toc416703184"/>
      <w:r>
        <w:rPr>
          <w:rStyle w:val="CharSectno"/>
        </w:rPr>
        <w:t>83</w:t>
      </w:r>
      <w:r>
        <w:rPr>
          <w:snapToGrid w:val="0"/>
        </w:rPr>
        <w:t>.</w:t>
      </w:r>
      <w:r>
        <w:rPr>
          <w:snapToGrid w:val="0"/>
        </w:rPr>
        <w:tab/>
        <w:t>Nomination paper, effect of defects etc. in</w:t>
      </w:r>
      <w:bookmarkEnd w:id="556"/>
      <w:bookmarkEnd w:id="557"/>
      <w:bookmarkEnd w:id="558"/>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559" w:name="_Toc402969369"/>
      <w:bookmarkStart w:id="560" w:name="_Toc436058162"/>
      <w:bookmarkStart w:id="561" w:name="_Toc416703185"/>
      <w:r>
        <w:rPr>
          <w:rStyle w:val="CharSectno"/>
        </w:rPr>
        <w:t>84</w:t>
      </w:r>
      <w:r>
        <w:rPr>
          <w:snapToGrid w:val="0"/>
        </w:rPr>
        <w:t>.</w:t>
      </w:r>
      <w:r>
        <w:rPr>
          <w:snapToGrid w:val="0"/>
        </w:rPr>
        <w:tab/>
        <w:t>Deposit by candidate, return or forfeiture of</w:t>
      </w:r>
      <w:bookmarkEnd w:id="559"/>
      <w:bookmarkEnd w:id="560"/>
      <w:bookmarkEnd w:id="561"/>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keepNext/>
        <w:keepLines/>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[Section 84 inserted by No. 40 of 1987 s. 45; amended by No. 36 of 2000 s. 37; No. 55 of 2006 s. 4.]</w:t>
      </w:r>
    </w:p>
    <w:p>
      <w:pPr>
        <w:pStyle w:val="Heading5"/>
      </w:pPr>
      <w:bookmarkStart w:id="562" w:name="_Toc402969370"/>
      <w:bookmarkStart w:id="563" w:name="_Toc436058164"/>
      <w:bookmarkStart w:id="564" w:name="_Toc416703186"/>
      <w:r>
        <w:rPr>
          <w:rStyle w:val="CharSectno"/>
        </w:rPr>
        <w:t>85</w:t>
      </w:r>
      <w:r>
        <w:t>.</w:t>
      </w:r>
      <w:r>
        <w:tab/>
        <w:t>Declaration of nominations, place of; hour of nomination is noon on last day</w:t>
      </w:r>
      <w:bookmarkEnd w:id="562"/>
      <w:bookmarkEnd w:id="563"/>
      <w:bookmarkEnd w:id="564"/>
    </w:p>
    <w:p>
      <w:pPr>
        <w:pStyle w:val="Subsection"/>
      </w:pPr>
      <w:r>
        <w:tab/>
        <w:t>(1)</w:t>
      </w:r>
      <w:r>
        <w:tab/>
        <w:t>The Electoral Commissioner is to appoint a place as the place of declaration of nominations for an election for the purposes of section 86 or 87, as the case may be.</w:t>
      </w:r>
    </w:p>
    <w:p>
      <w:pPr>
        <w:pStyle w:val="Subsection"/>
      </w:pPr>
      <w:r>
        <w:tab/>
        <w:t>(2)</w:t>
      </w:r>
      <w:r>
        <w:tab/>
        <w:t>The hour of nomination for an election is 12 noon on the last day for the nomination of candidates.</w:t>
      </w:r>
    </w:p>
    <w:p>
      <w:pPr>
        <w:pStyle w:val="Footnotesection"/>
      </w:pPr>
      <w:r>
        <w:tab/>
        <w:t>[Section 85 inserted by No. 36 of 2000 s. 38; amended by No. 64 of 2006 s. 53.]</w:t>
      </w:r>
    </w:p>
    <w:p>
      <w:pPr>
        <w:pStyle w:val="Heading5"/>
        <w:rPr>
          <w:snapToGrid w:val="0"/>
        </w:rPr>
      </w:pPr>
      <w:bookmarkStart w:id="565" w:name="_Toc402969371"/>
      <w:bookmarkStart w:id="566" w:name="_Toc436058165"/>
      <w:bookmarkStart w:id="567" w:name="_Toc416703187"/>
      <w:r>
        <w:rPr>
          <w:rStyle w:val="CharSectno"/>
        </w:rPr>
        <w:t>86</w:t>
      </w:r>
      <w:r>
        <w:rPr>
          <w:snapToGrid w:val="0"/>
        </w:rPr>
        <w:t>.</w:t>
      </w:r>
      <w:r>
        <w:rPr>
          <w:snapToGrid w:val="0"/>
        </w:rPr>
        <w:tab/>
        <w:t>Close of nominations, procedure as to for Assembly election</w:t>
      </w:r>
      <w:bookmarkEnd w:id="565"/>
      <w:bookmarkEnd w:id="566"/>
      <w:bookmarkEnd w:id="567"/>
    </w:p>
    <w:p>
      <w:pPr>
        <w:pStyle w:val="Subsection"/>
        <w:rPr>
          <w:snapToGrid w:val="0"/>
        </w:rPr>
      </w:pPr>
      <w:r>
        <w:rPr>
          <w:snapToGrid w:val="0"/>
        </w:rPr>
        <w:tab/>
        <w:t>(1)</w:t>
      </w:r>
      <w:r>
        <w:rPr>
          <w:snapToGrid w:val="0"/>
        </w:rPr>
        <w:tab/>
        <w:t>This section applies to an election in a district and not to an election in a region.</w:t>
      </w:r>
    </w:p>
    <w:p>
      <w:pPr>
        <w:pStyle w:val="Subsection"/>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(2AAA)</w:t>
      </w:r>
      <w:r>
        <w:tab/>
        <w:t>Despite subsection (2), the returning officer must not declare a candidate’s residence if the candidate’s residence is not shown on the roll because a request under section 51B has been granted.</w:t>
      </w:r>
    </w:p>
    <w:p>
      <w:pPr>
        <w:pStyle w:val="Subsection"/>
        <w:rPr>
          <w:snapToGrid w:val="0"/>
        </w:rPr>
      </w:pPr>
      <w:r>
        <w:rPr>
          <w:snapToGrid w:val="0"/>
        </w:rPr>
        <w:tab/>
        <w:t>(2aa)</w:t>
      </w:r>
      <w:r>
        <w:rPr>
          <w:snapToGrid w:val="0"/>
        </w:rPr>
        <w:tab/>
        <w:t>If there is only one candidate for election the returning officer shall declare that candidate duly elected.</w:t>
      </w:r>
    </w:p>
    <w:p>
      <w:pPr>
        <w:pStyle w:val="Subsection"/>
        <w:keepNext/>
        <w:spacing w:before="18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tabs>
          <w:tab w:val="left" w:pos="1560"/>
        </w:tabs>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tabs>
          <w:tab w:val="left" w:pos="1560"/>
        </w:tabs>
        <w:rPr>
          <w:snapToGrid w:val="0"/>
        </w:rPr>
      </w:pPr>
      <w:r>
        <w:rPr>
          <w:snapToGrid w:val="0"/>
        </w:rPr>
        <w:tab/>
        <w:t>(3)</w:t>
      </w:r>
      <w:r>
        <w:rPr>
          <w:snapToGrid w:val="0"/>
        </w:rPr>
        <w:tab/>
        <w:t>Subject to section 88(2) the proceedings shall then stand adjourned to polling day.</w:t>
      </w:r>
    </w:p>
    <w:p>
      <w:pPr>
        <w:pStyle w:val="Footnotesection"/>
      </w:pPr>
      <w:r>
        <w:tab/>
      </w:r>
      <w:r>
        <w:rPr>
          <w:spacing w:val="-2"/>
        </w:rPr>
        <w:t>[Section 86 amended by No. 68 of 1964 s. 17; No. 28 of 1970 s. 12; No. 40 of 1987 s. 47 and 84; No. 36 of 2000 s. 39 and 40; No. 35 of 2012 s. 16.</w:t>
      </w:r>
      <w:r>
        <w:t>]</w:t>
      </w:r>
    </w:p>
    <w:p>
      <w:pPr>
        <w:pStyle w:val="Heading5"/>
        <w:rPr>
          <w:snapToGrid w:val="0"/>
        </w:rPr>
      </w:pPr>
      <w:bookmarkStart w:id="568" w:name="_Toc402969372"/>
      <w:bookmarkStart w:id="569" w:name="_Toc436058166"/>
      <w:bookmarkStart w:id="570" w:name="_Toc416703188"/>
      <w:r>
        <w:rPr>
          <w:rStyle w:val="CharSectno"/>
        </w:rPr>
        <w:t>87</w:t>
      </w:r>
      <w:r>
        <w:rPr>
          <w:snapToGrid w:val="0"/>
        </w:rPr>
        <w:t>.</w:t>
      </w:r>
      <w:r>
        <w:rPr>
          <w:snapToGrid w:val="0"/>
        </w:rPr>
        <w:tab/>
        <w:t>Close of nominations, procedure as to for Council election</w:t>
      </w:r>
      <w:bookmarkEnd w:id="568"/>
      <w:bookmarkEnd w:id="569"/>
      <w:bookmarkEnd w:id="570"/>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ab/>
        <w:t>(4A)</w:t>
      </w:r>
      <w:r>
        <w:tab/>
        <w:t>Despite subsection (3), the returning officer must not declare a candidate’s residence if the candidate’s residence is not shown on the roll because a request under section 51B has been granted.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w:t>
      </w:r>
    </w:p>
    <w:p>
      <w:pPr>
        <w:pStyle w:val="Indenta"/>
        <w:spacing w:before="60"/>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spacing w:before="60"/>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w:t>
      </w:r>
    </w:p>
    <w:p>
      <w:pPr>
        <w:pStyle w:val="Indenta"/>
        <w:spacing w:before="60"/>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spacing w:before="60"/>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rPr>
          <w:snapToGrid w:val="0"/>
        </w:rPr>
      </w:pPr>
      <w:r>
        <w:rPr>
          <w:snapToGrid w:val="0"/>
        </w:rPr>
        <w:tab/>
        <w:t>(7)</w:t>
      </w:r>
      <w:r>
        <w:rPr>
          <w:snapToGrid w:val="0"/>
        </w:rPr>
        <w:tab/>
        <w:t>As soon as is practicable the returning officer shall advertise the names and other particulars of the several candidates, in the order prescribed by section 113B, in a newspaper circulating in the region.</w:t>
      </w:r>
    </w:p>
    <w:p>
      <w:pPr>
        <w:pStyle w:val="Subsection"/>
        <w:rPr>
          <w:snapToGrid w:val="0"/>
        </w:rPr>
      </w:pPr>
      <w:r>
        <w:rPr>
          <w:snapToGrid w:val="0"/>
        </w:rPr>
        <w:tab/>
        <w:t>(8)</w:t>
      </w:r>
      <w:r>
        <w:rPr>
          <w:snapToGrid w:val="0"/>
        </w:rPr>
        <w:tab/>
        <w:t>Subject to section 88(1) the proceedings shall then stand adjourned to polling day.</w:t>
      </w:r>
    </w:p>
    <w:p>
      <w:pPr>
        <w:pStyle w:val="Footnotesection"/>
      </w:pPr>
      <w:r>
        <w:tab/>
        <w:t>[Section 87 inserted by No. 40 of 1987 s. 48; amended by No. 79 of 1987 s. 27; No. 36 of 2000 s. 39 and 41; No. 64 of 2006 s. 53; No. 35 of 2012 s. 17.]</w:t>
      </w:r>
    </w:p>
    <w:p>
      <w:pPr>
        <w:pStyle w:val="Heading5"/>
        <w:rPr>
          <w:snapToGrid w:val="0"/>
        </w:rPr>
      </w:pPr>
      <w:bookmarkStart w:id="571" w:name="_Toc402969373"/>
      <w:bookmarkStart w:id="572" w:name="_Toc436058167"/>
      <w:bookmarkStart w:id="573" w:name="_Toc416703189"/>
      <w:r>
        <w:rPr>
          <w:rStyle w:val="CharSectno"/>
        </w:rPr>
        <w:t>87A</w:t>
      </w:r>
      <w:r>
        <w:rPr>
          <w:snapToGrid w:val="0"/>
        </w:rPr>
        <w:t>.</w:t>
      </w:r>
      <w:r>
        <w:rPr>
          <w:snapToGrid w:val="0"/>
        </w:rPr>
        <w:tab/>
        <w:t>Close of nominations, returning officer’s other duties as to</w:t>
      </w:r>
      <w:bookmarkEnd w:id="571"/>
      <w:bookmarkEnd w:id="572"/>
      <w:bookmarkEnd w:id="573"/>
    </w:p>
    <w:p>
      <w:pPr>
        <w:pStyle w:val="Subsection"/>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[Section 87A inserted by No. 40 of 1987 s. 49; amended by No. 36 of 2000 s. 39.]</w:t>
      </w:r>
    </w:p>
    <w:p>
      <w:pPr>
        <w:pStyle w:val="Heading5"/>
        <w:rPr>
          <w:snapToGrid w:val="0"/>
        </w:rPr>
      </w:pPr>
      <w:bookmarkStart w:id="574" w:name="_Toc402969374"/>
      <w:bookmarkStart w:id="575" w:name="_Toc436058168"/>
      <w:bookmarkStart w:id="576" w:name="_Toc416703190"/>
      <w:r>
        <w:rPr>
          <w:rStyle w:val="CharSectno"/>
        </w:rPr>
        <w:t>88</w:t>
      </w:r>
      <w:r>
        <w:rPr>
          <w:snapToGrid w:val="0"/>
        </w:rPr>
        <w:t>.</w:t>
      </w:r>
      <w:r>
        <w:rPr>
          <w:snapToGrid w:val="0"/>
        </w:rPr>
        <w:tab/>
        <w:t>Death of candidate after nomination</w:t>
      </w:r>
      <w:bookmarkEnd w:id="574"/>
      <w:bookmarkEnd w:id="575"/>
      <w:bookmarkEnd w:id="576"/>
    </w:p>
    <w:p>
      <w:pPr>
        <w:pStyle w:val="Ednotesubsection"/>
        <w:keepNext/>
        <w:keepLines/>
      </w:pPr>
      <w:r>
        <w:tab/>
        <w:t>[(1)</w:t>
      </w:r>
      <w:r>
        <w:tab/>
        <w:t>deleted]</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keepLines/>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5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50"/>
        <w:ind w:left="1610" w:hanging="1610"/>
        <w:rPr>
          <w:snapToGrid w:val="0"/>
        </w:rPr>
      </w:pPr>
      <w:r>
        <w:rPr>
          <w:snapToGrid w:val="0"/>
        </w:rPr>
        <w:tab/>
        <w:t>[(f)</w:t>
      </w:r>
      <w:r>
        <w:rPr>
          <w:snapToGrid w:val="0"/>
        </w:rPr>
        <w:tab/>
        <w:t>deleted]</w:t>
      </w:r>
    </w:p>
    <w:p>
      <w:pPr>
        <w:pStyle w:val="Indenta"/>
        <w:spacing w:before="50"/>
        <w:rPr>
          <w:snapToGrid w:val="0"/>
        </w:rPr>
      </w:pPr>
      <w:r>
        <w:rPr>
          <w:snapToGrid w:val="0"/>
        </w:rPr>
        <w:tab/>
        <w:t>(g)</w:t>
      </w:r>
      <w:r>
        <w:rPr>
          <w:snapToGrid w:val="0"/>
        </w:rPr>
        <w:tab/>
        <w:t>The appointment of officials and of polling places as made for and in connection with the election which has failed, shall not merely by reason of the failure of such election, be void or in any way affected, and may continue and apply for and in connection with the new election:</w:t>
      </w:r>
    </w:p>
    <w:p>
      <w:pPr>
        <w:pStyle w:val="Indenta"/>
        <w:spacing w:before="5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8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8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spacing w:before="60"/>
        <w:ind w:left="890" w:hanging="890"/>
      </w:pPr>
      <w:r>
        <w:tab/>
        <w:t>[Section 88 inserted by No. 18 of 1940 s. 3; amended by No. 58 of 1951 s. 7; No. 33 of 1967 s. 11; No. 40 of 1987 s. 50 and 84; No. 36 of 2000 s. 17 and 48(1).]</w:t>
      </w:r>
    </w:p>
    <w:p>
      <w:pPr>
        <w:pStyle w:val="Heading5"/>
        <w:rPr>
          <w:snapToGrid w:val="0"/>
        </w:rPr>
      </w:pPr>
      <w:bookmarkStart w:id="577" w:name="_Toc402969375"/>
      <w:bookmarkStart w:id="578" w:name="_Toc436058169"/>
      <w:bookmarkStart w:id="579" w:name="_Toc416703191"/>
      <w:r>
        <w:rPr>
          <w:rStyle w:val="CharSectno"/>
        </w:rPr>
        <w:t>89</w:t>
      </w:r>
      <w:r>
        <w:rPr>
          <w:snapToGrid w:val="0"/>
        </w:rPr>
        <w:t>.</w:t>
      </w:r>
      <w:r>
        <w:rPr>
          <w:snapToGrid w:val="0"/>
        </w:rPr>
        <w:tab/>
        <w:t>Failure and partial failure of election, when occurs and consequences of</w:t>
      </w:r>
      <w:bookmarkEnd w:id="577"/>
      <w:bookmarkEnd w:id="578"/>
      <w:bookmarkEnd w:id="579"/>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[Section 89 inserted by No. 18 of 1940 s. 4; amended by No. 40 of 1987 s. 51.]</w:t>
      </w:r>
    </w:p>
    <w:p>
      <w:pPr>
        <w:pStyle w:val="Heading3"/>
        <w:keepLines/>
      </w:pPr>
      <w:bookmarkStart w:id="580" w:name="_Toc402969376"/>
      <w:bookmarkStart w:id="581" w:name="_Toc416702808"/>
      <w:bookmarkStart w:id="582" w:name="_Toc416703192"/>
      <w:bookmarkStart w:id="583" w:name="_Toc435714444"/>
      <w:bookmarkStart w:id="584" w:name="_Toc436057559"/>
      <w:bookmarkStart w:id="585" w:name="_Toc436057947"/>
      <w:bookmarkStart w:id="586" w:name="_Toc436058332"/>
      <w:bookmarkStart w:id="587" w:name="_Toc436058170"/>
      <w:r>
        <w:rPr>
          <w:rStyle w:val="CharDivNo"/>
        </w:rPr>
        <w:t>Division (3)</w:t>
      </w:r>
      <w:r>
        <w:rPr>
          <w:snapToGrid w:val="0"/>
        </w:rPr>
        <w:t> — </w:t>
      </w:r>
      <w:r>
        <w:rPr>
          <w:rStyle w:val="CharDivText"/>
        </w:rPr>
        <w:t>Voting</w:t>
      </w:r>
      <w:bookmarkEnd w:id="580"/>
      <w:bookmarkEnd w:id="581"/>
      <w:bookmarkEnd w:id="582"/>
      <w:bookmarkEnd w:id="583"/>
      <w:bookmarkEnd w:id="584"/>
      <w:bookmarkEnd w:id="585"/>
      <w:bookmarkEnd w:id="586"/>
      <w:bookmarkEnd w:id="587"/>
    </w:p>
    <w:p>
      <w:pPr>
        <w:pStyle w:val="Heading4"/>
        <w:keepLines/>
        <w:rPr>
          <w:i/>
          <w:snapToGrid w:val="0"/>
        </w:rPr>
      </w:pPr>
      <w:bookmarkStart w:id="588" w:name="_Toc402969377"/>
      <w:bookmarkStart w:id="589" w:name="_Toc416702809"/>
      <w:bookmarkStart w:id="590" w:name="_Toc416703193"/>
      <w:bookmarkStart w:id="591" w:name="_Toc435714445"/>
      <w:bookmarkStart w:id="592" w:name="_Toc436057560"/>
      <w:bookmarkStart w:id="593" w:name="_Toc436057948"/>
      <w:bookmarkStart w:id="594" w:name="_Toc436058333"/>
      <w:bookmarkStart w:id="595" w:name="_Toc436058171"/>
      <w:r>
        <w:rPr>
          <w:i/>
          <w:snapToGrid w:val="0"/>
        </w:rPr>
        <w:t>(i)</w:t>
      </w:r>
      <w:r>
        <w:rPr>
          <w:i/>
        </w:rPr>
        <w:t xml:space="preserve"> Early</w:t>
      </w:r>
      <w:r>
        <w:rPr>
          <w:i/>
          <w:snapToGrid w:val="0"/>
        </w:rPr>
        <w:t xml:space="preserve"> and absent voting</w:t>
      </w:r>
      <w:bookmarkEnd w:id="588"/>
      <w:bookmarkEnd w:id="589"/>
      <w:bookmarkEnd w:id="590"/>
      <w:bookmarkEnd w:id="591"/>
      <w:bookmarkEnd w:id="592"/>
      <w:bookmarkEnd w:id="593"/>
      <w:bookmarkEnd w:id="594"/>
      <w:bookmarkEnd w:id="595"/>
    </w:p>
    <w:p>
      <w:pPr>
        <w:pStyle w:val="Footnoteheading"/>
        <w:keepLines/>
        <w:rPr>
          <w:snapToGrid w:val="0"/>
        </w:rPr>
      </w:pPr>
      <w:r>
        <w:rPr>
          <w:snapToGrid w:val="0"/>
        </w:rPr>
        <w:tab/>
        <w:t>[Heading amended by No. 63 of 1948 s. 16; No. 36 of 2000 s. 48(5).]</w:t>
      </w:r>
    </w:p>
    <w:p>
      <w:pPr>
        <w:pStyle w:val="Heading5"/>
        <w:rPr>
          <w:snapToGrid w:val="0"/>
        </w:rPr>
      </w:pPr>
      <w:bookmarkStart w:id="596" w:name="_Toc402969378"/>
      <w:bookmarkStart w:id="597" w:name="_Toc436058172"/>
      <w:bookmarkStart w:id="598" w:name="_Toc416703194"/>
      <w:r>
        <w:rPr>
          <w:rStyle w:val="CharSectno"/>
        </w:rPr>
        <w:t>90</w:t>
      </w:r>
      <w:r>
        <w:rPr>
          <w:snapToGrid w:val="0"/>
        </w:rPr>
        <w:t>.</w:t>
      </w:r>
      <w:r>
        <w:rPr>
          <w:snapToGrid w:val="0"/>
        </w:rPr>
        <w:tab/>
        <w:t>Early ballot paper, application for and issue of etc.</w:t>
      </w:r>
      <w:bookmarkEnd w:id="596"/>
      <w:bookmarkEnd w:id="597"/>
      <w:bookmarkEnd w:id="598"/>
    </w:p>
    <w:p>
      <w:pPr>
        <w:pStyle w:val="Subsection"/>
        <w:rPr>
          <w:snapToGrid w:val="0"/>
        </w:rPr>
      </w:pPr>
      <w:r>
        <w:rPr>
          <w:snapToGrid w:val="0"/>
        </w:rPr>
        <w:tab/>
        <w:t>(1)</w:t>
      </w:r>
      <w:r>
        <w:rPr>
          <w:snapToGrid w:val="0"/>
        </w:rPr>
        <w:tab/>
        <w:t>An elector who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 or</w:t>
      </w:r>
    </w:p>
    <w:p>
      <w:pPr>
        <w:pStyle w:val="Indenta"/>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 or</w:t>
      </w:r>
    </w:p>
    <w:p>
      <w:pPr>
        <w:pStyle w:val="Indenta"/>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 or</w:t>
      </w:r>
    </w:p>
    <w:p>
      <w:pPr>
        <w:pStyle w:val="Indenta"/>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 or</w:t>
      </w:r>
    </w:p>
    <w:p>
      <w:pPr>
        <w:pStyle w:val="Indenta"/>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 or</w:t>
      </w:r>
    </w:p>
    <w:p>
      <w:pPr>
        <w:pStyle w:val="Indenta"/>
      </w:pPr>
      <w:r>
        <w:tab/>
        <w:t>(db)</w:t>
      </w:r>
      <w:r>
        <w:tab/>
        <w:t>is an elector whose residence is not shown on the roll because a request under section 51B has been granted; or</w:t>
      </w:r>
    </w:p>
    <w:p>
      <w:pPr>
        <w:pStyle w:val="Indenta"/>
      </w:pPr>
      <w:r>
        <w:tab/>
        <w:t>(dc)</w:t>
      </w:r>
      <w:r>
        <w:tab/>
        <w:t>is by reason of —</w:t>
      </w:r>
    </w:p>
    <w:p>
      <w:pPr>
        <w:pStyle w:val="Indenti"/>
      </w:pPr>
      <w:r>
        <w:tab/>
        <w:t>(i)</w:t>
      </w:r>
      <w:r>
        <w:tab/>
        <w:t xml:space="preserve">serving a sentence of detention (imposed under the </w:t>
      </w:r>
      <w:r>
        <w:rPr>
          <w:i/>
        </w:rPr>
        <w:t>Young Offenders Act 1994</w:t>
      </w:r>
      <w:r>
        <w:t>) or imprisonment; or</w:t>
      </w:r>
    </w:p>
    <w:p>
      <w:pPr>
        <w:pStyle w:val="Indenti"/>
      </w:pPr>
      <w:r>
        <w:tab/>
        <w:t>(ii)</w:t>
      </w:r>
      <w:r>
        <w:tab/>
        <w:t>being otherwise in lawful custody or detention,</w:t>
      </w:r>
    </w:p>
    <w:p>
      <w:pPr>
        <w:pStyle w:val="Indenta"/>
      </w:pPr>
      <w:r>
        <w:tab/>
      </w:r>
      <w:r>
        <w:tab/>
        <w:t>precluded from attending at a polling place; or</w:t>
      </w:r>
    </w:p>
    <w:p>
      <w:pPr>
        <w:pStyle w:val="Indenta"/>
        <w:rPr>
          <w:snapToGrid w:val="0"/>
        </w:rPr>
      </w:pPr>
      <w:r>
        <w:rPr>
          <w:snapToGrid w:val="0"/>
        </w:rPr>
        <w:tab/>
        <w:t>(e)</w:t>
      </w:r>
      <w:r>
        <w:rPr>
          <w:snapToGrid w:val="0"/>
        </w:rPr>
        <w:tab/>
        <w:t>is, by reason of his membership of a religious order or his religious beliefs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 xml:space="preserve">precluded from voting throughout the hours of polling on polling day or throughout the greater part of </w:t>
      </w:r>
      <w:r>
        <w:t>those hours,</w:t>
      </w:r>
    </w:p>
    <w:p>
      <w:pPr>
        <w:pStyle w:val="Subsection"/>
        <w:rPr>
          <w:snapToGrid w:val="0"/>
        </w:rPr>
      </w:pPr>
      <w:r>
        <w:rPr>
          <w:snapToGrid w:val="0"/>
        </w:rPr>
        <w:tab/>
      </w:r>
      <w:r>
        <w:rPr>
          <w:snapToGrid w:val="0"/>
        </w:rPr>
        <w:tab/>
        <w:t>may after the polling day has been publicly announced by the Government, make application for an early ballot paper.</w:t>
      </w:r>
    </w:p>
    <w:p>
      <w:pPr>
        <w:pStyle w:val="Subsection"/>
        <w:keepNext/>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a returning officer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spacing w:before="120"/>
        <w:rPr>
          <w:snapToGrid w:val="0"/>
        </w:rPr>
      </w:pPr>
      <w:r>
        <w:rPr>
          <w:snapToGrid w:val="0"/>
        </w:rPr>
        <w:tab/>
        <w:t>(2)</w:t>
      </w:r>
      <w:r>
        <w:rPr>
          <w:snapToGrid w:val="0"/>
        </w:rPr>
        <w:tab/>
        <w:t xml:space="preserve">Each of the persons referred to in subsection (1a)(a), (b), (c), (d), (e) and (f) is in this Part called an </w:t>
      </w:r>
      <w:r>
        <w:rPr>
          <w:rStyle w:val="CharDefText"/>
        </w:rPr>
        <w:t>issuing officer</w:t>
      </w:r>
      <w:r>
        <w:rPr>
          <w:snapToGrid w:val="0"/>
        </w:rPr>
        <w:t>.</w:t>
      </w:r>
    </w:p>
    <w:p>
      <w:pPr>
        <w:pStyle w:val="Subsection"/>
        <w:spacing w:before="120"/>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keepNext/>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w:t>
      </w:r>
    </w:p>
    <w:p>
      <w:pPr>
        <w:pStyle w:val="Indenta"/>
        <w:rPr>
          <w:snapToGrid w:val="0"/>
        </w:rPr>
      </w:pPr>
      <w:r>
        <w:rPr>
          <w:snapToGrid w:val="0"/>
        </w:rPr>
        <w:tab/>
        <w:t>(a)</w:t>
      </w:r>
      <w:r>
        <w:rPr>
          <w:snapToGrid w:val="0"/>
        </w:rPr>
        <w:tab/>
        <w:t>shall include the following statements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w:t>
      </w:r>
    </w:p>
    <w:p>
      <w:pPr>
        <w:pStyle w:val="Indenta"/>
        <w:rPr>
          <w:snapToGrid w:val="0"/>
        </w:rPr>
      </w:pPr>
      <w:r>
        <w:rPr>
          <w:snapToGrid w:val="0"/>
        </w:rPr>
        <w:tab/>
        <w:t>(a)</w:t>
      </w:r>
      <w:r>
        <w:rPr>
          <w:snapToGrid w:val="0"/>
        </w:rPr>
        <w:tab/>
        <w:t>shall enter on the application form the date of its receipt and sign the endorsement; and</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 and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keepLines/>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Where an oral application for an early ballot paper is made to an issuing officer and the issuing officer is satisfied that the application is properly made, the issuing officer shall issue to the elector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pPr>
      <w:r>
        <w:tab/>
      </w:r>
      <w:r>
        <w:tab/>
        <w:t>and make a record of the name of the elector and of such other particulars as are prescribed.</w:t>
      </w:r>
    </w:p>
    <w:p>
      <w:pPr>
        <w:pStyle w:val="Subsection"/>
      </w:pPr>
      <w:r>
        <w:tab/>
        <w:t>(4c)</w:t>
      </w:r>
      <w:r>
        <w:tab/>
        <w:t>Immediately on issuing the ballot paper and envelope to the elector under subsection (4b), the issuing officer shall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if a copy of the electoral roll is not available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w:t>
      </w:r>
    </w:p>
    <w:p>
      <w:pPr>
        <w:pStyle w:val="Indenta"/>
        <w:rPr>
          <w:snapToGrid w:val="0"/>
        </w:rPr>
      </w:pPr>
      <w:r>
        <w:rPr>
          <w:snapToGrid w:val="0"/>
        </w:rPr>
        <w:tab/>
        <w:t>(a)</w:t>
      </w:r>
      <w:r>
        <w:rPr>
          <w:snapToGrid w:val="0"/>
        </w:rPr>
        <w:tab/>
        <w:t xml:space="preserve">in respect of a written application for an early ballot paper unless the application is received before 6 p.m. on the </w:t>
      </w:r>
      <w:r>
        <w:t xml:space="preserve">Wednesday </w:t>
      </w:r>
      <w:r>
        <w:rPr>
          <w:snapToGrid w:val="0"/>
        </w:rPr>
        <w:t>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spacing w:before="150"/>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oral application for an early ballot paper under and in accordance with this section.</w:t>
      </w:r>
    </w:p>
    <w:p>
      <w:pPr>
        <w:pStyle w:val="Subsection"/>
        <w:spacing w:before="150"/>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r>
        <w:t xml:space="preserve"> and section 92(3)</w:t>
      </w:r>
      <w:r>
        <w:rPr>
          <w:snapToGrid w:val="0"/>
        </w:rPr>
        <w:t>.</w:t>
      </w:r>
    </w:p>
    <w:p>
      <w:pPr>
        <w:pStyle w:val="Subsection"/>
        <w:spacing w:before="150"/>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spacing w:before="150"/>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rPr>
          <w:snapToGrid w:val="0"/>
        </w:rPr>
      </w:pPr>
      <w:r>
        <w:rPr>
          <w:snapToGrid w:val="0"/>
        </w:rPr>
        <w:tab/>
        <w:t>Penalty: 12 months imprisonment.</w:t>
      </w:r>
    </w:p>
    <w:p>
      <w:pPr>
        <w:pStyle w:val="Subsection"/>
        <w:spacing w:before="150"/>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spacing w:before="150"/>
      </w:pPr>
      <w:r>
        <w:tab/>
        <w:t>[(12)</w:t>
      </w:r>
      <w:r>
        <w:tab/>
        <w:t>deleted]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No. 7 of 2009 s. 12; No. 35 of 2012 s. 18.]</w:t>
      </w:r>
    </w:p>
    <w:p>
      <w:pPr>
        <w:pStyle w:val="Ednotesection"/>
      </w:pPr>
      <w:r>
        <w:t>[</w:t>
      </w:r>
      <w:r>
        <w:rPr>
          <w:b/>
        </w:rPr>
        <w:t>91.</w:t>
      </w:r>
      <w:r>
        <w:tab/>
        <w:t>Deleted by No. 53 of 1957 s. 4.]</w:t>
      </w:r>
    </w:p>
    <w:p>
      <w:pPr>
        <w:pStyle w:val="Heading5"/>
        <w:rPr>
          <w:snapToGrid w:val="0"/>
        </w:rPr>
      </w:pPr>
      <w:bookmarkStart w:id="599" w:name="_Toc402969379"/>
      <w:bookmarkStart w:id="600" w:name="_Toc436058178"/>
      <w:bookmarkStart w:id="601" w:name="_Toc416703195"/>
      <w:r>
        <w:rPr>
          <w:rStyle w:val="CharSectno"/>
        </w:rPr>
        <w:t>92</w:t>
      </w:r>
      <w:r>
        <w:rPr>
          <w:snapToGrid w:val="0"/>
        </w:rPr>
        <w:t>.</w:t>
      </w:r>
      <w:r>
        <w:rPr>
          <w:snapToGrid w:val="0"/>
        </w:rPr>
        <w:tab/>
        <w:t>Early ballot paper, how to vote by means of</w:t>
      </w:r>
      <w:bookmarkEnd w:id="599"/>
      <w:bookmarkEnd w:id="600"/>
      <w:bookmarkEnd w:id="601"/>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If an elector is issued with an early ballot paper under section 90(4b) —</w:t>
      </w:r>
    </w:p>
    <w:p>
      <w:pPr>
        <w:pStyle w:val="Indenta"/>
        <w:spacing w:before="70"/>
      </w:pPr>
      <w:r>
        <w:tab/>
        <w:t>(a)</w:t>
      </w:r>
      <w:r>
        <w:tab/>
        <w:t>the elector shall, if issued with a declaration under section 90(4c)(b), complete the declaration before the issuing officer and return it to the officer; and</w:t>
      </w:r>
    </w:p>
    <w:p>
      <w:pPr>
        <w:pStyle w:val="Indenta"/>
        <w:spacing w:before="70"/>
      </w:pPr>
      <w:r>
        <w:tab/>
        <w:t>(b)</w:t>
      </w:r>
      <w:r>
        <w:tab/>
        <w:t>the elector shall indicate the elector’s vote on the early ballot paper in the manner prescribed by section 128, but so that neither the issuing officer nor any other person can see the vote; and</w:t>
      </w:r>
    </w:p>
    <w:p>
      <w:pPr>
        <w:pStyle w:val="Indenta"/>
        <w:spacing w:before="70"/>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w:t>
      </w:r>
    </w:p>
    <w:p>
      <w:pPr>
        <w:pStyle w:val="Indenta"/>
        <w:rPr>
          <w:snapToGrid w:val="0"/>
        </w:rPr>
      </w:pPr>
      <w:r>
        <w:rPr>
          <w:snapToGrid w:val="0"/>
        </w:rPr>
        <w:tab/>
        <w:t>(a)</w:t>
      </w:r>
      <w:r>
        <w:rPr>
          <w:snapToGrid w:val="0"/>
        </w:rPr>
        <w:tab/>
        <w:t>if posted under subsection (</w:t>
      </w:r>
      <w:r>
        <w:t>2)(f)</w:t>
      </w:r>
      <w:r>
        <w:rPr>
          <w:snapToGrid w:val="0"/>
        </w:rPr>
        <w:t xml:space="preserve">, would not reach the Electoral Commissioner before 9 a.m. on the </w:t>
      </w:r>
      <w:r>
        <w:t>Thursday</w:t>
      </w:r>
      <w:r>
        <w:rPr>
          <w:snapToGrid w:val="0"/>
        </w:rPr>
        <w:t xml:space="preserve">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spacing w:before="180"/>
        <w:rPr>
          <w:snapToGrid w:val="0"/>
        </w:rPr>
      </w:pPr>
      <w:r>
        <w:rPr>
          <w:snapToGrid w:val="0"/>
        </w:rPr>
        <w:tab/>
        <w:t>(4b)</w:t>
      </w:r>
      <w:r>
        <w:rPr>
          <w:snapToGrid w:val="0"/>
        </w:rPr>
        <w:tab/>
        <w:t>A returning officer or presiding officer shall not accept an early ballot paper after the close of the poll.</w:t>
      </w:r>
    </w:p>
    <w:p>
      <w:pPr>
        <w:pStyle w:val="Subsection"/>
        <w:spacing w:before="180"/>
        <w:rPr>
          <w:snapToGrid w:val="0"/>
        </w:rPr>
      </w:pPr>
      <w:r>
        <w:tab/>
        <w:t>(4C)</w:t>
      </w:r>
      <w:r>
        <w:tab/>
      </w:r>
      <w:r>
        <w:rPr>
          <w:snapToGrid w:val="0"/>
        </w:rPr>
        <w:t>For the purpose of subsection (2)(f), an envelope addressed to the Electoral Commissioner containing a ballot paper is to be taken to have been posted before the close of the poll if —</w:t>
      </w:r>
    </w:p>
    <w:p>
      <w:pPr>
        <w:pStyle w:val="Indenta"/>
        <w:rPr>
          <w:snapToGrid w:val="0"/>
        </w:rPr>
      </w:pPr>
      <w:r>
        <w:tab/>
        <w:t>(a)</w:t>
      </w:r>
      <w:r>
        <w:tab/>
      </w:r>
      <w:r>
        <w:rPr>
          <w:snapToGrid w:val="0"/>
        </w:rPr>
        <w:t>the postmark on the envelope is dated any day on or before polling day; or</w:t>
      </w:r>
    </w:p>
    <w:p>
      <w:pPr>
        <w:pStyle w:val="Indenta"/>
        <w:rPr>
          <w:snapToGrid w:val="0"/>
        </w:rPr>
      </w:pPr>
      <w:r>
        <w:rPr>
          <w:snapToGrid w:val="0"/>
        </w:rPr>
        <w:tab/>
        <w:t>(b)</w:t>
      </w:r>
      <w:r>
        <w:rPr>
          <w:snapToGrid w:val="0"/>
        </w:rPr>
        <w:tab/>
        <w:t>the postmark on the envelope is dated with the date of the Sunday immediately after polling day and the declaration is witnessed on or before polling day; or</w:t>
      </w:r>
    </w:p>
    <w:p>
      <w:pPr>
        <w:pStyle w:val="Indenta"/>
        <w:rPr>
          <w:snapToGrid w:val="0"/>
        </w:rPr>
      </w:pPr>
      <w:r>
        <w:rPr>
          <w:snapToGrid w:val="0"/>
        </w:rPr>
        <w:tab/>
        <w:t>(c)</w:t>
      </w:r>
      <w:r>
        <w:rPr>
          <w:snapToGrid w:val="0"/>
        </w:rPr>
        <w:tab/>
        <w:t>in the case of no postmark being legible, the declaration is witnessed on or before polling day,</w:t>
      </w:r>
    </w:p>
    <w:p>
      <w:pPr>
        <w:pStyle w:val="Subsection"/>
        <w:rPr>
          <w:snapToGrid w:val="0"/>
        </w:rPr>
      </w:pPr>
      <w:r>
        <w:tab/>
      </w:r>
      <w:r>
        <w:tab/>
      </w:r>
      <w:r>
        <w:rPr>
          <w:snapToGrid w:val="0"/>
        </w:rPr>
        <w:t>and the envelope reaches the Electoral Commissioner before 9 a.m. on the Thursday next succeeding polling day.</w:t>
      </w:r>
    </w:p>
    <w:p>
      <w:pPr>
        <w:pStyle w:val="Subsection"/>
        <w:spacing w:before="180"/>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spacing w:before="180"/>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make his mark thereon;</w:t>
      </w:r>
    </w:p>
    <w:p>
      <w:pPr>
        <w:pStyle w:val="Indenta"/>
        <w:rPr>
          <w:snapToGrid w:val="0"/>
        </w:rPr>
      </w:pPr>
      <w:r>
        <w:rPr>
          <w:snapToGrid w:val="0"/>
        </w:rPr>
        <w:tab/>
      </w:r>
      <w:r>
        <w:rPr>
          <w:snapToGrid w:val="0"/>
        </w:rPr>
        <w:tab/>
        <w:t>and</w:t>
      </w:r>
    </w:p>
    <w:p>
      <w:pPr>
        <w:pStyle w:val="Indenta"/>
        <w:keepNext/>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spacing w:before="60"/>
        <w:ind w:left="1616" w:hanging="1616"/>
        <w:rPr>
          <w:snapToGrid w:val="0"/>
        </w:rPr>
      </w:pPr>
      <w:r>
        <w:rPr>
          <w:snapToGrid w:val="0"/>
        </w:rPr>
        <w:tab/>
        <w:t>Penalty: $1 000.</w:t>
      </w:r>
    </w:p>
    <w:p>
      <w:pPr>
        <w:pStyle w:val="Subsection"/>
        <w:spacing w:before="90"/>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spacing w:before="90"/>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spacing w:before="90"/>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spacing w:before="90"/>
        <w:rPr>
          <w:snapToGrid w:val="0"/>
        </w:rPr>
      </w:pPr>
      <w:r>
        <w:rPr>
          <w:snapToGrid w:val="0"/>
        </w:rPr>
        <w:tab/>
        <w:t>(9)</w:t>
      </w:r>
      <w:r>
        <w:rPr>
          <w:snapToGrid w:val="0"/>
        </w:rPr>
        <w:tab/>
        <w:t>Where a declaration relating to an early ballot paper —</w:t>
      </w:r>
    </w:p>
    <w:p>
      <w:pPr>
        <w:pStyle w:val="Indenta"/>
        <w:spacing w:before="50"/>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spacing w:before="50"/>
        <w:rPr>
          <w:snapToGrid w:val="0"/>
        </w:rPr>
      </w:pPr>
      <w:r>
        <w:rPr>
          <w:snapToGrid w:val="0"/>
        </w:rPr>
        <w:tab/>
        <w:t>(b)</w:t>
      </w:r>
      <w:r>
        <w:rPr>
          <w:snapToGrid w:val="0"/>
        </w:rPr>
        <w:tab/>
        <w:t>is not witnessed by an authorised witness in accordance with this Act; or</w:t>
      </w:r>
    </w:p>
    <w:p>
      <w:pPr>
        <w:pStyle w:val="Indenta"/>
        <w:spacing w:before="50"/>
        <w:rPr>
          <w:snapToGrid w:val="0"/>
        </w:rPr>
      </w:pPr>
      <w:r>
        <w:rPr>
          <w:snapToGrid w:val="0"/>
        </w:rPr>
        <w:tab/>
        <w:t>(c)</w:t>
      </w:r>
      <w:r>
        <w:rPr>
          <w:snapToGrid w:val="0"/>
        </w:rPr>
        <w:tab/>
        <w:t>does not bear the date the authorised witness signed the declaration; or</w:t>
      </w:r>
    </w:p>
    <w:p>
      <w:pPr>
        <w:pStyle w:val="Indenta"/>
        <w:spacing w:before="50"/>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pPr>
      <w:r>
        <w:tab/>
        <w:t>(12)</w:t>
      </w:r>
      <w:r>
        <w:tab/>
        <w:t>At any time after an envelope containing an early ballot paper has been dealt with in accordance with —</w:t>
      </w:r>
    </w:p>
    <w:p>
      <w:pPr>
        <w:pStyle w:val="Indenta"/>
      </w:pPr>
      <w:r>
        <w:tab/>
        <w:t>(a)</w:t>
      </w:r>
      <w:r>
        <w:tab/>
        <w:t>the regulations made for the purposes of subsection (8); or</w:t>
      </w:r>
    </w:p>
    <w:p>
      <w:pPr>
        <w:pStyle w:val="Indenta"/>
      </w:pPr>
      <w:r>
        <w:tab/>
        <w:t>(b)</w:t>
      </w:r>
      <w:r>
        <w:tab/>
        <w:t>subsection (10),</w:t>
      </w:r>
    </w:p>
    <w:p>
      <w:pPr>
        <w:pStyle w:val="Subsection"/>
      </w:pPr>
      <w:r>
        <w:tab/>
      </w:r>
      <w:r>
        <w:tab/>
        <w:t>an officer or officers referred to in subsection (8) may, in the prescribed manner, open the envelope and deal with the ballot paper in it.</w:t>
      </w:r>
    </w:p>
    <w:p>
      <w:pPr>
        <w:pStyle w:val="Footnotesection"/>
        <w:keepLines w:val="0"/>
        <w:ind w:left="890" w:hanging="890"/>
      </w:pPr>
      <w:r>
        <w:tab/>
        <w:t>[Section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No. 64 of 2006 s. 30 and 53; No. 35 of 2012 s. 19.]</w:t>
      </w:r>
    </w:p>
    <w:p>
      <w:pPr>
        <w:pStyle w:val="Heading5"/>
        <w:rPr>
          <w:snapToGrid w:val="0"/>
        </w:rPr>
      </w:pPr>
      <w:bookmarkStart w:id="602" w:name="_Toc402969380"/>
      <w:bookmarkStart w:id="603" w:name="_Toc436058179"/>
      <w:bookmarkStart w:id="604" w:name="_Toc416703196"/>
      <w:r>
        <w:rPr>
          <w:rStyle w:val="CharSectno"/>
        </w:rPr>
        <w:t>93</w:t>
      </w:r>
      <w:r>
        <w:rPr>
          <w:snapToGrid w:val="0"/>
        </w:rPr>
        <w:t>.</w:t>
      </w:r>
      <w:r>
        <w:rPr>
          <w:snapToGrid w:val="0"/>
        </w:rPr>
        <w:tab/>
        <w:t>General early voter, registration of etc.</w:t>
      </w:r>
      <w:bookmarkEnd w:id="602"/>
      <w:bookmarkEnd w:id="603"/>
      <w:bookmarkEnd w:id="604"/>
    </w:p>
    <w:p>
      <w:pPr>
        <w:pStyle w:val="Subsection"/>
        <w:rPr>
          <w:snapToGrid w:val="0"/>
        </w:rPr>
      </w:pPr>
      <w:r>
        <w:rPr>
          <w:snapToGrid w:val="0"/>
        </w:rPr>
        <w:tab/>
        <w:t>(1)</w:t>
      </w:r>
      <w:r>
        <w:rPr>
          <w:snapToGrid w:val="0"/>
        </w:rPr>
        <w:tab/>
        <w:t>Any person —</w:t>
      </w:r>
    </w:p>
    <w:p>
      <w:pPr>
        <w:pStyle w:val="Indenta"/>
        <w:rPr>
          <w:snapToGrid w:val="0"/>
        </w:rPr>
      </w:pPr>
      <w:r>
        <w:rPr>
          <w:snapToGrid w:val="0"/>
        </w:rPr>
        <w:tab/>
        <w:t>(a)</w:t>
      </w:r>
      <w:r>
        <w:rPr>
          <w:snapToGrid w:val="0"/>
        </w:rPr>
        <w:tab/>
        <w:t>whose place of living is not within 20 kilometres, by the nearest practicable route, of a polling place; or</w:t>
      </w:r>
    </w:p>
    <w:p>
      <w:pPr>
        <w:pStyle w:val="Indenta"/>
      </w:pPr>
      <w:r>
        <w:tab/>
        <w:t>(aa)</w:t>
      </w:r>
      <w:r>
        <w:tab/>
        <w:t>who is, by reason of caring for a person who is permanently disabled, seriously ill or infirm, precluded from attending at a polling place; or</w:t>
      </w:r>
    </w:p>
    <w:p>
      <w:pPr>
        <w:pStyle w:val="Indenta"/>
      </w:pPr>
      <w:r>
        <w:tab/>
        <w:t>(ab)</w:t>
      </w:r>
      <w:r>
        <w:tab/>
        <w:t>whose residence is not shown on the roll because a request under section 51B has been granted; or</w:t>
      </w:r>
    </w:p>
    <w:p>
      <w:pPr>
        <w:pStyle w:val="Indenta"/>
        <w:rPr>
          <w:snapToGrid w:val="0"/>
        </w:rPr>
      </w:pPr>
      <w:r>
        <w:rPr>
          <w:snapToGrid w:val="0"/>
        </w:rPr>
        <w:tab/>
        <w:t>(b)</w:t>
      </w:r>
      <w:r>
        <w:rPr>
          <w:snapToGrid w:val="0"/>
        </w:rPr>
        <w:tab/>
        <w:t>who is, by reason of membership of a religious order or religious beliefs —</w:t>
      </w:r>
    </w:p>
    <w:p>
      <w:pPr>
        <w:pStyle w:val="Indenti"/>
        <w:rPr>
          <w:snapToGrid w:val="0"/>
        </w:rPr>
      </w:pPr>
      <w:r>
        <w:rPr>
          <w:snapToGrid w:val="0"/>
        </w:rPr>
        <w:tab/>
        <w:t>(i)</w:t>
      </w:r>
      <w:r>
        <w:rPr>
          <w:snapToGrid w:val="0"/>
        </w:rPr>
        <w:tab/>
        <w:t>precluded from attending at a polling place; or</w:t>
      </w:r>
    </w:p>
    <w:p>
      <w:pPr>
        <w:pStyle w:val="Indenti"/>
        <w:keepNext/>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who is permanently </w:t>
      </w:r>
      <w:r>
        <w:t>disabled; or</w:t>
      </w:r>
    </w:p>
    <w:p>
      <w:pPr>
        <w:pStyle w:val="Indenta"/>
      </w:pPr>
      <w:r>
        <w:tab/>
        <w:t>(d)</w:t>
      </w:r>
      <w:r>
        <w:tab/>
        <w:t>who is entitled to vote under section 17A(2); or</w:t>
      </w:r>
    </w:p>
    <w:p>
      <w:pPr>
        <w:pStyle w:val="Indenta"/>
      </w:pPr>
      <w:r>
        <w:tab/>
        <w:t>(e)</w:t>
      </w:r>
      <w:r>
        <w:tab/>
        <w:t>who has reached the age of 70 years; or</w:t>
      </w:r>
    </w:p>
    <w:p>
      <w:pPr>
        <w:pStyle w:val="Indenta"/>
      </w:pPr>
      <w:r>
        <w:tab/>
        <w:t>(f)</w:t>
      </w:r>
      <w:r>
        <w:tab/>
        <w:t>who is seriously ill or infirm,</w:t>
      </w:r>
    </w:p>
    <w:p>
      <w:pPr>
        <w:pStyle w:val="Subsection"/>
        <w:rPr>
          <w:snapToGrid w:val="0"/>
        </w:rPr>
      </w:pPr>
      <w:r>
        <w:rPr>
          <w:snapToGrid w:val="0"/>
        </w:rPr>
        <w:tab/>
      </w:r>
      <w:r>
        <w:rPr>
          <w:snapToGrid w:val="0"/>
        </w:rPr>
        <w:tab/>
        <w:t>may, at any time, lodge an application in writing with the Electoral Commissioner to be registered as a general early voter.</w:t>
      </w:r>
    </w:p>
    <w:p>
      <w:pPr>
        <w:pStyle w:val="Subsection"/>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[Section 93 inserted by No. 53 of 1957 s. 6; amended by No. 33 of 1967 s. 13; No. 54 of 1983 s. 9; No. 40 of 1987 s. 54 and 84; No. 79 of 1987 s. 30; No. 36 of 2000 s. 46, 48(1) and (2); No. 7 of 2009 s. 13; No. 35 of 2012 s. 20.]</w:t>
      </w:r>
    </w:p>
    <w:p>
      <w:pPr>
        <w:pStyle w:val="Heading5"/>
        <w:rPr>
          <w:snapToGrid w:val="0"/>
        </w:rPr>
      </w:pPr>
      <w:bookmarkStart w:id="605" w:name="_Toc402969381"/>
      <w:bookmarkStart w:id="606" w:name="_Toc436058566"/>
      <w:bookmarkStart w:id="607" w:name="_Toc416703197"/>
      <w:r>
        <w:rPr>
          <w:rStyle w:val="CharSectno"/>
        </w:rPr>
        <w:t>94</w:t>
      </w:r>
      <w:r>
        <w:rPr>
          <w:snapToGrid w:val="0"/>
        </w:rPr>
        <w:t>.</w:t>
      </w:r>
      <w:r>
        <w:rPr>
          <w:snapToGrid w:val="0"/>
        </w:rPr>
        <w:tab/>
        <w:t>Authorised witnesses for this Division</w:t>
      </w:r>
      <w:bookmarkEnd w:id="605"/>
      <w:bookmarkEnd w:id="606"/>
      <w:bookmarkEnd w:id="607"/>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[Section 94 inserted by No. 53 of 1957 s. 7; amended by No. 59 of 1959 s. 7; No. 51 of 1962 s. 8; No. 70 of 1973 s. 7.]</w:t>
      </w:r>
    </w:p>
    <w:p>
      <w:pPr>
        <w:pStyle w:val="Heading5"/>
        <w:rPr>
          <w:snapToGrid w:val="0"/>
        </w:rPr>
      </w:pPr>
      <w:bookmarkStart w:id="608" w:name="_Toc402969382"/>
      <w:bookmarkStart w:id="609" w:name="_Toc436058567"/>
      <w:bookmarkStart w:id="610" w:name="_Toc416703198"/>
      <w:r>
        <w:rPr>
          <w:rStyle w:val="CharSectno"/>
        </w:rPr>
        <w:t>95</w:t>
      </w:r>
      <w:r>
        <w:rPr>
          <w:snapToGrid w:val="0"/>
        </w:rPr>
        <w:t>.</w:t>
      </w:r>
      <w:r>
        <w:rPr>
          <w:snapToGrid w:val="0"/>
        </w:rPr>
        <w:tab/>
        <w:t>Early ballot papers etc., offences as to</w:t>
      </w:r>
      <w:bookmarkEnd w:id="608"/>
      <w:bookmarkEnd w:id="609"/>
      <w:bookmarkEnd w:id="610"/>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rPr>
          <w:snapToGrid w:val="0"/>
        </w:rPr>
      </w:pPr>
      <w:r>
        <w:rPr>
          <w:snapToGrid w:val="0"/>
        </w:rPr>
        <w:tab/>
        <w:t>(6)</w:t>
      </w:r>
      <w:r>
        <w:rPr>
          <w:snapToGrid w:val="0"/>
        </w:rPr>
        <w:tab/>
        <w:t>An authorised witness shall not disclose any knowledge of the vote of any elector voting by early vote before him.</w:t>
      </w:r>
    </w:p>
    <w:p>
      <w:pPr>
        <w:pStyle w:val="Subsection"/>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shall not, except as provided in section 92(5) —</w:t>
      </w:r>
    </w:p>
    <w:p>
      <w:pPr>
        <w:pStyle w:val="Indenti"/>
        <w:spacing w:before="60"/>
        <w:rPr>
          <w:snapToGrid w:val="0"/>
        </w:rPr>
      </w:pPr>
      <w:r>
        <w:rPr>
          <w:snapToGrid w:val="0"/>
        </w:rPr>
        <w:tab/>
        <w:t>(i)</w:t>
      </w:r>
      <w:r>
        <w:rPr>
          <w:snapToGrid w:val="0"/>
        </w:rPr>
        <w:tab/>
        <w:t>make any communication whatever to the elector in relation to his vote; and</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spacing w:before="180"/>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w:t>
      </w:r>
    </w:p>
    <w:p>
      <w:pPr>
        <w:pStyle w:val="Indenta"/>
        <w:rPr>
          <w:snapToGrid w:val="0"/>
        </w:rPr>
      </w:pPr>
      <w:r>
        <w:rPr>
          <w:snapToGrid w:val="0"/>
        </w:rPr>
        <w:tab/>
        <w:t>(a)</w:t>
      </w:r>
      <w:r>
        <w:rPr>
          <w:snapToGrid w:val="0"/>
        </w:rPr>
        <w:tab/>
        <w:t>give to the elector an early ballot paper; or</w:t>
      </w:r>
    </w:p>
    <w:p>
      <w:pPr>
        <w:pStyle w:val="Indenta"/>
        <w:rPr>
          <w:snapToGrid w:val="0"/>
        </w:rPr>
      </w:pPr>
      <w:r>
        <w:rPr>
          <w:snapToGrid w:val="0"/>
        </w:rPr>
        <w:tab/>
        <w:t>(b)</w:t>
      </w:r>
      <w:r>
        <w:rPr>
          <w:snapToGrid w:val="0"/>
        </w:rPr>
        <w:tab/>
        <w:t>be present when the elector indicates his vote on the early ballot paper; or</w:t>
      </w:r>
    </w:p>
    <w:p>
      <w:pPr>
        <w:pStyle w:val="Indenta"/>
        <w:rPr>
          <w:snapToGrid w:val="0"/>
        </w:rPr>
      </w:pPr>
      <w:r>
        <w:rPr>
          <w:snapToGrid w:val="0"/>
        </w:rPr>
        <w:tab/>
        <w:t>(c)</w:t>
      </w:r>
      <w:r>
        <w:rPr>
          <w:snapToGrid w:val="0"/>
        </w:rPr>
        <w:tab/>
        <w:t>sign his name on the declaration accompanying the early ballot paper; or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[Section 95 inserted by No. 53 of 1957 s. 8; amended by No. 59 of 1959 s. 8; No. 113 of 1965 s. 8; No. 39 of 1979 s. 13; No. 40 of 1987 s. 84; No. 79 of 1987 s. 78; No. 78 of 1995 s. 147; No. 36 of 2000 s. 48(1), (2), (4), (6) to (8).]</w:t>
      </w:r>
    </w:p>
    <w:p>
      <w:pPr>
        <w:pStyle w:val="Ednotesection"/>
        <w:keepNext/>
        <w:ind w:left="890" w:hanging="890"/>
      </w:pPr>
      <w:r>
        <w:t>[</w:t>
      </w:r>
      <w:r>
        <w:rPr>
          <w:b/>
        </w:rPr>
        <w:t>96.</w:t>
      </w:r>
      <w:r>
        <w:tab/>
        <w:t>Deleted by No. 57 of 1952 s. 5.]</w:t>
      </w:r>
    </w:p>
    <w:p>
      <w:pPr>
        <w:pStyle w:val="Heading5"/>
        <w:rPr>
          <w:snapToGrid w:val="0"/>
        </w:rPr>
      </w:pPr>
      <w:bookmarkStart w:id="611" w:name="_Toc402969383"/>
      <w:bookmarkStart w:id="612" w:name="_Toc436058568"/>
      <w:bookmarkStart w:id="613" w:name="_Toc416703199"/>
      <w:r>
        <w:rPr>
          <w:rStyle w:val="CharSectno"/>
        </w:rPr>
        <w:t>97</w:t>
      </w:r>
      <w:r>
        <w:rPr>
          <w:snapToGrid w:val="0"/>
        </w:rPr>
        <w:t>.</w:t>
      </w:r>
      <w:r>
        <w:rPr>
          <w:snapToGrid w:val="0"/>
        </w:rPr>
        <w:tab/>
        <w:t>Spelling mistakes on early ballot papers, effect of</w:t>
      </w:r>
      <w:bookmarkEnd w:id="611"/>
      <w:bookmarkEnd w:id="612"/>
      <w:bookmarkEnd w:id="613"/>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[Section 97 inserted by No. 40 of 1987 s. 55; amended by No. 36 of 2000 s. 48(2).]</w:t>
      </w:r>
    </w:p>
    <w:p>
      <w:pPr>
        <w:pStyle w:val="Heading5"/>
        <w:rPr>
          <w:snapToGrid w:val="0"/>
        </w:rPr>
      </w:pPr>
      <w:bookmarkStart w:id="614" w:name="_Toc402969384"/>
      <w:bookmarkStart w:id="615" w:name="_Toc436058569"/>
      <w:bookmarkStart w:id="616" w:name="_Toc416703200"/>
      <w:r>
        <w:rPr>
          <w:rStyle w:val="CharSectno"/>
        </w:rPr>
        <w:t>98</w:t>
      </w:r>
      <w:r>
        <w:rPr>
          <w:snapToGrid w:val="0"/>
        </w:rPr>
        <w:t>.</w:t>
      </w:r>
      <w:r>
        <w:rPr>
          <w:snapToGrid w:val="0"/>
        </w:rPr>
        <w:tab/>
        <w:t>Officer’s decision to allow etc. early ballot paper, status of</w:t>
      </w:r>
      <w:bookmarkEnd w:id="614"/>
      <w:bookmarkEnd w:id="615"/>
      <w:bookmarkEnd w:id="616"/>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[Section 98 inserted by No. 79 of 1987 s. 31; amended by No. 36 of 2000 s. 48(1).]</w:t>
      </w:r>
    </w:p>
    <w:p>
      <w:pPr>
        <w:pStyle w:val="Ednotesection"/>
        <w:ind w:left="890" w:hanging="890"/>
      </w:pPr>
      <w:r>
        <w:t>[</w:t>
      </w:r>
      <w:r>
        <w:rPr>
          <w:b/>
        </w:rPr>
        <w:t>99.</w:t>
      </w:r>
      <w:r>
        <w:tab/>
        <w:t>Deleted by No. 53 of 1957 s. 9.]</w:t>
      </w:r>
    </w:p>
    <w:p>
      <w:pPr>
        <w:pStyle w:val="Heading5"/>
        <w:rPr>
          <w:snapToGrid w:val="0"/>
        </w:rPr>
      </w:pPr>
      <w:bookmarkStart w:id="617" w:name="_Toc402969385"/>
      <w:bookmarkStart w:id="618" w:name="_Toc436058570"/>
      <w:bookmarkStart w:id="619" w:name="_Toc416703201"/>
      <w:r>
        <w:rPr>
          <w:rStyle w:val="CharSectno"/>
        </w:rPr>
        <w:t>99A</w:t>
      </w:r>
      <w:r>
        <w:rPr>
          <w:snapToGrid w:val="0"/>
        </w:rPr>
        <w:t>.</w:t>
      </w:r>
      <w:r>
        <w:rPr>
          <w:snapToGrid w:val="0"/>
        </w:rPr>
        <w:tab/>
        <w:t>Absent vote, who may make etc.</w:t>
      </w:r>
      <w:bookmarkEnd w:id="617"/>
      <w:bookmarkEnd w:id="618"/>
      <w:bookmarkEnd w:id="619"/>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pPr>
      <w:r>
        <w:tab/>
        <w:t>(3)</w:t>
      </w:r>
      <w:r>
        <w:tab/>
        <w:t>This section does not apply to a person who claims to vote at a polling place that is appointed under section 100 for the district for which the person is enrolled.</w:t>
      </w:r>
    </w:p>
    <w:p>
      <w:pPr>
        <w:pStyle w:val="Footnotesection"/>
        <w:ind w:left="890" w:hanging="890"/>
      </w:pPr>
      <w:r>
        <w:tab/>
        <w:t>[Section 99A inserted by No. 63 of 1948 s. 18; amended by No. 58 of 1951 s. 10; No. 57 of 1952 s. 7; No. 33 of 1964 s. 30; No. 33 of 1967 s. 14; No. 40 of 1987 s. 56 and 84; No. 36 of 2000 s. 74.]</w:t>
      </w:r>
    </w:p>
    <w:p>
      <w:pPr>
        <w:pStyle w:val="Heading5"/>
        <w:rPr>
          <w:snapToGrid w:val="0"/>
        </w:rPr>
      </w:pPr>
      <w:bookmarkStart w:id="620" w:name="_Toc402969386"/>
      <w:bookmarkStart w:id="621" w:name="_Toc436058571"/>
      <w:bookmarkStart w:id="622" w:name="_Toc416703202"/>
      <w:r>
        <w:rPr>
          <w:rStyle w:val="CharSectno"/>
        </w:rPr>
        <w:t>99B</w:t>
      </w:r>
      <w:r>
        <w:rPr>
          <w:snapToGrid w:val="0"/>
        </w:rPr>
        <w:t>.</w:t>
      </w:r>
      <w:r>
        <w:rPr>
          <w:snapToGrid w:val="0"/>
        </w:rPr>
        <w:tab/>
        <w:t>Regulations about early, absent and provisional voting</w:t>
      </w:r>
      <w:bookmarkEnd w:id="620"/>
      <w:bookmarkEnd w:id="621"/>
      <w:bookmarkEnd w:id="622"/>
    </w:p>
    <w:p>
      <w:pPr>
        <w:pStyle w:val="Subsection"/>
        <w:rPr>
          <w:snapToGrid w:val="0"/>
        </w:rPr>
      </w:pPr>
      <w:r>
        <w:rPr>
          <w:snapToGrid w:val="0"/>
        </w:rPr>
        <w:tab/>
        <w:t>(1)</w:t>
      </w:r>
      <w:r>
        <w:rPr>
          <w:snapToGrid w:val="0"/>
        </w:rPr>
        <w:tab/>
        <w:t xml:space="preserve">In this section, </w:t>
      </w:r>
      <w:r>
        <w:rPr>
          <w:rStyle w:val="CharDefText"/>
        </w:rPr>
        <w:t>ballot papers</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w:t>
      </w:r>
    </w:p>
    <w:p>
      <w:pPr>
        <w:pStyle w:val="Indenta"/>
        <w:rPr>
          <w:snapToGrid w:val="0"/>
        </w:rPr>
      </w:pPr>
      <w:r>
        <w:rPr>
          <w:snapToGrid w:val="0"/>
        </w:rPr>
        <w:tab/>
        <w:t>(a)</w:t>
      </w:r>
      <w:r>
        <w:rPr>
          <w:snapToGrid w:val="0"/>
        </w:rPr>
        <w:tab/>
        <w:t>the forms of ballot papers; and</w:t>
      </w:r>
    </w:p>
    <w:p>
      <w:pPr>
        <w:pStyle w:val="Indenta"/>
        <w:rPr>
          <w:snapToGrid w:val="0"/>
        </w:rPr>
      </w:pPr>
      <w:r>
        <w:rPr>
          <w:snapToGrid w:val="0"/>
        </w:rPr>
        <w:tab/>
        <w:t>(b)</w:t>
      </w:r>
      <w:r>
        <w:rPr>
          <w:snapToGrid w:val="0"/>
        </w:rPr>
        <w:tab/>
        <w:t>the manner in which votes are to be marked on ballot papers; and</w:t>
      </w:r>
    </w:p>
    <w:p>
      <w:pPr>
        <w:pStyle w:val="Indenta"/>
        <w:rPr>
          <w:snapToGrid w:val="0"/>
        </w:rPr>
      </w:pPr>
      <w:r>
        <w:rPr>
          <w:snapToGrid w:val="0"/>
        </w:rPr>
        <w:tab/>
        <w:t>(c)</w:t>
      </w:r>
      <w:r>
        <w:rPr>
          <w:snapToGrid w:val="0"/>
        </w:rPr>
        <w:tab/>
        <w:t>the method of dealing with ballot papers, including the scrutiny thereof and the counting of votes thereon; and</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[Section 99B inserted by No. 58 of 1951 s. 11; amended by No. 57 of 1952 s. 8; No. 53 of 1957 s. 10; No. 40 of 1987 s. 57 and 84; No. 79 of 1987 s. 32; No. 36 of 2000 s. 48(1) and (9).]</w:t>
      </w:r>
    </w:p>
    <w:p>
      <w:pPr>
        <w:pStyle w:val="Heading4"/>
        <w:rPr>
          <w:i/>
          <w:snapToGrid w:val="0"/>
        </w:rPr>
      </w:pPr>
      <w:bookmarkStart w:id="623" w:name="_Toc402969387"/>
      <w:bookmarkStart w:id="624" w:name="_Toc416702819"/>
      <w:bookmarkStart w:id="625" w:name="_Toc416703203"/>
      <w:bookmarkStart w:id="626" w:name="_Toc435714455"/>
      <w:bookmarkStart w:id="627" w:name="_Toc436057570"/>
      <w:bookmarkStart w:id="628" w:name="_Toc436057958"/>
      <w:bookmarkStart w:id="629" w:name="_Toc436058343"/>
      <w:bookmarkStart w:id="630" w:name="_Toc436058572"/>
      <w:r>
        <w:rPr>
          <w:i/>
          <w:snapToGrid w:val="0"/>
        </w:rPr>
        <w:t>(ii) At the poll</w:t>
      </w:r>
      <w:bookmarkEnd w:id="623"/>
      <w:bookmarkEnd w:id="624"/>
      <w:bookmarkEnd w:id="625"/>
      <w:bookmarkEnd w:id="626"/>
      <w:bookmarkEnd w:id="627"/>
      <w:bookmarkEnd w:id="628"/>
      <w:bookmarkEnd w:id="629"/>
      <w:bookmarkEnd w:id="630"/>
    </w:p>
    <w:p>
      <w:pPr>
        <w:pStyle w:val="Heading5"/>
        <w:spacing w:before="180"/>
        <w:rPr>
          <w:snapToGrid w:val="0"/>
        </w:rPr>
      </w:pPr>
      <w:bookmarkStart w:id="631" w:name="_Toc402969388"/>
      <w:bookmarkStart w:id="632" w:name="_Toc436058573"/>
      <w:bookmarkStart w:id="633" w:name="_Toc416703204"/>
      <w:r>
        <w:rPr>
          <w:rStyle w:val="CharSectno"/>
        </w:rPr>
        <w:t>100</w:t>
      </w:r>
      <w:r>
        <w:rPr>
          <w:snapToGrid w:val="0"/>
        </w:rPr>
        <w:t>.</w:t>
      </w:r>
      <w:r>
        <w:rPr>
          <w:snapToGrid w:val="0"/>
        </w:rPr>
        <w:tab/>
        <w:t>Polling places etc., appointing etc.</w:t>
      </w:r>
      <w:bookmarkEnd w:id="631"/>
      <w:bookmarkEnd w:id="632"/>
      <w:bookmarkEnd w:id="633"/>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120"/>
      </w:pPr>
      <w:r>
        <w:tab/>
        <w:t>(3)</w:t>
      </w:r>
      <w:r>
        <w:tab/>
        <w:t xml:space="preserve">If a polling place is appointed under subsection (1) for all regions, or all districts, for the purposes of a general election, that polling place is referred to as a </w:t>
      </w:r>
      <w:r>
        <w:rPr>
          <w:rStyle w:val="CharDefText"/>
        </w:rPr>
        <w:t>general polling place</w:t>
      </w:r>
      <w:r>
        <w:t>.</w:t>
      </w:r>
    </w:p>
    <w:p>
      <w:pPr>
        <w:pStyle w:val="Subsection"/>
        <w:spacing w:before="180"/>
      </w:pPr>
      <w:r>
        <w:tab/>
        <w:t>(3a)</w:t>
      </w:r>
      <w:r>
        <w:tab/>
        <w:t>The Electoral Commissioner may, in relation to a general polling place, perform the functions of the returning officers for the regions, or districts, under the provisions listed in the Table to this subsection.</w:t>
      </w:r>
    </w:p>
    <w:p>
      <w:pPr>
        <w:pStyle w:val="THeadingNAm"/>
        <w:ind w:left="0" w:right="-37"/>
      </w:pPr>
      <w: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NAm"/>
            </w:pPr>
            <w:r>
              <w:t>section 102</w:t>
            </w:r>
          </w:p>
        </w:tc>
        <w:tc>
          <w:tcPr>
            <w:tcW w:w="2037" w:type="dxa"/>
          </w:tcPr>
          <w:p>
            <w:pPr>
              <w:pStyle w:val="TableNAm"/>
            </w:pPr>
            <w:r>
              <w:t>section 112(3)</w:t>
            </w:r>
          </w:p>
        </w:tc>
      </w:tr>
      <w:tr>
        <w:trPr>
          <w:cantSplit/>
        </w:trPr>
        <w:tc>
          <w:tcPr>
            <w:tcW w:w="2103" w:type="dxa"/>
          </w:tcPr>
          <w:p>
            <w:pPr>
              <w:pStyle w:val="TableNAm"/>
            </w:pPr>
            <w:r>
              <w:t>section 105(1)</w:t>
            </w:r>
          </w:p>
        </w:tc>
        <w:tc>
          <w:tcPr>
            <w:tcW w:w="2037" w:type="dxa"/>
          </w:tcPr>
          <w:p>
            <w:pPr>
              <w:pStyle w:val="TableNAm"/>
            </w:pPr>
            <w:r>
              <w:t>section 115(1a)</w:t>
            </w:r>
          </w:p>
        </w:tc>
      </w:tr>
      <w:tr>
        <w:trPr>
          <w:cantSplit/>
        </w:trPr>
        <w:tc>
          <w:tcPr>
            <w:tcW w:w="2103" w:type="dxa"/>
          </w:tcPr>
          <w:p>
            <w:pPr>
              <w:pStyle w:val="TableNAm"/>
            </w:pPr>
            <w:r>
              <w:t>section 106(2)</w:t>
            </w:r>
          </w:p>
        </w:tc>
        <w:tc>
          <w:tcPr>
            <w:tcW w:w="2037" w:type="dxa"/>
          </w:tcPr>
          <w:p>
            <w:pPr>
              <w:pStyle w:val="TableNAm"/>
            </w:pPr>
            <w:r>
              <w:t>section 116</w:t>
            </w:r>
          </w:p>
        </w:tc>
      </w:tr>
      <w:tr>
        <w:trPr>
          <w:cantSplit/>
        </w:trPr>
        <w:tc>
          <w:tcPr>
            <w:tcW w:w="2103" w:type="dxa"/>
          </w:tcPr>
          <w:p>
            <w:pPr>
              <w:pStyle w:val="TableNAm"/>
            </w:pPr>
            <w:r>
              <w:t>section 107(1)</w:t>
            </w:r>
          </w:p>
        </w:tc>
        <w:tc>
          <w:tcPr>
            <w:tcW w:w="2037" w:type="dxa"/>
          </w:tcPr>
          <w:p>
            <w:pPr>
              <w:pStyle w:val="TableNAm"/>
            </w:pPr>
            <w:r>
              <w:t>section 132</w:t>
            </w:r>
          </w:p>
        </w:tc>
      </w:tr>
      <w:tr>
        <w:trPr>
          <w:cantSplit/>
        </w:trPr>
        <w:tc>
          <w:tcPr>
            <w:tcW w:w="2103" w:type="dxa"/>
          </w:tcPr>
          <w:p>
            <w:pPr>
              <w:pStyle w:val="TableNAm"/>
            </w:pPr>
            <w:r>
              <w:t>section 110</w:t>
            </w:r>
          </w:p>
        </w:tc>
        <w:tc>
          <w:tcPr>
            <w:tcW w:w="2037" w:type="dxa"/>
          </w:tcPr>
          <w:p>
            <w:pPr>
              <w:pStyle w:val="TableNAm"/>
            </w:pPr>
            <w:r>
              <w:t>section 141(4)</w:t>
            </w:r>
          </w:p>
        </w:tc>
      </w:tr>
    </w:tbl>
    <w:p>
      <w:pPr>
        <w:pStyle w:val="Subsection"/>
      </w:pPr>
      <w:r>
        <w:tab/>
        <w:t>(3b)</w:t>
      </w:r>
      <w:r>
        <w:tab/>
        <w:t>References in this Act to the returning officer may be read as references to the Electoral Commissioner where necessary for the purposes of subsection (3a).</w:t>
      </w:r>
    </w:p>
    <w:p>
      <w:pPr>
        <w:pStyle w:val="Subsection"/>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[Section 100 amended by No. 44 of 1911 s. 29; No. 26 of 1949 s. 4; No. 59 of 1959 s. 9; No. 39 of 1979 s. 14; No. 40 of 1987 s. 58 and 84; No. 79 of 1987 s. 33; No. 58 of 1988 s. 5; No. 14 of 1996 s. 4; No. 36 of 2000 s. 50.]</w:t>
      </w:r>
    </w:p>
    <w:p>
      <w:pPr>
        <w:pStyle w:val="Heading5"/>
        <w:rPr>
          <w:snapToGrid w:val="0"/>
        </w:rPr>
      </w:pPr>
      <w:bookmarkStart w:id="634" w:name="_Toc402969389"/>
      <w:bookmarkStart w:id="635" w:name="_Toc436058574"/>
      <w:bookmarkStart w:id="636" w:name="_Toc416703205"/>
      <w:r>
        <w:rPr>
          <w:rStyle w:val="CharSectno"/>
        </w:rPr>
        <w:t>100A</w:t>
      </w:r>
      <w:r>
        <w:rPr>
          <w:snapToGrid w:val="0"/>
        </w:rPr>
        <w:t>.</w:t>
      </w:r>
      <w:r>
        <w:rPr>
          <w:snapToGrid w:val="0"/>
        </w:rPr>
        <w:tab/>
      </w:r>
      <w:smartTag w:uri="urn:schemas-microsoft-com:office:smarttags" w:element="place">
        <w:r>
          <w:rPr>
            <w:snapToGrid w:val="0"/>
          </w:rPr>
          <w:t>Mobile</w:t>
        </w:r>
      </w:smartTag>
      <w:r>
        <w:rPr>
          <w:snapToGrid w:val="0"/>
        </w:rPr>
        <w:t xml:space="preserve"> portable ballot boxes at certain institutions and hospitals, provision of etc.</w:t>
      </w:r>
      <w:bookmarkEnd w:id="634"/>
      <w:bookmarkEnd w:id="635"/>
      <w:bookmarkEnd w:id="636"/>
    </w:p>
    <w:p>
      <w:pPr>
        <w:pStyle w:val="Subsection"/>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w:t>
      </w:r>
    </w:p>
    <w:p>
      <w:pPr>
        <w:pStyle w:val="Indenta"/>
        <w:rPr>
          <w:snapToGrid w:val="0"/>
        </w:rPr>
      </w:pPr>
      <w:r>
        <w:rPr>
          <w:snapToGrid w:val="0"/>
        </w:rPr>
        <w:tab/>
        <w:t>(a)</w:t>
      </w:r>
      <w:r>
        <w:rPr>
          <w:snapToGrid w:val="0"/>
        </w:rPr>
        <w:tab/>
        <w:t>is for the time being resident in the institution or hospital wherein the polling place is appointed to be; and</w:t>
      </w:r>
    </w:p>
    <w:p>
      <w:pPr>
        <w:pStyle w:val="Indenta"/>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w:t>
      </w:r>
    </w:p>
    <w:p>
      <w:pPr>
        <w:pStyle w:val="Indenta"/>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rPr>
          <w:snapToGrid w:val="0"/>
        </w:rPr>
      </w:pPr>
      <w:r>
        <w:rPr>
          <w:snapToGrid w:val="0"/>
        </w:rPr>
        <w:tab/>
        <w:t>(b)</w:t>
      </w:r>
      <w:r>
        <w:rPr>
          <w:snapToGrid w:val="0"/>
        </w:rPr>
        <w:tab/>
        <w:t>where the institution or hospital is not such a special one, during polling hours as provided by section 117(2).</w:t>
      </w:r>
    </w:p>
    <w:p>
      <w:pPr>
        <w:pStyle w:val="Subsection"/>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110"/>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spacing w:before="110"/>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keepLines w:val="0"/>
        <w:widowControl w:val="0"/>
        <w:spacing w:before="80"/>
        <w:ind w:left="890" w:hanging="890"/>
      </w:pPr>
      <w:r>
        <w:tab/>
        <w:t>[Section 100A inserted by No. 59 of 1959 s. 10; amended by No. 33 of 1964 s. 31; No. 39 of 1979 s. 15; No. 9 of 1983 s. 19; No. 40 of 1987 s. 84.]</w:t>
      </w:r>
    </w:p>
    <w:p>
      <w:pPr>
        <w:pStyle w:val="Heading5"/>
        <w:spacing w:before="180"/>
        <w:rPr>
          <w:snapToGrid w:val="0"/>
        </w:rPr>
      </w:pPr>
      <w:bookmarkStart w:id="637" w:name="_Toc402969390"/>
      <w:bookmarkStart w:id="638" w:name="_Toc436058575"/>
      <w:bookmarkStart w:id="639" w:name="_Toc416703206"/>
      <w:r>
        <w:rPr>
          <w:rStyle w:val="CharSectno"/>
        </w:rPr>
        <w:t>100B</w:t>
      </w:r>
      <w:r>
        <w:rPr>
          <w:snapToGrid w:val="0"/>
        </w:rPr>
        <w:t>.</w:t>
      </w:r>
      <w:r>
        <w:rPr>
          <w:snapToGrid w:val="0"/>
        </w:rPr>
        <w:tab/>
      </w:r>
      <w:smartTag w:uri="urn:schemas-microsoft-com:office:smarttags" w:element="place">
        <w:r>
          <w:rPr>
            <w:snapToGrid w:val="0"/>
          </w:rPr>
          <w:t>Mobile</w:t>
        </w:r>
      </w:smartTag>
      <w:r>
        <w:rPr>
          <w:snapToGrid w:val="0"/>
        </w:rPr>
        <w:t xml:space="preserve"> portable ballot boxes in declared remote areas, provision of etc.</w:t>
      </w:r>
      <w:bookmarkEnd w:id="637"/>
      <w:bookmarkEnd w:id="638"/>
      <w:bookmarkEnd w:id="639"/>
    </w:p>
    <w:p>
      <w:pPr>
        <w:pStyle w:val="Subsection"/>
        <w:spacing w:before="110"/>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1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00"/>
        <w:rPr>
          <w:snapToGrid w:val="0"/>
        </w:rPr>
      </w:pPr>
      <w:r>
        <w:rPr>
          <w:snapToGrid w:val="0"/>
        </w:rPr>
        <w:tab/>
        <w:t>(2a)</w:t>
      </w:r>
      <w:r>
        <w:rPr>
          <w:snapToGrid w:val="0"/>
        </w:rPr>
        <w:tab/>
        <w:t>The Electoral Commissioner or 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0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spacing w:before="80"/>
        <w:ind w:left="890" w:hanging="890"/>
      </w:pPr>
      <w:r>
        <w:tab/>
        <w:t>[Section 100B inserted by No. 39 of 1979 s. 16; amended by No. 40 of 1987 s. 84; No. 79 of 1987 s. 34; No. 64 of 2006 s. 53.]</w:t>
      </w:r>
    </w:p>
    <w:p>
      <w:pPr>
        <w:pStyle w:val="Heading5"/>
        <w:spacing w:before="160"/>
        <w:rPr>
          <w:snapToGrid w:val="0"/>
        </w:rPr>
      </w:pPr>
      <w:bookmarkStart w:id="640" w:name="_Toc402969391"/>
      <w:bookmarkStart w:id="641" w:name="_Toc436058576"/>
      <w:bookmarkStart w:id="642" w:name="_Toc416703207"/>
      <w:r>
        <w:rPr>
          <w:rStyle w:val="CharSectno"/>
        </w:rPr>
        <w:t>101</w:t>
      </w:r>
      <w:r>
        <w:rPr>
          <w:snapToGrid w:val="0"/>
        </w:rPr>
        <w:t>.</w:t>
      </w:r>
      <w:r>
        <w:rPr>
          <w:snapToGrid w:val="0"/>
        </w:rPr>
        <w:tab/>
        <w:t>Taking the poll, returning officer’s duties as to arranging</w:t>
      </w:r>
      <w:bookmarkEnd w:id="640"/>
      <w:bookmarkEnd w:id="641"/>
      <w:bookmarkEnd w:id="642"/>
    </w:p>
    <w:p>
      <w:pPr>
        <w:pStyle w:val="Subsection"/>
        <w:spacing w:before="100"/>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spacing w:before="160"/>
        <w:rPr>
          <w:snapToGrid w:val="0"/>
        </w:rPr>
      </w:pPr>
      <w:bookmarkStart w:id="643" w:name="_Toc402969392"/>
      <w:bookmarkStart w:id="644" w:name="_Toc436058577"/>
      <w:bookmarkStart w:id="645" w:name="_Toc416703208"/>
      <w:r>
        <w:rPr>
          <w:rStyle w:val="CharSectno"/>
        </w:rPr>
        <w:t>102</w:t>
      </w:r>
      <w:r>
        <w:rPr>
          <w:snapToGrid w:val="0"/>
        </w:rPr>
        <w:t>.</w:t>
      </w:r>
      <w:r>
        <w:rPr>
          <w:snapToGrid w:val="0"/>
        </w:rPr>
        <w:tab/>
        <w:t>Taking the poll, returning officer’s particular duties as to arranging</w:t>
      </w:r>
      <w:bookmarkEnd w:id="643"/>
      <w:bookmarkEnd w:id="644"/>
      <w:bookmarkEnd w:id="645"/>
    </w:p>
    <w:p>
      <w:pPr>
        <w:pStyle w:val="Subsection"/>
        <w:spacing w:before="100"/>
        <w:rPr>
          <w:snapToGrid w:val="0"/>
        </w:rPr>
      </w:pPr>
      <w:r>
        <w:rPr>
          <w:snapToGrid w:val="0"/>
        </w:rPr>
        <w:tab/>
      </w:r>
      <w:r>
        <w:rPr>
          <w:snapToGrid w:val="0"/>
        </w:rPr>
        <w:tab/>
        <w:t>In particular the returning officer shall —</w:t>
      </w:r>
    </w:p>
    <w:p>
      <w:pPr>
        <w:pStyle w:val="Indenta"/>
        <w:spacing w:before="40"/>
        <w:rPr>
          <w:snapToGrid w:val="0"/>
        </w:rPr>
      </w:pPr>
      <w:r>
        <w:rPr>
          <w:snapToGrid w:val="0"/>
        </w:rPr>
        <w:tab/>
        <w:t>(1)</w:t>
      </w:r>
      <w:r>
        <w:rPr>
          <w:snapToGrid w:val="0"/>
        </w:rPr>
        <w:tab/>
        <w:t>appoint a presiding officer to preside at each polling place at which he will not be continuously present;</w:t>
      </w:r>
    </w:p>
    <w:p>
      <w:pPr>
        <w:pStyle w:val="Indenta"/>
        <w:spacing w:before="40"/>
        <w:rPr>
          <w:snapToGrid w:val="0"/>
        </w:rPr>
      </w:pPr>
      <w:r>
        <w:rPr>
          <w:snapToGrid w:val="0"/>
        </w:rPr>
        <w:tab/>
        <w:t>(2)</w:t>
      </w:r>
      <w:r>
        <w:rPr>
          <w:snapToGrid w:val="0"/>
        </w:rPr>
        <w:tab/>
        <w:t>appoint all necessary assistant presiding officers, poll clerks and doorkeepers;</w:t>
      </w:r>
    </w:p>
    <w:p>
      <w:pPr>
        <w:pStyle w:val="Indenta"/>
        <w:spacing w:before="40"/>
        <w:rPr>
          <w:snapToGrid w:val="0"/>
        </w:rPr>
      </w:pPr>
      <w:r>
        <w:rPr>
          <w:snapToGrid w:val="0"/>
        </w:rPr>
        <w:tab/>
        <w:t>(3)</w:t>
      </w:r>
      <w:r>
        <w:rPr>
          <w:snapToGrid w:val="0"/>
        </w:rPr>
        <w:tab/>
        <w:t>furnish polling places and provide ballot boxes;</w:t>
      </w:r>
    </w:p>
    <w:p>
      <w:pPr>
        <w:pStyle w:val="Indenta"/>
        <w:spacing w:before="40"/>
        <w:rPr>
          <w:snapToGrid w:val="0"/>
        </w:rPr>
      </w:pPr>
      <w:r>
        <w:rPr>
          <w:snapToGrid w:val="0"/>
        </w:rPr>
        <w:tab/>
        <w:t>(4)</w:t>
      </w:r>
      <w:r>
        <w:rPr>
          <w:snapToGrid w:val="0"/>
        </w:rPr>
        <w:tab/>
        <w:t>provide ballot papers and copies of the roll for use at each polling place;</w:t>
      </w:r>
    </w:p>
    <w:p>
      <w:pPr>
        <w:pStyle w:val="Indenta"/>
        <w:spacing w:before="4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spacing w:before="80"/>
        <w:ind w:left="890" w:hanging="890"/>
      </w:pPr>
      <w:r>
        <w:tab/>
        <w:t>[Section 102 amended by No. 59 of 1959 s. 11; No. 68 of 1964 s. 22; No. 39 of 1979 s. 17.]</w:t>
      </w:r>
    </w:p>
    <w:p>
      <w:pPr>
        <w:pStyle w:val="Heading5"/>
        <w:rPr>
          <w:snapToGrid w:val="0"/>
        </w:rPr>
      </w:pPr>
      <w:bookmarkStart w:id="646" w:name="_Toc402969393"/>
      <w:bookmarkStart w:id="647" w:name="_Toc436058578"/>
      <w:bookmarkStart w:id="648" w:name="_Toc416703209"/>
      <w:r>
        <w:rPr>
          <w:rStyle w:val="CharSectno"/>
        </w:rPr>
        <w:t>102A</w:t>
      </w:r>
      <w:r>
        <w:rPr>
          <w:snapToGrid w:val="0"/>
        </w:rPr>
        <w:t>.</w:t>
      </w:r>
      <w:r>
        <w:rPr>
          <w:snapToGrid w:val="0"/>
        </w:rPr>
        <w:tab/>
        <w:t>Conjoint elections, appointments and directions for</w:t>
      </w:r>
      <w:bookmarkEnd w:id="646"/>
      <w:bookmarkEnd w:id="647"/>
      <w:bookmarkEnd w:id="648"/>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keepLines/>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 and</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[Section 102A inserted by No. 33 of 1964 s. 32; amended by No. 39 of 1979 s. 18; No. 40 of 1987 s. 84; No. 79 of 1987 s. 35.]</w:t>
      </w:r>
    </w:p>
    <w:p>
      <w:pPr>
        <w:pStyle w:val="Ednotesection"/>
      </w:pPr>
      <w:r>
        <w:t>[</w:t>
      </w:r>
      <w:r>
        <w:rPr>
          <w:b/>
        </w:rPr>
        <w:t>103.</w:t>
      </w:r>
      <w:r>
        <w:rPr>
          <w:b/>
        </w:rPr>
        <w:tab/>
      </w:r>
      <w:r>
        <w:t>Deleted by No. 36 of 2000 s. 75.]</w:t>
      </w:r>
    </w:p>
    <w:p>
      <w:pPr>
        <w:pStyle w:val="Heading5"/>
        <w:rPr>
          <w:snapToGrid w:val="0"/>
        </w:rPr>
      </w:pPr>
      <w:bookmarkStart w:id="649" w:name="_Toc402969394"/>
      <w:bookmarkStart w:id="650" w:name="_Toc436058579"/>
      <w:bookmarkStart w:id="651" w:name="_Toc416703210"/>
      <w:r>
        <w:rPr>
          <w:rStyle w:val="CharSectno"/>
        </w:rPr>
        <w:t>104</w:t>
      </w:r>
      <w:r>
        <w:rPr>
          <w:snapToGrid w:val="0"/>
        </w:rPr>
        <w:t>.</w:t>
      </w:r>
      <w:r>
        <w:rPr>
          <w:snapToGrid w:val="0"/>
        </w:rPr>
        <w:tab/>
        <w:t>Polling place, appointment of officers for</w:t>
      </w:r>
      <w:bookmarkEnd w:id="649"/>
      <w:bookmarkEnd w:id="650"/>
      <w:bookmarkEnd w:id="651"/>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deleted]</w:t>
      </w:r>
    </w:p>
    <w:p>
      <w:pPr>
        <w:pStyle w:val="Footnotesection"/>
      </w:pPr>
      <w:r>
        <w:tab/>
        <w:t>[Section 104 amended by No. 44 of 1911 s. 43; No. 40 of 1987 s. 84; No. 43 of 1996 s. 11.]</w:t>
      </w:r>
    </w:p>
    <w:p>
      <w:pPr>
        <w:pStyle w:val="Heading5"/>
        <w:rPr>
          <w:snapToGrid w:val="0"/>
        </w:rPr>
      </w:pPr>
      <w:bookmarkStart w:id="652" w:name="_Toc402969395"/>
      <w:bookmarkStart w:id="653" w:name="_Toc436058580"/>
      <w:bookmarkStart w:id="654" w:name="_Toc416703211"/>
      <w:r>
        <w:rPr>
          <w:rStyle w:val="CharSectno"/>
        </w:rPr>
        <w:t>105</w:t>
      </w:r>
      <w:r>
        <w:rPr>
          <w:snapToGrid w:val="0"/>
        </w:rPr>
        <w:t>.</w:t>
      </w:r>
      <w:r>
        <w:rPr>
          <w:snapToGrid w:val="0"/>
        </w:rPr>
        <w:tab/>
        <w:t>Substitute and assistant presiding officers, appointment and powers of</w:t>
      </w:r>
      <w:bookmarkEnd w:id="652"/>
      <w:bookmarkEnd w:id="653"/>
      <w:bookmarkEnd w:id="654"/>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655" w:name="_Toc402969396"/>
      <w:bookmarkStart w:id="656" w:name="_Toc436058581"/>
      <w:bookmarkStart w:id="657" w:name="_Toc416703212"/>
      <w:r>
        <w:rPr>
          <w:rStyle w:val="CharSectno"/>
        </w:rPr>
        <w:t>106</w:t>
      </w:r>
      <w:r>
        <w:rPr>
          <w:snapToGrid w:val="0"/>
        </w:rPr>
        <w:t>.</w:t>
      </w:r>
      <w:r>
        <w:rPr>
          <w:snapToGrid w:val="0"/>
        </w:rPr>
        <w:tab/>
        <w:t>Absence of returning officer or presiding officer due to illness etc., consequences of</w:t>
      </w:r>
      <w:bookmarkEnd w:id="655"/>
      <w:bookmarkEnd w:id="656"/>
      <w:bookmarkEnd w:id="657"/>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rPr>
          <w:snapToGrid w:val="0"/>
        </w:rPr>
      </w:pPr>
      <w:bookmarkStart w:id="658" w:name="_Toc402969397"/>
      <w:bookmarkStart w:id="659" w:name="_Toc436058582"/>
      <w:bookmarkStart w:id="660" w:name="_Toc416703213"/>
      <w:r>
        <w:rPr>
          <w:rStyle w:val="CharSectno"/>
        </w:rPr>
        <w:t>107</w:t>
      </w:r>
      <w:r>
        <w:rPr>
          <w:snapToGrid w:val="0"/>
        </w:rPr>
        <w:t>.</w:t>
      </w:r>
      <w:r>
        <w:rPr>
          <w:snapToGrid w:val="0"/>
        </w:rPr>
        <w:tab/>
        <w:t>Polling place, subdivision of into sections</w:t>
      </w:r>
      <w:bookmarkEnd w:id="658"/>
      <w:bookmarkEnd w:id="659"/>
      <w:bookmarkEnd w:id="660"/>
    </w:p>
    <w:p>
      <w:pPr>
        <w:pStyle w:val="Subsection"/>
        <w:spacing w:before="130"/>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spacing w:before="130"/>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spacing w:before="130"/>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rPr>
          <w:snapToGrid w:val="0"/>
        </w:rPr>
      </w:pPr>
      <w:bookmarkStart w:id="661" w:name="_Toc402969398"/>
      <w:bookmarkStart w:id="662" w:name="_Toc436058583"/>
      <w:bookmarkStart w:id="663" w:name="_Toc416703214"/>
      <w:r>
        <w:rPr>
          <w:rStyle w:val="CharSectno"/>
        </w:rPr>
        <w:t>108</w:t>
      </w:r>
      <w:r>
        <w:rPr>
          <w:snapToGrid w:val="0"/>
        </w:rPr>
        <w:t>.</w:t>
      </w:r>
      <w:r>
        <w:rPr>
          <w:snapToGrid w:val="0"/>
        </w:rPr>
        <w:tab/>
        <w:t>Licensed premises not to be used for polling place</w:t>
      </w:r>
      <w:bookmarkEnd w:id="661"/>
      <w:bookmarkEnd w:id="662"/>
      <w:bookmarkEnd w:id="663"/>
    </w:p>
    <w:p>
      <w:pPr>
        <w:pStyle w:val="Subsection"/>
        <w:spacing w:before="130"/>
        <w:rPr>
          <w:snapToGrid w:val="0"/>
        </w:rPr>
      </w:pPr>
      <w:r>
        <w:rPr>
          <w:snapToGrid w:val="0"/>
        </w:rPr>
        <w:tab/>
      </w:r>
      <w:r>
        <w:rPr>
          <w:snapToGrid w:val="0"/>
        </w:rPr>
        <w:tab/>
        <w:t>No part of any premises licensed for the sale of intoxicating liquors shall be used for the purposes of any polling place.</w:t>
      </w:r>
    </w:p>
    <w:p>
      <w:pPr>
        <w:pStyle w:val="Heading5"/>
        <w:rPr>
          <w:snapToGrid w:val="0"/>
        </w:rPr>
      </w:pPr>
      <w:bookmarkStart w:id="664" w:name="_Toc402969399"/>
      <w:bookmarkStart w:id="665" w:name="_Toc436058584"/>
      <w:bookmarkStart w:id="666" w:name="_Toc416703215"/>
      <w:r>
        <w:rPr>
          <w:rStyle w:val="CharSectno"/>
        </w:rPr>
        <w:t>109</w:t>
      </w:r>
      <w:r>
        <w:rPr>
          <w:snapToGrid w:val="0"/>
        </w:rPr>
        <w:t>.</w:t>
      </w:r>
      <w:r>
        <w:rPr>
          <w:snapToGrid w:val="0"/>
        </w:rPr>
        <w:tab/>
        <w:t>Certain buildings to be used free</w:t>
      </w:r>
      <w:bookmarkEnd w:id="664"/>
      <w:bookmarkEnd w:id="665"/>
      <w:bookmarkEnd w:id="666"/>
    </w:p>
    <w:p>
      <w:pPr>
        <w:pStyle w:val="Subsection"/>
        <w:spacing w:before="120"/>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[Section 109 amended by No. 33 of 1964 s. 33; No. 14 of 1996 s. 4.]</w:t>
      </w:r>
    </w:p>
    <w:p>
      <w:pPr>
        <w:pStyle w:val="Heading5"/>
        <w:rPr>
          <w:snapToGrid w:val="0"/>
        </w:rPr>
      </w:pPr>
      <w:bookmarkStart w:id="667" w:name="_Toc402969400"/>
      <w:bookmarkStart w:id="668" w:name="_Toc436058585"/>
      <w:bookmarkStart w:id="669" w:name="_Toc416703216"/>
      <w:r>
        <w:rPr>
          <w:rStyle w:val="CharSectno"/>
        </w:rPr>
        <w:t>110</w:t>
      </w:r>
      <w:r>
        <w:rPr>
          <w:snapToGrid w:val="0"/>
        </w:rPr>
        <w:t>.</w:t>
      </w:r>
      <w:r>
        <w:rPr>
          <w:snapToGrid w:val="0"/>
        </w:rPr>
        <w:tab/>
        <w:t>Separate voting compartments etc. at polling place required</w:t>
      </w:r>
      <w:bookmarkEnd w:id="667"/>
      <w:bookmarkEnd w:id="668"/>
      <w:bookmarkEnd w:id="669"/>
    </w:p>
    <w:p>
      <w:pPr>
        <w:pStyle w:val="Subsection"/>
        <w:spacing w:before="120"/>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670" w:name="_Toc402969401"/>
      <w:bookmarkStart w:id="671" w:name="_Toc436058586"/>
      <w:bookmarkStart w:id="672" w:name="_Toc416703217"/>
      <w:r>
        <w:rPr>
          <w:rStyle w:val="CharSectno"/>
        </w:rPr>
        <w:t>111</w:t>
      </w:r>
      <w:r>
        <w:rPr>
          <w:snapToGrid w:val="0"/>
        </w:rPr>
        <w:t>.</w:t>
      </w:r>
      <w:r>
        <w:rPr>
          <w:snapToGrid w:val="0"/>
        </w:rPr>
        <w:tab/>
        <w:t>Ballot boxes required at polling places</w:t>
      </w:r>
      <w:bookmarkEnd w:id="670"/>
      <w:bookmarkEnd w:id="671"/>
      <w:bookmarkEnd w:id="672"/>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[Section 111 amended by No. 59 of 1919 s. 5; No. 79 of 1987 s. 36.]</w:t>
      </w:r>
    </w:p>
    <w:p>
      <w:pPr>
        <w:pStyle w:val="Heading5"/>
        <w:rPr>
          <w:snapToGrid w:val="0"/>
        </w:rPr>
      </w:pPr>
      <w:bookmarkStart w:id="673" w:name="_Toc402969402"/>
      <w:bookmarkStart w:id="674" w:name="_Toc436058587"/>
      <w:bookmarkStart w:id="675" w:name="_Toc416703218"/>
      <w:r>
        <w:rPr>
          <w:rStyle w:val="CharSectno"/>
        </w:rPr>
        <w:t>112</w:t>
      </w:r>
      <w:r>
        <w:rPr>
          <w:snapToGrid w:val="0"/>
        </w:rPr>
        <w:t>.</w:t>
      </w:r>
      <w:r>
        <w:rPr>
          <w:snapToGrid w:val="0"/>
        </w:rPr>
        <w:tab/>
        <w:t>Rolls for use in election, provision of</w:t>
      </w:r>
      <w:bookmarkEnd w:id="673"/>
      <w:bookmarkEnd w:id="674"/>
      <w:bookmarkEnd w:id="675"/>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[Section 112 inserted by No. 43 of 1996 s. 12; amended by No. 36 of 2000 s. 28(1) and 51.]</w:t>
      </w:r>
    </w:p>
    <w:p>
      <w:pPr>
        <w:pStyle w:val="Heading5"/>
        <w:rPr>
          <w:snapToGrid w:val="0"/>
        </w:rPr>
      </w:pPr>
      <w:bookmarkStart w:id="676" w:name="_Toc402969403"/>
      <w:bookmarkStart w:id="677" w:name="_Toc436058588"/>
      <w:bookmarkStart w:id="678" w:name="_Toc416703219"/>
      <w:r>
        <w:rPr>
          <w:rStyle w:val="CharSectno"/>
        </w:rPr>
        <w:t>113</w:t>
      </w:r>
      <w:r>
        <w:rPr>
          <w:snapToGrid w:val="0"/>
        </w:rPr>
        <w:t>.</w:t>
      </w:r>
      <w:r>
        <w:rPr>
          <w:snapToGrid w:val="0"/>
        </w:rPr>
        <w:tab/>
        <w:t>Ballot papers, form and content of</w:t>
      </w:r>
      <w:bookmarkEnd w:id="676"/>
      <w:bookmarkEnd w:id="677"/>
      <w:bookmarkEnd w:id="678"/>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w:t>
      </w:r>
    </w:p>
    <w:p>
      <w:pPr>
        <w:pStyle w:val="Indenta"/>
        <w:rPr>
          <w:snapToGrid w:val="0"/>
        </w:rPr>
      </w:pPr>
      <w:r>
        <w:rPr>
          <w:snapToGrid w:val="0"/>
        </w:rPr>
        <w:tab/>
        <w:t>(a)</w:t>
      </w:r>
      <w:r>
        <w:rPr>
          <w:snapToGrid w:val="0"/>
        </w:rPr>
        <w:tab/>
        <w:t>has a water mark in it as prescribed; or</w:t>
      </w:r>
    </w:p>
    <w:p>
      <w:pPr>
        <w:pStyle w:val="Indenta"/>
        <w:keepNext/>
        <w:rPr>
          <w:snapToGrid w:val="0"/>
        </w:rPr>
      </w:pPr>
      <w:r>
        <w:rPr>
          <w:snapToGrid w:val="0"/>
        </w:rPr>
        <w:tab/>
        <w:t>(b)</w:t>
      </w:r>
      <w:r>
        <w:rPr>
          <w:snapToGrid w:val="0"/>
        </w:rPr>
        <w:tab/>
        <w:t>incorporates such security features or devices as the Electoral Commissioner approves.</w:t>
      </w:r>
    </w:p>
    <w:p>
      <w:pPr>
        <w:pStyle w:val="Footnotesection"/>
      </w:pPr>
      <w:r>
        <w:tab/>
        <w:t>[Section 113 amended by No. 44 of 1911 s. 43; No. 28 of 1970 s. 14; No. 40 of 1987 s. 59; No. 79 of 1987 s. 37; No. 43 of 1996 s. 13; No. 36 of 2000 s. 81(1).]</w:t>
      </w:r>
    </w:p>
    <w:p>
      <w:pPr>
        <w:pStyle w:val="Heading5"/>
        <w:rPr>
          <w:snapToGrid w:val="0"/>
        </w:rPr>
      </w:pPr>
      <w:bookmarkStart w:id="679" w:name="_Toc402969404"/>
      <w:bookmarkStart w:id="680" w:name="_Toc436058589"/>
      <w:bookmarkStart w:id="681" w:name="_Toc416703220"/>
      <w:r>
        <w:rPr>
          <w:rStyle w:val="CharSectno"/>
        </w:rPr>
        <w:t>113A</w:t>
      </w:r>
      <w:r>
        <w:rPr>
          <w:snapToGrid w:val="0"/>
        </w:rPr>
        <w:t>.</w:t>
      </w:r>
      <w:r>
        <w:rPr>
          <w:snapToGrid w:val="0"/>
        </w:rPr>
        <w:tab/>
        <w:t>Voting ticket for Council election, lodgment of etc.</w:t>
      </w:r>
      <w:bookmarkEnd w:id="679"/>
      <w:bookmarkEnd w:id="680"/>
      <w:bookmarkEnd w:id="681"/>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pPr>
      <w:r>
        <w:tab/>
        <w:t>(3A)</w:t>
      </w:r>
      <w:r>
        <w:tab/>
        <w:t>A voting ticket may also be lodged under subsection (1) on behalf of a group —</w:t>
      </w:r>
    </w:p>
    <w:p>
      <w:pPr>
        <w:pStyle w:val="Indenta"/>
      </w:pPr>
      <w:r>
        <w:tab/>
        <w:t>(a)</w:t>
      </w:r>
      <w:r>
        <w:tab/>
        <w:t>where all the candidates in the group are the subject of a party nomination, under section 81A, by a particular registered political party — by the secretary of the party; or</w:t>
      </w:r>
    </w:p>
    <w:p>
      <w:pPr>
        <w:pStyle w:val="Indenta"/>
      </w:pPr>
      <w:r>
        <w:tab/>
        <w:t>(b)</w:t>
      </w:r>
      <w:r>
        <w:tab/>
        <w:t>where the candidates in the group have been endorsed by different registered political parties — jointly by the secretaries of all of those parties.</w:t>
      </w:r>
    </w:p>
    <w:p>
      <w:pPr>
        <w:pStyle w:val="Subsection"/>
        <w:keepNext/>
        <w:keepLines/>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w:t>
      </w:r>
    </w:p>
    <w:p>
      <w:pPr>
        <w:pStyle w:val="Indenta"/>
        <w:rPr>
          <w:snapToGrid w:val="0"/>
        </w:rPr>
      </w:pPr>
      <w:r>
        <w:rPr>
          <w:snapToGrid w:val="0"/>
        </w:rPr>
        <w:tab/>
        <w:t>(a)</w:t>
      </w:r>
      <w:r>
        <w:rPr>
          <w:snapToGrid w:val="0"/>
        </w:rPr>
        <w:tab/>
        <w:t>indicate by consecutive numbers commencing with the number 1 an order of preference for all candidates in the election; and</w:t>
      </w:r>
    </w:p>
    <w:p>
      <w:pPr>
        <w:pStyle w:val="Indenta"/>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rPr>
          <w:snapToGrid w:val="0"/>
        </w:rPr>
      </w:pPr>
      <w:r>
        <w:rPr>
          <w:snapToGrid w:val="0"/>
        </w:rPr>
        <w:tab/>
        <w:t>(ii)</w:t>
      </w:r>
      <w:r>
        <w:rPr>
          <w:snapToGrid w:val="0"/>
        </w:rPr>
        <w:tab/>
        <w:t>in the case of a voting ticket lodged by or on behalf of a group — indicate preferences for the candidates in the group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spacing w:before="60"/>
        <w:rPr>
          <w:snapToGrid w:val="0"/>
        </w:rPr>
      </w:pPr>
      <w:r>
        <w:rPr>
          <w:snapToGrid w:val="0"/>
        </w:rPr>
        <w:tab/>
        <w:t>(B)</w:t>
      </w:r>
      <w:r>
        <w:rPr>
          <w:snapToGrid w:val="0"/>
        </w:rPr>
        <w:tab/>
        <w:t>over all candidates in the election who are not included in that group.</w:t>
      </w:r>
    </w:p>
    <w:p>
      <w:pPr>
        <w:pStyle w:val="Subsection"/>
        <w:keepNext/>
        <w:keepLines/>
        <w:rPr>
          <w:snapToGrid w:val="0"/>
        </w:rPr>
      </w:pPr>
      <w:r>
        <w:rPr>
          <w:snapToGrid w:val="0"/>
        </w:rPr>
        <w:tab/>
        <w:t>(5)</w:t>
      </w:r>
      <w:r>
        <w:rPr>
          <w:snapToGrid w:val="0"/>
        </w:rPr>
        <w:tab/>
        <w:t>If —</w:t>
      </w:r>
    </w:p>
    <w:p>
      <w:pPr>
        <w:pStyle w:val="Indenta"/>
        <w:rPr>
          <w:snapToGrid w:val="0"/>
        </w:rPr>
      </w:pPr>
      <w:r>
        <w:rPr>
          <w:snapToGrid w:val="0"/>
        </w:rPr>
        <w:tab/>
        <w:t>(a)</w:t>
      </w:r>
      <w:r>
        <w:rPr>
          <w:snapToGrid w:val="0"/>
        </w:rPr>
        <w:tab/>
        <w:t>for the purposes of an election in a region for which there is a group —</w:t>
      </w:r>
    </w:p>
    <w:p>
      <w:pPr>
        <w:pStyle w:val="Indenti"/>
        <w:rPr>
          <w:snapToGrid w:val="0"/>
        </w:rPr>
      </w:pPr>
      <w:r>
        <w:rPr>
          <w:snapToGrid w:val="0"/>
        </w:rPr>
        <w:tab/>
        <w:t>(i)</w:t>
      </w:r>
      <w:r>
        <w:rPr>
          <w:snapToGrid w:val="0"/>
        </w:rPr>
        <w:tab/>
        <w:t>a voting ticket has been lodged under subsection (1) by or on behalf of a group; or</w:t>
      </w:r>
    </w:p>
    <w:p>
      <w:pPr>
        <w:pStyle w:val="Indenti"/>
        <w:rPr>
          <w:snapToGrid w:val="0"/>
        </w:rPr>
      </w:pPr>
      <w:r>
        <w:rPr>
          <w:snapToGrid w:val="0"/>
        </w:rPr>
        <w:tab/>
        <w:t>(ii)</w:t>
      </w:r>
      <w:r>
        <w:rPr>
          <w:snapToGrid w:val="0"/>
        </w:rPr>
        <w:tab/>
        <w:t>a voting ticket has been lodged under subsection (1) by or on behalf of a candidate not included in any group;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[Section 113A inserted by No. 40 of 1987 s. 60; amended by No. 79 of 1987 s. 38; No. 20 of 1988 s. 4; No. 35 of 2012 s. 21.]</w:t>
      </w:r>
    </w:p>
    <w:p>
      <w:pPr>
        <w:pStyle w:val="Heading5"/>
        <w:rPr>
          <w:snapToGrid w:val="0"/>
        </w:rPr>
      </w:pPr>
      <w:bookmarkStart w:id="682" w:name="_Toc402969405"/>
      <w:bookmarkStart w:id="683" w:name="_Toc436058590"/>
      <w:bookmarkStart w:id="684" w:name="_Toc416703221"/>
      <w:r>
        <w:rPr>
          <w:rStyle w:val="CharSectno"/>
        </w:rPr>
        <w:t>113B</w:t>
      </w:r>
      <w:r>
        <w:rPr>
          <w:snapToGrid w:val="0"/>
        </w:rPr>
        <w:t>.</w:t>
      </w:r>
      <w:r>
        <w:rPr>
          <w:snapToGrid w:val="0"/>
        </w:rPr>
        <w:tab/>
        <w:t>Council ballot papers, printing of</w:t>
      </w:r>
      <w:bookmarkEnd w:id="682"/>
      <w:bookmarkEnd w:id="683"/>
      <w:bookmarkEnd w:id="684"/>
    </w:p>
    <w:p>
      <w:pPr>
        <w:pStyle w:val="Subsection"/>
        <w:rPr>
          <w:snapToGrid w:val="0"/>
        </w:rPr>
      </w:pPr>
      <w:r>
        <w:rPr>
          <w:snapToGrid w:val="0"/>
        </w:rPr>
        <w:tab/>
        <w:t>(1)</w:t>
      </w:r>
      <w:r>
        <w:rPr>
          <w:snapToGrid w:val="0"/>
        </w:rPr>
        <w:tab/>
        <w:t>In printing the ballot papers for an election in a region for which there is a group —</w:t>
      </w:r>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 and</w:t>
      </w:r>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 and</w:t>
      </w:r>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rPr>
          <w:snapToGrid w:val="0"/>
        </w:rPr>
      </w:pPr>
      <w:r>
        <w:rPr>
          <w:snapToGrid w:val="0"/>
        </w:rPr>
        <w:tab/>
        <w:t>(3)</w:t>
      </w:r>
      <w:r>
        <w:rPr>
          <w:snapToGrid w:val="0"/>
        </w:rPr>
        <w:tab/>
        <w:t>In printing the ballot papers for an election in a region —</w:t>
      </w:r>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rPr>
          <w:snapToGrid w:val="0"/>
        </w:rPr>
      </w:pPr>
      <w:r>
        <w:rPr>
          <w:snapToGrid w:val="0"/>
        </w:rPr>
        <w:tab/>
        <w:t>(b)</w:t>
      </w:r>
      <w:r>
        <w:rPr>
          <w:snapToGrid w:val="0"/>
        </w:rPr>
        <w:tab/>
        <w:t>where a voting ticket is registered in relation to the election an additional square shall be printed in the prescribed position —</w:t>
      </w:r>
    </w:p>
    <w:p>
      <w:pPr>
        <w:pStyle w:val="Indenti"/>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deleted]</w:t>
      </w:r>
    </w:p>
    <w:p>
      <w:pPr>
        <w:pStyle w:val="Subsection"/>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[Section 113B inserted by No. 40 of 1987 s. 60; amended by No. 79 of 1987 s. 39.]</w:t>
      </w:r>
    </w:p>
    <w:p>
      <w:pPr>
        <w:pStyle w:val="Heading5"/>
        <w:spacing w:before="200"/>
        <w:rPr>
          <w:snapToGrid w:val="0"/>
        </w:rPr>
      </w:pPr>
      <w:bookmarkStart w:id="685" w:name="_Toc402969406"/>
      <w:bookmarkStart w:id="686" w:name="_Toc436058591"/>
      <w:bookmarkStart w:id="687" w:name="_Toc416703222"/>
      <w:r>
        <w:rPr>
          <w:rStyle w:val="CharSectno"/>
        </w:rPr>
        <w:t>113BA</w:t>
      </w:r>
      <w:r>
        <w:rPr>
          <w:snapToGrid w:val="0"/>
        </w:rPr>
        <w:t>.</w:t>
      </w:r>
      <w:r>
        <w:rPr>
          <w:snapToGrid w:val="0"/>
        </w:rPr>
        <w:tab/>
        <w:t>Assembly ballot papers, printing of</w:t>
      </w:r>
      <w:bookmarkEnd w:id="685"/>
      <w:bookmarkEnd w:id="686"/>
      <w:bookmarkEnd w:id="687"/>
    </w:p>
    <w:p>
      <w:pPr>
        <w:pStyle w:val="Subsection"/>
        <w:rPr>
          <w:snapToGrid w:val="0"/>
        </w:rPr>
      </w:pPr>
      <w:r>
        <w:rPr>
          <w:snapToGrid w:val="0"/>
        </w:rPr>
        <w:tab/>
      </w:r>
      <w:r>
        <w:rPr>
          <w:snapToGrid w:val="0"/>
        </w:rPr>
        <w:tab/>
        <w:t>In printing the ballot papers for an election in a district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[Section 113BA inserted by No. 79 of 1987 s. 40; amended by No. 20 of 1988 s. 5.]</w:t>
      </w:r>
    </w:p>
    <w:p>
      <w:pPr>
        <w:pStyle w:val="Heading5"/>
        <w:rPr>
          <w:snapToGrid w:val="0"/>
        </w:rPr>
      </w:pPr>
      <w:bookmarkStart w:id="688" w:name="_Toc402969407"/>
      <w:bookmarkStart w:id="689" w:name="_Toc436058592"/>
      <w:bookmarkStart w:id="690" w:name="_Toc416703223"/>
      <w:r>
        <w:rPr>
          <w:rStyle w:val="CharSectno"/>
        </w:rPr>
        <w:t>113C</w:t>
      </w:r>
      <w:r>
        <w:rPr>
          <w:snapToGrid w:val="0"/>
        </w:rPr>
        <w:t>.</w:t>
      </w:r>
      <w:r>
        <w:rPr>
          <w:snapToGrid w:val="0"/>
        </w:rPr>
        <w:tab/>
        <w:t>Political party names or “independent”, printing of on ballot papers</w:t>
      </w:r>
      <w:bookmarkEnd w:id="688"/>
      <w:bookmarkEnd w:id="689"/>
      <w:bookmarkEnd w:id="690"/>
    </w:p>
    <w:p>
      <w:pPr>
        <w:pStyle w:val="Subsection"/>
        <w:rPr>
          <w:snapToGrid w:val="0"/>
        </w:rPr>
      </w:pPr>
      <w:r>
        <w:rPr>
          <w:snapToGrid w:val="0"/>
        </w:rPr>
        <w:tab/>
        <w:t>(1)</w:t>
      </w:r>
      <w:r>
        <w:rPr>
          <w:snapToGrid w:val="0"/>
        </w:rPr>
        <w:tab/>
        <w:t>Subject to this section, where a candidate in an election applies to have a name specified in the application being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keepNext/>
        <w:keepLines/>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 xml:space="preserve">must be in </w:t>
      </w:r>
      <w:r>
        <w:t>an approved form</w:t>
      </w:r>
      <w:r>
        <w:rPr>
          <w:snapToGrid w:val="0"/>
        </w:rPr>
        <w:t>; and</w:t>
      </w:r>
    </w:p>
    <w:p>
      <w:pPr>
        <w:pStyle w:val="Indenta"/>
        <w:rPr>
          <w:snapToGrid w:val="0"/>
        </w:rPr>
      </w:pPr>
      <w:r>
        <w:rPr>
          <w:snapToGrid w:val="0"/>
        </w:rPr>
        <w:tab/>
        <w:t>(b)</w:t>
      </w:r>
      <w:r>
        <w:rPr>
          <w:snapToGrid w:val="0"/>
        </w:rPr>
        <w:tab/>
        <w:t>must be signed by the candidate; and</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 and</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pPr>
      <w:r>
        <w:tab/>
        <w:t>[(4)</w:t>
      </w:r>
      <w:r>
        <w:tab/>
        <w:t>deleted]</w:t>
      </w:r>
    </w:p>
    <w:p>
      <w:pPr>
        <w:pStyle w:val="Subsection"/>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that word shall also be printed adjacent to that voting ticket square.</w:t>
      </w:r>
    </w:p>
    <w:p>
      <w:pPr>
        <w:pStyle w:val="Subsection"/>
        <w:rPr>
          <w:snapToGrid w:val="0"/>
        </w:rPr>
      </w:pPr>
      <w:r>
        <w:rPr>
          <w:snapToGrid w:val="0"/>
        </w:rPr>
        <w:tab/>
        <w:t>(7)</w:t>
      </w:r>
      <w:r>
        <w:rPr>
          <w:snapToGrid w:val="0"/>
        </w:rPr>
        <w:tab/>
        <w:t>An application under subsection (5) —</w:t>
      </w:r>
    </w:p>
    <w:p>
      <w:pPr>
        <w:pStyle w:val="Indenta"/>
        <w:rPr>
          <w:snapToGrid w:val="0"/>
        </w:rPr>
      </w:pPr>
      <w:r>
        <w:rPr>
          <w:snapToGrid w:val="0"/>
        </w:rPr>
        <w:tab/>
        <w:t>(a)</w:t>
      </w:r>
      <w:r>
        <w:rPr>
          <w:snapToGrid w:val="0"/>
        </w:rPr>
        <w:tab/>
        <w:t xml:space="preserve">must be in </w:t>
      </w:r>
      <w:r>
        <w:t>an approved form</w:t>
      </w:r>
      <w:r>
        <w:rPr>
          <w:snapToGrid w:val="0"/>
        </w:rPr>
        <w:t>; and</w:t>
      </w:r>
    </w:p>
    <w:p>
      <w:pPr>
        <w:pStyle w:val="Indenta"/>
        <w:rPr>
          <w:snapToGrid w:val="0"/>
        </w:rPr>
      </w:pPr>
      <w:r>
        <w:rPr>
          <w:snapToGrid w:val="0"/>
        </w:rPr>
        <w:tab/>
        <w:t>(b)</w:t>
      </w:r>
      <w:r>
        <w:rPr>
          <w:snapToGrid w:val="0"/>
        </w:rPr>
        <w:tab/>
        <w:t>must be signed by the candidate; and</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deleted]</w:t>
      </w:r>
    </w:p>
    <w:p>
      <w:pPr>
        <w:pStyle w:val="Subsection"/>
        <w:keepNext/>
        <w:keepLines/>
        <w:rPr>
          <w:snapToGrid w:val="0"/>
        </w:rPr>
      </w:pPr>
      <w:r>
        <w:rPr>
          <w:snapToGrid w:val="0"/>
        </w:rPr>
        <w:tab/>
        <w:t>(10)</w:t>
      </w:r>
      <w:r>
        <w:rPr>
          <w:snapToGrid w:val="0"/>
        </w:rPr>
        <w:tab/>
        <w:t>In this section —</w:t>
      </w:r>
    </w:p>
    <w:p>
      <w:pPr>
        <w:pStyle w:val="Defstart"/>
      </w:pPr>
      <w:r>
        <w:rPr>
          <w:b/>
        </w:rPr>
        <w:tab/>
      </w:r>
      <w:r>
        <w:rPr>
          <w:rStyle w:val="CharDefText"/>
        </w:rPr>
        <w:t>name</w:t>
      </w:r>
      <w:r>
        <w:t xml:space="preserve"> includes an abbreviation or acronym of a name.</w:t>
      </w:r>
    </w:p>
    <w:p>
      <w:pPr>
        <w:pStyle w:val="Footnotesection"/>
      </w:pPr>
      <w:r>
        <w:tab/>
        <w:t>[Section 113C inserted by No. 40 of 1987 s. 60; amended by No. 79 of 1987 s. 41; No. 66 of 1990 s. 5; No. 36 of 2000 s. 65; No. 35 of 2012 s. 7.]</w:t>
      </w:r>
    </w:p>
    <w:p>
      <w:pPr>
        <w:pStyle w:val="Heading5"/>
        <w:spacing w:before="180"/>
        <w:rPr>
          <w:snapToGrid w:val="0"/>
        </w:rPr>
      </w:pPr>
      <w:bookmarkStart w:id="691" w:name="_Toc402969408"/>
      <w:bookmarkStart w:id="692" w:name="_Toc436058593"/>
      <w:bookmarkStart w:id="693" w:name="_Toc416703224"/>
      <w:r>
        <w:rPr>
          <w:rStyle w:val="CharSectno"/>
        </w:rPr>
        <w:t>113D</w:t>
      </w:r>
      <w:r>
        <w:rPr>
          <w:snapToGrid w:val="0"/>
        </w:rPr>
        <w:t xml:space="preserve">. </w:t>
      </w:r>
      <w:r>
        <w:rPr>
          <w:snapToGrid w:val="0"/>
        </w:rPr>
        <w:tab/>
        <w:t>Claims etc. may be lodged with Electoral Commissioner</w:t>
      </w:r>
      <w:bookmarkEnd w:id="691"/>
      <w:bookmarkEnd w:id="692"/>
      <w:bookmarkEnd w:id="693"/>
    </w:p>
    <w:p>
      <w:pPr>
        <w:pStyle w:val="Subsection"/>
        <w:spacing w:before="120"/>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spacing w:before="120"/>
      </w:pPr>
      <w:r>
        <w:tab/>
        <w:t>(2)</w:t>
      </w:r>
      <w:r>
        <w:tab/>
        <w:t>This section does not affect the operation of section 81A.</w:t>
      </w:r>
    </w:p>
    <w:p>
      <w:pPr>
        <w:pStyle w:val="Footnotesection"/>
      </w:pPr>
      <w:r>
        <w:tab/>
        <w:t>[Section 113D inserted by No. 40 of 1987 s. 60; amended by No. 36 of 2000 s. 42.]</w:t>
      </w:r>
    </w:p>
    <w:p>
      <w:pPr>
        <w:pStyle w:val="Ednotesection"/>
        <w:spacing w:before="180"/>
      </w:pPr>
      <w:r>
        <w:t>[</w:t>
      </w:r>
      <w:r>
        <w:rPr>
          <w:b/>
        </w:rPr>
        <w:t>113E.</w:t>
      </w:r>
      <w:r>
        <w:tab/>
        <w:t>Deleted by No. 79 of 1987 s. 42.]</w:t>
      </w:r>
    </w:p>
    <w:p>
      <w:pPr>
        <w:pStyle w:val="Heading5"/>
        <w:spacing w:before="180"/>
        <w:rPr>
          <w:snapToGrid w:val="0"/>
        </w:rPr>
      </w:pPr>
      <w:bookmarkStart w:id="694" w:name="_Toc402969409"/>
      <w:bookmarkStart w:id="695" w:name="_Toc436058594"/>
      <w:bookmarkStart w:id="696" w:name="_Toc416703225"/>
      <w:r>
        <w:rPr>
          <w:rStyle w:val="CharSectno"/>
        </w:rPr>
        <w:t>114</w:t>
      </w:r>
      <w:r>
        <w:rPr>
          <w:snapToGrid w:val="0"/>
        </w:rPr>
        <w:t>.</w:t>
      </w:r>
      <w:r>
        <w:rPr>
          <w:snapToGrid w:val="0"/>
        </w:rPr>
        <w:tab/>
        <w:t>Scrutineers, appointment of etc.</w:t>
      </w:r>
      <w:bookmarkEnd w:id="694"/>
      <w:bookmarkEnd w:id="695"/>
      <w:bookmarkEnd w:id="696"/>
    </w:p>
    <w:p>
      <w:pPr>
        <w:pStyle w:val="Subsection"/>
        <w:spacing w:before="120"/>
        <w:rPr>
          <w:snapToGrid w:val="0"/>
        </w:rPr>
      </w:pPr>
      <w:r>
        <w:rPr>
          <w:snapToGrid w:val="0"/>
        </w:rPr>
        <w:tab/>
        <w:t>(1)</w:t>
      </w:r>
      <w:r>
        <w:rPr>
          <w:snapToGrid w:val="0"/>
        </w:rPr>
        <w:tab/>
        <w:t>Scrutineers may be appointed by candidates to represent them at polling places during the polling but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[Section 114 amended by No. 44 of 1911 s. 43; No. 40 of 1987 s. 61; No. 79 of 1987 s. 43.]</w:t>
      </w:r>
    </w:p>
    <w:p>
      <w:pPr>
        <w:pStyle w:val="Heading5"/>
        <w:rPr>
          <w:snapToGrid w:val="0"/>
        </w:rPr>
      </w:pPr>
      <w:bookmarkStart w:id="697" w:name="_Toc402969410"/>
      <w:bookmarkStart w:id="698" w:name="_Toc436058595"/>
      <w:bookmarkStart w:id="699" w:name="_Toc416703226"/>
      <w:r>
        <w:rPr>
          <w:rStyle w:val="CharSectno"/>
        </w:rPr>
        <w:t>115</w:t>
      </w:r>
      <w:r>
        <w:rPr>
          <w:snapToGrid w:val="0"/>
        </w:rPr>
        <w:t>.</w:t>
      </w:r>
      <w:r>
        <w:rPr>
          <w:snapToGrid w:val="0"/>
        </w:rPr>
        <w:tab/>
        <w:t>Candidates not to conduct election; who can be in polling place etc.</w:t>
      </w:r>
      <w:bookmarkEnd w:id="697"/>
      <w:bookmarkEnd w:id="698"/>
      <w:bookmarkEnd w:id="699"/>
    </w:p>
    <w:p>
      <w:pPr>
        <w:pStyle w:val="Subsection"/>
        <w:rPr>
          <w:snapToGrid w:val="0"/>
        </w:rPr>
      </w:pPr>
      <w:r>
        <w:rPr>
          <w:snapToGrid w:val="0"/>
        </w:rPr>
        <w:tab/>
        <w:t>(1)</w:t>
      </w:r>
      <w:r>
        <w:rPr>
          <w:snapToGrid w:val="0"/>
        </w:rPr>
        <w:tab/>
        <w:t xml:space="preserve">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w:t>
      </w:r>
      <w:r>
        <w:t xml:space="preserve">nominated under section 129(1) to mark an elector’s ballot paper according to the directions of the elector, </w:t>
      </w:r>
      <w:r>
        <w:rPr>
          <w:snapToGrid w:val="0"/>
        </w:rPr>
        <w:t>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[Section 115 amended by No. 68 of 1964 s. 23; No. 54 of 1983 s. 10; No. 40 of 1987 s. 84; No. 79 of 1987 s. 44; No. 35 of 2012 s. 22.]</w:t>
      </w:r>
    </w:p>
    <w:p>
      <w:pPr>
        <w:pStyle w:val="Heading5"/>
        <w:rPr>
          <w:snapToGrid w:val="0"/>
        </w:rPr>
      </w:pPr>
      <w:bookmarkStart w:id="700" w:name="_Toc402969411"/>
      <w:bookmarkStart w:id="701" w:name="_Toc436058596"/>
      <w:bookmarkStart w:id="702" w:name="_Toc416703227"/>
      <w:r>
        <w:rPr>
          <w:rStyle w:val="CharSectno"/>
        </w:rPr>
        <w:t>116</w:t>
      </w:r>
      <w:r>
        <w:rPr>
          <w:snapToGrid w:val="0"/>
        </w:rPr>
        <w:t>.</w:t>
      </w:r>
      <w:r>
        <w:rPr>
          <w:snapToGrid w:val="0"/>
        </w:rPr>
        <w:tab/>
      </w:r>
      <w:smartTag w:uri="urn:schemas-microsoft-com:office:smarttags" w:element="place">
        <w:r>
          <w:rPr>
            <w:snapToGrid w:val="0"/>
          </w:rPr>
          <w:t>Po</w:t>
        </w:r>
      </w:smartTag>
      <w:r>
        <w:rPr>
          <w:snapToGrid w:val="0"/>
        </w:rPr>
        <w:t>lice may be summoned to keep order etc.</w:t>
      </w:r>
      <w:bookmarkEnd w:id="700"/>
      <w:bookmarkEnd w:id="701"/>
      <w:bookmarkEnd w:id="702"/>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 or</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703" w:name="_Toc402969412"/>
      <w:bookmarkStart w:id="704" w:name="_Toc436058597"/>
      <w:bookmarkStart w:id="705" w:name="_Toc416703228"/>
      <w:r>
        <w:rPr>
          <w:rStyle w:val="CharSectno"/>
        </w:rPr>
        <w:t>117</w:t>
      </w:r>
      <w:r>
        <w:rPr>
          <w:snapToGrid w:val="0"/>
        </w:rPr>
        <w:t>.</w:t>
      </w:r>
      <w:r>
        <w:rPr>
          <w:snapToGrid w:val="0"/>
        </w:rPr>
        <w:tab/>
        <w:t>Polling, rules for conduct of</w:t>
      </w:r>
      <w:bookmarkEnd w:id="703"/>
      <w:bookmarkEnd w:id="704"/>
      <w:bookmarkEnd w:id="705"/>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[Section 117 amended by No. 44 of 1911 s. 30; No. 59 of 1919 s. 5; No. 10 of 1936 s. 2; No. 57 of 1952 s. 9; No. 68 of 1964 s. 24; No. 39 of 1979 s. 19; No. 79 of 1987 s. 45.]</w:t>
      </w:r>
    </w:p>
    <w:p>
      <w:pPr>
        <w:pStyle w:val="Ednotesection"/>
      </w:pPr>
      <w:r>
        <w:t>[</w:t>
      </w:r>
      <w:r>
        <w:rPr>
          <w:b/>
          <w:bCs/>
        </w:rPr>
        <w:t>118.</w:t>
      </w:r>
      <w:r>
        <w:tab/>
        <w:t>Deleted by No. 64 of 2006 s. 31.]</w:t>
      </w:r>
    </w:p>
    <w:p>
      <w:pPr>
        <w:pStyle w:val="Heading5"/>
        <w:rPr>
          <w:snapToGrid w:val="0"/>
        </w:rPr>
      </w:pPr>
      <w:bookmarkStart w:id="706" w:name="_Toc402969413"/>
      <w:bookmarkStart w:id="707" w:name="_Toc436058598"/>
      <w:bookmarkStart w:id="708" w:name="_Toc416703229"/>
      <w:r>
        <w:rPr>
          <w:rStyle w:val="CharSectno"/>
        </w:rPr>
        <w:t>119</w:t>
      </w:r>
      <w:r>
        <w:rPr>
          <w:snapToGrid w:val="0"/>
        </w:rPr>
        <w:t>.</w:t>
      </w:r>
      <w:r>
        <w:rPr>
          <w:snapToGrid w:val="0"/>
        </w:rPr>
        <w:tab/>
        <w:t>Person claiming to vote, questions for and declarations by etc.</w:t>
      </w:r>
      <w:bookmarkEnd w:id="706"/>
      <w:bookmarkEnd w:id="707"/>
      <w:bookmarkEnd w:id="708"/>
    </w:p>
    <w:p>
      <w:pPr>
        <w:pStyle w:val="Subsection"/>
      </w:pPr>
      <w:r>
        <w:tab/>
        <w:t>(1)</w:t>
      </w:r>
      <w:r>
        <w:tab/>
        <w:t>The presiding officer shall put to any person claiming to vote at any election the following questions —</w:t>
      </w:r>
    </w:p>
    <w:p>
      <w:pPr>
        <w:pStyle w:val="Indenta"/>
        <w:spacing w:before="70"/>
      </w:pPr>
      <w:r>
        <w:tab/>
        <w:t>(a)</w:t>
      </w:r>
      <w:r>
        <w:tab/>
        <w:t>Have you cast an early vote for this election (or these elections, as the case requires) or already voted today?</w:t>
      </w:r>
    </w:p>
    <w:p>
      <w:pPr>
        <w:pStyle w:val="Indenta"/>
        <w:spacing w:before="70"/>
      </w:pPr>
      <w:r>
        <w:tab/>
        <w:t>(b)</w:t>
      </w:r>
      <w:r>
        <w:tab/>
        <w:t>What is your full name?</w:t>
      </w:r>
    </w:p>
    <w:p>
      <w:pPr>
        <w:pStyle w:val="Indenta"/>
        <w:spacing w:before="70"/>
      </w:pPr>
      <w:r>
        <w:tab/>
        <w:t>(c)</w:t>
      </w:r>
      <w:r>
        <w:tab/>
        <w:t>Where do you live?</w:t>
      </w:r>
    </w:p>
    <w:p>
      <w:pPr>
        <w:pStyle w:val="Subsection"/>
        <w:spacing w:before="120"/>
      </w:pPr>
      <w:r>
        <w:tab/>
      </w:r>
      <w:r>
        <w:tab/>
        <w:t>and may then put any other question the presiding officer considers necessary to determine whether the person is enrolled to vote.</w:t>
      </w:r>
    </w:p>
    <w:p>
      <w:pPr>
        <w:pStyle w:val="Ednotesubsection"/>
      </w:pPr>
      <w:r>
        <w:tab/>
        <w:t>[(2), (3)</w:t>
      </w:r>
      <w:r>
        <w:tab/>
        <w:t>deleted]</w:t>
      </w:r>
    </w:p>
    <w:p>
      <w:pPr>
        <w:pStyle w:val="Subsection"/>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keepLines/>
        <w:rPr>
          <w:snapToGrid w:val="0"/>
        </w:rPr>
      </w:pPr>
      <w:r>
        <w:rPr>
          <w:snapToGrid w:val="0"/>
        </w:rPr>
        <w:tab/>
        <w:t>(7)</w:t>
      </w:r>
      <w:r>
        <w:rPr>
          <w:snapToGrid w:val="0"/>
        </w:rPr>
        <w:tab/>
        <w:t>Where it appears to the presiding officer that an elector does not understand any question he is asked pursuant to subsection (1)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No. 64 of 2006 s. 32 and 53.]</w:t>
      </w:r>
    </w:p>
    <w:p>
      <w:pPr>
        <w:pStyle w:val="Heading5"/>
        <w:rPr>
          <w:snapToGrid w:val="0"/>
        </w:rPr>
      </w:pPr>
      <w:bookmarkStart w:id="709" w:name="_Toc402969414"/>
      <w:bookmarkStart w:id="710" w:name="_Toc436058599"/>
      <w:bookmarkStart w:id="711" w:name="_Toc416703230"/>
      <w:r>
        <w:rPr>
          <w:rStyle w:val="CharSectno"/>
        </w:rPr>
        <w:t>120</w:t>
      </w:r>
      <w:r>
        <w:rPr>
          <w:snapToGrid w:val="0"/>
        </w:rPr>
        <w:t>.</w:t>
      </w:r>
      <w:r>
        <w:rPr>
          <w:snapToGrid w:val="0"/>
        </w:rPr>
        <w:tab/>
        <w:t>Answers by person claiming to vote, consequences of</w:t>
      </w:r>
      <w:bookmarkEnd w:id="709"/>
      <w:bookmarkEnd w:id="710"/>
      <w:bookmarkEnd w:id="711"/>
    </w:p>
    <w:p>
      <w:pPr>
        <w:pStyle w:val="Subsection"/>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by No. 64 of 2006 s. 33.]</w:t>
      </w:r>
    </w:p>
    <w:p>
      <w:pPr>
        <w:pStyle w:val="Heading5"/>
        <w:rPr>
          <w:snapToGrid w:val="0"/>
        </w:rPr>
      </w:pPr>
      <w:bookmarkStart w:id="712" w:name="_Toc402969415"/>
      <w:bookmarkStart w:id="713" w:name="_Toc436058600"/>
      <w:bookmarkStart w:id="714" w:name="_Toc416703231"/>
      <w:r>
        <w:rPr>
          <w:rStyle w:val="CharSectno"/>
        </w:rPr>
        <w:t>121</w:t>
      </w:r>
      <w:r>
        <w:rPr>
          <w:snapToGrid w:val="0"/>
        </w:rPr>
        <w:t>.</w:t>
      </w:r>
      <w:r>
        <w:rPr>
          <w:snapToGrid w:val="0"/>
        </w:rPr>
        <w:tab/>
        <w:t>Elector’s answers are conclusive</w:t>
      </w:r>
      <w:bookmarkEnd w:id="712"/>
      <w:bookmarkEnd w:id="713"/>
      <w:bookmarkEnd w:id="714"/>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715" w:name="_Toc402969416"/>
      <w:bookmarkStart w:id="716" w:name="_Toc436058601"/>
      <w:bookmarkStart w:id="717" w:name="_Toc416703232"/>
      <w:r>
        <w:rPr>
          <w:rStyle w:val="CharSectno"/>
        </w:rPr>
        <w:t>122</w:t>
      </w:r>
      <w:r>
        <w:rPr>
          <w:snapToGrid w:val="0"/>
        </w:rPr>
        <w:t>.</w:t>
      </w:r>
      <w:r>
        <w:rPr>
          <w:snapToGrid w:val="0"/>
        </w:rPr>
        <w:tab/>
        <w:t>Elector objected to with name marked under s. 47, voting by etc.</w:t>
      </w:r>
      <w:bookmarkEnd w:id="715"/>
      <w:bookmarkEnd w:id="716"/>
      <w:bookmarkEnd w:id="717"/>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Footnotesection"/>
      </w:pPr>
      <w:r>
        <w:tab/>
        <w:t>[Section 122 amended by No. 44 of 1911 s. 43; No. 40 of 1987 s. 84; No. 79 of 1987 s. 48; No. 36 of 2000 s. 48(8); No. 64 of 2006 s. 34.]</w:t>
      </w:r>
    </w:p>
    <w:p>
      <w:pPr>
        <w:pStyle w:val="Heading5"/>
        <w:rPr>
          <w:snapToGrid w:val="0"/>
        </w:rPr>
      </w:pPr>
      <w:bookmarkStart w:id="718" w:name="_Toc402969417"/>
      <w:bookmarkStart w:id="719" w:name="_Toc436058602"/>
      <w:bookmarkStart w:id="720" w:name="_Toc416703233"/>
      <w:r>
        <w:rPr>
          <w:rStyle w:val="CharSectno"/>
        </w:rPr>
        <w:t>122A</w:t>
      </w:r>
      <w:r>
        <w:rPr>
          <w:snapToGrid w:val="0"/>
        </w:rPr>
        <w:t>.</w:t>
      </w:r>
      <w:r>
        <w:rPr>
          <w:snapToGrid w:val="0"/>
        </w:rPr>
        <w:tab/>
        <w:t>Person not on roll or struck off roll or on roll and cannot be found or struck out under s. 126, voting by etc.</w:t>
      </w:r>
      <w:bookmarkEnd w:id="718"/>
      <w:bookmarkEnd w:id="719"/>
      <w:bookmarkEnd w:id="720"/>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w:t>
      </w:r>
    </w:p>
    <w:p>
      <w:pPr>
        <w:pStyle w:val="Indenta"/>
        <w:rPr>
          <w:snapToGrid w:val="0"/>
        </w:rPr>
      </w:pPr>
      <w:r>
        <w:rPr>
          <w:snapToGrid w:val="0"/>
        </w:rPr>
        <w:tab/>
        <w:t>(a)</w:t>
      </w:r>
      <w:r>
        <w:rPr>
          <w:snapToGrid w:val="0"/>
        </w:rPr>
        <w:tab/>
        <w:t>in the case of a person whose name has been omitted from the roll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person whose name has been struck off the roll —</w:t>
      </w:r>
    </w:p>
    <w:p>
      <w:pPr>
        <w:pStyle w:val="Indenti"/>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18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spacing w:before="18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[Section 122A inserted by No. 63 of 1948 s. 20; amended by No. 58 of 1951 s. 12; No. 33 of 1964 s. 36; No. 9 of 1983 s. 21; No. 40 of 1987 s. 84; No. 79 of 1987 s. 49; No. 36 of 2000 s. 28(1) and (3), 76 and 77(3).]</w:t>
      </w:r>
    </w:p>
    <w:p>
      <w:pPr>
        <w:pStyle w:val="Heading5"/>
        <w:rPr>
          <w:snapToGrid w:val="0"/>
        </w:rPr>
      </w:pPr>
      <w:bookmarkStart w:id="721" w:name="_Toc402969418"/>
      <w:bookmarkStart w:id="722" w:name="_Toc436058603"/>
      <w:bookmarkStart w:id="723" w:name="_Toc416703234"/>
      <w:r>
        <w:rPr>
          <w:rStyle w:val="CharSectno"/>
        </w:rPr>
        <w:t>123</w:t>
      </w:r>
      <w:r>
        <w:rPr>
          <w:snapToGrid w:val="0"/>
        </w:rPr>
        <w:t>.</w:t>
      </w:r>
      <w:r>
        <w:rPr>
          <w:snapToGrid w:val="0"/>
        </w:rPr>
        <w:tab/>
        <w:t>No other answer or declaration required from elector; who can be excluded from voting</w:t>
      </w:r>
      <w:bookmarkEnd w:id="721"/>
      <w:bookmarkEnd w:id="722"/>
      <w:bookmarkEnd w:id="723"/>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w:t>
      </w:r>
    </w:p>
    <w:p>
      <w:pPr>
        <w:pStyle w:val="Indenta"/>
      </w:pPr>
      <w:r>
        <w:tab/>
        <w:t>(a)</w:t>
      </w:r>
      <w:r>
        <w:tab/>
        <w:t>it appearing to the presiding officer, upon putting the questions hereinbefore prescribed, or any of them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that he is otherwise not entitled to vote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[Section 123 amended by No. 40 of 1987 s. 84.]</w:t>
      </w:r>
    </w:p>
    <w:p>
      <w:pPr>
        <w:pStyle w:val="Heading5"/>
        <w:rPr>
          <w:snapToGrid w:val="0"/>
        </w:rPr>
      </w:pPr>
      <w:bookmarkStart w:id="724" w:name="_Toc402969419"/>
      <w:bookmarkStart w:id="725" w:name="_Toc436058604"/>
      <w:bookmarkStart w:id="726" w:name="_Toc416703235"/>
      <w:r>
        <w:rPr>
          <w:rStyle w:val="CharSectno"/>
        </w:rPr>
        <w:t>124</w:t>
      </w:r>
      <w:r>
        <w:rPr>
          <w:snapToGrid w:val="0"/>
        </w:rPr>
        <w:t>.</w:t>
      </w:r>
      <w:r>
        <w:rPr>
          <w:snapToGrid w:val="0"/>
        </w:rPr>
        <w:tab/>
        <w:t>Right to vote despite error in roll or change of name on marriage</w:t>
      </w:r>
      <w:bookmarkEnd w:id="724"/>
      <w:bookmarkEnd w:id="725"/>
      <w:bookmarkEnd w:id="726"/>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[Section 124 amended by No. 79 of 1987 s. 50.]</w:t>
      </w:r>
    </w:p>
    <w:p>
      <w:pPr>
        <w:pStyle w:val="Heading5"/>
        <w:rPr>
          <w:snapToGrid w:val="0"/>
        </w:rPr>
      </w:pPr>
      <w:bookmarkStart w:id="727" w:name="_Toc402969420"/>
      <w:bookmarkStart w:id="728" w:name="_Toc436058605"/>
      <w:bookmarkStart w:id="729" w:name="_Toc416703236"/>
      <w:r>
        <w:rPr>
          <w:rStyle w:val="CharSectno"/>
        </w:rPr>
        <w:t>125</w:t>
      </w:r>
      <w:r>
        <w:rPr>
          <w:snapToGrid w:val="0"/>
        </w:rPr>
        <w:t>.</w:t>
      </w:r>
      <w:r>
        <w:rPr>
          <w:snapToGrid w:val="0"/>
        </w:rPr>
        <w:tab/>
        <w:t>Ballot paper, procedure when delivering to elector</w:t>
      </w:r>
      <w:bookmarkEnd w:id="727"/>
      <w:bookmarkEnd w:id="728"/>
      <w:bookmarkEnd w:id="729"/>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[Section 125 amended by No. 113 of 1965 s. 8; No. 54 of 1983 s. 11; No. 40 of 1987 s. 84; No. 79 of 1987 s. 51; No. 43 of 1996 s. 14.]</w:t>
      </w:r>
    </w:p>
    <w:p>
      <w:pPr>
        <w:pStyle w:val="Heading5"/>
        <w:rPr>
          <w:snapToGrid w:val="0"/>
        </w:rPr>
      </w:pPr>
      <w:bookmarkStart w:id="730" w:name="_Toc402969421"/>
      <w:bookmarkStart w:id="731" w:name="_Toc436058606"/>
      <w:bookmarkStart w:id="732" w:name="_Toc416703237"/>
      <w:r>
        <w:rPr>
          <w:rStyle w:val="CharSectno"/>
        </w:rPr>
        <w:t>126</w:t>
      </w:r>
      <w:r>
        <w:rPr>
          <w:snapToGrid w:val="0"/>
        </w:rPr>
        <w:t>.</w:t>
      </w:r>
      <w:r>
        <w:rPr>
          <w:snapToGrid w:val="0"/>
        </w:rPr>
        <w:tab/>
        <w:t xml:space="preserve">Roll to be marked on ballot paper being </w:t>
      </w:r>
      <w:smartTag w:uri="urn:schemas-microsoft-com:office:smarttags" w:element="State">
        <w:smartTag w:uri="urn:schemas-microsoft-com:office:smarttags" w:element="place">
          <w:r>
            <w:rPr>
              <w:snapToGrid w:val="0"/>
            </w:rPr>
            <w:t>del</w:t>
          </w:r>
        </w:smartTag>
      </w:smartTag>
      <w:r>
        <w:rPr>
          <w:snapToGrid w:val="0"/>
        </w:rPr>
        <w:t>ivered</w:t>
      </w:r>
      <w:bookmarkEnd w:id="730"/>
      <w:bookmarkEnd w:id="731"/>
      <w:bookmarkEnd w:id="732"/>
    </w:p>
    <w:p>
      <w:pPr>
        <w:pStyle w:val="Subsection"/>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rPr>
          <w:snapToGrid w:val="0"/>
        </w:rPr>
      </w:pPr>
      <w:bookmarkStart w:id="733" w:name="_Toc402969422"/>
      <w:bookmarkStart w:id="734" w:name="_Toc436058607"/>
      <w:bookmarkStart w:id="735" w:name="_Toc416703238"/>
      <w:r>
        <w:rPr>
          <w:rStyle w:val="CharSectno"/>
        </w:rPr>
        <w:t>127</w:t>
      </w:r>
      <w:r>
        <w:rPr>
          <w:snapToGrid w:val="0"/>
        </w:rPr>
        <w:t>.</w:t>
      </w:r>
      <w:r>
        <w:rPr>
          <w:snapToGrid w:val="0"/>
        </w:rPr>
        <w:tab/>
        <w:t>Elector’s duties on receiving ballot paper</w:t>
      </w:r>
      <w:bookmarkEnd w:id="733"/>
      <w:bookmarkEnd w:id="734"/>
      <w:bookmarkEnd w:id="735"/>
    </w:p>
    <w:p>
      <w:pPr>
        <w:pStyle w:val="Subsection"/>
        <w:rPr>
          <w:snapToGrid w:val="0"/>
        </w:rPr>
      </w:pPr>
      <w:r>
        <w:rPr>
          <w:snapToGrid w:val="0"/>
        </w:rPr>
        <w:tab/>
      </w:r>
      <w:r>
        <w:rPr>
          <w:snapToGrid w:val="0"/>
        </w:rPr>
        <w:tab/>
        <w:t>Upon receipt of the ballot paper the elector shall, subject to the provisions of section 129, without delay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[Section 127 amended by No. 58 of 1951 s. 13; No. 43 of 1996 s. 15.]</w:t>
      </w:r>
    </w:p>
    <w:p>
      <w:pPr>
        <w:pStyle w:val="Heading5"/>
        <w:rPr>
          <w:snapToGrid w:val="0"/>
        </w:rPr>
      </w:pPr>
      <w:bookmarkStart w:id="736" w:name="_Toc402969423"/>
      <w:bookmarkStart w:id="737" w:name="_Toc436058608"/>
      <w:bookmarkStart w:id="738" w:name="_Toc416703239"/>
      <w:r>
        <w:rPr>
          <w:rStyle w:val="CharSectno"/>
        </w:rPr>
        <w:t>128</w:t>
      </w:r>
      <w:r>
        <w:rPr>
          <w:snapToGrid w:val="0"/>
        </w:rPr>
        <w:t>.</w:t>
      </w:r>
      <w:r>
        <w:rPr>
          <w:snapToGrid w:val="0"/>
        </w:rPr>
        <w:tab/>
        <w:t>Ballot paper, how to be marked by elector</w:t>
      </w:r>
      <w:bookmarkEnd w:id="736"/>
      <w:bookmarkEnd w:id="737"/>
      <w:bookmarkEnd w:id="738"/>
    </w:p>
    <w:p>
      <w:pPr>
        <w:pStyle w:val="Subsection"/>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rPr>
          <w:snapToGrid w:val="0"/>
        </w:rPr>
      </w:pPr>
      <w:r>
        <w:rPr>
          <w:snapToGrid w:val="0"/>
        </w:rPr>
        <w:tab/>
        <w:t>(2)</w:t>
      </w:r>
      <w:r>
        <w:rPr>
          <w:snapToGrid w:val="0"/>
        </w:rPr>
        <w:tab/>
        <w:t>In an election in a region where there are more than 2 candidates on the ballot paper an elector shall mark his vote on the ballot paper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[Section 128 inserted by No. 40 of 1987 s. 62; amended by No. 79 of 1987 s. 52; No. 20 of 1988 s. 6.]</w:t>
      </w:r>
    </w:p>
    <w:p>
      <w:pPr>
        <w:pStyle w:val="Ednotesection"/>
      </w:pPr>
      <w:r>
        <w:t>[</w:t>
      </w:r>
      <w:r>
        <w:rPr>
          <w:b/>
        </w:rPr>
        <w:t>128A.</w:t>
      </w:r>
      <w:r>
        <w:tab/>
        <w:t>Deleted by No. 79 of 1987 s. 53.]</w:t>
      </w:r>
    </w:p>
    <w:p>
      <w:pPr>
        <w:pStyle w:val="Heading5"/>
        <w:rPr>
          <w:snapToGrid w:val="0"/>
        </w:rPr>
      </w:pPr>
      <w:bookmarkStart w:id="739" w:name="_Toc402969424"/>
      <w:bookmarkStart w:id="740" w:name="_Toc436058609"/>
      <w:bookmarkStart w:id="741" w:name="_Toc416703240"/>
      <w:r>
        <w:rPr>
          <w:rStyle w:val="CharSectno"/>
        </w:rPr>
        <w:t>129</w:t>
      </w:r>
      <w:r>
        <w:rPr>
          <w:snapToGrid w:val="0"/>
        </w:rPr>
        <w:t>.</w:t>
      </w:r>
      <w:r>
        <w:rPr>
          <w:snapToGrid w:val="0"/>
        </w:rPr>
        <w:tab/>
        <w:t>Elector with disability etc., assistance for to vote</w:t>
      </w:r>
      <w:bookmarkEnd w:id="739"/>
      <w:bookmarkEnd w:id="740"/>
      <w:bookmarkEnd w:id="741"/>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w:t>
      </w:r>
    </w:p>
    <w:p>
      <w:pPr>
        <w:pStyle w:val="Indenta"/>
        <w:rPr>
          <w:snapToGrid w:val="0"/>
        </w:rPr>
      </w:pPr>
      <w:r>
        <w:rPr>
          <w:snapToGrid w:val="0"/>
        </w:rPr>
        <w:tab/>
        <w:t>(a)</w:t>
      </w:r>
      <w:r>
        <w:rPr>
          <w:snapToGrid w:val="0"/>
        </w:rPr>
        <w:tab/>
        <w:t>the elector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fold the ballot paper so as to conceal the names of the candidates, and hand the ballot paper to the electoral officer in whose presence it was marked;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spacing w:before="100"/>
        <w:ind w:left="890" w:hanging="890"/>
      </w:pPr>
      <w:r>
        <w:tab/>
        <w:t>[Section 129 inserted by No. 39 of 1979 s. 21; amended by No. 79 of 1987 s. 54; No. 64 of 2006 s. 35.]</w:t>
      </w:r>
    </w:p>
    <w:p>
      <w:pPr>
        <w:pStyle w:val="Heading5"/>
        <w:rPr>
          <w:snapToGrid w:val="0"/>
        </w:rPr>
      </w:pPr>
      <w:bookmarkStart w:id="742" w:name="_Toc402969425"/>
      <w:bookmarkStart w:id="743" w:name="_Toc436058610"/>
      <w:bookmarkStart w:id="744" w:name="_Toc416703241"/>
      <w:r>
        <w:rPr>
          <w:rStyle w:val="CharSectno"/>
        </w:rPr>
        <w:t>130</w:t>
      </w:r>
      <w:r>
        <w:rPr>
          <w:snapToGrid w:val="0"/>
        </w:rPr>
        <w:t>.</w:t>
      </w:r>
      <w:r>
        <w:rPr>
          <w:snapToGrid w:val="0"/>
        </w:rPr>
        <w:tab/>
        <w:t>Ballot paper spoiled by elector, replacement of etc.</w:t>
      </w:r>
      <w:bookmarkEnd w:id="742"/>
      <w:bookmarkEnd w:id="743"/>
      <w:bookmarkEnd w:id="744"/>
    </w:p>
    <w:p>
      <w:pPr>
        <w:pStyle w:val="Subsection"/>
      </w:pPr>
      <w:r>
        <w:rPr>
          <w:snapToGrid w:val="0"/>
        </w:rPr>
        <w:tab/>
        <w:t>(1)</w:t>
      </w:r>
      <w:r>
        <w:rPr>
          <w:snapToGrid w:val="0"/>
        </w:rPr>
        <w:tab/>
      </w:r>
      <w:r>
        <w:t>If any elector satisfies the presiding officer, before his ballot paper is deposited in the ballot box that he has spoilt it by mistake or accident, he may, on giving it up, receive a new ballot paper from the presiding officer, who shall there and then cancel the spoilt ballot paper by writing “spoilt” on the back of it.</w:t>
      </w:r>
    </w:p>
    <w:p>
      <w:pPr>
        <w:pStyle w:val="Subsection"/>
      </w:pPr>
      <w:r>
        <w:tab/>
        <w:t>(2)</w:t>
      </w:r>
      <w:r>
        <w:tab/>
        <w:t>Having cancelled a spoilt ballot paper the presiding officer is to —</w:t>
      </w:r>
    </w:p>
    <w:p>
      <w:pPr>
        <w:pStyle w:val="Indenta"/>
        <w:spacing w:before="60"/>
      </w:pPr>
      <w:r>
        <w:tab/>
        <w:t>(a)</w:t>
      </w:r>
      <w:r>
        <w:tab/>
        <w:t>place the ballot paper in an envelope, seal the envelope and write on the envelope an indication of the type of ballot paper enclosed and that it is spoilt; and</w:t>
      </w:r>
    </w:p>
    <w:p>
      <w:pPr>
        <w:pStyle w:val="Indenta"/>
        <w:spacing w:before="60"/>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spacing w:before="100"/>
        <w:ind w:left="890" w:hanging="890"/>
      </w:pPr>
      <w:r>
        <w:tab/>
        <w:t>[Section 130 amended by No. 59 of 1919 s. 5; No. 36 of 2000 s. 78.]</w:t>
      </w:r>
    </w:p>
    <w:p>
      <w:pPr>
        <w:pStyle w:val="Heading5"/>
        <w:rPr>
          <w:snapToGrid w:val="0"/>
        </w:rPr>
      </w:pPr>
      <w:bookmarkStart w:id="745" w:name="_Toc402969426"/>
      <w:bookmarkStart w:id="746" w:name="_Toc436058611"/>
      <w:bookmarkStart w:id="747" w:name="_Toc416703242"/>
      <w:r>
        <w:rPr>
          <w:rStyle w:val="CharSectno"/>
        </w:rPr>
        <w:t>131</w:t>
      </w:r>
      <w:r>
        <w:rPr>
          <w:snapToGrid w:val="0"/>
        </w:rPr>
        <w:t>.</w:t>
      </w:r>
      <w:r>
        <w:rPr>
          <w:snapToGrid w:val="0"/>
        </w:rPr>
        <w:tab/>
        <w:t>Adjourning polling due to riot etc.</w:t>
      </w:r>
      <w:bookmarkEnd w:id="745"/>
      <w:bookmarkEnd w:id="746"/>
      <w:bookmarkEnd w:id="747"/>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748" w:name="_Toc402969427"/>
      <w:bookmarkStart w:id="749" w:name="_Toc436058612"/>
      <w:bookmarkStart w:id="750" w:name="_Toc416703243"/>
      <w:r>
        <w:rPr>
          <w:rStyle w:val="CharSectno"/>
        </w:rPr>
        <w:t>132</w:t>
      </w:r>
      <w:r>
        <w:rPr>
          <w:snapToGrid w:val="0"/>
        </w:rPr>
        <w:t>.</w:t>
      </w:r>
      <w:r>
        <w:rPr>
          <w:snapToGrid w:val="0"/>
        </w:rPr>
        <w:tab/>
        <w:t>Adjourning polling for other reasons</w:t>
      </w:r>
      <w:bookmarkEnd w:id="748"/>
      <w:bookmarkEnd w:id="749"/>
      <w:bookmarkEnd w:id="750"/>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[Section 132 amended by No. 79 of 1987 s. 55.]</w:t>
      </w:r>
    </w:p>
    <w:p>
      <w:pPr>
        <w:pStyle w:val="Heading5"/>
        <w:keepLines w:val="0"/>
        <w:rPr>
          <w:snapToGrid w:val="0"/>
        </w:rPr>
      </w:pPr>
      <w:bookmarkStart w:id="751" w:name="_Toc402969428"/>
      <w:bookmarkStart w:id="752" w:name="_Toc436058613"/>
      <w:bookmarkStart w:id="753" w:name="_Toc416703244"/>
      <w:r>
        <w:rPr>
          <w:rStyle w:val="CharSectno"/>
        </w:rPr>
        <w:t>133</w:t>
      </w:r>
      <w:r>
        <w:rPr>
          <w:snapToGrid w:val="0"/>
        </w:rPr>
        <w:t>.</w:t>
      </w:r>
      <w:r>
        <w:rPr>
          <w:snapToGrid w:val="0"/>
        </w:rPr>
        <w:tab/>
        <w:t>Voting at adjourned polling</w:t>
      </w:r>
      <w:bookmarkEnd w:id="751"/>
      <w:bookmarkEnd w:id="752"/>
      <w:bookmarkEnd w:id="753"/>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pPr>
      <w:bookmarkStart w:id="754" w:name="_Toc402969429"/>
      <w:bookmarkStart w:id="755" w:name="_Toc416702861"/>
      <w:bookmarkStart w:id="756" w:name="_Toc416703245"/>
      <w:bookmarkStart w:id="757" w:name="_Toc435714497"/>
      <w:bookmarkStart w:id="758" w:name="_Toc436057612"/>
      <w:bookmarkStart w:id="759" w:name="_Toc436058000"/>
      <w:bookmarkStart w:id="760" w:name="_Toc436058385"/>
      <w:bookmarkStart w:id="761" w:name="_Toc436058614"/>
      <w:r>
        <w:rPr>
          <w:rStyle w:val="CharDivNo"/>
        </w:rPr>
        <w:t>Division (4)</w:t>
      </w:r>
      <w:r>
        <w:rPr>
          <w:snapToGrid w:val="0"/>
        </w:rPr>
        <w:t> — </w:t>
      </w:r>
      <w:r>
        <w:rPr>
          <w:rStyle w:val="CharDivText"/>
        </w:rPr>
        <w:t>Counting of votes (general)</w:t>
      </w:r>
      <w:bookmarkEnd w:id="754"/>
      <w:bookmarkEnd w:id="755"/>
      <w:bookmarkEnd w:id="756"/>
      <w:bookmarkEnd w:id="757"/>
      <w:bookmarkEnd w:id="758"/>
      <w:bookmarkEnd w:id="759"/>
      <w:bookmarkEnd w:id="760"/>
      <w:bookmarkEnd w:id="761"/>
    </w:p>
    <w:p>
      <w:pPr>
        <w:pStyle w:val="Footnoteheading"/>
        <w:keepNext/>
        <w:rPr>
          <w:snapToGrid w:val="0"/>
        </w:rPr>
      </w:pPr>
      <w:r>
        <w:rPr>
          <w:snapToGrid w:val="0"/>
        </w:rPr>
        <w:tab/>
        <w:t>[Heading amended by No. 40 of 1987 s. 63.]</w:t>
      </w:r>
    </w:p>
    <w:p>
      <w:pPr>
        <w:pStyle w:val="Heading5"/>
        <w:rPr>
          <w:snapToGrid w:val="0"/>
        </w:rPr>
      </w:pPr>
      <w:bookmarkStart w:id="762" w:name="_Toc402969430"/>
      <w:bookmarkStart w:id="763" w:name="_Toc436058615"/>
      <w:bookmarkStart w:id="764" w:name="_Toc416703246"/>
      <w:r>
        <w:rPr>
          <w:rStyle w:val="CharSectno"/>
        </w:rPr>
        <w:t>134</w:t>
      </w:r>
      <w:r>
        <w:rPr>
          <w:snapToGrid w:val="0"/>
        </w:rPr>
        <w:t>.</w:t>
      </w:r>
      <w:r>
        <w:rPr>
          <w:snapToGrid w:val="0"/>
        </w:rPr>
        <w:tab/>
        <w:t>Count of votes, rules for conducting</w:t>
      </w:r>
      <w:bookmarkEnd w:id="762"/>
      <w:bookmarkEnd w:id="763"/>
      <w:bookmarkEnd w:id="764"/>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[Section 134 amended by No. 44 of 1911 s. 33; No. 40 of 1987 s. 84; No. 79 of 1987 s. 56.]</w:t>
      </w:r>
    </w:p>
    <w:p>
      <w:pPr>
        <w:pStyle w:val="Heading5"/>
        <w:rPr>
          <w:snapToGrid w:val="0"/>
        </w:rPr>
      </w:pPr>
      <w:bookmarkStart w:id="765" w:name="_Toc402969431"/>
      <w:bookmarkStart w:id="766" w:name="_Toc436058616"/>
      <w:bookmarkStart w:id="767" w:name="_Toc416703247"/>
      <w:r>
        <w:rPr>
          <w:rStyle w:val="CharSectno"/>
        </w:rPr>
        <w:t>135</w:t>
      </w:r>
      <w:r>
        <w:rPr>
          <w:snapToGrid w:val="0"/>
        </w:rPr>
        <w:t>.</w:t>
      </w:r>
      <w:r>
        <w:rPr>
          <w:snapToGrid w:val="0"/>
        </w:rPr>
        <w:tab/>
        <w:t>Adjournment of count etc. to be announced</w:t>
      </w:r>
      <w:bookmarkEnd w:id="765"/>
      <w:bookmarkEnd w:id="766"/>
      <w:bookmarkEnd w:id="767"/>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[Section 135 amended by No. 40 of 1987 s. 84.]</w:t>
      </w:r>
    </w:p>
    <w:p>
      <w:pPr>
        <w:pStyle w:val="Heading5"/>
        <w:rPr>
          <w:snapToGrid w:val="0"/>
        </w:rPr>
      </w:pPr>
      <w:bookmarkStart w:id="768" w:name="_Toc402969432"/>
      <w:bookmarkStart w:id="769" w:name="_Toc436058617"/>
      <w:bookmarkStart w:id="770" w:name="_Toc416703248"/>
      <w:r>
        <w:rPr>
          <w:rStyle w:val="CharSectno"/>
        </w:rPr>
        <w:t>136</w:t>
      </w:r>
      <w:r>
        <w:rPr>
          <w:snapToGrid w:val="0"/>
        </w:rPr>
        <w:t>.</w:t>
      </w:r>
      <w:r>
        <w:rPr>
          <w:snapToGrid w:val="0"/>
        </w:rPr>
        <w:tab/>
        <w:t>Before adjourning, ballot papers etc., to be sealed in boxes</w:t>
      </w:r>
      <w:bookmarkEnd w:id="768"/>
      <w:bookmarkEnd w:id="769"/>
      <w:bookmarkEnd w:id="770"/>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[Section 136 amended by No. 59 of 1919 s. 5; No. 40 of 1987 s. 84.]</w:t>
      </w:r>
    </w:p>
    <w:p>
      <w:pPr>
        <w:pStyle w:val="Heading3"/>
        <w:keepLines/>
      </w:pPr>
      <w:bookmarkStart w:id="771" w:name="_Toc402969433"/>
      <w:bookmarkStart w:id="772" w:name="_Toc416702865"/>
      <w:bookmarkStart w:id="773" w:name="_Toc416703249"/>
      <w:bookmarkStart w:id="774" w:name="_Toc435714501"/>
      <w:bookmarkStart w:id="775" w:name="_Toc436057616"/>
      <w:bookmarkStart w:id="776" w:name="_Toc436058004"/>
      <w:bookmarkStart w:id="777" w:name="_Toc436058389"/>
      <w:bookmarkStart w:id="778" w:name="_Toc436058618"/>
      <w:r>
        <w:rPr>
          <w:rStyle w:val="CharDivNo"/>
        </w:rPr>
        <w:t>Division (4a)</w:t>
      </w:r>
      <w:r>
        <w:rPr>
          <w:snapToGrid w:val="0"/>
        </w:rPr>
        <w:t> — </w:t>
      </w:r>
      <w:r>
        <w:rPr>
          <w:rStyle w:val="CharDivText"/>
        </w:rPr>
        <w:t>Scrutiny and count (Assembly elections)</w:t>
      </w:r>
      <w:bookmarkEnd w:id="771"/>
      <w:bookmarkEnd w:id="772"/>
      <w:bookmarkEnd w:id="773"/>
      <w:bookmarkEnd w:id="774"/>
      <w:bookmarkEnd w:id="775"/>
      <w:bookmarkEnd w:id="776"/>
      <w:bookmarkEnd w:id="777"/>
      <w:bookmarkEnd w:id="778"/>
    </w:p>
    <w:p>
      <w:pPr>
        <w:pStyle w:val="Footnoteheading"/>
        <w:keepNext/>
        <w:keepLines/>
        <w:rPr>
          <w:snapToGrid w:val="0"/>
        </w:rPr>
      </w:pPr>
      <w:r>
        <w:rPr>
          <w:snapToGrid w:val="0"/>
        </w:rPr>
        <w:tab/>
        <w:t>[Heading inserted by No. 40 of 1987 s. 64.]</w:t>
      </w:r>
    </w:p>
    <w:p>
      <w:pPr>
        <w:pStyle w:val="Heading5"/>
        <w:rPr>
          <w:snapToGrid w:val="0"/>
        </w:rPr>
      </w:pPr>
      <w:bookmarkStart w:id="779" w:name="_Toc402969434"/>
      <w:bookmarkStart w:id="780" w:name="_Toc436058619"/>
      <w:bookmarkStart w:id="781" w:name="_Toc416703250"/>
      <w:r>
        <w:rPr>
          <w:rStyle w:val="CharSectno"/>
        </w:rPr>
        <w:t>136A</w:t>
      </w:r>
      <w:r>
        <w:rPr>
          <w:snapToGrid w:val="0"/>
        </w:rPr>
        <w:t>.</w:t>
      </w:r>
      <w:r>
        <w:rPr>
          <w:snapToGrid w:val="0"/>
        </w:rPr>
        <w:tab/>
        <w:t>Application of Division</w:t>
      </w:r>
      <w:bookmarkEnd w:id="779"/>
      <w:bookmarkEnd w:id="780"/>
      <w:bookmarkEnd w:id="781"/>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[Section 136A inserted by No. 40 of 1987 s. 64; amended by No. 79 of 1987 s. 57.]</w:t>
      </w:r>
    </w:p>
    <w:p>
      <w:pPr>
        <w:pStyle w:val="Heading5"/>
        <w:rPr>
          <w:snapToGrid w:val="0"/>
        </w:rPr>
      </w:pPr>
      <w:bookmarkStart w:id="782" w:name="_Toc402969435"/>
      <w:bookmarkStart w:id="783" w:name="_Toc436058620"/>
      <w:bookmarkStart w:id="784" w:name="_Toc416703251"/>
      <w:r>
        <w:rPr>
          <w:rStyle w:val="CharSectno"/>
        </w:rPr>
        <w:t>137</w:t>
      </w:r>
      <w:r>
        <w:rPr>
          <w:snapToGrid w:val="0"/>
        </w:rPr>
        <w:t>.</w:t>
      </w:r>
      <w:r>
        <w:rPr>
          <w:snapToGrid w:val="0"/>
        </w:rPr>
        <w:tab/>
        <w:t>Scrutineers, appointment of</w:t>
      </w:r>
      <w:bookmarkEnd w:id="782"/>
      <w:bookmarkEnd w:id="783"/>
      <w:bookmarkEnd w:id="784"/>
    </w:p>
    <w:p>
      <w:pPr>
        <w:pStyle w:val="Subsection"/>
        <w:rPr>
          <w:snapToGrid w:val="0"/>
        </w:rPr>
      </w:pPr>
      <w:r>
        <w:rPr>
          <w:snapToGrid w:val="0"/>
        </w:rPr>
        <w:tab/>
        <w:t>(1)</w:t>
      </w:r>
      <w:r>
        <w:rPr>
          <w:snapToGrid w:val="0"/>
        </w:rPr>
        <w:tab/>
        <w:t xml:space="preserve">Each candidate may appoint </w:t>
      </w:r>
      <w:r>
        <w:t>scrutineers</w:t>
      </w:r>
      <w:r>
        <w:rPr>
          <w:snapToGrid w:val="0"/>
        </w:rPr>
        <w:t xml:space="preserve"> to represent him at the scrutiny and count of votes at each place where such scrutiny and count are conducted.</w:t>
      </w:r>
    </w:p>
    <w:p>
      <w:pPr>
        <w:pStyle w:val="Subsection"/>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pPr>
      <w:r>
        <w:tab/>
        <w:t>(3)</w:t>
      </w:r>
      <w:r>
        <w:tab/>
        <w:t>For each place where the scrutiny and count of votes are conducted, each candidate may appoint not more than —</w:t>
      </w:r>
    </w:p>
    <w:p>
      <w:pPr>
        <w:pStyle w:val="Indenta"/>
      </w:pPr>
      <w:r>
        <w:tab/>
        <w:t>(a)</w:t>
      </w:r>
      <w:r>
        <w:tab/>
        <w:t>2 scrutineers; or</w:t>
      </w:r>
    </w:p>
    <w:p>
      <w:pPr>
        <w:pStyle w:val="Indenta"/>
      </w:pPr>
      <w:r>
        <w:tab/>
        <w:t>(b)</w:t>
      </w:r>
      <w:r>
        <w:tab/>
        <w:t>if counting of votes takes place simultaneously at 2 or more locations in that place, one scrutineer for each of those locations,</w:t>
      </w:r>
    </w:p>
    <w:p>
      <w:pPr>
        <w:pStyle w:val="Subsection"/>
      </w:pPr>
      <w:r>
        <w:tab/>
      </w:r>
      <w:r>
        <w:tab/>
        <w:t>unless the returning officer, or assistant returning officer, as the case may be, allows a greater number.</w:t>
      </w:r>
    </w:p>
    <w:p>
      <w:pPr>
        <w:pStyle w:val="Footnotesection"/>
      </w:pPr>
      <w:r>
        <w:tab/>
        <w:t>[Section 137 amended by No. 40 of 1987 s. 84; No. 64 of 2006 s. 36.]</w:t>
      </w:r>
    </w:p>
    <w:p>
      <w:pPr>
        <w:pStyle w:val="Heading5"/>
        <w:rPr>
          <w:snapToGrid w:val="0"/>
        </w:rPr>
      </w:pPr>
      <w:bookmarkStart w:id="785" w:name="_Toc402969436"/>
      <w:bookmarkStart w:id="786" w:name="_Toc436058621"/>
      <w:bookmarkStart w:id="787" w:name="_Toc416703252"/>
      <w:r>
        <w:rPr>
          <w:rStyle w:val="CharSectno"/>
        </w:rPr>
        <w:t>138</w:t>
      </w:r>
      <w:r>
        <w:rPr>
          <w:snapToGrid w:val="0"/>
        </w:rPr>
        <w:t>.</w:t>
      </w:r>
      <w:r>
        <w:rPr>
          <w:snapToGrid w:val="0"/>
        </w:rPr>
        <w:tab/>
        <w:t>Scrutineers, submissions by etc.</w:t>
      </w:r>
      <w:bookmarkEnd w:id="785"/>
      <w:bookmarkEnd w:id="786"/>
      <w:bookmarkEnd w:id="787"/>
    </w:p>
    <w:p>
      <w:pPr>
        <w:pStyle w:val="Subsection"/>
        <w:spacing w:before="180"/>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spacing w:before="180"/>
        <w:rPr>
          <w:snapToGrid w:val="0"/>
        </w:rPr>
      </w:pPr>
      <w:r>
        <w:rPr>
          <w:snapToGrid w:val="0"/>
        </w:rPr>
        <w:tab/>
        <w:t>(2)</w:t>
      </w:r>
      <w:r>
        <w:rPr>
          <w:snapToGrid w:val="0"/>
        </w:rPr>
        <w:tab/>
        <w:t>Where an officer makes an endorsement referred to in subsection (1) the officer shall initial the endorsement.</w:t>
      </w:r>
    </w:p>
    <w:p>
      <w:pPr>
        <w:pStyle w:val="Subsection"/>
        <w:spacing w:before="180"/>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spacing w:before="180"/>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[Section 138 inserted by No. 79 of 1987 s. 58.]</w:t>
      </w:r>
    </w:p>
    <w:p>
      <w:pPr>
        <w:pStyle w:val="Heading5"/>
        <w:spacing w:before="260"/>
        <w:rPr>
          <w:snapToGrid w:val="0"/>
        </w:rPr>
      </w:pPr>
      <w:bookmarkStart w:id="788" w:name="_Toc402969437"/>
      <w:bookmarkStart w:id="789" w:name="_Toc436058622"/>
      <w:bookmarkStart w:id="790" w:name="_Toc416703253"/>
      <w:r>
        <w:rPr>
          <w:rStyle w:val="CharSectno"/>
        </w:rPr>
        <w:t>139</w:t>
      </w:r>
      <w:r>
        <w:rPr>
          <w:snapToGrid w:val="0"/>
        </w:rPr>
        <w:t>.</w:t>
      </w:r>
      <w:r>
        <w:rPr>
          <w:snapToGrid w:val="0"/>
        </w:rPr>
        <w:tab/>
        <w:t>Informal ballot papers defined</w:t>
      </w:r>
      <w:bookmarkEnd w:id="788"/>
      <w:bookmarkEnd w:id="789"/>
      <w:bookmarkEnd w:id="790"/>
    </w:p>
    <w:p>
      <w:pPr>
        <w:pStyle w:val="Subsection"/>
        <w:rPr>
          <w:snapToGrid w:val="0"/>
        </w:rPr>
      </w:pPr>
      <w:r>
        <w:rPr>
          <w:snapToGrid w:val="0"/>
        </w:rPr>
        <w:tab/>
      </w:r>
      <w:r>
        <w:rPr>
          <w:snapToGrid w:val="0"/>
        </w:rPr>
        <w:tab/>
        <w:t>A ballot paper shall be informal —</w:t>
      </w:r>
    </w:p>
    <w:p>
      <w:pPr>
        <w:pStyle w:val="Indenta"/>
        <w:spacing w:before="100"/>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10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10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[Section 139 amended by No. 44 of 1911 s. 34; No. 53 of 1957 s. 12; No. 59 of 1959 s. 12; No. 68 of 1964 s. 26; No. 40 of 1987 s. 65; No. 79 of 1987 s. 59; No. 43 of 1996 s. 16; No. 36 of 2000 s. 48(2).]</w:t>
      </w:r>
    </w:p>
    <w:p>
      <w:pPr>
        <w:pStyle w:val="Heading5"/>
        <w:spacing w:before="260"/>
        <w:rPr>
          <w:snapToGrid w:val="0"/>
        </w:rPr>
      </w:pPr>
      <w:bookmarkStart w:id="791" w:name="_Toc402969438"/>
      <w:bookmarkStart w:id="792" w:name="_Toc436058623"/>
      <w:bookmarkStart w:id="793" w:name="_Toc416703254"/>
      <w:r>
        <w:rPr>
          <w:rStyle w:val="CharSectno"/>
        </w:rPr>
        <w:t>140</w:t>
      </w:r>
      <w:r>
        <w:rPr>
          <w:snapToGrid w:val="0"/>
        </w:rPr>
        <w:t>.</w:t>
      </w:r>
      <w:r>
        <w:rPr>
          <w:snapToGrid w:val="0"/>
        </w:rPr>
        <w:tab/>
        <w:t>Elector’s intention to be given effect</w:t>
      </w:r>
      <w:bookmarkEnd w:id="791"/>
      <w:bookmarkEnd w:id="792"/>
      <w:bookmarkEnd w:id="793"/>
    </w:p>
    <w:p>
      <w:pPr>
        <w:pStyle w:val="Subsection"/>
        <w:rPr>
          <w:snapToGrid w:val="0"/>
        </w:rPr>
      </w:pPr>
      <w:r>
        <w:rPr>
          <w:snapToGrid w:val="0"/>
        </w:rPr>
        <w:tab/>
        <w:t>(1)</w:t>
      </w:r>
      <w:r>
        <w:rPr>
          <w:snapToGrid w:val="0"/>
        </w:rPr>
        <w:tab/>
        <w:t>A ballot paper shall not be informal for any reason other than the reasons enumerated in section 139.</w:t>
      </w:r>
    </w:p>
    <w:p>
      <w:pPr>
        <w:pStyle w:val="Subsection"/>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w:t>
      </w:r>
    </w:p>
    <w:p>
      <w:pPr>
        <w:pStyle w:val="Indenta"/>
        <w:spacing w:before="100"/>
        <w:rPr>
          <w:snapToGrid w:val="0"/>
        </w:rPr>
      </w:pPr>
      <w:r>
        <w:rPr>
          <w:snapToGrid w:val="0"/>
        </w:rPr>
        <w:tab/>
        <w:t>(a)</w:t>
      </w:r>
      <w:r>
        <w:rPr>
          <w:snapToGrid w:val="0"/>
        </w:rPr>
        <w:tab/>
        <w:t>shall not be informal; and</w:t>
      </w:r>
    </w:p>
    <w:p>
      <w:pPr>
        <w:pStyle w:val="Indenta"/>
        <w:spacing w:before="100"/>
        <w:rPr>
          <w:snapToGrid w:val="0"/>
        </w:rPr>
      </w:pPr>
      <w:r>
        <w:rPr>
          <w:snapToGrid w:val="0"/>
        </w:rPr>
        <w:tab/>
        <w:t>(b)</w:t>
      </w:r>
      <w:r>
        <w:rPr>
          <w:snapToGrid w:val="0"/>
        </w:rPr>
        <w:tab/>
        <w:t>shall be given effect to according to the elector’s intention.</w:t>
      </w:r>
    </w:p>
    <w:p>
      <w:pPr>
        <w:pStyle w:val="Subsection"/>
        <w:keepNext/>
        <w:rPr>
          <w:snapToGrid w:val="0"/>
        </w:rPr>
      </w:pPr>
      <w:r>
        <w:rPr>
          <w:snapToGrid w:val="0"/>
        </w:rPr>
        <w:tab/>
        <w:t>(3)</w:t>
      </w:r>
      <w:r>
        <w:rPr>
          <w:snapToGrid w:val="0"/>
        </w:rPr>
        <w:tab/>
        <w:t xml:space="preserve">In subsection (2) </w:t>
      </w:r>
      <w:r>
        <w:rPr>
          <w:rStyle w:val="CharDefText"/>
        </w:rPr>
        <w:t>prescribed manner</w:t>
      </w:r>
      <w:r>
        <w:rPr>
          <w:snapToGrid w:val="0"/>
        </w:rPr>
        <w:t xml:space="preserve"> means —</w:t>
      </w:r>
    </w:p>
    <w:p>
      <w:pPr>
        <w:pStyle w:val="Indenta"/>
        <w:spacing w:before="100"/>
        <w:rPr>
          <w:snapToGrid w:val="0"/>
        </w:rPr>
      </w:pPr>
      <w:r>
        <w:rPr>
          <w:snapToGrid w:val="0"/>
        </w:rPr>
        <w:tab/>
        <w:t>(a)</w:t>
      </w:r>
      <w:r>
        <w:rPr>
          <w:snapToGrid w:val="0"/>
        </w:rPr>
        <w:tab/>
        <w:t>where there are only 2 candidates on the ballot paper, the manner required by section 128(1);</w:t>
      </w:r>
    </w:p>
    <w:p>
      <w:pPr>
        <w:pStyle w:val="Indenta"/>
        <w:spacing w:before="100"/>
        <w:rPr>
          <w:snapToGrid w:val="0"/>
        </w:rPr>
      </w:pPr>
      <w:r>
        <w:rPr>
          <w:snapToGrid w:val="0"/>
        </w:rPr>
        <w:tab/>
        <w:t>(b)</w:t>
      </w:r>
      <w:r>
        <w:rPr>
          <w:snapToGrid w:val="0"/>
        </w:rPr>
        <w:tab/>
        <w:t>where there are more than 2 candidates on the ballot paper, the manner required by section 128(3).</w:t>
      </w:r>
    </w:p>
    <w:p>
      <w:pPr>
        <w:pStyle w:val="Footnotesection"/>
      </w:pPr>
      <w:r>
        <w:tab/>
        <w:t>[Section 140 inserted by No. 40 of 1987 s. 66; amended by No. 79 of 1987 s. 60; No. 20 of 1988 s. 7; No. 43 of 1996 s. 17.]</w:t>
      </w:r>
    </w:p>
    <w:p>
      <w:pPr>
        <w:pStyle w:val="Heading5"/>
        <w:rPr>
          <w:snapToGrid w:val="0"/>
        </w:rPr>
      </w:pPr>
      <w:bookmarkStart w:id="794" w:name="_Toc402969439"/>
      <w:bookmarkStart w:id="795" w:name="_Toc436058624"/>
      <w:bookmarkStart w:id="796" w:name="_Toc416703255"/>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794"/>
      <w:bookmarkEnd w:id="795"/>
      <w:bookmarkEnd w:id="796"/>
    </w:p>
    <w:p>
      <w:pPr>
        <w:pStyle w:val="Subsection"/>
        <w:rPr>
          <w:snapToGrid w:val="0"/>
        </w:rPr>
      </w:pPr>
      <w:r>
        <w:rPr>
          <w:snapToGrid w:val="0"/>
        </w:rPr>
        <w:tab/>
        <w:t>(1)</w:t>
      </w:r>
      <w:r>
        <w:rPr>
          <w:snapToGrid w:val="0"/>
        </w:rPr>
        <w:tab/>
        <w:t>Where a ballot paper in an election in which there are more than 2 candidates —</w:t>
      </w:r>
    </w:p>
    <w:p>
      <w:pPr>
        <w:pStyle w:val="Indenta"/>
        <w:rPr>
          <w:snapToGrid w:val="0"/>
        </w:rPr>
      </w:pPr>
      <w:r>
        <w:rPr>
          <w:snapToGrid w:val="0"/>
        </w:rPr>
        <w:tab/>
        <w:t>(a)</w:t>
      </w:r>
      <w:r>
        <w:rPr>
          <w:snapToGrid w:val="0"/>
        </w:rPr>
        <w:tab/>
        <w:t>has the numeral “1” in the square opposite the name of a candidate; and</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w:t>
      </w:r>
    </w:p>
    <w:p>
      <w:pPr>
        <w:pStyle w:val="Indenta"/>
        <w:rPr>
          <w:snapToGrid w:val="0"/>
        </w:rPr>
      </w:pPr>
      <w:r>
        <w:rPr>
          <w:snapToGrid w:val="0"/>
        </w:rPr>
        <w:tab/>
        <w:t>(d)</w:t>
      </w:r>
      <w:r>
        <w:rPr>
          <w:snapToGrid w:val="0"/>
        </w:rPr>
        <w:tab/>
        <w:t>the ballot paper shall not be informal under section 139(d); and</w:t>
      </w:r>
    </w:p>
    <w:p>
      <w:pPr>
        <w:pStyle w:val="Indenta"/>
        <w:rPr>
          <w:snapToGrid w:val="0"/>
        </w:rPr>
      </w:pPr>
      <w:r>
        <w:rPr>
          <w:snapToGrid w:val="0"/>
        </w:rPr>
        <w:tab/>
        <w:t>(e)</w:t>
      </w:r>
      <w:r>
        <w:rPr>
          <w:snapToGrid w:val="0"/>
        </w:rPr>
        <w:tab/>
        <w:t>the numeral “1” shall be taken to express the elector’s first preference; and</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spacing w:before="100"/>
        <w:ind w:left="890" w:hanging="890"/>
      </w:pPr>
      <w:r>
        <w:tab/>
        <w:t>[Section 140A inserted by No. 43 of 1996 s. 18.]</w:t>
      </w:r>
    </w:p>
    <w:p>
      <w:pPr>
        <w:pStyle w:val="Ednotesection"/>
      </w:pPr>
      <w:r>
        <w:t>[</w:t>
      </w:r>
      <w:r>
        <w:rPr>
          <w:b/>
        </w:rPr>
        <w:t>140B.</w:t>
      </w:r>
      <w:r>
        <w:tab/>
        <w:t>Deleted by No. 20 of 1988 s. 8.]</w:t>
      </w:r>
    </w:p>
    <w:p>
      <w:pPr>
        <w:pStyle w:val="Heading5"/>
        <w:rPr>
          <w:snapToGrid w:val="0"/>
        </w:rPr>
      </w:pPr>
      <w:bookmarkStart w:id="797" w:name="_Toc402969440"/>
      <w:bookmarkStart w:id="798" w:name="_Toc436058625"/>
      <w:bookmarkStart w:id="799" w:name="_Toc416703256"/>
      <w:r>
        <w:rPr>
          <w:rStyle w:val="CharSectno"/>
        </w:rPr>
        <w:t>141</w:t>
      </w:r>
      <w:r>
        <w:rPr>
          <w:snapToGrid w:val="0"/>
        </w:rPr>
        <w:t>.</w:t>
      </w:r>
      <w:r>
        <w:rPr>
          <w:snapToGrid w:val="0"/>
        </w:rPr>
        <w:tab/>
        <w:t>Counting places and assistant returning officers</w:t>
      </w:r>
      <w:bookmarkEnd w:id="797"/>
      <w:bookmarkEnd w:id="798"/>
      <w:bookmarkEnd w:id="799"/>
    </w:p>
    <w:p>
      <w:pPr>
        <w:pStyle w:val="Subsection"/>
        <w:spacing w:before="120"/>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spacing w:before="100"/>
        <w:ind w:left="890" w:hanging="890"/>
      </w:pPr>
      <w:r>
        <w:tab/>
        <w:t>[Section 141 inserted by No. 79 of 1987 s. 62; amended by No. 64 of 2006 s. 53.]</w:t>
      </w:r>
    </w:p>
    <w:p>
      <w:pPr>
        <w:pStyle w:val="Heading5"/>
        <w:rPr>
          <w:snapToGrid w:val="0"/>
        </w:rPr>
      </w:pPr>
      <w:bookmarkStart w:id="800" w:name="_Toc402969441"/>
      <w:bookmarkStart w:id="801" w:name="_Toc436058626"/>
      <w:bookmarkStart w:id="802" w:name="_Toc416703257"/>
      <w:r>
        <w:rPr>
          <w:rStyle w:val="CharSectno"/>
        </w:rPr>
        <w:t>142</w:t>
      </w:r>
      <w:r>
        <w:rPr>
          <w:snapToGrid w:val="0"/>
        </w:rPr>
        <w:t>.</w:t>
      </w:r>
      <w:r>
        <w:rPr>
          <w:snapToGrid w:val="0"/>
        </w:rPr>
        <w:tab/>
      </w:r>
      <w:r>
        <w:rPr>
          <w:snapToGrid w:val="0"/>
          <w:spacing w:val="-2"/>
        </w:rPr>
        <w:t>Count of votes by assistant returning officers, procedure for</w:t>
      </w:r>
      <w:bookmarkEnd w:id="800"/>
      <w:bookmarkEnd w:id="801"/>
      <w:bookmarkEnd w:id="802"/>
    </w:p>
    <w:p>
      <w:pPr>
        <w:pStyle w:val="Subsection"/>
        <w:spacing w:before="140"/>
        <w:rPr>
          <w:snapToGrid w:val="0"/>
        </w:rPr>
      </w:pPr>
      <w:r>
        <w:rPr>
          <w:snapToGrid w:val="0"/>
        </w:rPr>
        <w:tab/>
      </w:r>
      <w:r>
        <w:rPr>
          <w:snapToGrid w:val="0"/>
        </w:rPr>
        <w:tab/>
        <w:t>The procedure at the count of votes by the assistant returning officers shall be as follows:</w:t>
      </w:r>
    </w:p>
    <w:p>
      <w:pPr>
        <w:pStyle w:val="Indenta"/>
        <w:spacing w:before="60"/>
        <w:rPr>
          <w:snapToGrid w:val="0"/>
        </w:rPr>
      </w:pPr>
      <w:r>
        <w:rPr>
          <w:snapToGrid w:val="0"/>
        </w:rPr>
        <w:tab/>
        <w:t>(1)</w:t>
      </w:r>
      <w:r>
        <w:rPr>
          <w:snapToGrid w:val="0"/>
        </w:rPr>
        <w:tab/>
        <w:t>Each assistant returning officer shall open all ballot boxes received at his counting place.</w:t>
      </w:r>
    </w:p>
    <w:p>
      <w:pPr>
        <w:pStyle w:val="Indenta"/>
        <w:spacing w:before="60"/>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w:t>
      </w:r>
    </w:p>
    <w:p>
      <w:pPr>
        <w:pStyle w:val="Indenti"/>
        <w:spacing w:before="60"/>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deleted]</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20"/>
        <w:rPr>
          <w:snapToGrid w:val="0"/>
        </w:rPr>
      </w:pPr>
      <w:r>
        <w:rPr>
          <w:snapToGrid w:val="0"/>
        </w:rPr>
        <w:tab/>
        <w:t>(6)</w:t>
      </w:r>
      <w:r>
        <w:rPr>
          <w:snapToGrid w:val="0"/>
        </w:rPr>
        <w:tab/>
        <w:t>Each assistant returning officer shall —</w:t>
      </w:r>
    </w:p>
    <w:p>
      <w:pPr>
        <w:pStyle w:val="Indenti"/>
        <w:spacing w:before="100"/>
        <w:rPr>
          <w:snapToGrid w:val="0"/>
        </w:rPr>
      </w:pPr>
      <w:r>
        <w:rPr>
          <w:snapToGrid w:val="0"/>
        </w:rPr>
        <w:tab/>
        <w:t>(a)</w:t>
      </w:r>
      <w:r>
        <w:rPr>
          <w:snapToGrid w:val="0"/>
        </w:rPr>
        <w:tab/>
        <w:t>enclose —</w:t>
      </w:r>
    </w:p>
    <w:p>
      <w:pPr>
        <w:pStyle w:val="IndentI0"/>
        <w:spacing w:before="100"/>
        <w:rPr>
          <w:snapToGrid w:val="0"/>
        </w:rPr>
      </w:pPr>
      <w:r>
        <w:rPr>
          <w:snapToGrid w:val="0"/>
        </w:rPr>
        <w:tab/>
        <w:t>(i)</w:t>
      </w:r>
      <w:r>
        <w:rPr>
          <w:snapToGrid w:val="0"/>
        </w:rPr>
        <w:tab/>
        <w:t>in one packet, all the used ballot papers in his possession; and</w:t>
      </w:r>
    </w:p>
    <w:p>
      <w:pPr>
        <w:pStyle w:val="IndentI0"/>
        <w:spacing w:before="100"/>
        <w:rPr>
          <w:snapToGrid w:val="0"/>
        </w:rPr>
      </w:pPr>
      <w:r>
        <w:rPr>
          <w:snapToGrid w:val="0"/>
        </w:rPr>
        <w:tab/>
        <w:t>(ii)</w:t>
      </w:r>
      <w:r>
        <w:rPr>
          <w:snapToGrid w:val="0"/>
        </w:rPr>
        <w:tab/>
        <w:t>in another packet, all the unused ballot papers in his possession; and</w:t>
      </w:r>
    </w:p>
    <w:p>
      <w:pPr>
        <w:pStyle w:val="IndentI0"/>
        <w:spacing w:before="10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0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[Section 142 amended by No. 44 of 1911 s. 35; No. 59 of 1919 s. 5; No. 58 of 1961 s. 17; No. 68 of 1964 s. 28; No. 40 of 1987 s. 68 and 84; No. 79 of 1987 s. 78; No. 36 of 2000 s. 68.]</w:t>
      </w:r>
    </w:p>
    <w:p>
      <w:pPr>
        <w:pStyle w:val="Heading5"/>
        <w:rPr>
          <w:snapToGrid w:val="0"/>
        </w:rPr>
      </w:pPr>
      <w:bookmarkStart w:id="803" w:name="_Toc402969442"/>
      <w:bookmarkStart w:id="804" w:name="_Toc436058627"/>
      <w:bookmarkStart w:id="805" w:name="_Toc416703258"/>
      <w:r>
        <w:rPr>
          <w:rStyle w:val="CharSectno"/>
        </w:rPr>
        <w:t>142A</w:t>
      </w:r>
      <w:r>
        <w:rPr>
          <w:snapToGrid w:val="0"/>
        </w:rPr>
        <w:t>.</w:t>
      </w:r>
      <w:r>
        <w:rPr>
          <w:snapToGrid w:val="0"/>
        </w:rPr>
        <w:tab/>
        <w:t>Early, absent and provisional votes, appointment of assistant returning officers for count of</w:t>
      </w:r>
      <w:bookmarkEnd w:id="803"/>
      <w:bookmarkEnd w:id="804"/>
      <w:bookmarkEnd w:id="805"/>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ind w:left="890" w:hanging="890"/>
      </w:pPr>
      <w:r>
        <w:tab/>
        <w:t>[Section 142A inserted by No. 63 of 1948 s. 21; amended by No. 58 of 1951 s. 18; No. 57 of 1952 s. 11; No. 40 of 1987 s. 69 and 84; No. 79 of 1987 s. 63; No. 36 of 2000 s. 48(1), 52 and 68.]</w:t>
      </w:r>
    </w:p>
    <w:p>
      <w:pPr>
        <w:pStyle w:val="Heading5"/>
        <w:rPr>
          <w:snapToGrid w:val="0"/>
        </w:rPr>
      </w:pPr>
      <w:bookmarkStart w:id="806" w:name="_Toc402969443"/>
      <w:bookmarkStart w:id="807" w:name="_Toc436058628"/>
      <w:bookmarkStart w:id="808" w:name="_Toc416703259"/>
      <w:r>
        <w:rPr>
          <w:rStyle w:val="CharSectno"/>
        </w:rPr>
        <w:t>143</w:t>
      </w:r>
      <w:r>
        <w:rPr>
          <w:snapToGrid w:val="0"/>
        </w:rPr>
        <w:t>.</w:t>
      </w:r>
      <w:r>
        <w:rPr>
          <w:snapToGrid w:val="0"/>
        </w:rPr>
        <w:tab/>
        <w:t>Returning officer to ascertain number of votes for each candidate</w:t>
      </w:r>
      <w:bookmarkEnd w:id="806"/>
      <w:bookmarkEnd w:id="807"/>
      <w:bookmarkEnd w:id="808"/>
    </w:p>
    <w:p>
      <w:pPr>
        <w:pStyle w:val="Subsection"/>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pPr>
      <w:r>
        <w:tab/>
        <w:t>[(2)</w:t>
      </w:r>
      <w:r>
        <w:tab/>
        <w:t>deleted]</w:t>
      </w:r>
    </w:p>
    <w:p>
      <w:pPr>
        <w:pStyle w:val="Footnotesection"/>
        <w:ind w:left="890" w:hanging="890"/>
      </w:pPr>
      <w:r>
        <w:tab/>
        <w:t>[Section 143 amended by No. 40 of 1987 s. 70 and 84.]</w:t>
      </w:r>
    </w:p>
    <w:p>
      <w:pPr>
        <w:pStyle w:val="Heading5"/>
        <w:rPr>
          <w:snapToGrid w:val="0"/>
        </w:rPr>
      </w:pPr>
      <w:bookmarkStart w:id="809" w:name="_Toc402969444"/>
      <w:bookmarkStart w:id="810" w:name="_Toc436058629"/>
      <w:bookmarkStart w:id="811" w:name="_Toc416703260"/>
      <w:r>
        <w:rPr>
          <w:rStyle w:val="CharSectno"/>
        </w:rPr>
        <w:t>144</w:t>
      </w:r>
      <w:r>
        <w:rPr>
          <w:snapToGrid w:val="0"/>
        </w:rPr>
        <w:t>.</w:t>
      </w:r>
      <w:r>
        <w:rPr>
          <w:snapToGrid w:val="0"/>
        </w:rPr>
        <w:tab/>
        <w:t>Count of votes by returning officer, procedure for</w:t>
      </w:r>
      <w:bookmarkEnd w:id="809"/>
      <w:bookmarkEnd w:id="810"/>
      <w:bookmarkEnd w:id="811"/>
    </w:p>
    <w:p>
      <w:pPr>
        <w:pStyle w:val="Subsection"/>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w:t>
      </w:r>
    </w:p>
    <w:p>
      <w:pPr>
        <w:pStyle w:val="Indenti"/>
        <w:rPr>
          <w:snapToGrid w:val="0"/>
        </w:rPr>
      </w:pPr>
      <w:r>
        <w:rPr>
          <w:snapToGrid w:val="0"/>
        </w:rPr>
        <w:tab/>
        <w:t>(i)</w:t>
      </w:r>
      <w:r>
        <w:rPr>
          <w:snapToGrid w:val="0"/>
        </w:rPr>
        <w:tab/>
        <w:t>open all ballot boxes not opened by assistant returning officers; and</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rPr>
          <w:snapToGrid w:val="0"/>
        </w:rPr>
      </w:pPr>
      <w:r>
        <w:rPr>
          <w:snapToGrid w:val="0"/>
        </w:rPr>
        <w:tab/>
        <w:t>(iii)</w:t>
      </w:r>
      <w:r>
        <w:rPr>
          <w:snapToGrid w:val="0"/>
        </w:rPr>
        <w:tab/>
        <w:t>make and keep a record of the number of votes counted from each ballot box.</w:t>
      </w:r>
    </w:p>
    <w:p>
      <w:pPr>
        <w:pStyle w:val="Indenta"/>
        <w:keepNext/>
        <w:rPr>
          <w:snapToGrid w:val="0"/>
        </w:rPr>
      </w:pPr>
      <w:r>
        <w:rPr>
          <w:snapToGrid w:val="0"/>
        </w:rPr>
        <w:tab/>
        <w:t>(b)</w:t>
      </w:r>
      <w:r>
        <w:rPr>
          <w:snapToGrid w:val="0"/>
        </w:rPr>
        <w:tab/>
        <w:t>The returning officer shall then —</w:t>
      </w:r>
    </w:p>
    <w:p>
      <w:pPr>
        <w:pStyle w:val="Indenti"/>
        <w:spacing w:before="6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6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6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60"/>
        <w:rPr>
          <w:snapToGrid w:val="0"/>
        </w:rPr>
      </w:pPr>
      <w:r>
        <w:rPr>
          <w:snapToGrid w:val="0"/>
        </w:rPr>
        <w:tab/>
        <w:t>(d)</w:t>
      </w:r>
      <w:r>
        <w:rPr>
          <w:snapToGrid w:val="0"/>
        </w:rPr>
        <w:tab/>
        <w:t>If the candidates have an equal number of votes section 145 applies.</w:t>
      </w:r>
    </w:p>
    <w:p>
      <w:pPr>
        <w:pStyle w:val="Subsection"/>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spacing w:before="60"/>
        <w:rPr>
          <w:snapToGrid w:val="0"/>
        </w:rPr>
      </w:pPr>
      <w:r>
        <w:rPr>
          <w:snapToGrid w:val="0"/>
        </w:rPr>
        <w:tab/>
        <w:t>(a)</w:t>
      </w:r>
      <w:r>
        <w:rPr>
          <w:snapToGrid w:val="0"/>
        </w:rPr>
        <w:tab/>
        <w:t>The returning officer shall —</w:t>
      </w:r>
    </w:p>
    <w:p>
      <w:pPr>
        <w:pStyle w:val="Indenti"/>
        <w:spacing w:before="60"/>
        <w:rPr>
          <w:snapToGrid w:val="0"/>
        </w:rPr>
      </w:pPr>
      <w:r>
        <w:rPr>
          <w:snapToGrid w:val="0"/>
        </w:rPr>
        <w:tab/>
        <w:t>(i)</w:t>
      </w:r>
      <w:r>
        <w:rPr>
          <w:snapToGrid w:val="0"/>
        </w:rPr>
        <w:tab/>
        <w:t>open all ballot boxes not opened by assistant returning officers; and</w:t>
      </w:r>
    </w:p>
    <w:p>
      <w:pPr>
        <w:pStyle w:val="Indenti"/>
        <w:spacing w:before="6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60"/>
        <w:rPr>
          <w:snapToGrid w:val="0"/>
        </w:rPr>
      </w:pPr>
      <w:r>
        <w:rPr>
          <w:snapToGrid w:val="0"/>
        </w:rPr>
        <w:tab/>
        <w:t>(iii)</w:t>
      </w:r>
      <w:r>
        <w:rPr>
          <w:snapToGrid w:val="0"/>
        </w:rPr>
        <w:tab/>
        <w:t>count all the first preference votes given for each candidate respectively; and</w:t>
      </w:r>
    </w:p>
    <w:p>
      <w:pPr>
        <w:pStyle w:val="Indenti"/>
        <w:spacing w:before="60"/>
        <w:rPr>
          <w:snapToGrid w:val="0"/>
        </w:rPr>
      </w:pPr>
      <w:r>
        <w:rPr>
          <w:snapToGrid w:val="0"/>
        </w:rPr>
        <w:tab/>
        <w:t>(iv)</w:t>
      </w:r>
      <w:r>
        <w:rPr>
          <w:snapToGrid w:val="0"/>
        </w:rPr>
        <w:tab/>
        <w:t>make and keep a record of the number of votes counted by him from each ballot box.</w:t>
      </w:r>
    </w:p>
    <w:p>
      <w:pPr>
        <w:pStyle w:val="Indenta"/>
        <w:keepNext/>
        <w:rPr>
          <w:snapToGrid w:val="0"/>
        </w:rPr>
      </w:pPr>
      <w:r>
        <w:rPr>
          <w:snapToGrid w:val="0"/>
        </w:rPr>
        <w:tab/>
        <w:t>(b)</w:t>
      </w:r>
      <w:r>
        <w:rPr>
          <w:snapToGrid w:val="0"/>
        </w:rPr>
        <w:tab/>
        <w:t>The returning officer shall then —</w:t>
      </w:r>
    </w:p>
    <w:p>
      <w:pPr>
        <w:pStyle w:val="Indenti"/>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rPr>
          <w:snapToGrid w:val="0"/>
        </w:rPr>
      </w:pPr>
      <w:r>
        <w:rPr>
          <w:snapToGrid w:val="0"/>
        </w:rPr>
        <w:tab/>
        <w:t>(d)</w:t>
      </w:r>
      <w:r>
        <w:rPr>
          <w:snapToGrid w:val="0"/>
        </w:rPr>
        <w:tab/>
        <w:t>If no candidate has an absolute majority of votes the returning officer —</w:t>
      </w:r>
    </w:p>
    <w:p>
      <w:pPr>
        <w:pStyle w:val="Indenti"/>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keepLines/>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rStyle w:val="CharDefText"/>
        </w:rPr>
        <w:t>tied candidates</w:t>
      </w:r>
      <w:r>
        <w:rPr>
          <w:snapToGrid w:val="0"/>
        </w:rPr>
        <w:t>) have an equal number of votes (each other candidate having a larger number of votes)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spacing w:before="180"/>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spacing w:before="180"/>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spacing w:before="180"/>
        <w:rPr>
          <w:snapToGrid w:val="0"/>
        </w:rPr>
      </w:pPr>
      <w:r>
        <w:rPr>
          <w:snapToGrid w:val="0"/>
        </w:rPr>
        <w:tab/>
        <w:t>(3)</w:t>
      </w:r>
      <w:r>
        <w:rPr>
          <w:snapToGrid w:val="0"/>
        </w:rPr>
        <w:tab/>
        <w:t>In this section </w:t>
      </w:r>
      <w:r>
        <w:rPr>
          <w:rStyle w:val="CharDefText"/>
        </w:rPr>
        <w:t>absolute majority of votes</w:t>
      </w:r>
      <w:r>
        <w:rPr>
          <w:snapToGrid w:val="0"/>
        </w:rPr>
        <w:t xml:space="preserve"> means a greater number than one</w:t>
      </w:r>
      <w:r>
        <w:rPr>
          <w:snapToGrid w:val="0"/>
        </w:rPr>
        <w:noBreakHyphen/>
        <w:t>half of the whole number of ballot papers other than informal ballot papers.</w:t>
      </w:r>
    </w:p>
    <w:p>
      <w:pPr>
        <w:pStyle w:val="Subsection"/>
        <w:spacing w:before="180"/>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spacing w:before="180"/>
        <w:rPr>
          <w:snapToGrid w:val="0"/>
        </w:rPr>
      </w:pPr>
      <w:r>
        <w:rPr>
          <w:snapToGrid w:val="0"/>
        </w:rPr>
        <w:tab/>
        <w:t>(4)</w:t>
      </w:r>
      <w:r>
        <w:rPr>
          <w:snapToGrid w:val="0"/>
        </w:rPr>
        <w:tab/>
        <w:t>Where the returning officer is satisfied that the votes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spacing w:before="120"/>
        <w:rPr>
          <w:snapToGrid w:val="0"/>
        </w:rPr>
      </w:pPr>
      <w:r>
        <w:rPr>
          <w:snapToGrid w:val="0"/>
        </w:rPr>
        <w:tab/>
      </w:r>
      <w:r>
        <w:rPr>
          <w:snapToGrid w:val="0"/>
        </w:rPr>
        <w:tab/>
        <w:t>cannot, having regard to the number of those ballot papers, possibly affect the result of the election, he may subject to the concurrence of the Electoral Commissioner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spacing w:before="60"/>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120"/>
        <w:rPr>
          <w:snapToGrid w:val="0"/>
        </w:rPr>
      </w:pPr>
      <w:r>
        <w:rPr>
          <w:snapToGrid w:val="0"/>
        </w:rPr>
        <w:tab/>
      </w:r>
      <w:r>
        <w:rPr>
          <w:snapToGrid w:val="0"/>
        </w:rPr>
        <w:tab/>
        <w:t>without awaiting the receipt of the ballot papers which have not been received by him.</w:t>
      </w:r>
    </w:p>
    <w:p>
      <w:pPr>
        <w:pStyle w:val="Footnotesection"/>
      </w:pPr>
      <w:r>
        <w:tab/>
        <w:t>[Section 144 amended by No. 59 of 1919 s. 5; No. 63 of 1948 s. 22; No. 57 of 1952 s. 12; No. 40 of 1987 s. 71 and 84; No. 79 of 1987 s. 64; No. 43 of 1996 s. 19; No. 36 of 2000 s. 48(8) and (9), 53, 69 and 82.]</w:t>
      </w:r>
    </w:p>
    <w:p>
      <w:pPr>
        <w:pStyle w:val="Heading5"/>
        <w:rPr>
          <w:snapToGrid w:val="0"/>
        </w:rPr>
      </w:pPr>
      <w:bookmarkStart w:id="812" w:name="_Toc402969445"/>
      <w:bookmarkStart w:id="813" w:name="_Toc436058630"/>
      <w:bookmarkStart w:id="814" w:name="_Toc416703261"/>
      <w:r>
        <w:rPr>
          <w:rStyle w:val="CharSectno"/>
        </w:rPr>
        <w:t>145</w:t>
      </w:r>
      <w:r>
        <w:rPr>
          <w:snapToGrid w:val="0"/>
        </w:rPr>
        <w:t>.</w:t>
      </w:r>
      <w:r>
        <w:rPr>
          <w:snapToGrid w:val="0"/>
        </w:rPr>
        <w:tab/>
        <w:t>Equal votes, procedure in case of etc.</w:t>
      </w:r>
      <w:bookmarkEnd w:id="812"/>
      <w:bookmarkEnd w:id="813"/>
      <w:bookmarkEnd w:id="814"/>
    </w:p>
    <w:p>
      <w:pPr>
        <w:pStyle w:val="Subsection"/>
        <w:spacing w:before="150"/>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 xml:space="preserve">count the votes on the </w:t>
      </w:r>
      <w:r>
        <w:rPr>
          <w:snapToGrid w:val="0"/>
          <w:spacing w:val="-2"/>
        </w:rPr>
        <w:t>ballot papers and, where appropriate, declare one of the candidates duly elected under section 144(1)(c), (2)(ea) or (2)(f).</w:t>
      </w:r>
    </w:p>
    <w:p>
      <w:pPr>
        <w:pStyle w:val="Subsection"/>
        <w:spacing w:before="15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spacing w:before="150"/>
        <w:rPr>
          <w:snapToGrid w:val="0"/>
        </w:rPr>
      </w:pPr>
      <w:r>
        <w:rPr>
          <w:snapToGrid w:val="0"/>
        </w:rPr>
        <w:tab/>
        <w:t>(3)</w:t>
      </w:r>
      <w:r>
        <w:rPr>
          <w:snapToGrid w:val="0"/>
        </w:rPr>
        <w:tab/>
        <w:t>If after the re</w:t>
      </w:r>
      <w:r>
        <w:rPr>
          <w:snapToGrid w:val="0"/>
        </w:rPr>
        <w:noBreakHyphen/>
        <w:t xml:space="preserve">count 2 or more candidates (in this section called </w:t>
      </w:r>
      <w:r>
        <w:t xml:space="preserve">the </w:t>
      </w:r>
      <w:r>
        <w:rPr>
          <w:rStyle w:val="CharDefText"/>
        </w:rPr>
        <w:t>tied candidates</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[Section 145 inserted by No. 40 of 1987 s. 72.]</w:t>
      </w:r>
    </w:p>
    <w:p>
      <w:pPr>
        <w:pStyle w:val="Heading5"/>
        <w:rPr>
          <w:snapToGrid w:val="0"/>
        </w:rPr>
      </w:pPr>
      <w:bookmarkStart w:id="815" w:name="_Toc402969446"/>
      <w:bookmarkStart w:id="816" w:name="_Toc436058631"/>
      <w:bookmarkStart w:id="817" w:name="_Toc416703262"/>
      <w:r>
        <w:rPr>
          <w:rStyle w:val="CharSectno"/>
        </w:rPr>
        <w:t>146</w:t>
      </w:r>
      <w:r>
        <w:rPr>
          <w:snapToGrid w:val="0"/>
        </w:rPr>
        <w:t>.</w:t>
      </w:r>
      <w:r>
        <w:rPr>
          <w:snapToGrid w:val="0"/>
        </w:rPr>
        <w:tab/>
        <w:t>Re</w:t>
      </w:r>
      <w:r>
        <w:rPr>
          <w:snapToGrid w:val="0"/>
        </w:rPr>
        <w:noBreakHyphen/>
        <w:t>count, when may be conducted etc.</w:t>
      </w:r>
      <w:bookmarkEnd w:id="815"/>
      <w:bookmarkEnd w:id="816"/>
      <w:bookmarkEnd w:id="817"/>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[Section 146 amended by No. 44 of 1911 s. 36.]</w:t>
      </w:r>
    </w:p>
    <w:p>
      <w:pPr>
        <w:pStyle w:val="Heading3"/>
      </w:pPr>
      <w:bookmarkStart w:id="818" w:name="_Toc402969447"/>
      <w:bookmarkStart w:id="819" w:name="_Toc416702879"/>
      <w:bookmarkStart w:id="820" w:name="_Toc416703263"/>
      <w:bookmarkStart w:id="821" w:name="_Toc435714515"/>
      <w:bookmarkStart w:id="822" w:name="_Toc436057630"/>
      <w:bookmarkStart w:id="823" w:name="_Toc436058018"/>
      <w:bookmarkStart w:id="824" w:name="_Toc436058403"/>
      <w:bookmarkStart w:id="825" w:name="_Toc436058632"/>
      <w:r>
        <w:rPr>
          <w:rStyle w:val="CharDivNo"/>
        </w:rPr>
        <w:t>Division (4b)</w:t>
      </w:r>
      <w:r>
        <w:rPr>
          <w:snapToGrid w:val="0"/>
        </w:rPr>
        <w:t> — </w:t>
      </w:r>
      <w:r>
        <w:rPr>
          <w:rStyle w:val="CharDivText"/>
        </w:rPr>
        <w:t>Scrutiny and count (Council elections)</w:t>
      </w:r>
      <w:bookmarkEnd w:id="818"/>
      <w:bookmarkEnd w:id="819"/>
      <w:bookmarkEnd w:id="820"/>
      <w:bookmarkEnd w:id="821"/>
      <w:bookmarkEnd w:id="822"/>
      <w:bookmarkEnd w:id="823"/>
      <w:bookmarkEnd w:id="824"/>
      <w:bookmarkEnd w:id="825"/>
    </w:p>
    <w:p>
      <w:pPr>
        <w:pStyle w:val="Footnoteheading"/>
        <w:rPr>
          <w:snapToGrid w:val="0"/>
        </w:rPr>
      </w:pPr>
      <w:r>
        <w:rPr>
          <w:snapToGrid w:val="0"/>
        </w:rPr>
        <w:tab/>
        <w:t>[Heading inserted by No. 40 of 1987 s. 73.]</w:t>
      </w:r>
    </w:p>
    <w:p>
      <w:pPr>
        <w:pStyle w:val="Heading5"/>
        <w:spacing w:before="240"/>
        <w:rPr>
          <w:snapToGrid w:val="0"/>
        </w:rPr>
      </w:pPr>
      <w:bookmarkStart w:id="826" w:name="_Toc402969448"/>
      <w:bookmarkStart w:id="827" w:name="_Toc436058633"/>
      <w:bookmarkStart w:id="828" w:name="_Toc416703264"/>
      <w:r>
        <w:rPr>
          <w:rStyle w:val="CharSectno"/>
        </w:rPr>
        <w:t>146A</w:t>
      </w:r>
      <w:r>
        <w:rPr>
          <w:snapToGrid w:val="0"/>
        </w:rPr>
        <w:t>.</w:t>
      </w:r>
      <w:r>
        <w:rPr>
          <w:snapToGrid w:val="0"/>
        </w:rPr>
        <w:tab/>
        <w:t>Application and construction of Division</w:t>
      </w:r>
      <w:bookmarkEnd w:id="826"/>
      <w:bookmarkEnd w:id="827"/>
      <w:bookmarkEnd w:id="828"/>
    </w:p>
    <w:p>
      <w:pPr>
        <w:pStyle w:val="Subsection"/>
        <w:spacing w:before="18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80"/>
        <w:rPr>
          <w:snapToGrid w:val="0"/>
        </w:rPr>
      </w:pPr>
      <w:r>
        <w:rPr>
          <w:snapToGrid w:val="0"/>
        </w:rPr>
        <w:tab/>
        <w:t>(2)</w:t>
      </w:r>
      <w:r>
        <w:rPr>
          <w:snapToGrid w:val="0"/>
        </w:rPr>
        <w:tab/>
        <w:t>Where in relation to an election in a region the relevant number is one and there are only 2 candidates, a reference in this Division and Schedule 1 to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[Section 146A inserted by No. 40 of 1987 s. 73.]</w:t>
      </w:r>
    </w:p>
    <w:p>
      <w:pPr>
        <w:pStyle w:val="Heading5"/>
        <w:spacing w:before="240"/>
        <w:rPr>
          <w:snapToGrid w:val="0"/>
        </w:rPr>
      </w:pPr>
      <w:bookmarkStart w:id="829" w:name="_Toc402969449"/>
      <w:bookmarkStart w:id="830" w:name="_Toc436058634"/>
      <w:bookmarkStart w:id="831" w:name="_Toc416703265"/>
      <w:r>
        <w:rPr>
          <w:rStyle w:val="CharSectno"/>
        </w:rPr>
        <w:t>146B</w:t>
      </w:r>
      <w:r>
        <w:rPr>
          <w:snapToGrid w:val="0"/>
        </w:rPr>
        <w:t>.</w:t>
      </w:r>
      <w:r>
        <w:rPr>
          <w:snapToGrid w:val="0"/>
        </w:rPr>
        <w:tab/>
        <w:t>Assistant returning officers, counting places etc.</w:t>
      </w:r>
      <w:bookmarkEnd w:id="829"/>
      <w:bookmarkEnd w:id="830"/>
      <w:bookmarkEnd w:id="831"/>
    </w:p>
    <w:p>
      <w:pPr>
        <w:pStyle w:val="Subsection"/>
        <w:spacing w:before="18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8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ind w:left="890" w:hanging="890"/>
      </w:pPr>
      <w:r>
        <w:tab/>
        <w:t>[Section 146B inserted by No. 40 of 1987 s. 73.]</w:t>
      </w:r>
    </w:p>
    <w:p>
      <w:pPr>
        <w:pStyle w:val="Heading5"/>
        <w:rPr>
          <w:snapToGrid w:val="0"/>
        </w:rPr>
      </w:pPr>
      <w:bookmarkStart w:id="832" w:name="_Toc402969450"/>
      <w:bookmarkStart w:id="833" w:name="_Toc436058635"/>
      <w:bookmarkStart w:id="834" w:name="_Toc416703266"/>
      <w:r>
        <w:rPr>
          <w:rStyle w:val="CharSectno"/>
        </w:rPr>
        <w:t>146C</w:t>
      </w:r>
      <w:r>
        <w:rPr>
          <w:snapToGrid w:val="0"/>
        </w:rPr>
        <w:t>.</w:t>
      </w:r>
      <w:r>
        <w:rPr>
          <w:snapToGrid w:val="0"/>
        </w:rPr>
        <w:tab/>
        <w:t>Scrutineers, appointment of</w:t>
      </w:r>
      <w:bookmarkEnd w:id="832"/>
      <w:bookmarkEnd w:id="833"/>
      <w:bookmarkEnd w:id="834"/>
    </w:p>
    <w:p>
      <w:pPr>
        <w:pStyle w:val="Subsection"/>
        <w:keepNext/>
        <w:keepLines/>
        <w:rPr>
          <w:snapToGrid w:val="0"/>
        </w:rPr>
      </w:pPr>
      <w:r>
        <w:rPr>
          <w:snapToGrid w:val="0"/>
        </w:rPr>
        <w:tab/>
        <w:t>(1)</w:t>
      </w:r>
      <w:r>
        <w:rPr>
          <w:snapToGrid w:val="0"/>
        </w:rPr>
        <w:tab/>
        <w:t>Where the relevant number is more than one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any group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w:t>
      </w:r>
    </w:p>
    <w:p>
      <w:pPr>
        <w:pStyle w:val="Indenta"/>
        <w:rPr>
          <w:snapToGrid w:val="0"/>
        </w:rPr>
      </w:pPr>
      <w:r>
        <w:rPr>
          <w:snapToGrid w:val="0"/>
        </w:rPr>
        <w:tab/>
        <w:t>(a)</w:t>
      </w:r>
      <w:r>
        <w:rPr>
          <w:snapToGrid w:val="0"/>
        </w:rPr>
        <w:tab/>
        <w:t xml:space="preserve">each candidate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keepNext/>
        <w:keepLines/>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[Section 146C inserted by No. 40 of 1987 s. 73; amended by No. 64 of 2006 s. 37.]</w:t>
      </w:r>
    </w:p>
    <w:p>
      <w:pPr>
        <w:pStyle w:val="Heading5"/>
        <w:rPr>
          <w:snapToGrid w:val="0"/>
        </w:rPr>
      </w:pPr>
      <w:bookmarkStart w:id="835" w:name="_Toc402969451"/>
      <w:bookmarkStart w:id="836" w:name="_Toc436058636"/>
      <w:bookmarkStart w:id="837" w:name="_Toc416703267"/>
      <w:r>
        <w:rPr>
          <w:rStyle w:val="CharSectno"/>
        </w:rPr>
        <w:t>146D</w:t>
      </w:r>
      <w:r>
        <w:rPr>
          <w:snapToGrid w:val="0"/>
        </w:rPr>
        <w:t>.</w:t>
      </w:r>
      <w:r>
        <w:rPr>
          <w:snapToGrid w:val="0"/>
        </w:rPr>
        <w:tab/>
        <w:t>Scrutineers, submissions by etc.</w:t>
      </w:r>
      <w:bookmarkEnd w:id="835"/>
      <w:bookmarkEnd w:id="836"/>
      <w:bookmarkEnd w:id="837"/>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[Section 146D inserted by No. 79 of 1987 s. 65.]</w:t>
      </w:r>
    </w:p>
    <w:p>
      <w:pPr>
        <w:pStyle w:val="Heading5"/>
        <w:rPr>
          <w:snapToGrid w:val="0"/>
        </w:rPr>
      </w:pPr>
      <w:bookmarkStart w:id="838" w:name="_Toc402969452"/>
      <w:bookmarkStart w:id="839" w:name="_Toc436058637"/>
      <w:bookmarkStart w:id="840" w:name="_Toc416703268"/>
      <w:r>
        <w:rPr>
          <w:rStyle w:val="CharSectno"/>
        </w:rPr>
        <w:t>146E</w:t>
      </w:r>
      <w:r>
        <w:rPr>
          <w:snapToGrid w:val="0"/>
        </w:rPr>
        <w:t>.</w:t>
      </w:r>
      <w:r>
        <w:rPr>
          <w:snapToGrid w:val="0"/>
        </w:rPr>
        <w:tab/>
        <w:t>Informal and formal ballot papers etc.</w:t>
      </w:r>
      <w:bookmarkEnd w:id="838"/>
      <w:bookmarkEnd w:id="839"/>
      <w:bookmarkEnd w:id="840"/>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rStyle w:val="CharDefText"/>
        </w:rPr>
        <w:t>prescribed manner</w:t>
      </w:r>
      <w:r>
        <w:rPr>
          <w:snapToGrid w:val="0"/>
        </w:rPr>
        <w:t xml:space="preserve"> means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rPr>
          <w:snapToGrid w:val="0"/>
        </w:rPr>
      </w:pPr>
      <w:r>
        <w:rPr>
          <w:snapToGrid w:val="0"/>
        </w:rPr>
        <w:tab/>
        <w:t>(4)</w:t>
      </w:r>
      <w:r>
        <w:rPr>
          <w:snapToGrid w:val="0"/>
        </w:rPr>
        <w:tab/>
        <w:t>If a ballot paper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r>
        <w:rPr>
          <w:rStyle w:val="CharDefText"/>
        </w:rPr>
        <w:t>preference mark</w:t>
      </w:r>
      <w:r>
        <w:rPr>
          <w:snapToGrid w:val="0"/>
        </w:rPr>
        <w:t xml:space="preserve"> means the numeral “1”, a tick or a cross.</w:t>
      </w:r>
    </w:p>
    <w:p>
      <w:pPr>
        <w:pStyle w:val="Footnotesection"/>
      </w:pPr>
      <w:r>
        <w:tab/>
        <w:t>[Section 146E inserted by No. 20 of 1988 s. 9; amended by No. 43 of 1996 s. 20.]</w:t>
      </w:r>
    </w:p>
    <w:p>
      <w:pPr>
        <w:pStyle w:val="Heading5"/>
        <w:rPr>
          <w:snapToGrid w:val="0"/>
        </w:rPr>
      </w:pPr>
      <w:bookmarkStart w:id="841" w:name="_Toc402969453"/>
      <w:bookmarkStart w:id="842" w:name="_Toc436058638"/>
      <w:bookmarkStart w:id="843" w:name="_Toc416703269"/>
      <w:r>
        <w:rPr>
          <w:rStyle w:val="CharSectno"/>
        </w:rPr>
        <w:t>146F</w:t>
      </w:r>
      <w:r>
        <w:rPr>
          <w:snapToGrid w:val="0"/>
        </w:rPr>
        <w:t>.</w:t>
      </w:r>
      <w:r>
        <w:rPr>
          <w:snapToGrid w:val="0"/>
        </w:rPr>
        <w:tab/>
        <w:t>Ballot paper deemed to be marked according to voting ticket</w:t>
      </w:r>
      <w:bookmarkEnd w:id="841"/>
      <w:bookmarkEnd w:id="842"/>
      <w:bookmarkEnd w:id="843"/>
    </w:p>
    <w:p>
      <w:pPr>
        <w:pStyle w:val="Subsection"/>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[Section 146F inserted by No. 40 of 1987 s. 73; amended by No. 79 of 1987 s. 67.]</w:t>
      </w:r>
    </w:p>
    <w:p>
      <w:pPr>
        <w:pStyle w:val="Heading5"/>
        <w:rPr>
          <w:snapToGrid w:val="0"/>
        </w:rPr>
      </w:pPr>
      <w:bookmarkStart w:id="844" w:name="_Toc402969454"/>
      <w:bookmarkStart w:id="845" w:name="_Toc436058639"/>
      <w:bookmarkStart w:id="846" w:name="_Toc416703270"/>
      <w:r>
        <w:rPr>
          <w:rStyle w:val="CharSectno"/>
        </w:rPr>
        <w:t>146G</w:t>
      </w:r>
      <w:r>
        <w:rPr>
          <w:snapToGrid w:val="0"/>
        </w:rPr>
        <w:t>.</w:t>
      </w:r>
      <w:r>
        <w:rPr>
          <w:snapToGrid w:val="0"/>
        </w:rPr>
        <w:tab/>
        <w:t>Count of votes by assistant returning officers, procedure for</w:t>
      </w:r>
      <w:bookmarkEnd w:id="844"/>
      <w:bookmarkEnd w:id="845"/>
      <w:bookmarkEnd w:id="846"/>
    </w:p>
    <w:p>
      <w:pPr>
        <w:pStyle w:val="Subsection"/>
        <w:rPr>
          <w:snapToGrid w:val="0"/>
        </w:rPr>
      </w:pPr>
      <w:r>
        <w:rPr>
          <w:snapToGrid w:val="0"/>
        </w:rPr>
        <w:tab/>
        <w:t>(1)</w:t>
      </w:r>
      <w:r>
        <w:rPr>
          <w:snapToGrid w:val="0"/>
        </w:rPr>
        <w:tab/>
        <w:t>As soon as practicable after the close of the poll each assistant returning officer shall —</w:t>
      </w:r>
    </w:p>
    <w:p>
      <w:pPr>
        <w:pStyle w:val="Indenta"/>
        <w:rPr>
          <w:snapToGrid w:val="0"/>
        </w:rPr>
      </w:pPr>
      <w:r>
        <w:rPr>
          <w:snapToGrid w:val="0"/>
        </w:rPr>
        <w:tab/>
        <w:t>(a)</w:t>
      </w:r>
      <w:r>
        <w:rPr>
          <w:snapToGrid w:val="0"/>
        </w:rPr>
        <w:tab/>
        <w:t>open all ballot boxes received at his counting place, reject all informal ballot papers, and count the number of first preference votes given for each candidate; and</w:t>
      </w:r>
    </w:p>
    <w:p>
      <w:pPr>
        <w:pStyle w:val="Indenta"/>
        <w:keepNext/>
        <w:spacing w:before="70"/>
        <w:rPr>
          <w:snapToGrid w:val="0"/>
        </w:rPr>
      </w:pPr>
      <w:r>
        <w:rPr>
          <w:snapToGrid w:val="0"/>
        </w:rPr>
        <w:tab/>
        <w:t>(b)</w:t>
      </w:r>
      <w:r>
        <w:rPr>
          <w:snapToGrid w:val="0"/>
        </w:rPr>
        <w:tab/>
        <w:t>enclose —</w:t>
      </w:r>
    </w:p>
    <w:p>
      <w:pPr>
        <w:pStyle w:val="Indenti"/>
        <w:spacing w:before="70"/>
        <w:rPr>
          <w:snapToGrid w:val="0"/>
        </w:rPr>
      </w:pPr>
      <w:r>
        <w:rPr>
          <w:snapToGrid w:val="0"/>
        </w:rPr>
        <w:tab/>
        <w:t>(i)</w:t>
      </w:r>
      <w:r>
        <w:rPr>
          <w:snapToGrid w:val="0"/>
        </w:rPr>
        <w:tab/>
        <w:t>in one packet, all the used ballot papers in his possession; and</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[Section 146G inserted by No. 40 of 1987 s. 73.]</w:t>
      </w:r>
    </w:p>
    <w:p>
      <w:pPr>
        <w:pStyle w:val="Heading5"/>
        <w:keepLines w:val="0"/>
        <w:rPr>
          <w:snapToGrid w:val="0"/>
        </w:rPr>
      </w:pPr>
      <w:bookmarkStart w:id="847" w:name="_Toc402969455"/>
      <w:bookmarkStart w:id="848" w:name="_Toc436058640"/>
      <w:bookmarkStart w:id="849" w:name="_Toc416703271"/>
      <w:r>
        <w:rPr>
          <w:rStyle w:val="CharSectno"/>
        </w:rPr>
        <w:t>146H</w:t>
      </w:r>
      <w:r>
        <w:rPr>
          <w:snapToGrid w:val="0"/>
        </w:rPr>
        <w:t>.</w:t>
      </w:r>
      <w:r>
        <w:rPr>
          <w:snapToGrid w:val="0"/>
        </w:rPr>
        <w:tab/>
        <w:t>Count of votes by deputy returning officer, procedure for</w:t>
      </w:r>
      <w:bookmarkEnd w:id="847"/>
      <w:bookmarkEnd w:id="848"/>
      <w:bookmarkEnd w:id="849"/>
    </w:p>
    <w:p>
      <w:pPr>
        <w:pStyle w:val="Subsection"/>
        <w:spacing w:before="120"/>
        <w:rPr>
          <w:snapToGrid w:val="0"/>
        </w:rPr>
      </w:pPr>
      <w:r>
        <w:rPr>
          <w:snapToGrid w:val="0"/>
        </w:rPr>
        <w:tab/>
        <w:t>(1)</w:t>
      </w:r>
      <w:r>
        <w:rPr>
          <w:snapToGrid w:val="0"/>
        </w:rPr>
        <w:tab/>
        <w:t>As soon as practicable after the close of the poll the deputy returning officer for each district shall —</w:t>
      </w:r>
    </w:p>
    <w:p>
      <w:pPr>
        <w:pStyle w:val="Indenta"/>
        <w:spacing w:before="60"/>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 and</w:t>
      </w:r>
    </w:p>
    <w:p>
      <w:pPr>
        <w:pStyle w:val="Indenta"/>
        <w:spacing w:before="60"/>
        <w:rPr>
          <w:snapToGrid w:val="0"/>
        </w:rPr>
      </w:pPr>
      <w:r>
        <w:rPr>
          <w:snapToGrid w:val="0"/>
        </w:rPr>
        <w:tab/>
        <w:t>(b)</w:t>
      </w:r>
      <w:r>
        <w:rPr>
          <w:snapToGrid w:val="0"/>
        </w:rPr>
        <w:tab/>
        <w:t>enclose —</w:t>
      </w:r>
    </w:p>
    <w:p>
      <w:pPr>
        <w:pStyle w:val="Indenti"/>
        <w:spacing w:before="60"/>
        <w:rPr>
          <w:snapToGrid w:val="0"/>
        </w:rPr>
      </w:pPr>
      <w:r>
        <w:rPr>
          <w:snapToGrid w:val="0"/>
        </w:rPr>
        <w:tab/>
        <w:t>(i)</w:t>
      </w:r>
      <w:r>
        <w:rPr>
          <w:snapToGrid w:val="0"/>
        </w:rPr>
        <w:tab/>
        <w:t>in one packet, all the used ballot papers in his possession; and</w:t>
      </w:r>
    </w:p>
    <w:p>
      <w:pPr>
        <w:pStyle w:val="Indenti"/>
        <w:spacing w:before="60"/>
        <w:rPr>
          <w:snapToGrid w:val="0"/>
        </w:rPr>
      </w:pPr>
      <w:r>
        <w:rPr>
          <w:snapToGrid w:val="0"/>
        </w:rPr>
        <w:tab/>
        <w:t>(ii)</w:t>
      </w:r>
      <w:r>
        <w:rPr>
          <w:snapToGrid w:val="0"/>
        </w:rPr>
        <w:tab/>
        <w:t>in another packet, all the unused ballot papers in his possession; and</w:t>
      </w:r>
    </w:p>
    <w:p>
      <w:pPr>
        <w:pStyle w:val="Indenti"/>
        <w:spacing w:before="6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60"/>
        <w:rPr>
          <w:snapToGrid w:val="0"/>
        </w:rPr>
      </w:pPr>
      <w:r>
        <w:rPr>
          <w:snapToGrid w:val="0"/>
        </w:rPr>
        <w:tab/>
      </w:r>
      <w:r>
        <w:rPr>
          <w:snapToGrid w:val="0"/>
        </w:rPr>
        <w:tab/>
        <w:t>other than those that have been forwarded to him under section 146G(1)(c); and</w:t>
      </w:r>
    </w:p>
    <w:p>
      <w:pPr>
        <w:pStyle w:val="Indenta"/>
        <w:spacing w:before="60"/>
        <w:rPr>
          <w:snapToGrid w:val="0"/>
        </w:rPr>
      </w:pPr>
      <w:r>
        <w:rPr>
          <w:snapToGrid w:val="0"/>
        </w:rPr>
        <w:tab/>
        <w:t>(c)</w:t>
      </w:r>
      <w:r>
        <w:rPr>
          <w:snapToGrid w:val="0"/>
        </w:rPr>
        <w:tab/>
        <w:t>seal up those packets, endorse each with a description of its contents and with the name of the district and the date of the polling, and sign the endorsement; and</w:t>
      </w:r>
    </w:p>
    <w:p>
      <w:pPr>
        <w:pStyle w:val="Indenta"/>
        <w:spacing w:before="60"/>
        <w:rPr>
          <w:snapToGrid w:val="0"/>
        </w:rPr>
      </w:pPr>
      <w:r>
        <w:rPr>
          <w:snapToGrid w:val="0"/>
        </w:rPr>
        <w:tab/>
        <w:t>(d)</w:t>
      </w:r>
      <w:r>
        <w:rPr>
          <w:snapToGrid w:val="0"/>
        </w:rPr>
        <w:tab/>
        <w:t>make out a list of the total number of first preference votes given for each candidate on the ballot papers contained in the packet mentioned in paragraph (b)(i); and</w:t>
      </w:r>
    </w:p>
    <w:p>
      <w:pPr>
        <w:pStyle w:val="Indenta"/>
        <w:spacing w:before="60"/>
        <w:rPr>
          <w:snapToGrid w:val="0"/>
        </w:rPr>
      </w:pPr>
      <w:r>
        <w:rPr>
          <w:snapToGrid w:val="0"/>
        </w:rPr>
        <w:tab/>
        <w:t>(e)</w:t>
      </w:r>
      <w:r>
        <w:rPr>
          <w:snapToGrid w:val="0"/>
        </w:rPr>
        <w:tab/>
        <w:t>enclose —</w:t>
      </w:r>
    </w:p>
    <w:p>
      <w:pPr>
        <w:pStyle w:val="Indenti"/>
        <w:spacing w:before="60"/>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 and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spacing w:before="60"/>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spacing w:before="120"/>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spacing w:before="120"/>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spacing w:before="120"/>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spacing w:before="100"/>
        <w:ind w:left="890" w:hanging="890"/>
      </w:pPr>
      <w:r>
        <w:tab/>
        <w:t>[Section 146H inserted by No. 40 of 1987 s. 73.]</w:t>
      </w:r>
    </w:p>
    <w:p>
      <w:pPr>
        <w:pStyle w:val="Heading5"/>
        <w:rPr>
          <w:snapToGrid w:val="0"/>
        </w:rPr>
      </w:pPr>
      <w:bookmarkStart w:id="850" w:name="_Toc402969456"/>
      <w:bookmarkStart w:id="851" w:name="_Toc436058641"/>
      <w:bookmarkStart w:id="852" w:name="_Toc416703272"/>
      <w:r>
        <w:rPr>
          <w:rStyle w:val="CharSectno"/>
        </w:rPr>
        <w:t>146I</w:t>
      </w:r>
      <w:r>
        <w:rPr>
          <w:snapToGrid w:val="0"/>
        </w:rPr>
        <w:t>.</w:t>
      </w:r>
      <w:r>
        <w:rPr>
          <w:snapToGrid w:val="0"/>
        </w:rPr>
        <w:tab/>
        <w:t>Count of votes by returning officer, procedure for</w:t>
      </w:r>
      <w:bookmarkEnd w:id="850"/>
      <w:bookmarkEnd w:id="851"/>
      <w:bookmarkEnd w:id="852"/>
    </w:p>
    <w:p>
      <w:pPr>
        <w:pStyle w:val="Subsection"/>
        <w:spacing w:before="120"/>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spacing w:before="150"/>
        <w:rPr>
          <w:snapToGrid w:val="0"/>
        </w:rPr>
      </w:pPr>
      <w:r>
        <w:rPr>
          <w:snapToGrid w:val="0"/>
        </w:rPr>
        <w:tab/>
        <w:t>(2)</w:t>
      </w:r>
      <w:r>
        <w:rPr>
          <w:snapToGrid w:val="0"/>
        </w:rPr>
        <w:tab/>
        <w:t>The returning officer shall ascertain the result of the polling using the method provided in Schedule 1.</w:t>
      </w:r>
    </w:p>
    <w:p>
      <w:pPr>
        <w:pStyle w:val="Subsection"/>
        <w:spacing w:before="150"/>
        <w:rPr>
          <w:snapToGrid w:val="0"/>
        </w:rPr>
      </w:pPr>
      <w:r>
        <w:rPr>
          <w:snapToGrid w:val="0"/>
        </w:rPr>
        <w:tab/>
        <w:t>(3)</w:t>
      </w:r>
      <w:r>
        <w:rPr>
          <w:snapToGrid w:val="0"/>
        </w:rPr>
        <w:tab/>
        <w:t>For the purposes of subsection (2) the returning officer may, if the returning officer thinks fit —</w:t>
      </w:r>
    </w:p>
    <w:p>
      <w:pPr>
        <w:pStyle w:val="Indenta"/>
        <w:spacing w:before="60"/>
        <w:rPr>
          <w:snapToGrid w:val="0"/>
        </w:rPr>
      </w:pPr>
      <w:r>
        <w:rPr>
          <w:snapToGrid w:val="0"/>
        </w:rPr>
        <w:tab/>
        <w:t>(a)</w:t>
      </w:r>
      <w:r>
        <w:rPr>
          <w:snapToGrid w:val="0"/>
        </w:rPr>
        <w:tab/>
        <w:t>cause the preferences indicated on ballot papers to be recorded in an automated form; and</w:t>
      </w:r>
    </w:p>
    <w:p>
      <w:pPr>
        <w:pStyle w:val="Indenta"/>
        <w:spacing w:before="60"/>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rPr>
          <w:snapToGrid w:val="0"/>
        </w:rPr>
      </w:pPr>
      <w:r>
        <w:rPr>
          <w:snapToGrid w:val="0"/>
        </w:rPr>
        <w:tab/>
        <w:t>(4)</w:t>
      </w:r>
      <w:r>
        <w:rPr>
          <w:snapToGrid w:val="0"/>
        </w:rPr>
        <w:tab/>
        <w:t>For proceedings under subsection (3) the requirements of section 134(4) are met if —</w:t>
      </w:r>
    </w:p>
    <w:p>
      <w:pPr>
        <w:pStyle w:val="Indenta"/>
        <w:spacing w:before="60"/>
        <w:rPr>
          <w:snapToGrid w:val="0"/>
        </w:rPr>
      </w:pPr>
      <w:r>
        <w:rPr>
          <w:snapToGrid w:val="0"/>
        </w:rPr>
        <w:tab/>
        <w:t>(a)</w:t>
      </w:r>
      <w:r>
        <w:rPr>
          <w:snapToGrid w:val="0"/>
        </w:rPr>
        <w:tab/>
        <w:t>the recording of preferences in an automated form is subject to the inspection of the scrutineers; and</w:t>
      </w:r>
    </w:p>
    <w:p>
      <w:pPr>
        <w:pStyle w:val="Indenta"/>
        <w:spacing w:before="60"/>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rPr>
          <w:snapToGrid w:val="0"/>
        </w:rPr>
      </w:pPr>
      <w:r>
        <w:rPr>
          <w:snapToGrid w:val="0"/>
        </w:rPr>
        <w:tab/>
        <w:t>(5)</w:t>
      </w:r>
      <w:r>
        <w:rPr>
          <w:snapToGrid w:val="0"/>
        </w:rPr>
        <w:tab/>
        <w:t>If the result of the election is ascertained in accordance with subsection (3) —</w:t>
      </w:r>
    </w:p>
    <w:p>
      <w:pPr>
        <w:pStyle w:val="Indenta"/>
        <w:spacing w:before="60"/>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 and</w:t>
      </w:r>
    </w:p>
    <w:p>
      <w:pPr>
        <w:pStyle w:val="Indenta"/>
        <w:spacing w:before="60"/>
        <w:rPr>
          <w:snapToGrid w:val="0"/>
        </w:rPr>
      </w:pPr>
      <w:r>
        <w:rPr>
          <w:snapToGrid w:val="0"/>
        </w:rPr>
        <w:tab/>
        <w:t>(b)</w:t>
      </w:r>
      <w:r>
        <w:rPr>
          <w:snapToGrid w:val="0"/>
        </w:rPr>
        <w:tab/>
        <w:t>despite section 152(1)(b), ballot papers do not have to be preserved or held in custody after the election can no longer be questioned if the preferences on them have been recorded in an automated form; and</w:t>
      </w:r>
    </w:p>
    <w:p>
      <w:pPr>
        <w:pStyle w:val="Indenta"/>
        <w:spacing w:before="60"/>
        <w:rPr>
          <w:snapToGrid w:val="0"/>
        </w:rPr>
      </w:pPr>
      <w:r>
        <w:rPr>
          <w:snapToGrid w:val="0"/>
        </w:rPr>
        <w:tab/>
        <w:t>(c)</w:t>
      </w:r>
      <w:r>
        <w:rPr>
          <w:snapToGrid w:val="0"/>
        </w:rPr>
        <w:tab/>
        <w:t>section 155 extends to information recorded in an automated form; and</w:t>
      </w:r>
    </w:p>
    <w:p>
      <w:pPr>
        <w:pStyle w:val="Indenta"/>
        <w:spacing w:before="6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spacing w:before="120"/>
        <w:rPr>
          <w:snapToGrid w:val="0"/>
        </w:rPr>
      </w:pPr>
      <w:r>
        <w:rPr>
          <w:snapToGrid w:val="0"/>
        </w:rPr>
        <w:tab/>
        <w:t>(6)</w:t>
      </w:r>
      <w:r>
        <w:rPr>
          <w:snapToGrid w:val="0"/>
        </w:rPr>
        <w:tab/>
        <w:t>In this section </w:t>
      </w:r>
      <w:r>
        <w:rPr>
          <w:rStyle w:val="CharDefText"/>
        </w:rPr>
        <w:t>automated</w:t>
      </w:r>
      <w:r>
        <w:rPr>
          <w:snapToGrid w:val="0"/>
        </w:rPr>
        <w:t xml:space="preserve"> means involving the use of a computer.</w:t>
      </w:r>
    </w:p>
    <w:p>
      <w:pPr>
        <w:pStyle w:val="Footnotesection"/>
        <w:spacing w:before="100"/>
        <w:ind w:left="890" w:hanging="890"/>
      </w:pPr>
      <w:r>
        <w:tab/>
        <w:t>[Section 146I inserted by No. 40 of 1987 s. 73; amended by No. 79 of 1987 s. 68 and 78; No. 43 of 1996 s. 21.]</w:t>
      </w:r>
    </w:p>
    <w:p>
      <w:pPr>
        <w:pStyle w:val="Heading5"/>
        <w:spacing w:before="180"/>
        <w:rPr>
          <w:snapToGrid w:val="0"/>
        </w:rPr>
      </w:pPr>
      <w:bookmarkStart w:id="853" w:name="_Toc402969457"/>
      <w:bookmarkStart w:id="854" w:name="_Toc436058642"/>
      <w:bookmarkStart w:id="855" w:name="_Toc416703273"/>
      <w:r>
        <w:rPr>
          <w:rStyle w:val="CharSectno"/>
        </w:rPr>
        <w:t>146J</w:t>
      </w:r>
      <w:r>
        <w:rPr>
          <w:snapToGrid w:val="0"/>
        </w:rPr>
        <w:t>.</w:t>
      </w:r>
      <w:r>
        <w:rPr>
          <w:snapToGrid w:val="0"/>
        </w:rPr>
        <w:tab/>
        <w:t>Re</w:t>
      </w:r>
      <w:r>
        <w:rPr>
          <w:snapToGrid w:val="0"/>
        </w:rPr>
        <w:noBreakHyphen/>
        <w:t>count, when may be conducted etc.</w:t>
      </w:r>
      <w:bookmarkEnd w:id="853"/>
      <w:bookmarkEnd w:id="854"/>
      <w:bookmarkEnd w:id="855"/>
    </w:p>
    <w:p>
      <w:pPr>
        <w:pStyle w:val="Subsection"/>
        <w:spacing w:before="12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2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keepLines/>
        <w:spacing w:before="120"/>
        <w:rPr>
          <w:snapToGrid w:val="0"/>
        </w:rPr>
      </w:pPr>
      <w:r>
        <w:rPr>
          <w:snapToGrid w:val="0"/>
        </w:rPr>
        <w:tab/>
        <w:t>(3)</w:t>
      </w:r>
      <w:r>
        <w:rPr>
          <w:snapToGrid w:val="0"/>
        </w:rPr>
        <w:tab/>
        <w:t>Section 146I(3) to (5) apply in relation to the re</w:t>
      </w:r>
      <w:r>
        <w:rPr>
          <w:snapToGrid w:val="0"/>
        </w:rPr>
        <w:noBreakHyphen/>
        <w:t>count.</w:t>
      </w:r>
    </w:p>
    <w:p>
      <w:pPr>
        <w:pStyle w:val="Footnotesection"/>
        <w:spacing w:before="100"/>
        <w:ind w:left="890" w:hanging="890"/>
      </w:pPr>
      <w:r>
        <w:tab/>
        <w:t>[Section 146J inserted by No. 40 of 1987 s. 73; amended by No. 43 of 1996 s. 22.]</w:t>
      </w:r>
    </w:p>
    <w:p>
      <w:pPr>
        <w:pStyle w:val="Heading3"/>
        <w:keepLines/>
      </w:pPr>
      <w:bookmarkStart w:id="856" w:name="_Toc402969458"/>
      <w:bookmarkStart w:id="857" w:name="_Toc416702890"/>
      <w:bookmarkStart w:id="858" w:name="_Toc416703274"/>
      <w:bookmarkStart w:id="859" w:name="_Toc435714526"/>
      <w:bookmarkStart w:id="860" w:name="_Toc436057641"/>
      <w:bookmarkStart w:id="861" w:name="_Toc436058029"/>
      <w:bookmarkStart w:id="862" w:name="_Toc436058414"/>
      <w:bookmarkStart w:id="863" w:name="_Toc436058643"/>
      <w:r>
        <w:rPr>
          <w:rStyle w:val="CharDivNo"/>
        </w:rPr>
        <w:t>Division (5)</w:t>
      </w:r>
      <w:r>
        <w:rPr>
          <w:snapToGrid w:val="0"/>
        </w:rPr>
        <w:t> — </w:t>
      </w:r>
      <w:r>
        <w:rPr>
          <w:rStyle w:val="CharDivText"/>
        </w:rPr>
        <w:t>Declaration of poll and return of the writ</w:t>
      </w:r>
      <w:bookmarkEnd w:id="856"/>
      <w:bookmarkEnd w:id="857"/>
      <w:bookmarkEnd w:id="858"/>
      <w:bookmarkEnd w:id="859"/>
      <w:bookmarkEnd w:id="860"/>
      <w:bookmarkEnd w:id="861"/>
      <w:bookmarkEnd w:id="862"/>
      <w:bookmarkEnd w:id="863"/>
    </w:p>
    <w:p>
      <w:pPr>
        <w:pStyle w:val="Heading5"/>
      </w:pPr>
      <w:bookmarkStart w:id="864" w:name="_Toc402969459"/>
      <w:bookmarkStart w:id="865" w:name="_Toc436058644"/>
      <w:bookmarkStart w:id="866" w:name="_Toc416703275"/>
      <w:r>
        <w:rPr>
          <w:rStyle w:val="CharSectno"/>
        </w:rPr>
        <w:t>147</w:t>
      </w:r>
      <w:r>
        <w:rPr>
          <w:spacing w:val="-4"/>
        </w:rPr>
        <w:t>.</w:t>
      </w:r>
      <w:r>
        <w:rPr>
          <w:spacing w:val="-4"/>
        </w:rPr>
        <w:tab/>
        <w:t>Declaration of poll and certification and return of writ</w:t>
      </w:r>
      <w:bookmarkEnd w:id="864"/>
      <w:bookmarkEnd w:id="865"/>
      <w:bookmarkEnd w:id="866"/>
    </w:p>
    <w:p>
      <w:pPr>
        <w:pStyle w:val="Subsection"/>
      </w:pPr>
      <w:r>
        <w:tab/>
        <w:t>(1)</w:t>
      </w:r>
      <w:r>
        <w:tab/>
        <w:t>As soon as practicable after the result of the election has been ascertained, the returning officer is to —</w:t>
      </w:r>
    </w:p>
    <w:p>
      <w:pPr>
        <w:pStyle w:val="Indenta"/>
      </w:pPr>
      <w:r>
        <w:tab/>
        <w:t>(a)</w:t>
      </w:r>
      <w:r>
        <w:tab/>
        <w:t>declare the result of the election and the name of the candidate, or names of the candidates, elected; and</w:t>
      </w:r>
    </w:p>
    <w:p>
      <w:pPr>
        <w:pStyle w:val="Indenta"/>
        <w:keepNext/>
      </w:pPr>
      <w:r>
        <w:tab/>
        <w:t>(b)</w:t>
      </w:r>
      <w:r>
        <w:tab/>
        <w:t>send to the Electoral Commissioner a written statement setting out —</w:t>
      </w:r>
    </w:p>
    <w:p>
      <w:pPr>
        <w:pStyle w:val="Indenti"/>
      </w:pPr>
      <w:r>
        <w:tab/>
        <w:t>(i)</w:t>
      </w:r>
      <w:r>
        <w:tab/>
        <w:t>the result of the election; and</w:t>
      </w:r>
    </w:p>
    <w:p>
      <w:pPr>
        <w:pStyle w:val="Indenti"/>
      </w:pPr>
      <w:r>
        <w:tab/>
        <w:t>(ii)</w:t>
      </w:r>
      <w:r>
        <w:tab/>
        <w:t>the day on which the result was declared; and</w:t>
      </w:r>
    </w:p>
    <w:p>
      <w:pPr>
        <w:pStyle w:val="Indenti"/>
      </w:pPr>
      <w:r>
        <w:tab/>
        <w:t>(iii)</w:t>
      </w:r>
      <w:r>
        <w:tab/>
        <w:t>the name of the candidate, or names of the candidates, elected.</w:t>
      </w:r>
    </w:p>
    <w:p>
      <w:pPr>
        <w:pStyle w:val="Subsection"/>
      </w:pPr>
      <w:r>
        <w:tab/>
        <w:t>(1a)</w:t>
      </w:r>
      <w:r>
        <w:tab/>
        <w:t>A declaration under subsection (1) is to be made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In the case of a general election for the Council, when all the statements required under subsection (1)(b) have been received the Electoral Commissioner is to certify on the writ, in respect of each region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In the case of any other election in a region, when the statement required under subsection (1)(b) has been received the Electoral Commissioner is to certify on the writ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spacing w:before="120"/>
      </w:pPr>
      <w:r>
        <w:tab/>
        <w:t>(5)</w:t>
      </w:r>
      <w:r>
        <w:tab/>
        <w:t>In the case of a general election for the Assembly, when all, or all except not more than 5, of the statements required under subsection (1)(b) have been received the Electoral Commissioner is to certify on the writ, in respect of each district for which a statement has been received —</w:t>
      </w:r>
    </w:p>
    <w:p>
      <w:pPr>
        <w:pStyle w:val="Indenta"/>
      </w:pPr>
      <w:r>
        <w:tab/>
        <w:t>(a)</w:t>
      </w:r>
      <w:r>
        <w:tab/>
        <w:t>the name of the candidate elected; and</w:t>
      </w:r>
    </w:p>
    <w:p>
      <w:pPr>
        <w:pStyle w:val="Indenta"/>
      </w:pPr>
      <w:r>
        <w:tab/>
        <w:t>(b)</w:t>
      </w:r>
      <w:r>
        <w:tab/>
        <w:t>the day on which the result of the election was declared.</w:t>
      </w:r>
    </w:p>
    <w:p>
      <w:pPr>
        <w:pStyle w:val="Subsection"/>
        <w:spacing w:before="120"/>
      </w:pPr>
      <w:r>
        <w:tab/>
        <w:t>(6)</w:t>
      </w:r>
      <w:r>
        <w:tab/>
        <w:t>In the case of any other election in a district, when the statement required under subsection (1)(b) has been received the Electoral Commissioner is to certify on the writ —</w:t>
      </w:r>
    </w:p>
    <w:p>
      <w:pPr>
        <w:pStyle w:val="Indenta"/>
      </w:pPr>
      <w:r>
        <w:tab/>
        <w:t>(a)</w:t>
      </w:r>
      <w:r>
        <w:tab/>
        <w:t>the name of the candidate elected; and</w:t>
      </w:r>
    </w:p>
    <w:p>
      <w:pPr>
        <w:pStyle w:val="Indenta"/>
        <w:spacing w:before="60"/>
      </w:pPr>
      <w:r>
        <w:tab/>
        <w:t>(b)</w:t>
      </w:r>
      <w:r>
        <w:tab/>
        <w:t>the day on which the result of the election was declared.</w:t>
      </w:r>
    </w:p>
    <w:p>
      <w:pPr>
        <w:pStyle w:val="Subsection"/>
        <w:spacing w:before="120"/>
      </w:pPr>
      <w:r>
        <w:tab/>
        <w:t>(7)</w:t>
      </w:r>
      <w:r>
        <w:tab/>
        <w:t>A certificate under subsection (3), (4), (5) or (6) is to be signed and dated by the Electoral Commissioner.</w:t>
      </w:r>
    </w:p>
    <w:p>
      <w:pPr>
        <w:pStyle w:val="Subsection"/>
        <w:spacing w:before="120"/>
      </w:pPr>
      <w:r>
        <w:tab/>
        <w:t>(8)</w:t>
      </w:r>
      <w:r>
        <w:tab/>
        <w:t>The writ is to be regarded as having been returned on the date of the certificate.</w:t>
      </w:r>
    </w:p>
    <w:p>
      <w:pPr>
        <w:pStyle w:val="Subsection"/>
        <w:spacing w:before="120"/>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spacing w:before="120"/>
      </w:pPr>
      <w:r>
        <w:tab/>
        <w:t>(10)</w:t>
      </w:r>
      <w:r>
        <w:tab/>
        <w:t>If in the case of a general election for the Assembly a statement required under subsection (1)(b) is received after the writ has been certified under subsection (5), the Electoral Commissioner is to —</w:t>
      </w:r>
    </w:p>
    <w:p>
      <w:pPr>
        <w:pStyle w:val="Indenta"/>
        <w:spacing w:before="60"/>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 amended by No. 64 of 2006 s. 38.]</w:t>
      </w:r>
    </w:p>
    <w:p>
      <w:pPr>
        <w:pStyle w:val="Heading5"/>
        <w:rPr>
          <w:snapToGrid w:val="0"/>
        </w:rPr>
      </w:pPr>
      <w:bookmarkStart w:id="867" w:name="_Toc402969460"/>
      <w:bookmarkStart w:id="868" w:name="_Toc436058645"/>
      <w:bookmarkStart w:id="869" w:name="_Toc416703276"/>
      <w:r>
        <w:rPr>
          <w:rStyle w:val="CharSectno"/>
        </w:rPr>
        <w:t>148</w:t>
      </w:r>
      <w:r>
        <w:rPr>
          <w:snapToGrid w:val="0"/>
        </w:rPr>
        <w:t>.</w:t>
      </w:r>
      <w:r>
        <w:rPr>
          <w:snapToGrid w:val="0"/>
        </w:rPr>
        <w:tab/>
        <w:t>Election not to be questioned on certain grounds</w:t>
      </w:r>
      <w:bookmarkEnd w:id="867"/>
      <w:bookmarkEnd w:id="868"/>
      <w:bookmarkEnd w:id="869"/>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870" w:name="_Toc402969461"/>
      <w:bookmarkStart w:id="871" w:name="_Toc436058646"/>
      <w:bookmarkStart w:id="872" w:name="_Toc416703277"/>
      <w:r>
        <w:rPr>
          <w:rStyle w:val="CharSectno"/>
        </w:rPr>
        <w:t>149</w:t>
      </w:r>
      <w:r>
        <w:rPr>
          <w:snapToGrid w:val="0"/>
        </w:rPr>
        <w:t>.</w:t>
      </w:r>
      <w:r>
        <w:rPr>
          <w:snapToGrid w:val="0"/>
        </w:rPr>
        <w:tab/>
        <w:t>Informality in election, Governor’s powers as to</w:t>
      </w:r>
      <w:bookmarkEnd w:id="870"/>
      <w:bookmarkEnd w:id="871"/>
      <w:bookmarkEnd w:id="872"/>
    </w:p>
    <w:p>
      <w:pPr>
        <w:pStyle w:val="Subsection"/>
        <w:spacing w:before="140"/>
        <w:rPr>
          <w:snapToGrid w:val="0"/>
        </w:rPr>
      </w:pPr>
      <w:r>
        <w:rPr>
          <w:snapToGrid w:val="0"/>
        </w:rPr>
        <w:tab/>
      </w:r>
      <w:r>
        <w:rPr>
          <w:snapToGrid w:val="0"/>
        </w:rPr>
        <w:tab/>
        <w:t>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5"/>
        <w:rPr>
          <w:snapToGrid w:val="0"/>
        </w:rPr>
      </w:pPr>
      <w:bookmarkStart w:id="873" w:name="_Toc402969462"/>
      <w:bookmarkStart w:id="874" w:name="_Toc436058647"/>
      <w:bookmarkStart w:id="875" w:name="_Toc416703278"/>
      <w:r>
        <w:rPr>
          <w:rStyle w:val="CharSectno"/>
        </w:rPr>
        <w:t>149A</w:t>
      </w:r>
      <w:r>
        <w:t>.</w:t>
      </w:r>
      <w:r>
        <w:tab/>
        <w:t>Election</w:t>
      </w:r>
      <w:r>
        <w:rPr>
          <w:snapToGrid w:val="0"/>
        </w:rPr>
        <w:t xml:space="preserve"> of unqualified or disqualified person void</w:t>
      </w:r>
      <w:bookmarkEnd w:id="873"/>
      <w:bookmarkEnd w:id="874"/>
      <w:bookmarkEnd w:id="875"/>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pPr>
      <w:r>
        <w:tab/>
        <w:t>[Section 149A inserted by No. 64 of 2006 s. 39.]</w:t>
      </w:r>
    </w:p>
    <w:p>
      <w:pPr>
        <w:pStyle w:val="Heading3"/>
      </w:pPr>
      <w:bookmarkStart w:id="876" w:name="_Toc402969463"/>
      <w:bookmarkStart w:id="877" w:name="_Toc416702895"/>
      <w:bookmarkStart w:id="878" w:name="_Toc416703279"/>
      <w:bookmarkStart w:id="879" w:name="_Toc435714531"/>
      <w:bookmarkStart w:id="880" w:name="_Toc436057646"/>
      <w:bookmarkStart w:id="881" w:name="_Toc436058034"/>
      <w:bookmarkStart w:id="882" w:name="_Toc436058419"/>
      <w:bookmarkStart w:id="883" w:name="_Toc436058648"/>
      <w:r>
        <w:rPr>
          <w:rStyle w:val="CharDivNo"/>
        </w:rPr>
        <w:t>Division (6)</w:t>
      </w:r>
      <w:r>
        <w:rPr>
          <w:snapToGrid w:val="0"/>
        </w:rPr>
        <w:t> — </w:t>
      </w:r>
      <w:r>
        <w:rPr>
          <w:rStyle w:val="CharDivText"/>
        </w:rPr>
        <w:t>After the poll</w:t>
      </w:r>
      <w:bookmarkEnd w:id="876"/>
      <w:bookmarkEnd w:id="877"/>
      <w:bookmarkEnd w:id="878"/>
      <w:bookmarkEnd w:id="879"/>
      <w:bookmarkEnd w:id="880"/>
      <w:bookmarkEnd w:id="881"/>
      <w:bookmarkEnd w:id="882"/>
      <w:bookmarkEnd w:id="883"/>
    </w:p>
    <w:p>
      <w:pPr>
        <w:pStyle w:val="Heading5"/>
        <w:rPr>
          <w:snapToGrid w:val="0"/>
        </w:rPr>
      </w:pPr>
      <w:bookmarkStart w:id="884" w:name="_Toc402969464"/>
      <w:bookmarkStart w:id="885" w:name="_Toc436058649"/>
      <w:bookmarkStart w:id="886" w:name="_Toc416703280"/>
      <w:r>
        <w:rPr>
          <w:rStyle w:val="CharSectno"/>
        </w:rPr>
        <w:t>150</w:t>
      </w:r>
      <w:r>
        <w:rPr>
          <w:snapToGrid w:val="0"/>
        </w:rPr>
        <w:t>.</w:t>
      </w:r>
      <w:r>
        <w:rPr>
          <w:snapToGrid w:val="0"/>
        </w:rPr>
        <w:tab/>
        <w:t>Statistical return and rolls, returning officer to send to Electoral Commissioner</w:t>
      </w:r>
      <w:bookmarkEnd w:id="884"/>
      <w:bookmarkEnd w:id="885"/>
      <w:bookmarkEnd w:id="886"/>
    </w:p>
    <w:p>
      <w:pPr>
        <w:pStyle w:val="Subsection"/>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[Section 150 amended by No. 40 of 1987 s. 84; No. 36 of 2000 s. 77(4).]</w:t>
      </w:r>
    </w:p>
    <w:p>
      <w:pPr>
        <w:pStyle w:val="Heading5"/>
        <w:rPr>
          <w:snapToGrid w:val="0"/>
        </w:rPr>
      </w:pPr>
      <w:bookmarkStart w:id="887" w:name="_Toc402969465"/>
      <w:bookmarkStart w:id="888" w:name="_Toc436058650"/>
      <w:bookmarkStart w:id="889" w:name="_Toc416703281"/>
      <w:r>
        <w:rPr>
          <w:rStyle w:val="CharSectno"/>
        </w:rPr>
        <w:t>151</w:t>
      </w:r>
      <w:r>
        <w:rPr>
          <w:snapToGrid w:val="0"/>
        </w:rPr>
        <w:t>.</w:t>
      </w:r>
      <w:r>
        <w:rPr>
          <w:snapToGrid w:val="0"/>
        </w:rPr>
        <w:tab/>
        <w:t>Other election papers, returning officer to send to Electoral Commissioner</w:t>
      </w:r>
      <w:bookmarkEnd w:id="887"/>
      <w:bookmarkEnd w:id="888"/>
      <w:bookmarkEnd w:id="889"/>
    </w:p>
    <w:p>
      <w:pPr>
        <w:pStyle w:val="Subsection"/>
        <w:rPr>
          <w:snapToGrid w:val="0"/>
        </w:rPr>
      </w:pPr>
      <w:r>
        <w:rPr>
          <w:snapToGrid w:val="0"/>
        </w:rPr>
        <w:tab/>
      </w:r>
      <w:r>
        <w:rPr>
          <w:snapToGrid w:val="0"/>
        </w:rPr>
        <w:tab/>
        <w:t>The returning officer shall also, as soon as practicable after the day of polling at any election —</w:t>
      </w:r>
    </w:p>
    <w:p>
      <w:pPr>
        <w:pStyle w:val="Indenta"/>
        <w:rPr>
          <w:snapToGrid w:val="0"/>
        </w:rPr>
      </w:pPr>
      <w:r>
        <w:rPr>
          <w:snapToGrid w:val="0"/>
        </w:rPr>
        <w:tab/>
        <w:t>(a)</w:t>
      </w:r>
      <w:r>
        <w:rPr>
          <w:snapToGrid w:val="0"/>
        </w:rPr>
        <w:tab/>
        <w:t>enclose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rPr>
          <w:snapToGrid w:val="0"/>
        </w:rPr>
      </w:pPr>
      <w:r>
        <w:rPr>
          <w:snapToGrid w:val="0"/>
        </w:rPr>
        <w:tab/>
        <w:t>(b)</w:t>
      </w:r>
      <w:r>
        <w:rPr>
          <w:snapToGrid w:val="0"/>
        </w:rPr>
        <w:tab/>
        <w:t xml:space="preserve">seal up the said several packets and endorse the same with a description and the number of the contents thereof respectively, and the name of the region or the district and the date of the polling, and shall sign the endorsement, and forthwith forward the said packets to the </w:t>
      </w:r>
      <w:r>
        <w:t>Electoral Commissioner;</w:t>
      </w:r>
    </w:p>
    <w:p>
      <w:pPr>
        <w:pStyle w:val="Indenta"/>
        <w:rPr>
          <w:snapToGrid w:val="0"/>
        </w:rPr>
      </w:pPr>
      <w:r>
        <w:rPr>
          <w:snapToGrid w:val="0"/>
        </w:rPr>
        <w:tab/>
        <w:t>(c)</w:t>
      </w:r>
      <w:r>
        <w:rPr>
          <w:snapToGrid w:val="0"/>
        </w:rPr>
        <w:tab/>
        <w:t xml:space="preserve">seal up, endorse, and transmit in a similar manner to the </w:t>
      </w:r>
      <w:r>
        <w:t xml:space="preserve">Electoral Commissioner </w:t>
      </w:r>
      <w:r>
        <w:rPr>
          <w:snapToGrid w:val="0"/>
        </w:rPr>
        <w:t>a packet or packets, as the case may require, containing all ballot papers printed for the said election and not used by him or by deputy or assistant returning officers or presiding officers;</w:t>
      </w:r>
    </w:p>
    <w:p>
      <w:pPr>
        <w:pStyle w:val="Indenta"/>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rPr>
          <w:snapToGrid w:val="0"/>
        </w:rPr>
      </w:pPr>
      <w:r>
        <w:rPr>
          <w:snapToGrid w:val="0"/>
        </w:rPr>
        <w:tab/>
        <w:t>(e)</w:t>
      </w:r>
      <w:r>
        <w:rPr>
          <w:snapToGrid w:val="0"/>
        </w:rPr>
        <w:tab/>
      </w:r>
      <w:r>
        <w:t xml:space="preserve">the Electoral Commissioner </w:t>
      </w:r>
      <w:r>
        <w:rPr>
          <w:snapToGrid w:val="0"/>
        </w:rPr>
        <w:t>shall forthwith give or send to the returning officer a receipt under his hand for the said packets.</w:t>
      </w:r>
    </w:p>
    <w:p>
      <w:pPr>
        <w:pStyle w:val="Footnotesection"/>
        <w:ind w:left="890" w:hanging="890"/>
      </w:pPr>
      <w:r>
        <w:tab/>
        <w:t>[Section 151 amended by No. 44 of 1911 s. 43; No. 58 of 1951 s. 19; No. 68 of 1964 s. 29; No. 40 of 1987 s. 74 and 84; No. 79 of 1987 s. 70; No. 36 of 2000 s. 48(1); No. 35 of 2012 s. 23.]</w:t>
      </w:r>
    </w:p>
    <w:p>
      <w:pPr>
        <w:pStyle w:val="Heading5"/>
        <w:rPr>
          <w:snapToGrid w:val="0"/>
        </w:rPr>
      </w:pPr>
      <w:bookmarkStart w:id="890" w:name="_Toc402969466"/>
      <w:bookmarkStart w:id="891" w:name="_Toc436058651"/>
      <w:bookmarkStart w:id="892" w:name="_Toc416703282"/>
      <w:r>
        <w:rPr>
          <w:rStyle w:val="CharSectno"/>
        </w:rPr>
        <w:t>152</w:t>
      </w:r>
      <w:r>
        <w:rPr>
          <w:snapToGrid w:val="0"/>
        </w:rPr>
        <w:t>.</w:t>
      </w:r>
      <w:r>
        <w:rPr>
          <w:snapToGrid w:val="0"/>
        </w:rPr>
        <w:tab/>
        <w:t>Election papers, how long to be kept for</w:t>
      </w:r>
      <w:bookmarkEnd w:id="890"/>
      <w:bookmarkEnd w:id="891"/>
      <w:bookmarkEnd w:id="892"/>
    </w:p>
    <w:p>
      <w:pPr>
        <w:pStyle w:val="Subsection"/>
        <w:rPr>
          <w:snapToGrid w:val="0"/>
        </w:rPr>
      </w:pPr>
      <w:r>
        <w:rPr>
          <w:snapToGrid w:val="0"/>
        </w:rPr>
        <w:tab/>
      </w:r>
      <w:r>
        <w:t>(1)</w:t>
      </w:r>
      <w:r>
        <w:tab/>
        <w:t xml:space="preserve">The Electoral Commissioner </w:t>
      </w:r>
      <w:r>
        <w:rPr>
          <w:snapToGrid w:val="0"/>
        </w:rPr>
        <w:t>shall preserve and hold in custody all such ballot papers and other documents forwarded by the returning officers under the provisions of this Part until —</w:t>
      </w:r>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rPr>
          <w:snapToGrid w:val="0"/>
        </w:rPr>
      </w:pPr>
      <w:r>
        <w:rPr>
          <w:snapToGrid w:val="0"/>
        </w:rPr>
        <w:tab/>
      </w:r>
      <w:r>
        <w:rPr>
          <w:snapToGrid w:val="0"/>
        </w:rPr>
        <w:tab/>
        <w:t>when such ballot papers and other documents shall be destroyed.</w:t>
      </w:r>
    </w:p>
    <w:p>
      <w:pPr>
        <w:pStyle w:val="Subsection"/>
      </w:pPr>
      <w:r>
        <w:tab/>
        <w:t>(2)</w:t>
      </w:r>
      <w:r>
        <w:tab/>
        <w:t>If the Electoral Commissioner has consented to the use, for the purposes of research or analysis, of any ballot papers or other documents that are liable to be destroyed under subsection (1), then the Electoral Commissioner may defer their destruction until the conclusion of that research or analysis.</w:t>
      </w:r>
    </w:p>
    <w:p>
      <w:pPr>
        <w:pStyle w:val="Footnotesection"/>
      </w:pPr>
      <w:r>
        <w:tab/>
        <w:t>[Section 152 amended by No. 40 of 1987 s. 75; No. 35 of 2012 s. 24.]</w:t>
      </w:r>
    </w:p>
    <w:p>
      <w:pPr>
        <w:pStyle w:val="Heading5"/>
        <w:rPr>
          <w:snapToGrid w:val="0"/>
        </w:rPr>
      </w:pPr>
      <w:bookmarkStart w:id="893" w:name="_Toc402969467"/>
      <w:bookmarkStart w:id="894" w:name="_Toc436058652"/>
      <w:bookmarkStart w:id="895" w:name="_Toc416703283"/>
      <w:r>
        <w:rPr>
          <w:rStyle w:val="CharSectno"/>
        </w:rPr>
        <w:t>153</w:t>
      </w:r>
      <w:r>
        <w:rPr>
          <w:snapToGrid w:val="0"/>
        </w:rPr>
        <w:t>.</w:t>
      </w:r>
      <w:r>
        <w:rPr>
          <w:snapToGrid w:val="0"/>
        </w:rPr>
        <w:tab/>
        <w:t>Rolls used at election, candidate may require production of</w:t>
      </w:r>
      <w:bookmarkEnd w:id="893"/>
      <w:bookmarkEnd w:id="894"/>
      <w:bookmarkEnd w:id="895"/>
    </w:p>
    <w:p>
      <w:pPr>
        <w:pStyle w:val="Subsection"/>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keepNext/>
        <w:keepLines/>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[Section 153 amended by No. 28 of 1970 s. 15; No. 64 of 2006 s. 40.]</w:t>
      </w:r>
    </w:p>
    <w:p>
      <w:pPr>
        <w:pStyle w:val="Heading5"/>
        <w:spacing w:before="180"/>
        <w:rPr>
          <w:snapToGrid w:val="0"/>
        </w:rPr>
      </w:pPr>
      <w:bookmarkStart w:id="896" w:name="_Toc402969468"/>
      <w:bookmarkStart w:id="897" w:name="_Toc436058653"/>
      <w:bookmarkStart w:id="898" w:name="_Toc416703284"/>
      <w:r>
        <w:rPr>
          <w:rStyle w:val="CharSectno"/>
        </w:rPr>
        <w:t>154</w:t>
      </w:r>
      <w:r>
        <w:rPr>
          <w:snapToGrid w:val="0"/>
        </w:rPr>
        <w:t>.</w:t>
      </w:r>
      <w:r>
        <w:rPr>
          <w:snapToGrid w:val="0"/>
        </w:rPr>
        <w:tab/>
        <w:t>Election papers, production of to Court of Disputed Returns; purposes for which they can be used restricted</w:t>
      </w:r>
      <w:bookmarkEnd w:id="896"/>
      <w:bookmarkEnd w:id="897"/>
      <w:bookmarkEnd w:id="898"/>
    </w:p>
    <w:p>
      <w:pPr>
        <w:pStyle w:val="Subsection"/>
        <w:rPr>
          <w:snapToGrid w:val="0"/>
        </w:rPr>
      </w:pPr>
      <w:r>
        <w:rPr>
          <w:snapToGrid w:val="0"/>
        </w:rPr>
        <w:tab/>
        <w:t>(1)</w:t>
      </w:r>
      <w:r>
        <w:rPr>
          <w:snapToGrid w:val="0"/>
        </w:rPr>
        <w:tab/>
        <w:t xml:space="preserve">Such ballot papers and other documents as may be required by the Court of Disputed Returns shall, upon an order of the Court, be produced by the </w:t>
      </w:r>
      <w:r>
        <w:t>Electoral Commissioner.</w:t>
      </w:r>
    </w:p>
    <w:p>
      <w:pPr>
        <w:pStyle w:val="Subsection"/>
        <w:rPr>
          <w:snapToGrid w:val="0"/>
        </w:rPr>
      </w:pPr>
      <w:r>
        <w:tab/>
        <w:t>(2)</w:t>
      </w:r>
      <w:r>
        <w:tab/>
      </w:r>
      <w:r>
        <w:rPr>
          <w:snapToGrid w:val="0"/>
        </w:rPr>
        <w:t>Ballot papers or other documents held by the Electoral Commissioner under section 152 shall not be used or made available for any purpose other than —</w:t>
      </w:r>
    </w:p>
    <w:p>
      <w:pPr>
        <w:pStyle w:val="Indenta"/>
        <w:spacing w:before="60"/>
        <w:rPr>
          <w:snapToGrid w:val="0"/>
        </w:rPr>
      </w:pPr>
      <w:r>
        <w:rPr>
          <w:snapToGrid w:val="0"/>
        </w:rPr>
        <w:tab/>
        <w:t>(a)</w:t>
      </w:r>
      <w:r>
        <w:rPr>
          <w:snapToGrid w:val="0"/>
        </w:rPr>
        <w:tab/>
        <w:t>a purpose mentioned in subsection (1); or</w:t>
      </w:r>
    </w:p>
    <w:p>
      <w:pPr>
        <w:pStyle w:val="Indenta"/>
        <w:spacing w:before="60"/>
        <w:rPr>
          <w:snapToGrid w:val="0"/>
        </w:rPr>
      </w:pPr>
      <w:r>
        <w:rPr>
          <w:snapToGrid w:val="0"/>
        </w:rPr>
        <w:tab/>
        <w:t>(b)</w:t>
      </w:r>
      <w:r>
        <w:rPr>
          <w:snapToGrid w:val="0"/>
        </w:rPr>
        <w:tab/>
        <w:t>for the purposes of the election of a member of the Council under sections 156C and 156D; or</w:t>
      </w:r>
    </w:p>
    <w:p>
      <w:pPr>
        <w:pStyle w:val="Indenta"/>
        <w:spacing w:before="60"/>
        <w:rPr>
          <w:snapToGrid w:val="0"/>
        </w:rPr>
      </w:pPr>
      <w:r>
        <w:rPr>
          <w:snapToGrid w:val="0"/>
        </w:rPr>
        <w:tab/>
        <w:t>(c)</w:t>
      </w:r>
      <w:r>
        <w:rPr>
          <w:snapToGrid w:val="0"/>
        </w:rPr>
        <w:tab/>
        <w:t>a purpose mentioned in section 152.</w:t>
      </w:r>
    </w:p>
    <w:p>
      <w:pPr>
        <w:pStyle w:val="Footnotesection"/>
        <w:spacing w:before="100"/>
        <w:ind w:left="890" w:hanging="890"/>
      </w:pPr>
      <w:r>
        <w:tab/>
        <w:t>[Section 154 amended by No. 40 of 1987 s. 76; No. 35 of 2012 s. 25.]</w:t>
      </w:r>
    </w:p>
    <w:p>
      <w:pPr>
        <w:pStyle w:val="Heading5"/>
        <w:spacing w:before="190"/>
        <w:rPr>
          <w:snapToGrid w:val="0"/>
        </w:rPr>
      </w:pPr>
      <w:bookmarkStart w:id="899" w:name="_Toc402969469"/>
      <w:bookmarkStart w:id="900" w:name="_Toc436058654"/>
      <w:bookmarkStart w:id="901" w:name="_Toc416703285"/>
      <w:r>
        <w:rPr>
          <w:rStyle w:val="CharSectno"/>
        </w:rPr>
        <w:t>155</w:t>
      </w:r>
      <w:r>
        <w:rPr>
          <w:snapToGrid w:val="0"/>
        </w:rPr>
        <w:t>.</w:t>
      </w:r>
      <w:r>
        <w:rPr>
          <w:snapToGrid w:val="0"/>
        </w:rPr>
        <w:tab/>
        <w:t>Election papers, destruction of</w:t>
      </w:r>
      <w:bookmarkEnd w:id="899"/>
      <w:bookmarkEnd w:id="900"/>
      <w:bookmarkEnd w:id="901"/>
    </w:p>
    <w:p>
      <w:pPr>
        <w:pStyle w:val="Subsection"/>
        <w:spacing w:before="12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spacing w:before="12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spacing w:before="100"/>
        <w:ind w:left="890" w:hanging="890"/>
      </w:pPr>
      <w:r>
        <w:tab/>
        <w:t>[Section 155 amended by No. 40 of 1987 s. 77 and 84; No. 79 of 1987 s. 78; No. 36 of 2000 s. 28(1).]</w:t>
      </w:r>
    </w:p>
    <w:p>
      <w:pPr>
        <w:pStyle w:val="Heading5"/>
        <w:spacing w:before="190"/>
        <w:rPr>
          <w:snapToGrid w:val="0"/>
        </w:rPr>
      </w:pPr>
      <w:bookmarkStart w:id="902" w:name="_Toc402969470"/>
      <w:bookmarkStart w:id="903" w:name="_Toc436058655"/>
      <w:bookmarkStart w:id="904" w:name="_Toc416703286"/>
      <w:r>
        <w:rPr>
          <w:rStyle w:val="CharSectno"/>
        </w:rPr>
        <w:t>155AA</w:t>
      </w:r>
      <w:r>
        <w:rPr>
          <w:snapToGrid w:val="0"/>
        </w:rPr>
        <w:t>.</w:t>
      </w:r>
      <w:r>
        <w:rPr>
          <w:snapToGrid w:val="0"/>
        </w:rPr>
        <w:tab/>
        <w:t>Election papers used for referendum etc., use of and destruction of afterwards</w:t>
      </w:r>
      <w:bookmarkEnd w:id="902"/>
      <w:bookmarkEnd w:id="903"/>
      <w:bookmarkEnd w:id="904"/>
    </w:p>
    <w:p>
      <w:pPr>
        <w:pStyle w:val="Subsection"/>
        <w:spacing w:before="120"/>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w:t>
      </w:r>
    </w:p>
    <w:p>
      <w:pPr>
        <w:pStyle w:val="Indenta"/>
        <w:spacing w:before="60"/>
        <w:rPr>
          <w:snapToGrid w:val="0"/>
        </w:rPr>
      </w:pPr>
      <w:r>
        <w:rPr>
          <w:snapToGrid w:val="0"/>
        </w:rPr>
        <w:tab/>
        <w:t>(a)</w:t>
      </w:r>
      <w:r>
        <w:rPr>
          <w:snapToGrid w:val="0"/>
        </w:rPr>
        <w:tab/>
        <w:t>they shall be available for purposes connected with that referendum or other election; and</w:t>
      </w:r>
    </w:p>
    <w:p>
      <w:pPr>
        <w:pStyle w:val="Indenta"/>
        <w:spacing w:before="60"/>
        <w:rPr>
          <w:snapToGrid w:val="0"/>
        </w:rPr>
      </w:pPr>
      <w:r>
        <w:rPr>
          <w:snapToGrid w:val="0"/>
        </w:rPr>
        <w:tab/>
        <w:t>(b)</w:t>
      </w:r>
      <w:r>
        <w:rPr>
          <w:snapToGrid w:val="0"/>
        </w:rPr>
        <w:tab/>
        <w:t>they shall not be destroyed while that referendum or other election can be questioned.</w:t>
      </w:r>
    </w:p>
    <w:p>
      <w:pPr>
        <w:pStyle w:val="Footnotesection"/>
        <w:spacing w:before="100"/>
        <w:ind w:left="890" w:hanging="890"/>
      </w:pPr>
      <w:r>
        <w:tab/>
        <w:t>[Section 155AA inserted by No. 54 of 1983 s. 12.]</w:t>
      </w:r>
    </w:p>
    <w:p>
      <w:pPr>
        <w:pStyle w:val="Ednotesection"/>
        <w:spacing w:before="200"/>
        <w:ind w:left="890" w:hanging="890"/>
      </w:pPr>
      <w:r>
        <w:t>[</w:t>
      </w:r>
      <w:r>
        <w:rPr>
          <w:b/>
        </w:rPr>
        <w:t>155A.</w:t>
      </w:r>
      <w:r>
        <w:tab/>
        <w:t>Deleted by No. 40 of 1987 s. 78.]</w:t>
      </w:r>
    </w:p>
    <w:p>
      <w:pPr>
        <w:pStyle w:val="Heading3"/>
      </w:pPr>
      <w:bookmarkStart w:id="905" w:name="_Toc402969471"/>
      <w:bookmarkStart w:id="906" w:name="_Toc416702903"/>
      <w:bookmarkStart w:id="907" w:name="_Toc416703287"/>
      <w:bookmarkStart w:id="908" w:name="_Toc435714539"/>
      <w:bookmarkStart w:id="909" w:name="_Toc436057654"/>
      <w:bookmarkStart w:id="910" w:name="_Toc436058042"/>
      <w:bookmarkStart w:id="911" w:name="_Toc436058427"/>
      <w:bookmarkStart w:id="912" w:name="_Toc436058656"/>
      <w:r>
        <w:rPr>
          <w:rStyle w:val="CharDivNo"/>
        </w:rPr>
        <w:t>Division (7)</w:t>
      </w:r>
      <w:r>
        <w:rPr>
          <w:snapToGrid w:val="0"/>
        </w:rPr>
        <w:t> — </w:t>
      </w:r>
      <w:r>
        <w:rPr>
          <w:rStyle w:val="CharDivText"/>
        </w:rPr>
        <w:t>Voting to be compulsory</w:t>
      </w:r>
      <w:bookmarkEnd w:id="905"/>
      <w:bookmarkEnd w:id="906"/>
      <w:bookmarkEnd w:id="907"/>
      <w:bookmarkEnd w:id="908"/>
      <w:bookmarkEnd w:id="909"/>
      <w:bookmarkEnd w:id="910"/>
      <w:bookmarkEnd w:id="911"/>
      <w:bookmarkEnd w:id="912"/>
    </w:p>
    <w:p>
      <w:pPr>
        <w:pStyle w:val="Footnoteheading"/>
        <w:keepNext/>
        <w:spacing w:before="100"/>
        <w:rPr>
          <w:snapToGrid w:val="0"/>
        </w:rPr>
      </w:pPr>
      <w:r>
        <w:rPr>
          <w:snapToGrid w:val="0"/>
        </w:rPr>
        <w:tab/>
        <w:t>[Heading amended by No. 33 of 1964 s. 37.]</w:t>
      </w:r>
    </w:p>
    <w:p>
      <w:pPr>
        <w:pStyle w:val="Heading5"/>
      </w:pPr>
      <w:bookmarkStart w:id="913" w:name="_Toc402969472"/>
      <w:bookmarkStart w:id="914" w:name="_Toc436058657"/>
      <w:bookmarkStart w:id="915" w:name="_Toc416703288"/>
      <w:r>
        <w:rPr>
          <w:rStyle w:val="CharSectno"/>
        </w:rPr>
        <w:t>155AB</w:t>
      </w:r>
      <w:r>
        <w:t>.</w:t>
      </w:r>
      <w:r>
        <w:tab/>
        <w:t>Terms used</w:t>
      </w:r>
      <w:bookmarkEnd w:id="913"/>
      <w:bookmarkEnd w:id="914"/>
      <w:bookmarkEnd w:id="915"/>
    </w:p>
    <w:p>
      <w:pPr>
        <w:pStyle w:val="Subsection"/>
        <w:spacing w:before="140"/>
      </w:pPr>
      <w:r>
        <w:tab/>
      </w:r>
      <w:r>
        <w:tab/>
        <w:t>In this Division —</w:t>
      </w:r>
    </w:p>
    <w:p>
      <w:pPr>
        <w:pStyle w:val="Defstart"/>
      </w:pPr>
      <w:r>
        <w:tab/>
      </w:r>
      <w:r>
        <w:rPr>
          <w:rStyle w:val="CharDefText"/>
        </w:rPr>
        <w:t>infringement notice</w:t>
      </w:r>
      <w:r>
        <w:t xml:space="preserve"> means a notice under section 156(13A);</w:t>
      </w:r>
    </w:p>
    <w:p>
      <w:pPr>
        <w:pStyle w:val="Defstart"/>
      </w:pPr>
      <w:r>
        <w:tab/>
      </w:r>
      <w:r>
        <w:rPr>
          <w:rStyle w:val="CharDefText"/>
        </w:rPr>
        <w:t>penalty notice</w:t>
      </w:r>
      <w:r>
        <w:t xml:space="preserve"> means a notice under section 156(4);</w:t>
      </w:r>
    </w:p>
    <w:p>
      <w:pPr>
        <w:pStyle w:val="Defstart"/>
      </w:pPr>
      <w:r>
        <w:tab/>
      </w:r>
      <w:r>
        <w:rPr>
          <w:rStyle w:val="CharDefText"/>
        </w:rPr>
        <w:t>prepared</w:t>
      </w:r>
      <w:r>
        <w:t xml:space="preserve"> means produced or generated and recorded or stored, whether mechanically, magnetically, electronically or otherwise;</w:t>
      </w:r>
    </w:p>
    <w:p>
      <w:pPr>
        <w:pStyle w:val="Defstart"/>
      </w:pPr>
      <w:r>
        <w:tab/>
      </w:r>
      <w:r>
        <w:rPr>
          <w:rStyle w:val="CharDefText"/>
        </w:rPr>
        <w:t>response date</w:t>
      </w:r>
      <w:r>
        <w:t>, in relation to —</w:t>
      </w:r>
    </w:p>
    <w:p>
      <w:pPr>
        <w:pStyle w:val="Defpara"/>
        <w:spacing w:before="60"/>
      </w:pPr>
      <w:r>
        <w:tab/>
        <w:t>(a)</w:t>
      </w:r>
      <w:r>
        <w:tab/>
        <w:t>a penalty notice, means the date referred to in section 156(6)(c) and set out in the notice;</w:t>
      </w:r>
    </w:p>
    <w:p>
      <w:pPr>
        <w:pStyle w:val="Defpara"/>
        <w:spacing w:before="60"/>
      </w:pPr>
      <w:r>
        <w:tab/>
        <w:t>(b)</w:t>
      </w:r>
      <w:r>
        <w:tab/>
        <w:t>an infringement notice, means the date referred to in section 156(13A)(b) and set out in the notice.</w:t>
      </w:r>
    </w:p>
    <w:p>
      <w:pPr>
        <w:pStyle w:val="Footnotesection"/>
        <w:spacing w:before="100"/>
        <w:ind w:left="890" w:hanging="890"/>
      </w:pPr>
      <w:r>
        <w:tab/>
        <w:t>[Section 155AB inserted by No. 35 of 2012 s. 27.]</w:t>
      </w:r>
    </w:p>
    <w:p>
      <w:pPr>
        <w:pStyle w:val="Heading5"/>
        <w:rPr>
          <w:snapToGrid w:val="0"/>
        </w:rPr>
      </w:pPr>
      <w:bookmarkStart w:id="916" w:name="_Toc402969473"/>
      <w:bookmarkStart w:id="917" w:name="_Toc436058658"/>
      <w:bookmarkStart w:id="918" w:name="_Toc416703289"/>
      <w:r>
        <w:rPr>
          <w:rStyle w:val="CharSectno"/>
        </w:rPr>
        <w:t>156</w:t>
      </w:r>
      <w:r>
        <w:rPr>
          <w:snapToGrid w:val="0"/>
        </w:rPr>
        <w:t>.</w:t>
      </w:r>
      <w:r>
        <w:rPr>
          <w:snapToGrid w:val="0"/>
        </w:rPr>
        <w:tab/>
        <w:t>Elector’s duty to vote; penalty and infringement notices, offences etc. for not voting</w:t>
      </w:r>
      <w:bookmarkEnd w:id="916"/>
      <w:bookmarkEnd w:id="917"/>
      <w:bookmarkEnd w:id="918"/>
    </w:p>
    <w:p>
      <w:pPr>
        <w:pStyle w:val="Subsection"/>
        <w:spacing w:before="140"/>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spacing w:before="140"/>
        <w:rPr>
          <w:snapToGrid w:val="0"/>
        </w:rPr>
      </w:pPr>
      <w:r>
        <w:rPr>
          <w:snapToGrid w:val="0"/>
        </w:rPr>
        <w:tab/>
        <w:t>(2)</w:t>
      </w:r>
      <w:r>
        <w:rPr>
          <w:snapToGrid w:val="0"/>
        </w:rPr>
        <w:tab/>
        <w:t xml:space="preserve">As soon as practicable after the election the Electoral Commissioner shall </w:t>
      </w:r>
      <w:r>
        <w:t>ensure that there is prepared a list of the names and addresses</w:t>
      </w:r>
      <w:r>
        <w:rPr>
          <w:snapToGrid w:val="0"/>
        </w:rPr>
        <w:t xml:space="preserve"> of the electors enrolled for the region or district who did not vote at the election.</w:t>
      </w:r>
    </w:p>
    <w:p>
      <w:pPr>
        <w:pStyle w:val="Subsection"/>
        <w:spacing w:before="140"/>
        <w:rPr>
          <w:snapToGrid w:val="0"/>
        </w:rPr>
      </w:pPr>
      <w:r>
        <w:rPr>
          <w:snapToGrid w:val="0"/>
        </w:rPr>
        <w:tab/>
        <w:t>(2a)</w:t>
      </w:r>
      <w:r>
        <w:rPr>
          <w:snapToGrid w:val="0"/>
        </w:rPr>
        <w:tab/>
        <w:t>A list prepared under subsection (2) shall be certified by statutory declaration of the Electoral Commissioner, or a person authorised by the Electoral Commissioner.</w:t>
      </w:r>
    </w:p>
    <w:p>
      <w:pPr>
        <w:pStyle w:val="Subsection"/>
        <w:spacing w:before="140"/>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w:t>
      </w:r>
    </w:p>
    <w:p>
      <w:pPr>
        <w:pStyle w:val="Indenta"/>
        <w:rPr>
          <w:snapToGrid w:val="0"/>
        </w:rPr>
      </w:pPr>
      <w:r>
        <w:rPr>
          <w:snapToGrid w:val="0"/>
        </w:rPr>
        <w:tab/>
        <w:t>(a)</w:t>
      </w:r>
      <w:r>
        <w:rPr>
          <w:snapToGrid w:val="0"/>
        </w:rPr>
        <w:tab/>
        <w:t>is dead; or</w:t>
      </w:r>
    </w:p>
    <w:p>
      <w:pPr>
        <w:pStyle w:val="Indenta"/>
        <w:rPr>
          <w:snapToGrid w:val="0"/>
        </w:rPr>
      </w:pPr>
      <w:r>
        <w:rPr>
          <w:snapToGrid w:val="0"/>
        </w:rPr>
        <w:tab/>
        <w:t>(b)</w:t>
      </w:r>
      <w:r>
        <w:rPr>
          <w:snapToGrid w:val="0"/>
        </w:rPr>
        <w:tab/>
        <w:t>was outside the State on polling day; or</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w:t>
      </w:r>
    </w:p>
    <w:p>
      <w:pPr>
        <w:pStyle w:val="Indenta"/>
        <w:rPr>
          <w:snapToGrid w:val="0"/>
        </w:rPr>
      </w:pPr>
      <w:r>
        <w:rPr>
          <w:snapToGrid w:val="0"/>
        </w:rPr>
        <w:tab/>
        <w:t>(a)</w:t>
      </w:r>
      <w:r>
        <w:rPr>
          <w:snapToGrid w:val="0"/>
        </w:rPr>
        <w:tab/>
        <w:t>that the elector appears to have failed to vote at the election; and</w:t>
      </w:r>
    </w:p>
    <w:p>
      <w:pPr>
        <w:pStyle w:val="Indenta"/>
        <w:rPr>
          <w:snapToGrid w:val="0"/>
        </w:rPr>
      </w:pPr>
      <w:r>
        <w:rPr>
          <w:snapToGrid w:val="0"/>
        </w:rPr>
        <w:tab/>
        <w:t>(b)</w:t>
      </w:r>
      <w:r>
        <w:rPr>
          <w:snapToGrid w:val="0"/>
        </w:rPr>
        <w:tab/>
        <w:t>that it is an offence to fail to vote at an election without a valid and sufficient reason for the failure; and</w:t>
      </w:r>
    </w:p>
    <w:p>
      <w:pPr>
        <w:pStyle w:val="Indenta"/>
        <w:rPr>
          <w:snapToGrid w:val="0"/>
        </w:rPr>
      </w:pPr>
      <w:r>
        <w:rPr>
          <w:snapToGrid w:val="0"/>
        </w:rPr>
        <w:tab/>
        <w:t>(c)</w:t>
      </w:r>
      <w:r>
        <w:rPr>
          <w:snapToGrid w:val="0"/>
        </w:rPr>
        <w:tab/>
        <w:t xml:space="preserve">that if the elector does not wish to have the apparent failure to vote dealt with by a court, the elector may on or before the </w:t>
      </w:r>
      <w:r>
        <w:t>response date set out in the notice —</w:t>
      </w:r>
    </w:p>
    <w:p>
      <w:pPr>
        <w:pStyle w:val="Indenti"/>
        <w:rPr>
          <w:snapToGrid w:val="0"/>
        </w:rPr>
      </w:pPr>
      <w:r>
        <w:rPr>
          <w:snapToGrid w:val="0"/>
        </w:rPr>
        <w:tab/>
        <w:t>(i)</w:t>
      </w:r>
      <w:r>
        <w:rPr>
          <w:snapToGrid w:val="0"/>
        </w:rPr>
        <w:tab/>
        <w:t>if the elector did vote as required by this Act — give the Electoral Commissioner particulars of the circumstances of the elector’s voting; or</w:t>
      </w:r>
    </w:p>
    <w:p>
      <w:pPr>
        <w:pStyle w:val="Indenti"/>
        <w:rPr>
          <w:snapToGrid w:val="0"/>
        </w:rPr>
      </w:pPr>
      <w:r>
        <w:rPr>
          <w:snapToGrid w:val="0"/>
        </w:rPr>
        <w:tab/>
        <w:t>(ii)</w:t>
      </w:r>
      <w:r>
        <w:rPr>
          <w:snapToGrid w:val="0"/>
        </w:rPr>
        <w:tab/>
        <w:t>if the elector failed to vote — give the Electoral Commissioner a valid and sufficient reason for the failure; or</w:t>
      </w:r>
    </w:p>
    <w:p>
      <w:pPr>
        <w:pStyle w:val="Indenti"/>
        <w:rPr>
          <w:snapToGrid w:val="0"/>
        </w:rPr>
      </w:pPr>
      <w:r>
        <w:rPr>
          <w:snapToGrid w:val="0"/>
        </w:rPr>
        <w:tab/>
        <w:t>(iii)</w:t>
      </w:r>
      <w:r>
        <w:rPr>
          <w:snapToGrid w:val="0"/>
        </w:rPr>
        <w:tab/>
        <w:t xml:space="preserve">pay to the Electoral Commissioner the penalty set out in the notice (the </w:t>
      </w:r>
      <w:r>
        <w:rPr>
          <w:rStyle w:val="CharDefText"/>
        </w:rPr>
        <w:t>modified penalty</w:t>
      </w:r>
      <w:r>
        <w:rPr>
          <w:snapToGrid w:val="0"/>
        </w:rPr>
        <w:t>).</w:t>
      </w:r>
    </w:p>
    <w:p>
      <w:pPr>
        <w:pStyle w:val="Subsection"/>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2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pPr>
      <w:r>
        <w:tab/>
        <w:t>[(9), (10)</w:t>
      </w:r>
      <w:r>
        <w:tab/>
        <w:t>deleted]</w:t>
      </w:r>
    </w:p>
    <w:p>
      <w:pPr>
        <w:pStyle w:val="Subsection"/>
        <w:keepNext/>
        <w:rPr>
          <w:snapToGrid w:val="0"/>
        </w:rPr>
      </w:pPr>
      <w:r>
        <w:rPr>
          <w:snapToGrid w:val="0"/>
        </w:rPr>
        <w:tab/>
        <w:t>(11)</w:t>
      </w:r>
      <w:r>
        <w:rPr>
          <w:snapToGrid w:val="0"/>
        </w:rPr>
        <w:tab/>
        <w:t>If, on or before the response date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keepNext/>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tab/>
        <w:t>(12)</w:t>
      </w:r>
      <w:r>
        <w:tab/>
      </w:r>
      <w:r>
        <w:rPr>
          <w:snapToGrid w:val="0"/>
        </w:rPr>
        <w:t>Subsection (13A) applies to an elector if a penalty notice is sent to the elector and —</w:t>
      </w:r>
    </w:p>
    <w:p>
      <w:pPr>
        <w:pStyle w:val="Indenta"/>
        <w:rPr>
          <w:snapToGrid w:val="0"/>
        </w:rPr>
      </w:pPr>
      <w:r>
        <w:tab/>
        <w:t>(a)</w:t>
      </w:r>
      <w:r>
        <w:tab/>
      </w:r>
      <w:r>
        <w:rPr>
          <w:snapToGrid w:val="0"/>
        </w:rPr>
        <w:t>the elector does not respond to the penalty notice on or before the response date; or</w:t>
      </w:r>
    </w:p>
    <w:p>
      <w:pPr>
        <w:pStyle w:val="Indenta"/>
        <w:rPr>
          <w:snapToGrid w:val="0"/>
        </w:rPr>
      </w:pPr>
      <w:r>
        <w:rPr>
          <w:snapToGrid w:val="0"/>
        </w:rPr>
        <w:tab/>
        <w:t>(b)</w:t>
      </w:r>
      <w:r>
        <w:rPr>
          <w:snapToGrid w:val="0"/>
        </w:rPr>
        <w:tab/>
        <w:t>the elector responds to the penalty notice on or before the response date in the manner indicated in subsection (6)(c)(i) or (ii) but the Electoral Commissioner is not satisfied —</w:t>
      </w:r>
    </w:p>
    <w:p>
      <w:pPr>
        <w:pStyle w:val="Indenti"/>
        <w:rPr>
          <w:snapToGrid w:val="0"/>
        </w:rPr>
      </w:pPr>
      <w:r>
        <w:tab/>
        <w:t>(i)</w:t>
      </w:r>
      <w:r>
        <w:tab/>
      </w:r>
      <w:r>
        <w:rPr>
          <w:snapToGrid w:val="0"/>
        </w:rPr>
        <w:t>in the case of a response under subsection (6)(c)(i) — that the elector voted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Subsection"/>
        <w:rPr>
          <w:snapToGrid w:val="0"/>
        </w:rPr>
      </w:pPr>
      <w:r>
        <w:rPr>
          <w:snapToGrid w:val="0"/>
        </w:rPr>
        <w:tab/>
        <w:t>(13A)</w:t>
      </w:r>
      <w:r>
        <w:rPr>
          <w:snapToGrid w:val="0"/>
        </w:rPr>
        <w:tab/>
        <w:t>If this subsection applies to an elector the Electoral Commissioner may send to the elector an infringement notice in a prescribed form —</w:t>
      </w:r>
    </w:p>
    <w:p>
      <w:pPr>
        <w:pStyle w:val="Indenta"/>
        <w:rPr>
          <w:snapToGrid w:val="0"/>
        </w:rPr>
      </w:pPr>
      <w:r>
        <w:rPr>
          <w:snapToGrid w:val="0"/>
        </w:rPr>
        <w:tab/>
        <w:t>(a)</w:t>
      </w:r>
      <w:r>
        <w:rPr>
          <w:snapToGrid w:val="0"/>
        </w:rPr>
        <w:tab/>
        <w:t>notifying the elector —</w:t>
      </w:r>
    </w:p>
    <w:p>
      <w:pPr>
        <w:pStyle w:val="Indenti"/>
        <w:rPr>
          <w:snapToGrid w:val="0"/>
        </w:rPr>
      </w:pPr>
      <w:r>
        <w:rPr>
          <w:snapToGrid w:val="0"/>
        </w:rPr>
        <w:tab/>
        <w:t>(i)</w:t>
      </w:r>
      <w:r>
        <w:rPr>
          <w:snapToGrid w:val="0"/>
        </w:rPr>
        <w:tab/>
        <w:t>that the elector has not responded to a penalty notice; or</w:t>
      </w:r>
    </w:p>
    <w:p>
      <w:pPr>
        <w:pStyle w:val="Indenti"/>
        <w:rPr>
          <w:snapToGrid w:val="0"/>
        </w:rPr>
      </w:pPr>
      <w:r>
        <w:rPr>
          <w:snapToGrid w:val="0"/>
        </w:rPr>
        <w:tab/>
        <w:t>(ii)</w:t>
      </w:r>
      <w:r>
        <w:rPr>
          <w:snapToGrid w:val="0"/>
        </w:rPr>
        <w:tab/>
        <w:t>that the elector’s response to a penalty notice has not satisfied the Electoral Commissioner,</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 xml:space="preserve">informing the elector that if the elector does not wish to be prosecuted in a court for an alleged offence of failure to vote at an election without a valid and sufficient reason for such failure, the elector may, on or before the response date set out in the infringement notice, pay to the Electoral Commissioner the penalty set out in the infringement notice (the </w:t>
      </w:r>
      <w:r>
        <w:rPr>
          <w:rStyle w:val="CharDefText"/>
        </w:rPr>
        <w:t>modified penalty</w:t>
      </w:r>
      <w:r>
        <w:rPr>
          <w:snapToGrid w:val="0"/>
        </w:rPr>
        <w:t>).</w:t>
      </w:r>
    </w:p>
    <w:p>
      <w:pPr>
        <w:pStyle w:val="Subsection"/>
        <w:rPr>
          <w:snapToGrid w:val="0"/>
        </w:rPr>
      </w:pPr>
      <w:r>
        <w:rPr>
          <w:snapToGrid w:val="0"/>
        </w:rPr>
        <w:tab/>
        <w:t>(13)</w:t>
      </w:r>
      <w:r>
        <w:rPr>
          <w:snapToGrid w:val="0"/>
        </w:rPr>
        <w:tab/>
        <w:t xml:space="preserve">Subsections (7) and (8) apply, with any necessary modifications, to </w:t>
      </w:r>
      <w:r>
        <w:t>an infringement notice.</w:t>
      </w:r>
    </w:p>
    <w:p>
      <w:pPr>
        <w:pStyle w:val="Subsection"/>
        <w:rPr>
          <w:snapToGrid w:val="0"/>
        </w:rPr>
      </w:pPr>
      <w:r>
        <w:rPr>
          <w:snapToGrid w:val="0"/>
        </w:rPr>
        <w:tab/>
        <w:t>(14)</w:t>
      </w:r>
      <w:r>
        <w:rPr>
          <w:snapToGrid w:val="0"/>
        </w:rPr>
        <w:tab/>
        <w:t xml:space="preserve">If in response to </w:t>
      </w:r>
      <w:r>
        <w:t xml:space="preserve">an infringement notice </w:t>
      </w:r>
      <w:r>
        <w:rPr>
          <w:snapToGrid w:val="0"/>
        </w:rPr>
        <w:t>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 xml:space="preserve">If an elector is unable, by reason of absence from his place of living or physical incapacity, to respond to a penalty notice or to </w:t>
      </w:r>
      <w:r>
        <w:t xml:space="preserve">an infringement notice </w:t>
      </w:r>
      <w:r>
        <w:rPr>
          <w:snapToGrid w:val="0"/>
        </w:rPr>
        <w:t>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keepNext/>
        <w:keepLines/>
        <w:rPr>
          <w:snapToGrid w:val="0"/>
        </w:rPr>
      </w:pPr>
      <w:r>
        <w:rPr>
          <w:snapToGrid w:val="0"/>
        </w:rPr>
        <w:tab/>
        <w:t>(15)</w:t>
      </w:r>
      <w:r>
        <w:rPr>
          <w:snapToGrid w:val="0"/>
        </w:rPr>
        <w:tab/>
        <w:t>At the conclusion of an election, the Electoral Commissioner shall —</w:t>
      </w:r>
    </w:p>
    <w:p>
      <w:pPr>
        <w:pStyle w:val="Indenta"/>
        <w:rPr>
          <w:snapToGrid w:val="0"/>
        </w:rPr>
      </w:pPr>
      <w:r>
        <w:rPr>
          <w:snapToGrid w:val="0"/>
        </w:rPr>
        <w:tab/>
        <w:t>(a)</w:t>
      </w:r>
      <w:r>
        <w:rPr>
          <w:snapToGrid w:val="0"/>
        </w:rPr>
        <w:tab/>
        <w:t>cause to be ascertained whether any person who failed or neglected to respond to a penalty notice</w:t>
      </w:r>
      <w:r>
        <w:t xml:space="preserve"> or an infringement notice</w:t>
      </w:r>
      <w:r>
        <w:rPr>
          <w:snapToGrid w:val="0"/>
        </w:rPr>
        <w:t xml:space="preserv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keepNext/>
        <w:rPr>
          <w:snapToGrid w:val="0"/>
        </w:rPr>
      </w:pPr>
      <w:r>
        <w:rPr>
          <w:snapToGrid w:val="0"/>
        </w:rPr>
        <w:tab/>
        <w:t>(16)</w:t>
      </w:r>
      <w:r>
        <w:rPr>
          <w:snapToGrid w:val="0"/>
        </w:rPr>
        <w:tab/>
        <w:t>Every elector who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rStyle w:val="CharDefText"/>
        </w:rPr>
        <w:t>valid and sufficient reason</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 xml:space="preserve">makes a statement in response to a penalty notice or to </w:t>
      </w:r>
      <w:r>
        <w:t xml:space="preserve">an infringement notice </w:t>
      </w:r>
      <w:r>
        <w:rPr>
          <w:snapToGrid w:val="0"/>
        </w:rPr>
        <w:t>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No. 64 of 2006 s. 41; No. 35 of 2012 s. 28.]</w:t>
      </w:r>
    </w:p>
    <w:p>
      <w:pPr>
        <w:pStyle w:val="Heading5"/>
      </w:pPr>
      <w:bookmarkStart w:id="919" w:name="_Toc402969474"/>
      <w:bookmarkStart w:id="920" w:name="_Toc436058659"/>
      <w:bookmarkStart w:id="921" w:name="_Toc416703290"/>
      <w:r>
        <w:rPr>
          <w:rStyle w:val="CharSectno"/>
        </w:rPr>
        <w:t>156AA</w:t>
      </w:r>
      <w:r>
        <w:t>.</w:t>
      </w:r>
      <w:r>
        <w:tab/>
        <w:t>Evidentiary certificate for s. 156 proceedings</w:t>
      </w:r>
      <w:bookmarkEnd w:id="919"/>
      <w:bookmarkEnd w:id="920"/>
      <w:bookmarkEnd w:id="921"/>
    </w:p>
    <w:p>
      <w:pPr>
        <w:pStyle w:val="Subsection"/>
      </w:pPr>
      <w:r>
        <w:tab/>
        <w:t>(1)</w:t>
      </w:r>
      <w:r>
        <w:tab/>
        <w:t>In proceedings for an offence against section 156, a certificate containing a statement described in subsection (2) and purporting to be signed by the Electoral Commissioner is, without proof of any appointment or signature, evidence of the facts stated in the certificate.</w:t>
      </w:r>
    </w:p>
    <w:p>
      <w:pPr>
        <w:pStyle w:val="Subsection"/>
      </w:pPr>
      <w:r>
        <w:tab/>
        <w:t>(2)</w:t>
      </w:r>
      <w:r>
        <w:tab/>
        <w:t>A certificate may state any or all of the following —</w:t>
      </w:r>
    </w:p>
    <w:p>
      <w:pPr>
        <w:pStyle w:val="Indenta"/>
      </w:pPr>
      <w:r>
        <w:tab/>
        <w:t>(a)</w:t>
      </w:r>
      <w:r>
        <w:tab/>
        <w:t>a specified date is the date that an election was held;</w:t>
      </w:r>
    </w:p>
    <w:p>
      <w:pPr>
        <w:pStyle w:val="Indenta"/>
      </w:pPr>
      <w:r>
        <w:tab/>
        <w:t>(b)</w:t>
      </w:r>
      <w:r>
        <w:tab/>
        <w:t>a specified person was an elector on a specified date;</w:t>
      </w:r>
    </w:p>
    <w:p>
      <w:pPr>
        <w:pStyle w:val="Indenta"/>
      </w:pPr>
      <w:r>
        <w:tab/>
        <w:t>(c)</w:t>
      </w:r>
      <w:r>
        <w:tab/>
        <w:t>a specified person did not vote at an election;</w:t>
      </w:r>
    </w:p>
    <w:p>
      <w:pPr>
        <w:pStyle w:val="Indenta"/>
      </w:pPr>
      <w:r>
        <w:tab/>
        <w:t>(d)</w:t>
      </w:r>
      <w:r>
        <w:tab/>
        <w:t>a specified person —</w:t>
      </w:r>
    </w:p>
    <w:p>
      <w:pPr>
        <w:pStyle w:val="Indenti"/>
      </w:pPr>
      <w:r>
        <w:tab/>
        <w:t>(i)</w:t>
      </w:r>
      <w:r>
        <w:tab/>
        <w:t>was sent a penalty notice or an infringement notice;</w:t>
      </w:r>
    </w:p>
    <w:p>
      <w:pPr>
        <w:pStyle w:val="Indenti"/>
      </w:pPr>
      <w:r>
        <w:tab/>
        <w:t>(ii)</w:t>
      </w:r>
      <w:r>
        <w:tab/>
        <w:t>did or did not (as the case may be) respond to a penalty notice or an infringement notice on or by a specified date;</w:t>
      </w:r>
    </w:p>
    <w:p>
      <w:pPr>
        <w:pStyle w:val="Indenti"/>
      </w:pPr>
      <w:r>
        <w:tab/>
        <w:t>(iii)</w:t>
      </w:r>
      <w:r>
        <w:tab/>
        <w:t>responded to a penalty notice or an infringement notice in a specified manner;</w:t>
      </w:r>
    </w:p>
    <w:p>
      <w:pPr>
        <w:pStyle w:val="Indenta"/>
      </w:pPr>
      <w:r>
        <w:tab/>
        <w:t>(e)</w:t>
      </w:r>
      <w:r>
        <w:tab/>
        <w:t>a penalty notice or an infringement notice was sent on a specified date;</w:t>
      </w:r>
    </w:p>
    <w:p>
      <w:pPr>
        <w:pStyle w:val="Indenta"/>
      </w:pPr>
      <w:r>
        <w:tab/>
        <w:t>(f)</w:t>
      </w:r>
      <w:r>
        <w:tab/>
        <w:t>a specified date was the response date for a penalty notice or an infringement notice.</w:t>
      </w:r>
    </w:p>
    <w:p>
      <w:pPr>
        <w:pStyle w:val="Subsection"/>
      </w:pPr>
      <w:r>
        <w:tab/>
        <w:t>(3)</w:t>
      </w:r>
      <w:r>
        <w:tab/>
        <w:t>In subsection (2) —</w:t>
      </w:r>
    </w:p>
    <w:p>
      <w:pPr>
        <w:pStyle w:val="Defstart"/>
      </w:pPr>
      <w:r>
        <w:tab/>
      </w:r>
      <w:r>
        <w:rPr>
          <w:rStyle w:val="CharDefText"/>
        </w:rPr>
        <w:t>specified</w:t>
      </w:r>
      <w:r>
        <w:t xml:space="preserve"> means specified in the certificate.</w:t>
      </w:r>
    </w:p>
    <w:p>
      <w:pPr>
        <w:pStyle w:val="Footnotesection"/>
      </w:pPr>
      <w:r>
        <w:tab/>
        <w:t>[Section 156AA inserted by No. 35 of 2012 s. 29.]</w:t>
      </w:r>
    </w:p>
    <w:p>
      <w:pPr>
        <w:pStyle w:val="Heading2"/>
      </w:pPr>
      <w:bookmarkStart w:id="922" w:name="_Toc402969475"/>
      <w:bookmarkStart w:id="923" w:name="_Toc416702907"/>
      <w:bookmarkStart w:id="924" w:name="_Toc416703291"/>
      <w:bookmarkStart w:id="925" w:name="_Toc435714543"/>
      <w:bookmarkStart w:id="926" w:name="_Toc436057658"/>
      <w:bookmarkStart w:id="927" w:name="_Toc436058046"/>
      <w:bookmarkStart w:id="928" w:name="_Toc436058431"/>
      <w:bookmarkStart w:id="929" w:name="_Toc436058660"/>
      <w:r>
        <w:rPr>
          <w:rStyle w:val="CharPartNo"/>
        </w:rPr>
        <w:t>Part IVA</w:t>
      </w:r>
      <w:r>
        <w:rPr>
          <w:rStyle w:val="CharDivNo"/>
        </w:rPr>
        <w:t> </w:t>
      </w:r>
      <w:r>
        <w:t>—</w:t>
      </w:r>
      <w:r>
        <w:rPr>
          <w:rStyle w:val="CharDivText"/>
        </w:rPr>
        <w:t> </w:t>
      </w:r>
      <w:r>
        <w:rPr>
          <w:rStyle w:val="CharPartText"/>
        </w:rPr>
        <w:t>Filling vacancies in the Council</w:t>
      </w:r>
      <w:bookmarkEnd w:id="922"/>
      <w:bookmarkEnd w:id="923"/>
      <w:bookmarkEnd w:id="924"/>
      <w:bookmarkEnd w:id="925"/>
      <w:bookmarkEnd w:id="926"/>
      <w:bookmarkEnd w:id="927"/>
      <w:bookmarkEnd w:id="928"/>
      <w:bookmarkEnd w:id="929"/>
    </w:p>
    <w:p>
      <w:pPr>
        <w:pStyle w:val="Footnoteheading"/>
        <w:rPr>
          <w:snapToGrid w:val="0"/>
        </w:rPr>
      </w:pPr>
      <w:r>
        <w:rPr>
          <w:snapToGrid w:val="0"/>
        </w:rPr>
        <w:tab/>
        <w:t>[Heading inserted by No. 40 of 1987 s. 79.]</w:t>
      </w:r>
    </w:p>
    <w:p>
      <w:pPr>
        <w:pStyle w:val="Heading5"/>
        <w:rPr>
          <w:snapToGrid w:val="0"/>
        </w:rPr>
      </w:pPr>
      <w:bookmarkStart w:id="930" w:name="_Toc402969476"/>
      <w:bookmarkStart w:id="931" w:name="_Toc436058661"/>
      <w:bookmarkStart w:id="932" w:name="_Toc416703292"/>
      <w:r>
        <w:rPr>
          <w:rStyle w:val="CharSectno"/>
        </w:rPr>
        <w:t>156A</w:t>
      </w:r>
      <w:r>
        <w:rPr>
          <w:snapToGrid w:val="0"/>
        </w:rPr>
        <w:t xml:space="preserve">. </w:t>
      </w:r>
      <w:r>
        <w:rPr>
          <w:snapToGrid w:val="0"/>
        </w:rPr>
        <w:tab/>
        <w:t>Terms used</w:t>
      </w:r>
      <w:bookmarkEnd w:id="930"/>
      <w:bookmarkEnd w:id="931"/>
      <w:bookmarkEnd w:id="932"/>
    </w:p>
    <w:p>
      <w:pPr>
        <w:pStyle w:val="Subsection"/>
        <w:rPr>
          <w:snapToGrid w:val="0"/>
        </w:rPr>
      </w:pPr>
      <w:r>
        <w:rPr>
          <w:snapToGrid w:val="0"/>
        </w:rPr>
        <w:tab/>
      </w:r>
      <w:r>
        <w:rPr>
          <w:snapToGrid w:val="0"/>
        </w:rPr>
        <w:tab/>
        <w:t>In this Part —</w:t>
      </w:r>
    </w:p>
    <w:p>
      <w:pPr>
        <w:pStyle w:val="Defstart"/>
        <w:spacing w:before="60"/>
      </w:pPr>
      <w:r>
        <w:tab/>
      </w:r>
      <w:r>
        <w:rPr>
          <w:rStyle w:val="CharDefText"/>
        </w:rPr>
        <w:t>original election</w:t>
      </w:r>
      <w:r>
        <w:t>, in relation to a vacancy, means the full election in the region in respect of which the vacancy has occurred at which —</w:t>
      </w:r>
    </w:p>
    <w:p>
      <w:pPr>
        <w:pStyle w:val="Defpara"/>
        <w:spacing w:before="60"/>
      </w:pPr>
      <w:r>
        <w:tab/>
        <w:t>(a)</w:t>
      </w:r>
      <w:r>
        <w:tab/>
        <w:t>the member in whose seat the vacancy has occurred; or</w:t>
      </w:r>
    </w:p>
    <w:p>
      <w:pPr>
        <w:pStyle w:val="Defpara"/>
      </w:pPr>
      <w:r>
        <w:tab/>
        <w:t>(b)</w:t>
      </w:r>
      <w:r>
        <w:tab/>
        <w:t>in a case where the member in whose seat the vacancy has occurred was elected under sections 156C and 156D or under section 156E, the member who was the predecessor (whether immediate, intermediate, or original) of that member,</w:t>
      </w:r>
    </w:p>
    <w:p>
      <w:pPr>
        <w:pStyle w:val="Defstart"/>
      </w:pPr>
      <w:r>
        <w:tab/>
        <w:t>was elected;</w:t>
      </w:r>
    </w:p>
    <w:p>
      <w:pPr>
        <w:pStyle w:val="Defstart"/>
      </w:pPr>
      <w:r>
        <w:rPr>
          <w:b/>
        </w:rPr>
        <w:tab/>
      </w:r>
      <w:r>
        <w:rPr>
          <w:rStyle w:val="CharDefText"/>
        </w:rPr>
        <w:t>qualified person</w:t>
      </w:r>
      <w:r>
        <w:t>, in relation to a vacancy, means a person who —</w:t>
      </w:r>
    </w:p>
    <w:p>
      <w:pPr>
        <w:pStyle w:val="Defpara"/>
      </w:pPr>
      <w:r>
        <w:tab/>
        <w:t>(a)</w:t>
      </w:r>
      <w:r>
        <w:tab/>
        <w:t>was a candidate at original election; and</w:t>
      </w:r>
    </w:p>
    <w:p>
      <w:pPr>
        <w:pStyle w:val="Defpara"/>
      </w:pPr>
      <w:r>
        <w:tab/>
        <w:t>(b)</w:t>
      </w:r>
      <w:r>
        <w:tab/>
        <w:t>did not withdraw from, and was not elected at, that election; and</w:t>
      </w:r>
    </w:p>
    <w:p>
      <w:pPr>
        <w:pStyle w:val="Defpara"/>
      </w:pPr>
      <w:r>
        <w:tab/>
        <w:t>(c)</w:t>
      </w:r>
      <w:r>
        <w:tab/>
        <w:t>has not become a member of the Council since that election; and</w:t>
      </w:r>
    </w:p>
    <w:p>
      <w:pPr>
        <w:pStyle w:val="Defpara"/>
      </w:pPr>
      <w:r>
        <w:tab/>
        <w:t>(d)</w:t>
      </w:r>
      <w:r>
        <w:tab/>
        <w:t>is qualified to be elected and is not disqualified from being elected as a member of the Council;</w:t>
      </w:r>
    </w:p>
    <w:p>
      <w:pPr>
        <w:pStyle w:val="Defstart"/>
      </w:pPr>
      <w:r>
        <w:rPr>
          <w:b/>
        </w:rPr>
        <w:tab/>
      </w:r>
      <w:r>
        <w:rPr>
          <w:rStyle w:val="CharDefText"/>
        </w:rPr>
        <w:t>vacancy</w:t>
      </w:r>
      <w:r>
        <w:t xml:space="preserve"> means a vacancy in the Council that occurs otherwise than because of —</w:t>
      </w:r>
    </w:p>
    <w:p>
      <w:pPr>
        <w:pStyle w:val="Defpara"/>
      </w:pPr>
      <w:r>
        <w:tab/>
        <w:t>(a)</w:t>
      </w:r>
      <w:r>
        <w:tab/>
        <w:t>the expiration of the term of service of a member; or</w:t>
      </w:r>
    </w:p>
    <w:p>
      <w:pPr>
        <w:pStyle w:val="Defpara"/>
      </w:pPr>
      <w:r>
        <w:tab/>
        <w:t>(b)</w:t>
      </w:r>
      <w:r>
        <w:tab/>
        <w:t>an election in a region failing wholly or partially; or</w:t>
      </w:r>
    </w:p>
    <w:p>
      <w:pPr>
        <w:pStyle w:val="Defpara"/>
      </w:pPr>
      <w:r>
        <w:tab/>
        <w:t>(c)</w:t>
      </w:r>
      <w:r>
        <w:tab/>
        <w:t>the declaration of an election in a region to be absolutely void.</w:t>
      </w:r>
    </w:p>
    <w:p>
      <w:pPr>
        <w:pStyle w:val="Footnotesection"/>
        <w:spacing w:before="80"/>
        <w:ind w:left="890" w:hanging="890"/>
      </w:pPr>
      <w:r>
        <w:tab/>
        <w:t>[Section 156A inserted by No. 40 of 1987 s. 79; amended by No. 36 of 2000 s. 55(1) and (2); No. 64 of 2006 s. 53.]</w:t>
      </w:r>
    </w:p>
    <w:p>
      <w:pPr>
        <w:pStyle w:val="Heading5"/>
        <w:rPr>
          <w:snapToGrid w:val="0"/>
        </w:rPr>
      </w:pPr>
      <w:bookmarkStart w:id="933" w:name="_Toc402969477"/>
      <w:bookmarkStart w:id="934" w:name="_Toc436058662"/>
      <w:bookmarkStart w:id="935" w:name="_Toc416703293"/>
      <w:r>
        <w:rPr>
          <w:rStyle w:val="CharSectno"/>
        </w:rPr>
        <w:t>156B</w:t>
      </w:r>
      <w:r>
        <w:rPr>
          <w:snapToGrid w:val="0"/>
        </w:rPr>
        <w:t>.</w:t>
      </w:r>
      <w:r>
        <w:rPr>
          <w:snapToGrid w:val="0"/>
        </w:rPr>
        <w:tab/>
        <w:t>Vacancy in Council, Governor to be notified of etc.</w:t>
      </w:r>
      <w:bookmarkEnd w:id="933"/>
      <w:bookmarkEnd w:id="934"/>
      <w:bookmarkEnd w:id="935"/>
    </w:p>
    <w:p>
      <w:pPr>
        <w:pStyle w:val="Subsection"/>
        <w:spacing w:before="140"/>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spacing w:before="140"/>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spacing w:before="140"/>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spacing w:before="100"/>
        <w:ind w:left="890" w:hanging="890"/>
      </w:pPr>
      <w:r>
        <w:tab/>
        <w:t>[Section 156B inserted by No. 40 of 1987 s. 79.]</w:t>
      </w:r>
    </w:p>
    <w:p>
      <w:pPr>
        <w:pStyle w:val="Heading5"/>
        <w:rPr>
          <w:snapToGrid w:val="0"/>
        </w:rPr>
      </w:pPr>
      <w:bookmarkStart w:id="936" w:name="_Toc402969478"/>
      <w:bookmarkStart w:id="937" w:name="_Toc436058663"/>
      <w:bookmarkStart w:id="938" w:name="_Toc416703294"/>
      <w:r>
        <w:rPr>
          <w:rStyle w:val="CharSectno"/>
        </w:rPr>
        <w:t>156C</w:t>
      </w:r>
      <w:r>
        <w:rPr>
          <w:snapToGrid w:val="0"/>
        </w:rPr>
        <w:t>.</w:t>
      </w:r>
      <w:r>
        <w:rPr>
          <w:snapToGrid w:val="0"/>
        </w:rPr>
        <w:tab/>
        <w:t>Electoral Commissioner’s duties when informed of vacancy; nominations of candidates for vacancy being filled by re</w:t>
      </w:r>
      <w:r>
        <w:rPr>
          <w:snapToGrid w:val="0"/>
        </w:rPr>
        <w:noBreakHyphen/>
        <w:t>count</w:t>
      </w:r>
      <w:bookmarkEnd w:id="936"/>
      <w:bookmarkEnd w:id="937"/>
      <w:bookmarkEnd w:id="938"/>
    </w:p>
    <w:p>
      <w:pPr>
        <w:pStyle w:val="Subsection"/>
        <w:spacing w:before="140"/>
        <w:rPr>
          <w:snapToGrid w:val="0"/>
        </w:rPr>
      </w:pPr>
      <w:r>
        <w:rPr>
          <w:snapToGrid w:val="0"/>
        </w:rPr>
        <w:tab/>
        <w:t>(1)</w:t>
      </w:r>
      <w:r>
        <w:rPr>
          <w:snapToGrid w:val="0"/>
        </w:rPr>
        <w:tab/>
        <w:t>Where the Governor receives or takes notice of a vacancy under section 156B the Governor shall inform the Electoral Commissioner who shall —</w:t>
      </w:r>
    </w:p>
    <w:p>
      <w:pPr>
        <w:pStyle w:val="Indenta"/>
        <w:spacing w:before="60"/>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spacing w:before="60"/>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spacing w:before="140"/>
        <w:rPr>
          <w:snapToGrid w:val="0"/>
        </w:rPr>
      </w:pPr>
      <w:r>
        <w:rPr>
          <w:snapToGrid w:val="0"/>
        </w:rPr>
        <w:tab/>
        <w:t>(2)</w:t>
      </w:r>
      <w:r>
        <w:rPr>
          <w:snapToGrid w:val="0"/>
        </w:rPr>
        <w:tab/>
        <w:t>Where a vacancy is to be filled and —</w:t>
      </w:r>
    </w:p>
    <w:p>
      <w:pPr>
        <w:pStyle w:val="Indenta"/>
        <w:spacing w:before="60"/>
        <w:rPr>
          <w:snapToGrid w:val="0"/>
        </w:rPr>
      </w:pPr>
      <w:r>
        <w:rPr>
          <w:snapToGrid w:val="0"/>
        </w:rPr>
        <w:tab/>
        <w:t>(a)</w:t>
      </w:r>
      <w:r>
        <w:rPr>
          <w:snapToGrid w:val="0"/>
        </w:rPr>
        <w:tab/>
        <w:t>the member in whose seat the vacancy has occurred; or</w:t>
      </w:r>
    </w:p>
    <w:p>
      <w:pPr>
        <w:pStyle w:val="Indenta"/>
        <w:spacing w:before="60"/>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[Section 156C inserted by No. 40 of 1987 s. 79; amended by No. 36 of 2000 s. 55(2).]</w:t>
      </w:r>
    </w:p>
    <w:p>
      <w:pPr>
        <w:pStyle w:val="Heading5"/>
        <w:rPr>
          <w:snapToGrid w:val="0"/>
        </w:rPr>
      </w:pPr>
      <w:bookmarkStart w:id="939" w:name="_Toc402969479"/>
      <w:bookmarkStart w:id="940" w:name="_Toc436058664"/>
      <w:bookmarkStart w:id="941" w:name="_Toc416703295"/>
      <w:r>
        <w:rPr>
          <w:rStyle w:val="CharSectno"/>
        </w:rPr>
        <w:t>156D</w:t>
      </w:r>
      <w:r>
        <w:rPr>
          <w:snapToGrid w:val="0"/>
        </w:rPr>
        <w:t>.</w:t>
      </w:r>
      <w:r>
        <w:rPr>
          <w:snapToGrid w:val="0"/>
        </w:rPr>
        <w:tab/>
        <w:t>Vacancy being filled by re</w:t>
      </w:r>
      <w:r>
        <w:rPr>
          <w:snapToGrid w:val="0"/>
        </w:rPr>
        <w:noBreakHyphen/>
        <w:t>count, procedure at close of nominations</w:t>
      </w:r>
      <w:bookmarkEnd w:id="939"/>
      <w:bookmarkEnd w:id="940"/>
      <w:bookmarkEnd w:id="941"/>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rStyle w:val="CharDefText"/>
        </w:rPr>
        <w:t>consenting candidate</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 xml:space="preserve">When a member has been elected under this section the Electoral Commissioner shall </w:t>
      </w:r>
      <w:r>
        <w:t>not destroy</w:t>
      </w:r>
      <w:r>
        <w:rPr>
          <w:snapToGrid w:val="0"/>
        </w:rPr>
        <w:t xml:space="preserve">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w:t>
      </w:r>
    </w:p>
    <w:p>
      <w:pPr>
        <w:pStyle w:val="Defstart"/>
      </w:pPr>
      <w:r>
        <w:rPr>
          <w:b/>
        </w:rPr>
        <w:tab/>
      </w:r>
      <w:r>
        <w:rPr>
          <w:rStyle w:val="CharDefText"/>
        </w:rPr>
        <w:t>non</w:t>
      </w:r>
      <w:r>
        <w:rPr>
          <w:rStyle w:val="CharDefText"/>
        </w:rPr>
        <w:noBreakHyphen/>
        <w:t>participating candidate</w:t>
      </w:r>
      <w:r>
        <w:t xml:space="preserve"> means a person who was a candidate at the original election and is neither a consenting candidate nor a previously elected member;</w:t>
      </w:r>
    </w:p>
    <w:p>
      <w:pPr>
        <w:pStyle w:val="Defstart"/>
      </w:pPr>
      <w:r>
        <w:rPr>
          <w:b/>
        </w:rPr>
        <w:tab/>
      </w:r>
      <w:r>
        <w:rPr>
          <w:rStyle w:val="CharDefText"/>
        </w:rPr>
        <w:t>previously elected member</w:t>
      </w:r>
      <w:r>
        <w:t xml:space="preserve"> means a person who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[Section 156D inserted by No. 66 of 1990 s. 3; amended by No. 36 of 2000 s. 55(2); No. 35 of 2012 s. 26.]</w:t>
      </w:r>
    </w:p>
    <w:p>
      <w:pPr>
        <w:pStyle w:val="Heading5"/>
        <w:rPr>
          <w:snapToGrid w:val="0"/>
        </w:rPr>
      </w:pPr>
      <w:bookmarkStart w:id="942" w:name="_Toc402969480"/>
      <w:bookmarkStart w:id="943" w:name="_Toc436058665"/>
      <w:bookmarkStart w:id="944" w:name="_Toc416703296"/>
      <w:r>
        <w:rPr>
          <w:rStyle w:val="CharSectno"/>
        </w:rPr>
        <w:t>156E</w:t>
      </w:r>
      <w:r>
        <w:rPr>
          <w:snapToGrid w:val="0"/>
        </w:rPr>
        <w:t>.</w:t>
      </w:r>
      <w:r>
        <w:rPr>
          <w:snapToGrid w:val="0"/>
        </w:rPr>
        <w:tab/>
        <w:t>Vacancy being filled by fresh election, writ for</w:t>
      </w:r>
      <w:bookmarkEnd w:id="942"/>
      <w:bookmarkEnd w:id="943"/>
      <w:bookmarkEnd w:id="944"/>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w:t>
      </w:r>
      <w:r>
        <w:t xml:space="preserve">section 64(3) and the </w:t>
      </w:r>
      <w:r>
        <w:rPr>
          <w:i/>
          <w:iCs/>
        </w:rPr>
        <w:t>Constitution Acts Amendment Act 1899</w:t>
      </w:r>
      <w:r>
        <w:t xml:space="preserve"> section 10 </w:t>
      </w:r>
      <w:r>
        <w:rPr>
          <w:snapToGrid w:val="0"/>
        </w:rPr>
        <w:t>to occur by effluxion of time at the close of 21 May in that year.</w:t>
      </w:r>
    </w:p>
    <w:p>
      <w:pPr>
        <w:pStyle w:val="Footnotesection"/>
      </w:pPr>
      <w:r>
        <w:tab/>
        <w:t>[Section 156E inserted by No. 40 of 1987 s. 79; amended by No. 66 of 1990 s. 4; No. 36 of 2000 s. 19; No. 49 of 2011 s. 10.]</w:t>
      </w:r>
    </w:p>
    <w:p>
      <w:pPr>
        <w:pStyle w:val="Heading2"/>
      </w:pPr>
      <w:bookmarkStart w:id="945" w:name="_Toc402969481"/>
      <w:bookmarkStart w:id="946" w:name="_Toc416702913"/>
      <w:bookmarkStart w:id="947" w:name="_Toc416703297"/>
      <w:bookmarkStart w:id="948" w:name="_Toc435714549"/>
      <w:bookmarkStart w:id="949" w:name="_Toc436057664"/>
      <w:bookmarkStart w:id="950" w:name="_Toc436058052"/>
      <w:bookmarkStart w:id="951" w:name="_Toc436058437"/>
      <w:bookmarkStart w:id="952" w:name="_Toc436058666"/>
      <w:r>
        <w:rPr>
          <w:rStyle w:val="CharPartNo"/>
        </w:rPr>
        <w:t>Part V</w:t>
      </w:r>
      <w:r>
        <w:rPr>
          <w:rStyle w:val="CharDivNo"/>
        </w:rPr>
        <w:t> </w:t>
      </w:r>
      <w:r>
        <w:t>—</w:t>
      </w:r>
      <w:r>
        <w:rPr>
          <w:rStyle w:val="CharDivText"/>
        </w:rPr>
        <w:t> </w:t>
      </w:r>
      <w:r>
        <w:rPr>
          <w:rStyle w:val="CharPartText"/>
        </w:rPr>
        <w:t>Disputed returns</w:t>
      </w:r>
      <w:bookmarkEnd w:id="945"/>
      <w:bookmarkEnd w:id="946"/>
      <w:bookmarkEnd w:id="947"/>
      <w:bookmarkEnd w:id="948"/>
      <w:bookmarkEnd w:id="949"/>
      <w:bookmarkEnd w:id="950"/>
      <w:bookmarkEnd w:id="951"/>
      <w:bookmarkEnd w:id="952"/>
    </w:p>
    <w:p>
      <w:pPr>
        <w:pStyle w:val="Heading5"/>
        <w:spacing w:before="260"/>
        <w:rPr>
          <w:snapToGrid w:val="0"/>
        </w:rPr>
      </w:pPr>
      <w:bookmarkStart w:id="953" w:name="_Toc402969482"/>
      <w:bookmarkStart w:id="954" w:name="_Toc436058667"/>
      <w:bookmarkStart w:id="955" w:name="_Toc416703298"/>
      <w:r>
        <w:rPr>
          <w:rStyle w:val="CharSectno"/>
        </w:rPr>
        <w:t>157</w:t>
      </w:r>
      <w:r>
        <w:rPr>
          <w:snapToGrid w:val="0"/>
        </w:rPr>
        <w:t>.</w:t>
      </w:r>
      <w:r>
        <w:rPr>
          <w:snapToGrid w:val="0"/>
        </w:rPr>
        <w:tab/>
        <w:t>Validity of election or return, how to dispute</w:t>
      </w:r>
      <w:bookmarkEnd w:id="953"/>
      <w:bookmarkEnd w:id="954"/>
      <w:bookmarkEnd w:id="955"/>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956" w:name="_Toc402969483"/>
      <w:bookmarkStart w:id="957" w:name="_Toc436058668"/>
      <w:bookmarkStart w:id="958" w:name="_Toc416703299"/>
      <w:r>
        <w:rPr>
          <w:rStyle w:val="CharSectno"/>
        </w:rPr>
        <w:t>158</w:t>
      </w:r>
      <w:r>
        <w:rPr>
          <w:snapToGrid w:val="0"/>
        </w:rPr>
        <w:t>.</w:t>
      </w:r>
      <w:r>
        <w:rPr>
          <w:snapToGrid w:val="0"/>
        </w:rPr>
        <w:tab/>
        <w:t>Petition to Court of Disputed Returns, content of etc.</w:t>
      </w:r>
      <w:bookmarkEnd w:id="956"/>
      <w:bookmarkEnd w:id="957"/>
      <w:bookmarkEnd w:id="958"/>
    </w:p>
    <w:p>
      <w:pPr>
        <w:pStyle w:val="Subsection"/>
        <w:spacing w:before="200"/>
        <w:rPr>
          <w:snapToGrid w:val="0"/>
        </w:rPr>
      </w:pPr>
      <w:r>
        <w:rPr>
          <w:snapToGrid w:val="0"/>
        </w:rPr>
        <w:tab/>
      </w:r>
      <w:r>
        <w:rPr>
          <w:snapToGrid w:val="0"/>
        </w:rPr>
        <w:tab/>
        <w:t>Every petition disputing an election or return, in this Part called the petition, shall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[Section 158 amended by No. 39 of 1979 s. 22.]</w:t>
      </w:r>
    </w:p>
    <w:p>
      <w:pPr>
        <w:pStyle w:val="Heading5"/>
        <w:spacing w:before="260"/>
        <w:rPr>
          <w:snapToGrid w:val="0"/>
        </w:rPr>
      </w:pPr>
      <w:bookmarkStart w:id="959" w:name="_Toc402969484"/>
      <w:bookmarkStart w:id="960" w:name="_Toc436058669"/>
      <w:bookmarkStart w:id="961" w:name="_Toc416703300"/>
      <w:r>
        <w:rPr>
          <w:rStyle w:val="CharSectno"/>
        </w:rPr>
        <w:t>159</w:t>
      </w:r>
      <w:r>
        <w:rPr>
          <w:snapToGrid w:val="0"/>
        </w:rPr>
        <w:t>.</w:t>
      </w:r>
      <w:r>
        <w:rPr>
          <w:snapToGrid w:val="0"/>
        </w:rPr>
        <w:tab/>
        <w:t>Return of writ, presumed date of</w:t>
      </w:r>
      <w:bookmarkEnd w:id="959"/>
      <w:bookmarkEnd w:id="960"/>
      <w:bookmarkEnd w:id="961"/>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962" w:name="_Toc402969485"/>
      <w:bookmarkStart w:id="963" w:name="_Toc436058670"/>
      <w:bookmarkStart w:id="964" w:name="_Toc416703301"/>
      <w:r>
        <w:rPr>
          <w:rStyle w:val="CharSectno"/>
        </w:rPr>
        <w:t>160</w:t>
      </w:r>
      <w:r>
        <w:rPr>
          <w:snapToGrid w:val="0"/>
        </w:rPr>
        <w:t>.</w:t>
      </w:r>
      <w:r>
        <w:rPr>
          <w:snapToGrid w:val="0"/>
        </w:rPr>
        <w:tab/>
        <w:t>Security for costs, petitioner to give</w:t>
      </w:r>
      <w:bookmarkEnd w:id="962"/>
      <w:bookmarkEnd w:id="963"/>
      <w:bookmarkEnd w:id="964"/>
    </w:p>
    <w:p>
      <w:pPr>
        <w:pStyle w:val="Subsection"/>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[Section 160 amended by No. 113 of 1965 s. 8; No. 67 of 1979 s. 53.]</w:t>
      </w:r>
    </w:p>
    <w:p>
      <w:pPr>
        <w:pStyle w:val="Heading5"/>
        <w:rPr>
          <w:snapToGrid w:val="0"/>
        </w:rPr>
      </w:pPr>
      <w:bookmarkStart w:id="965" w:name="_Toc402969486"/>
      <w:bookmarkStart w:id="966" w:name="_Toc436058671"/>
      <w:bookmarkStart w:id="967" w:name="_Toc416703302"/>
      <w:r>
        <w:rPr>
          <w:rStyle w:val="CharSectno"/>
        </w:rPr>
        <w:t>161</w:t>
      </w:r>
      <w:r>
        <w:rPr>
          <w:snapToGrid w:val="0"/>
        </w:rPr>
        <w:t>.</w:t>
      </w:r>
      <w:r>
        <w:rPr>
          <w:snapToGrid w:val="0"/>
        </w:rPr>
        <w:tab/>
        <w:t>No proceedings on petition unless it complies with law</w:t>
      </w:r>
      <w:bookmarkEnd w:id="965"/>
      <w:bookmarkEnd w:id="966"/>
      <w:bookmarkEnd w:id="967"/>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968" w:name="_Toc402969487"/>
      <w:bookmarkStart w:id="969" w:name="_Toc436058672"/>
      <w:bookmarkStart w:id="970" w:name="_Toc416703303"/>
      <w:r>
        <w:rPr>
          <w:rStyle w:val="CharSectno"/>
        </w:rPr>
        <w:t>162</w:t>
      </w:r>
      <w:r>
        <w:rPr>
          <w:snapToGrid w:val="0"/>
        </w:rPr>
        <w:t>.</w:t>
      </w:r>
      <w:r>
        <w:rPr>
          <w:snapToGrid w:val="0"/>
        </w:rPr>
        <w:tab/>
        <w:t>Court’s powers on petition</w:t>
      </w:r>
      <w:bookmarkEnd w:id="968"/>
      <w:bookmarkEnd w:id="969"/>
      <w:bookmarkEnd w:id="970"/>
    </w:p>
    <w:p>
      <w:pPr>
        <w:pStyle w:val="Subsection"/>
        <w:rPr>
          <w:snapToGrid w:val="0"/>
        </w:rPr>
      </w:pPr>
      <w:r>
        <w:rPr>
          <w:snapToGrid w:val="0"/>
        </w:rPr>
        <w:tab/>
        <w:t>(1)</w:t>
      </w:r>
      <w:r>
        <w:rPr>
          <w:snapToGrid w:val="0"/>
        </w:rPr>
        <w:tab/>
        <w:t>The powers of the Court of Disputed Returns shall include the following:</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[Section 162 amended by No. 63 of 1948 s. 24.]</w:t>
      </w:r>
    </w:p>
    <w:p>
      <w:pPr>
        <w:pStyle w:val="Heading5"/>
        <w:rPr>
          <w:snapToGrid w:val="0"/>
        </w:rPr>
      </w:pPr>
      <w:bookmarkStart w:id="971" w:name="_Toc402969488"/>
      <w:bookmarkStart w:id="972" w:name="_Toc436058673"/>
      <w:bookmarkStart w:id="973" w:name="_Toc416703304"/>
      <w:r>
        <w:rPr>
          <w:rStyle w:val="CharSectno"/>
        </w:rPr>
        <w:t>163</w:t>
      </w:r>
      <w:r>
        <w:rPr>
          <w:snapToGrid w:val="0"/>
        </w:rPr>
        <w:t>.</w:t>
      </w:r>
      <w:r>
        <w:rPr>
          <w:snapToGrid w:val="0"/>
        </w:rPr>
        <w:tab/>
        <w:t>Court’s duties etc.; roll and electors’ qualifications, status of</w:t>
      </w:r>
      <w:bookmarkEnd w:id="971"/>
      <w:bookmarkEnd w:id="972"/>
      <w:bookmarkEnd w:id="973"/>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[Section 163 amended by No. 67 of 1979 s. 53; No. 40 of 1987 s. 84.]</w:t>
      </w:r>
    </w:p>
    <w:p>
      <w:pPr>
        <w:pStyle w:val="Heading5"/>
        <w:rPr>
          <w:snapToGrid w:val="0"/>
        </w:rPr>
      </w:pPr>
      <w:bookmarkStart w:id="974" w:name="_Toc402969489"/>
      <w:bookmarkStart w:id="975" w:name="_Toc436058674"/>
      <w:bookmarkStart w:id="976" w:name="_Toc416703305"/>
      <w:r>
        <w:rPr>
          <w:rStyle w:val="CharSectno"/>
        </w:rPr>
        <w:t>164</w:t>
      </w:r>
      <w:r>
        <w:rPr>
          <w:snapToGrid w:val="0"/>
        </w:rPr>
        <w:t>.</w:t>
      </w:r>
      <w:r>
        <w:rPr>
          <w:snapToGrid w:val="0"/>
        </w:rPr>
        <w:tab/>
        <w:t>Bribery etc. by candidate or illegal practice, voiding election in case of</w:t>
      </w:r>
      <w:bookmarkEnd w:id="974"/>
      <w:bookmarkEnd w:id="975"/>
      <w:bookmarkEnd w:id="976"/>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977" w:name="_Toc402969490"/>
      <w:bookmarkStart w:id="978" w:name="_Toc436058675"/>
      <w:bookmarkStart w:id="979" w:name="_Toc416703306"/>
      <w:r>
        <w:rPr>
          <w:rStyle w:val="CharSectno"/>
        </w:rPr>
        <w:t>165</w:t>
      </w:r>
      <w:r>
        <w:rPr>
          <w:snapToGrid w:val="0"/>
        </w:rPr>
        <w:t>.</w:t>
      </w:r>
      <w:r>
        <w:rPr>
          <w:snapToGrid w:val="0"/>
        </w:rPr>
        <w:tab/>
        <w:t>Illegal practice, Court to report to Electoral Commissioner</w:t>
      </w:r>
      <w:bookmarkEnd w:id="977"/>
      <w:bookmarkEnd w:id="978"/>
      <w:bookmarkEnd w:id="979"/>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[Section 165 amended by No. 67 of 1979 s. 53; No. 40 of 1987 s. 84.]</w:t>
      </w:r>
    </w:p>
    <w:p>
      <w:pPr>
        <w:pStyle w:val="Heading5"/>
        <w:rPr>
          <w:snapToGrid w:val="0"/>
        </w:rPr>
      </w:pPr>
      <w:bookmarkStart w:id="980" w:name="_Toc402969491"/>
      <w:bookmarkStart w:id="981" w:name="_Toc436058676"/>
      <w:bookmarkStart w:id="982" w:name="_Toc416703307"/>
      <w:r>
        <w:rPr>
          <w:rStyle w:val="CharSectno"/>
        </w:rPr>
        <w:t>166</w:t>
      </w:r>
      <w:r>
        <w:rPr>
          <w:snapToGrid w:val="0"/>
        </w:rPr>
        <w:t>.</w:t>
      </w:r>
      <w:r>
        <w:rPr>
          <w:snapToGrid w:val="0"/>
        </w:rPr>
        <w:tab/>
        <w:t>Delays and immaterial errors not to vitiate election</w:t>
      </w:r>
      <w:bookmarkEnd w:id="980"/>
      <w:bookmarkEnd w:id="981"/>
      <w:bookmarkEnd w:id="982"/>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983" w:name="_Toc402969492"/>
      <w:bookmarkStart w:id="984" w:name="_Toc436058677"/>
      <w:bookmarkStart w:id="985" w:name="_Toc416703308"/>
      <w:r>
        <w:rPr>
          <w:rStyle w:val="CharSectno"/>
        </w:rPr>
        <w:t>167</w:t>
      </w:r>
      <w:r>
        <w:rPr>
          <w:snapToGrid w:val="0"/>
        </w:rPr>
        <w:t>.</w:t>
      </w:r>
      <w:r>
        <w:rPr>
          <w:snapToGrid w:val="0"/>
        </w:rPr>
        <w:tab/>
        <w:t>Court’s decision is final</w:t>
      </w:r>
      <w:bookmarkEnd w:id="983"/>
      <w:bookmarkEnd w:id="984"/>
      <w:bookmarkEnd w:id="985"/>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986" w:name="_Toc402969493"/>
      <w:bookmarkStart w:id="987" w:name="_Toc436058678"/>
      <w:bookmarkStart w:id="988" w:name="_Toc416703309"/>
      <w:r>
        <w:rPr>
          <w:rStyle w:val="CharSectno"/>
        </w:rPr>
        <w:t>168</w:t>
      </w:r>
      <w:r>
        <w:rPr>
          <w:snapToGrid w:val="0"/>
        </w:rPr>
        <w:t>.</w:t>
      </w:r>
      <w:r>
        <w:rPr>
          <w:snapToGrid w:val="0"/>
        </w:rPr>
        <w:tab/>
        <w:t>Copies of petition etc. to be sent to House affected</w:t>
      </w:r>
      <w:bookmarkEnd w:id="986"/>
      <w:bookmarkEnd w:id="987"/>
      <w:bookmarkEnd w:id="988"/>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[Section 168 amended by No. 67 of 1979 s. 53.]</w:t>
      </w:r>
    </w:p>
    <w:p>
      <w:pPr>
        <w:pStyle w:val="Heading5"/>
        <w:rPr>
          <w:snapToGrid w:val="0"/>
        </w:rPr>
      </w:pPr>
      <w:bookmarkStart w:id="989" w:name="_Toc402969494"/>
      <w:bookmarkStart w:id="990" w:name="_Toc436058679"/>
      <w:bookmarkStart w:id="991" w:name="_Toc416703310"/>
      <w:r>
        <w:rPr>
          <w:rStyle w:val="CharSectno"/>
        </w:rPr>
        <w:t>169</w:t>
      </w:r>
      <w:r>
        <w:rPr>
          <w:snapToGrid w:val="0"/>
        </w:rPr>
        <w:t>.</w:t>
      </w:r>
      <w:r>
        <w:rPr>
          <w:snapToGrid w:val="0"/>
        </w:rPr>
        <w:tab/>
        <w:t>Costs</w:t>
      </w:r>
      <w:bookmarkEnd w:id="989"/>
      <w:bookmarkEnd w:id="990"/>
      <w:bookmarkEnd w:id="991"/>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[Section 169 amended by No. 39 of 1979 s. 23.]</w:t>
      </w:r>
    </w:p>
    <w:p>
      <w:pPr>
        <w:pStyle w:val="Heading5"/>
        <w:rPr>
          <w:snapToGrid w:val="0"/>
        </w:rPr>
      </w:pPr>
      <w:bookmarkStart w:id="992" w:name="_Toc402969495"/>
      <w:bookmarkStart w:id="993" w:name="_Toc436058680"/>
      <w:bookmarkStart w:id="994" w:name="_Toc416703311"/>
      <w:r>
        <w:rPr>
          <w:rStyle w:val="CharSectno"/>
        </w:rPr>
        <w:t>170</w:t>
      </w:r>
      <w:r>
        <w:rPr>
          <w:snapToGrid w:val="0"/>
        </w:rPr>
        <w:t>.</w:t>
      </w:r>
      <w:r>
        <w:rPr>
          <w:snapToGrid w:val="0"/>
        </w:rPr>
        <w:tab/>
        <w:t>Security for costs, how to be dealt with</w:t>
      </w:r>
      <w:bookmarkEnd w:id="992"/>
      <w:bookmarkEnd w:id="993"/>
      <w:bookmarkEnd w:id="994"/>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995" w:name="_Toc402969496"/>
      <w:bookmarkStart w:id="996" w:name="_Toc436058681"/>
      <w:bookmarkStart w:id="997" w:name="_Toc416703312"/>
      <w:r>
        <w:rPr>
          <w:rStyle w:val="CharSectno"/>
        </w:rPr>
        <w:t>171</w:t>
      </w:r>
      <w:r>
        <w:rPr>
          <w:snapToGrid w:val="0"/>
        </w:rPr>
        <w:t>.</w:t>
      </w:r>
      <w:r>
        <w:rPr>
          <w:snapToGrid w:val="0"/>
        </w:rPr>
        <w:tab/>
        <w:t>Other costs</w:t>
      </w:r>
      <w:bookmarkEnd w:id="995"/>
      <w:bookmarkEnd w:id="996"/>
      <w:bookmarkEnd w:id="997"/>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998" w:name="_Toc402969497"/>
      <w:bookmarkStart w:id="999" w:name="_Toc436058682"/>
      <w:bookmarkStart w:id="1000" w:name="_Toc416703313"/>
      <w:r>
        <w:rPr>
          <w:rStyle w:val="CharSectno"/>
        </w:rPr>
        <w:t>172</w:t>
      </w:r>
      <w:r>
        <w:rPr>
          <w:snapToGrid w:val="0"/>
        </w:rPr>
        <w:t>.</w:t>
      </w:r>
      <w:r>
        <w:rPr>
          <w:snapToGrid w:val="0"/>
        </w:rPr>
        <w:tab/>
        <w:t>Court’s decision, effect of</w:t>
      </w:r>
      <w:bookmarkEnd w:id="998"/>
      <w:bookmarkEnd w:id="999"/>
      <w:bookmarkEnd w:id="1000"/>
    </w:p>
    <w:p>
      <w:pPr>
        <w:pStyle w:val="Subsection"/>
        <w:keepNext/>
        <w:keepLines/>
        <w:rPr>
          <w:snapToGrid w:val="0"/>
        </w:rPr>
      </w:pPr>
      <w:r>
        <w:rPr>
          <w:snapToGrid w:val="0"/>
        </w:rPr>
        <w:tab/>
        <w:t>(1)</w:t>
      </w:r>
      <w:r>
        <w:rPr>
          <w:snapToGrid w:val="0"/>
        </w:rPr>
        <w:tab/>
        <w:t>Effect shall be given to any decision of the Court as follows:</w:t>
      </w:r>
    </w:p>
    <w:p>
      <w:pPr>
        <w:pStyle w:val="Indenta"/>
        <w:rPr>
          <w:snapToGrid w:val="0"/>
        </w:rPr>
      </w:pPr>
      <w:r>
        <w:rPr>
          <w:snapToGrid w:val="0"/>
        </w:rPr>
        <w:tab/>
        <w:t>(a)</w:t>
      </w:r>
      <w:r>
        <w:rPr>
          <w:snapToGrid w:val="0"/>
        </w:rPr>
        <w:tab/>
        <w:t>If any person returned is declared not to have been duly elected, he shall cease to be a member of the Council or Assembly.</w:t>
      </w:r>
    </w:p>
    <w:p>
      <w:pPr>
        <w:pStyle w:val="Indenta"/>
        <w:rPr>
          <w:snapToGrid w:val="0"/>
        </w:rPr>
      </w:pPr>
      <w:r>
        <w:rPr>
          <w:snapToGrid w:val="0"/>
        </w:rPr>
        <w:tab/>
        <w:t>(b)</w:t>
      </w:r>
      <w:r>
        <w:rPr>
          <w:snapToGrid w:val="0"/>
        </w:rPr>
        <w:tab/>
        <w:t>If any person not returned is declared to have been duly elected he may take his seat accordingly.</w:t>
      </w:r>
    </w:p>
    <w:p>
      <w:pPr>
        <w:pStyle w:val="Indenta"/>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spacing w:before="12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[Section 172 amended by No. 63 of 1948 s. 25; No. 39 of 1979 s. 24.]</w:t>
      </w:r>
    </w:p>
    <w:p>
      <w:pPr>
        <w:pStyle w:val="Heading5"/>
        <w:rPr>
          <w:snapToGrid w:val="0"/>
        </w:rPr>
      </w:pPr>
      <w:bookmarkStart w:id="1001" w:name="_Toc402969498"/>
      <w:bookmarkStart w:id="1002" w:name="_Toc436058683"/>
      <w:bookmarkStart w:id="1003" w:name="_Toc416703314"/>
      <w:r>
        <w:rPr>
          <w:rStyle w:val="CharSectno"/>
        </w:rPr>
        <w:t>173</w:t>
      </w:r>
      <w:r>
        <w:rPr>
          <w:snapToGrid w:val="0"/>
        </w:rPr>
        <w:t>.</w:t>
      </w:r>
      <w:r>
        <w:rPr>
          <w:snapToGrid w:val="0"/>
        </w:rPr>
        <w:tab/>
        <w:t>Rules of Court for this Part</w:t>
      </w:r>
      <w:bookmarkEnd w:id="1001"/>
      <w:bookmarkEnd w:id="1002"/>
      <w:bookmarkEnd w:id="1003"/>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1004" w:name="_Toc402969499"/>
      <w:bookmarkStart w:id="1005" w:name="_Toc436058684"/>
      <w:bookmarkStart w:id="1006" w:name="_Toc416703315"/>
      <w:r>
        <w:rPr>
          <w:rStyle w:val="CharSectno"/>
        </w:rPr>
        <w:t>174</w:t>
      </w:r>
      <w:r>
        <w:rPr>
          <w:snapToGrid w:val="0"/>
        </w:rPr>
        <w:t>.</w:t>
      </w:r>
      <w:r>
        <w:rPr>
          <w:snapToGrid w:val="0"/>
        </w:rPr>
        <w:tab/>
        <w:t>Election of MLC on re-count, application of this Part to</w:t>
      </w:r>
      <w:bookmarkEnd w:id="1004"/>
      <w:bookmarkEnd w:id="1005"/>
      <w:bookmarkEnd w:id="1006"/>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w:t>
      </w:r>
    </w:p>
    <w:p>
      <w:pPr>
        <w:pStyle w:val="Indenta"/>
        <w:rPr>
          <w:snapToGrid w:val="0"/>
        </w:rPr>
      </w:pPr>
      <w:r>
        <w:rPr>
          <w:snapToGrid w:val="0"/>
        </w:rPr>
        <w:tab/>
        <w:t>(a)</w:t>
      </w:r>
      <w:r>
        <w:rPr>
          <w:snapToGrid w:val="0"/>
        </w:rPr>
        <w:tab/>
        <w:t>section 158(5) shall be deemed to be amended by deleting “return of the writ” and substituting the following —</w:t>
      </w:r>
    </w:p>
    <w:p>
      <w:pPr>
        <w:pStyle w:val="Indenta"/>
        <w:rPr>
          <w:snapToGrid w:val="0"/>
        </w:rPr>
      </w:pPr>
      <w:r>
        <w:rPr>
          <w:snapToGrid w:val="0"/>
        </w:rPr>
        <w:tab/>
      </w:r>
      <w:r>
        <w:rPr>
          <w:snapToGrid w:val="0"/>
        </w:rPr>
        <w:tab/>
        <w:t>“   declaration of the election   ”; and</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w:t>
      </w:r>
    </w:p>
    <w:p>
      <w:pPr>
        <w:pStyle w:val="MiscOpen"/>
        <w:tabs>
          <w:tab w:val="clear" w:pos="893"/>
        </w:tabs>
        <w:ind w:left="1596"/>
        <w:rPr>
          <w:snapToGrid w:val="0"/>
        </w:rPr>
      </w:pPr>
      <w:r>
        <w:rPr>
          <w:snapToGrid w:val="0"/>
        </w:rPr>
        <w:t>“</w:t>
      </w:r>
    </w:p>
    <w:p>
      <w:pPr>
        <w:pStyle w:val="Indenti"/>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[Section 174 inserted by No. 40 of 1987 s. 80.]</w:t>
      </w:r>
    </w:p>
    <w:p>
      <w:pPr>
        <w:pStyle w:val="Heading2"/>
      </w:pPr>
      <w:bookmarkStart w:id="1007" w:name="_Toc402969500"/>
      <w:bookmarkStart w:id="1008" w:name="_Toc416702932"/>
      <w:bookmarkStart w:id="1009" w:name="_Toc416703316"/>
      <w:bookmarkStart w:id="1010" w:name="_Toc435714568"/>
      <w:bookmarkStart w:id="1011" w:name="_Toc436057683"/>
      <w:bookmarkStart w:id="1012" w:name="_Toc436058071"/>
      <w:bookmarkStart w:id="1013" w:name="_Toc436058456"/>
      <w:bookmarkStart w:id="1014" w:name="_Toc436058685"/>
      <w:r>
        <w:rPr>
          <w:rStyle w:val="CharPartNo"/>
        </w:rPr>
        <w:t>Part VI</w:t>
      </w:r>
      <w:r>
        <w:t> — </w:t>
      </w:r>
      <w:r>
        <w:rPr>
          <w:rStyle w:val="CharPartText"/>
        </w:rPr>
        <w:t>Electoral funding and disclosure of gifts, income and expenditure</w:t>
      </w:r>
      <w:bookmarkEnd w:id="1007"/>
      <w:bookmarkEnd w:id="1008"/>
      <w:bookmarkEnd w:id="1009"/>
      <w:bookmarkEnd w:id="1010"/>
      <w:bookmarkEnd w:id="1011"/>
      <w:bookmarkEnd w:id="1012"/>
      <w:bookmarkEnd w:id="1013"/>
      <w:bookmarkEnd w:id="1014"/>
    </w:p>
    <w:p>
      <w:pPr>
        <w:pStyle w:val="Footnoteheading"/>
        <w:rPr>
          <w:snapToGrid w:val="0"/>
        </w:rPr>
      </w:pPr>
      <w:r>
        <w:rPr>
          <w:snapToGrid w:val="0"/>
        </w:rPr>
        <w:tab/>
        <w:t>[Heading inserted by No. 36 of 2000 s. 58; amended by No. 55 of 2006 s. 5.]</w:t>
      </w:r>
    </w:p>
    <w:p>
      <w:pPr>
        <w:pStyle w:val="Heading3"/>
      </w:pPr>
      <w:bookmarkStart w:id="1015" w:name="_Toc402969501"/>
      <w:bookmarkStart w:id="1016" w:name="_Toc416702933"/>
      <w:bookmarkStart w:id="1017" w:name="_Toc416703317"/>
      <w:bookmarkStart w:id="1018" w:name="_Toc435714569"/>
      <w:bookmarkStart w:id="1019" w:name="_Toc436057684"/>
      <w:bookmarkStart w:id="1020" w:name="_Toc436058072"/>
      <w:bookmarkStart w:id="1021" w:name="_Toc436058457"/>
      <w:bookmarkStart w:id="1022" w:name="_Toc436058686"/>
      <w:r>
        <w:rPr>
          <w:rStyle w:val="CharDivNo"/>
        </w:rPr>
        <w:t>Division 1</w:t>
      </w:r>
      <w:r>
        <w:rPr>
          <w:snapToGrid w:val="0"/>
        </w:rPr>
        <w:t> — </w:t>
      </w:r>
      <w:r>
        <w:rPr>
          <w:rStyle w:val="CharDivText"/>
        </w:rPr>
        <w:t>Preliminary</w:t>
      </w:r>
      <w:bookmarkEnd w:id="1015"/>
      <w:bookmarkEnd w:id="1016"/>
      <w:bookmarkEnd w:id="1017"/>
      <w:bookmarkEnd w:id="1018"/>
      <w:bookmarkEnd w:id="1019"/>
      <w:bookmarkEnd w:id="1020"/>
      <w:bookmarkEnd w:id="1021"/>
      <w:bookmarkEnd w:id="1022"/>
    </w:p>
    <w:p>
      <w:pPr>
        <w:pStyle w:val="Footnoteheading"/>
        <w:rPr>
          <w:snapToGrid w:val="0"/>
        </w:rPr>
      </w:pPr>
      <w:r>
        <w:rPr>
          <w:snapToGrid w:val="0"/>
        </w:rPr>
        <w:tab/>
        <w:t>[Heading inserted by No. 75 of 1992 s. 4.]</w:t>
      </w:r>
    </w:p>
    <w:p>
      <w:pPr>
        <w:pStyle w:val="Heading5"/>
        <w:rPr>
          <w:snapToGrid w:val="0"/>
        </w:rPr>
      </w:pPr>
      <w:bookmarkStart w:id="1023" w:name="_Toc402969502"/>
      <w:bookmarkStart w:id="1024" w:name="_Toc436058687"/>
      <w:bookmarkStart w:id="1025" w:name="_Toc416703318"/>
      <w:r>
        <w:rPr>
          <w:rStyle w:val="CharSectno"/>
        </w:rPr>
        <w:t>175</w:t>
      </w:r>
      <w:r>
        <w:rPr>
          <w:snapToGrid w:val="0"/>
        </w:rPr>
        <w:t>.</w:t>
      </w:r>
      <w:r>
        <w:rPr>
          <w:snapToGrid w:val="0"/>
        </w:rPr>
        <w:tab/>
        <w:t>Terms used</w:t>
      </w:r>
      <w:bookmarkEnd w:id="1023"/>
      <w:bookmarkEnd w:id="1024"/>
      <w:bookmarkEnd w:id="1025"/>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agent</w:t>
      </w:r>
      <w:r>
        <w:t xml:space="preserve"> means agent for the purposes of this Part;</w:t>
      </w:r>
    </w:p>
    <w:p>
      <w:pPr>
        <w:pStyle w:val="Defstart"/>
      </w:pPr>
      <w:r>
        <w:rPr>
          <w:b/>
        </w:rPr>
        <w:tab/>
      </w:r>
      <w:r>
        <w:rPr>
          <w:rStyle w:val="CharDefText"/>
        </w:rPr>
        <w:t>associated entity</w:t>
      </w:r>
      <w:r>
        <w:t xml:space="preserve"> means an entity that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r>
      <w:r>
        <w:rPr>
          <w:rStyle w:val="CharDefText"/>
        </w:rPr>
        <w:t>broadcast</w:t>
      </w:r>
      <w:r>
        <w:t xml:space="preserve"> means broadcast by radio or televise;</w:t>
      </w:r>
    </w:p>
    <w:p>
      <w:pPr>
        <w:pStyle w:val="Defstart"/>
      </w:pPr>
      <w:r>
        <w:rPr>
          <w:b/>
        </w:rPr>
        <w:tab/>
      </w:r>
      <w:r>
        <w:rPr>
          <w:rStyle w:val="CharDefText"/>
        </w:rPr>
        <w:t>campaign committee</w:t>
      </w:r>
      <w:r>
        <w:t>, in relation to a political party, means a body of persons appointed or engaged to form a committee to assist the campaign in an election of —</w:t>
      </w:r>
    </w:p>
    <w:p>
      <w:pPr>
        <w:pStyle w:val="Defpara"/>
      </w:pPr>
      <w:r>
        <w:tab/>
        <w:t>(a)</w:t>
      </w:r>
      <w:r>
        <w:tab/>
        <w:t>the candidates in a general election who are endorsed by the party; or</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r>
      <w:r>
        <w:rPr>
          <w:rStyle w:val="CharDefText"/>
        </w:rPr>
        <w:t>disposition of property</w:t>
      </w:r>
      <w:r>
        <w:t xml:space="preserve"> means any conveyance, transfer, assignment, settlement, delivery, payment or other alienation of property, and includes —</w:t>
      </w:r>
    </w:p>
    <w:p>
      <w:pPr>
        <w:pStyle w:val="Defpara"/>
      </w:pPr>
      <w:r>
        <w:tab/>
        <w:t>(a)</w:t>
      </w:r>
      <w:r>
        <w:tab/>
        <w:t>the allotment of shares in a company; and</w:t>
      </w:r>
    </w:p>
    <w:p>
      <w:pPr>
        <w:pStyle w:val="Defpara"/>
      </w:pPr>
      <w:r>
        <w:tab/>
        <w:t>(b)</w:t>
      </w:r>
      <w:r>
        <w:tab/>
        <w:t>the creation of a trust in respect of property; and</w:t>
      </w:r>
    </w:p>
    <w:p>
      <w:pPr>
        <w:pStyle w:val="Defpara"/>
      </w:pPr>
      <w:r>
        <w:tab/>
        <w:t>(c)</w:t>
      </w:r>
      <w:r>
        <w:tab/>
        <w:t>the grant or creation of any lease, mortgage, charge, easement, licence, power, partnership or interest in respect of property; and</w:t>
      </w:r>
    </w:p>
    <w:p>
      <w:pPr>
        <w:pStyle w:val="Defpara"/>
      </w:pPr>
      <w:r>
        <w:tab/>
        <w:t>(d)</w:t>
      </w:r>
      <w:r>
        <w:tab/>
        <w:t>the release, discharge, surrender, forfeiture or abandonment, at law or in equity, of any debt, contract or chose in action, or of any interest in respect of property; and</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r>
      <w:r>
        <w:rPr>
          <w:rStyle w:val="CharDefText"/>
        </w:rPr>
        <w:t>division</w:t>
      </w:r>
      <w:r>
        <w:t>, in relation to a political party, includes a branch or campaign committee of the party;</w:t>
      </w:r>
    </w:p>
    <w:p>
      <w:pPr>
        <w:pStyle w:val="Defstart"/>
      </w:pPr>
      <w:r>
        <w:rPr>
          <w:b/>
        </w:rPr>
        <w:tab/>
      </w:r>
      <w:r>
        <w:rPr>
          <w:rStyle w:val="CharDefText"/>
        </w:rPr>
        <w:t>election period</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r>
      <w:r>
        <w:rPr>
          <w:rStyle w:val="CharDefText"/>
        </w:rPr>
        <w:t>electoral expenditure</w:t>
      </w:r>
      <w:r>
        <w:t>, in relation to an election, means expenditure incurred (whether or not incurred during the election period) on —</w:t>
      </w:r>
    </w:p>
    <w:p>
      <w:pPr>
        <w:pStyle w:val="Defpara"/>
      </w:pPr>
      <w:r>
        <w:tab/>
        <w:t>(a)</w:t>
      </w:r>
      <w:r>
        <w:tab/>
        <w:t>the broadcasting, during the election period, of an advertisement relating to the election; or</w:t>
      </w:r>
    </w:p>
    <w:p>
      <w:pPr>
        <w:pStyle w:val="Defpara"/>
      </w:pPr>
      <w:r>
        <w:tab/>
        <w:t>(b)</w:t>
      </w:r>
      <w:r>
        <w:tab/>
        <w:t>the publishing in a journal, during the election period, of an advertisement relating to the election; or</w:t>
      </w:r>
    </w:p>
    <w:p>
      <w:pPr>
        <w:pStyle w:val="Defpara"/>
      </w:pPr>
      <w:r>
        <w:tab/>
        <w:t>(c)</w:t>
      </w:r>
      <w:r>
        <w:tab/>
        <w:t>the display, during the election period, at a theatre or other place of entertainment, of an advertisement relating to the election; or</w:t>
      </w:r>
    </w:p>
    <w:p>
      <w:pPr>
        <w:pStyle w:val="Defpara"/>
      </w:pPr>
      <w:r>
        <w:tab/>
        <w:t>(d)</w:t>
      </w:r>
      <w:r>
        <w:tab/>
        <w:t>the production of an advertisement relating to the election, being an advertisement that is broadcast, published or displayed as mentioned in paragraph (a), (b) or (c); or</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 or</w:t>
      </w:r>
    </w:p>
    <w:p>
      <w:pPr>
        <w:pStyle w:val="Defpara"/>
      </w:pPr>
      <w:r>
        <w:tab/>
        <w:t>(ea)</w:t>
      </w:r>
      <w:r>
        <w:tab/>
        <w:t>the production and distribution of electoral matter that is addressed to particular persons or organisations and is distributed during the election period; or</w:t>
      </w:r>
    </w:p>
    <w:p>
      <w:pPr>
        <w:pStyle w:val="Defpara"/>
      </w:pPr>
      <w:r>
        <w:tab/>
        <w:t>(f)</w:t>
      </w:r>
      <w:r>
        <w:tab/>
        <w:t>consultant’s or advertising agent’s fees in respect of —</w:t>
      </w:r>
    </w:p>
    <w:p>
      <w:pPr>
        <w:pStyle w:val="Defsubpara"/>
        <w:keepLines w:val="0"/>
      </w:pPr>
      <w:r>
        <w:tab/>
        <w:t>(i)</w:t>
      </w:r>
      <w:r>
        <w:tab/>
        <w:t>services provided during the election period, being services relating to the election; or</w:t>
      </w:r>
    </w:p>
    <w:p>
      <w:pPr>
        <w:pStyle w:val="Defsubpara"/>
        <w:keepLines w:val="0"/>
      </w:pPr>
      <w:r>
        <w:tab/>
        <w:t>(ii)</w:t>
      </w:r>
      <w: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r>
      <w:r>
        <w:rPr>
          <w:rStyle w:val="CharDefText"/>
        </w:rPr>
        <w:t>electoral matter</w:t>
      </w:r>
      <w:r>
        <w:t xml:space="preserve"> means matter that is intended, calculated or likely to affect voting in an election;</w:t>
      </w:r>
    </w:p>
    <w:p>
      <w:pPr>
        <w:pStyle w:val="Defstart"/>
      </w:pPr>
      <w:r>
        <w:rPr>
          <w:b/>
        </w:rPr>
        <w:tab/>
      </w:r>
      <w:r>
        <w:rPr>
          <w:rStyle w:val="CharDefText"/>
        </w:rPr>
        <w:t>entity</w:t>
      </w:r>
      <w:r>
        <w:t xml:space="preserve"> means —</w:t>
      </w:r>
    </w:p>
    <w:p>
      <w:pPr>
        <w:pStyle w:val="Defpara"/>
      </w:pPr>
      <w:r>
        <w:tab/>
        <w:t>(a)</w:t>
      </w:r>
      <w:r>
        <w:tab/>
        <w:t>an incorporated or unincorporated body;</w:t>
      </w:r>
    </w:p>
    <w:p>
      <w:pPr>
        <w:pStyle w:val="Defpara"/>
      </w:pPr>
      <w:r>
        <w:tab/>
        <w:t>(b)</w:t>
      </w:r>
      <w:r>
        <w:tab/>
        <w:t>the trustee of a trust;</w:t>
      </w:r>
    </w:p>
    <w:p>
      <w:pPr>
        <w:pStyle w:val="Defstart"/>
      </w:pPr>
      <w:r>
        <w:rPr>
          <w:b/>
        </w:rPr>
        <w:tab/>
      </w:r>
      <w:r>
        <w:rPr>
          <w:rStyle w:val="CharDefText"/>
        </w:rPr>
        <w:t>financial controller</w:t>
      </w:r>
      <w:r>
        <w:t>, in relation to an associated entity, means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r>
      <w:r>
        <w:rPr>
          <w:rStyle w:val="CharDefText"/>
        </w:rPr>
        <w:t>general election</w:t>
      </w:r>
      <w:r>
        <w:t xml:space="preserve"> means a general election for the Assembly or the Council;</w:t>
      </w:r>
    </w:p>
    <w:p>
      <w:pPr>
        <w:pStyle w:val="Defstart"/>
      </w:pPr>
      <w:r>
        <w:rPr>
          <w:b/>
        </w:rPr>
        <w:tab/>
      </w:r>
      <w:r>
        <w:rPr>
          <w:rStyle w:val="CharDefText"/>
        </w:rPr>
        <w:t>gift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r>
      <w:r>
        <w:rPr>
          <w:rStyle w:val="CharDefText"/>
        </w:rPr>
        <w:t>journal</w:t>
      </w:r>
      <w:r>
        <w:t xml:space="preserve"> means a newspaper, magazine or other periodical, whether published for sale or for distribution without charge;</w:t>
      </w:r>
    </w:p>
    <w:p>
      <w:pPr>
        <w:pStyle w:val="Defstart"/>
        <w:keepNext/>
      </w:pPr>
      <w:r>
        <w:rPr>
          <w:b/>
        </w:rPr>
        <w:tab/>
      </w:r>
      <w:r>
        <w:rPr>
          <w:rStyle w:val="CharDefText"/>
        </w:rPr>
        <w:t>principal officer</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5</w:t>
      </w:r>
      <w:r>
        <w:t> — the chief executive officer of that department or organisation;</w:t>
      </w:r>
    </w:p>
    <w:p>
      <w:pPr>
        <w:pStyle w:val="Defpara"/>
      </w:pPr>
      <w:r>
        <w:tab/>
        <w:t>(b)</w:t>
      </w:r>
      <w:r>
        <w:tab/>
        <w:t xml:space="preserve">in relation to the Police Force of </w:t>
      </w:r>
      <w:smartTag w:uri="urn:schemas-microsoft-com:office:smarttags" w:element="place">
        <w:smartTag w:uri="urn:schemas-microsoft-com:office:smarttags" w:element="State">
          <w:r>
            <w:t>Western Australia</w:t>
          </w:r>
        </w:smartTag>
      </w:smartTag>
      <w:r>
        <w:t>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w:t>
      </w:r>
    </w:p>
    <w:p>
      <w:pPr>
        <w:pStyle w:val="Defsubpara"/>
      </w:pPr>
      <w:r>
        <w:tab/>
        <w:t>(i)</w:t>
      </w:r>
      <w:r>
        <w:tab/>
        <w:t>if it is an incorporated body that has no members — the person who manages the affairs of the body; or</w:t>
      </w:r>
    </w:p>
    <w:p>
      <w:pPr>
        <w:pStyle w:val="Defsubpara"/>
      </w:pPr>
      <w:r>
        <w:tab/>
        <w:t>(ii)</w:t>
      </w:r>
      <w:r>
        <w:tab/>
        <w:t>if it is a body (whether incorporated or not) that is constituted by 2 or more persons — the person who is entitled to preside at any meeting of the body at which he or she is present;</w:t>
      </w:r>
    </w:p>
    <w:p>
      <w:pPr>
        <w:pStyle w:val="Defstart"/>
      </w:pPr>
      <w:r>
        <w:rPr>
          <w:b/>
        </w:rPr>
        <w:tab/>
      </w:r>
      <w:r>
        <w:rPr>
          <w:rStyle w:val="CharDefText"/>
        </w:rPr>
        <w:t>property</w:t>
      </w:r>
      <w:r>
        <w:t xml:space="preserve"> includes money;</w:t>
      </w:r>
    </w:p>
    <w:p>
      <w:pPr>
        <w:pStyle w:val="Defstart"/>
        <w:keepNext/>
      </w:pPr>
      <w:r>
        <w:tab/>
      </w:r>
      <w:r>
        <w:rPr>
          <w:rStyle w:val="CharDefText"/>
        </w:rPr>
        <w:t>public agency</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 or</w:t>
      </w:r>
    </w:p>
    <w:p>
      <w:pPr>
        <w:pStyle w:val="Defpara"/>
      </w:pPr>
      <w:r>
        <w:tab/>
        <w:t>(b)</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(c)</w:t>
      </w:r>
      <w:r>
        <w:tab/>
        <w:t>a body or office that is established for a public purpose under a written law; or</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pPr>
      <w:r>
        <w:tab/>
        <w:t>(i)</w:t>
      </w:r>
      <w:r>
        <w:tab/>
        <w:t>a body or office established under a written law; or</w:t>
      </w:r>
    </w:p>
    <w:p>
      <w:pPr>
        <w:pStyle w:val="Defsubpara"/>
      </w:pPr>
      <w:r>
        <w:tab/>
        <w:t>(ii)</w:t>
      </w:r>
      <w:r>
        <w:tab/>
        <w:t>a corporation or association over which control can be exercised by the State, a Minister, a body referred to in paragraph (a), (c), (d) or (e)(i), or the holder of an office referred to in paragraph (d) or (e)(i);</w:t>
      </w:r>
    </w:p>
    <w:p>
      <w:pPr>
        <w:pStyle w:val="Defstart"/>
      </w:pPr>
      <w:r>
        <w:rPr>
          <w:b/>
        </w:rPr>
        <w:tab/>
      </w:r>
      <w:r>
        <w:rPr>
          <w:rStyle w:val="CharDefText"/>
        </w:rPr>
        <w:t>specified amount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[Section 175 inserted by No. 75 of 1992 s. 4 (as amended by No. 43 of 1996 s. 26); amended by No. 36 of 2000 s. 59 and 66; No. 35 of 2012 s. 5.]</w:t>
      </w:r>
    </w:p>
    <w:p>
      <w:pPr>
        <w:pStyle w:val="Heading5"/>
        <w:rPr>
          <w:snapToGrid w:val="0"/>
        </w:rPr>
      </w:pPr>
      <w:bookmarkStart w:id="1026" w:name="_Toc402969503"/>
      <w:bookmarkStart w:id="1027" w:name="_Toc436058688"/>
      <w:bookmarkStart w:id="1028" w:name="_Toc416703319"/>
      <w:r>
        <w:rPr>
          <w:rStyle w:val="CharSectno"/>
        </w:rPr>
        <w:t>175A</w:t>
      </w:r>
      <w:r>
        <w:rPr>
          <w:snapToGrid w:val="0"/>
        </w:rPr>
        <w:t>.</w:t>
      </w:r>
      <w:r>
        <w:rPr>
          <w:snapToGrid w:val="0"/>
        </w:rPr>
        <w:tab/>
        <w:t>Interpretation of this Part</w:t>
      </w:r>
      <w:bookmarkEnd w:id="1026"/>
      <w:bookmarkEnd w:id="1027"/>
      <w:bookmarkEnd w:id="1028"/>
    </w:p>
    <w:p>
      <w:pPr>
        <w:pStyle w:val="Subsection"/>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rPr>
          <w:snapToGrid w:val="0"/>
        </w:rPr>
      </w:pPr>
      <w:r>
        <w:rPr>
          <w:snapToGrid w:val="0"/>
        </w:rPr>
        <w:tab/>
        <w:t>(5)</w:t>
      </w:r>
      <w:r>
        <w:rPr>
          <w:snapToGrid w:val="0"/>
        </w:rPr>
        <w:tab/>
        <w:t>For the purposes of this Part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rPr>
          <w:snapToGrid w:val="0"/>
        </w:rPr>
      </w:pPr>
      <w:r>
        <w:rPr>
          <w:snapToGrid w:val="0"/>
        </w:rPr>
        <w:tab/>
        <w:t>(6)</w:t>
      </w:r>
      <w:r>
        <w:rPr>
          <w:snapToGrid w:val="0"/>
        </w:rPr>
        <w:tab/>
        <w:t xml:space="preserve">If the Electoral Commissioner determines and publishes an amount for the purposes of the definition of </w:t>
      </w:r>
      <w:r>
        <w:rPr>
          <w:b/>
          <w:bCs/>
          <w:i/>
          <w:iCs/>
        </w:rPr>
        <w:t>specified amount</w:t>
      </w:r>
      <w:r>
        <w:rPr>
          <w:snapToGrid w:val="0"/>
        </w:rPr>
        <w:t xml:space="preserve"> in section 175, the amount published becomes the specified amount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[Section 175A inserted by No. 75 of 1992 s. 4 (as amended by No. 43 of 1996 s. 26); amended by No. 10 of 2001 s. 220.]</w:t>
      </w:r>
    </w:p>
    <w:p>
      <w:pPr>
        <w:pStyle w:val="Heading3"/>
        <w:spacing w:before="280"/>
      </w:pPr>
      <w:bookmarkStart w:id="1029" w:name="_Toc402969504"/>
      <w:bookmarkStart w:id="1030" w:name="_Toc416702936"/>
      <w:bookmarkStart w:id="1031" w:name="_Toc416703320"/>
      <w:bookmarkStart w:id="1032" w:name="_Toc435714572"/>
      <w:bookmarkStart w:id="1033" w:name="_Toc436057687"/>
      <w:bookmarkStart w:id="1034" w:name="_Toc436058075"/>
      <w:bookmarkStart w:id="1035" w:name="_Toc436058460"/>
      <w:bookmarkStart w:id="1036" w:name="_Toc436058689"/>
      <w:r>
        <w:rPr>
          <w:rStyle w:val="CharDivNo"/>
        </w:rPr>
        <w:t>Division 2</w:t>
      </w:r>
      <w:r>
        <w:rPr>
          <w:snapToGrid w:val="0"/>
        </w:rPr>
        <w:t> — </w:t>
      </w:r>
      <w:r>
        <w:rPr>
          <w:rStyle w:val="CharDivText"/>
        </w:rPr>
        <w:t>Agents</w:t>
      </w:r>
      <w:bookmarkEnd w:id="1029"/>
      <w:bookmarkEnd w:id="1030"/>
      <w:bookmarkEnd w:id="1031"/>
      <w:bookmarkEnd w:id="1032"/>
      <w:bookmarkEnd w:id="1033"/>
      <w:bookmarkEnd w:id="1034"/>
      <w:bookmarkEnd w:id="1035"/>
      <w:bookmarkEnd w:id="1036"/>
    </w:p>
    <w:p>
      <w:pPr>
        <w:pStyle w:val="Footnoteheading"/>
        <w:rPr>
          <w:snapToGrid w:val="0"/>
        </w:rPr>
      </w:pPr>
      <w:r>
        <w:rPr>
          <w:snapToGrid w:val="0"/>
        </w:rPr>
        <w:tab/>
        <w:t>[Heading inserted by No. 75 of 1992 s. 4.]</w:t>
      </w:r>
    </w:p>
    <w:p>
      <w:pPr>
        <w:pStyle w:val="Heading5"/>
        <w:rPr>
          <w:snapToGrid w:val="0"/>
        </w:rPr>
      </w:pPr>
      <w:bookmarkStart w:id="1037" w:name="_Toc402969505"/>
      <w:bookmarkStart w:id="1038" w:name="_Toc436058690"/>
      <w:bookmarkStart w:id="1039" w:name="_Toc416703321"/>
      <w:r>
        <w:rPr>
          <w:rStyle w:val="CharSectno"/>
        </w:rPr>
        <w:t>175B</w:t>
      </w:r>
      <w:r>
        <w:rPr>
          <w:snapToGrid w:val="0"/>
        </w:rPr>
        <w:t>.</w:t>
      </w:r>
      <w:r>
        <w:rPr>
          <w:snapToGrid w:val="0"/>
        </w:rPr>
        <w:tab/>
        <w:t>Agent of political party, appointment of</w:t>
      </w:r>
      <w:bookmarkEnd w:id="1037"/>
      <w:bookmarkEnd w:id="1038"/>
      <w:bookmarkEnd w:id="1039"/>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[Section 175B inserted by No. 75 of 1992 s. 4.]</w:t>
      </w:r>
    </w:p>
    <w:p>
      <w:pPr>
        <w:pStyle w:val="Heading5"/>
        <w:rPr>
          <w:snapToGrid w:val="0"/>
        </w:rPr>
      </w:pPr>
      <w:bookmarkStart w:id="1040" w:name="_Toc402969506"/>
      <w:bookmarkStart w:id="1041" w:name="_Toc436058691"/>
      <w:bookmarkStart w:id="1042" w:name="_Toc416703322"/>
      <w:r>
        <w:rPr>
          <w:rStyle w:val="CharSectno"/>
        </w:rPr>
        <w:t>175C</w:t>
      </w:r>
      <w:r>
        <w:rPr>
          <w:snapToGrid w:val="0"/>
        </w:rPr>
        <w:t>.</w:t>
      </w:r>
      <w:r>
        <w:rPr>
          <w:snapToGrid w:val="0"/>
        </w:rPr>
        <w:tab/>
        <w:t>Agent of candidate, appointment of etc.</w:t>
      </w:r>
      <w:bookmarkEnd w:id="1040"/>
      <w:bookmarkEnd w:id="1041"/>
      <w:bookmarkEnd w:id="1042"/>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pPr>
      <w:r>
        <w:rPr>
          <w:snapToGrid w:val="0"/>
        </w:rPr>
        <w:tab/>
        <w:t>(2)</w:t>
      </w:r>
      <w:r>
        <w:rPr>
          <w:snapToGrid w:val="0"/>
        </w:rPr>
        <w:tab/>
        <w:t xml:space="preserve">When there is no appointment in force under subsection (1) of an agent of a candidate in an </w:t>
      </w:r>
      <w:r>
        <w:t>election —</w:t>
      </w:r>
    </w:p>
    <w:p>
      <w:pPr>
        <w:pStyle w:val="Indenta"/>
      </w:pPr>
      <w:r>
        <w:tab/>
        <w:t>(a)</w:t>
      </w:r>
      <w:r>
        <w:tab/>
        <w:t>if the candidate has been endorsed by a political party, the agent of the political party is the agent of the candidate in relation to the election; or</w:t>
      </w:r>
    </w:p>
    <w:p>
      <w:pPr>
        <w:pStyle w:val="Indenta"/>
        <w:rPr>
          <w:snapToGrid w:val="0"/>
        </w:rPr>
      </w:pPr>
      <w:r>
        <w:tab/>
        <w:t>(b)</w:t>
      </w:r>
      <w:r>
        <w:tab/>
        <w:t>if paragraph (a) does not apply, the candidate is the agent in relation to the election.</w:t>
      </w:r>
    </w:p>
    <w:p>
      <w:pPr>
        <w:pStyle w:val="Footnotesection"/>
        <w:ind w:left="890" w:hanging="890"/>
      </w:pPr>
      <w:r>
        <w:tab/>
        <w:t>[Section 175C inserted by No. 75 of 1992 s. 4; amended by No. 7 of 2009 s. 14.]</w:t>
      </w:r>
    </w:p>
    <w:p>
      <w:pPr>
        <w:pStyle w:val="Heading5"/>
        <w:rPr>
          <w:snapToGrid w:val="0"/>
        </w:rPr>
      </w:pPr>
      <w:bookmarkStart w:id="1043" w:name="_Toc402969507"/>
      <w:bookmarkStart w:id="1044" w:name="_Toc436058692"/>
      <w:bookmarkStart w:id="1045" w:name="_Toc416703323"/>
      <w:r>
        <w:rPr>
          <w:rStyle w:val="CharSectno"/>
        </w:rPr>
        <w:t>175D</w:t>
      </w:r>
      <w:r>
        <w:rPr>
          <w:snapToGrid w:val="0"/>
        </w:rPr>
        <w:t>.</w:t>
      </w:r>
      <w:r>
        <w:rPr>
          <w:snapToGrid w:val="0"/>
        </w:rPr>
        <w:tab/>
        <w:t>Agent of group, appointment of etc.</w:t>
      </w:r>
      <w:bookmarkEnd w:id="1043"/>
      <w:bookmarkEnd w:id="1044"/>
      <w:bookmarkEnd w:id="1045"/>
    </w:p>
    <w:p>
      <w:pPr>
        <w:pStyle w:val="Subsection"/>
        <w:spacing w:before="120"/>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spacing w:before="120"/>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spacing w:before="120"/>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spacing w:before="80"/>
        <w:ind w:left="890" w:hanging="890"/>
      </w:pPr>
      <w:r>
        <w:tab/>
        <w:t>[Section 175D inserted by No. 75 of 1992 s. 4.]</w:t>
      </w:r>
    </w:p>
    <w:p>
      <w:pPr>
        <w:pStyle w:val="Heading5"/>
        <w:rPr>
          <w:snapToGrid w:val="0"/>
        </w:rPr>
      </w:pPr>
      <w:bookmarkStart w:id="1046" w:name="_Toc402969508"/>
      <w:bookmarkStart w:id="1047" w:name="_Toc436058693"/>
      <w:bookmarkStart w:id="1048" w:name="_Toc416703324"/>
      <w:r>
        <w:rPr>
          <w:rStyle w:val="CharSectno"/>
        </w:rPr>
        <w:t>175E</w:t>
      </w:r>
      <w:r>
        <w:rPr>
          <w:snapToGrid w:val="0"/>
        </w:rPr>
        <w:t>.</w:t>
      </w:r>
      <w:r>
        <w:rPr>
          <w:snapToGrid w:val="0"/>
        </w:rPr>
        <w:tab/>
        <w:t>Appointment under s. 175B, 175C and 175D, eligibility for and notice of</w:t>
      </w:r>
      <w:bookmarkEnd w:id="1046"/>
      <w:bookmarkEnd w:id="1047"/>
      <w:bookmarkEnd w:id="1048"/>
    </w:p>
    <w:p>
      <w:pPr>
        <w:pStyle w:val="Subsection"/>
        <w:spacing w:before="120"/>
        <w:rPr>
          <w:snapToGrid w:val="0"/>
        </w:rPr>
      </w:pPr>
      <w:r>
        <w:rPr>
          <w:snapToGrid w:val="0"/>
        </w:rPr>
        <w:tab/>
        <w:t>(1)</w:t>
      </w:r>
      <w:r>
        <w:rPr>
          <w:snapToGrid w:val="0"/>
        </w:rPr>
        <w:tab/>
        <w:t>An appointment of an agent under section 175B, 175C(1) or 175D(1) has no effect unless —</w:t>
      </w:r>
    </w:p>
    <w:p>
      <w:pPr>
        <w:pStyle w:val="Indenta"/>
        <w:spacing w:before="60"/>
        <w:rPr>
          <w:snapToGrid w:val="0"/>
        </w:rPr>
      </w:pPr>
      <w:r>
        <w:rPr>
          <w:snapToGrid w:val="0"/>
        </w:rPr>
        <w:tab/>
        <w:t>(a)</w:t>
      </w:r>
      <w:r>
        <w:rPr>
          <w:snapToGrid w:val="0"/>
        </w:rPr>
        <w:tab/>
        <w:t>the person appointed is a natural person who has attained the age of 18 years; and</w:t>
      </w:r>
    </w:p>
    <w:p>
      <w:pPr>
        <w:pStyle w:val="Indenta"/>
        <w:spacing w:before="60"/>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spacing w:before="60"/>
        <w:rPr>
          <w:snapToGrid w:val="0"/>
        </w:rPr>
      </w:pPr>
      <w:r>
        <w:rPr>
          <w:snapToGrid w:val="0"/>
        </w:rPr>
        <w:tab/>
        <w:t>(c)</w:t>
      </w:r>
      <w:r>
        <w:rPr>
          <w:snapToGrid w:val="0"/>
        </w:rPr>
        <w:tab/>
        <w:t>the person appointed has signed a form of consent to the appointment and a declaration of eligibility for appointment.</w:t>
      </w:r>
    </w:p>
    <w:p>
      <w:pPr>
        <w:pStyle w:val="Subsection"/>
        <w:spacing w:before="120"/>
        <w:rPr>
          <w:snapToGrid w:val="0"/>
        </w:rPr>
      </w:pPr>
      <w:r>
        <w:rPr>
          <w:snapToGrid w:val="0"/>
        </w:rPr>
        <w:tab/>
        <w:t>(2)</w:t>
      </w:r>
      <w:r>
        <w:rPr>
          <w:snapToGrid w:val="0"/>
        </w:rPr>
        <w:tab/>
        <w:t>The notice under subsection (1)(b) shall be in an approved form incorporating the consent and declaration under subsection (1)(c).</w:t>
      </w:r>
    </w:p>
    <w:p>
      <w:pPr>
        <w:pStyle w:val="Subsection"/>
        <w:spacing w:before="120"/>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w:t>
      </w:r>
    </w:p>
    <w:p>
      <w:pPr>
        <w:pStyle w:val="Indenta"/>
        <w:rPr>
          <w:snapToGrid w:val="0"/>
        </w:rPr>
      </w:pPr>
      <w:r>
        <w:rPr>
          <w:snapToGrid w:val="0"/>
        </w:rPr>
        <w:tab/>
        <w:t>(a)</w:t>
      </w:r>
      <w:r>
        <w:rPr>
          <w:snapToGrid w:val="0"/>
        </w:rPr>
        <w:tab/>
        <w:t>in respect of a return under this Part in relation to an election; or</w:t>
      </w:r>
    </w:p>
    <w:p>
      <w:pPr>
        <w:pStyle w:val="Indenta"/>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[Section 175E inserted by No. 75 of 1992 s. 4; amended by No. 36 of 2000 s. 60.]</w:t>
      </w:r>
    </w:p>
    <w:p>
      <w:pPr>
        <w:pStyle w:val="Heading5"/>
        <w:rPr>
          <w:snapToGrid w:val="0"/>
        </w:rPr>
      </w:pPr>
      <w:bookmarkStart w:id="1049" w:name="_Toc402969509"/>
      <w:bookmarkStart w:id="1050" w:name="_Toc436058694"/>
      <w:bookmarkStart w:id="1051" w:name="_Toc416703325"/>
      <w:r>
        <w:rPr>
          <w:rStyle w:val="CharSectno"/>
        </w:rPr>
        <w:t>175F</w:t>
      </w:r>
      <w:r>
        <w:rPr>
          <w:snapToGrid w:val="0"/>
        </w:rPr>
        <w:t>.</w:t>
      </w:r>
      <w:r>
        <w:rPr>
          <w:snapToGrid w:val="0"/>
        </w:rPr>
        <w:tab/>
        <w:t>Agent of political party, registration of</w:t>
      </w:r>
      <w:bookmarkEnd w:id="1049"/>
      <w:bookmarkEnd w:id="1050"/>
      <w:bookmarkEnd w:id="1051"/>
    </w:p>
    <w:p>
      <w:pPr>
        <w:pStyle w:val="Subsection"/>
        <w:rPr>
          <w:snapToGrid w:val="0"/>
        </w:rPr>
      </w:pPr>
      <w:r>
        <w:rPr>
          <w:snapToGrid w:val="0"/>
        </w:rPr>
        <w:tab/>
        <w:t>(1)</w:t>
      </w:r>
      <w:r>
        <w:rPr>
          <w:snapToGrid w:val="0"/>
        </w:rPr>
        <w:tab/>
        <w:t>The Electoral Commissioner shall keep a register for the purposes of this section (</w:t>
      </w:r>
      <w:r>
        <w:t xml:space="preserve">the </w:t>
      </w:r>
      <w:r>
        <w:rPr>
          <w:rStyle w:val="CharDefText"/>
        </w:rPr>
        <w:t>party agents register</w:t>
      </w:r>
      <w:r>
        <w:rPr>
          <w:snapToGrid w:val="0"/>
        </w:rPr>
        <w:t>).</w:t>
      </w:r>
    </w:p>
    <w:p>
      <w:pPr>
        <w:pStyle w:val="Subsection"/>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[Section 175F inserted by No. 75 of 1992 s. 4.]</w:t>
      </w:r>
    </w:p>
    <w:p>
      <w:pPr>
        <w:pStyle w:val="Heading5"/>
        <w:rPr>
          <w:snapToGrid w:val="0"/>
        </w:rPr>
      </w:pPr>
      <w:bookmarkStart w:id="1052" w:name="_Toc402969510"/>
      <w:bookmarkStart w:id="1053" w:name="_Toc436058695"/>
      <w:bookmarkStart w:id="1054" w:name="_Toc416703326"/>
      <w:r>
        <w:rPr>
          <w:rStyle w:val="CharSectno"/>
        </w:rPr>
        <w:t>175G</w:t>
      </w:r>
      <w:r>
        <w:rPr>
          <w:snapToGrid w:val="0"/>
        </w:rPr>
        <w:t>.</w:t>
      </w:r>
      <w:r>
        <w:rPr>
          <w:snapToGrid w:val="0"/>
        </w:rPr>
        <w:tab/>
        <w:t>Agent of political party, appointment of has no effect if not on register</w:t>
      </w:r>
      <w:bookmarkEnd w:id="1052"/>
      <w:bookmarkEnd w:id="1053"/>
      <w:bookmarkEnd w:id="1054"/>
    </w:p>
    <w:p>
      <w:pPr>
        <w:pStyle w:val="Subsection"/>
        <w:keepNext/>
        <w:rPr>
          <w:snapToGrid w:val="0"/>
        </w:rPr>
      </w:pPr>
      <w:r>
        <w:rPr>
          <w:snapToGrid w:val="0"/>
        </w:rPr>
        <w:tab/>
      </w:r>
      <w:r>
        <w:rPr>
          <w:snapToGrid w:val="0"/>
        </w:rPr>
        <w:tab/>
        <w:t>The appointment of an agent by a political party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keepNext/>
        <w:rPr>
          <w:snapToGrid w:val="0"/>
        </w:rPr>
      </w:pPr>
      <w:r>
        <w:rPr>
          <w:snapToGrid w:val="0"/>
        </w:rPr>
        <w:tab/>
        <w:t>(b)</w:t>
      </w:r>
      <w:r>
        <w:rPr>
          <w:snapToGrid w:val="0"/>
        </w:rPr>
        <w:tab/>
        <w:t>ceases to have effect if the name and address of the agent are removed from the party agents register.</w:t>
      </w:r>
    </w:p>
    <w:p>
      <w:pPr>
        <w:pStyle w:val="Footnotesection"/>
        <w:ind w:left="890" w:hanging="890"/>
      </w:pPr>
      <w:r>
        <w:tab/>
        <w:t>[Section 175G inserted by No. 75 of 1992 s. 4.]</w:t>
      </w:r>
    </w:p>
    <w:p>
      <w:pPr>
        <w:pStyle w:val="Heading5"/>
        <w:rPr>
          <w:snapToGrid w:val="0"/>
        </w:rPr>
      </w:pPr>
      <w:bookmarkStart w:id="1055" w:name="_Toc402969511"/>
      <w:bookmarkStart w:id="1056" w:name="_Toc436058696"/>
      <w:bookmarkStart w:id="1057" w:name="_Toc416703327"/>
      <w:r>
        <w:rPr>
          <w:rStyle w:val="CharSectno"/>
        </w:rPr>
        <w:t>175H</w:t>
      </w:r>
      <w:r>
        <w:rPr>
          <w:snapToGrid w:val="0"/>
        </w:rPr>
        <w:t>.</w:t>
      </w:r>
      <w:r>
        <w:rPr>
          <w:snapToGrid w:val="0"/>
        </w:rPr>
        <w:tab/>
        <w:t>Agent of political party, removing from register</w:t>
      </w:r>
      <w:bookmarkEnd w:id="1055"/>
      <w:bookmarkEnd w:id="1056"/>
      <w:bookmarkEnd w:id="1057"/>
    </w:p>
    <w:p>
      <w:pPr>
        <w:pStyle w:val="Subsection"/>
        <w:keepNext/>
        <w:keepLines/>
        <w:rPr>
          <w:snapToGrid w:val="0"/>
        </w:rPr>
      </w:pPr>
      <w:r>
        <w:rPr>
          <w:snapToGrid w:val="0"/>
        </w:rPr>
        <w:tab/>
      </w:r>
      <w:r>
        <w:rPr>
          <w:snapToGrid w:val="0"/>
        </w:rPr>
        <w:tab/>
        <w:t>The name and address of a person shall not be removed from the party agents register unless —</w:t>
      </w:r>
    </w:p>
    <w:p>
      <w:pPr>
        <w:pStyle w:val="Indenta"/>
        <w:spacing w:before="70"/>
        <w:rPr>
          <w:snapToGrid w:val="0"/>
        </w:rPr>
      </w:pPr>
      <w:r>
        <w:rPr>
          <w:snapToGrid w:val="0"/>
        </w:rPr>
        <w:tab/>
        <w:t>(a)</w:t>
      </w:r>
      <w:r>
        <w:rPr>
          <w:snapToGrid w:val="0"/>
        </w:rPr>
        <w:tab/>
        <w:t>the person gives to the Electoral Commissioner notice, in an approved form, of having resigned the appointment as agent; or</w:t>
      </w:r>
    </w:p>
    <w:p>
      <w:pPr>
        <w:pStyle w:val="Indenta"/>
        <w:spacing w:before="70"/>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spacing w:before="70"/>
        <w:rPr>
          <w:snapToGrid w:val="0"/>
        </w:rPr>
      </w:pPr>
      <w:r>
        <w:rPr>
          <w:snapToGrid w:val="0"/>
        </w:rPr>
        <w:tab/>
        <w:t>(c)</w:t>
      </w:r>
      <w:r>
        <w:rPr>
          <w:snapToGrid w:val="0"/>
        </w:rPr>
        <w:tab/>
        <w:t>the person is convicted of an offence against this Part.</w:t>
      </w:r>
    </w:p>
    <w:p>
      <w:pPr>
        <w:pStyle w:val="Footnotesection"/>
        <w:spacing w:before="100"/>
        <w:ind w:left="890" w:hanging="890"/>
      </w:pPr>
      <w:r>
        <w:tab/>
        <w:t>[Section 175H inserted by No. 75 of 1992 s. 4.]</w:t>
      </w:r>
    </w:p>
    <w:p>
      <w:pPr>
        <w:pStyle w:val="Heading5"/>
        <w:rPr>
          <w:snapToGrid w:val="0"/>
        </w:rPr>
      </w:pPr>
      <w:bookmarkStart w:id="1058" w:name="_Toc402969512"/>
      <w:bookmarkStart w:id="1059" w:name="_Toc436058697"/>
      <w:bookmarkStart w:id="1060" w:name="_Toc416703328"/>
      <w:r>
        <w:rPr>
          <w:rStyle w:val="CharSectno"/>
        </w:rPr>
        <w:t>175I</w:t>
      </w:r>
      <w:r>
        <w:rPr>
          <w:snapToGrid w:val="0"/>
        </w:rPr>
        <w:t>.</w:t>
      </w:r>
      <w:r>
        <w:rPr>
          <w:snapToGrid w:val="0"/>
        </w:rPr>
        <w:tab/>
        <w:t>Agent of political party, evidence of appointment of</w:t>
      </w:r>
      <w:bookmarkEnd w:id="1058"/>
      <w:bookmarkEnd w:id="1059"/>
      <w:bookmarkEnd w:id="1060"/>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spacing w:before="100"/>
        <w:ind w:left="890" w:hanging="890"/>
      </w:pPr>
      <w:r>
        <w:tab/>
        <w:t>[Section 175I inserted by No. 75 of 1992 s. 4.]</w:t>
      </w:r>
    </w:p>
    <w:p>
      <w:pPr>
        <w:pStyle w:val="Heading5"/>
        <w:rPr>
          <w:snapToGrid w:val="0"/>
        </w:rPr>
      </w:pPr>
      <w:bookmarkStart w:id="1061" w:name="_Toc402969513"/>
      <w:bookmarkStart w:id="1062" w:name="_Toc436058698"/>
      <w:bookmarkStart w:id="1063" w:name="_Toc416703329"/>
      <w:r>
        <w:rPr>
          <w:rStyle w:val="CharSectno"/>
        </w:rPr>
        <w:t>175J</w:t>
      </w:r>
      <w:r>
        <w:rPr>
          <w:snapToGrid w:val="0"/>
        </w:rPr>
        <w:t>.</w:t>
      </w:r>
      <w:r>
        <w:rPr>
          <w:snapToGrid w:val="0"/>
        </w:rPr>
        <w:tab/>
        <w:t>No agent of political party, who has Div. 3 duties in case of</w:t>
      </w:r>
      <w:bookmarkEnd w:id="1061"/>
      <w:bookmarkEnd w:id="1062"/>
      <w:bookmarkEnd w:id="1063"/>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spacing w:before="100"/>
        <w:ind w:left="890" w:hanging="890"/>
      </w:pPr>
      <w:r>
        <w:tab/>
        <w:t>[Section 175J inserted by No. 75 of 1992 s. 4.]</w:t>
      </w:r>
    </w:p>
    <w:p>
      <w:pPr>
        <w:pStyle w:val="Heading5"/>
        <w:spacing w:before="200"/>
        <w:rPr>
          <w:snapToGrid w:val="0"/>
        </w:rPr>
      </w:pPr>
      <w:bookmarkStart w:id="1064" w:name="_Toc402969514"/>
      <w:bookmarkStart w:id="1065" w:name="_Toc436058699"/>
      <w:bookmarkStart w:id="1066" w:name="_Toc416703330"/>
      <w:r>
        <w:rPr>
          <w:rStyle w:val="CharSectno"/>
        </w:rPr>
        <w:t>175K</w:t>
      </w:r>
      <w:r>
        <w:rPr>
          <w:snapToGrid w:val="0"/>
        </w:rPr>
        <w:t>.</w:t>
      </w:r>
      <w:r>
        <w:rPr>
          <w:snapToGrid w:val="0"/>
        </w:rPr>
        <w:tab/>
        <w:t>Agent of candidate or group, revoking appointment of</w:t>
      </w:r>
      <w:bookmarkEnd w:id="1064"/>
      <w:bookmarkEnd w:id="1065"/>
      <w:bookmarkEnd w:id="1066"/>
    </w:p>
    <w:p>
      <w:pPr>
        <w:pStyle w:val="Subsection"/>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80"/>
        <w:ind w:left="890" w:hanging="890"/>
      </w:pPr>
      <w:r>
        <w:tab/>
        <w:t>[Section 175K inserted by No. 75 of 1992 s. 4.]</w:t>
      </w:r>
    </w:p>
    <w:p>
      <w:pPr>
        <w:pStyle w:val="Heading5"/>
        <w:rPr>
          <w:snapToGrid w:val="0"/>
        </w:rPr>
      </w:pPr>
      <w:bookmarkStart w:id="1067" w:name="_Toc402969515"/>
      <w:bookmarkStart w:id="1068" w:name="_Toc436058700"/>
      <w:bookmarkStart w:id="1069" w:name="_Toc416703331"/>
      <w:r>
        <w:rPr>
          <w:rStyle w:val="CharSectno"/>
        </w:rPr>
        <w:t>175L</w:t>
      </w:r>
      <w:r>
        <w:rPr>
          <w:snapToGrid w:val="0"/>
        </w:rPr>
        <w:t>.</w:t>
      </w:r>
      <w:r>
        <w:rPr>
          <w:snapToGrid w:val="0"/>
        </w:rPr>
        <w:tab/>
        <w:t>Agent of candidate or group, notice of death or resignation of to be given</w:t>
      </w:r>
      <w:bookmarkEnd w:id="1067"/>
      <w:bookmarkEnd w:id="1068"/>
      <w:bookmarkEnd w:id="1069"/>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80"/>
        <w:ind w:left="890" w:hanging="890"/>
      </w:pPr>
      <w:r>
        <w:tab/>
        <w:t>[Section 175L inserted by No. 75 of 1992 s. 4.]</w:t>
      </w:r>
    </w:p>
    <w:p>
      <w:pPr>
        <w:pStyle w:val="Heading3"/>
      </w:pPr>
      <w:bookmarkStart w:id="1070" w:name="_Toc402969516"/>
      <w:bookmarkStart w:id="1071" w:name="_Toc416702948"/>
      <w:bookmarkStart w:id="1072" w:name="_Toc416703332"/>
      <w:bookmarkStart w:id="1073" w:name="_Toc435714584"/>
      <w:bookmarkStart w:id="1074" w:name="_Toc436057699"/>
      <w:bookmarkStart w:id="1075" w:name="_Toc436058087"/>
      <w:bookmarkStart w:id="1076" w:name="_Toc436058472"/>
      <w:bookmarkStart w:id="1077" w:name="_Toc436058701"/>
      <w:r>
        <w:rPr>
          <w:rStyle w:val="CharDivNo"/>
        </w:rPr>
        <w:t>Division 2A</w:t>
      </w:r>
      <w:r>
        <w:t> — </w:t>
      </w:r>
      <w:r>
        <w:rPr>
          <w:rStyle w:val="CharDivText"/>
        </w:rPr>
        <w:t>Electoral funding</w:t>
      </w:r>
      <w:bookmarkEnd w:id="1070"/>
      <w:bookmarkEnd w:id="1071"/>
      <w:bookmarkEnd w:id="1072"/>
      <w:bookmarkEnd w:id="1073"/>
      <w:bookmarkEnd w:id="1074"/>
      <w:bookmarkEnd w:id="1075"/>
      <w:bookmarkEnd w:id="1076"/>
      <w:bookmarkEnd w:id="1077"/>
    </w:p>
    <w:p>
      <w:pPr>
        <w:pStyle w:val="Footnoteheading"/>
        <w:spacing w:before="80"/>
      </w:pPr>
      <w:r>
        <w:tab/>
        <w:t>[Heading inserted by</w:t>
      </w:r>
      <w:r>
        <w:rPr>
          <w:snapToGrid w:val="0"/>
        </w:rPr>
        <w:t xml:space="preserve"> No. 55 of 2006 s. 6.]</w:t>
      </w:r>
    </w:p>
    <w:p>
      <w:pPr>
        <w:pStyle w:val="Heading5"/>
      </w:pPr>
      <w:bookmarkStart w:id="1078" w:name="_Toc402969517"/>
      <w:bookmarkStart w:id="1079" w:name="_Toc436058702"/>
      <w:bookmarkStart w:id="1080" w:name="_Toc416703333"/>
      <w:r>
        <w:rPr>
          <w:rStyle w:val="CharSectno"/>
        </w:rPr>
        <w:t>175LA</w:t>
      </w:r>
      <w:r>
        <w:t>.</w:t>
      </w:r>
      <w:r>
        <w:tab/>
        <w:t>Terms used and interpretation</w:t>
      </w:r>
      <w:bookmarkEnd w:id="1078"/>
      <w:bookmarkEnd w:id="1079"/>
      <w:bookmarkEnd w:id="1080"/>
    </w:p>
    <w:p>
      <w:pPr>
        <w:pStyle w:val="Subsection"/>
        <w:spacing w:before="140"/>
      </w:pPr>
      <w:r>
        <w:tab/>
        <w:t>(1)</w:t>
      </w:r>
      <w:r>
        <w:tab/>
        <w:t>In this Division —</w:t>
      </w:r>
    </w:p>
    <w:p>
      <w:pPr>
        <w:pStyle w:val="Defstart"/>
      </w:pPr>
      <w:r>
        <w:rPr>
          <w:b/>
        </w:rPr>
        <w:tab/>
      </w:r>
      <w:r>
        <w:rPr>
          <w:rStyle w:val="CharDefText"/>
        </w:rPr>
        <w:t>election</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r>
      <w:r>
        <w:rPr>
          <w:rStyle w:val="CharDefText"/>
        </w:rPr>
        <w:t>eligible vote</w:t>
      </w:r>
      <w:r>
        <w:t xml:space="preserve"> means —</w:t>
      </w:r>
    </w:p>
    <w:p>
      <w:pPr>
        <w:pStyle w:val="Defpara"/>
        <w:spacing w:before="60"/>
      </w:pPr>
      <w:r>
        <w:tab/>
        <w:t>(a)</w:t>
      </w:r>
      <w:r>
        <w:tab/>
        <w:t>a vote given at an election in which there are only 2 candidates; or</w:t>
      </w:r>
    </w:p>
    <w:p>
      <w:pPr>
        <w:pStyle w:val="Defpara"/>
        <w:keepNext/>
        <w:spacing w:before="60"/>
      </w:pPr>
      <w:r>
        <w:tab/>
        <w:t>(b)</w:t>
      </w:r>
      <w:r>
        <w:tab/>
        <w:t>a first preference vote given at an election in which there are more than 2 candidates,</w:t>
      </w:r>
    </w:p>
    <w:p>
      <w:pPr>
        <w:pStyle w:val="Defstart"/>
      </w:pPr>
      <w:r>
        <w:tab/>
        <w:t>but does not include any vote on a ballot paper that has been rejected;</w:t>
      </w:r>
    </w:p>
    <w:p>
      <w:pPr>
        <w:pStyle w:val="Defstart"/>
      </w:pPr>
      <w:r>
        <w:rPr>
          <w:b/>
        </w:rPr>
        <w:tab/>
      </w:r>
      <w:r>
        <w:rPr>
          <w:rStyle w:val="CharDefText"/>
        </w:rPr>
        <w:t>party group</w:t>
      </w:r>
      <w:r>
        <w:t xml:space="preserve"> means a group all the persons included in which have been endorsed by the same registered political party.</w:t>
      </w:r>
    </w:p>
    <w:p>
      <w:pPr>
        <w:pStyle w:val="Subsection"/>
        <w:spacing w:before="140"/>
      </w:pPr>
      <w:r>
        <w:tab/>
        <w:t>(2)</w:t>
      </w:r>
      <w:r>
        <w:tab/>
        <w:t>For the purposes of this Division, a reference to a vote given includes a reference to a vote deemed under section 146F to have been given.</w:t>
      </w:r>
    </w:p>
    <w:p>
      <w:pPr>
        <w:pStyle w:val="Subsection"/>
      </w:pPr>
      <w:r>
        <w:tab/>
        <w:t>(3)</w:t>
      </w:r>
      <w:r>
        <w:tab/>
        <w:t>For the purposes of this Division, electoral expenditure incurred in relation to an election by or with the authority of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r>
        <w:tab/>
        <w:t>[Section 175LA inserted by No. 55 of 2006 s. 6.]</w:t>
      </w:r>
    </w:p>
    <w:p>
      <w:pPr>
        <w:pStyle w:val="Heading5"/>
      </w:pPr>
      <w:bookmarkStart w:id="1081" w:name="_Toc402969518"/>
      <w:bookmarkStart w:id="1082" w:name="_Toc436058703"/>
      <w:bookmarkStart w:id="1083" w:name="_Toc416703334"/>
      <w:r>
        <w:rPr>
          <w:rStyle w:val="CharSectno"/>
        </w:rPr>
        <w:t>175LB</w:t>
      </w:r>
      <w:r>
        <w:t>.</w:t>
      </w:r>
      <w:r>
        <w:tab/>
        <w:t>Election funding reimbursement amount, entitlement to</w:t>
      </w:r>
      <w:bookmarkEnd w:id="1081"/>
      <w:bookmarkEnd w:id="1082"/>
      <w:bookmarkEnd w:id="1083"/>
    </w:p>
    <w:p>
      <w:pPr>
        <w:pStyle w:val="Subsection"/>
      </w:pPr>
      <w:r>
        <w:tab/>
      </w:r>
      <w:r>
        <w:tab/>
        <w:t>Subject to this Division, after an election the election funding reimbursement amount under section 175LC is payable for each eligible vote given for a candidate.</w:t>
      </w:r>
    </w:p>
    <w:p>
      <w:pPr>
        <w:pStyle w:val="Footnotesection"/>
      </w:pPr>
      <w:r>
        <w:tab/>
        <w:t>[Section 175LB inserted by No. 55 of 2006 s. 6.]</w:t>
      </w:r>
    </w:p>
    <w:p>
      <w:pPr>
        <w:pStyle w:val="Heading5"/>
      </w:pPr>
      <w:bookmarkStart w:id="1084" w:name="_Toc402969519"/>
      <w:bookmarkStart w:id="1085" w:name="_Toc436058704"/>
      <w:bookmarkStart w:id="1086" w:name="_Toc416703335"/>
      <w:r>
        <w:rPr>
          <w:rStyle w:val="CharSectno"/>
        </w:rPr>
        <w:t>175LC</w:t>
      </w:r>
      <w:r>
        <w:t>.</w:t>
      </w:r>
      <w:r>
        <w:tab/>
        <w:t>Election funding reimbursement amount, calculation of</w:t>
      </w:r>
      <w:bookmarkEnd w:id="1084"/>
      <w:bookmarkEnd w:id="1085"/>
      <w:bookmarkEnd w:id="1086"/>
    </w:p>
    <w:p>
      <w:pPr>
        <w:pStyle w:val="Subsection"/>
      </w:pPr>
      <w:r>
        <w:tab/>
        <w:t>(1)</w:t>
      </w:r>
      <w:r>
        <w:tab/>
        <w:t>The election funding reimbursement amount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keepLines/>
      </w:pPr>
      <w:r>
        <w:tab/>
        <w:t>(2)</w:t>
      </w:r>
      <w:r>
        <w:tab/>
        <w:t>The election funding reimbursement amount is taken to have been adjusted on 1 July 2006 and is to be adjusted for each subsequent financial year on 1 July of that financial year using the formula —</w:t>
      </w:r>
    </w:p>
    <w:p>
      <w:pPr>
        <w:pStyle w:val="Equation"/>
        <w:shd w:val="clear" w:color="000000" w:fill="auto"/>
        <w:spacing w:before="120"/>
        <w:ind w:left="1140" w:firstLine="1140"/>
      </w:pPr>
      <w:r>
        <w:rPr>
          <w:position w:val="-24"/>
        </w:rPr>
        <w:drawing>
          <wp:inline distT="0" distB="0" distL="0" distR="0">
            <wp:extent cx="422910" cy="3968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2910" cy="396875"/>
                    </a:xfrm>
                    <a:prstGeom prst="rect">
                      <a:avLst/>
                    </a:prstGeom>
                    <a:noFill/>
                    <a:ln>
                      <a:noFill/>
                    </a:ln>
                  </pic:spPr>
                </pic:pic>
              </a:graphicData>
            </a:graphic>
          </wp:inline>
        </w:drawing>
      </w:r>
    </w:p>
    <w:p>
      <w:pPr>
        <w:pStyle w:val="Subsection"/>
      </w:pPr>
      <w:r>
        <w:tab/>
      </w:r>
      <w:r>
        <w:tab/>
        <w:t>where —</w:t>
      </w:r>
    </w:p>
    <w:p>
      <w:pPr>
        <w:pStyle w:val="Defstart"/>
      </w:pPr>
      <w:r>
        <w:rPr>
          <w:b/>
        </w:rPr>
        <w:tab/>
      </w:r>
      <w:r>
        <w:rPr>
          <w:b/>
          <w:i/>
        </w:rPr>
        <w:t>A</w:t>
      </w:r>
      <w:r>
        <w:t xml:space="preserve"> is the election funding reimbursement amount immediately before 1 July in a year; and</w:t>
      </w:r>
    </w:p>
    <w:p>
      <w:pPr>
        <w:pStyle w:val="Defstart"/>
      </w:pPr>
      <w:r>
        <w:rPr>
          <w:b/>
        </w:rPr>
        <w:tab/>
      </w:r>
      <w:r>
        <w:rPr>
          <w:b/>
          <w:i/>
        </w:rPr>
        <w:t>B</w:t>
      </w:r>
      <w:r>
        <w:t xml:space="preserve"> is the CPI number published for the March quarter in the year; and</w:t>
      </w:r>
    </w:p>
    <w:p>
      <w:pPr>
        <w:pStyle w:val="Defstart"/>
      </w:pPr>
      <w:r>
        <w:rPr>
          <w:b/>
        </w:rPr>
        <w:tab/>
      </w:r>
      <w:r>
        <w:rPr>
          <w:b/>
          <w:i/>
        </w:rPr>
        <w:t>C</w:t>
      </w:r>
      <w:r>
        <w:t xml:space="preserve"> is the CPI number published for the March quarter in the previous year.</w:t>
      </w:r>
    </w:p>
    <w:p>
      <w:pPr>
        <w:pStyle w:val="Subsection"/>
      </w:pPr>
      <w:r>
        <w:tab/>
        <w:t>(3)</w:t>
      </w:r>
      <w:r>
        <w:tab/>
        <w:t>In subsection (2) —</w:t>
      </w:r>
    </w:p>
    <w:p>
      <w:pPr>
        <w:pStyle w:val="Defstart"/>
      </w:pPr>
      <w:r>
        <w:rPr>
          <w:b/>
        </w:rPr>
        <w:tab/>
      </w:r>
      <w:r>
        <w:rPr>
          <w:rStyle w:val="CharDefText"/>
        </w:rPr>
        <w:t>CPI</w:t>
      </w:r>
      <w:r>
        <w:t xml:space="preserve"> means the all groups consumer price index for </w:t>
      </w:r>
      <w:smartTag w:uri="urn:schemas-microsoft-com:office:smarttags" w:element="place">
        <w:smartTag w:uri="urn:schemas-microsoft-com:office:smarttags" w:element="City">
          <w:r>
            <w:t>Perth</w:t>
          </w:r>
        </w:smartTag>
      </w:smartTag>
      <w:r>
        <w:t xml:space="preserve">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r>
        <w:tab/>
        <w:t>[Section 175LC inserted by No. 55 of 2006 s. 6.]</w:t>
      </w:r>
    </w:p>
    <w:p>
      <w:pPr>
        <w:pStyle w:val="Heading5"/>
      </w:pPr>
      <w:bookmarkStart w:id="1087" w:name="_Toc402969520"/>
      <w:bookmarkStart w:id="1088" w:name="_Toc436058705"/>
      <w:bookmarkStart w:id="1089" w:name="_Toc416703336"/>
      <w:r>
        <w:rPr>
          <w:rStyle w:val="CharSectno"/>
        </w:rPr>
        <w:t>175LD</w:t>
      </w:r>
      <w:r>
        <w:t>.</w:t>
      </w:r>
      <w:r>
        <w:tab/>
        <w:t>Claim for payment, requirement for and making etc.</w:t>
      </w:r>
      <w:bookmarkEnd w:id="1087"/>
      <w:bookmarkEnd w:id="1088"/>
      <w:bookmarkEnd w:id="1089"/>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A claim for payment under this Division for the eligible votes given for a candidate endorsed by a registered political party may be lodged by, and only by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A claim for payment under this Division for the eligible votes given for a candidate not endorsed by a registered political party may be lodged by, and only by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A claim for a payment under this Division is to be accompanied by any information required by the Electoral Commissioner regarding —</w:t>
      </w:r>
    </w:p>
    <w:p>
      <w:pPr>
        <w:pStyle w:val="Indenta"/>
      </w:pPr>
      <w:r>
        <w:tab/>
        <w:t>(a)</w:t>
      </w:r>
      <w:r>
        <w:tab/>
        <w:t>in the case of a claim lodged by the agent of a registered political party under subsection (2)(a) or (b), the electoral expenditure incurred by or with the authority of the party in relation to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For the purposes of subsection (1) the claims period is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r>
        <w:tab/>
        <w:t>[Section 175LD inserted by No. 55 of 2006 s. 6.]</w:t>
      </w:r>
    </w:p>
    <w:p>
      <w:pPr>
        <w:pStyle w:val="Heading5"/>
      </w:pPr>
      <w:bookmarkStart w:id="1090" w:name="_Toc402969521"/>
      <w:bookmarkStart w:id="1091" w:name="_Toc436058706"/>
      <w:bookmarkStart w:id="1092" w:name="_Toc416703337"/>
      <w:r>
        <w:rPr>
          <w:rStyle w:val="CharSectno"/>
        </w:rPr>
        <w:t>175LE</w:t>
      </w:r>
      <w:r>
        <w:t>.</w:t>
      </w:r>
      <w:r>
        <w:tab/>
        <w:t>Electoral Commissioner to determine claims</w:t>
      </w:r>
      <w:bookmarkEnd w:id="1090"/>
      <w:bookmarkEnd w:id="1091"/>
      <w:bookmarkEnd w:id="1092"/>
    </w:p>
    <w:p>
      <w:pPr>
        <w:pStyle w:val="Subsection"/>
      </w:pPr>
      <w:r>
        <w:tab/>
      </w:r>
      <w:r>
        <w:tab/>
        <w:t>A claim for payment under this Division is to be decided by the Electoral Commissioner in accordance with this Division.</w:t>
      </w:r>
    </w:p>
    <w:p>
      <w:pPr>
        <w:pStyle w:val="Footnotesection"/>
      </w:pPr>
      <w:r>
        <w:tab/>
        <w:t>[Section 175LE inserted by No. 55 of 2006 s. 6.]</w:t>
      </w:r>
    </w:p>
    <w:p>
      <w:pPr>
        <w:pStyle w:val="Heading5"/>
      </w:pPr>
      <w:bookmarkStart w:id="1093" w:name="_Toc402969522"/>
      <w:bookmarkStart w:id="1094" w:name="_Toc436058707"/>
      <w:bookmarkStart w:id="1095" w:name="_Toc416703338"/>
      <w:r>
        <w:rPr>
          <w:rStyle w:val="CharSectno"/>
        </w:rPr>
        <w:t>175LF</w:t>
      </w:r>
      <w:r>
        <w:t>.</w:t>
      </w:r>
      <w:r>
        <w:tab/>
        <w:t>Circumstances in which payment to be made</w:t>
      </w:r>
      <w:bookmarkEnd w:id="1093"/>
      <w:bookmarkEnd w:id="1094"/>
      <w:bookmarkEnd w:id="1095"/>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r>
        <w:tab/>
        <w:t>[Section 175LF inserted by No. 55 of 2006 s. 6.]</w:t>
      </w:r>
    </w:p>
    <w:p>
      <w:pPr>
        <w:pStyle w:val="Heading5"/>
      </w:pPr>
      <w:bookmarkStart w:id="1096" w:name="_Toc402969523"/>
      <w:bookmarkStart w:id="1097" w:name="_Toc436058708"/>
      <w:bookmarkStart w:id="1098" w:name="_Toc416703339"/>
      <w:r>
        <w:rPr>
          <w:rStyle w:val="CharSectno"/>
        </w:rPr>
        <w:t>175LG</w:t>
      </w:r>
      <w:r>
        <w:t>.</w:t>
      </w:r>
      <w:r>
        <w:tab/>
        <w:t>Amount paid not to exceed electoral expenditure</w:t>
      </w:r>
      <w:bookmarkEnd w:id="1096"/>
      <w:bookmarkEnd w:id="1097"/>
      <w:bookmarkEnd w:id="1098"/>
    </w:p>
    <w:p>
      <w:pPr>
        <w:pStyle w:val="Subsection"/>
      </w:pPr>
      <w:r>
        <w:tab/>
        <w:t>(1)</w:t>
      </w:r>
      <w:r>
        <w:tab/>
        <w:t>The amount of a payment under this Division made in respect of a claim under section 175LD is not to exceed —</w:t>
      </w:r>
    </w:p>
    <w:p>
      <w:pPr>
        <w:pStyle w:val="Indenta"/>
      </w:pPr>
      <w:r>
        <w:tab/>
        <w:t>(a)</w:t>
      </w:r>
      <w:r>
        <w:tab/>
        <w:t>if the claim is lodged by the agent of a registered political party under section 175LD(2)(a) or (b), the electoral expenditure incurred by or with the authority of the party in relation to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pPr>
      <w:r>
        <w:tab/>
        <w:t>(2)</w:t>
      </w:r>
      <w:r>
        <w:tab/>
        <w:t>In subsection (1) —</w:t>
      </w:r>
    </w:p>
    <w:p>
      <w:pPr>
        <w:pStyle w:val="Defstart"/>
      </w:pPr>
      <w:r>
        <w:rPr>
          <w:b/>
        </w:rPr>
        <w:tab/>
      </w:r>
      <w:r>
        <w:rPr>
          <w:rStyle w:val="CharDefText"/>
        </w:rPr>
        <w:t>input tax credit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r>
        <w:tab/>
        <w:t>[Section 175LG inserted by No. 55 of 2006 s. 6.]</w:t>
      </w:r>
    </w:p>
    <w:p>
      <w:pPr>
        <w:pStyle w:val="Heading5"/>
      </w:pPr>
      <w:bookmarkStart w:id="1099" w:name="_Toc402969524"/>
      <w:bookmarkStart w:id="1100" w:name="_Toc436058709"/>
      <w:bookmarkStart w:id="1101" w:name="_Toc416703340"/>
      <w:r>
        <w:rPr>
          <w:rStyle w:val="CharSectno"/>
        </w:rPr>
        <w:t>175LH</w:t>
      </w:r>
      <w:r>
        <w:t>.</w:t>
      </w:r>
      <w:r>
        <w:tab/>
        <w:t>Payments, to whom to be made</w:t>
      </w:r>
      <w:bookmarkEnd w:id="1099"/>
      <w:bookmarkEnd w:id="1100"/>
      <w:bookmarkEnd w:id="1101"/>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r>
        <w:tab/>
        <w:t>[Section 175LH inserted by No. 55 of 2006 s. 6.]</w:t>
      </w:r>
    </w:p>
    <w:p>
      <w:pPr>
        <w:pStyle w:val="Heading5"/>
      </w:pPr>
      <w:bookmarkStart w:id="1102" w:name="_Toc402969525"/>
      <w:bookmarkStart w:id="1103" w:name="_Toc436058710"/>
      <w:bookmarkStart w:id="1104" w:name="_Toc416703341"/>
      <w:r>
        <w:rPr>
          <w:rStyle w:val="CharSectno"/>
        </w:rPr>
        <w:t>175LI</w:t>
      </w:r>
      <w:r>
        <w:t>.</w:t>
      </w:r>
      <w:r>
        <w:tab/>
        <w:t>Decision as to payment, revoking and re</w:t>
      </w:r>
      <w:r>
        <w:noBreakHyphen/>
        <w:t>making</w:t>
      </w:r>
      <w:bookmarkEnd w:id="1102"/>
      <w:bookmarkEnd w:id="1103"/>
      <w:bookmarkEnd w:id="1104"/>
    </w:p>
    <w:p>
      <w:pPr>
        <w:pStyle w:val="Subsection"/>
      </w:pPr>
      <w:r>
        <w:tab/>
        <w:t>(1)</w:t>
      </w:r>
      <w:r>
        <w:tab/>
        <w:t>If the Electoral Commissioner is satisfied that the amount of a payment decided under section 175LE exceeds, or is less than, the amount payable to the claimant, the Commissioner may revoke the decision and make a fresh decision.</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r>
        <w:tab/>
        <w:t>[Section 175LI inserted by No. 55 of 2006 s. 6.]</w:t>
      </w:r>
    </w:p>
    <w:p>
      <w:pPr>
        <w:pStyle w:val="Heading5"/>
      </w:pPr>
      <w:bookmarkStart w:id="1105" w:name="_Toc402969526"/>
      <w:bookmarkStart w:id="1106" w:name="_Toc436058711"/>
      <w:bookmarkStart w:id="1107" w:name="_Toc416703342"/>
      <w:r>
        <w:rPr>
          <w:rStyle w:val="CharSectno"/>
        </w:rPr>
        <w:t>175LJ</w:t>
      </w:r>
      <w:r>
        <w:t>.</w:t>
      </w:r>
      <w:r>
        <w:tab/>
        <w:t>Death of candidate, payments etc. in case of</w:t>
      </w:r>
      <w:bookmarkEnd w:id="1105"/>
      <w:bookmarkEnd w:id="1106"/>
      <w:bookmarkEnd w:id="1107"/>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If the candidate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If the candidate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ind w:left="890" w:hanging="890"/>
      </w:pPr>
      <w:r>
        <w:tab/>
        <w:t>[Section 175LJ inserted by No. 55 of 2006 s. 6.]</w:t>
      </w:r>
    </w:p>
    <w:p>
      <w:pPr>
        <w:pStyle w:val="Heading5"/>
      </w:pPr>
      <w:bookmarkStart w:id="1108" w:name="_Toc402969527"/>
      <w:bookmarkStart w:id="1109" w:name="_Toc436058712"/>
      <w:bookmarkStart w:id="1110" w:name="_Toc416703343"/>
      <w:r>
        <w:rPr>
          <w:rStyle w:val="CharSectno"/>
        </w:rPr>
        <w:t>175LK</w:t>
      </w:r>
      <w:r>
        <w:t>.</w:t>
      </w:r>
      <w:r>
        <w:tab/>
        <w:t>Appropriation for payments under this Division</w:t>
      </w:r>
      <w:bookmarkEnd w:id="1108"/>
      <w:bookmarkEnd w:id="1109"/>
      <w:bookmarkEnd w:id="1110"/>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by No. 55 of 2006 s. 6; amended by No. 77 of 2006 s. 4.]</w:t>
      </w:r>
    </w:p>
    <w:p>
      <w:pPr>
        <w:pStyle w:val="Heading3"/>
        <w:spacing w:before="200"/>
      </w:pPr>
      <w:bookmarkStart w:id="1111" w:name="_Toc402969528"/>
      <w:bookmarkStart w:id="1112" w:name="_Toc416702960"/>
      <w:bookmarkStart w:id="1113" w:name="_Toc416703344"/>
      <w:bookmarkStart w:id="1114" w:name="_Toc435714596"/>
      <w:bookmarkStart w:id="1115" w:name="_Toc436057711"/>
      <w:bookmarkStart w:id="1116" w:name="_Toc436058099"/>
      <w:bookmarkStart w:id="1117" w:name="_Toc436058484"/>
      <w:bookmarkStart w:id="1118" w:name="_Toc436058713"/>
      <w:r>
        <w:rPr>
          <w:rStyle w:val="CharDivNo"/>
        </w:rPr>
        <w:t>Division 3</w:t>
      </w:r>
      <w:r>
        <w:rPr>
          <w:snapToGrid w:val="0"/>
        </w:rPr>
        <w:t> — </w:t>
      </w:r>
      <w:r>
        <w:rPr>
          <w:rStyle w:val="CharDivText"/>
        </w:rPr>
        <w:t>Disclosure of gifts and other income</w:t>
      </w:r>
      <w:bookmarkEnd w:id="1111"/>
      <w:bookmarkEnd w:id="1112"/>
      <w:bookmarkEnd w:id="1113"/>
      <w:bookmarkEnd w:id="1114"/>
      <w:bookmarkEnd w:id="1115"/>
      <w:bookmarkEnd w:id="1116"/>
      <w:bookmarkEnd w:id="1117"/>
      <w:bookmarkEnd w:id="1118"/>
    </w:p>
    <w:p>
      <w:pPr>
        <w:pStyle w:val="Footnoteheading"/>
        <w:keepNext/>
        <w:spacing w:before="100"/>
        <w:rPr>
          <w:snapToGrid w:val="0"/>
        </w:rPr>
      </w:pPr>
      <w:r>
        <w:rPr>
          <w:snapToGrid w:val="0"/>
        </w:rPr>
        <w:tab/>
        <w:t>[Heading inserted by No. 75 of 1992 s. 4.]</w:t>
      </w:r>
    </w:p>
    <w:p>
      <w:pPr>
        <w:pStyle w:val="Heading5"/>
        <w:rPr>
          <w:snapToGrid w:val="0"/>
        </w:rPr>
      </w:pPr>
      <w:bookmarkStart w:id="1119" w:name="_Toc402969529"/>
      <w:bookmarkStart w:id="1120" w:name="_Toc436058714"/>
      <w:bookmarkStart w:id="1121" w:name="_Toc416703345"/>
      <w:r>
        <w:rPr>
          <w:rStyle w:val="CharSectno"/>
        </w:rPr>
        <w:t>175M</w:t>
      </w:r>
      <w:r>
        <w:rPr>
          <w:snapToGrid w:val="0"/>
        </w:rPr>
        <w:t>.</w:t>
      </w:r>
      <w:r>
        <w:rPr>
          <w:snapToGrid w:val="0"/>
        </w:rPr>
        <w:tab/>
        <w:t>Relevant details of gifts, defined</w:t>
      </w:r>
      <w:bookmarkEnd w:id="1119"/>
      <w:bookmarkEnd w:id="1120"/>
      <w:bookmarkEnd w:id="1121"/>
    </w:p>
    <w:p>
      <w:pPr>
        <w:pStyle w:val="Subsection"/>
        <w:rPr>
          <w:snapToGrid w:val="0"/>
        </w:rPr>
      </w:pPr>
      <w:r>
        <w:rPr>
          <w:snapToGrid w:val="0"/>
        </w:rPr>
        <w:tab/>
      </w:r>
      <w:r>
        <w:rPr>
          <w:snapToGrid w:val="0"/>
        </w:rPr>
        <w:tab/>
        <w:t>For the purposes of this Division the relevant details of a gift are the amount or value of the gift, the date on which the gift was made, and —</w:t>
      </w:r>
    </w:p>
    <w:p>
      <w:pPr>
        <w:pStyle w:val="Indenta"/>
        <w:spacing w:before="60"/>
      </w:pPr>
      <w:r>
        <w:tab/>
        <w:t>(a)</w:t>
      </w:r>
      <w:r>
        <w:tab/>
        <w:t>in the case of a gift made on behalf of the members of an unincorporated association —</w:t>
      </w:r>
    </w:p>
    <w:p>
      <w:pPr>
        <w:pStyle w:val="Indenti"/>
        <w:spacing w:before="60"/>
        <w:rPr>
          <w:snapToGrid w:val="0"/>
        </w:rPr>
      </w:pPr>
      <w:r>
        <w:rPr>
          <w:snapToGrid w:val="0"/>
        </w:rPr>
        <w:tab/>
        <w:t>(i)</w:t>
      </w:r>
      <w:r>
        <w:rPr>
          <w:snapToGrid w:val="0"/>
        </w:rPr>
        <w:tab/>
        <w:t>the name of the association; and</w:t>
      </w:r>
    </w:p>
    <w:p>
      <w:pPr>
        <w:pStyle w:val="Indenti"/>
        <w:spacing w:before="60"/>
        <w:rPr>
          <w:snapToGrid w:val="0"/>
        </w:rPr>
      </w:pPr>
      <w:r>
        <w:rPr>
          <w:snapToGrid w:val="0"/>
        </w:rPr>
        <w:tab/>
        <w:t>(ii)</w:t>
      </w:r>
      <w:r>
        <w:rPr>
          <w:snapToGrid w:val="0"/>
        </w:rPr>
        <w:tab/>
        <w:t>the names and addresses of the members of the executive committee (however described) of the association;</w:t>
      </w:r>
    </w:p>
    <w:p>
      <w:pPr>
        <w:pStyle w:val="Indenta"/>
        <w:spacing w:before="60"/>
      </w:pPr>
      <w:r>
        <w:tab/>
      </w:r>
      <w:r>
        <w:tab/>
        <w:t>and</w:t>
      </w:r>
    </w:p>
    <w:p>
      <w:pPr>
        <w:pStyle w:val="Indenta"/>
        <w:spacing w:before="60"/>
      </w:pPr>
      <w:r>
        <w:tab/>
        <w:t>(b)</w:t>
      </w:r>
      <w:r>
        <w:tab/>
        <w:t>in the case of a gift purportedly made out of a trust fund or out of the funds of a foundation —</w:t>
      </w:r>
    </w:p>
    <w:p>
      <w:pPr>
        <w:pStyle w:val="Indenti"/>
        <w:spacing w:before="60"/>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spacing w:before="60"/>
        <w:rPr>
          <w:snapToGrid w:val="0"/>
        </w:rPr>
      </w:pPr>
      <w:r>
        <w:rPr>
          <w:snapToGrid w:val="0"/>
        </w:rPr>
        <w:tab/>
        <w:t>(ii)</w:t>
      </w:r>
      <w:r>
        <w:rPr>
          <w:snapToGrid w:val="0"/>
        </w:rPr>
        <w:tab/>
        <w:t>the title or other description of the trust fund or the name of the foundation, as the case requires;</w:t>
      </w:r>
    </w:p>
    <w:p>
      <w:pPr>
        <w:pStyle w:val="Indenta"/>
        <w:spacing w:before="60"/>
        <w:rPr>
          <w:snapToGrid w:val="0"/>
        </w:rPr>
      </w:pPr>
      <w:r>
        <w:rPr>
          <w:snapToGrid w:val="0"/>
        </w:rPr>
        <w:tab/>
      </w:r>
      <w:r>
        <w:rPr>
          <w:snapToGrid w:val="0"/>
        </w:rPr>
        <w:tab/>
        <w:t>and</w:t>
      </w:r>
    </w:p>
    <w:p>
      <w:pPr>
        <w:pStyle w:val="Indenta"/>
        <w:spacing w:before="60"/>
      </w:pPr>
      <w:r>
        <w:tab/>
        <w:t>(c)</w:t>
      </w:r>
      <w:r>
        <w:tab/>
        <w:t>in any other case, the name and address of the person who made the gift.</w:t>
      </w:r>
    </w:p>
    <w:p>
      <w:pPr>
        <w:pStyle w:val="Footnotesection"/>
        <w:spacing w:before="100"/>
        <w:ind w:left="890" w:hanging="890"/>
      </w:pPr>
      <w:r>
        <w:tab/>
        <w:t>[Section 175M inserted by No. 75 of 1992 s. 4.]</w:t>
      </w:r>
    </w:p>
    <w:p>
      <w:pPr>
        <w:pStyle w:val="Heading5"/>
        <w:rPr>
          <w:snapToGrid w:val="0"/>
        </w:rPr>
      </w:pPr>
      <w:bookmarkStart w:id="1122" w:name="_Toc402969530"/>
      <w:bookmarkStart w:id="1123" w:name="_Toc436058715"/>
      <w:bookmarkStart w:id="1124" w:name="_Toc416703346"/>
      <w:r>
        <w:rPr>
          <w:rStyle w:val="CharSectno"/>
        </w:rPr>
        <w:t>175N</w:t>
      </w:r>
      <w:r>
        <w:rPr>
          <w:snapToGrid w:val="0"/>
        </w:rPr>
        <w:t>.</w:t>
      </w:r>
      <w:r>
        <w:rPr>
          <w:snapToGrid w:val="0"/>
        </w:rPr>
        <w:tab/>
        <w:t>Gifts etc. received by political party, annual return as to required</w:t>
      </w:r>
      <w:bookmarkEnd w:id="1122"/>
      <w:bookmarkEnd w:id="1123"/>
      <w:bookmarkEnd w:id="1124"/>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[Section 175N inserted by No. 75 of 1992 s. 4 (as amended by No. 43 of 1996 s. 26); amended by No. 55 of 2006 s. 7.]</w:t>
      </w:r>
    </w:p>
    <w:p>
      <w:pPr>
        <w:pStyle w:val="Heading5"/>
        <w:rPr>
          <w:snapToGrid w:val="0"/>
        </w:rPr>
      </w:pPr>
      <w:bookmarkStart w:id="1125" w:name="_Toc402969531"/>
      <w:bookmarkStart w:id="1126" w:name="_Toc436058716"/>
      <w:bookmarkStart w:id="1127" w:name="_Toc416703347"/>
      <w:r>
        <w:rPr>
          <w:rStyle w:val="CharSectno"/>
        </w:rPr>
        <w:t>175NA</w:t>
      </w:r>
      <w:r>
        <w:rPr>
          <w:snapToGrid w:val="0"/>
        </w:rPr>
        <w:t>.</w:t>
      </w:r>
      <w:r>
        <w:rPr>
          <w:snapToGrid w:val="0"/>
        </w:rPr>
        <w:tab/>
        <w:t>Gifts etc. received by associated entity, annual return as to required</w:t>
      </w:r>
      <w:bookmarkEnd w:id="1125"/>
      <w:bookmarkEnd w:id="1126"/>
      <w:bookmarkEnd w:id="1127"/>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rPr>
          <w:snapToGrid w:val="0"/>
        </w:rPr>
      </w:pPr>
      <w:r>
        <w:rPr>
          <w:snapToGrid w:val="0"/>
        </w:rPr>
        <w:tab/>
        <w:t>(3)</w:t>
      </w:r>
      <w:r>
        <w:rPr>
          <w:snapToGrid w:val="0"/>
        </w:rPr>
        <w:tab/>
        <w:t>Subsections (3), (4) and (5) of section 175N apply to and in relation to returns under this section as if any reference in those subsections to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spacing w:before="80"/>
        <w:ind w:left="890" w:hanging="890"/>
      </w:pPr>
      <w:r>
        <w:tab/>
        <w:t>[Section 175NA inserted by No. 75 of 1992 s. 4 (as amended by No. 43 of 1996 s. 26).]</w:t>
      </w:r>
    </w:p>
    <w:p>
      <w:pPr>
        <w:pStyle w:val="Heading5"/>
        <w:spacing w:before="240"/>
        <w:rPr>
          <w:snapToGrid w:val="0"/>
        </w:rPr>
      </w:pPr>
      <w:bookmarkStart w:id="1128" w:name="_Toc402969532"/>
      <w:bookmarkStart w:id="1129" w:name="_Toc436058717"/>
      <w:bookmarkStart w:id="1130" w:name="_Toc416703348"/>
      <w:r>
        <w:rPr>
          <w:rStyle w:val="CharSectno"/>
        </w:rPr>
        <w:t>175O</w:t>
      </w:r>
      <w:r>
        <w:rPr>
          <w:snapToGrid w:val="0"/>
        </w:rPr>
        <w:t>.</w:t>
      </w:r>
      <w:r>
        <w:rPr>
          <w:snapToGrid w:val="0"/>
        </w:rPr>
        <w:tab/>
        <w:t>Gifts received by candidate in disclosure period, return as to required</w:t>
      </w:r>
      <w:bookmarkEnd w:id="1128"/>
      <w:bookmarkEnd w:id="1129"/>
      <w:bookmarkEnd w:id="1130"/>
    </w:p>
    <w:p>
      <w:pPr>
        <w:pStyle w:val="Subsection"/>
        <w:spacing w:before="180"/>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w:t>
      </w:r>
    </w:p>
    <w:p>
      <w:pPr>
        <w:pStyle w:val="Indenta"/>
        <w:rPr>
          <w:snapToGrid w:val="0"/>
        </w:rPr>
      </w:pPr>
      <w:r>
        <w:rPr>
          <w:snapToGrid w:val="0"/>
        </w:rPr>
        <w:tab/>
        <w:t>(a)</w:t>
      </w:r>
      <w:r>
        <w:rPr>
          <w:snapToGrid w:val="0"/>
        </w:rPr>
        <w:tab/>
        <w:t>the total amount or value of all gifts; and</w:t>
      </w:r>
    </w:p>
    <w:p>
      <w:pPr>
        <w:pStyle w:val="Indenta"/>
        <w:rPr>
          <w:snapToGrid w:val="0"/>
        </w:rPr>
      </w:pPr>
      <w:r>
        <w:rPr>
          <w:snapToGrid w:val="0"/>
        </w:rPr>
        <w:tab/>
        <w:t>(b)</w:t>
      </w:r>
      <w:r>
        <w:rPr>
          <w:snapToGrid w:val="0"/>
        </w:rPr>
        <w:tab/>
        <w:t>the number of persons who made gifts; and</w:t>
      </w:r>
    </w:p>
    <w:p>
      <w:pPr>
        <w:pStyle w:val="Indenta"/>
        <w:keepNext/>
        <w:rPr>
          <w:snapToGrid w:val="0"/>
        </w:rPr>
      </w:pPr>
      <w:r>
        <w:rPr>
          <w:snapToGrid w:val="0"/>
        </w:rPr>
        <w:tab/>
        <w:t>(c)</w:t>
      </w:r>
      <w:r>
        <w:rPr>
          <w:snapToGrid w:val="0"/>
        </w:rPr>
        <w:tab/>
        <w:t>subject to subsection (4), the relevant details of each gift,</w:t>
      </w:r>
    </w:p>
    <w:p>
      <w:pPr>
        <w:pStyle w:val="Subsection"/>
        <w:spacing w:before="180"/>
        <w:rPr>
          <w:snapToGrid w:val="0"/>
        </w:rPr>
      </w:pPr>
      <w:r>
        <w:rPr>
          <w:snapToGrid w:val="0"/>
        </w:rPr>
        <w:tab/>
      </w:r>
      <w:r>
        <w:rPr>
          <w:snapToGrid w:val="0"/>
        </w:rPr>
        <w:tab/>
        <w:t>received by the person during the disclosure period for the election.</w:t>
      </w:r>
    </w:p>
    <w:p>
      <w:pPr>
        <w:pStyle w:val="Subsection"/>
        <w:spacing w:before="180"/>
        <w:rPr>
          <w:snapToGrid w:val="0"/>
        </w:rPr>
      </w:pPr>
      <w:r>
        <w:rPr>
          <w:snapToGrid w:val="0"/>
        </w:rPr>
        <w:tab/>
        <w:t>(2)</w:t>
      </w:r>
      <w:r>
        <w:rPr>
          <w:snapToGrid w:val="0"/>
        </w:rPr>
        <w:tab/>
        <w:t>For the purposes of subsection (1), the disclosure period for an election (</w:t>
      </w:r>
      <w:r>
        <w:t xml:space="preserve">the </w:t>
      </w:r>
      <w:r>
        <w:rPr>
          <w:rStyle w:val="CharDefText"/>
        </w:rPr>
        <w:t>relevant election</w:t>
      </w:r>
      <w:r>
        <w:rPr>
          <w:snapToGrid w:val="0"/>
        </w:rPr>
        <w:t>) shall be determined as follows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rPr>
          <w:snapToGrid w:val="0"/>
        </w:rPr>
      </w:pPr>
      <w:r>
        <w:rPr>
          <w:snapToGrid w:val="0"/>
        </w:rPr>
        <w:tab/>
        <w:t>(b)</w:t>
      </w:r>
      <w:r>
        <w:rPr>
          <w:snapToGrid w:val="0"/>
        </w:rPr>
        <w:tab/>
        <w:t>in any other case, the disclosure period is the period that —</w:t>
      </w:r>
    </w:p>
    <w:p>
      <w:pPr>
        <w:pStyle w:val="Indenti"/>
        <w:spacing w:before="60"/>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[Section 175O inserted by No. 75 of 1992 s. 4.]</w:t>
      </w:r>
    </w:p>
    <w:p>
      <w:pPr>
        <w:pStyle w:val="Heading5"/>
        <w:spacing w:before="180"/>
        <w:rPr>
          <w:snapToGrid w:val="0"/>
        </w:rPr>
      </w:pPr>
      <w:bookmarkStart w:id="1131" w:name="_Toc402969533"/>
      <w:bookmarkStart w:id="1132" w:name="_Toc436058718"/>
      <w:bookmarkStart w:id="1133" w:name="_Toc416703349"/>
      <w:r>
        <w:rPr>
          <w:rStyle w:val="CharSectno"/>
        </w:rPr>
        <w:t>175P</w:t>
      </w:r>
      <w:r>
        <w:rPr>
          <w:snapToGrid w:val="0"/>
        </w:rPr>
        <w:t>.</w:t>
      </w:r>
      <w:r>
        <w:rPr>
          <w:snapToGrid w:val="0"/>
        </w:rPr>
        <w:tab/>
        <w:t>Gifts received by group in disclosure period, return as to required</w:t>
      </w:r>
      <w:bookmarkEnd w:id="1131"/>
      <w:bookmarkEnd w:id="1132"/>
      <w:bookmarkEnd w:id="1133"/>
    </w:p>
    <w:p>
      <w:pPr>
        <w:pStyle w:val="Subsection"/>
        <w:spacing w:before="120"/>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w:t>
      </w:r>
    </w:p>
    <w:p>
      <w:pPr>
        <w:pStyle w:val="Indenta"/>
        <w:spacing w:before="60"/>
        <w:rPr>
          <w:snapToGrid w:val="0"/>
        </w:rPr>
      </w:pPr>
      <w:r>
        <w:rPr>
          <w:snapToGrid w:val="0"/>
        </w:rPr>
        <w:tab/>
        <w:t>(a)</w:t>
      </w:r>
      <w:r>
        <w:rPr>
          <w:snapToGrid w:val="0"/>
        </w:rPr>
        <w:tab/>
        <w:t>the total amount or value of all gifts; and</w:t>
      </w:r>
    </w:p>
    <w:p>
      <w:pPr>
        <w:pStyle w:val="Indenta"/>
        <w:spacing w:before="60"/>
        <w:rPr>
          <w:snapToGrid w:val="0"/>
        </w:rPr>
      </w:pPr>
      <w:r>
        <w:rPr>
          <w:snapToGrid w:val="0"/>
        </w:rPr>
        <w:tab/>
        <w:t>(b)</w:t>
      </w:r>
      <w:r>
        <w:rPr>
          <w:snapToGrid w:val="0"/>
        </w:rPr>
        <w:tab/>
        <w:t>the number of persons who made gifts; and</w:t>
      </w:r>
    </w:p>
    <w:p>
      <w:pPr>
        <w:pStyle w:val="Indenta"/>
        <w:spacing w:before="60"/>
        <w:rPr>
          <w:snapToGrid w:val="0"/>
        </w:rPr>
      </w:pPr>
      <w:r>
        <w:rPr>
          <w:snapToGrid w:val="0"/>
        </w:rPr>
        <w:tab/>
        <w:t>(c)</w:t>
      </w:r>
      <w:r>
        <w:rPr>
          <w:snapToGrid w:val="0"/>
        </w:rPr>
        <w:tab/>
        <w:t>subject to subsection (4), the relevant details of each gift,</w:t>
      </w:r>
    </w:p>
    <w:p>
      <w:pPr>
        <w:pStyle w:val="Subsection"/>
        <w:spacing w:before="100"/>
        <w:rPr>
          <w:snapToGrid w:val="0"/>
        </w:rPr>
      </w:pPr>
      <w:r>
        <w:rPr>
          <w:snapToGrid w:val="0"/>
        </w:rPr>
        <w:tab/>
      </w:r>
      <w:r>
        <w:rPr>
          <w:snapToGrid w:val="0"/>
        </w:rPr>
        <w:tab/>
        <w:t>received by the group during the disclosure period for the election.</w:t>
      </w:r>
    </w:p>
    <w:p>
      <w:pPr>
        <w:pStyle w:val="Subsection"/>
        <w:rPr>
          <w:snapToGrid w:val="0"/>
        </w:rPr>
      </w:pPr>
      <w:r>
        <w:rPr>
          <w:snapToGrid w:val="0"/>
        </w:rPr>
        <w:tab/>
        <w:t>(2)</w:t>
      </w:r>
      <w:r>
        <w:rPr>
          <w:snapToGrid w:val="0"/>
        </w:rPr>
        <w:tab/>
        <w:t>For the purposes of subsection (1), the disclosure period for an election is the period that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[Section 175P inserted by No. 75 of 1992 s. 4.]</w:t>
      </w:r>
    </w:p>
    <w:p>
      <w:pPr>
        <w:pStyle w:val="Heading5"/>
        <w:spacing w:before="200"/>
        <w:rPr>
          <w:snapToGrid w:val="0"/>
        </w:rPr>
      </w:pPr>
      <w:bookmarkStart w:id="1134" w:name="_Toc402969534"/>
      <w:bookmarkStart w:id="1135" w:name="_Toc436058719"/>
      <w:bookmarkStart w:id="1136" w:name="_Toc416703350"/>
      <w:r>
        <w:rPr>
          <w:rStyle w:val="CharSectno"/>
        </w:rPr>
        <w:t>175Q</w:t>
      </w:r>
      <w:r>
        <w:rPr>
          <w:snapToGrid w:val="0"/>
        </w:rPr>
        <w:t>.</w:t>
      </w:r>
      <w:r>
        <w:rPr>
          <w:snapToGrid w:val="0"/>
        </w:rPr>
        <w:tab/>
        <w:t>Gifts received in disclosure period by other persons who incur expenditure for political purposes, return as to required</w:t>
      </w:r>
      <w:bookmarkEnd w:id="1134"/>
      <w:bookmarkEnd w:id="1135"/>
      <w:bookmarkEnd w:id="1136"/>
    </w:p>
    <w:p>
      <w:pPr>
        <w:pStyle w:val="Subsection"/>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rPr>
          <w:snapToGrid w:val="0"/>
        </w:rPr>
      </w:pPr>
      <w:r>
        <w:rPr>
          <w:snapToGrid w:val="0"/>
        </w:rPr>
        <w:tab/>
        <w:t>(2)</w:t>
      </w:r>
      <w:r>
        <w:rPr>
          <w:snapToGrid w:val="0"/>
        </w:rPr>
        <w:tab/>
        <w:t>The return does not have to set out the relevant details of a gift unless —</w:t>
      </w:r>
    </w:p>
    <w:p>
      <w:pPr>
        <w:pStyle w:val="Indenta"/>
        <w:spacing w:before="70"/>
        <w:rPr>
          <w:snapToGrid w:val="0"/>
        </w:rPr>
      </w:pPr>
      <w:r>
        <w:rPr>
          <w:snapToGrid w:val="0"/>
        </w:rPr>
        <w:tab/>
        <w:t>(a)</w:t>
      </w:r>
      <w:r>
        <w:rPr>
          <w:snapToGrid w:val="0"/>
        </w:rPr>
        <w:tab/>
        <w:t>the whole or a part of the gift was used by the person —</w:t>
      </w:r>
    </w:p>
    <w:p>
      <w:pPr>
        <w:pStyle w:val="Indenti"/>
        <w:spacing w:before="70"/>
        <w:rPr>
          <w:snapToGrid w:val="0"/>
        </w:rPr>
      </w:pPr>
      <w:r>
        <w:rPr>
          <w:snapToGrid w:val="0"/>
        </w:rPr>
        <w:tab/>
        <w:t>(i)</w:t>
      </w:r>
      <w:r>
        <w:rPr>
          <w:snapToGrid w:val="0"/>
        </w:rPr>
        <w:tab/>
        <w:t>to incur expenditure for a political purpose; or</w:t>
      </w:r>
    </w:p>
    <w:p>
      <w:pPr>
        <w:pStyle w:val="Indenti"/>
        <w:keepNext/>
        <w:spacing w:before="70"/>
        <w:rPr>
          <w:snapToGrid w:val="0"/>
        </w:rPr>
      </w:pPr>
      <w:r>
        <w:rPr>
          <w:snapToGrid w:val="0"/>
        </w:rPr>
        <w:tab/>
        <w:t>(ii)</w:t>
      </w:r>
      <w:r>
        <w:rPr>
          <w:snapToGrid w:val="0"/>
        </w:rPr>
        <w:tab/>
        <w:t>to reimburse the person for incurring expenditure for a political purpose;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the amount or value of the gift was not less than the specified amount.</w:t>
      </w:r>
    </w:p>
    <w:p>
      <w:pPr>
        <w:pStyle w:val="Subsection"/>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rPr>
          <w:snapToGrid w:val="0"/>
        </w:rPr>
      </w:pPr>
      <w:r>
        <w:rPr>
          <w:snapToGrid w:val="0"/>
        </w:rPr>
        <w:tab/>
        <w:t>(4)</w:t>
      </w:r>
      <w:r>
        <w:rPr>
          <w:snapToGrid w:val="0"/>
        </w:rPr>
        <w:tab/>
        <w:t>For the purposes of this section the disclosure period for an election (</w:t>
      </w:r>
      <w:r>
        <w:t xml:space="preserve">the </w:t>
      </w:r>
      <w:r>
        <w:rPr>
          <w:rStyle w:val="CharDefText"/>
        </w:rPr>
        <w:t>relevant election</w:t>
      </w:r>
      <w:r>
        <w:rPr>
          <w:snapToGrid w:val="0"/>
        </w:rPr>
        <w:t>) is the period that —</w:t>
      </w:r>
    </w:p>
    <w:p>
      <w:pPr>
        <w:pStyle w:val="Indenta"/>
        <w:rPr>
          <w:snapToGrid w:val="0"/>
        </w:rPr>
      </w:pPr>
      <w:r>
        <w:rPr>
          <w:snapToGrid w:val="0"/>
        </w:rPr>
        <w:tab/>
        <w:t>(a)</w:t>
      </w:r>
      <w:r>
        <w:rPr>
          <w:snapToGrid w:val="0"/>
        </w:rPr>
        <w:tab/>
        <w:t>commenced at the end of 30 days after polling day in the last preceding general election; and</w:t>
      </w:r>
    </w:p>
    <w:p>
      <w:pPr>
        <w:pStyle w:val="Indenta"/>
        <w:rPr>
          <w:snapToGrid w:val="0"/>
        </w:rPr>
      </w:pPr>
      <w:r>
        <w:rPr>
          <w:snapToGrid w:val="0"/>
        </w:rPr>
        <w:tab/>
        <w:t>(b)</w:t>
      </w:r>
      <w:r>
        <w:rPr>
          <w:snapToGrid w:val="0"/>
        </w:rPr>
        <w:tab/>
        <w:t>ended 30 days after polling day in the relevant election.</w:t>
      </w:r>
    </w:p>
    <w:p>
      <w:pPr>
        <w:pStyle w:val="Subsection"/>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w:t>
      </w:r>
    </w:p>
    <w:p>
      <w:pPr>
        <w:pStyle w:val="Indenta"/>
        <w:spacing w:before="60"/>
        <w:rPr>
          <w:snapToGrid w:val="0"/>
        </w:rPr>
      </w:pPr>
      <w:r>
        <w:rPr>
          <w:snapToGrid w:val="0"/>
        </w:rPr>
        <w:tab/>
        <w:t>(a)</w:t>
      </w:r>
      <w:r>
        <w:rPr>
          <w:snapToGrid w:val="0"/>
        </w:rPr>
        <w:tab/>
        <w:t>in connection with, or by way of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spacing w:before="60"/>
        <w:rPr>
          <w:snapToGrid w:val="0"/>
        </w:rPr>
      </w:pPr>
      <w:r>
        <w:rPr>
          <w:snapToGrid w:val="0"/>
        </w:rPr>
        <w:tab/>
        <w:t>(ii)</w:t>
      </w:r>
      <w:r>
        <w:rPr>
          <w:snapToGrid w:val="0"/>
        </w:rPr>
        <w:tab/>
        <w:t>the expression publicly, by any other means, of views on an issue in an election;</w:t>
      </w:r>
    </w:p>
    <w:p>
      <w:pPr>
        <w:pStyle w:val="Indenta"/>
        <w:spacing w:before="60"/>
        <w:rPr>
          <w:snapToGrid w:val="0"/>
        </w:rPr>
      </w:pPr>
      <w:r>
        <w:rPr>
          <w:snapToGrid w:val="0"/>
        </w:rPr>
        <w:tab/>
        <w:t>(b)</w:t>
      </w:r>
      <w:r>
        <w:rPr>
          <w:snapToGrid w:val="0"/>
        </w:rPr>
        <w:tab/>
        <w:t>in connection with, or by way of, the making of a gift to a candidate or group in an election;</w:t>
      </w:r>
    </w:p>
    <w:p>
      <w:pPr>
        <w:pStyle w:val="Indenta"/>
        <w:spacing w:before="60"/>
        <w:rPr>
          <w:snapToGrid w:val="0"/>
        </w:rPr>
      </w:pPr>
      <w:r>
        <w:rPr>
          <w:snapToGrid w:val="0"/>
        </w:rPr>
        <w:tab/>
        <w:t>(c)</w:t>
      </w:r>
      <w:r>
        <w:rPr>
          <w:snapToGrid w:val="0"/>
        </w:rPr>
        <w:tab/>
        <w:t>in connection with, or by way of, the making of a gift to a political party;</w:t>
      </w:r>
    </w:p>
    <w:p>
      <w:pPr>
        <w:pStyle w:val="Indenta"/>
        <w:spacing w:before="60"/>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rStyle w:val="CharDefText"/>
        </w:rPr>
        <w:t>election</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[Section 175Q inserted by No. 75 of 1992 s. 4 (as amended by No. 43 of 1996 s. 26).]</w:t>
      </w:r>
    </w:p>
    <w:p>
      <w:pPr>
        <w:pStyle w:val="Heading5"/>
        <w:rPr>
          <w:snapToGrid w:val="0"/>
        </w:rPr>
      </w:pPr>
      <w:bookmarkStart w:id="1137" w:name="_Toc402969535"/>
      <w:bookmarkStart w:id="1138" w:name="_Toc436058720"/>
      <w:bookmarkStart w:id="1139" w:name="_Toc416703351"/>
      <w:r>
        <w:rPr>
          <w:rStyle w:val="CharSectno"/>
        </w:rPr>
        <w:t>175R</w:t>
      </w:r>
      <w:r>
        <w:rPr>
          <w:snapToGrid w:val="0"/>
        </w:rPr>
        <w:t>.</w:t>
      </w:r>
      <w:r>
        <w:rPr>
          <w:snapToGrid w:val="0"/>
        </w:rPr>
        <w:tab/>
        <w:t>Gifts not to be accepted from unidentified donors etc.</w:t>
      </w:r>
      <w:bookmarkEnd w:id="1137"/>
      <w:bookmarkEnd w:id="1138"/>
      <w:bookmarkEnd w:id="1139"/>
    </w:p>
    <w:p>
      <w:pPr>
        <w:pStyle w:val="Subsection"/>
        <w:rPr>
          <w:snapToGrid w:val="0"/>
        </w:rPr>
      </w:pPr>
      <w:r>
        <w:rPr>
          <w:snapToGrid w:val="0"/>
        </w:rPr>
        <w:tab/>
        <w:t>(1)</w:t>
      </w:r>
      <w:r>
        <w:rPr>
          <w:snapToGrid w:val="0"/>
        </w:rPr>
        <w:tab/>
        <w:t>It is unlawful for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 or</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 or</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t xml:space="preserve">the </w:t>
      </w:r>
      <w:r>
        <w:rPr>
          <w:rStyle w:val="CharDefText"/>
        </w:rPr>
        <w:t>donor</w:t>
      </w:r>
      <w:r>
        <w:rPr>
          <w:snapToGrid w:val="0"/>
        </w:rPr>
        <w:t>) are known to the person receiving the gift (</w:t>
      </w:r>
      <w:r>
        <w:t xml:space="preserve">the </w:t>
      </w:r>
      <w:r>
        <w:rPr>
          <w:rStyle w:val="CharDefText"/>
        </w:rPr>
        <w:t>recipient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w:t>
      </w:r>
    </w:p>
    <w:p>
      <w:pPr>
        <w:pStyle w:val="Indenta"/>
        <w:rPr>
          <w:snapToGrid w:val="0"/>
        </w:rPr>
      </w:pPr>
      <w:r>
        <w:rPr>
          <w:snapToGrid w:val="0"/>
        </w:rPr>
        <w:tab/>
        <w:t>(a)</w:t>
      </w:r>
      <w:r>
        <w:rPr>
          <w:snapToGrid w:val="0"/>
        </w:rPr>
        <w:tab/>
        <w:t>in the case of a gift made on behalf of the members of an unincorporated association, a reference to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rPr>
          <w:snapToGrid w:val="0"/>
        </w:rPr>
      </w:pPr>
      <w:r>
        <w:rPr>
          <w:snapToGrid w:val="0"/>
        </w:rPr>
        <w:tab/>
        <w:t>(4)</w:t>
      </w:r>
      <w:r>
        <w:rPr>
          <w:snapToGrid w:val="0"/>
        </w:rPr>
        <w:tab/>
        <w:t>The reference in subsection (3)(c) to a prescribed period is a reference —</w:t>
      </w:r>
    </w:p>
    <w:p>
      <w:pPr>
        <w:pStyle w:val="Indenta"/>
        <w:rPr>
          <w:snapToGrid w:val="0"/>
        </w:rPr>
      </w:pPr>
      <w:r>
        <w:rPr>
          <w:snapToGrid w:val="0"/>
        </w:rPr>
        <w:tab/>
        <w:t>(a)</w:t>
      </w:r>
      <w:r>
        <w:rPr>
          <w:snapToGrid w:val="0"/>
        </w:rPr>
        <w:tab/>
        <w:t>in the case of a political party or an associated entity, to a financial year;</w:t>
      </w:r>
    </w:p>
    <w:p>
      <w:pPr>
        <w:pStyle w:val="Indenta"/>
        <w:rPr>
          <w:snapToGrid w:val="0"/>
        </w:rPr>
      </w:pPr>
      <w:r>
        <w:rPr>
          <w:snapToGrid w:val="0"/>
        </w:rPr>
        <w:tab/>
        <w:t>(b)</w:t>
      </w:r>
      <w:r>
        <w:rPr>
          <w:snapToGrid w:val="0"/>
        </w:rPr>
        <w:tab/>
        <w:t>in the case of a candidate, to the disclosure period applicable to the candidate under section 175O;</w:t>
      </w:r>
    </w:p>
    <w:p>
      <w:pPr>
        <w:pStyle w:val="Indenta"/>
        <w:rPr>
          <w:snapToGrid w:val="0"/>
        </w:rPr>
      </w:pPr>
      <w:r>
        <w:rPr>
          <w:snapToGrid w:val="0"/>
        </w:rPr>
        <w:tab/>
        <w:t>(c)</w:t>
      </w:r>
      <w:r>
        <w:rPr>
          <w:snapToGrid w:val="0"/>
        </w:rPr>
        <w:tab/>
        <w:t>in the case of a group, to the disclosure period applicable to the group under section 175P;</w:t>
      </w:r>
    </w:p>
    <w:p>
      <w:pPr>
        <w:pStyle w:val="Indenta"/>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w:t>
      </w:r>
    </w:p>
    <w:p>
      <w:pPr>
        <w:pStyle w:val="Indenta"/>
        <w:rPr>
          <w:snapToGrid w:val="0"/>
        </w:rPr>
      </w:pPr>
      <w:r>
        <w:rPr>
          <w:snapToGrid w:val="0"/>
        </w:rPr>
        <w:tab/>
        <w:t>(a)</w:t>
      </w:r>
      <w:r>
        <w:rPr>
          <w:snapToGrid w:val="0"/>
        </w:rPr>
        <w:tab/>
        <w:t>in the case of a gift to or for the benefit of a political party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spacing w:before="100"/>
        <w:ind w:left="890" w:hanging="890"/>
      </w:pPr>
      <w:r>
        <w:tab/>
        <w:t>[Section 175R inserted by No. 75 of 1992 s. 4 (as amended by No. 43 of 1996 s. 26).]</w:t>
      </w:r>
    </w:p>
    <w:p>
      <w:pPr>
        <w:pStyle w:val="Heading5"/>
        <w:rPr>
          <w:snapToGrid w:val="0"/>
        </w:rPr>
      </w:pPr>
      <w:bookmarkStart w:id="1140" w:name="_Toc402969536"/>
      <w:bookmarkStart w:id="1141" w:name="_Toc436058721"/>
      <w:bookmarkStart w:id="1142" w:name="_Toc416703352"/>
      <w:r>
        <w:rPr>
          <w:rStyle w:val="CharSectno"/>
        </w:rPr>
        <w:t>175S</w:t>
      </w:r>
      <w:r>
        <w:rPr>
          <w:snapToGrid w:val="0"/>
        </w:rPr>
        <w:t>.</w:t>
      </w:r>
      <w:r>
        <w:rPr>
          <w:snapToGrid w:val="0"/>
        </w:rPr>
        <w:tab/>
        <w:t>Return under s. 175N, 175O and 175P required even if nothing to disclose etc.</w:t>
      </w:r>
      <w:bookmarkEnd w:id="1140"/>
      <w:bookmarkEnd w:id="1141"/>
      <w:bookmarkEnd w:id="1142"/>
    </w:p>
    <w:p>
      <w:pPr>
        <w:pStyle w:val="Subsection"/>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keepNext/>
        <w:keepLines/>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[Section 175S inserted by No. 75 of 1992 s. 4.]</w:t>
      </w:r>
    </w:p>
    <w:p>
      <w:pPr>
        <w:pStyle w:val="Heading3"/>
        <w:keepLines/>
        <w:spacing w:before="260"/>
      </w:pPr>
      <w:bookmarkStart w:id="1143" w:name="_Toc402969537"/>
      <w:bookmarkStart w:id="1144" w:name="_Toc416702969"/>
      <w:bookmarkStart w:id="1145" w:name="_Toc416703353"/>
      <w:bookmarkStart w:id="1146" w:name="_Toc435714605"/>
      <w:bookmarkStart w:id="1147" w:name="_Toc436057720"/>
      <w:bookmarkStart w:id="1148" w:name="_Toc436058108"/>
      <w:bookmarkStart w:id="1149" w:name="_Toc436058493"/>
      <w:bookmarkStart w:id="1150" w:name="_Toc436058722"/>
      <w:r>
        <w:rPr>
          <w:rStyle w:val="CharDivNo"/>
        </w:rPr>
        <w:t>Division 4</w:t>
      </w:r>
      <w:r>
        <w:rPr>
          <w:snapToGrid w:val="0"/>
        </w:rPr>
        <w:t> — </w:t>
      </w:r>
      <w:r>
        <w:rPr>
          <w:rStyle w:val="CharDivText"/>
        </w:rPr>
        <w:t>Disclosure of electoral expenditure</w:t>
      </w:r>
      <w:bookmarkEnd w:id="1143"/>
      <w:bookmarkEnd w:id="1144"/>
      <w:bookmarkEnd w:id="1145"/>
      <w:bookmarkEnd w:id="1146"/>
      <w:bookmarkEnd w:id="1147"/>
      <w:bookmarkEnd w:id="1148"/>
      <w:bookmarkEnd w:id="1149"/>
      <w:bookmarkEnd w:id="1150"/>
    </w:p>
    <w:p>
      <w:pPr>
        <w:pStyle w:val="Footnoteheading"/>
        <w:keepNext/>
        <w:keepLines/>
      </w:pPr>
      <w:r>
        <w:rPr>
          <w:snapToGrid w:val="0"/>
        </w:rPr>
        <w:tab/>
        <w:t>[</w:t>
      </w:r>
      <w:r>
        <w:t xml:space="preserve">Heading inserted by No. 75 of 1992 s. 4 (as amended by </w:t>
      </w:r>
      <w:r>
        <w:br/>
        <w:t>No. 43 of 1996 s. 26).]</w:t>
      </w:r>
    </w:p>
    <w:p>
      <w:pPr>
        <w:pStyle w:val="Heading5"/>
        <w:keepNext w:val="0"/>
        <w:keepLines w:val="0"/>
        <w:rPr>
          <w:snapToGrid w:val="0"/>
        </w:rPr>
      </w:pPr>
      <w:bookmarkStart w:id="1151" w:name="_Toc402969538"/>
      <w:bookmarkStart w:id="1152" w:name="_Toc436058723"/>
      <w:bookmarkStart w:id="1153" w:name="_Toc416703354"/>
      <w:r>
        <w:rPr>
          <w:rStyle w:val="CharSectno"/>
        </w:rPr>
        <w:t>175SA</w:t>
      </w:r>
      <w:r>
        <w:rPr>
          <w:snapToGrid w:val="0"/>
        </w:rPr>
        <w:t>.</w:t>
      </w:r>
      <w:r>
        <w:rPr>
          <w:snapToGrid w:val="0"/>
        </w:rPr>
        <w:tab/>
        <w:t>Electoral expenditure by political party, return as to required</w:t>
      </w:r>
      <w:bookmarkEnd w:id="1151"/>
      <w:bookmarkEnd w:id="1152"/>
      <w:bookmarkEnd w:id="1153"/>
    </w:p>
    <w:p>
      <w:pPr>
        <w:pStyle w:val="Subsection"/>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[Section 175SA inserted by No. 75 of 1992 s. 4 (as amended by No. 43 of 1996 s. 26).]</w:t>
      </w:r>
    </w:p>
    <w:p>
      <w:pPr>
        <w:pStyle w:val="Heading5"/>
        <w:rPr>
          <w:snapToGrid w:val="0"/>
        </w:rPr>
      </w:pPr>
      <w:bookmarkStart w:id="1154" w:name="_Toc402969539"/>
      <w:bookmarkStart w:id="1155" w:name="_Toc436058724"/>
      <w:bookmarkStart w:id="1156" w:name="_Toc416703355"/>
      <w:r>
        <w:rPr>
          <w:rStyle w:val="CharSectno"/>
        </w:rPr>
        <w:t>175SB</w:t>
      </w:r>
      <w:r>
        <w:rPr>
          <w:snapToGrid w:val="0"/>
        </w:rPr>
        <w:t>.</w:t>
      </w:r>
      <w:r>
        <w:rPr>
          <w:snapToGrid w:val="0"/>
        </w:rPr>
        <w:tab/>
        <w:t>Electoral expenditure by candidate, return as to required</w:t>
      </w:r>
      <w:bookmarkEnd w:id="1154"/>
      <w:bookmarkEnd w:id="1155"/>
      <w:bookmarkEnd w:id="1156"/>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[Section 175SB inserted by No. 75 of 1992 s. 4 (as amended by No. 43 of 1996 s. 26).]</w:t>
      </w:r>
    </w:p>
    <w:p>
      <w:pPr>
        <w:pStyle w:val="Heading5"/>
        <w:rPr>
          <w:snapToGrid w:val="0"/>
        </w:rPr>
      </w:pPr>
      <w:bookmarkStart w:id="1157" w:name="_Toc402969540"/>
      <w:bookmarkStart w:id="1158" w:name="_Toc436058725"/>
      <w:bookmarkStart w:id="1159" w:name="_Toc416703356"/>
      <w:r>
        <w:rPr>
          <w:rStyle w:val="CharSectno"/>
        </w:rPr>
        <w:t>175SC</w:t>
      </w:r>
      <w:r>
        <w:rPr>
          <w:snapToGrid w:val="0"/>
        </w:rPr>
        <w:t>.</w:t>
      </w:r>
      <w:r>
        <w:rPr>
          <w:snapToGrid w:val="0"/>
        </w:rPr>
        <w:tab/>
        <w:t>Electoral expenditure by group, return as to required</w:t>
      </w:r>
      <w:bookmarkEnd w:id="1157"/>
      <w:bookmarkEnd w:id="1158"/>
      <w:bookmarkEnd w:id="1159"/>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spacing w:before="200"/>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[Section 175SC inserted by No. 75 of 1992 s. 4 (as amended by No. 43 of 1996 s. 26).]</w:t>
      </w:r>
    </w:p>
    <w:p>
      <w:pPr>
        <w:pStyle w:val="Heading5"/>
        <w:spacing w:before="300"/>
        <w:rPr>
          <w:snapToGrid w:val="0"/>
        </w:rPr>
      </w:pPr>
      <w:bookmarkStart w:id="1160" w:name="_Toc402969541"/>
      <w:bookmarkStart w:id="1161" w:name="_Toc436058726"/>
      <w:bookmarkStart w:id="1162" w:name="_Toc416703357"/>
      <w:r>
        <w:rPr>
          <w:rStyle w:val="CharSectno"/>
        </w:rPr>
        <w:t>175SD</w:t>
      </w:r>
      <w:r>
        <w:rPr>
          <w:snapToGrid w:val="0"/>
        </w:rPr>
        <w:t>.</w:t>
      </w:r>
      <w:r>
        <w:rPr>
          <w:snapToGrid w:val="0"/>
        </w:rPr>
        <w:tab/>
        <w:t>Electoral expenditure by other person, return as to required</w:t>
      </w:r>
      <w:bookmarkEnd w:id="1160"/>
      <w:bookmarkEnd w:id="1161"/>
      <w:bookmarkEnd w:id="1162"/>
    </w:p>
    <w:p>
      <w:pPr>
        <w:pStyle w:val="Subsection"/>
        <w:spacing w:before="20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20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[Section 175SD inserted by No. 75 of 1992 s. 4 (as amended by No. 43 of 1996 s. 26).]</w:t>
      </w:r>
    </w:p>
    <w:p>
      <w:pPr>
        <w:pStyle w:val="Heading5"/>
        <w:spacing w:before="300"/>
        <w:rPr>
          <w:snapToGrid w:val="0"/>
        </w:rPr>
      </w:pPr>
      <w:bookmarkStart w:id="1163" w:name="_Toc402969542"/>
      <w:bookmarkStart w:id="1164" w:name="_Toc436058727"/>
      <w:bookmarkStart w:id="1165" w:name="_Toc416703358"/>
      <w:r>
        <w:rPr>
          <w:rStyle w:val="CharSectno"/>
        </w:rPr>
        <w:t>175SE</w:t>
      </w:r>
      <w:r>
        <w:rPr>
          <w:snapToGrid w:val="0"/>
        </w:rPr>
        <w:t>.</w:t>
      </w:r>
      <w:r>
        <w:rPr>
          <w:snapToGrid w:val="0"/>
        </w:rPr>
        <w:tab/>
        <w:t>Return under s. 175SA, 175SB and 175SC required even if no expenditure etc.</w:t>
      </w:r>
      <w:bookmarkEnd w:id="1163"/>
      <w:bookmarkEnd w:id="1164"/>
      <w:bookmarkEnd w:id="1165"/>
    </w:p>
    <w:p>
      <w:pPr>
        <w:pStyle w:val="Subsection"/>
        <w:spacing w:before="200"/>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[Section 175SE inserted by No. 75 of 1992 s. 4 (as amended by No. 43 of 1996 s. 26).]</w:t>
      </w:r>
    </w:p>
    <w:p>
      <w:pPr>
        <w:pStyle w:val="Heading5"/>
        <w:rPr>
          <w:snapToGrid w:val="0"/>
        </w:rPr>
      </w:pPr>
      <w:bookmarkStart w:id="1166" w:name="_Toc402969543"/>
      <w:bookmarkStart w:id="1167" w:name="_Toc436058728"/>
      <w:bookmarkStart w:id="1168" w:name="_Toc416703359"/>
      <w:r>
        <w:rPr>
          <w:rStyle w:val="CharSectno"/>
        </w:rPr>
        <w:t>175SF</w:t>
      </w:r>
      <w:r>
        <w:rPr>
          <w:snapToGrid w:val="0"/>
        </w:rPr>
        <w:t>.</w:t>
      </w:r>
      <w:r>
        <w:rPr>
          <w:snapToGrid w:val="0"/>
        </w:rPr>
        <w:tab/>
        <w:t>Two or more elections on one day, one return may be lodged in case of</w:t>
      </w:r>
      <w:bookmarkEnd w:id="1166"/>
      <w:bookmarkEnd w:id="1167"/>
      <w:bookmarkEnd w:id="1168"/>
    </w:p>
    <w:p>
      <w:pPr>
        <w:pStyle w:val="Subsection"/>
        <w:outlineLvl w:val="0"/>
      </w:pPr>
      <w:r>
        <w:tab/>
        <w:t>(1)</w:t>
      </w:r>
      <w:r>
        <w:tab/>
        <w:t>Where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keepNext/>
        <w:outlineLvl w:val="0"/>
      </w:pPr>
      <w:r>
        <w:tab/>
        <w:t>(2)</w:t>
      </w:r>
      <w:r>
        <w:tab/>
        <w:t>Where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[Section 175SF inserted by No. 75 of 1992 s. 4 (as amended by No. 43 of 1996 s. 26).]</w:t>
      </w:r>
    </w:p>
    <w:p>
      <w:pPr>
        <w:pStyle w:val="Heading3"/>
      </w:pPr>
      <w:bookmarkStart w:id="1169" w:name="_Toc402969544"/>
      <w:bookmarkStart w:id="1170" w:name="_Toc416702976"/>
      <w:bookmarkStart w:id="1171" w:name="_Toc416703360"/>
      <w:bookmarkStart w:id="1172" w:name="_Toc435714612"/>
      <w:bookmarkStart w:id="1173" w:name="_Toc436057727"/>
      <w:bookmarkStart w:id="1174" w:name="_Toc436058115"/>
      <w:bookmarkStart w:id="1175" w:name="_Toc436058500"/>
      <w:bookmarkStart w:id="1176" w:name="_Toc436058729"/>
      <w:r>
        <w:rPr>
          <w:rStyle w:val="CharDivNo"/>
        </w:rPr>
        <w:t>Division 5</w:t>
      </w:r>
      <w:r>
        <w:rPr>
          <w:snapToGrid w:val="0"/>
        </w:rPr>
        <w:t> — </w:t>
      </w:r>
      <w:r>
        <w:rPr>
          <w:rStyle w:val="CharDivText"/>
        </w:rPr>
        <w:t>Miscellaneous</w:t>
      </w:r>
      <w:bookmarkEnd w:id="1169"/>
      <w:bookmarkEnd w:id="1170"/>
      <w:bookmarkEnd w:id="1171"/>
      <w:bookmarkEnd w:id="1172"/>
      <w:bookmarkEnd w:id="1173"/>
      <w:bookmarkEnd w:id="1174"/>
      <w:bookmarkEnd w:id="1175"/>
      <w:bookmarkEnd w:id="1176"/>
    </w:p>
    <w:p>
      <w:pPr>
        <w:pStyle w:val="Footnoteheading"/>
        <w:keepNext/>
      </w:pPr>
      <w:r>
        <w:tab/>
        <w:t xml:space="preserve">[Heading inserted by No. 75 of 1992 s. 4 (as amended by </w:t>
      </w:r>
      <w:r>
        <w:br/>
        <w:t>No. 43 of 1996 s. 26).]</w:t>
      </w:r>
    </w:p>
    <w:p>
      <w:pPr>
        <w:pStyle w:val="Heading5"/>
        <w:rPr>
          <w:snapToGrid w:val="0"/>
        </w:rPr>
      </w:pPr>
      <w:bookmarkStart w:id="1177" w:name="_Toc402969545"/>
      <w:bookmarkStart w:id="1178" w:name="_Toc436058730"/>
      <w:bookmarkStart w:id="1179" w:name="_Toc416703361"/>
      <w:r>
        <w:rPr>
          <w:rStyle w:val="CharSectno"/>
        </w:rPr>
        <w:t>175T</w:t>
      </w:r>
      <w:r>
        <w:rPr>
          <w:snapToGrid w:val="0"/>
        </w:rPr>
        <w:t xml:space="preserve">. </w:t>
      </w:r>
      <w:r>
        <w:rPr>
          <w:snapToGrid w:val="0"/>
        </w:rPr>
        <w:tab/>
        <w:t>Interpretation</w:t>
      </w:r>
      <w:bookmarkEnd w:id="1177"/>
      <w:bookmarkEnd w:id="1178"/>
      <w:bookmarkEnd w:id="1179"/>
    </w:p>
    <w:p>
      <w:pPr>
        <w:pStyle w:val="Subsection"/>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[Section 175T inserted by No. 75 of 1992 s. 4 (as amended by No. 43 of 1996 s. 26).]</w:t>
      </w:r>
    </w:p>
    <w:p>
      <w:pPr>
        <w:pStyle w:val="Heading5"/>
        <w:rPr>
          <w:snapToGrid w:val="0"/>
        </w:rPr>
      </w:pPr>
      <w:bookmarkStart w:id="1180" w:name="_Toc402969546"/>
      <w:bookmarkStart w:id="1181" w:name="_Toc436058731"/>
      <w:bookmarkStart w:id="1182" w:name="_Toc416703362"/>
      <w:r>
        <w:rPr>
          <w:rStyle w:val="CharSectno"/>
        </w:rPr>
        <w:t>175U</w:t>
      </w:r>
      <w:r>
        <w:rPr>
          <w:snapToGrid w:val="0"/>
        </w:rPr>
        <w:t xml:space="preserve">. </w:t>
      </w:r>
      <w:r>
        <w:rPr>
          <w:snapToGrid w:val="0"/>
        </w:rPr>
        <w:tab/>
        <w:t>Offences</w:t>
      </w:r>
      <w:bookmarkEnd w:id="1180"/>
      <w:bookmarkEnd w:id="1181"/>
      <w:bookmarkEnd w:id="1182"/>
    </w:p>
    <w:p>
      <w:pPr>
        <w:pStyle w:val="Subsection"/>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rPr>
          <w:snapToGrid w:val="0"/>
        </w:rPr>
      </w:pPr>
      <w:r>
        <w:rPr>
          <w:snapToGrid w:val="0"/>
        </w:rPr>
        <w:tab/>
      </w:r>
      <w:r>
        <w:rPr>
          <w:snapToGrid w:val="0"/>
        </w:rPr>
        <w:tab/>
        <w:t>the following provisions of this subsection have effect —</w:t>
      </w:r>
    </w:p>
    <w:p>
      <w:pPr>
        <w:pStyle w:val="Indenta"/>
        <w:rPr>
          <w:snapToGrid w:val="0"/>
        </w:rPr>
      </w:pPr>
      <w:r>
        <w:rPr>
          <w:snapToGrid w:val="0"/>
        </w:rPr>
        <w:tab/>
        <w:t>(c)</w:t>
      </w:r>
      <w:r>
        <w:rPr>
          <w:snapToGrid w:val="0"/>
        </w:rPr>
        <w:tab/>
        <w:t>the obligation to lodge the return continues notwithstanding that that period has expired; and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[Section 175U inserted by No. 75 of 1992 s. 4 (as amended by No. 43 of 1996 s. 26); amended by No. 84 of 2004 s. 80; No. 55 of 2006 s. 8.]</w:t>
      </w:r>
    </w:p>
    <w:p>
      <w:pPr>
        <w:pStyle w:val="Heading5"/>
        <w:rPr>
          <w:snapToGrid w:val="0"/>
        </w:rPr>
      </w:pPr>
      <w:bookmarkStart w:id="1183" w:name="_Toc402969547"/>
      <w:bookmarkStart w:id="1184" w:name="_Toc436058732"/>
      <w:bookmarkStart w:id="1185" w:name="_Toc416703363"/>
      <w:r>
        <w:rPr>
          <w:rStyle w:val="CharSectno"/>
        </w:rPr>
        <w:t>175V</w:t>
      </w:r>
      <w:r>
        <w:rPr>
          <w:snapToGrid w:val="0"/>
        </w:rPr>
        <w:t>.</w:t>
      </w:r>
      <w:r>
        <w:rPr>
          <w:snapToGrid w:val="0"/>
        </w:rPr>
        <w:tab/>
        <w:t>Payments due to State, recovery of</w:t>
      </w:r>
      <w:bookmarkEnd w:id="1183"/>
      <w:bookmarkEnd w:id="1184"/>
      <w:bookmarkEnd w:id="1185"/>
    </w:p>
    <w:p>
      <w:pPr>
        <w:pStyle w:val="Subsection"/>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[Section 175V inserted by No. 75 of 1992 s. 4; amended by No. 55 of 2006 s. 9.]</w:t>
      </w:r>
    </w:p>
    <w:p>
      <w:pPr>
        <w:pStyle w:val="Heading5"/>
        <w:rPr>
          <w:snapToGrid w:val="0"/>
        </w:rPr>
      </w:pPr>
      <w:bookmarkStart w:id="1186" w:name="_Toc402969548"/>
      <w:bookmarkStart w:id="1187" w:name="_Toc436058733"/>
      <w:bookmarkStart w:id="1188" w:name="_Toc416703364"/>
      <w:r>
        <w:rPr>
          <w:rStyle w:val="CharSectno"/>
        </w:rPr>
        <w:t>175W</w:t>
      </w:r>
      <w:r>
        <w:rPr>
          <w:snapToGrid w:val="0"/>
        </w:rPr>
        <w:t>.</w:t>
      </w:r>
      <w:r>
        <w:rPr>
          <w:snapToGrid w:val="0"/>
        </w:rPr>
        <w:tab/>
        <w:t>Investigation powers etc. for this Part</w:t>
      </w:r>
      <w:bookmarkEnd w:id="1186"/>
      <w:bookmarkEnd w:id="1187"/>
      <w:bookmarkEnd w:id="1188"/>
    </w:p>
    <w:p>
      <w:pPr>
        <w:pStyle w:val="Subsection"/>
        <w:rPr>
          <w:snapToGrid w:val="0"/>
        </w:rPr>
      </w:pPr>
      <w:r>
        <w:rPr>
          <w:snapToGrid w:val="0"/>
        </w:rPr>
        <w:tab/>
        <w:t>(1)</w:t>
      </w:r>
      <w:r>
        <w:rPr>
          <w:snapToGrid w:val="0"/>
        </w:rPr>
        <w:tab/>
        <w:t>In this section </w:t>
      </w:r>
      <w:r>
        <w:rPr>
          <w:rStyle w:val="CharDefText"/>
        </w:rPr>
        <w:t>authorised officer</w:t>
      </w:r>
      <w:r>
        <w:rPr>
          <w:snapToGrid w:val="0"/>
        </w:rPr>
        <w:t xml:space="preserve"> means a person authorised by the Electoral Commissioner under subsection (2).</w:t>
      </w:r>
    </w:p>
    <w:p>
      <w:pPr>
        <w:pStyle w:val="Subsection"/>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w:t>
      </w:r>
    </w:p>
    <w:p>
      <w:pPr>
        <w:pStyle w:val="Indenta"/>
        <w:rPr>
          <w:snapToGrid w:val="0"/>
        </w:rPr>
      </w:pPr>
      <w:r>
        <w:rPr>
          <w:snapToGrid w:val="0"/>
        </w:rPr>
        <w:tab/>
        <w:t>(a)</w:t>
      </w:r>
      <w:r>
        <w:rPr>
          <w:snapToGrid w:val="0"/>
        </w:rPr>
        <w:tab/>
        <w:t>to enter upon the land or upon or into the premises, vessel, aircraft or vehicle; and</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keepNext/>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 and</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w:t>
      </w:r>
    </w:p>
    <w:p>
      <w:pPr>
        <w:pStyle w:val="Indenta"/>
        <w:spacing w:before="60"/>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 and</w:t>
      </w:r>
    </w:p>
    <w:p>
      <w:pPr>
        <w:pStyle w:val="Indenta"/>
        <w:spacing w:before="60"/>
        <w:rPr>
          <w:snapToGrid w:val="0"/>
        </w:rPr>
      </w:pPr>
      <w:r>
        <w:rPr>
          <w:snapToGrid w:val="0"/>
        </w:rPr>
        <w:tab/>
        <w:t>(b)</w:t>
      </w:r>
      <w:r>
        <w:rPr>
          <w:snapToGrid w:val="0"/>
        </w:rPr>
        <w:tab/>
        <w:t>state whether entry is authorised to be made at any time of the day or night or during specified hours of the day or night; and</w:t>
      </w:r>
    </w:p>
    <w:p>
      <w:pPr>
        <w:pStyle w:val="Indenta"/>
        <w:spacing w:before="60"/>
        <w:rPr>
          <w:snapToGrid w:val="0"/>
        </w:rPr>
      </w:pPr>
      <w:r>
        <w:rPr>
          <w:snapToGrid w:val="0"/>
        </w:rPr>
        <w:tab/>
        <w:t>(c)</w:t>
      </w:r>
      <w:r>
        <w:rPr>
          <w:snapToGrid w:val="0"/>
        </w:rPr>
        <w:tab/>
        <w:t>include a description of the kind of documents or other things authorised to be seized; and</w:t>
      </w:r>
    </w:p>
    <w:p>
      <w:pPr>
        <w:pStyle w:val="Indenta"/>
        <w:spacing w:before="60"/>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keepNext/>
        <w:rPr>
          <w:snapToGrid w:val="0"/>
        </w:rPr>
      </w:pPr>
      <w:r>
        <w:rPr>
          <w:snapToGrid w:val="0"/>
        </w:rPr>
        <w:tab/>
        <w:t>(13)</w:t>
      </w:r>
      <w:r>
        <w:rPr>
          <w:snapToGrid w:val="0"/>
        </w:rPr>
        <w:tab/>
        <w:t>Where a document or other thing is seized by a person pursuant to a warrant issued under subsection (9) —</w:t>
      </w:r>
    </w:p>
    <w:p>
      <w:pPr>
        <w:pStyle w:val="Indenta"/>
        <w:spacing w:before="60"/>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spacing w:before="60"/>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[Section 175W inserted by No. 75 of 1992 s. 4 (as amended by No. 43 of 1996 s. 26); amended by No. 55 of 2006 s. 10.]</w:t>
      </w:r>
    </w:p>
    <w:p>
      <w:pPr>
        <w:pStyle w:val="Heading5"/>
        <w:rPr>
          <w:snapToGrid w:val="0"/>
        </w:rPr>
      </w:pPr>
      <w:bookmarkStart w:id="1189" w:name="_Toc402969549"/>
      <w:bookmarkStart w:id="1190" w:name="_Toc436058734"/>
      <w:bookmarkStart w:id="1191" w:name="_Toc416703365"/>
      <w:r>
        <w:rPr>
          <w:rStyle w:val="CharSectno"/>
        </w:rPr>
        <w:t>175X</w:t>
      </w:r>
      <w:r>
        <w:rPr>
          <w:snapToGrid w:val="0"/>
        </w:rPr>
        <w:t>.</w:t>
      </w:r>
      <w:r>
        <w:rPr>
          <w:snapToGrid w:val="0"/>
        </w:rPr>
        <w:tab/>
        <w:t>Incomplete returns, lodging etc.</w:t>
      </w:r>
      <w:bookmarkEnd w:id="1189"/>
      <w:bookmarkEnd w:id="1190"/>
      <w:bookmarkEnd w:id="1191"/>
    </w:p>
    <w:p>
      <w:pPr>
        <w:pStyle w:val="Subsection"/>
        <w:spacing w:before="120"/>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w:t>
      </w:r>
    </w:p>
    <w:p>
      <w:pPr>
        <w:pStyle w:val="Indenta"/>
        <w:spacing w:before="60"/>
        <w:rPr>
          <w:snapToGrid w:val="0"/>
        </w:rPr>
      </w:pPr>
      <w:r>
        <w:rPr>
          <w:snapToGrid w:val="0"/>
        </w:rPr>
        <w:tab/>
        <w:t>(a)</w:t>
      </w:r>
      <w:r>
        <w:rPr>
          <w:snapToGrid w:val="0"/>
        </w:rPr>
        <w:tab/>
        <w:t>prepare the return to the extent that it is possible to do so without those particulars; and</w:t>
      </w:r>
    </w:p>
    <w:p>
      <w:pPr>
        <w:pStyle w:val="Indenta"/>
        <w:spacing w:before="60"/>
        <w:rPr>
          <w:snapToGrid w:val="0"/>
        </w:rPr>
      </w:pPr>
      <w:r>
        <w:rPr>
          <w:snapToGrid w:val="0"/>
        </w:rPr>
        <w:tab/>
        <w:t>(b)</w:t>
      </w:r>
      <w:r>
        <w:rPr>
          <w:snapToGrid w:val="0"/>
        </w:rPr>
        <w:tab/>
        <w:t>lodge the return so prepared; and</w:t>
      </w:r>
    </w:p>
    <w:p>
      <w:pPr>
        <w:pStyle w:val="Indenta"/>
        <w:spacing w:before="60"/>
        <w:rPr>
          <w:snapToGrid w:val="0"/>
        </w:rPr>
      </w:pPr>
      <w:r>
        <w:rPr>
          <w:snapToGrid w:val="0"/>
        </w:rPr>
        <w:tab/>
        <w:t>(c)</w:t>
      </w:r>
      <w:r>
        <w:rPr>
          <w:snapToGrid w:val="0"/>
        </w:rPr>
        <w:tab/>
        <w:t>give to the Electoral Commissioner notice in writing —</w:t>
      </w:r>
    </w:p>
    <w:p>
      <w:pPr>
        <w:pStyle w:val="Indenti"/>
        <w:spacing w:before="60"/>
        <w:rPr>
          <w:snapToGrid w:val="0"/>
        </w:rPr>
      </w:pPr>
      <w:r>
        <w:rPr>
          <w:snapToGrid w:val="0"/>
        </w:rPr>
        <w:tab/>
        <w:t>(i)</w:t>
      </w:r>
      <w:r>
        <w:rPr>
          <w:snapToGrid w:val="0"/>
        </w:rPr>
        <w:tab/>
        <w:t>identifying the return; and</w:t>
      </w:r>
    </w:p>
    <w:p>
      <w:pPr>
        <w:pStyle w:val="Indenti"/>
        <w:spacing w:before="60"/>
        <w:rPr>
          <w:snapToGrid w:val="0"/>
        </w:rPr>
      </w:pPr>
      <w:r>
        <w:rPr>
          <w:snapToGrid w:val="0"/>
        </w:rPr>
        <w:tab/>
        <w:t>(ii)</w:t>
      </w:r>
      <w:r>
        <w:rPr>
          <w:snapToGrid w:val="0"/>
        </w:rPr>
        <w:tab/>
        <w:t>stating that the return is incomplete by reason that the person is unable to obtain certain particulars; and</w:t>
      </w:r>
    </w:p>
    <w:p>
      <w:pPr>
        <w:pStyle w:val="Indenti"/>
        <w:spacing w:before="60"/>
        <w:rPr>
          <w:snapToGrid w:val="0"/>
        </w:rPr>
      </w:pPr>
      <w:r>
        <w:rPr>
          <w:snapToGrid w:val="0"/>
        </w:rPr>
        <w:tab/>
        <w:t>(iii)</w:t>
      </w:r>
      <w:r>
        <w:rPr>
          <w:snapToGrid w:val="0"/>
        </w:rPr>
        <w:tab/>
        <w:t>identifying those particulars; and</w:t>
      </w:r>
    </w:p>
    <w:p>
      <w:pPr>
        <w:pStyle w:val="Indenti"/>
        <w:spacing w:before="60"/>
        <w:rPr>
          <w:snapToGrid w:val="0"/>
        </w:rPr>
      </w:pPr>
      <w:r>
        <w:rPr>
          <w:snapToGrid w:val="0"/>
        </w:rPr>
        <w:tab/>
        <w:t>(iv)</w:t>
      </w:r>
      <w:r>
        <w:rPr>
          <w:snapToGrid w:val="0"/>
        </w:rPr>
        <w:tab/>
        <w:t>setting out the reasons why the person is unable to obtain those particulars; and</w:t>
      </w:r>
    </w:p>
    <w:p>
      <w:pPr>
        <w:pStyle w:val="Indenti"/>
        <w:spacing w:before="60"/>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spacing w:before="120"/>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spacing w:before="120"/>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spacing w:before="120"/>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w:t>
      </w:r>
    </w:p>
    <w:p>
      <w:pPr>
        <w:pStyle w:val="Indenta"/>
        <w:rPr>
          <w:snapToGrid w:val="0"/>
        </w:rPr>
      </w:pPr>
      <w:r>
        <w:rPr>
          <w:snapToGrid w:val="0"/>
        </w:rPr>
        <w:tab/>
        <w:t>(a)</w:t>
      </w:r>
      <w:r>
        <w:rPr>
          <w:snapToGrid w:val="0"/>
        </w:rPr>
        <w:tab/>
        <w:t>setting out the particulars (if any) that the person is able to give; and</w:t>
      </w:r>
    </w:p>
    <w:p>
      <w:pPr>
        <w:pStyle w:val="Indenta"/>
        <w:rPr>
          <w:snapToGrid w:val="0"/>
        </w:rPr>
      </w:pPr>
      <w:r>
        <w:rPr>
          <w:snapToGrid w:val="0"/>
        </w:rPr>
        <w:tab/>
        <w:t>(b)</w:t>
      </w:r>
      <w:r>
        <w:rPr>
          <w:snapToGrid w:val="0"/>
        </w:rPr>
        <w:tab/>
        <w:t>stating that the person is unable to obtain some or all of the particulars; and</w:t>
      </w:r>
    </w:p>
    <w:p>
      <w:pPr>
        <w:pStyle w:val="Indenta"/>
        <w:rPr>
          <w:snapToGrid w:val="0"/>
        </w:rPr>
      </w:pPr>
      <w:r>
        <w:rPr>
          <w:snapToGrid w:val="0"/>
        </w:rPr>
        <w:tab/>
        <w:t>(c)</w:t>
      </w:r>
      <w:r>
        <w:rPr>
          <w:snapToGrid w:val="0"/>
        </w:rPr>
        <w:tab/>
        <w:t>identifying the particulars the person is unable to obtain; and</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[Section 175X inserted by No. 75 of 1992 s. 4 (as amended by No. 43 of 1996 s. 26).]</w:t>
      </w:r>
    </w:p>
    <w:p>
      <w:pPr>
        <w:pStyle w:val="Heading5"/>
        <w:rPr>
          <w:snapToGrid w:val="0"/>
        </w:rPr>
      </w:pPr>
      <w:bookmarkStart w:id="1192" w:name="_Toc402969550"/>
      <w:bookmarkStart w:id="1193" w:name="_Toc436058735"/>
      <w:bookmarkStart w:id="1194" w:name="_Toc416703366"/>
      <w:r>
        <w:rPr>
          <w:rStyle w:val="CharSectno"/>
        </w:rPr>
        <w:t>175Y</w:t>
      </w:r>
      <w:r>
        <w:rPr>
          <w:snapToGrid w:val="0"/>
        </w:rPr>
        <w:t>.</w:t>
      </w:r>
      <w:r>
        <w:rPr>
          <w:snapToGrid w:val="0"/>
        </w:rPr>
        <w:tab/>
        <w:t>Extension of time to lodge annual return</w:t>
      </w:r>
      <w:bookmarkEnd w:id="1192"/>
      <w:bookmarkEnd w:id="1193"/>
      <w:bookmarkEnd w:id="1194"/>
    </w:p>
    <w:p>
      <w:pPr>
        <w:pStyle w:val="Subsection"/>
        <w:rPr>
          <w:snapToGrid w:val="0"/>
        </w:rPr>
      </w:pPr>
      <w:r>
        <w:rPr>
          <w:snapToGrid w:val="0"/>
        </w:rPr>
        <w:tab/>
      </w:r>
      <w:r>
        <w:rPr>
          <w:snapToGrid w:val="0"/>
        </w:rPr>
        <w:tab/>
        <w:t>If during the period from 30 June to 30 November in any year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[Section 175Y inserted by No. 75 of 1992 s. 4 (as amended by No. 43 of 1996 s. 26); amended by No. 36 of 2000 s. 20.]</w:t>
      </w:r>
    </w:p>
    <w:p>
      <w:pPr>
        <w:pStyle w:val="Heading5"/>
        <w:rPr>
          <w:snapToGrid w:val="0"/>
        </w:rPr>
      </w:pPr>
      <w:bookmarkStart w:id="1195" w:name="_Toc402969551"/>
      <w:bookmarkStart w:id="1196" w:name="_Toc436058736"/>
      <w:bookmarkStart w:id="1197" w:name="_Toc416703367"/>
      <w:r>
        <w:rPr>
          <w:rStyle w:val="CharSectno"/>
        </w:rPr>
        <w:t>175Z</w:t>
      </w:r>
      <w:r>
        <w:rPr>
          <w:snapToGrid w:val="0"/>
        </w:rPr>
        <w:t>.</w:t>
      </w:r>
      <w:r>
        <w:rPr>
          <w:snapToGrid w:val="0"/>
        </w:rPr>
        <w:tab/>
        <w:t>Information in return, verification of etc.</w:t>
      </w:r>
      <w:bookmarkEnd w:id="1195"/>
      <w:bookmarkEnd w:id="1196"/>
      <w:bookmarkEnd w:id="1197"/>
    </w:p>
    <w:p>
      <w:pPr>
        <w:pStyle w:val="Subsection"/>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[Section 175Z inserted by No. 75 of 1992 s. 4 (as amended by No. 43 of 1996 s. 26).]</w:t>
      </w:r>
    </w:p>
    <w:p>
      <w:pPr>
        <w:pStyle w:val="Heading5"/>
        <w:rPr>
          <w:snapToGrid w:val="0"/>
        </w:rPr>
      </w:pPr>
      <w:bookmarkStart w:id="1198" w:name="_Toc402969552"/>
      <w:bookmarkStart w:id="1199" w:name="_Toc436058737"/>
      <w:bookmarkStart w:id="1200" w:name="_Toc416703368"/>
      <w:r>
        <w:rPr>
          <w:rStyle w:val="CharSectno"/>
        </w:rPr>
        <w:t>175ZA</w:t>
      </w:r>
      <w:r>
        <w:rPr>
          <w:snapToGrid w:val="0"/>
        </w:rPr>
        <w:t xml:space="preserve">. </w:t>
      </w:r>
      <w:r>
        <w:rPr>
          <w:snapToGrid w:val="0"/>
        </w:rPr>
        <w:tab/>
        <w:t>Non</w:t>
      </w:r>
      <w:r>
        <w:rPr>
          <w:snapToGrid w:val="0"/>
        </w:rPr>
        <w:noBreakHyphen/>
        <w:t>compliance with Part does not affect election</w:t>
      </w:r>
      <w:bookmarkEnd w:id="1198"/>
      <w:bookmarkEnd w:id="1199"/>
      <w:bookmarkEnd w:id="1200"/>
    </w:p>
    <w:p>
      <w:pPr>
        <w:pStyle w:val="Subsection"/>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[Section 175ZA inserted by No. 75 of 1992 s. 4.]</w:t>
      </w:r>
    </w:p>
    <w:p>
      <w:pPr>
        <w:pStyle w:val="Heading5"/>
        <w:rPr>
          <w:snapToGrid w:val="0"/>
        </w:rPr>
      </w:pPr>
      <w:bookmarkStart w:id="1201" w:name="_Toc402969553"/>
      <w:bookmarkStart w:id="1202" w:name="_Toc436058738"/>
      <w:bookmarkStart w:id="1203" w:name="_Toc416703369"/>
      <w:r>
        <w:rPr>
          <w:rStyle w:val="CharSectno"/>
        </w:rPr>
        <w:t>175ZB</w:t>
      </w:r>
      <w:r>
        <w:rPr>
          <w:snapToGrid w:val="0"/>
        </w:rPr>
        <w:t>.</w:t>
      </w:r>
      <w:r>
        <w:rPr>
          <w:snapToGrid w:val="0"/>
        </w:rPr>
        <w:tab/>
        <w:t>Return, amendment of</w:t>
      </w:r>
      <w:bookmarkEnd w:id="1201"/>
      <w:bookmarkEnd w:id="1202"/>
      <w:bookmarkEnd w:id="1203"/>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rPr>
          <w:snapToGrid w:val="0"/>
        </w:rPr>
      </w:pPr>
      <w:r>
        <w:rPr>
          <w:snapToGrid w:val="0"/>
        </w:rPr>
        <w:tab/>
        <w:t>(3)</w:t>
      </w:r>
      <w:r>
        <w:rPr>
          <w:snapToGrid w:val="0"/>
        </w:rPr>
        <w:tab/>
        <w:t>A request under subsection (2) shall be made by notice in writing signed by the person making the request.</w:t>
      </w:r>
    </w:p>
    <w:p>
      <w:pPr>
        <w:pStyle w:val="Subsection"/>
        <w:keepNext/>
        <w:spacing w:before="200"/>
        <w:rPr>
          <w:snapToGrid w:val="0"/>
        </w:rPr>
      </w:pPr>
      <w:r>
        <w:rPr>
          <w:snapToGrid w:val="0"/>
        </w:rPr>
        <w:tab/>
        <w:t>(4)</w:t>
      </w:r>
      <w:r>
        <w:rPr>
          <w:snapToGrid w:val="0"/>
        </w:rPr>
        <w:tab/>
        <w:t>Where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rPr>
          <w:snapToGrid w:val="0"/>
        </w:rPr>
      </w:pPr>
      <w:r>
        <w:rPr>
          <w:snapToGrid w:val="0"/>
        </w:rPr>
        <w:tab/>
        <w:t>(7)</w:t>
      </w:r>
      <w:r>
        <w:rPr>
          <w:snapToGrid w:val="0"/>
        </w:rPr>
        <w:tab/>
        <w:t>Where an officer acting under subsection (6) decides to refuse a request under subsection (2)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[Section 175ZB inserted by No. 75 of 1992 s. 4 (as amended by No. 43 of 1996 s. 26); amended by No. 55 of 2006 s. 11.]</w:t>
      </w:r>
    </w:p>
    <w:p>
      <w:pPr>
        <w:pStyle w:val="Heading5"/>
        <w:spacing w:before="200"/>
        <w:rPr>
          <w:snapToGrid w:val="0"/>
        </w:rPr>
      </w:pPr>
      <w:bookmarkStart w:id="1204" w:name="_Toc402969554"/>
      <w:bookmarkStart w:id="1205" w:name="_Toc436058739"/>
      <w:bookmarkStart w:id="1206" w:name="_Toc416703370"/>
      <w:r>
        <w:rPr>
          <w:rStyle w:val="CharSectno"/>
        </w:rPr>
        <w:t>175ZC</w:t>
      </w:r>
      <w:r>
        <w:rPr>
          <w:snapToGrid w:val="0"/>
        </w:rPr>
        <w:t xml:space="preserve">. </w:t>
      </w:r>
      <w:r>
        <w:rPr>
          <w:snapToGrid w:val="0"/>
        </w:rPr>
        <w:tab/>
        <w:t>Public may obtain copies of returns</w:t>
      </w:r>
      <w:bookmarkEnd w:id="1204"/>
      <w:bookmarkEnd w:id="1205"/>
      <w:bookmarkEnd w:id="1206"/>
    </w:p>
    <w:p>
      <w:pPr>
        <w:pStyle w:val="Subsection"/>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rPr>
          <w:snapToGrid w:val="0"/>
        </w:rPr>
      </w:pPr>
      <w:r>
        <w:rPr>
          <w:snapToGrid w:val="0"/>
        </w:rPr>
        <w:tab/>
        <w:t>(2)</w:t>
      </w:r>
      <w:r>
        <w:rPr>
          <w:snapToGrid w:val="0"/>
        </w:rPr>
        <w:tab/>
        <w:t>A person is entitled —</w:t>
      </w:r>
    </w:p>
    <w:p>
      <w:pPr>
        <w:pStyle w:val="Indenta"/>
        <w:rPr>
          <w:snapToGrid w:val="0"/>
        </w:rPr>
      </w:pPr>
      <w:r>
        <w:rPr>
          <w:snapToGrid w:val="0"/>
        </w:rPr>
        <w:tab/>
        <w:t>(a)</w:t>
      </w:r>
      <w:r>
        <w:rPr>
          <w:snapToGrid w:val="0"/>
        </w:rPr>
        <w:tab/>
        <w:t>to peruse a copy of a claim or a return kept under subsection (1);</w:t>
      </w:r>
    </w:p>
    <w:p>
      <w:pPr>
        <w:pStyle w:val="Indenta"/>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ind w:left="890" w:hanging="890"/>
      </w:pPr>
      <w:r>
        <w:tab/>
        <w:t>[Section 175ZC inserted by No. 75 of 1992 s. 4 (as amended by No. 43 of 1996 s. 26); amended by No. 55 of 2006 s. 12.]</w:t>
      </w:r>
    </w:p>
    <w:p>
      <w:pPr>
        <w:pStyle w:val="Heading5"/>
        <w:rPr>
          <w:snapToGrid w:val="0"/>
        </w:rPr>
      </w:pPr>
      <w:bookmarkStart w:id="1207" w:name="_Toc402969555"/>
      <w:bookmarkStart w:id="1208" w:name="_Toc436058740"/>
      <w:bookmarkStart w:id="1209" w:name="_Toc416703371"/>
      <w:r>
        <w:rPr>
          <w:rStyle w:val="CharSectno"/>
        </w:rPr>
        <w:t>175ZD</w:t>
      </w:r>
      <w:r>
        <w:rPr>
          <w:snapToGrid w:val="0"/>
        </w:rPr>
        <w:t>.</w:t>
      </w:r>
      <w:r>
        <w:rPr>
          <w:snapToGrid w:val="0"/>
        </w:rPr>
        <w:tab/>
        <w:t>Unincorporated party, proceedings against</w:t>
      </w:r>
      <w:bookmarkEnd w:id="1207"/>
      <w:bookmarkEnd w:id="1208"/>
      <w:bookmarkEnd w:id="1209"/>
    </w:p>
    <w:p>
      <w:pPr>
        <w:pStyle w:val="Subsection"/>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[Section 175ZD inserted by No. 75 of 1992 s. 4; amended by No. 55 of 2006 s. 13.]</w:t>
      </w:r>
    </w:p>
    <w:p>
      <w:pPr>
        <w:pStyle w:val="Heading5"/>
        <w:rPr>
          <w:snapToGrid w:val="0"/>
        </w:rPr>
      </w:pPr>
      <w:bookmarkStart w:id="1210" w:name="_Toc402969556"/>
      <w:bookmarkStart w:id="1211" w:name="_Toc436058741"/>
      <w:bookmarkStart w:id="1212" w:name="_Toc416703372"/>
      <w:r>
        <w:rPr>
          <w:rStyle w:val="CharSectno"/>
        </w:rPr>
        <w:t>175ZE</w:t>
      </w:r>
      <w:r>
        <w:rPr>
          <w:snapToGrid w:val="0"/>
        </w:rPr>
        <w:t xml:space="preserve">. </w:t>
      </w:r>
      <w:r>
        <w:rPr>
          <w:snapToGrid w:val="0"/>
        </w:rPr>
        <w:tab/>
        <w:t>Public agencies to report on certain expenditure</w:t>
      </w:r>
      <w:bookmarkEnd w:id="1210"/>
      <w:bookmarkEnd w:id="1211"/>
      <w:bookmarkEnd w:id="1212"/>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keepNext/>
        <w:rPr>
          <w:snapToGrid w:val="0"/>
        </w:rPr>
      </w:pPr>
      <w:r>
        <w:rPr>
          <w:snapToGrid w:val="0"/>
        </w:rPr>
        <w:tab/>
        <w:t>(2)</w:t>
      </w:r>
      <w:r>
        <w:rPr>
          <w:snapToGrid w:val="0"/>
        </w:rPr>
        <w:tab/>
        <w:t>The details to be set out in the statement are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[Section 175ZE inserted by No. 75 of 1992 s. 4; amended by No. 77 of 2006 Sch. 1 cl. 51.]</w:t>
      </w:r>
    </w:p>
    <w:p>
      <w:pPr>
        <w:pStyle w:val="Heading5"/>
        <w:rPr>
          <w:snapToGrid w:val="0"/>
        </w:rPr>
      </w:pPr>
      <w:bookmarkStart w:id="1213" w:name="_Toc402969557"/>
      <w:bookmarkStart w:id="1214" w:name="_Toc436058742"/>
      <w:bookmarkStart w:id="1215" w:name="_Toc416703373"/>
      <w:r>
        <w:rPr>
          <w:rStyle w:val="CharSectno"/>
        </w:rPr>
        <w:t>175ZF</w:t>
      </w:r>
      <w:r>
        <w:rPr>
          <w:snapToGrid w:val="0"/>
        </w:rPr>
        <w:t>.</w:t>
      </w:r>
      <w:r>
        <w:rPr>
          <w:snapToGrid w:val="0"/>
        </w:rPr>
        <w:tab/>
        <w:t>Regulations for this Part</w:t>
      </w:r>
      <w:bookmarkEnd w:id="1213"/>
      <w:bookmarkEnd w:id="1214"/>
      <w:bookmarkEnd w:id="1215"/>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 and</w:t>
      </w:r>
    </w:p>
    <w:p>
      <w:pPr>
        <w:pStyle w:val="Indenta"/>
      </w:pPr>
      <w:r>
        <w:tab/>
        <w:t>(aa)</w:t>
      </w:r>
      <w:r>
        <w:tab/>
        <w:t>requiring the agent of a political party to lodge returns or other information identifying any entity that is or has been an associated entity in relation to that political party; and</w:t>
      </w:r>
    </w:p>
    <w:p>
      <w:pPr>
        <w:pStyle w:val="Indenta"/>
      </w:pPr>
      <w:r>
        <w:tab/>
        <w:t>(ab)</w:t>
      </w:r>
      <w:r>
        <w:tab/>
        <w:t>requiring the agent of a political party to lodge a return setting out additional information as prescribed where section 175N(5)(a) or (b) applies in respect of a return lodged in relation to the political party; and</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 and</w:t>
      </w:r>
    </w:p>
    <w:p>
      <w:pPr>
        <w:pStyle w:val="Indenta"/>
        <w:rPr>
          <w:snapToGrid w:val="0"/>
        </w:rPr>
      </w:pPr>
      <w:r>
        <w:rPr>
          <w:snapToGrid w:val="0"/>
        </w:rPr>
        <w:tab/>
        <w:t>(b)</w:t>
      </w:r>
      <w:r>
        <w:rPr>
          <w:snapToGrid w:val="0"/>
        </w:rPr>
        <w:tab/>
        <w:t>requiring the making, keeping and auditing of records of —</w:t>
      </w:r>
    </w:p>
    <w:p>
      <w:pPr>
        <w:pStyle w:val="Indenti"/>
        <w:rPr>
          <w:snapToGrid w:val="0"/>
        </w:rPr>
      </w:pPr>
      <w:r>
        <w:rPr>
          <w:snapToGrid w:val="0"/>
        </w:rPr>
        <w:tab/>
        <w:t>(i)</w:t>
      </w:r>
      <w:r>
        <w:rPr>
          <w:snapToGrid w:val="0"/>
        </w:rPr>
        <w:tab/>
        <w:t>gifts and other income received by political parties and associated entities; and</w:t>
      </w:r>
    </w:p>
    <w:p>
      <w:pPr>
        <w:pStyle w:val="Indenti"/>
        <w:rPr>
          <w:snapToGrid w:val="0"/>
        </w:rPr>
      </w:pPr>
      <w:r>
        <w:rPr>
          <w:snapToGrid w:val="0"/>
        </w:rPr>
        <w:tab/>
        <w:t>(ii)</w:t>
      </w:r>
      <w:r>
        <w:rPr>
          <w:snapToGrid w:val="0"/>
        </w:rPr>
        <w:tab/>
        <w:t>gifts received in respect of elections by candidates, groups and other persons; and</w:t>
      </w:r>
    </w:p>
    <w:p>
      <w:pPr>
        <w:pStyle w:val="Indenti"/>
        <w:keepNext/>
        <w:keepLines/>
        <w:rPr>
          <w:snapToGrid w:val="0"/>
        </w:rPr>
      </w:pPr>
      <w:r>
        <w:rPr>
          <w:snapToGrid w:val="0"/>
        </w:rPr>
        <w:tab/>
        <w:t>(iii)</w:t>
      </w:r>
      <w:r>
        <w:rPr>
          <w:snapToGrid w:val="0"/>
        </w:rPr>
        <w:tab/>
        <w:t>electoral expenditure incurred in respect of elections by political parties, candidates, groups and other persons,</w:t>
      </w:r>
    </w:p>
    <w:p>
      <w:pPr>
        <w:pStyle w:val="Indenta"/>
        <w:rPr>
          <w:snapToGrid w:val="0"/>
        </w:rPr>
      </w:pPr>
      <w:r>
        <w:rPr>
          <w:snapToGrid w:val="0"/>
        </w:rPr>
        <w:tab/>
      </w:r>
      <w:r>
        <w:rPr>
          <w:snapToGrid w:val="0"/>
        </w:rPr>
        <w:tab/>
        <w:t>and requiring or otherwise providing for the production, examination and copying of those records; and</w:t>
      </w:r>
    </w:p>
    <w:p>
      <w:pPr>
        <w:pStyle w:val="Indenta"/>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rPr>
          <w:snapToGrid w:val="0"/>
        </w:rPr>
      </w:pPr>
      <w:r>
        <w:rPr>
          <w:snapToGrid w:val="0"/>
        </w:rPr>
        <w:tab/>
        <w:t>(2)</w:t>
      </w:r>
      <w:r>
        <w:rPr>
          <w:snapToGrid w:val="0"/>
        </w:rPr>
        <w:tab/>
        <w:t>The regulations referred to in subsection (1)(a) </w:t>
      </w:r>
      <w:r>
        <w:t>—</w:t>
      </w:r>
    </w:p>
    <w:p>
      <w:pPr>
        <w:pStyle w:val="Indenta"/>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[Section 175ZF inserted by No. 75 of 1992 s. 4 (as amended by No. 43 of 1996 s. 26); amended by No. 36 of 2000 s. 61.]</w:t>
      </w:r>
    </w:p>
    <w:p>
      <w:pPr>
        <w:pStyle w:val="Heading5"/>
        <w:rPr>
          <w:snapToGrid w:val="0"/>
        </w:rPr>
      </w:pPr>
      <w:bookmarkStart w:id="1216" w:name="_Toc402969558"/>
      <w:bookmarkStart w:id="1217" w:name="_Toc436058743"/>
      <w:bookmarkStart w:id="1218" w:name="_Toc416703374"/>
      <w:r>
        <w:rPr>
          <w:rStyle w:val="CharSectno"/>
        </w:rPr>
        <w:t>175ZG</w:t>
      </w:r>
      <w:r>
        <w:rPr>
          <w:snapToGrid w:val="0"/>
        </w:rPr>
        <w:t>.</w:t>
      </w:r>
      <w:r>
        <w:rPr>
          <w:snapToGrid w:val="0"/>
        </w:rPr>
        <w:tab/>
        <w:t>Annual report by Electoral Commissioner</w:t>
      </w:r>
      <w:bookmarkEnd w:id="1216"/>
      <w:bookmarkEnd w:id="1217"/>
      <w:bookmarkEnd w:id="1218"/>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spacing w:before="80"/>
        <w:ind w:left="890" w:hanging="890"/>
      </w:pPr>
      <w:r>
        <w:tab/>
        <w:t>[Section 175ZG inserted by No. 75 of 1992 s. 4 (as amended by No. 43 of 1996 s. 26).]</w:t>
      </w:r>
    </w:p>
    <w:p>
      <w:pPr>
        <w:pStyle w:val="Ednotesection"/>
        <w:ind w:left="890" w:hanging="890"/>
      </w:pPr>
      <w:r>
        <w:t>[</w:t>
      </w:r>
      <w:r>
        <w:rPr>
          <w:b/>
        </w:rPr>
        <w:t>176</w:t>
      </w:r>
      <w:r>
        <w:rPr>
          <w:b/>
        </w:rPr>
        <w:noBreakHyphen/>
        <w:t>178.</w:t>
      </w:r>
      <w:r>
        <w:tab/>
        <w:t>Deleted by No. 39 of 1979 s. 25.]</w:t>
      </w:r>
    </w:p>
    <w:p>
      <w:pPr>
        <w:pStyle w:val="Heading2"/>
      </w:pPr>
      <w:bookmarkStart w:id="1219" w:name="_Toc402969559"/>
      <w:bookmarkStart w:id="1220" w:name="_Toc416702991"/>
      <w:bookmarkStart w:id="1221" w:name="_Toc416703375"/>
      <w:bookmarkStart w:id="1222" w:name="_Toc435714627"/>
      <w:bookmarkStart w:id="1223" w:name="_Toc436057742"/>
      <w:bookmarkStart w:id="1224" w:name="_Toc436058130"/>
      <w:bookmarkStart w:id="1225" w:name="_Toc436058515"/>
      <w:bookmarkStart w:id="1226" w:name="_Toc436058744"/>
      <w:r>
        <w:rPr>
          <w:rStyle w:val="CharPartNo"/>
        </w:rPr>
        <w:t>Part VII</w:t>
      </w:r>
      <w:r>
        <w:rPr>
          <w:rStyle w:val="CharDivNo"/>
        </w:rPr>
        <w:t> </w:t>
      </w:r>
      <w:r>
        <w:t>—</w:t>
      </w:r>
      <w:r>
        <w:rPr>
          <w:rStyle w:val="CharDivText"/>
        </w:rPr>
        <w:t> </w:t>
      </w:r>
      <w:r>
        <w:rPr>
          <w:rStyle w:val="CharPartText"/>
        </w:rPr>
        <w:t>Electoral offences</w:t>
      </w:r>
      <w:bookmarkEnd w:id="1219"/>
      <w:bookmarkEnd w:id="1220"/>
      <w:bookmarkEnd w:id="1221"/>
      <w:bookmarkEnd w:id="1222"/>
      <w:bookmarkEnd w:id="1223"/>
      <w:bookmarkEnd w:id="1224"/>
      <w:bookmarkEnd w:id="1225"/>
      <w:bookmarkEnd w:id="1226"/>
    </w:p>
    <w:p>
      <w:pPr>
        <w:pStyle w:val="Heading5"/>
        <w:rPr>
          <w:snapToGrid w:val="0"/>
        </w:rPr>
      </w:pPr>
      <w:bookmarkStart w:id="1227" w:name="_Toc402969560"/>
      <w:bookmarkStart w:id="1228" w:name="_Toc436058745"/>
      <w:bookmarkStart w:id="1229" w:name="_Toc416703376"/>
      <w:r>
        <w:rPr>
          <w:rStyle w:val="CharSectno"/>
        </w:rPr>
        <w:t>179</w:t>
      </w:r>
      <w:r>
        <w:rPr>
          <w:snapToGrid w:val="0"/>
        </w:rPr>
        <w:t>.</w:t>
      </w:r>
      <w:r>
        <w:rPr>
          <w:snapToGrid w:val="0"/>
        </w:rPr>
        <w:tab/>
        <w:t>Offences generally</w:t>
      </w:r>
      <w:bookmarkEnd w:id="1227"/>
      <w:bookmarkEnd w:id="1228"/>
      <w:bookmarkEnd w:id="1229"/>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1230" w:name="_Toc402969561"/>
      <w:bookmarkStart w:id="1231" w:name="_Toc436058746"/>
      <w:bookmarkStart w:id="1232" w:name="_Toc416703377"/>
      <w:r>
        <w:rPr>
          <w:rStyle w:val="CharSectno"/>
        </w:rPr>
        <w:t>180</w:t>
      </w:r>
      <w:r>
        <w:rPr>
          <w:snapToGrid w:val="0"/>
        </w:rPr>
        <w:t>.</w:t>
      </w:r>
      <w:r>
        <w:rPr>
          <w:snapToGrid w:val="0"/>
        </w:rPr>
        <w:tab/>
        <w:t>Term used: breach or neglect of official duty</w:t>
      </w:r>
      <w:bookmarkEnd w:id="1230"/>
      <w:bookmarkEnd w:id="1231"/>
      <w:bookmarkEnd w:id="1232"/>
    </w:p>
    <w:p>
      <w:pPr>
        <w:pStyle w:val="Subsection"/>
        <w:spacing w:before="120"/>
      </w:pPr>
      <w:r>
        <w:tab/>
      </w:r>
      <w:r>
        <w:tab/>
      </w:r>
      <w:r>
        <w:rPr>
          <w:rStyle w:val="CharDefText"/>
        </w:rPr>
        <w:t>Breach or neglect of official duty</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spacing w:before="80"/>
        <w:rPr>
          <w:snapToGrid w:val="0"/>
        </w:rPr>
      </w:pPr>
      <w:r>
        <w:rPr>
          <w:snapToGrid w:val="0"/>
        </w:rPr>
        <w:tab/>
      </w:r>
      <w:r>
        <w:rPr>
          <w:snapToGrid w:val="0"/>
        </w:rPr>
        <w:tab/>
        <w:t>Breach or neglect of official duty is punishable by imprisonment not exceeding one year.</w:t>
      </w:r>
    </w:p>
    <w:p>
      <w:pPr>
        <w:pStyle w:val="Footnotesection"/>
        <w:spacing w:before="100"/>
        <w:ind w:left="890" w:hanging="890"/>
      </w:pPr>
      <w:r>
        <w:tab/>
        <w:t>[Section 180 amended by No. 53 of 1957 s. 14; No. 113 of 1965 s. 8; No. 64 of 2006 s. 42.]</w:t>
      </w:r>
    </w:p>
    <w:p>
      <w:pPr>
        <w:pStyle w:val="Heading5"/>
        <w:rPr>
          <w:snapToGrid w:val="0"/>
        </w:rPr>
      </w:pPr>
      <w:bookmarkStart w:id="1233" w:name="_Toc402969562"/>
      <w:bookmarkStart w:id="1234" w:name="_Toc436058747"/>
      <w:bookmarkStart w:id="1235" w:name="_Toc416703378"/>
      <w:r>
        <w:rPr>
          <w:rStyle w:val="CharSectno"/>
        </w:rPr>
        <w:t>181</w:t>
      </w:r>
      <w:r>
        <w:rPr>
          <w:snapToGrid w:val="0"/>
        </w:rPr>
        <w:t>.</w:t>
      </w:r>
      <w:r>
        <w:rPr>
          <w:snapToGrid w:val="0"/>
        </w:rPr>
        <w:tab/>
        <w:t>Bribery, offence of</w:t>
      </w:r>
      <w:bookmarkEnd w:id="1233"/>
      <w:bookmarkEnd w:id="1234"/>
      <w:bookmarkEnd w:id="123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 or</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 or</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 or</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spacing w:before="100"/>
        <w:rPr>
          <w:snapToGrid w:val="0"/>
        </w:rPr>
      </w:pPr>
      <w:r>
        <w:rPr>
          <w:snapToGrid w:val="0"/>
        </w:rPr>
        <w:tab/>
      </w:r>
      <w:r>
        <w:rPr>
          <w:snapToGrid w:val="0"/>
        </w:rPr>
        <w:tab/>
        <w:t>shall be guilty of bribery.</w:t>
      </w:r>
    </w:p>
    <w:p>
      <w:pPr>
        <w:pStyle w:val="Footnotesection"/>
        <w:spacing w:before="80"/>
        <w:ind w:left="890" w:hanging="890"/>
      </w:pPr>
      <w:r>
        <w:tab/>
        <w:t>[Section 181 amended by No. 53 of 1957 s. 15; No. 51 of 1962 s. 9; No. 39 of 1979 s. 5; No. 66 of 1983 s. 5; No. 36 of 2000 s. 48(1).]</w:t>
      </w:r>
    </w:p>
    <w:p>
      <w:pPr>
        <w:pStyle w:val="Heading5"/>
        <w:rPr>
          <w:snapToGrid w:val="0"/>
        </w:rPr>
      </w:pPr>
      <w:bookmarkStart w:id="1236" w:name="_Toc402969563"/>
      <w:bookmarkStart w:id="1237" w:name="_Toc436058748"/>
      <w:bookmarkStart w:id="1238" w:name="_Toc416703379"/>
      <w:r>
        <w:rPr>
          <w:rStyle w:val="CharSectno"/>
        </w:rPr>
        <w:t>182</w:t>
      </w:r>
      <w:r>
        <w:rPr>
          <w:snapToGrid w:val="0"/>
        </w:rPr>
        <w:t>.</w:t>
      </w:r>
      <w:r>
        <w:rPr>
          <w:snapToGrid w:val="0"/>
        </w:rPr>
        <w:tab/>
        <w:t>Term used: bribery</w:t>
      </w:r>
      <w:bookmarkEnd w:id="1236"/>
      <w:bookmarkEnd w:id="1237"/>
      <w:bookmarkEnd w:id="1238"/>
    </w:p>
    <w:p>
      <w:pPr>
        <w:pStyle w:val="Subsection"/>
        <w:spacing w:before="140"/>
        <w:rPr>
          <w:snapToGrid w:val="0"/>
        </w:rPr>
      </w:pPr>
      <w:r>
        <w:rPr>
          <w:snapToGrid w:val="0"/>
        </w:rPr>
        <w:tab/>
      </w:r>
      <w:r>
        <w:rPr>
          <w:snapToGrid w:val="0"/>
        </w:rPr>
        <w:tab/>
        <w:t xml:space="preserve">Without limiting the effect of the general words in the preceding section, </w:t>
      </w:r>
      <w:r>
        <w:rPr>
          <w:rStyle w:val="CharDefText"/>
        </w:rPr>
        <w:t>bribery</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[Section 182 amended by No. 51 of 1962 s. 10; No. 39 of 1979 s. 5; No. 66 of 1983 s. 6; No. 64 of 2006 s. 43.]</w:t>
      </w:r>
    </w:p>
    <w:p>
      <w:pPr>
        <w:pStyle w:val="Heading5"/>
        <w:spacing w:before="200"/>
        <w:rPr>
          <w:snapToGrid w:val="0"/>
        </w:rPr>
      </w:pPr>
      <w:bookmarkStart w:id="1239" w:name="_Toc402969564"/>
      <w:bookmarkStart w:id="1240" w:name="_Toc436058749"/>
      <w:bookmarkStart w:id="1241" w:name="_Toc416703380"/>
      <w:r>
        <w:rPr>
          <w:rStyle w:val="CharSectno"/>
        </w:rPr>
        <w:t>183</w:t>
      </w:r>
      <w:r>
        <w:rPr>
          <w:snapToGrid w:val="0"/>
        </w:rPr>
        <w:t>.</w:t>
      </w:r>
      <w:r>
        <w:rPr>
          <w:snapToGrid w:val="0"/>
        </w:rPr>
        <w:tab/>
        <w:t>Undue influence, offence of</w:t>
      </w:r>
      <w:bookmarkEnd w:id="1239"/>
      <w:bookmarkEnd w:id="1240"/>
      <w:bookmarkEnd w:id="1241"/>
    </w:p>
    <w:p>
      <w:pPr>
        <w:pStyle w:val="Subsection"/>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12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12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12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Ednotepara"/>
        <w:rPr>
          <w:snapToGrid w:val="0"/>
        </w:rPr>
      </w:pPr>
      <w:r>
        <w:rPr>
          <w:snapToGrid w:val="0"/>
        </w:rPr>
        <w:tab/>
        <w:t>[(5), (6)</w:t>
      </w:r>
      <w:r>
        <w:rPr>
          <w:snapToGrid w:val="0"/>
        </w:rPr>
        <w:tab/>
        <w:t>deleted]</w:t>
      </w:r>
    </w:p>
    <w:p>
      <w:pPr>
        <w:pStyle w:val="Indenta"/>
        <w:keepNext/>
        <w:spacing w:before="120"/>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120"/>
        <w:rPr>
          <w:snapToGrid w:val="0"/>
        </w:rPr>
      </w:pPr>
      <w:r>
        <w:rPr>
          <w:snapToGrid w:val="0"/>
        </w:rPr>
        <w:tab/>
      </w:r>
      <w:r>
        <w:rPr>
          <w:snapToGrid w:val="0"/>
        </w:rPr>
        <w:tab/>
        <w:t>shall be guilty of undue influence.</w:t>
      </w:r>
    </w:p>
    <w:p>
      <w:pPr>
        <w:pStyle w:val="Footnotesection"/>
      </w:pPr>
      <w:r>
        <w:tab/>
        <w:t>[Section 183 amended by No. 63 of 1948 s. 26; No. 59 of 1959 s. 13; No. 51 of 1962 s. 11; No. 94 of 1972 s. 4; No. 39 of 1979 s. 5; No. 66 of 1983 s. 7; No. 7 of 2009 s. 15; No. 35 of 2012 s. 31.]</w:t>
      </w:r>
    </w:p>
    <w:p>
      <w:pPr>
        <w:pStyle w:val="Heading5"/>
        <w:rPr>
          <w:snapToGrid w:val="0"/>
        </w:rPr>
      </w:pPr>
      <w:bookmarkStart w:id="1242" w:name="_Toc402969565"/>
      <w:bookmarkStart w:id="1243" w:name="_Toc436058750"/>
      <w:bookmarkStart w:id="1244" w:name="_Toc416703381"/>
      <w:r>
        <w:rPr>
          <w:rStyle w:val="CharSectno"/>
        </w:rPr>
        <w:t>184</w:t>
      </w:r>
      <w:r>
        <w:rPr>
          <w:snapToGrid w:val="0"/>
        </w:rPr>
        <w:t>.</w:t>
      </w:r>
      <w:r>
        <w:rPr>
          <w:snapToGrid w:val="0"/>
        </w:rPr>
        <w:tab/>
        <w:t>Term used: undue influence</w:t>
      </w:r>
      <w:bookmarkEnd w:id="1242"/>
      <w:bookmarkEnd w:id="1243"/>
      <w:bookmarkEnd w:id="1244"/>
    </w:p>
    <w:p>
      <w:pPr>
        <w:pStyle w:val="Subsection"/>
        <w:rPr>
          <w:snapToGrid w:val="0"/>
        </w:rPr>
      </w:pPr>
      <w:r>
        <w:rPr>
          <w:snapToGrid w:val="0"/>
        </w:rPr>
        <w:tab/>
      </w:r>
      <w:r>
        <w:rPr>
          <w:snapToGrid w:val="0"/>
        </w:rPr>
        <w:tab/>
        <w:t xml:space="preserve">Without limiting the effect of the general words in the preceding section, </w:t>
      </w:r>
      <w:r>
        <w:rPr>
          <w:rStyle w:val="CharDefText"/>
        </w:rPr>
        <w:t>undue influence</w:t>
      </w:r>
      <w:r>
        <w:rPr>
          <w:snapToGrid w:val="0"/>
        </w:rPr>
        <w:t xml:space="preserve"> includes every interference or attempted interference with the free exercise of the franchise of any voter.</w:t>
      </w:r>
    </w:p>
    <w:p>
      <w:pPr>
        <w:pStyle w:val="Footnotesection"/>
      </w:pPr>
      <w:r>
        <w:tab/>
        <w:t>[Section 184 amended by No. 51 of 1962 s. 12; No. 39 of 1979 s. 5; No. 66 of 1983 s. 8.]</w:t>
      </w:r>
    </w:p>
    <w:p>
      <w:pPr>
        <w:pStyle w:val="Heading5"/>
        <w:rPr>
          <w:snapToGrid w:val="0"/>
        </w:rPr>
      </w:pPr>
      <w:bookmarkStart w:id="1245" w:name="_Toc402969566"/>
      <w:bookmarkStart w:id="1246" w:name="_Toc436058751"/>
      <w:bookmarkStart w:id="1247" w:name="_Toc416703382"/>
      <w:r>
        <w:rPr>
          <w:rStyle w:val="CharSectno"/>
        </w:rPr>
        <w:t>185</w:t>
      </w:r>
      <w:r>
        <w:rPr>
          <w:snapToGrid w:val="0"/>
        </w:rPr>
        <w:t>.</w:t>
      </w:r>
      <w:r>
        <w:rPr>
          <w:snapToGrid w:val="0"/>
        </w:rPr>
        <w:tab/>
        <w:t>Exception to what is bribery or undue influence</w:t>
      </w:r>
      <w:bookmarkEnd w:id="1245"/>
      <w:bookmarkEnd w:id="1246"/>
      <w:bookmarkEnd w:id="1247"/>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1248" w:name="_Toc402969567"/>
      <w:bookmarkStart w:id="1249" w:name="_Toc436058752"/>
      <w:bookmarkStart w:id="1250" w:name="_Toc416703383"/>
      <w:r>
        <w:rPr>
          <w:rStyle w:val="CharSectno"/>
        </w:rPr>
        <w:t>186</w:t>
      </w:r>
      <w:r>
        <w:rPr>
          <w:snapToGrid w:val="0"/>
        </w:rPr>
        <w:t>.</w:t>
      </w:r>
      <w:r>
        <w:rPr>
          <w:snapToGrid w:val="0"/>
        </w:rPr>
        <w:tab/>
        <w:t>Disqualification for bribery or undue influence</w:t>
      </w:r>
      <w:bookmarkEnd w:id="1248"/>
      <w:bookmarkEnd w:id="1249"/>
      <w:bookmarkEnd w:id="125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by No. 64 of 2006 s. 53.]</w:t>
      </w:r>
    </w:p>
    <w:p>
      <w:pPr>
        <w:pStyle w:val="Heading5"/>
        <w:rPr>
          <w:snapToGrid w:val="0"/>
        </w:rPr>
      </w:pPr>
      <w:bookmarkStart w:id="1251" w:name="_Toc402969568"/>
      <w:bookmarkStart w:id="1252" w:name="_Toc436058753"/>
      <w:bookmarkStart w:id="1253" w:name="_Toc416703384"/>
      <w:r>
        <w:rPr>
          <w:rStyle w:val="CharSectno"/>
        </w:rPr>
        <w:t>187</w:t>
      </w:r>
      <w:r>
        <w:rPr>
          <w:snapToGrid w:val="0"/>
        </w:rPr>
        <w:t>.</w:t>
      </w:r>
      <w:r>
        <w:rPr>
          <w:snapToGrid w:val="0"/>
        </w:rPr>
        <w:tab/>
        <w:t>Illegal practices defined</w:t>
      </w:r>
      <w:bookmarkEnd w:id="1251"/>
      <w:bookmarkEnd w:id="1252"/>
      <w:bookmarkEnd w:id="1253"/>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Subsection (1)(a) and (b) do not apply in relation to —</w:t>
      </w:r>
    </w:p>
    <w:p>
      <w:pPr>
        <w:pStyle w:val="Indenta"/>
      </w:pPr>
      <w:r>
        <w:tab/>
        <w:t>(a)</w:t>
      </w:r>
      <w:r>
        <w:tab/>
        <w:t>T</w:t>
      </w:r>
      <w:r>
        <w:noBreakHyphen/>
        <w:t>shirts, lapel buttons, lapel badges, pens, pencils or balloons; or</w:t>
      </w:r>
    </w:p>
    <w:p>
      <w:pPr>
        <w:pStyle w:val="Indenta"/>
      </w:pPr>
      <w:r>
        <w:tab/>
        <w:t>(b)</w:t>
      </w:r>
      <w:r>
        <w:tab/>
        <w:t>business or visiting cards that promote the candidacy of any person in an election; or</w:t>
      </w:r>
    </w:p>
    <w:p>
      <w:pPr>
        <w:pStyle w:val="Indenta"/>
      </w:pPr>
      <w:r>
        <w:tab/>
        <w:t>(c)</w:t>
      </w:r>
      <w:r>
        <w:tab/>
        <w:t>letters and cards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[Section 187 amended by No. 68 of 1964 s. 36; No. 39 of 1979 s. 26; No. 36 of 2000 s. 79.]</w:t>
      </w:r>
    </w:p>
    <w:p>
      <w:pPr>
        <w:pStyle w:val="Heading5"/>
        <w:rPr>
          <w:snapToGrid w:val="0"/>
        </w:rPr>
      </w:pPr>
      <w:bookmarkStart w:id="1254" w:name="_Toc402969569"/>
      <w:bookmarkStart w:id="1255" w:name="_Toc436058754"/>
      <w:bookmarkStart w:id="1256" w:name="_Toc416703385"/>
      <w:r>
        <w:rPr>
          <w:rStyle w:val="CharSectno"/>
        </w:rPr>
        <w:t>187A</w:t>
      </w:r>
      <w:r>
        <w:rPr>
          <w:snapToGrid w:val="0"/>
        </w:rPr>
        <w:t>.</w:t>
      </w:r>
      <w:r>
        <w:rPr>
          <w:snapToGrid w:val="0"/>
        </w:rPr>
        <w:tab/>
        <w:t>Intentionally rendering person unable to vote etc.</w:t>
      </w:r>
      <w:bookmarkEnd w:id="1254"/>
      <w:bookmarkEnd w:id="1255"/>
      <w:bookmarkEnd w:id="1256"/>
    </w:p>
    <w:p>
      <w:pPr>
        <w:pStyle w:val="Subsection"/>
        <w:rPr>
          <w:snapToGrid w:val="0"/>
        </w:rPr>
      </w:pPr>
      <w:r>
        <w:rPr>
          <w:snapToGrid w:val="0"/>
        </w:rPr>
        <w:tab/>
        <w:t>(1)</w:t>
      </w:r>
      <w:r>
        <w:rPr>
          <w:snapToGrid w:val="0"/>
        </w:rPr>
        <w:tab/>
        <w:t>A person who does any act or engages in any course of conduct intending that as a result thereof another person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[Section 187A inserted by No. 52 of 1980 s. 2.]</w:t>
      </w:r>
    </w:p>
    <w:p>
      <w:pPr>
        <w:pStyle w:val="Heading5"/>
      </w:pPr>
      <w:bookmarkStart w:id="1257" w:name="_Toc402969570"/>
      <w:bookmarkStart w:id="1258" w:name="_Toc436058755"/>
      <w:bookmarkStart w:id="1259" w:name="_Toc416703386"/>
      <w:r>
        <w:rPr>
          <w:rStyle w:val="CharSectno"/>
        </w:rPr>
        <w:t>187B</w:t>
      </w:r>
      <w:r>
        <w:t>.</w:t>
      </w:r>
      <w:r>
        <w:tab/>
        <w:t>Electoral advertisement on internet, when publishing is an illegal practice</w:t>
      </w:r>
      <w:bookmarkEnd w:id="1257"/>
      <w:bookmarkEnd w:id="1258"/>
      <w:bookmarkEnd w:id="1259"/>
    </w:p>
    <w:p>
      <w:pPr>
        <w:pStyle w:val="Subsection"/>
      </w:pPr>
      <w:r>
        <w:tab/>
        <w:t>(1)</w:t>
      </w:r>
      <w:r>
        <w:tab/>
        <w:t>A person is guilty of an illegal practice if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spacing w:before="100"/>
        <w:ind w:left="890" w:hanging="890"/>
      </w:pPr>
      <w:r>
        <w:tab/>
        <w:t>[Section 187B inserted by No. 64 of 2006 s. 44.]</w:t>
      </w:r>
    </w:p>
    <w:p>
      <w:pPr>
        <w:pStyle w:val="Heading5"/>
      </w:pPr>
      <w:bookmarkStart w:id="1260" w:name="_Toc402969571"/>
      <w:bookmarkStart w:id="1261" w:name="_Toc436058756"/>
      <w:bookmarkStart w:id="1262" w:name="_Toc416703387"/>
      <w:r>
        <w:rPr>
          <w:rStyle w:val="CharSectno"/>
        </w:rPr>
        <w:t>188</w:t>
      </w:r>
      <w:r>
        <w:t>.</w:t>
      </w:r>
      <w:r>
        <w:tab/>
        <w:t>Illegal practices, penalties for</w:t>
      </w:r>
      <w:bookmarkEnd w:id="1260"/>
      <w:bookmarkEnd w:id="1261"/>
      <w:bookmarkEnd w:id="1262"/>
    </w:p>
    <w:p>
      <w:pPr>
        <w:pStyle w:val="Subsection"/>
        <w:spacing w:before="140"/>
      </w:pPr>
      <w:r>
        <w:tab/>
        <w:t>(1)</w:t>
      </w:r>
      <w:r>
        <w:tab/>
        <w:t>Bribery or undue influence is punishable —</w:t>
      </w:r>
    </w:p>
    <w:p>
      <w:pPr>
        <w:pStyle w:val="Indenta"/>
        <w:spacing w:before="60"/>
      </w:pPr>
      <w:r>
        <w:tab/>
        <w:t>(a)</w:t>
      </w:r>
      <w:r>
        <w:tab/>
        <w:t>if the offence relates to an early ballot paper or early vote, by imprisonment for 2 years;</w:t>
      </w:r>
    </w:p>
    <w:p>
      <w:pPr>
        <w:pStyle w:val="Indenta"/>
        <w:spacing w:before="60"/>
      </w:pPr>
      <w:r>
        <w:tab/>
        <w:t>(b)</w:t>
      </w:r>
      <w:r>
        <w:tab/>
        <w:t>in any other case, by imprisonment for 12 months.</w:t>
      </w:r>
    </w:p>
    <w:p>
      <w:pPr>
        <w:pStyle w:val="Subsection"/>
        <w:spacing w:before="140"/>
      </w:pPr>
      <w:r>
        <w:tab/>
        <w:t>(2)</w:t>
      </w:r>
      <w:r>
        <w:tab/>
        <w:t>Any other illegal practice is punishable —</w:t>
      </w:r>
    </w:p>
    <w:p>
      <w:pPr>
        <w:pStyle w:val="Indenta"/>
        <w:spacing w:before="60"/>
      </w:pPr>
      <w:r>
        <w:tab/>
        <w:t>(a)</w:t>
      </w:r>
      <w:r>
        <w:tab/>
        <w:t>if the offence relates to an early ballot paper or early vote, by imprisonment for 12 months;</w:t>
      </w:r>
    </w:p>
    <w:p>
      <w:pPr>
        <w:pStyle w:val="Indenta"/>
        <w:spacing w:before="60"/>
      </w:pPr>
      <w:r>
        <w:tab/>
        <w:t>(b)</w:t>
      </w:r>
      <w:r>
        <w:tab/>
        <w:t>in any other case, by a fine of $6 000.</w:t>
      </w:r>
    </w:p>
    <w:p>
      <w:pPr>
        <w:pStyle w:val="Footnotesection"/>
        <w:spacing w:before="100"/>
        <w:ind w:left="890" w:hanging="890"/>
      </w:pPr>
      <w:r>
        <w:tab/>
        <w:t>[Section 188 inserted by No. 64 of 2006 s. 45.]</w:t>
      </w:r>
    </w:p>
    <w:p>
      <w:pPr>
        <w:pStyle w:val="Heading5"/>
        <w:rPr>
          <w:snapToGrid w:val="0"/>
        </w:rPr>
      </w:pPr>
      <w:bookmarkStart w:id="1263" w:name="_Toc402969572"/>
      <w:bookmarkStart w:id="1264" w:name="_Toc436058757"/>
      <w:bookmarkStart w:id="1265" w:name="_Toc416703388"/>
      <w:r>
        <w:rPr>
          <w:rStyle w:val="CharSectno"/>
        </w:rPr>
        <w:t>189</w:t>
      </w:r>
      <w:r>
        <w:rPr>
          <w:snapToGrid w:val="0"/>
        </w:rPr>
        <w:t>.</w:t>
      </w:r>
      <w:r>
        <w:rPr>
          <w:snapToGrid w:val="0"/>
        </w:rPr>
        <w:tab/>
        <w:t>Gift etc. by candidate to club etc., offence in some cases</w:t>
      </w:r>
      <w:bookmarkEnd w:id="1263"/>
      <w:bookmarkEnd w:id="1264"/>
      <w:bookmarkEnd w:id="1265"/>
    </w:p>
    <w:p>
      <w:pPr>
        <w:pStyle w:val="Subsection"/>
        <w:spacing w:before="140"/>
        <w:rPr>
          <w:snapToGrid w:val="0"/>
        </w:rPr>
      </w:pPr>
      <w:r>
        <w:rPr>
          <w:snapToGrid w:val="0"/>
        </w:rPr>
        <w:tab/>
      </w:r>
      <w:r>
        <w:rPr>
          <w:snapToGrid w:val="0"/>
        </w:rPr>
        <w:tab/>
        <w:t>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w:t>
      </w:r>
    </w:p>
    <w:p>
      <w:pPr>
        <w:pStyle w:val="Subsection"/>
        <w:spacing w:before="140"/>
        <w:rPr>
          <w:snapToGrid w:val="0"/>
          <w:spacing w:val="-2"/>
        </w:rPr>
      </w:pPr>
      <w:r>
        <w:rPr>
          <w:snapToGrid w:val="0"/>
        </w:rPr>
        <w:tab/>
      </w:r>
      <w:r>
        <w:rPr>
          <w:snapToGrid w:val="0"/>
        </w:rPr>
        <w:tab/>
      </w:r>
      <w:r>
        <w:rPr>
          <w:snapToGrid w:val="0"/>
          <w:spacing w:val="-2"/>
        </w:rPr>
        <w:t>Provided that no proceeding shall be taken for a contravention of this section except within 3 months after the act complained of.</w:t>
      </w:r>
    </w:p>
    <w:p>
      <w:pPr>
        <w:pStyle w:val="Footnotesection"/>
        <w:spacing w:before="100"/>
        <w:ind w:left="890" w:hanging="890"/>
      </w:pPr>
      <w:r>
        <w:tab/>
        <w:t>[Section 189 amended by No. 68 of 1964 s. 37.]</w:t>
      </w:r>
    </w:p>
    <w:p>
      <w:pPr>
        <w:pStyle w:val="Heading5"/>
        <w:rPr>
          <w:snapToGrid w:val="0"/>
        </w:rPr>
      </w:pPr>
      <w:bookmarkStart w:id="1266" w:name="_Toc402969573"/>
      <w:bookmarkStart w:id="1267" w:name="_Toc436058758"/>
      <w:bookmarkStart w:id="1268" w:name="_Toc416703389"/>
      <w:r>
        <w:rPr>
          <w:rStyle w:val="CharSectno"/>
        </w:rPr>
        <w:t>190</w:t>
      </w:r>
      <w:r>
        <w:rPr>
          <w:snapToGrid w:val="0"/>
        </w:rPr>
        <w:t>.</w:t>
      </w:r>
      <w:r>
        <w:rPr>
          <w:snapToGrid w:val="0"/>
        </w:rPr>
        <w:tab/>
        <w:t>Electoral offences and punishments</w:t>
      </w:r>
      <w:bookmarkEnd w:id="1266"/>
      <w:bookmarkEnd w:id="1267"/>
      <w:bookmarkEnd w:id="1268"/>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THeadingNAm"/>
      </w:pPr>
      <w:r>
        <w:t>Table of electoral offences and punishments</w:t>
      </w:r>
    </w:p>
    <w:tbl>
      <w:tblPr>
        <w:tblW w:w="0" w:type="auto"/>
        <w:tblInd w:w="948" w:type="dxa"/>
        <w:tblLayout w:type="fixed"/>
        <w:tblLook w:val="0000" w:firstRow="0" w:lastRow="0" w:firstColumn="0" w:lastColumn="0" w:noHBand="0" w:noVBand="0"/>
      </w:tblPr>
      <w:tblGrid>
        <w:gridCol w:w="3264"/>
        <w:gridCol w:w="2976"/>
      </w:tblGrid>
      <w:tr>
        <w:trPr>
          <w:tblHeader/>
        </w:trPr>
        <w:tc>
          <w:tcPr>
            <w:tcW w:w="3264" w:type="dxa"/>
            <w:tcBorders>
              <w:top w:val="single" w:sz="4" w:space="0" w:color="auto"/>
              <w:bottom w:val="single" w:sz="4" w:space="0" w:color="auto"/>
            </w:tcBorders>
          </w:tcPr>
          <w:p>
            <w:pPr>
              <w:pStyle w:val="TableNAm"/>
              <w:rPr>
                <w:b/>
                <w:bCs/>
                <w:sz w:val="20"/>
              </w:rPr>
            </w:pPr>
            <w:r>
              <w:rPr>
                <w:b/>
                <w:bCs/>
                <w:sz w:val="20"/>
              </w:rPr>
              <w:t>First Column — Offences</w:t>
            </w:r>
          </w:p>
        </w:tc>
        <w:tc>
          <w:tcPr>
            <w:tcW w:w="2976" w:type="dxa"/>
            <w:tcBorders>
              <w:top w:val="single" w:sz="4" w:space="0" w:color="auto"/>
              <w:bottom w:val="single" w:sz="4" w:space="0" w:color="auto"/>
            </w:tcBorders>
          </w:tcPr>
          <w:p>
            <w:pPr>
              <w:pStyle w:val="TableNAm"/>
              <w:rPr>
                <w:b/>
                <w:bCs/>
                <w:sz w:val="20"/>
              </w:rPr>
            </w:pPr>
            <w:r>
              <w:rPr>
                <w:b/>
                <w:bCs/>
                <w:sz w:val="20"/>
              </w:rPr>
              <w:t>Second Column — Punishments</w:t>
            </w:r>
          </w:p>
        </w:tc>
      </w:tr>
      <w:tr>
        <w:tc>
          <w:tcPr>
            <w:tcW w:w="3264" w:type="dxa"/>
          </w:tcPr>
          <w:p>
            <w:pPr>
              <w:pStyle w:val="TableNAm"/>
              <w:tabs>
                <w:tab w:val="clear" w:pos="567"/>
                <w:tab w:val="left" w:pos="252"/>
              </w:tabs>
              <w:ind w:left="252" w:hanging="252"/>
              <w:rPr>
                <w:sz w:val="20"/>
              </w:rPr>
            </w:pPr>
            <w:r>
              <w:rPr>
                <w:sz w:val="20"/>
              </w:rPr>
              <w:t>Falsely personating any person to secure a ballot paper to which the personator is not entitled or personating any other person for the purpose of voting.</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destroying or defacing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putting any ballot or other paper into the ballot box.</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Fraudulently taking any ballot paper out of any polling place.</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Forging or uttering, knowing the same to be forged,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In any polling place on polling day, or in any counting place, misconducting himself, or failing to obey the lawful directions of the presiding officer.</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Supplying ballot papers without authority.</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Unlawfully destroying, taking, opening, or otherwise interfering with ballot boxes or ballot papers.</w:t>
            </w:r>
          </w:p>
        </w:tc>
        <w:tc>
          <w:tcPr>
            <w:tcW w:w="2976" w:type="dxa"/>
          </w:tcPr>
          <w:p>
            <w:pPr>
              <w:pStyle w:val="TableNAm"/>
              <w:rPr>
                <w:sz w:val="20"/>
              </w:rPr>
            </w:pPr>
            <w:r>
              <w:rPr>
                <w:sz w:val="20"/>
              </w:rPr>
              <w:t>Imprisonment not exceeding 9 months.</w:t>
            </w:r>
          </w:p>
        </w:tc>
      </w:tr>
      <w:tr>
        <w:tc>
          <w:tcPr>
            <w:tcW w:w="3264" w:type="dxa"/>
          </w:tcPr>
          <w:p>
            <w:pPr>
              <w:pStyle w:val="TableNAm"/>
              <w:tabs>
                <w:tab w:val="clear" w:pos="567"/>
                <w:tab w:val="left" w:pos="252"/>
              </w:tabs>
              <w:ind w:left="252" w:hanging="252"/>
              <w:rPr>
                <w:sz w:val="20"/>
              </w:rPr>
            </w:pPr>
            <w:r>
              <w:rPr>
                <w:sz w:val="20"/>
              </w:rPr>
              <w:t>Voting more than once at the same election.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a false statement in any objection to any claim or to any name on the roll.</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Wagering on the result of any election.</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defacing, mutilating, destroying, or removing any notice, list, or other document affixed by any returning officer or by his authority.</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false statement in any claim as to any qualification required by section 17(1)(a) or (c).</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Signing as the claimant on a claim to be enrolled as an elector the name of any other person with or without the authority of such person.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Distributing any advertisement, handbill, or pamphlet published in contravention of section 187.</w:t>
            </w:r>
          </w:p>
        </w:tc>
        <w:tc>
          <w:tcPr>
            <w:tcW w:w="2976" w:type="dxa"/>
          </w:tcPr>
          <w:p>
            <w:pPr>
              <w:pStyle w:val="TableNAm"/>
              <w:rPr>
                <w:sz w:val="20"/>
              </w:rPr>
            </w:pPr>
            <w:r>
              <w:rPr>
                <w:sz w:val="20"/>
              </w:rPr>
              <w:t>Penalty not exceeding $1 000.</w:t>
            </w:r>
          </w:p>
        </w:tc>
      </w:tr>
      <w:tr>
        <w:tc>
          <w:tcPr>
            <w:tcW w:w="3264" w:type="dxa"/>
          </w:tcPr>
          <w:p>
            <w:pPr>
              <w:pStyle w:val="TableNAm"/>
              <w:keepNext/>
              <w:keepLines/>
              <w:tabs>
                <w:tab w:val="clear" w:pos="567"/>
                <w:tab w:val="left" w:pos="252"/>
              </w:tabs>
              <w:ind w:left="252" w:hanging="252"/>
              <w:rPr>
                <w:sz w:val="20"/>
              </w:rPr>
            </w:pPr>
            <w:r>
              <w:rPr>
                <w:sz w:val="20"/>
              </w:rPr>
              <w:t>The wearing or displaying by an officer or scrutineer in a polling place on polling day of any badge or emblem of a candidate or political party.</w:t>
            </w:r>
          </w:p>
        </w:tc>
        <w:tc>
          <w:tcPr>
            <w:tcW w:w="2976" w:type="dxa"/>
          </w:tcPr>
          <w:p>
            <w:pPr>
              <w:pStyle w:val="TableNAm"/>
              <w:keepNext/>
              <w:keepLines/>
              <w:rPr>
                <w:sz w:val="20"/>
              </w:rPr>
            </w:pPr>
            <w:r>
              <w:rPr>
                <w:sz w:val="20"/>
              </w:rPr>
              <w:t>Penalty not exceeding $50.</w:t>
            </w:r>
          </w:p>
        </w:tc>
      </w:tr>
      <w:tr>
        <w:tc>
          <w:tcPr>
            <w:tcW w:w="3264" w:type="dxa"/>
          </w:tcPr>
          <w:p>
            <w:pPr>
              <w:pStyle w:val="TableNAm"/>
              <w:tabs>
                <w:tab w:val="clear" w:pos="567"/>
                <w:tab w:val="left" w:pos="252"/>
              </w:tabs>
              <w:ind w:left="252" w:hanging="252"/>
              <w:rPr>
                <w:sz w:val="20"/>
              </w:rPr>
            </w:pPr>
            <w:r>
              <w:rPr>
                <w:sz w:val="20"/>
              </w:rPr>
              <w:t>During the polling at any election wilfully taking any ballot paper out of a polling place except to one of the voting compartments.</w:t>
            </w:r>
          </w:p>
        </w:tc>
        <w:tc>
          <w:tcPr>
            <w:tcW w:w="2976" w:type="dxa"/>
          </w:tcPr>
          <w:p>
            <w:pPr>
              <w:pStyle w:val="TableNAm"/>
              <w:rPr>
                <w:sz w:val="20"/>
              </w:rPr>
            </w:pPr>
            <w:r>
              <w:rPr>
                <w:sz w:val="20"/>
              </w:rPr>
              <w:t>Penalty not exceeding $1 000.</w:t>
            </w:r>
          </w:p>
        </w:tc>
      </w:tr>
      <w:tr>
        <w:tc>
          <w:tcPr>
            <w:tcW w:w="3264" w:type="dxa"/>
            <w:tcBorders>
              <w:bottom w:val="single" w:sz="4" w:space="0" w:color="auto"/>
            </w:tcBorders>
          </w:tcPr>
          <w:p>
            <w:pPr>
              <w:pStyle w:val="TableNAm"/>
              <w:keepNext/>
              <w:tabs>
                <w:tab w:val="clear" w:pos="567"/>
                <w:tab w:val="left" w:pos="252"/>
              </w:tabs>
              <w:ind w:left="252" w:hanging="252"/>
              <w:rPr>
                <w:sz w:val="20"/>
              </w:rPr>
            </w:pPr>
            <w:r>
              <w:rPr>
                <w:sz w:val="20"/>
              </w:rPr>
              <w:t>Any contravention of this Act for which no other punishment is provided.</w:t>
            </w:r>
          </w:p>
        </w:tc>
        <w:tc>
          <w:tcPr>
            <w:tcW w:w="2976" w:type="dxa"/>
            <w:tcBorders>
              <w:bottom w:val="single" w:sz="4" w:space="0" w:color="auto"/>
            </w:tcBorders>
          </w:tcPr>
          <w:p>
            <w:pPr>
              <w:pStyle w:val="TableNAm"/>
              <w:keepNext/>
              <w:rPr>
                <w:sz w:val="20"/>
              </w:rPr>
            </w:pPr>
            <w:r>
              <w:rPr>
                <w:sz w:val="20"/>
              </w:rPr>
              <w:t>Penalty not exceeding $1 000.</w:t>
            </w:r>
          </w:p>
        </w:tc>
      </w:tr>
    </w:tbl>
    <w:p>
      <w:pPr>
        <w:pStyle w:val="Footnotesection"/>
      </w:pPr>
      <w:r>
        <w:tab/>
        <w:t>[Section 190 amended by No. 5 of 1918 s. 4; No. 63 of 1948 s. 27; No. 57 of 1952 s. 13; No. 68 of 1964 s. 38; No. 113 of 1965 s. 8; No. 33 of 1967 s. 17; No. 39 of 1979 s. 27; No. 31 of 1982 s. 5; No. 9 of 1983 s. 23; No. 79 of 1987 s. 72; No. 78 of 1995 s. 147; No. 50 of 2003 s. 56(4); No. 74 of 2003 s. 47(3); No. 64 of 2006 s. 46.]</w:t>
      </w:r>
    </w:p>
    <w:p>
      <w:pPr>
        <w:pStyle w:val="Heading5"/>
        <w:rPr>
          <w:snapToGrid w:val="0"/>
        </w:rPr>
      </w:pPr>
      <w:bookmarkStart w:id="1269" w:name="_Toc402969574"/>
      <w:bookmarkStart w:id="1270" w:name="_Toc436058759"/>
      <w:bookmarkStart w:id="1271" w:name="_Toc416703390"/>
      <w:r>
        <w:rPr>
          <w:rStyle w:val="CharSectno"/>
        </w:rPr>
        <w:t>191</w:t>
      </w:r>
      <w:r>
        <w:rPr>
          <w:snapToGrid w:val="0"/>
        </w:rPr>
        <w:t>.</w:t>
      </w:r>
      <w:r>
        <w:rPr>
          <w:snapToGrid w:val="0"/>
        </w:rPr>
        <w:tab/>
        <w:t>False statement in electoral paper</w:t>
      </w:r>
      <w:bookmarkEnd w:id="1269"/>
      <w:bookmarkEnd w:id="1270"/>
      <w:bookmarkEnd w:id="1271"/>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rStyle w:val="CharDefText"/>
        </w:rPr>
        <w:t>electoral paper</w:t>
      </w:r>
      <w:r>
        <w:rPr>
          <w:snapToGrid w:val="0"/>
        </w:rPr>
        <w:t xml:space="preserve"> include any prescribed form.</w:t>
      </w:r>
    </w:p>
    <w:p>
      <w:pPr>
        <w:pStyle w:val="Footnotesection"/>
      </w:pPr>
      <w:r>
        <w:tab/>
        <w:t>[Section 191 inserted by No. 5 of 1918 s. 5; amended by No. 59 of 1919 s. 6; No. 113 of 1965 s. 8; No. 64 of 2006 s. 47.]</w:t>
      </w:r>
    </w:p>
    <w:p>
      <w:pPr>
        <w:pStyle w:val="Heading5"/>
        <w:rPr>
          <w:snapToGrid w:val="0"/>
        </w:rPr>
      </w:pPr>
      <w:bookmarkStart w:id="1272" w:name="_Toc402969575"/>
      <w:bookmarkStart w:id="1273" w:name="_Toc436058760"/>
      <w:bookmarkStart w:id="1274" w:name="_Toc416703391"/>
      <w:r>
        <w:rPr>
          <w:rStyle w:val="CharSectno"/>
        </w:rPr>
        <w:t>191A</w:t>
      </w:r>
      <w:r>
        <w:rPr>
          <w:snapToGrid w:val="0"/>
        </w:rPr>
        <w:t>.</w:t>
      </w:r>
      <w:r>
        <w:rPr>
          <w:snapToGrid w:val="0"/>
        </w:rPr>
        <w:tab/>
        <w:t>Misleading or deceptive publication etc.</w:t>
      </w:r>
      <w:bookmarkEnd w:id="1272"/>
      <w:bookmarkEnd w:id="1273"/>
      <w:bookmarkEnd w:id="1274"/>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w:t>
      </w:r>
    </w:p>
    <w:p>
      <w:pPr>
        <w:pStyle w:val="Defstart"/>
      </w:pPr>
      <w:r>
        <w:rPr>
          <w:b/>
        </w:rPr>
        <w:tab/>
      </w:r>
      <w:r>
        <w:rPr>
          <w:rStyle w:val="CharDefText"/>
        </w:rPr>
        <w:t>publish</w:t>
      </w:r>
      <w:r>
        <w:t xml:space="preserve"> includes publish by radio or television or by electronic communication;</w:t>
      </w:r>
    </w:p>
    <w:p>
      <w:pPr>
        <w:pStyle w:val="Defstart"/>
      </w:pPr>
      <w:r>
        <w:rPr>
          <w:b/>
        </w:rPr>
        <w:tab/>
      </w:r>
      <w:r>
        <w:rPr>
          <w:rStyle w:val="CharDefText"/>
        </w:rPr>
        <w:t>relevant period</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[Section 191A inserted by No. 79 of 1987 s. 73; amended by No. 36 of 2000 s. 21 and 80; No. 50 of 2003 s. 56(5).]</w:t>
      </w:r>
    </w:p>
    <w:p>
      <w:pPr>
        <w:pStyle w:val="Heading5"/>
        <w:rPr>
          <w:snapToGrid w:val="0"/>
        </w:rPr>
      </w:pPr>
      <w:bookmarkStart w:id="1275" w:name="_Toc402969576"/>
      <w:bookmarkStart w:id="1276" w:name="_Toc436058761"/>
      <w:bookmarkStart w:id="1277" w:name="_Toc416703392"/>
      <w:r>
        <w:rPr>
          <w:rStyle w:val="CharSectno"/>
        </w:rPr>
        <w:t>192</w:t>
      </w:r>
      <w:r>
        <w:rPr>
          <w:snapToGrid w:val="0"/>
        </w:rPr>
        <w:t>.</w:t>
      </w:r>
      <w:r>
        <w:rPr>
          <w:snapToGrid w:val="0"/>
        </w:rPr>
        <w:tab/>
        <w:t>Canvassing etc. in or near polling place</w:t>
      </w:r>
      <w:bookmarkEnd w:id="1275"/>
      <w:bookmarkEnd w:id="1276"/>
      <w:bookmarkEnd w:id="1277"/>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[Section 192 amended by No. 63 of 1948 s. 28; No. 59 of 1959 s. 14; No. 94 of 1972 s. 4; No. 39 of 1979 s. 28; No. 40 of 1987 s. 81; No. 79 of 1987 s. 74; No. 64 of 2006 s. 48.]</w:t>
      </w:r>
    </w:p>
    <w:p>
      <w:pPr>
        <w:pStyle w:val="Heading5"/>
        <w:rPr>
          <w:snapToGrid w:val="0"/>
        </w:rPr>
      </w:pPr>
      <w:bookmarkStart w:id="1278" w:name="_Toc402969577"/>
      <w:bookmarkStart w:id="1279" w:name="_Toc436058762"/>
      <w:bookmarkStart w:id="1280" w:name="_Toc416703393"/>
      <w:r>
        <w:rPr>
          <w:rStyle w:val="CharSectno"/>
        </w:rPr>
        <w:t>192A</w:t>
      </w:r>
      <w:r>
        <w:rPr>
          <w:snapToGrid w:val="0"/>
        </w:rPr>
        <w:t>.</w:t>
      </w:r>
      <w:r>
        <w:rPr>
          <w:snapToGrid w:val="0"/>
        </w:rPr>
        <w:tab/>
        <w:t>Loud speakers etc., use of during polling hours</w:t>
      </w:r>
      <w:bookmarkEnd w:id="1278"/>
      <w:bookmarkEnd w:id="1279"/>
      <w:bookmarkEnd w:id="1280"/>
    </w:p>
    <w:p>
      <w:pPr>
        <w:pStyle w:val="Subsection"/>
        <w:rPr>
          <w:snapToGrid w:val="0"/>
        </w:rPr>
      </w:pPr>
      <w:r>
        <w:rPr>
          <w:snapToGrid w:val="0"/>
        </w:rPr>
        <w:tab/>
      </w:r>
      <w:r>
        <w:rPr>
          <w:snapToGrid w:val="0"/>
        </w:rPr>
        <w:tab/>
        <w:t>During the hours of polling at any election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 xml:space="preserve">Penalty: </w:t>
      </w:r>
      <w:r>
        <w:t>$1 000.</w:t>
      </w:r>
    </w:p>
    <w:p>
      <w:pPr>
        <w:pStyle w:val="Footnotesection"/>
      </w:pPr>
      <w:r>
        <w:tab/>
        <w:t>[Section 192A inserted by No. 28 of 1970 s. 17; amended by No. 64 of 2006 s. 49.]</w:t>
      </w:r>
    </w:p>
    <w:p>
      <w:pPr>
        <w:pStyle w:val="Heading5"/>
        <w:rPr>
          <w:snapToGrid w:val="0"/>
        </w:rPr>
      </w:pPr>
      <w:bookmarkStart w:id="1281" w:name="_Toc402969578"/>
      <w:bookmarkStart w:id="1282" w:name="_Toc436058763"/>
      <w:bookmarkStart w:id="1283" w:name="_Toc416703394"/>
      <w:r>
        <w:rPr>
          <w:rStyle w:val="CharSectno"/>
        </w:rPr>
        <w:t>193</w:t>
      </w:r>
      <w:r>
        <w:rPr>
          <w:snapToGrid w:val="0"/>
        </w:rPr>
        <w:t>.</w:t>
      </w:r>
      <w:r>
        <w:rPr>
          <w:snapToGrid w:val="0"/>
        </w:rPr>
        <w:tab/>
        <w:t>Collecting etc. petitions etc. in polling places etc.</w:t>
      </w:r>
      <w:bookmarkEnd w:id="1281"/>
      <w:bookmarkEnd w:id="1282"/>
      <w:bookmarkEnd w:id="1283"/>
    </w:p>
    <w:p>
      <w:pPr>
        <w:pStyle w:val="Subsection"/>
        <w:rPr>
          <w:snapToGrid w:val="0"/>
        </w:rPr>
      </w:pPr>
      <w:r>
        <w:rPr>
          <w:snapToGrid w:val="0"/>
        </w:rPr>
        <w:tab/>
        <w:t>(1)</w:t>
      </w:r>
      <w:r>
        <w:rPr>
          <w:snapToGrid w:val="0"/>
        </w:rPr>
        <w:tab/>
        <w:t>On polling day, or on a day to which polling is adjourned, a person shall not in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rStyle w:val="CharDefText"/>
        </w:rPr>
        <w:t>polling place</w:t>
      </w:r>
      <w:r>
        <w:rPr>
          <w:snapToGrid w:val="0"/>
        </w:rPr>
        <w:t xml:space="preserve"> does not include a polling place appointed under section 100(1)(c).</w:t>
      </w:r>
    </w:p>
    <w:p>
      <w:pPr>
        <w:pStyle w:val="Footnotesection"/>
      </w:pPr>
      <w:r>
        <w:tab/>
        <w:t>[Section 193 inserted by No. 58 of 1988 s. 6.]</w:t>
      </w:r>
    </w:p>
    <w:p>
      <w:pPr>
        <w:pStyle w:val="Heading5"/>
        <w:rPr>
          <w:snapToGrid w:val="0"/>
        </w:rPr>
      </w:pPr>
      <w:bookmarkStart w:id="1284" w:name="_Toc402969579"/>
      <w:bookmarkStart w:id="1285" w:name="_Toc436058764"/>
      <w:bookmarkStart w:id="1286" w:name="_Toc416703395"/>
      <w:r>
        <w:rPr>
          <w:rStyle w:val="CharSectno"/>
        </w:rPr>
        <w:t>194</w:t>
      </w:r>
      <w:r>
        <w:rPr>
          <w:snapToGrid w:val="0"/>
        </w:rPr>
        <w:t>.</w:t>
      </w:r>
      <w:r>
        <w:rPr>
          <w:snapToGrid w:val="0"/>
        </w:rPr>
        <w:tab/>
        <w:t>Failure to transmit claim for enrolment</w:t>
      </w:r>
      <w:bookmarkEnd w:id="1284"/>
      <w:bookmarkEnd w:id="1285"/>
      <w:bookmarkEnd w:id="1286"/>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[Section 194 amended by No. 31 of 1982 s. 6; No. 9 of 1983 s. 25; No. 36 of 2000 s. 28(1).]</w:t>
      </w:r>
    </w:p>
    <w:p>
      <w:pPr>
        <w:pStyle w:val="Heading5"/>
        <w:rPr>
          <w:snapToGrid w:val="0"/>
        </w:rPr>
      </w:pPr>
      <w:bookmarkStart w:id="1287" w:name="_Toc402969580"/>
      <w:bookmarkStart w:id="1288" w:name="_Toc436058765"/>
      <w:bookmarkStart w:id="1289" w:name="_Toc416703396"/>
      <w:r>
        <w:rPr>
          <w:rStyle w:val="CharSectno"/>
        </w:rPr>
        <w:t>195</w:t>
      </w:r>
      <w:r>
        <w:rPr>
          <w:snapToGrid w:val="0"/>
        </w:rPr>
        <w:t>.</w:t>
      </w:r>
      <w:r>
        <w:rPr>
          <w:snapToGrid w:val="0"/>
        </w:rPr>
        <w:tab/>
        <w:t>Information for preparation of roll etc., not obeying requirement to provide</w:t>
      </w:r>
      <w:bookmarkEnd w:id="1287"/>
      <w:bookmarkEnd w:id="1288"/>
      <w:bookmarkEnd w:id="1289"/>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[Section 195 inserted by No. 59 of 1919 s. 4; amended by No. 113 of 1965 s. 8; No. 40 of 1987 s. 84; No. 36 of 2000 s. 28(2); No. 64 of 2006 s. 50.]</w:t>
      </w:r>
    </w:p>
    <w:p>
      <w:pPr>
        <w:pStyle w:val="Heading5"/>
        <w:rPr>
          <w:snapToGrid w:val="0"/>
        </w:rPr>
      </w:pPr>
      <w:bookmarkStart w:id="1290" w:name="_Toc402969581"/>
      <w:bookmarkStart w:id="1291" w:name="_Toc436058766"/>
      <w:bookmarkStart w:id="1292" w:name="_Toc416703397"/>
      <w:r>
        <w:rPr>
          <w:rStyle w:val="CharSectno"/>
        </w:rPr>
        <w:t>196</w:t>
      </w:r>
      <w:r>
        <w:rPr>
          <w:snapToGrid w:val="0"/>
        </w:rPr>
        <w:t>.</w:t>
      </w:r>
      <w:r>
        <w:rPr>
          <w:snapToGrid w:val="0"/>
        </w:rPr>
        <w:tab/>
        <w:t>Employer to allow employee leave of absence to vote</w:t>
      </w:r>
      <w:bookmarkEnd w:id="1290"/>
      <w:bookmarkEnd w:id="1291"/>
      <w:bookmarkEnd w:id="1292"/>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1293" w:name="_Toc402969582"/>
      <w:bookmarkStart w:id="1294" w:name="_Toc436058767"/>
      <w:bookmarkStart w:id="1295" w:name="_Toc416703398"/>
      <w:r>
        <w:rPr>
          <w:rStyle w:val="CharSectno"/>
        </w:rPr>
        <w:t>197</w:t>
      </w:r>
      <w:r>
        <w:rPr>
          <w:snapToGrid w:val="0"/>
        </w:rPr>
        <w:t>.</w:t>
      </w:r>
      <w:r>
        <w:rPr>
          <w:snapToGrid w:val="0"/>
        </w:rPr>
        <w:tab/>
        <w:t>Person misbehaving etc. may be removed from polling place</w:t>
      </w:r>
      <w:bookmarkEnd w:id="1293"/>
      <w:bookmarkEnd w:id="1294"/>
      <w:bookmarkEnd w:id="1295"/>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1296" w:name="_Toc402969583"/>
      <w:bookmarkStart w:id="1297" w:name="_Toc436058768"/>
      <w:bookmarkStart w:id="1298" w:name="_Toc416703399"/>
      <w:r>
        <w:rPr>
          <w:rStyle w:val="CharSectno"/>
        </w:rPr>
        <w:t>198</w:t>
      </w:r>
      <w:r>
        <w:rPr>
          <w:snapToGrid w:val="0"/>
        </w:rPr>
        <w:t>.</w:t>
      </w:r>
      <w:r>
        <w:rPr>
          <w:snapToGrid w:val="0"/>
        </w:rPr>
        <w:tab/>
        <w:t>Re-entering etc. polling place after being removed from</w:t>
      </w:r>
      <w:bookmarkEnd w:id="1296"/>
      <w:bookmarkEnd w:id="1297"/>
      <w:bookmarkEnd w:id="1298"/>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[Section 198 amended by No. 57 of 1952 s. 14.]</w:t>
      </w:r>
    </w:p>
    <w:p>
      <w:pPr>
        <w:pStyle w:val="Heading5"/>
        <w:rPr>
          <w:snapToGrid w:val="0"/>
        </w:rPr>
      </w:pPr>
      <w:bookmarkStart w:id="1299" w:name="_Toc402969584"/>
      <w:bookmarkStart w:id="1300" w:name="_Toc436058769"/>
      <w:bookmarkStart w:id="1301" w:name="_Toc416703400"/>
      <w:r>
        <w:rPr>
          <w:rStyle w:val="CharSectno"/>
        </w:rPr>
        <w:t>199</w:t>
      </w:r>
      <w:r>
        <w:rPr>
          <w:snapToGrid w:val="0"/>
        </w:rPr>
        <w:t>.</w:t>
      </w:r>
      <w:r>
        <w:rPr>
          <w:snapToGrid w:val="0"/>
        </w:rPr>
        <w:tab/>
        <w:t>Incurring unauthorised electoral expense on behalf of a candidate</w:t>
      </w:r>
      <w:bookmarkEnd w:id="1299"/>
      <w:bookmarkEnd w:id="1300"/>
      <w:bookmarkEnd w:id="1301"/>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1302" w:name="_Toc402969585"/>
      <w:bookmarkStart w:id="1303" w:name="_Toc436058770"/>
      <w:bookmarkStart w:id="1304" w:name="_Toc416703401"/>
      <w:r>
        <w:rPr>
          <w:rStyle w:val="CharSectno"/>
        </w:rPr>
        <w:t>199A</w:t>
      </w:r>
      <w:r>
        <w:rPr>
          <w:snapToGrid w:val="0"/>
        </w:rPr>
        <w:t>.</w:t>
      </w:r>
      <w:r>
        <w:rPr>
          <w:snapToGrid w:val="0"/>
        </w:rPr>
        <w:tab/>
        <w:t>Interfering with political liberty</w:t>
      </w:r>
      <w:bookmarkEnd w:id="1302"/>
      <w:bookmarkEnd w:id="1303"/>
      <w:bookmarkEnd w:id="1304"/>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w:t>
      </w:r>
    </w:p>
    <w:p>
      <w:pPr>
        <w:pStyle w:val="Defstart"/>
        <w:keepNext/>
      </w:pPr>
      <w:r>
        <w:tab/>
      </w:r>
      <w:r>
        <w:rPr>
          <w:rStyle w:val="CharDefText"/>
        </w:rPr>
        <w:t>political gift</w:t>
      </w:r>
      <w:r>
        <w:t xml:space="preserve"> means a gift to —</w:t>
      </w:r>
    </w:p>
    <w:p>
      <w:pPr>
        <w:pStyle w:val="Defpara"/>
      </w:pPr>
      <w:r>
        <w:tab/>
        <w:t>(a)</w:t>
      </w:r>
      <w:r>
        <w:tab/>
        <w:t>a political party or an associated entity within the meaning of Part VI; or</w:t>
      </w:r>
    </w:p>
    <w:p>
      <w:pPr>
        <w:pStyle w:val="Defpara"/>
      </w:pPr>
      <w:r>
        <w:tab/>
        <w:t>(b)</w:t>
      </w:r>
      <w:r>
        <w:tab/>
        <w:t>a candidate or group in an election; or</w:t>
      </w:r>
    </w:p>
    <w:p>
      <w:pPr>
        <w:pStyle w:val="Defpara"/>
        <w:keepNext/>
      </w:pPr>
      <w:r>
        <w:tab/>
        <w:t>(c)</w:t>
      </w:r>
      <w:r>
        <w:tab/>
        <w:t>a person to whom section 175Q applies.</w:t>
      </w:r>
    </w:p>
    <w:p>
      <w:pPr>
        <w:pStyle w:val="Footnotesection"/>
        <w:spacing w:before="100"/>
        <w:ind w:left="890" w:hanging="890"/>
      </w:pPr>
      <w:r>
        <w:tab/>
        <w:t>[Section 199A inserted by No. 75 of 1992 s. 7; amended by No. 50 of 2003 s. 56(6).]</w:t>
      </w:r>
    </w:p>
    <w:p>
      <w:pPr>
        <w:pStyle w:val="Heading5"/>
        <w:spacing w:before="180"/>
        <w:rPr>
          <w:snapToGrid w:val="0"/>
        </w:rPr>
      </w:pPr>
      <w:bookmarkStart w:id="1305" w:name="_Toc402969586"/>
      <w:bookmarkStart w:id="1306" w:name="_Toc436058771"/>
      <w:bookmarkStart w:id="1307" w:name="_Toc416703402"/>
      <w:r>
        <w:rPr>
          <w:rStyle w:val="CharSectno"/>
        </w:rPr>
        <w:t>200</w:t>
      </w:r>
      <w:r>
        <w:rPr>
          <w:snapToGrid w:val="0"/>
        </w:rPr>
        <w:t>.</w:t>
      </w:r>
      <w:r>
        <w:rPr>
          <w:snapToGrid w:val="0"/>
        </w:rPr>
        <w:tab/>
      </w:r>
      <w:smartTag w:uri="urn:schemas-microsoft-com:office:smarttags" w:element="State">
        <w:r>
          <w:rPr>
            <w:snapToGrid w:val="0"/>
          </w:rPr>
          <w:t>Ill</w:t>
        </w:r>
      </w:smartTag>
      <w:r>
        <w:rPr>
          <w:snapToGrid w:val="0"/>
        </w:rPr>
        <w:t xml:space="preserve">egal practice committed </w:t>
      </w:r>
      <w:smartTag w:uri="urn:schemas-microsoft-com:office:smarttags" w:element="State">
        <w:smartTag w:uri="urn:schemas-microsoft-com:office:smarttags" w:element="place">
          <w:r>
            <w:rPr>
              <w:snapToGrid w:val="0"/>
            </w:rPr>
            <w:t>ind</w:t>
          </w:r>
        </w:smartTag>
      </w:smartTag>
      <w:r>
        <w:rPr>
          <w:snapToGrid w:val="0"/>
        </w:rPr>
        <w:t>irectly etc., liability for</w:t>
      </w:r>
      <w:bookmarkEnd w:id="1305"/>
      <w:bookmarkEnd w:id="1306"/>
      <w:bookmarkEnd w:id="1307"/>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1308" w:name="_Toc402969587"/>
      <w:bookmarkStart w:id="1309" w:name="_Toc436058772"/>
      <w:bookmarkStart w:id="1310" w:name="_Toc416703403"/>
      <w:r>
        <w:rPr>
          <w:rStyle w:val="CharSectno"/>
        </w:rPr>
        <w:t>201</w:t>
      </w:r>
      <w:r>
        <w:rPr>
          <w:snapToGrid w:val="0"/>
        </w:rPr>
        <w:t>.</w:t>
      </w:r>
      <w:r>
        <w:rPr>
          <w:snapToGrid w:val="0"/>
        </w:rPr>
        <w:tab/>
        <w:t>Attempt to commit offence</w:t>
      </w:r>
      <w:bookmarkEnd w:id="1308"/>
      <w:bookmarkEnd w:id="1309"/>
      <w:bookmarkEnd w:id="1310"/>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1311" w:name="_Toc402969588"/>
      <w:bookmarkStart w:id="1312" w:name="_Toc436058773"/>
      <w:bookmarkStart w:id="1313" w:name="_Toc416703404"/>
      <w:r>
        <w:rPr>
          <w:rStyle w:val="CharSectno"/>
        </w:rPr>
        <w:t>202</w:t>
      </w:r>
      <w:r>
        <w:rPr>
          <w:snapToGrid w:val="0"/>
        </w:rPr>
        <w:t>.</w:t>
      </w:r>
      <w:r>
        <w:rPr>
          <w:snapToGrid w:val="0"/>
        </w:rPr>
        <w:tab/>
        <w:t>Evidentiary provision</w:t>
      </w:r>
      <w:bookmarkEnd w:id="1311"/>
      <w:bookmarkEnd w:id="1312"/>
      <w:bookmarkEnd w:id="1313"/>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[Section 202 amended by No. 40 of 1987 s. 84.]</w:t>
      </w:r>
    </w:p>
    <w:p>
      <w:pPr>
        <w:pStyle w:val="Ednotesection"/>
        <w:spacing w:before="180"/>
        <w:ind w:left="890" w:hanging="890"/>
      </w:pPr>
      <w:r>
        <w:t>[</w:t>
      </w:r>
      <w:r>
        <w:rPr>
          <w:b/>
        </w:rPr>
        <w:t>203.</w:t>
      </w:r>
      <w:r>
        <w:tab/>
        <w:t>Deleted by No. 51 of 1992 s. 16(4).]</w:t>
      </w:r>
    </w:p>
    <w:p>
      <w:pPr>
        <w:pStyle w:val="Heading5"/>
        <w:spacing w:before="180"/>
        <w:rPr>
          <w:snapToGrid w:val="0"/>
        </w:rPr>
      </w:pPr>
      <w:bookmarkStart w:id="1314" w:name="_Toc402969589"/>
      <w:bookmarkStart w:id="1315" w:name="_Toc436058774"/>
      <w:bookmarkStart w:id="1316" w:name="_Toc416703405"/>
      <w:r>
        <w:rPr>
          <w:rStyle w:val="CharSectno"/>
        </w:rPr>
        <w:t>204</w:t>
      </w:r>
      <w:r>
        <w:rPr>
          <w:snapToGrid w:val="0"/>
        </w:rPr>
        <w:t>.</w:t>
      </w:r>
      <w:r>
        <w:rPr>
          <w:snapToGrid w:val="0"/>
        </w:rPr>
        <w:tab/>
        <w:t>Crimes, which are</w:t>
      </w:r>
      <w:bookmarkEnd w:id="1314"/>
      <w:bookmarkEnd w:id="1315"/>
      <w:bookmarkEnd w:id="1316"/>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1317" w:name="_Toc402969590"/>
      <w:bookmarkStart w:id="1318" w:name="_Toc436058775"/>
      <w:bookmarkStart w:id="1319" w:name="_Toc416703406"/>
      <w:r>
        <w:rPr>
          <w:rStyle w:val="CharSectno"/>
        </w:rPr>
        <w:t>205</w:t>
      </w:r>
      <w:r>
        <w:rPr>
          <w:snapToGrid w:val="0"/>
        </w:rPr>
        <w:t>.</w:t>
      </w:r>
      <w:r>
        <w:rPr>
          <w:snapToGrid w:val="0"/>
        </w:rPr>
        <w:tab/>
        <w:t>Summary offences; time limit for prosecutions</w:t>
      </w:r>
      <w:bookmarkEnd w:id="1317"/>
      <w:bookmarkEnd w:id="1318"/>
      <w:bookmarkEnd w:id="1319"/>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[Section 205 amended by No. 63 of 1948 s. 29; No. 4 of 2004 s. 58; No. 84 of 2004 s. 80.]</w:t>
      </w:r>
    </w:p>
    <w:p>
      <w:pPr>
        <w:pStyle w:val="Heading5"/>
        <w:rPr>
          <w:snapToGrid w:val="0"/>
        </w:rPr>
      </w:pPr>
      <w:bookmarkStart w:id="1320" w:name="_Toc402969591"/>
      <w:bookmarkStart w:id="1321" w:name="_Toc436058776"/>
      <w:bookmarkStart w:id="1322" w:name="_Toc416703407"/>
      <w:r>
        <w:rPr>
          <w:rStyle w:val="CharSectno"/>
        </w:rPr>
        <w:t>206</w:t>
      </w:r>
      <w:r>
        <w:rPr>
          <w:snapToGrid w:val="0"/>
        </w:rPr>
        <w:t>.</w:t>
      </w:r>
      <w:r>
        <w:rPr>
          <w:snapToGrid w:val="0"/>
        </w:rPr>
        <w:tab/>
      </w:r>
      <w:r>
        <w:rPr>
          <w:i/>
          <w:snapToGrid w:val="0"/>
        </w:rPr>
        <w:t>The Criminal Code</w:t>
      </w:r>
      <w:r>
        <w:rPr>
          <w:snapToGrid w:val="0"/>
        </w:rPr>
        <w:t xml:space="preserve"> Ch. XIV not to apply to parliamentary elections</w:t>
      </w:r>
      <w:bookmarkEnd w:id="1320"/>
      <w:bookmarkEnd w:id="1321"/>
      <w:bookmarkEnd w:id="1322"/>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1323" w:name="_Toc402969592"/>
      <w:bookmarkStart w:id="1324" w:name="_Toc416703024"/>
      <w:bookmarkStart w:id="1325" w:name="_Toc416703408"/>
      <w:bookmarkStart w:id="1326" w:name="_Toc435714660"/>
      <w:bookmarkStart w:id="1327" w:name="_Toc436057775"/>
      <w:bookmarkStart w:id="1328" w:name="_Toc436058163"/>
      <w:bookmarkStart w:id="1329" w:name="_Toc436058548"/>
      <w:bookmarkStart w:id="1330" w:name="_Toc436058777"/>
      <w:r>
        <w:rPr>
          <w:rStyle w:val="CharPartNo"/>
        </w:rPr>
        <w:t>Part VIII</w:t>
      </w:r>
      <w:r>
        <w:rPr>
          <w:rStyle w:val="CharDivNo"/>
        </w:rPr>
        <w:t> </w:t>
      </w:r>
      <w:r>
        <w:t>—</w:t>
      </w:r>
      <w:r>
        <w:rPr>
          <w:rStyle w:val="CharDivText"/>
        </w:rPr>
        <w:t> </w:t>
      </w:r>
      <w:r>
        <w:rPr>
          <w:rStyle w:val="CharPartText"/>
        </w:rPr>
        <w:t>Miscellaneous</w:t>
      </w:r>
      <w:bookmarkEnd w:id="1323"/>
      <w:bookmarkEnd w:id="1324"/>
      <w:bookmarkEnd w:id="1325"/>
      <w:bookmarkEnd w:id="1326"/>
      <w:bookmarkEnd w:id="1327"/>
      <w:bookmarkEnd w:id="1328"/>
      <w:bookmarkEnd w:id="1329"/>
      <w:bookmarkEnd w:id="1330"/>
    </w:p>
    <w:p>
      <w:pPr>
        <w:pStyle w:val="Heading5"/>
        <w:rPr>
          <w:snapToGrid w:val="0"/>
        </w:rPr>
      </w:pPr>
      <w:bookmarkStart w:id="1331" w:name="_Toc402969593"/>
      <w:bookmarkStart w:id="1332" w:name="_Toc436058778"/>
      <w:bookmarkStart w:id="1333" w:name="_Toc416703409"/>
      <w:r>
        <w:rPr>
          <w:rStyle w:val="CharSectno"/>
        </w:rPr>
        <w:t>207</w:t>
      </w:r>
      <w:r>
        <w:rPr>
          <w:snapToGrid w:val="0"/>
        </w:rPr>
        <w:t>.</w:t>
      </w:r>
      <w:r>
        <w:rPr>
          <w:snapToGrid w:val="0"/>
        </w:rPr>
        <w:tab/>
        <w:t>Who may witness signatures and take declarations</w:t>
      </w:r>
      <w:bookmarkEnd w:id="1331"/>
      <w:bookmarkEnd w:id="1332"/>
      <w:bookmarkEnd w:id="1333"/>
    </w:p>
    <w:p>
      <w:pPr>
        <w:pStyle w:val="Subsection"/>
        <w:spacing w:before="140"/>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spacing w:before="140"/>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spacing w:before="140"/>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spacing w:before="100"/>
        <w:ind w:left="890" w:hanging="890"/>
      </w:pPr>
      <w:r>
        <w:tab/>
        <w:t>[Section 207 inserted by No. 9 of 1983 s. 26.]</w:t>
      </w:r>
    </w:p>
    <w:p>
      <w:pPr>
        <w:pStyle w:val="Heading5"/>
        <w:rPr>
          <w:snapToGrid w:val="0"/>
        </w:rPr>
      </w:pPr>
      <w:bookmarkStart w:id="1334" w:name="_Toc402969594"/>
      <w:bookmarkStart w:id="1335" w:name="_Toc436058779"/>
      <w:bookmarkStart w:id="1336" w:name="_Toc416703410"/>
      <w:r>
        <w:rPr>
          <w:rStyle w:val="CharSectno"/>
        </w:rPr>
        <w:t>208</w:t>
      </w:r>
      <w:r>
        <w:rPr>
          <w:snapToGrid w:val="0"/>
        </w:rPr>
        <w:t>.</w:t>
      </w:r>
      <w:r>
        <w:rPr>
          <w:snapToGrid w:val="0"/>
        </w:rPr>
        <w:tab/>
        <w:t>Notices, service of</w:t>
      </w:r>
      <w:bookmarkEnd w:id="1334"/>
      <w:bookmarkEnd w:id="1335"/>
      <w:bookmarkEnd w:id="1336"/>
    </w:p>
    <w:p>
      <w:pPr>
        <w:pStyle w:val="Subsection"/>
        <w:spacing w:before="140"/>
        <w:rPr>
          <w:snapToGrid w:val="0"/>
        </w:rPr>
      </w:pPr>
      <w:r>
        <w:rPr>
          <w:snapToGrid w:val="0"/>
        </w:rPr>
        <w:tab/>
      </w:r>
      <w:r>
        <w:rPr>
          <w:snapToGrid w:val="0"/>
        </w:rPr>
        <w:tab/>
      </w:r>
      <w:r>
        <w:t xml:space="preserve">Without limiting the </w:t>
      </w:r>
      <w:r>
        <w:rPr>
          <w:i/>
        </w:rPr>
        <w:t>Interpretation Act 1984</w:t>
      </w:r>
      <w:r>
        <w:t xml:space="preserve"> sections 75 and 76, </w:t>
      </w:r>
      <w:r>
        <w:rPr>
          <w:snapToGrid w:val="0"/>
        </w:rPr>
        <w:t>where any notice or notification is required to be served on, or given or sent to, any person under this Act, the same may be posted to him as a letter addressed to him —</w:t>
      </w:r>
    </w:p>
    <w:p>
      <w:pPr>
        <w:pStyle w:val="Indenta"/>
        <w:spacing w:before="60"/>
        <w:rPr>
          <w:snapToGrid w:val="0"/>
        </w:rPr>
      </w:pPr>
      <w:r>
        <w:rPr>
          <w:snapToGrid w:val="0"/>
        </w:rPr>
        <w:tab/>
        <w:t>(a)</w:t>
      </w:r>
      <w:r>
        <w:rPr>
          <w:snapToGrid w:val="0"/>
        </w:rPr>
        <w:tab/>
        <w:t>at the address shown for him in the roll; or</w:t>
      </w:r>
    </w:p>
    <w:p>
      <w:pPr>
        <w:pStyle w:val="Indenta"/>
        <w:spacing w:before="60"/>
        <w:rPr>
          <w:snapToGrid w:val="0"/>
        </w:rPr>
      </w:pPr>
      <w:r>
        <w:rPr>
          <w:snapToGrid w:val="0"/>
        </w:rPr>
        <w:tab/>
        <w:t>(b)</w:t>
      </w:r>
      <w:r>
        <w:rPr>
          <w:snapToGrid w:val="0"/>
        </w:rPr>
        <w:tab/>
        <w:t>if the person has notified a postal address to the Electoral Commissioner, at that postal address.</w:t>
      </w:r>
    </w:p>
    <w:p>
      <w:pPr>
        <w:pStyle w:val="Footnotesection"/>
        <w:spacing w:before="100"/>
        <w:ind w:left="890" w:hanging="890"/>
      </w:pPr>
      <w:r>
        <w:tab/>
        <w:t>[Section 208 inserted by No. 9 of 1983 s. 27; amended by No. 40 of 1987 s. 84; No. 36 of 2000 s. 28(1); No. 35 of 2012 s. 32.]</w:t>
      </w:r>
    </w:p>
    <w:p>
      <w:pPr>
        <w:pStyle w:val="Heading5"/>
        <w:rPr>
          <w:snapToGrid w:val="0"/>
        </w:rPr>
      </w:pPr>
      <w:bookmarkStart w:id="1337" w:name="_Toc402969595"/>
      <w:bookmarkStart w:id="1338" w:name="_Toc436058780"/>
      <w:bookmarkStart w:id="1339" w:name="_Toc416703411"/>
      <w:r>
        <w:rPr>
          <w:rStyle w:val="CharSectno"/>
        </w:rPr>
        <w:t>209</w:t>
      </w:r>
      <w:r>
        <w:rPr>
          <w:snapToGrid w:val="0"/>
        </w:rPr>
        <w:t>.</w:t>
      </w:r>
      <w:r>
        <w:rPr>
          <w:snapToGrid w:val="0"/>
        </w:rPr>
        <w:tab/>
        <w:t>Electoral papers sent by post, deemed service of</w:t>
      </w:r>
      <w:bookmarkEnd w:id="1337"/>
      <w:bookmarkEnd w:id="1338"/>
      <w:bookmarkEnd w:id="1339"/>
    </w:p>
    <w:p>
      <w:pPr>
        <w:pStyle w:val="Subsection"/>
        <w:spacing w:before="140"/>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spacing w:before="140"/>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1340" w:name="_Toc402969596"/>
      <w:bookmarkStart w:id="1341" w:name="_Toc436058781"/>
      <w:bookmarkStart w:id="1342" w:name="_Toc416703412"/>
      <w:r>
        <w:rPr>
          <w:rStyle w:val="CharSectno"/>
        </w:rPr>
        <w:t>210</w:t>
      </w:r>
      <w:r>
        <w:t>.</w:t>
      </w:r>
      <w:r>
        <w:tab/>
        <w:t>Electronic communication of electoral matter permitted</w:t>
      </w:r>
      <w:bookmarkEnd w:id="1340"/>
      <w:bookmarkEnd w:id="1341"/>
      <w:bookmarkEnd w:id="1342"/>
    </w:p>
    <w:p>
      <w:pPr>
        <w:pStyle w:val="Subsection"/>
        <w:spacing w:before="140"/>
      </w:pPr>
      <w:r>
        <w:tab/>
        <w:t>(1)</w:t>
      </w:r>
      <w:r>
        <w:tab/>
        <w:t>If this Act provides for electoral matter to be transmitted by post, the matter may be transmitted by electronic means if it is practicable to do so.</w:t>
      </w:r>
    </w:p>
    <w:p>
      <w:pPr>
        <w:pStyle w:val="Subsection"/>
        <w:spacing w:before="140"/>
      </w:pPr>
      <w:r>
        <w:tab/>
        <w:t>(2)</w:t>
      </w:r>
      <w:r>
        <w:tab/>
        <w:t>Communications under this Act between officers may be transmitted by electronic means in any case.</w:t>
      </w:r>
    </w:p>
    <w:p>
      <w:pPr>
        <w:pStyle w:val="Footnotesection"/>
      </w:pPr>
      <w:r>
        <w:tab/>
        <w:t>[Section 210 inserted by No. 36 of 2000 s. 71; amended by No. 64 of 2006 s. 51.]</w:t>
      </w:r>
    </w:p>
    <w:p>
      <w:pPr>
        <w:pStyle w:val="Heading5"/>
      </w:pPr>
      <w:bookmarkStart w:id="1343" w:name="_Toc402969597"/>
      <w:bookmarkStart w:id="1344" w:name="_Toc436058782"/>
      <w:bookmarkStart w:id="1345" w:name="_Toc416703413"/>
      <w:r>
        <w:rPr>
          <w:rStyle w:val="CharSectno"/>
        </w:rPr>
        <w:t>211A</w:t>
      </w:r>
      <w:r>
        <w:t>.</w:t>
      </w:r>
      <w:r>
        <w:tab/>
        <w:t>Certain documents may be transmitted electronically</w:t>
      </w:r>
      <w:bookmarkEnd w:id="1343"/>
      <w:bookmarkEnd w:id="1344"/>
      <w:bookmarkEnd w:id="1345"/>
    </w:p>
    <w:p>
      <w:pPr>
        <w:pStyle w:val="Subsection"/>
        <w:spacing w:before="140"/>
      </w:pPr>
      <w:r>
        <w:tab/>
        <w:t>(1)</w:t>
      </w:r>
      <w:r>
        <w:tab/>
        <w:t>In this section —</w:t>
      </w:r>
    </w:p>
    <w:p>
      <w:pPr>
        <w:pStyle w:val="Defstart"/>
      </w:pPr>
      <w:r>
        <w:tab/>
      </w:r>
      <w:r>
        <w:rPr>
          <w:rStyle w:val="CharDefText"/>
        </w:rPr>
        <w:t>certain document</w:t>
      </w:r>
      <w:r>
        <w:t xml:space="preserve"> means a claim, nomination, application, notice, objection or other communication that is required or permitted to be transmitted to the Electoral Commissioner or any other officer under —</w:t>
      </w:r>
    </w:p>
    <w:p>
      <w:pPr>
        <w:pStyle w:val="Indenta"/>
        <w:spacing w:before="60"/>
      </w:pPr>
      <w:r>
        <w:tab/>
        <w:t>(a)</w:t>
      </w:r>
      <w:r>
        <w:tab/>
        <w:t>Part IIIA, IV or VI; or</w:t>
      </w:r>
    </w:p>
    <w:p>
      <w:pPr>
        <w:pStyle w:val="Indenta"/>
        <w:spacing w:before="60"/>
      </w:pPr>
      <w:r>
        <w:tab/>
        <w:t>(b)</w:t>
      </w:r>
      <w:r>
        <w:tab/>
        <w:t>any other provision of the Act as is prescribed;</w:t>
      </w:r>
    </w:p>
    <w:p>
      <w:pPr>
        <w:pStyle w:val="Defstart"/>
      </w:pPr>
      <w:r>
        <w:tab/>
      </w:r>
      <w:r>
        <w:rPr>
          <w:rStyle w:val="CharDefText"/>
        </w:rPr>
        <w:t>transmitted</w:t>
      </w:r>
      <w:r>
        <w:t xml:space="preserve"> includes sent, given, made, forwarded by post, delivered to or lodged with.</w:t>
      </w:r>
    </w:p>
    <w:p>
      <w:pPr>
        <w:pStyle w:val="Subsection"/>
        <w:spacing w:before="140"/>
      </w:pPr>
      <w:r>
        <w:tab/>
        <w:t>(2)</w:t>
      </w:r>
      <w:r>
        <w:tab/>
        <w:t>If the Electoral Commissioner has established procedures for the electronic transmission and recording of data for certain documents, or a case or class of cases of such documents then, despite anything else in this Act, a document transmitted in accordance with those procedures is to be taken to be transmitted under this Act.</w:t>
      </w:r>
    </w:p>
    <w:p>
      <w:pPr>
        <w:pStyle w:val="Subsection"/>
        <w:spacing w:before="140"/>
      </w:pPr>
      <w:r>
        <w:tab/>
        <w:t>(3)</w:t>
      </w:r>
      <w:r>
        <w:tab/>
        <w:t>If, under this Act, a certain document is required to be signed by a person, then, despite anything else in this Act, that requirement is to be taken to be satisfied in respect of an electronically transmitted document if procedures established under subsection (2) by the Electoral Commissioner include a method to be used to —</w:t>
      </w:r>
    </w:p>
    <w:p>
      <w:pPr>
        <w:pStyle w:val="Indenta"/>
        <w:spacing w:before="60"/>
      </w:pPr>
      <w:r>
        <w:tab/>
        <w:t>(a)</w:t>
      </w:r>
      <w:r>
        <w:tab/>
        <w:t>identify the person transmitting the document; and</w:t>
      </w:r>
    </w:p>
    <w:p>
      <w:pPr>
        <w:pStyle w:val="Indenta"/>
        <w:spacing w:before="60"/>
      </w:pPr>
      <w:r>
        <w:tab/>
        <w:t>(b)</w:t>
      </w:r>
      <w:r>
        <w:tab/>
        <w:t>indicate the person’s intention in respect of the information communicated in the document,</w:t>
      </w:r>
    </w:p>
    <w:p>
      <w:pPr>
        <w:pStyle w:val="Subsection"/>
        <w:spacing w:before="120"/>
      </w:pPr>
      <w:r>
        <w:tab/>
      </w:r>
      <w:r>
        <w:tab/>
        <w:t>and that method is complied with.</w:t>
      </w:r>
    </w:p>
    <w:p>
      <w:pPr>
        <w:pStyle w:val="Footnotesection"/>
        <w:spacing w:before="100"/>
        <w:ind w:left="890" w:hanging="890"/>
      </w:pPr>
      <w:r>
        <w:tab/>
        <w:t>[Section 211A inserted by No. 35 of 2012 s. 6.]</w:t>
      </w:r>
    </w:p>
    <w:p>
      <w:pPr>
        <w:pStyle w:val="Heading5"/>
        <w:spacing w:before="260"/>
        <w:rPr>
          <w:snapToGrid w:val="0"/>
        </w:rPr>
      </w:pPr>
      <w:bookmarkStart w:id="1346" w:name="_Toc402969598"/>
      <w:bookmarkStart w:id="1347" w:name="_Toc436058783"/>
      <w:bookmarkStart w:id="1348" w:name="_Toc416703414"/>
      <w:r>
        <w:rPr>
          <w:rStyle w:val="CharSectno"/>
        </w:rPr>
        <w:t>211</w:t>
      </w:r>
      <w:r>
        <w:rPr>
          <w:snapToGrid w:val="0"/>
        </w:rPr>
        <w:t>.</w:t>
      </w:r>
      <w:r>
        <w:rPr>
          <w:snapToGrid w:val="0"/>
        </w:rPr>
        <w:tab/>
        <w:t>Person unable to write may make mark etc.</w:t>
      </w:r>
      <w:bookmarkEnd w:id="1346"/>
      <w:bookmarkEnd w:id="1347"/>
      <w:bookmarkEnd w:id="1348"/>
    </w:p>
    <w:p>
      <w:pPr>
        <w:pStyle w:val="Subsection"/>
        <w:spacing w:before="150"/>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spacing w:before="150"/>
        <w:rPr>
          <w:snapToGrid w:val="0"/>
        </w:rPr>
      </w:pPr>
      <w:r>
        <w:rPr>
          <w:snapToGrid w:val="0"/>
        </w:rPr>
        <w:tab/>
        <w:t>(2)</w:t>
      </w:r>
      <w:r>
        <w:rPr>
          <w:snapToGrid w:val="0"/>
        </w:rPr>
        <w:tab/>
        <w:t>Where a person is required by this Act —</w:t>
      </w:r>
    </w:p>
    <w:p>
      <w:pPr>
        <w:pStyle w:val="Indenta"/>
        <w:spacing w:before="60"/>
        <w:rPr>
          <w:snapToGrid w:val="0"/>
        </w:rPr>
      </w:pPr>
      <w:r>
        <w:rPr>
          <w:snapToGrid w:val="0"/>
        </w:rPr>
        <w:tab/>
        <w:t>(a)</w:t>
      </w:r>
      <w:r>
        <w:rPr>
          <w:snapToGrid w:val="0"/>
        </w:rPr>
        <w:tab/>
        <w:t>to sign his name; or</w:t>
      </w:r>
    </w:p>
    <w:p>
      <w:pPr>
        <w:pStyle w:val="Indenta"/>
        <w:spacing w:before="60"/>
        <w:rPr>
          <w:snapToGrid w:val="0"/>
        </w:rPr>
      </w:pPr>
      <w:r>
        <w:rPr>
          <w:snapToGrid w:val="0"/>
        </w:rPr>
        <w:tab/>
        <w:t>(b)</w:t>
      </w:r>
      <w:r>
        <w:rPr>
          <w:snapToGrid w:val="0"/>
        </w:rPr>
        <w:tab/>
        <w:t>make his distinguishing mark,</w:t>
      </w:r>
    </w:p>
    <w:p>
      <w:pPr>
        <w:pStyle w:val="Subsection"/>
        <w:spacing w:before="12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spacing w:before="150"/>
        <w:rPr>
          <w:snapToGrid w:val="0"/>
        </w:rPr>
      </w:pPr>
      <w:r>
        <w:rPr>
          <w:snapToGrid w:val="0"/>
        </w:rPr>
        <w:tab/>
        <w:t>(3)</w:t>
      </w:r>
      <w:r>
        <w:rPr>
          <w:snapToGrid w:val="0"/>
        </w:rPr>
        <w:tab/>
        <w:t>A certificate referred to in subsection (2) shall be attached to the document to which it relates.</w:t>
      </w:r>
    </w:p>
    <w:p>
      <w:pPr>
        <w:pStyle w:val="Subsection"/>
        <w:spacing w:before="150"/>
        <w:rPr>
          <w:snapToGrid w:val="0"/>
        </w:rPr>
      </w:pPr>
      <w:r>
        <w:tab/>
        <w:t>(4)</w:t>
      </w:r>
      <w:r>
        <w:tab/>
        <w:t>A certificate referred to in subsection (2) is not required in relation to a declaration completed under section 92(5)(a).</w:t>
      </w:r>
    </w:p>
    <w:p>
      <w:pPr>
        <w:pStyle w:val="Footnotesection"/>
        <w:spacing w:before="100"/>
        <w:ind w:left="890" w:hanging="890"/>
      </w:pPr>
      <w:r>
        <w:tab/>
        <w:t>[Section 211 amended by No. 44 of 1911 s. 39; No. 68 of 1964 s. 39; No. 31 of 1982 s. 7; No. 9 of 1983 s. 28; No. 79 of 1987 s. 75; No. 36 of 2000 s. 47.]</w:t>
      </w:r>
    </w:p>
    <w:p>
      <w:pPr>
        <w:pStyle w:val="Heading5"/>
        <w:rPr>
          <w:snapToGrid w:val="0"/>
        </w:rPr>
      </w:pPr>
      <w:bookmarkStart w:id="1349" w:name="_Toc402969599"/>
      <w:bookmarkStart w:id="1350" w:name="_Toc436058784"/>
      <w:bookmarkStart w:id="1351" w:name="_Toc416703415"/>
      <w:r>
        <w:rPr>
          <w:rStyle w:val="CharSectno"/>
        </w:rPr>
        <w:t>212</w:t>
      </w:r>
      <w:r>
        <w:rPr>
          <w:snapToGrid w:val="0"/>
        </w:rPr>
        <w:t>.</w:t>
      </w:r>
      <w:r>
        <w:rPr>
          <w:snapToGrid w:val="0"/>
        </w:rPr>
        <w:tab/>
        <w:t>Forms, compliance requirements</w:t>
      </w:r>
      <w:bookmarkEnd w:id="1349"/>
      <w:bookmarkEnd w:id="1350"/>
      <w:bookmarkEnd w:id="1351"/>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[Section 212 amended by No. 44 of 1911 s. 40.]</w:t>
      </w:r>
    </w:p>
    <w:p>
      <w:pPr>
        <w:pStyle w:val="Heading5"/>
        <w:rPr>
          <w:snapToGrid w:val="0"/>
        </w:rPr>
      </w:pPr>
      <w:bookmarkStart w:id="1352" w:name="_Toc402969600"/>
      <w:bookmarkStart w:id="1353" w:name="_Toc436058785"/>
      <w:bookmarkStart w:id="1354" w:name="_Toc416703416"/>
      <w:r>
        <w:rPr>
          <w:rStyle w:val="CharSectno"/>
        </w:rPr>
        <w:t>213</w:t>
      </w:r>
      <w:r>
        <w:rPr>
          <w:snapToGrid w:val="0"/>
        </w:rPr>
        <w:t>.</w:t>
      </w:r>
      <w:r>
        <w:rPr>
          <w:snapToGrid w:val="0"/>
        </w:rPr>
        <w:tab/>
        <w:t>Regulations generally</w:t>
      </w:r>
      <w:bookmarkEnd w:id="1352"/>
      <w:bookmarkEnd w:id="1353"/>
      <w:bookmarkEnd w:id="1354"/>
    </w:p>
    <w:p>
      <w:pPr>
        <w:pStyle w:val="Subsection"/>
        <w:spacing w:before="140"/>
        <w:rPr>
          <w:snapToGrid w:val="0"/>
        </w:rPr>
      </w:pPr>
      <w:r>
        <w:rPr>
          <w:snapToGrid w:val="0"/>
        </w:rPr>
        <w:tab/>
        <w:t>(1)</w:t>
      </w:r>
      <w:r>
        <w:rPr>
          <w:snapToGrid w:val="0"/>
        </w:rPr>
        <w:tab/>
        <w:t>The Governor may make regulations for carrying out this Act, and prescribing forms for use under this Act.</w:t>
      </w:r>
    </w:p>
    <w:p>
      <w:pPr>
        <w:pStyle w:val="Ednotesubsection"/>
        <w:spacing w:before="140"/>
      </w:pPr>
      <w:r>
        <w:tab/>
        <w:t>[(2)</w:t>
      </w:r>
      <w:r>
        <w:tab/>
        <w:t>deleted]</w:t>
      </w:r>
    </w:p>
    <w:p>
      <w:pPr>
        <w:pStyle w:val="Subsection"/>
        <w:spacing w:before="140"/>
        <w:rPr>
          <w:snapToGrid w:val="0"/>
        </w:rPr>
      </w:pPr>
      <w:r>
        <w:rPr>
          <w:snapToGrid w:val="0"/>
        </w:rPr>
        <w:tab/>
        <w:t>(3)</w:t>
      </w:r>
      <w:r>
        <w:rPr>
          <w:snapToGrid w:val="0"/>
        </w:rPr>
        <w:tab/>
        <w:t xml:space="preserve">In subsections (4) to (8) </w:t>
      </w:r>
      <w:r>
        <w:rPr>
          <w:rStyle w:val="CharDefText"/>
        </w:rPr>
        <w:t>ballot paper regulations</w:t>
      </w:r>
      <w:r>
        <w:rPr>
          <w:snapToGrid w:val="0"/>
        </w:rPr>
        <w:t xml:space="preserve"> means regulations made</w:t>
      </w:r>
      <w:r>
        <w:t xml:space="preserve"> for the purposes of section 113(1)</w:t>
      </w:r>
      <w:r>
        <w:rPr>
          <w:snapToGrid w:val="0"/>
        </w:rPr>
        <w:t>.</w:t>
      </w:r>
    </w:p>
    <w:p>
      <w:pPr>
        <w:pStyle w:val="Subsection"/>
        <w:spacing w:before="140"/>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spacing w:before="140"/>
        <w:rPr>
          <w:snapToGrid w:val="0"/>
        </w:rPr>
      </w:pPr>
      <w:r>
        <w:rPr>
          <w:snapToGrid w:val="0"/>
        </w:rPr>
        <w:tab/>
        <w:t>(5)</w:t>
      </w:r>
      <w:r>
        <w:rPr>
          <w:snapToGrid w:val="0"/>
        </w:rPr>
        <w:tab/>
        <w:t>Where —</w:t>
      </w:r>
    </w:p>
    <w:p>
      <w:pPr>
        <w:pStyle w:val="Indenta"/>
        <w:spacing w:before="60"/>
        <w:rPr>
          <w:snapToGrid w:val="0"/>
        </w:rPr>
      </w:pPr>
      <w:r>
        <w:rPr>
          <w:snapToGrid w:val="0"/>
        </w:rPr>
        <w:tab/>
        <w:t>(a)</w:t>
      </w:r>
      <w:r>
        <w:rPr>
          <w:snapToGrid w:val="0"/>
        </w:rPr>
        <w:tab/>
        <w:t>a notice referred to in subsection (4) is given with respect to ballot paper regulations; and</w:t>
      </w:r>
    </w:p>
    <w:p>
      <w:pPr>
        <w:pStyle w:val="Indenta"/>
        <w:spacing w:before="60"/>
        <w:rPr>
          <w:snapToGrid w:val="0"/>
        </w:rPr>
      </w:pPr>
      <w:r>
        <w:rPr>
          <w:snapToGrid w:val="0"/>
        </w:rPr>
        <w:tab/>
        <w:t>(b)</w:t>
      </w:r>
      <w:r>
        <w:rPr>
          <w:snapToGrid w:val="0"/>
        </w:rPr>
        <w:tab/>
        <w:t>at the expiration of the period during which a resolution disallowing the regulations could have been passed —</w:t>
      </w:r>
    </w:p>
    <w:p>
      <w:pPr>
        <w:pStyle w:val="Indenti"/>
        <w:spacing w:before="60"/>
        <w:rPr>
          <w:snapToGrid w:val="0"/>
        </w:rPr>
      </w:pPr>
      <w:r>
        <w:rPr>
          <w:snapToGrid w:val="0"/>
        </w:rPr>
        <w:tab/>
        <w:t>(i)</w:t>
      </w:r>
      <w:r>
        <w:rPr>
          <w:snapToGrid w:val="0"/>
        </w:rPr>
        <w:tab/>
        <w:t>the notice has not been withdrawn and the relevant motion has not been called on; or</w:t>
      </w:r>
    </w:p>
    <w:p>
      <w:pPr>
        <w:pStyle w:val="Indenti"/>
        <w:keepLines/>
        <w:spacing w:before="60"/>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12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[Section 213 amended by No. 44 of 1911 s. 41; No. 33 of 1964 s. 39; No. 40 of 1987 s. 82; No. 79 of 1987 s. 76; No. 36 of 2000 s. 81(1).]</w:t>
      </w:r>
    </w:p>
    <w:p>
      <w:pPr>
        <w:pStyle w:val="Heading5"/>
        <w:rPr>
          <w:snapToGrid w:val="0"/>
        </w:rPr>
      </w:pPr>
      <w:bookmarkStart w:id="1355" w:name="_Toc402969601"/>
      <w:bookmarkStart w:id="1356" w:name="_Toc436058786"/>
      <w:bookmarkStart w:id="1357" w:name="_Toc416703417"/>
      <w:r>
        <w:rPr>
          <w:rStyle w:val="CharSectno"/>
        </w:rPr>
        <w:t>213A</w:t>
      </w:r>
      <w:r>
        <w:rPr>
          <w:snapToGrid w:val="0"/>
        </w:rPr>
        <w:t xml:space="preserve">. </w:t>
      </w:r>
      <w:r>
        <w:rPr>
          <w:snapToGrid w:val="0"/>
        </w:rPr>
        <w:tab/>
        <w:t>Regulations affecting certain candidates</w:t>
      </w:r>
      <w:bookmarkEnd w:id="1355"/>
      <w:bookmarkEnd w:id="1356"/>
      <w:bookmarkEnd w:id="1357"/>
    </w:p>
    <w:p>
      <w:pPr>
        <w:pStyle w:val="Subsection"/>
        <w:keepNext/>
        <w:spacing w:before="180"/>
        <w:rPr>
          <w:snapToGrid w:val="0"/>
        </w:rPr>
      </w:pPr>
      <w:r>
        <w:rPr>
          <w:snapToGrid w:val="0"/>
        </w:rPr>
        <w:tab/>
      </w:r>
      <w:r>
        <w:rPr>
          <w:snapToGrid w:val="0"/>
        </w:rPr>
        <w:tab/>
        <w:t>The Governor may make regulations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keepLines/>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[Section 213A inserted by No. 78 of 1984 s. 17.]</w:t>
      </w:r>
    </w:p>
    <w:p>
      <w:pPr>
        <w:pStyle w:val="Ednotesection"/>
        <w:spacing w:before="180"/>
        <w:ind w:left="890" w:hanging="890"/>
      </w:pPr>
      <w:r>
        <w:t>[</w:t>
      </w:r>
      <w:r>
        <w:rPr>
          <w:b/>
        </w:rPr>
        <w:t>214.</w:t>
      </w:r>
      <w:r>
        <w:tab/>
        <w:t>Omitted under the Reprints Act 1984 s. 7(4)(f).]</w:t>
      </w:r>
    </w:p>
    <w:p>
      <w:pPr>
        <w:tabs>
          <w:tab w:val="left" w:pos="252"/>
        </w:tabs>
        <w:ind w:left="252" w:hanging="252"/>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1358" w:name="_Toc402969602"/>
      <w:bookmarkStart w:id="1359" w:name="_Toc416703034"/>
      <w:bookmarkStart w:id="1360" w:name="_Toc416703418"/>
      <w:bookmarkStart w:id="1361" w:name="_Toc435714670"/>
      <w:bookmarkStart w:id="1362" w:name="_Toc436057785"/>
      <w:bookmarkStart w:id="1363" w:name="_Toc436058173"/>
      <w:bookmarkStart w:id="1364" w:name="_Toc436058558"/>
      <w:bookmarkStart w:id="1365" w:name="_Toc436058787"/>
      <w:r>
        <w:rPr>
          <w:rStyle w:val="CharSchNo"/>
        </w:rPr>
        <w:t>Schedule 1</w:t>
      </w:r>
      <w:bookmarkEnd w:id="1358"/>
      <w:bookmarkEnd w:id="1359"/>
      <w:bookmarkEnd w:id="1360"/>
      <w:bookmarkEnd w:id="1361"/>
      <w:bookmarkEnd w:id="1362"/>
      <w:bookmarkEnd w:id="1363"/>
      <w:bookmarkEnd w:id="1364"/>
      <w:bookmarkEnd w:id="1365"/>
    </w:p>
    <w:p>
      <w:pPr>
        <w:pStyle w:val="yShoulderClause"/>
        <w:rPr>
          <w:snapToGrid w:val="0"/>
        </w:rPr>
      </w:pPr>
      <w:r>
        <w:rPr>
          <w:snapToGrid w:val="0"/>
        </w:rPr>
        <w:t>[Sections 146I, 156D]</w:t>
      </w:r>
    </w:p>
    <w:p>
      <w:pPr>
        <w:pStyle w:val="yHeading2"/>
        <w:spacing w:before="280"/>
        <w:outlineLvl w:val="0"/>
      </w:pPr>
      <w:bookmarkStart w:id="1366" w:name="_Toc402969603"/>
      <w:bookmarkStart w:id="1367" w:name="_Toc416703035"/>
      <w:bookmarkStart w:id="1368" w:name="_Toc416703419"/>
      <w:bookmarkStart w:id="1369" w:name="_Toc435714671"/>
      <w:bookmarkStart w:id="1370" w:name="_Toc436057786"/>
      <w:bookmarkStart w:id="1371" w:name="_Toc436058174"/>
      <w:bookmarkStart w:id="1372" w:name="_Toc436058559"/>
      <w:bookmarkStart w:id="1373" w:name="_Toc436058788"/>
      <w:r>
        <w:rPr>
          <w:rStyle w:val="CharSchText"/>
        </w:rPr>
        <w:t>Counting of votes at Legislative Council elections</w:t>
      </w:r>
      <w:bookmarkEnd w:id="1366"/>
      <w:bookmarkEnd w:id="1367"/>
      <w:bookmarkEnd w:id="1368"/>
      <w:bookmarkEnd w:id="1369"/>
      <w:bookmarkEnd w:id="1370"/>
      <w:bookmarkEnd w:id="1371"/>
      <w:bookmarkEnd w:id="1372"/>
      <w:bookmarkEnd w:id="1373"/>
    </w:p>
    <w:p>
      <w:pPr>
        <w:pStyle w:val="yFootnoteheading"/>
        <w:rPr>
          <w:b/>
          <w:snapToGrid w:val="0"/>
          <w:sz w:val="28"/>
        </w:rPr>
      </w:pPr>
      <w:r>
        <w:tab/>
        <w:t>[Heading inserted by No. 40 of 1987 s. 83.]</w:t>
      </w:r>
    </w:p>
    <w:p>
      <w:pPr>
        <w:pStyle w:val="yMiscellaneousBody"/>
        <w:tabs>
          <w:tab w:val="right" w:pos="600"/>
          <w:tab w:val="left" w:pos="840"/>
        </w:tabs>
        <w:spacing w:before="480"/>
        <w:ind w:left="839" w:hanging="839"/>
        <w:rPr>
          <w:snapToGrid w:val="0"/>
        </w:rPr>
      </w:pPr>
      <w:r>
        <w:rPr>
          <w:rStyle w:val="CharSClsNo"/>
        </w:rPr>
        <w:t>1</w:t>
      </w:r>
      <w:r>
        <w:rPr>
          <w:snapToGrid w:val="0"/>
        </w:rPr>
        <w:t>.</w:t>
      </w:r>
      <w:r>
        <w:rPr>
          <w:snapToGrid w:val="0"/>
        </w:rPr>
        <w:tab/>
      </w:r>
      <w:r>
        <w:rPr>
          <w:snapToGrid w:val="0"/>
        </w:rPr>
        <w:tab/>
        <w:t>The method of counting the votes to be used by the returning officer to ascertain the result of an election in a region shall be as provided in this Schedule.</w:t>
      </w:r>
    </w:p>
    <w:p>
      <w:pPr>
        <w:pStyle w:val="yMiscellaneousBody"/>
        <w:tabs>
          <w:tab w:val="right" w:pos="600"/>
          <w:tab w:val="left" w:pos="840"/>
        </w:tabs>
        <w:ind w:left="839" w:hanging="839"/>
        <w:rPr>
          <w:snapToGrid w:val="0"/>
        </w:rPr>
      </w:pPr>
      <w:r>
        <w:rPr>
          <w:rStyle w:val="CharSClsNo"/>
        </w:rPr>
        <w:t>2</w:t>
      </w:r>
      <w:r>
        <w:rPr>
          <w:snapToGrid w:val="0"/>
        </w:rPr>
        <w:t>.</w:t>
      </w:r>
      <w:r>
        <w:rPr>
          <w:snapToGrid w:val="0"/>
        </w:rPr>
        <w:tab/>
        <w:t>(1)</w:t>
      </w:r>
      <w:r>
        <w:rPr>
          <w:snapToGrid w:val="0"/>
        </w:rPr>
        <w:tab/>
        <w:t xml:space="preserve">In this Schedule </w:t>
      </w:r>
      <w:r>
        <w:rPr>
          <w:rStyle w:val="CharDefText"/>
        </w:rPr>
        <w:t>continuing candidate</w:t>
      </w:r>
      <w:r>
        <w:rPr>
          <w:snapToGrid w:val="0"/>
        </w:rPr>
        <w:t xml:space="preserve"> means a candidate not already elected or not excluded from the count.</w:t>
      </w:r>
    </w:p>
    <w:p>
      <w:pPr>
        <w:pStyle w:val="yMiscellaneousBody"/>
        <w:tabs>
          <w:tab w:val="right" w:pos="600"/>
          <w:tab w:val="left" w:pos="840"/>
        </w:tabs>
        <w:ind w:left="840" w:hanging="840"/>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MiscellaneousBody"/>
        <w:tabs>
          <w:tab w:val="right" w:pos="600"/>
          <w:tab w:val="left" w:pos="840"/>
        </w:tabs>
        <w:ind w:left="840" w:hanging="84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MiscellaneousBody"/>
        <w:tabs>
          <w:tab w:val="right" w:pos="600"/>
          <w:tab w:val="left" w:pos="840"/>
        </w:tabs>
        <w:ind w:left="840" w:hanging="84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rStyle w:val="CharDefText"/>
        </w:rPr>
        <w:t>surplus votes</w:t>
      </w:r>
      <w:r>
        <w:rPr>
          <w:snapToGrid w:val="0"/>
        </w:rPr>
        <w:t>) of each elected candidate shall be transferred to the continuing candidates as follows —</w:t>
      </w:r>
    </w:p>
    <w:p>
      <w:pPr>
        <w:pStyle w:val="yMiscellaneousBody"/>
        <w:tabs>
          <w:tab w:val="left" w:pos="960"/>
        </w:tabs>
        <w:ind w:left="1440" w:hanging="1440"/>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MiscellaneousBody"/>
        <w:tabs>
          <w:tab w:val="left" w:pos="960"/>
        </w:tabs>
        <w:ind w:left="1440" w:hanging="1440"/>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MiscellaneousBody"/>
        <w:tabs>
          <w:tab w:val="right" w:pos="600"/>
          <w:tab w:val="left" w:pos="840"/>
        </w:tabs>
        <w:ind w:left="840" w:hanging="840"/>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clause 4, or elected subsequently under this clause, shall be transferred to the continuing candidates as follows —</w:t>
      </w:r>
    </w:p>
    <w:p>
      <w:pPr>
        <w:pStyle w:val="yMiscellaneousBody"/>
        <w:tabs>
          <w:tab w:val="left" w:pos="960"/>
        </w:tabs>
        <w:ind w:left="1440" w:hanging="1440"/>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MiscellaneousBody"/>
        <w:tabs>
          <w:tab w:val="left" w:pos="960"/>
        </w:tabs>
        <w:ind w:left="1440" w:hanging="1440"/>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MiscellaneousBody"/>
        <w:tabs>
          <w:tab w:val="left" w:pos="960"/>
        </w:tabs>
        <w:ind w:left="1440" w:hanging="1440"/>
        <w:rPr>
          <w:snapToGrid w:val="0"/>
        </w:rPr>
      </w:pPr>
      <w:r>
        <w:rPr>
          <w:snapToGrid w:val="0"/>
        </w:rPr>
        <w:tab/>
        <w:t>(c)</w:t>
      </w:r>
      <w:r>
        <w:rPr>
          <w:snapToGrid w:val="0"/>
        </w:rPr>
        <w:tab/>
        <w:t>the total number of ballot papers for surplus votes of the elected candidate that each —</w:t>
      </w:r>
    </w:p>
    <w:p>
      <w:pPr>
        <w:pStyle w:val="yMiscellaneousBody"/>
        <w:tabs>
          <w:tab w:val="right" w:pos="2040"/>
          <w:tab w:val="left" w:pos="2280"/>
        </w:tabs>
        <w:ind w:left="2280" w:hanging="2280"/>
        <w:rPr>
          <w:snapToGrid w:val="0"/>
        </w:rPr>
      </w:pPr>
      <w:r>
        <w:rPr>
          <w:snapToGrid w:val="0"/>
        </w:rPr>
        <w:tab/>
        <w:t>(i)</w:t>
      </w:r>
      <w:r>
        <w:rPr>
          <w:snapToGrid w:val="0"/>
        </w:rPr>
        <w:tab/>
        <w:t>express the next available preference for a particular continuing candidate; and</w:t>
      </w:r>
    </w:p>
    <w:p>
      <w:pPr>
        <w:pStyle w:val="yMiscellaneousBody"/>
        <w:tabs>
          <w:tab w:val="right" w:pos="2040"/>
          <w:tab w:val="left" w:pos="2280"/>
        </w:tabs>
        <w:ind w:left="2280" w:hanging="2280"/>
        <w:rPr>
          <w:snapToGrid w:val="0"/>
        </w:rPr>
      </w:pPr>
      <w:r>
        <w:rPr>
          <w:snapToGrid w:val="0"/>
        </w:rPr>
        <w:tab/>
        <w:t>(ii)</w:t>
      </w:r>
      <w:r>
        <w:rPr>
          <w:snapToGrid w:val="0"/>
        </w:rPr>
        <w:tab/>
        <w:t>have a particular continued transfer value,</w:t>
      </w:r>
    </w:p>
    <w:p>
      <w:pPr>
        <w:pStyle w:val="yMiscellaneousBody"/>
        <w:tabs>
          <w:tab w:val="left" w:pos="960"/>
        </w:tabs>
        <w:ind w:left="1440" w:hanging="1440"/>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MiscellaneousBody"/>
        <w:tabs>
          <w:tab w:val="right" w:pos="600"/>
          <w:tab w:val="left" w:pos="840"/>
        </w:tabs>
        <w:ind w:left="840" w:hanging="840"/>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MiscellaneousBody"/>
        <w:tabs>
          <w:tab w:val="left" w:pos="840"/>
        </w:tabs>
        <w:rPr>
          <w:i/>
          <w:iCs/>
        </w:rPr>
      </w:pPr>
      <w:r>
        <w:rPr>
          <w:i/>
          <w:iCs/>
        </w:rPr>
        <w:t>[7.</w:t>
      </w:r>
      <w:r>
        <w:rPr>
          <w:i/>
          <w:iCs/>
        </w:rPr>
        <w:tab/>
        <w:t>deleted]</w:t>
      </w:r>
    </w:p>
    <w:p>
      <w:pPr>
        <w:pStyle w:val="yMiscellaneousBody"/>
        <w:tabs>
          <w:tab w:val="right" w:pos="600"/>
          <w:tab w:val="left" w:pos="840"/>
        </w:tabs>
        <w:ind w:left="840" w:hanging="840"/>
        <w:rPr>
          <w:snapToGrid w:val="0"/>
        </w:rPr>
      </w:pPr>
      <w:r>
        <w:rPr>
          <w:rStyle w:val="CharSClsNo"/>
        </w:rPr>
        <w:t>8</w:t>
      </w:r>
      <w:r>
        <w:rPr>
          <w:snapToGrid w:val="0"/>
        </w:rPr>
        <w:t>.</w:t>
      </w:r>
      <w:r>
        <w:rPr>
          <w:snapToGrid w:val="0"/>
        </w:rPr>
        <w:tab/>
      </w:r>
      <w:r>
        <w:rPr>
          <w:snapToGrid w:val="0"/>
        </w:rPr>
        <w:tab/>
        <w:t>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w:t>
      </w:r>
    </w:p>
    <w:p>
      <w:pPr>
        <w:pStyle w:val="yMiscellaneousBody"/>
        <w:tabs>
          <w:tab w:val="left" w:pos="960"/>
        </w:tabs>
        <w:ind w:left="1440" w:hanging="1440"/>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MiscellaneousBody"/>
        <w:tabs>
          <w:tab w:val="left" w:pos="960"/>
        </w:tabs>
        <w:ind w:left="1440" w:hanging="1440"/>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w:t>
      </w:r>
    </w:p>
    <w:p>
      <w:pPr>
        <w:pStyle w:val="yMiscellaneousBody"/>
        <w:tabs>
          <w:tab w:val="right" w:pos="2040"/>
          <w:tab w:val="left" w:pos="2280"/>
        </w:tabs>
        <w:ind w:left="2280" w:hanging="228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MiscellaneousBody"/>
        <w:tabs>
          <w:tab w:val="right" w:pos="2040"/>
          <w:tab w:val="left" w:pos="2280"/>
        </w:tabs>
        <w:ind w:left="2280" w:hanging="2280"/>
        <w:rPr>
          <w:snapToGrid w:val="0"/>
        </w:rPr>
      </w:pPr>
      <w:r>
        <w:rPr>
          <w:snapToGrid w:val="0"/>
        </w:rPr>
        <w:tab/>
        <w:t>(ii)</w:t>
      </w:r>
      <w:r>
        <w:rPr>
          <w:snapToGrid w:val="0"/>
        </w:rPr>
        <w:tab/>
        <w:t>the number so obtained (disregarding any fraction) shall be added to the number of votes of the continuing candidate;</w:t>
      </w:r>
    </w:p>
    <w:p>
      <w:pPr>
        <w:pStyle w:val="yMiscellaneousBody"/>
        <w:tabs>
          <w:tab w:val="right" w:pos="2040"/>
          <w:tab w:val="left" w:pos="2280"/>
        </w:tabs>
        <w:ind w:left="2280" w:hanging="2280"/>
        <w:rPr>
          <w:snapToGrid w:val="0"/>
        </w:rPr>
      </w:pPr>
      <w:r>
        <w:rPr>
          <w:snapToGrid w:val="0"/>
        </w:rPr>
        <w:tab/>
        <w:t>(iii)</w:t>
      </w:r>
      <w:r>
        <w:rPr>
          <w:snapToGrid w:val="0"/>
        </w:rPr>
        <w:tab/>
        <w:t>all those ballot papers shall be transferred to the continuing candidate.</w:t>
      </w:r>
    </w:p>
    <w:p>
      <w:pPr>
        <w:pStyle w:val="yMiscellaneousBody"/>
        <w:tabs>
          <w:tab w:val="right" w:pos="600"/>
          <w:tab w:val="left" w:pos="840"/>
        </w:tabs>
        <w:ind w:left="840" w:hanging="840"/>
        <w:rPr>
          <w:snapToGrid w:val="0"/>
        </w:rPr>
      </w:pPr>
      <w:r>
        <w:rPr>
          <w:rStyle w:val="CharSClsNo"/>
        </w:rPr>
        <w:t>9</w:t>
      </w:r>
      <w:r>
        <w:rPr>
          <w:snapToGrid w:val="0"/>
        </w:rPr>
        <w:t>.</w:t>
      </w: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MiscellaneousBody"/>
        <w:tabs>
          <w:tab w:val="right" w:pos="600"/>
          <w:tab w:val="left" w:pos="840"/>
        </w:tabs>
        <w:ind w:left="840" w:hanging="840"/>
        <w:rPr>
          <w:snapToGrid w:val="0"/>
        </w:rPr>
      </w:pPr>
      <w:r>
        <w:rPr>
          <w:rStyle w:val="CharSClsNo"/>
        </w:rPr>
        <w:t>10</w:t>
      </w:r>
      <w:r>
        <w:rPr>
          <w:snapToGrid w:val="0"/>
        </w:rPr>
        <w:t>.</w:t>
      </w: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MiscellaneousBody"/>
        <w:tabs>
          <w:tab w:val="right" w:pos="600"/>
          <w:tab w:val="left" w:pos="840"/>
        </w:tabs>
        <w:ind w:left="840" w:hanging="840"/>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MiscellaneousBody"/>
        <w:tabs>
          <w:tab w:val="right" w:pos="600"/>
          <w:tab w:val="left" w:pos="840"/>
        </w:tabs>
        <w:ind w:left="840" w:hanging="840"/>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MiscellaneousBody"/>
        <w:tabs>
          <w:tab w:val="right" w:pos="600"/>
          <w:tab w:val="left" w:pos="840"/>
        </w:tabs>
        <w:ind w:left="840" w:hanging="840"/>
        <w:rPr>
          <w:snapToGrid w:val="0"/>
        </w:rPr>
      </w:pPr>
      <w:r>
        <w:rPr>
          <w:rStyle w:val="CharSClsNo"/>
        </w:rPr>
        <w:t>13</w:t>
      </w:r>
      <w:r>
        <w:rPr>
          <w:snapToGrid w:val="0"/>
        </w:rPr>
        <w:t>.</w:t>
      </w: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MiscellaneousBody"/>
        <w:tabs>
          <w:tab w:val="right" w:pos="600"/>
          <w:tab w:val="left" w:pos="840"/>
        </w:tabs>
        <w:ind w:left="840" w:hanging="840"/>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MiscellaneousBody"/>
        <w:tabs>
          <w:tab w:val="right" w:pos="600"/>
          <w:tab w:val="left" w:pos="840"/>
        </w:tabs>
        <w:ind w:left="840" w:hanging="840"/>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MiscellaneousBody"/>
        <w:tabs>
          <w:tab w:val="right" w:pos="600"/>
          <w:tab w:val="left" w:pos="840"/>
        </w:tabs>
        <w:ind w:left="840" w:hanging="840"/>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MiscellaneousBody"/>
        <w:tabs>
          <w:tab w:val="right" w:pos="600"/>
          <w:tab w:val="left" w:pos="840"/>
        </w:tabs>
        <w:ind w:left="840" w:hanging="840"/>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rStyle w:val="CharDefText"/>
        </w:rPr>
        <w:t>tied candidates</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MiscellaneousBody"/>
        <w:tabs>
          <w:tab w:val="right" w:pos="600"/>
          <w:tab w:val="left" w:pos="840"/>
        </w:tabs>
        <w:ind w:left="840" w:hanging="840"/>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MiscellaneousBody"/>
        <w:tabs>
          <w:tab w:val="right" w:pos="600"/>
          <w:tab w:val="left" w:pos="840"/>
        </w:tabs>
        <w:ind w:left="840" w:hanging="840"/>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[Schedule 1 inserted by No. 40 of 1987 s. 83; amended by No. 64 of 2006 s. 52.]</w:t>
      </w:r>
    </w:p>
    <w:p>
      <w:pPr>
        <w:pStyle w:val="yScheduleHeading"/>
        <w:outlineLvl w:val="0"/>
      </w:pPr>
      <w:bookmarkStart w:id="1374" w:name="_Toc402969604"/>
      <w:bookmarkStart w:id="1375" w:name="_Toc416703036"/>
      <w:bookmarkStart w:id="1376" w:name="_Toc416703420"/>
      <w:bookmarkStart w:id="1377" w:name="_Toc435714672"/>
      <w:bookmarkStart w:id="1378" w:name="_Toc436057787"/>
      <w:bookmarkStart w:id="1379" w:name="_Toc436058175"/>
      <w:bookmarkStart w:id="1380" w:name="_Toc436058560"/>
      <w:bookmarkStart w:id="1381" w:name="_Toc436058789"/>
      <w:r>
        <w:rPr>
          <w:rStyle w:val="CharSchNo"/>
        </w:rPr>
        <w:t>Schedule 2</w:t>
      </w:r>
      <w:bookmarkEnd w:id="1374"/>
      <w:bookmarkEnd w:id="1375"/>
      <w:bookmarkEnd w:id="1376"/>
      <w:bookmarkEnd w:id="1377"/>
      <w:bookmarkEnd w:id="1378"/>
      <w:bookmarkEnd w:id="1379"/>
      <w:bookmarkEnd w:id="1380"/>
      <w:bookmarkEnd w:id="1381"/>
    </w:p>
    <w:p>
      <w:pPr>
        <w:pStyle w:val="yShoulderClause"/>
        <w:rPr>
          <w:snapToGrid w:val="0"/>
        </w:rPr>
      </w:pPr>
      <w:r>
        <w:rPr>
          <w:snapToGrid w:val="0"/>
        </w:rPr>
        <w:t>[Sections 86, 87, 144;</w:t>
      </w:r>
      <w:r>
        <w:rPr>
          <w:snapToGrid w:val="0"/>
        </w:rPr>
        <w:br/>
        <w:t>Schedule 1, clauses 12, 15 and 17]</w:t>
      </w:r>
    </w:p>
    <w:p>
      <w:pPr>
        <w:pStyle w:val="yHeading2"/>
        <w:outlineLvl w:val="0"/>
      </w:pPr>
      <w:bookmarkStart w:id="1382" w:name="_Toc402969605"/>
      <w:bookmarkStart w:id="1383" w:name="_Toc416703037"/>
      <w:bookmarkStart w:id="1384" w:name="_Toc416703421"/>
      <w:bookmarkStart w:id="1385" w:name="_Toc435714673"/>
      <w:bookmarkStart w:id="1386" w:name="_Toc436057788"/>
      <w:bookmarkStart w:id="1387" w:name="_Toc436058176"/>
      <w:bookmarkStart w:id="1388" w:name="_Toc436058561"/>
      <w:bookmarkStart w:id="1389" w:name="_Toc436058790"/>
      <w:r>
        <w:rPr>
          <w:rStyle w:val="CharSchText"/>
        </w:rPr>
        <w:t>Ballot procedure</w:t>
      </w:r>
      <w:bookmarkEnd w:id="1382"/>
      <w:bookmarkEnd w:id="1383"/>
      <w:bookmarkEnd w:id="1384"/>
      <w:bookmarkEnd w:id="1385"/>
      <w:bookmarkEnd w:id="1386"/>
      <w:bookmarkEnd w:id="1387"/>
      <w:bookmarkEnd w:id="1388"/>
      <w:bookmarkEnd w:id="1389"/>
    </w:p>
    <w:p>
      <w:pPr>
        <w:pStyle w:val="yFootnoteheading"/>
        <w:rPr>
          <w:b/>
          <w:snapToGrid w:val="0"/>
          <w:sz w:val="28"/>
        </w:rPr>
      </w:pPr>
      <w:r>
        <w:tab/>
        <w:t>[Heading inserted by No. 40 of 1987 s. 83.]</w:t>
      </w:r>
    </w:p>
    <w:p>
      <w:pPr>
        <w:pStyle w:val="yMiscellaneousBody"/>
        <w:tabs>
          <w:tab w:val="right" w:pos="600"/>
          <w:tab w:val="left" w:pos="840"/>
        </w:tabs>
        <w:ind w:left="840" w:hanging="840"/>
        <w:rPr>
          <w:snapToGrid w:val="0"/>
        </w:rPr>
      </w:pPr>
      <w:r>
        <w:rPr>
          <w:snapToGrid w:val="0"/>
        </w:rPr>
        <w:t>1.</w:t>
      </w:r>
      <w:r>
        <w:rPr>
          <w:snapToGrid w:val="0"/>
        </w:rPr>
        <w:tab/>
      </w:r>
      <w:r>
        <w:rPr>
          <w:snapToGrid w:val="0"/>
        </w:rPr>
        <w:tab/>
        <w:t>Slips made out for the purposes of section 86(2a), 87(5) or (6) or 144(2)(g) or clause 12, 15 or 17 of Schedule 1 shall be dealt with as provided in this Schedule.</w:t>
      </w:r>
    </w:p>
    <w:p>
      <w:pPr>
        <w:pStyle w:val="yMiscellaneousBody"/>
        <w:tabs>
          <w:tab w:val="right" w:pos="600"/>
          <w:tab w:val="left" w:pos="840"/>
        </w:tabs>
        <w:ind w:left="840" w:hanging="840"/>
        <w:rPr>
          <w:snapToGrid w:val="0"/>
        </w:rPr>
      </w:pPr>
      <w:r>
        <w:rPr>
          <w:snapToGrid w:val="0"/>
        </w:rPr>
        <w:t>2.</w:t>
      </w:r>
      <w:r>
        <w:rPr>
          <w:snapToGrid w:val="0"/>
        </w:rPr>
        <w:tab/>
      </w:r>
      <w:r>
        <w:rPr>
          <w:snapToGrid w:val="0"/>
        </w:rPr>
        <w:tab/>
        <w:t xml:space="preserve">In this Schedule </w:t>
      </w:r>
      <w:r>
        <w:rPr>
          <w:rStyle w:val="CharDefText"/>
        </w:rPr>
        <w:t>ballot</w:t>
      </w:r>
      <w:r>
        <w:rPr>
          <w:snapToGrid w:val="0"/>
        </w:rPr>
        <w:t xml:space="preserve"> means a hollow opaque sphere inside which a slip may be enclosed.</w:t>
      </w:r>
    </w:p>
    <w:p>
      <w:pPr>
        <w:pStyle w:val="yMiscellaneousBody"/>
        <w:tabs>
          <w:tab w:val="right" w:pos="600"/>
          <w:tab w:val="left" w:pos="840"/>
        </w:tabs>
        <w:ind w:left="840" w:hanging="840"/>
        <w:rPr>
          <w:snapToGrid w:val="0"/>
        </w:rPr>
      </w:pPr>
      <w:r>
        <w:rPr>
          <w:snapToGrid w:val="0"/>
        </w:rPr>
        <w:t>3.</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MiscellaneousBody"/>
        <w:tabs>
          <w:tab w:val="right" w:pos="600"/>
          <w:tab w:val="left" w:pos="840"/>
        </w:tabs>
        <w:ind w:left="840" w:hanging="840"/>
        <w:rPr>
          <w:snapToGrid w:val="0"/>
        </w:rPr>
      </w:pPr>
      <w:r>
        <w:rPr>
          <w:snapToGrid w:val="0"/>
        </w:rPr>
        <w:t>4.</w:t>
      </w:r>
      <w:r>
        <w:rPr>
          <w:snapToGrid w:val="0"/>
        </w:rPr>
        <w:tab/>
      </w:r>
      <w:r>
        <w:rPr>
          <w:snapToGrid w:val="0"/>
        </w:rPr>
        <w:tab/>
        <w:t>The returning officer shall then shake and rotate the ballot box and shall permit any other person then present to do likewise, if the person so desires.</w:t>
      </w:r>
    </w:p>
    <w:p>
      <w:pPr>
        <w:pStyle w:val="yMiscellaneousBody"/>
        <w:tabs>
          <w:tab w:val="right" w:pos="600"/>
          <w:tab w:val="left" w:pos="840"/>
        </w:tabs>
        <w:ind w:left="840" w:hanging="840"/>
        <w:rPr>
          <w:snapToGrid w:val="0"/>
        </w:rPr>
      </w:pPr>
      <w:r>
        <w:rPr>
          <w:snapToGrid w:val="0"/>
        </w:rPr>
        <w:t>5.</w:t>
      </w:r>
      <w:r>
        <w:rPr>
          <w:snapToGrid w:val="0"/>
        </w:rPr>
        <w:tab/>
        <w:t>(1)</w:t>
      </w:r>
      <w:r>
        <w:rPr>
          <w:snapToGrid w:val="0"/>
        </w:rPr>
        <w:tab/>
        <w:t>The returning officer shall then —</w:t>
      </w:r>
    </w:p>
    <w:p>
      <w:pPr>
        <w:pStyle w:val="yMiscellaneousBody"/>
        <w:tabs>
          <w:tab w:val="left" w:pos="960"/>
        </w:tabs>
        <w:ind w:left="1440" w:hanging="1440"/>
        <w:rPr>
          <w:snapToGrid w:val="0"/>
        </w:rPr>
      </w:pPr>
      <w:r>
        <w:rPr>
          <w:snapToGrid w:val="0"/>
        </w:rPr>
        <w:tab/>
        <w:t>(a)</w:t>
      </w:r>
      <w:r>
        <w:rPr>
          <w:snapToGrid w:val="0"/>
        </w:rPr>
        <w:tab/>
        <w:t>open the ballot box; and</w:t>
      </w:r>
    </w:p>
    <w:p>
      <w:pPr>
        <w:pStyle w:val="yMiscellaneousBody"/>
        <w:tabs>
          <w:tab w:val="left" w:pos="960"/>
        </w:tabs>
        <w:ind w:left="1440" w:hanging="1440"/>
        <w:rPr>
          <w:snapToGrid w:val="0"/>
        </w:rPr>
      </w:pPr>
      <w:r>
        <w:rPr>
          <w:snapToGrid w:val="0"/>
        </w:rPr>
        <w:tab/>
        <w:t>(b)</w:t>
      </w:r>
      <w:r>
        <w:rPr>
          <w:snapToGrid w:val="0"/>
        </w:rPr>
        <w:tab/>
        <w:t>take out and open one of the ballots to obtain the slip enclosed therein.</w:t>
      </w:r>
    </w:p>
    <w:p>
      <w:pPr>
        <w:pStyle w:val="yMiscellaneousBody"/>
        <w:tabs>
          <w:tab w:val="right" w:pos="600"/>
          <w:tab w:val="left" w:pos="840"/>
        </w:tabs>
        <w:ind w:left="840" w:hanging="840"/>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Footnotesection"/>
      </w:pPr>
      <w:r>
        <w:tab/>
        <w:t>[Schedule 2 inserted by No. 40 of 1987 s. 83.]</w:t>
      </w:r>
    </w:p>
    <w:p>
      <w:pPr>
        <w:pStyle w:val="yEdnoteschedule"/>
      </w:pPr>
      <w:r>
        <w:t>[Schedule 3 deleted by No. 36 of 2000 s. 81(1).]</w:t>
      </w:r>
    </w:p>
    <w:p>
      <w:pPr>
        <w:pStyle w:val="CentredBaseLine"/>
        <w:jc w:val="center"/>
      </w:pPr>
      <w:r>
        <w:rPr>
          <w:noProof/>
        </w:rPr>
        <w:drawing>
          <wp:inline distT="0" distB="0" distL="0" distR="0">
            <wp:extent cx="931545" cy="172720"/>
            <wp:effectExtent l="0" t="0" r="190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outlineLvl w:val="0"/>
      </w:pPr>
      <w:bookmarkStart w:id="1391" w:name="_Toc402969606"/>
      <w:bookmarkStart w:id="1392" w:name="_Toc416703038"/>
      <w:bookmarkStart w:id="1393" w:name="_Toc416703422"/>
      <w:bookmarkStart w:id="1394" w:name="_Toc435714674"/>
      <w:bookmarkStart w:id="1395" w:name="_Toc436057789"/>
      <w:bookmarkStart w:id="1396" w:name="_Toc436058177"/>
      <w:bookmarkStart w:id="1397" w:name="_Toc436058562"/>
      <w:bookmarkStart w:id="1398" w:name="_Toc436058791"/>
      <w:r>
        <w:t>Notes</w:t>
      </w:r>
      <w:bookmarkEnd w:id="1391"/>
      <w:bookmarkEnd w:id="1392"/>
      <w:bookmarkEnd w:id="1393"/>
      <w:bookmarkEnd w:id="1394"/>
      <w:bookmarkEnd w:id="1395"/>
      <w:bookmarkEnd w:id="1396"/>
      <w:bookmarkEnd w:id="1397"/>
      <w:bookmarkEnd w:id="1398"/>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pPr>
      <w:bookmarkStart w:id="1399" w:name="_Toc402969607"/>
      <w:bookmarkStart w:id="1400" w:name="_Toc436058792"/>
      <w:bookmarkStart w:id="1401" w:name="_Toc416703423"/>
      <w:r>
        <w:t>Compilation table</w:t>
      </w:r>
      <w:bookmarkEnd w:id="1399"/>
      <w:bookmarkEnd w:id="1400"/>
      <w:bookmarkEnd w:id="140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9"/>
        <w:gridCol w:w="2541"/>
        <w:gridCol w:w="10"/>
      </w:tblGrid>
      <w:tr>
        <w:trPr>
          <w:cantSplit/>
          <w:tblHeader/>
        </w:trPr>
        <w:tc>
          <w:tcPr>
            <w:tcW w:w="2269"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9"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9" w:type="dxa"/>
          </w:tcPr>
          <w:p>
            <w:pPr>
              <w:pStyle w:val="nTable"/>
              <w:spacing w:before="60" w:after="60"/>
              <w:ind w:right="113"/>
            </w:pPr>
            <w:r>
              <w:rPr>
                <w:i/>
              </w:rPr>
              <w:t>Electoral Act 1907</w:t>
            </w:r>
          </w:p>
        </w:tc>
        <w:tc>
          <w:tcPr>
            <w:tcW w:w="1134" w:type="dxa"/>
          </w:tcPr>
          <w:p>
            <w:pPr>
              <w:pStyle w:val="nTable"/>
              <w:spacing w:before="60" w:after="60"/>
            </w:pPr>
            <w:r>
              <w:t>27 of 1907</w:t>
            </w:r>
            <w:r>
              <w:br/>
              <w:t>(7 Edw. VII No. 27)</w:t>
            </w:r>
          </w:p>
        </w:tc>
        <w:tc>
          <w:tcPr>
            <w:tcW w:w="1139" w:type="dxa"/>
          </w:tcPr>
          <w:p>
            <w:pPr>
              <w:pStyle w:val="nTable"/>
              <w:spacing w:before="60" w:after="60"/>
            </w:pPr>
            <w:r>
              <w:t>20 Dec 1907</w:t>
            </w:r>
          </w:p>
        </w:tc>
        <w:tc>
          <w:tcPr>
            <w:tcW w:w="2551" w:type="dxa"/>
            <w:gridSpan w:val="2"/>
          </w:tcPr>
          <w:p>
            <w:pPr>
              <w:pStyle w:val="nTable"/>
              <w:spacing w:before="60" w:after="60"/>
            </w:pPr>
            <w:r>
              <w:t>1 Mar 1908 (see s. 2)</w:t>
            </w:r>
          </w:p>
        </w:tc>
      </w:tr>
      <w:tr>
        <w:trPr>
          <w:cantSplit/>
        </w:trPr>
        <w:tc>
          <w:tcPr>
            <w:tcW w:w="2269" w:type="dxa"/>
          </w:tcPr>
          <w:p>
            <w:pPr>
              <w:pStyle w:val="nTable"/>
              <w:spacing w:before="60" w:after="60"/>
              <w:ind w:right="113"/>
            </w:pPr>
            <w:r>
              <w:rPr>
                <w:i/>
              </w:rPr>
              <w:t>Electoral Act Amendment Act 1911</w:t>
            </w:r>
          </w:p>
        </w:tc>
        <w:tc>
          <w:tcPr>
            <w:tcW w:w="1134" w:type="dxa"/>
          </w:tcPr>
          <w:p>
            <w:pPr>
              <w:pStyle w:val="nTable"/>
              <w:spacing w:before="60" w:after="60"/>
            </w:pPr>
            <w:r>
              <w:t>44 of 1911</w:t>
            </w:r>
            <w:r>
              <w:br/>
              <w:t>(1 Geo. V No. 55)</w:t>
            </w:r>
          </w:p>
        </w:tc>
        <w:tc>
          <w:tcPr>
            <w:tcW w:w="1139" w:type="dxa"/>
          </w:tcPr>
          <w:p>
            <w:pPr>
              <w:pStyle w:val="nTable"/>
              <w:spacing w:before="60" w:after="60"/>
            </w:pPr>
            <w:r>
              <w:t>16 Feb 1911</w:t>
            </w:r>
          </w:p>
        </w:tc>
        <w:tc>
          <w:tcPr>
            <w:tcW w:w="2551" w:type="dxa"/>
            <w:gridSpan w:val="2"/>
          </w:tcPr>
          <w:p>
            <w:pPr>
              <w:pStyle w:val="nTable"/>
              <w:spacing w:before="60" w:after="60"/>
            </w:pPr>
            <w:r>
              <w:t>1 May 1911 (see s. 1)</w:t>
            </w:r>
          </w:p>
        </w:tc>
      </w:tr>
      <w:tr>
        <w:trPr>
          <w:cantSplit/>
        </w:trPr>
        <w:tc>
          <w:tcPr>
            <w:tcW w:w="2269" w:type="dxa"/>
          </w:tcPr>
          <w:p>
            <w:pPr>
              <w:pStyle w:val="nTable"/>
              <w:spacing w:before="60" w:after="60"/>
              <w:ind w:right="113"/>
            </w:pPr>
            <w:r>
              <w:rPr>
                <w:i/>
              </w:rPr>
              <w:t>Electoral Act Amendment Act 1912</w:t>
            </w:r>
          </w:p>
        </w:tc>
        <w:tc>
          <w:tcPr>
            <w:tcW w:w="1134" w:type="dxa"/>
          </w:tcPr>
          <w:p>
            <w:pPr>
              <w:pStyle w:val="nTable"/>
              <w:spacing w:before="60" w:after="60"/>
            </w:pPr>
            <w:r>
              <w:t>56 of 1912</w:t>
            </w:r>
            <w:r>
              <w:br/>
              <w:t>(3 Geo. V No. 37)</w:t>
            </w:r>
          </w:p>
        </w:tc>
        <w:tc>
          <w:tcPr>
            <w:tcW w:w="1139" w:type="dxa"/>
          </w:tcPr>
          <w:p>
            <w:pPr>
              <w:pStyle w:val="nTable"/>
              <w:spacing w:before="60" w:after="60"/>
            </w:pPr>
            <w:r>
              <w:t>30 Dec 1912</w:t>
            </w:r>
          </w:p>
        </w:tc>
        <w:tc>
          <w:tcPr>
            <w:tcW w:w="2551" w:type="dxa"/>
            <w:gridSpan w:val="2"/>
          </w:tcPr>
          <w:p>
            <w:pPr>
              <w:pStyle w:val="nTable"/>
              <w:spacing w:before="60" w:after="60"/>
            </w:pPr>
            <w:r>
              <w:t>30 Dec 1912</w:t>
            </w:r>
          </w:p>
        </w:tc>
      </w:tr>
      <w:tr>
        <w:trPr>
          <w:cantSplit/>
        </w:trPr>
        <w:tc>
          <w:tcPr>
            <w:tcW w:w="2269" w:type="dxa"/>
          </w:tcPr>
          <w:p>
            <w:pPr>
              <w:pStyle w:val="nTable"/>
              <w:spacing w:before="60" w:after="60"/>
              <w:ind w:right="113"/>
            </w:pPr>
            <w:r>
              <w:rPr>
                <w:i/>
              </w:rPr>
              <w:t>Electoral Act Amendment Act 1918</w:t>
            </w:r>
          </w:p>
        </w:tc>
        <w:tc>
          <w:tcPr>
            <w:tcW w:w="1134" w:type="dxa"/>
          </w:tcPr>
          <w:p>
            <w:pPr>
              <w:pStyle w:val="nTable"/>
              <w:spacing w:before="60" w:after="60"/>
            </w:pPr>
            <w:r>
              <w:t>5 of 1918</w:t>
            </w:r>
            <w:r>
              <w:br/>
              <w:t xml:space="preserve">(8 Geo. V No. 19) </w:t>
            </w:r>
            <w:r>
              <w:rPr>
                <w:spacing w:val="-2"/>
              </w:rPr>
              <w:t>(as amended by No. 59 of 1919 s. 6)</w:t>
            </w:r>
          </w:p>
        </w:tc>
        <w:tc>
          <w:tcPr>
            <w:tcW w:w="1139" w:type="dxa"/>
          </w:tcPr>
          <w:p>
            <w:pPr>
              <w:pStyle w:val="nTable"/>
              <w:spacing w:before="60" w:after="60"/>
            </w:pPr>
            <w:r>
              <w:t>18 Mar 1918</w:t>
            </w:r>
          </w:p>
        </w:tc>
        <w:tc>
          <w:tcPr>
            <w:tcW w:w="2551" w:type="dxa"/>
            <w:gridSpan w:val="2"/>
          </w:tcPr>
          <w:p>
            <w:pPr>
              <w:pStyle w:val="nTable"/>
              <w:spacing w:before="60" w:after="60"/>
            </w:pPr>
            <w:r>
              <w:t>18 Mar 1918</w:t>
            </w:r>
          </w:p>
        </w:tc>
      </w:tr>
      <w:tr>
        <w:trPr>
          <w:cantSplit/>
        </w:trPr>
        <w:tc>
          <w:tcPr>
            <w:tcW w:w="2269" w:type="dxa"/>
          </w:tcPr>
          <w:p>
            <w:pPr>
              <w:pStyle w:val="nTable"/>
              <w:spacing w:before="60" w:after="60"/>
              <w:ind w:right="113"/>
            </w:pPr>
            <w:r>
              <w:rPr>
                <w:i/>
              </w:rPr>
              <w:t>Electoral Amendment Act 1919</w:t>
            </w:r>
          </w:p>
        </w:tc>
        <w:tc>
          <w:tcPr>
            <w:tcW w:w="1134" w:type="dxa"/>
          </w:tcPr>
          <w:p>
            <w:pPr>
              <w:pStyle w:val="nTable"/>
              <w:spacing w:before="60" w:after="60"/>
            </w:pPr>
            <w:r>
              <w:t>59 of 1919</w:t>
            </w:r>
            <w:r>
              <w:br/>
              <w:t>(10 Geo. V No. 47)</w:t>
            </w:r>
          </w:p>
        </w:tc>
        <w:tc>
          <w:tcPr>
            <w:tcW w:w="1139" w:type="dxa"/>
          </w:tcPr>
          <w:p>
            <w:pPr>
              <w:pStyle w:val="nTable"/>
              <w:spacing w:before="60" w:after="60"/>
            </w:pPr>
            <w:r>
              <w:t>17 Dec 1919</w:t>
            </w:r>
          </w:p>
        </w:tc>
        <w:tc>
          <w:tcPr>
            <w:tcW w:w="2551" w:type="dxa"/>
            <w:gridSpan w:val="2"/>
          </w:tcPr>
          <w:p>
            <w:pPr>
              <w:pStyle w:val="nTable"/>
              <w:spacing w:before="60" w:after="60"/>
            </w:pPr>
            <w:r>
              <w:t>17 Dec 1919</w:t>
            </w:r>
          </w:p>
        </w:tc>
      </w:tr>
      <w:tr>
        <w:trPr>
          <w:cantSplit/>
        </w:trPr>
        <w:tc>
          <w:tcPr>
            <w:tcW w:w="2269" w:type="dxa"/>
          </w:tcPr>
          <w:p>
            <w:pPr>
              <w:pStyle w:val="nTable"/>
              <w:spacing w:before="60" w:after="60"/>
              <w:ind w:right="113"/>
            </w:pPr>
            <w:r>
              <w:rPr>
                <w:i/>
              </w:rPr>
              <w:t>Electoral Act Amendment Act 1921</w:t>
            </w:r>
          </w:p>
        </w:tc>
        <w:tc>
          <w:tcPr>
            <w:tcW w:w="1134" w:type="dxa"/>
          </w:tcPr>
          <w:p>
            <w:pPr>
              <w:pStyle w:val="nTable"/>
              <w:spacing w:before="60" w:after="60"/>
            </w:pPr>
            <w:r>
              <w:t>7 of 1921</w:t>
            </w:r>
            <w:r>
              <w:br/>
              <w:t>(12 Geo. V No. 7)</w:t>
            </w:r>
          </w:p>
        </w:tc>
        <w:tc>
          <w:tcPr>
            <w:tcW w:w="1139" w:type="dxa"/>
          </w:tcPr>
          <w:p>
            <w:pPr>
              <w:pStyle w:val="nTable"/>
              <w:spacing w:before="60" w:after="60"/>
            </w:pPr>
            <w:r>
              <w:t>26 Oct 1921</w:t>
            </w:r>
          </w:p>
        </w:tc>
        <w:tc>
          <w:tcPr>
            <w:tcW w:w="2551" w:type="dxa"/>
            <w:gridSpan w:val="2"/>
          </w:tcPr>
          <w:p>
            <w:pPr>
              <w:pStyle w:val="nTable"/>
              <w:spacing w:before="60" w:after="60"/>
            </w:pPr>
            <w:r>
              <w:t>26 Oct 1921</w:t>
            </w:r>
          </w:p>
        </w:tc>
      </w:tr>
      <w:tr>
        <w:trPr>
          <w:cantSplit/>
        </w:trPr>
        <w:tc>
          <w:tcPr>
            <w:tcW w:w="7093" w:type="dxa"/>
            <w:gridSpan w:val="5"/>
          </w:tcPr>
          <w:p>
            <w:pPr>
              <w:pStyle w:val="nTable"/>
              <w:spacing w:before="60" w:after="60"/>
              <w:rPr>
                <w:b/>
              </w:rPr>
            </w:pPr>
            <w:r>
              <w:rPr>
                <w:b/>
              </w:rPr>
              <w:t xml:space="preserve">Reprint of the </w:t>
            </w:r>
            <w:r>
              <w:rPr>
                <w:b/>
                <w:i/>
              </w:rPr>
              <w:t>Electoral Act 1907</w:t>
            </w:r>
            <w:r>
              <w:rPr>
                <w:b/>
              </w:rPr>
              <w:t xml:space="preserve"> in Appendix Session Volume 1928 </w:t>
            </w:r>
            <w:r>
              <w:t>(includes amendments listed above)</w:t>
            </w:r>
          </w:p>
        </w:tc>
      </w:tr>
      <w:tr>
        <w:trPr>
          <w:cantSplit/>
        </w:trPr>
        <w:tc>
          <w:tcPr>
            <w:tcW w:w="2269" w:type="dxa"/>
          </w:tcPr>
          <w:p>
            <w:pPr>
              <w:pStyle w:val="nTable"/>
              <w:spacing w:before="60" w:after="60"/>
              <w:ind w:right="113"/>
            </w:pPr>
            <w:r>
              <w:rPr>
                <w:i/>
              </w:rPr>
              <w:t>Electoral Act Amendment Act 1931</w:t>
            </w:r>
          </w:p>
        </w:tc>
        <w:tc>
          <w:tcPr>
            <w:tcW w:w="1134" w:type="dxa"/>
          </w:tcPr>
          <w:p>
            <w:pPr>
              <w:pStyle w:val="nTable"/>
              <w:spacing w:before="60" w:after="60"/>
            </w:pPr>
            <w:r>
              <w:t>38 of 1931</w:t>
            </w:r>
            <w:r>
              <w:br/>
              <w:t>(22 Geo. V No. 38)</w:t>
            </w:r>
          </w:p>
        </w:tc>
        <w:tc>
          <w:tcPr>
            <w:tcW w:w="1139" w:type="dxa"/>
          </w:tcPr>
          <w:p>
            <w:pPr>
              <w:pStyle w:val="nTable"/>
              <w:spacing w:before="60" w:after="60"/>
            </w:pPr>
            <w:r>
              <w:t>3 Dec 1931</w:t>
            </w:r>
          </w:p>
        </w:tc>
        <w:tc>
          <w:tcPr>
            <w:tcW w:w="2551" w:type="dxa"/>
            <w:gridSpan w:val="2"/>
          </w:tcPr>
          <w:p>
            <w:pPr>
              <w:pStyle w:val="nTable"/>
              <w:spacing w:before="60" w:after="60"/>
            </w:pPr>
            <w:r>
              <w:t>3 Dec 1931</w:t>
            </w:r>
          </w:p>
        </w:tc>
      </w:tr>
      <w:tr>
        <w:trPr>
          <w:cantSplit/>
        </w:trPr>
        <w:tc>
          <w:tcPr>
            <w:tcW w:w="2269" w:type="dxa"/>
          </w:tcPr>
          <w:p>
            <w:pPr>
              <w:pStyle w:val="nTable"/>
              <w:spacing w:before="60" w:after="60"/>
              <w:ind w:right="113"/>
            </w:pPr>
            <w:r>
              <w:rPr>
                <w:i/>
              </w:rPr>
              <w:t>Electoral Act Amendment Act 1934</w:t>
            </w:r>
          </w:p>
        </w:tc>
        <w:tc>
          <w:tcPr>
            <w:tcW w:w="1134" w:type="dxa"/>
          </w:tcPr>
          <w:p>
            <w:pPr>
              <w:pStyle w:val="nTable"/>
              <w:spacing w:before="60" w:after="60"/>
            </w:pPr>
            <w:r>
              <w:t>39 of 1934</w:t>
            </w:r>
            <w:r>
              <w:br/>
              <w:t>(25 Geo. V No. 38)</w:t>
            </w:r>
          </w:p>
        </w:tc>
        <w:tc>
          <w:tcPr>
            <w:tcW w:w="1139" w:type="dxa"/>
          </w:tcPr>
          <w:p>
            <w:pPr>
              <w:pStyle w:val="nTable"/>
              <w:spacing w:before="60" w:after="60"/>
            </w:pPr>
            <w:r>
              <w:t>4 Jan 1935</w:t>
            </w:r>
          </w:p>
        </w:tc>
        <w:tc>
          <w:tcPr>
            <w:tcW w:w="2551" w:type="dxa"/>
            <w:gridSpan w:val="2"/>
          </w:tcPr>
          <w:p>
            <w:pPr>
              <w:pStyle w:val="nTable"/>
              <w:spacing w:before="60" w:after="60"/>
            </w:pPr>
            <w:r>
              <w:t>4 Jan 1935</w:t>
            </w:r>
          </w:p>
        </w:tc>
      </w:tr>
      <w:tr>
        <w:trPr>
          <w:cantSplit/>
        </w:trPr>
        <w:tc>
          <w:tcPr>
            <w:tcW w:w="2269" w:type="dxa"/>
          </w:tcPr>
          <w:p>
            <w:pPr>
              <w:pStyle w:val="nTable"/>
              <w:spacing w:before="60" w:after="60"/>
              <w:ind w:right="113"/>
            </w:pPr>
            <w:r>
              <w:rPr>
                <w:i/>
              </w:rPr>
              <w:t>Electoral Act Amendment Act 1936</w:t>
            </w:r>
          </w:p>
        </w:tc>
        <w:tc>
          <w:tcPr>
            <w:tcW w:w="1134" w:type="dxa"/>
          </w:tcPr>
          <w:p>
            <w:pPr>
              <w:pStyle w:val="nTable"/>
              <w:spacing w:before="60" w:after="60"/>
            </w:pPr>
            <w:r>
              <w:t>10 of 1936</w:t>
            </w:r>
            <w:r>
              <w:br/>
              <w:t>(1 Edw. VIII No. 10)</w:t>
            </w:r>
          </w:p>
        </w:tc>
        <w:tc>
          <w:tcPr>
            <w:tcW w:w="1139" w:type="dxa"/>
          </w:tcPr>
          <w:p>
            <w:pPr>
              <w:pStyle w:val="nTable"/>
              <w:spacing w:before="60" w:after="60"/>
            </w:pPr>
            <w:r>
              <w:t>3 Dec 1936</w:t>
            </w:r>
          </w:p>
        </w:tc>
        <w:tc>
          <w:tcPr>
            <w:tcW w:w="2551" w:type="dxa"/>
            <w:gridSpan w:val="2"/>
          </w:tcPr>
          <w:p>
            <w:pPr>
              <w:pStyle w:val="nTable"/>
              <w:spacing w:before="60" w:after="60"/>
            </w:pPr>
            <w:r>
              <w:t>3 Dec 1936</w:t>
            </w:r>
          </w:p>
        </w:tc>
      </w:tr>
      <w:tr>
        <w:trPr>
          <w:cantSplit/>
        </w:trPr>
        <w:tc>
          <w:tcPr>
            <w:tcW w:w="2269" w:type="dxa"/>
          </w:tcPr>
          <w:p>
            <w:pPr>
              <w:pStyle w:val="nTable"/>
              <w:spacing w:before="60" w:after="60"/>
              <w:ind w:right="113"/>
              <w:rPr>
                <w:i/>
              </w:rPr>
            </w:pPr>
            <w:r>
              <w:rPr>
                <w:i/>
              </w:rPr>
              <w:t>Electoral Act Amendment Act 1940</w:t>
            </w:r>
          </w:p>
        </w:tc>
        <w:tc>
          <w:tcPr>
            <w:tcW w:w="1134" w:type="dxa"/>
          </w:tcPr>
          <w:p>
            <w:pPr>
              <w:pStyle w:val="nTable"/>
              <w:spacing w:before="60" w:after="60"/>
            </w:pPr>
            <w:r>
              <w:t>18 of 1940</w:t>
            </w:r>
            <w:r>
              <w:br/>
              <w:t>(4 Geo. VI No. 18)</w:t>
            </w:r>
          </w:p>
        </w:tc>
        <w:tc>
          <w:tcPr>
            <w:tcW w:w="1139" w:type="dxa"/>
          </w:tcPr>
          <w:p>
            <w:pPr>
              <w:pStyle w:val="nTable"/>
              <w:spacing w:before="60" w:after="60"/>
            </w:pPr>
            <w:r>
              <w:t>29 Nov 1940</w:t>
            </w:r>
          </w:p>
        </w:tc>
        <w:tc>
          <w:tcPr>
            <w:tcW w:w="2551" w:type="dxa"/>
            <w:gridSpan w:val="2"/>
          </w:tcPr>
          <w:p>
            <w:pPr>
              <w:pStyle w:val="nTable"/>
              <w:spacing w:before="60" w:after="60"/>
            </w:pPr>
            <w:r>
              <w:t>29 Nov 1940</w:t>
            </w:r>
          </w:p>
        </w:tc>
      </w:tr>
      <w:tr>
        <w:trPr>
          <w:cantSplit/>
        </w:trPr>
        <w:tc>
          <w:tcPr>
            <w:tcW w:w="2269" w:type="dxa"/>
          </w:tcPr>
          <w:p>
            <w:pPr>
              <w:pStyle w:val="nTable"/>
              <w:spacing w:before="60" w:after="60"/>
              <w:ind w:right="113"/>
            </w:pPr>
            <w:r>
              <w:rPr>
                <w:i/>
              </w:rPr>
              <w:t>Electoral Act Amendment Act 1940 (No. 3)</w:t>
            </w:r>
          </w:p>
        </w:tc>
        <w:tc>
          <w:tcPr>
            <w:tcW w:w="1134" w:type="dxa"/>
          </w:tcPr>
          <w:p>
            <w:pPr>
              <w:pStyle w:val="nTable"/>
              <w:spacing w:before="60" w:after="60"/>
            </w:pPr>
            <w:r>
              <w:t>47 of 1940</w:t>
            </w:r>
            <w:r>
              <w:br/>
              <w:t>(4 &amp; 5 Geo. VI No. 47)</w:t>
            </w:r>
          </w:p>
        </w:tc>
        <w:tc>
          <w:tcPr>
            <w:tcW w:w="1139" w:type="dxa"/>
          </w:tcPr>
          <w:p>
            <w:pPr>
              <w:pStyle w:val="nTable"/>
              <w:spacing w:before="60" w:after="60"/>
            </w:pPr>
            <w:r>
              <w:t>30 Dec 1940</w:t>
            </w:r>
          </w:p>
        </w:tc>
        <w:tc>
          <w:tcPr>
            <w:tcW w:w="2551" w:type="dxa"/>
            <w:gridSpan w:val="2"/>
          </w:tcPr>
          <w:p>
            <w:pPr>
              <w:pStyle w:val="nTable"/>
              <w:spacing w:before="60" w:after="60"/>
            </w:pPr>
            <w:r>
              <w:t>30 Dec 1940</w:t>
            </w:r>
          </w:p>
        </w:tc>
      </w:tr>
      <w:tr>
        <w:trPr>
          <w:cantSplit/>
        </w:trPr>
        <w:tc>
          <w:tcPr>
            <w:tcW w:w="7093" w:type="dxa"/>
            <w:gridSpan w:val="5"/>
          </w:tcPr>
          <w:p>
            <w:pPr>
              <w:pStyle w:val="nTable"/>
              <w:spacing w:before="60" w:after="60"/>
            </w:pPr>
            <w:r>
              <w:rPr>
                <w:b/>
              </w:rPr>
              <w:t xml:space="preserve">Reprint of the </w:t>
            </w:r>
            <w:r>
              <w:rPr>
                <w:b/>
                <w:i/>
              </w:rPr>
              <w:t>Electoral Act 1907</w:t>
            </w:r>
            <w:r>
              <w:rPr>
                <w:b/>
              </w:rPr>
              <w:t xml:space="preserve"> in Volume 2 of Reprinted Acts </w:t>
            </w:r>
            <w:r>
              <w:rPr>
                <w:b/>
                <w:vertAlign w:val="superscript"/>
              </w:rPr>
              <w:t>6</w:t>
            </w:r>
            <w:r>
              <w:rPr>
                <w:rFonts w:ascii="Times" w:hAnsi="Times"/>
                <w:b/>
              </w:rPr>
              <w:t xml:space="preserve"> </w:t>
            </w:r>
            <w:r>
              <w:t>(includes amendments listed above)</w:t>
            </w:r>
          </w:p>
        </w:tc>
      </w:tr>
      <w:tr>
        <w:trPr>
          <w:cantSplit/>
        </w:trPr>
        <w:tc>
          <w:tcPr>
            <w:tcW w:w="2269" w:type="dxa"/>
          </w:tcPr>
          <w:p>
            <w:pPr>
              <w:pStyle w:val="nTable"/>
              <w:spacing w:before="60" w:after="60"/>
              <w:ind w:right="113"/>
              <w:rPr>
                <w:i/>
              </w:rPr>
            </w:pPr>
            <w:r>
              <w:rPr>
                <w:i/>
              </w:rPr>
              <w:t>Electoral Act Amendment Act 1948</w:t>
            </w:r>
          </w:p>
        </w:tc>
        <w:tc>
          <w:tcPr>
            <w:tcW w:w="1134" w:type="dxa"/>
          </w:tcPr>
          <w:p>
            <w:pPr>
              <w:pStyle w:val="nTable"/>
              <w:spacing w:before="60" w:after="60"/>
            </w:pPr>
            <w:r>
              <w:t>63 of 1948</w:t>
            </w:r>
            <w:r>
              <w:br/>
              <w:t>(12 &amp; 13 Geo. VI No. 63)</w:t>
            </w:r>
          </w:p>
        </w:tc>
        <w:tc>
          <w:tcPr>
            <w:tcW w:w="1139" w:type="dxa"/>
          </w:tcPr>
          <w:p>
            <w:pPr>
              <w:pStyle w:val="nTable"/>
              <w:spacing w:before="60" w:after="60"/>
            </w:pPr>
            <w:r>
              <w:t>21 Jan 1949</w:t>
            </w:r>
          </w:p>
        </w:tc>
        <w:tc>
          <w:tcPr>
            <w:tcW w:w="2551" w:type="dxa"/>
            <w:gridSpan w:val="2"/>
          </w:tcPr>
          <w:p>
            <w:pPr>
              <w:pStyle w:val="nTable"/>
              <w:spacing w:before="60" w:after="60"/>
            </w:pPr>
            <w:r>
              <w:t xml:space="preserve">27 May 1949 (see s. 1 and </w:t>
            </w:r>
            <w:r>
              <w:rPr>
                <w:i/>
              </w:rPr>
              <w:t>Gazette</w:t>
            </w:r>
            <w:r>
              <w:t xml:space="preserve"> 27 May 1949 p. 1133)</w:t>
            </w:r>
          </w:p>
        </w:tc>
      </w:tr>
      <w:tr>
        <w:trPr>
          <w:cantSplit/>
        </w:trPr>
        <w:tc>
          <w:tcPr>
            <w:tcW w:w="7093" w:type="dxa"/>
            <w:gridSpan w:val="5"/>
          </w:tcPr>
          <w:p>
            <w:pPr>
              <w:pStyle w:val="nTable"/>
              <w:spacing w:before="60" w:after="60"/>
              <w:rPr>
                <w:vertAlign w:val="superscript"/>
              </w:rPr>
            </w:pPr>
            <w:r>
              <w:rPr>
                <w:b/>
              </w:rPr>
              <w:t xml:space="preserve">Reprint of the </w:t>
            </w:r>
            <w:r>
              <w:rPr>
                <w:b/>
                <w:i/>
              </w:rPr>
              <w:t>Electoral Act 1907</w:t>
            </w:r>
            <w:r>
              <w:rPr>
                <w:b/>
              </w:rPr>
              <w:t xml:space="preserve"> approved 21 Oct 1949 (not in a Volume) </w:t>
            </w:r>
            <w:r>
              <w:t xml:space="preserve">(includes amendments listed above and in the </w:t>
            </w:r>
            <w:r>
              <w:rPr>
                <w:i/>
              </w:rPr>
              <w:t>Electoral Act Amendment Act 1949</w:t>
            </w:r>
            <w:r>
              <w:t>)</w:t>
            </w:r>
          </w:p>
        </w:tc>
      </w:tr>
      <w:tr>
        <w:trPr>
          <w:cantSplit/>
        </w:trPr>
        <w:tc>
          <w:tcPr>
            <w:tcW w:w="2269" w:type="dxa"/>
          </w:tcPr>
          <w:p>
            <w:pPr>
              <w:pStyle w:val="nTable"/>
              <w:spacing w:before="60" w:after="60"/>
              <w:ind w:right="113"/>
              <w:rPr>
                <w:i/>
              </w:rPr>
            </w:pPr>
            <w:r>
              <w:rPr>
                <w:i/>
              </w:rPr>
              <w:t>Electoral Act Amendment Act 1949</w:t>
            </w:r>
          </w:p>
        </w:tc>
        <w:tc>
          <w:tcPr>
            <w:tcW w:w="1134" w:type="dxa"/>
          </w:tcPr>
          <w:p>
            <w:pPr>
              <w:pStyle w:val="nTable"/>
              <w:spacing w:before="60" w:after="60"/>
            </w:pPr>
            <w:r>
              <w:t>26 of 1949</w:t>
            </w:r>
            <w:r>
              <w:br/>
              <w:t>(13 Geo. VI No. 112)</w:t>
            </w:r>
          </w:p>
        </w:tc>
        <w:tc>
          <w:tcPr>
            <w:tcW w:w="1139" w:type="dxa"/>
          </w:tcPr>
          <w:p>
            <w:pPr>
              <w:pStyle w:val="nTable"/>
              <w:spacing w:before="60" w:after="60"/>
            </w:pPr>
            <w:r>
              <w:t>22 Oct 1949</w:t>
            </w:r>
          </w:p>
        </w:tc>
        <w:tc>
          <w:tcPr>
            <w:tcW w:w="2551" w:type="dxa"/>
            <w:gridSpan w:val="2"/>
          </w:tcPr>
          <w:p>
            <w:pPr>
              <w:pStyle w:val="nTable"/>
              <w:spacing w:before="60" w:after="60"/>
            </w:pPr>
            <w:r>
              <w:t>22 Oct 1949</w:t>
            </w:r>
          </w:p>
        </w:tc>
      </w:tr>
      <w:tr>
        <w:trPr>
          <w:cantSplit/>
        </w:trPr>
        <w:tc>
          <w:tcPr>
            <w:tcW w:w="2269" w:type="dxa"/>
          </w:tcPr>
          <w:p>
            <w:pPr>
              <w:pStyle w:val="nTable"/>
              <w:spacing w:before="60" w:after="60"/>
              <w:ind w:right="113"/>
              <w:rPr>
                <w:i/>
              </w:rPr>
            </w:pPr>
            <w:r>
              <w:rPr>
                <w:i/>
              </w:rPr>
              <w:t>Electoral Act Amendment Act 1951</w:t>
            </w:r>
          </w:p>
        </w:tc>
        <w:tc>
          <w:tcPr>
            <w:tcW w:w="1134" w:type="dxa"/>
          </w:tcPr>
          <w:p>
            <w:pPr>
              <w:pStyle w:val="nTable"/>
              <w:spacing w:before="60" w:after="60"/>
            </w:pPr>
            <w:r>
              <w:t>58 of 1951</w:t>
            </w:r>
            <w:r>
              <w:br/>
              <w:t>(15 &amp; 16 Geo. VI No. 58)</w:t>
            </w:r>
          </w:p>
        </w:tc>
        <w:tc>
          <w:tcPr>
            <w:tcW w:w="1139" w:type="dxa"/>
          </w:tcPr>
          <w:p>
            <w:pPr>
              <w:pStyle w:val="nTable"/>
              <w:spacing w:before="60" w:after="60"/>
            </w:pPr>
            <w:r>
              <w:t>7 Jan 1952</w:t>
            </w:r>
          </w:p>
        </w:tc>
        <w:tc>
          <w:tcPr>
            <w:tcW w:w="2551" w:type="dxa"/>
            <w:gridSpan w:val="2"/>
          </w:tcPr>
          <w:p>
            <w:pPr>
              <w:pStyle w:val="nTable"/>
              <w:spacing w:before="60" w:after="60"/>
            </w:pPr>
            <w:r>
              <w:t>7 Jan 1952</w:t>
            </w:r>
          </w:p>
        </w:tc>
      </w:tr>
      <w:tr>
        <w:trPr>
          <w:cantSplit/>
        </w:trPr>
        <w:tc>
          <w:tcPr>
            <w:tcW w:w="2269" w:type="dxa"/>
          </w:tcPr>
          <w:p>
            <w:pPr>
              <w:pStyle w:val="nTable"/>
              <w:spacing w:before="60" w:after="60"/>
              <w:ind w:right="113"/>
              <w:rPr>
                <w:i/>
              </w:rPr>
            </w:pPr>
            <w:r>
              <w:rPr>
                <w:i/>
              </w:rPr>
              <w:t>Electoral Act Amendment Act 1952</w:t>
            </w:r>
          </w:p>
        </w:tc>
        <w:tc>
          <w:tcPr>
            <w:tcW w:w="1134" w:type="dxa"/>
          </w:tcPr>
          <w:p>
            <w:pPr>
              <w:pStyle w:val="nTable"/>
              <w:spacing w:before="60" w:after="60"/>
            </w:pPr>
            <w:r>
              <w:t>57 of 1952</w:t>
            </w:r>
            <w:r>
              <w:br/>
              <w:t>(1 Eliz. II No. 57)</w:t>
            </w:r>
          </w:p>
        </w:tc>
        <w:tc>
          <w:tcPr>
            <w:tcW w:w="1139" w:type="dxa"/>
          </w:tcPr>
          <w:p>
            <w:pPr>
              <w:pStyle w:val="nTable"/>
              <w:spacing w:before="60" w:after="60"/>
            </w:pPr>
            <w:r>
              <w:t>23 Dec 1952</w:t>
            </w:r>
          </w:p>
        </w:tc>
        <w:tc>
          <w:tcPr>
            <w:tcW w:w="2551" w:type="dxa"/>
            <w:gridSpan w:val="2"/>
          </w:tcPr>
          <w:p>
            <w:pPr>
              <w:pStyle w:val="nTable"/>
              <w:spacing w:before="60" w:after="60"/>
            </w:pPr>
            <w:r>
              <w:t>23 Dec 1952</w:t>
            </w:r>
          </w:p>
        </w:tc>
      </w:tr>
      <w:tr>
        <w:trPr>
          <w:cantSplit/>
        </w:trPr>
        <w:tc>
          <w:tcPr>
            <w:tcW w:w="2269" w:type="dxa"/>
          </w:tcPr>
          <w:p>
            <w:pPr>
              <w:pStyle w:val="nTable"/>
              <w:spacing w:before="60" w:after="60"/>
              <w:ind w:right="113"/>
            </w:pPr>
            <w:r>
              <w:rPr>
                <w:i/>
              </w:rPr>
              <w:t>Electoral Act Amendment Act (No. 2) 1953</w:t>
            </w:r>
          </w:p>
        </w:tc>
        <w:tc>
          <w:tcPr>
            <w:tcW w:w="1134" w:type="dxa"/>
          </w:tcPr>
          <w:p>
            <w:pPr>
              <w:pStyle w:val="nTable"/>
              <w:spacing w:before="60" w:after="60"/>
            </w:pPr>
            <w:r>
              <w:t>34 of 1953</w:t>
            </w:r>
            <w:r>
              <w:br/>
              <w:t>(2 Eliz. II No. 34)</w:t>
            </w:r>
          </w:p>
        </w:tc>
        <w:tc>
          <w:tcPr>
            <w:tcW w:w="1139" w:type="dxa"/>
          </w:tcPr>
          <w:p>
            <w:pPr>
              <w:pStyle w:val="nTable"/>
              <w:spacing w:before="60" w:after="60"/>
            </w:pPr>
            <w:r>
              <w:t>18 Dec 1953</w:t>
            </w:r>
          </w:p>
        </w:tc>
        <w:tc>
          <w:tcPr>
            <w:tcW w:w="2551" w:type="dxa"/>
            <w:gridSpan w:val="2"/>
          </w:tcPr>
          <w:p>
            <w:pPr>
              <w:pStyle w:val="nTable"/>
              <w:spacing w:before="60" w:after="60"/>
            </w:pPr>
            <w:r>
              <w:t>18 Dec 1953</w:t>
            </w:r>
          </w:p>
        </w:tc>
      </w:tr>
      <w:tr>
        <w:trPr>
          <w:cantSplit/>
        </w:trPr>
        <w:tc>
          <w:tcPr>
            <w:tcW w:w="7093" w:type="dxa"/>
            <w:gridSpan w:val="5"/>
          </w:tcPr>
          <w:p>
            <w:pPr>
              <w:pStyle w:val="nTable"/>
              <w:spacing w:before="60" w:after="60"/>
            </w:pPr>
            <w:r>
              <w:rPr>
                <w:b/>
              </w:rPr>
              <w:t xml:space="preserve">Reprint of the </w:t>
            </w:r>
            <w:r>
              <w:rPr>
                <w:b/>
                <w:i/>
              </w:rPr>
              <w:t>Electoral Act 1907</w:t>
            </w:r>
            <w:r>
              <w:rPr>
                <w:b/>
              </w:rPr>
              <w:t xml:space="preserve"> approved 19 Mar 1956 in Volume 9 of Reprinted Acts </w:t>
            </w:r>
            <w:r>
              <w:t>(includes amendments listed above)</w:t>
            </w:r>
          </w:p>
        </w:tc>
      </w:tr>
      <w:tr>
        <w:trPr>
          <w:cantSplit/>
        </w:trPr>
        <w:tc>
          <w:tcPr>
            <w:tcW w:w="2269" w:type="dxa"/>
          </w:tcPr>
          <w:p>
            <w:pPr>
              <w:pStyle w:val="nTable"/>
              <w:spacing w:before="60" w:after="60"/>
              <w:ind w:right="113"/>
            </w:pPr>
            <w:r>
              <w:rPr>
                <w:i/>
              </w:rPr>
              <w:t>Electoral Act Amendment Act (No. 2) 1957</w:t>
            </w:r>
          </w:p>
        </w:tc>
        <w:tc>
          <w:tcPr>
            <w:tcW w:w="1134" w:type="dxa"/>
          </w:tcPr>
          <w:p>
            <w:pPr>
              <w:pStyle w:val="nTable"/>
              <w:spacing w:before="60" w:after="60"/>
            </w:pPr>
            <w:r>
              <w:t>53 of 1957</w:t>
            </w:r>
            <w:r>
              <w:br/>
              <w:t>(6 Eliz. II No. 53)</w:t>
            </w:r>
          </w:p>
        </w:tc>
        <w:tc>
          <w:tcPr>
            <w:tcW w:w="1139" w:type="dxa"/>
          </w:tcPr>
          <w:p>
            <w:pPr>
              <w:pStyle w:val="nTable"/>
              <w:spacing w:before="60" w:after="60"/>
            </w:pPr>
            <w:r>
              <w:t>6 Dec 1957</w:t>
            </w:r>
          </w:p>
        </w:tc>
        <w:tc>
          <w:tcPr>
            <w:tcW w:w="2551" w:type="dxa"/>
            <w:gridSpan w:val="2"/>
          </w:tcPr>
          <w:p>
            <w:pPr>
              <w:pStyle w:val="nTable"/>
              <w:spacing w:before="60" w:after="60"/>
            </w:pPr>
            <w:r>
              <w:t xml:space="preserve">14 Feb 1958 (see s. 2 and </w:t>
            </w:r>
            <w:r>
              <w:rPr>
                <w:i/>
              </w:rPr>
              <w:t>Gazette</w:t>
            </w:r>
            <w:r>
              <w:t xml:space="preserve"> 14 Feb 1958 p. 244)</w:t>
            </w:r>
          </w:p>
        </w:tc>
      </w:tr>
      <w:tr>
        <w:trPr>
          <w:cantSplit/>
        </w:trPr>
        <w:tc>
          <w:tcPr>
            <w:tcW w:w="2269" w:type="dxa"/>
          </w:tcPr>
          <w:p>
            <w:pPr>
              <w:pStyle w:val="nTable"/>
              <w:spacing w:before="60" w:after="60"/>
              <w:ind w:right="113"/>
            </w:pPr>
            <w:r>
              <w:rPr>
                <w:i/>
              </w:rPr>
              <w:t>Electoral Act Amendment Act (No. 3) 1959</w:t>
            </w:r>
          </w:p>
        </w:tc>
        <w:tc>
          <w:tcPr>
            <w:tcW w:w="1134" w:type="dxa"/>
          </w:tcPr>
          <w:p>
            <w:pPr>
              <w:pStyle w:val="nTable"/>
              <w:spacing w:before="60" w:after="60"/>
            </w:pPr>
            <w:r>
              <w:t>59 of 1959</w:t>
            </w:r>
            <w:r>
              <w:br/>
              <w:t>(8 Eliz. II No. 59)</w:t>
            </w:r>
          </w:p>
        </w:tc>
        <w:tc>
          <w:tcPr>
            <w:tcW w:w="1139" w:type="dxa"/>
          </w:tcPr>
          <w:p>
            <w:pPr>
              <w:pStyle w:val="nTable"/>
              <w:spacing w:before="60" w:after="60"/>
            </w:pPr>
            <w:r>
              <w:t>3 Dec 1959</w:t>
            </w:r>
          </w:p>
        </w:tc>
        <w:tc>
          <w:tcPr>
            <w:tcW w:w="2551" w:type="dxa"/>
            <w:gridSpan w:val="2"/>
          </w:tcPr>
          <w:p>
            <w:pPr>
              <w:pStyle w:val="nTable"/>
              <w:spacing w:before="60" w:after="60"/>
            </w:pPr>
            <w:r>
              <w:t xml:space="preserve">15 Jan 1960 (see s. 2 and </w:t>
            </w:r>
            <w:r>
              <w:rPr>
                <w:i/>
              </w:rPr>
              <w:t>Gazette</w:t>
            </w:r>
            <w:r>
              <w:t xml:space="preserve"> 15 Jan 1960 p. 35)</w:t>
            </w:r>
          </w:p>
        </w:tc>
      </w:tr>
      <w:tr>
        <w:trPr>
          <w:cantSplit/>
        </w:trPr>
        <w:tc>
          <w:tcPr>
            <w:tcW w:w="7093" w:type="dxa"/>
            <w:gridSpan w:val="5"/>
          </w:tcPr>
          <w:p>
            <w:pPr>
              <w:pStyle w:val="nTable"/>
              <w:spacing w:before="60" w:after="60"/>
            </w:pPr>
            <w:r>
              <w:rPr>
                <w:b/>
              </w:rPr>
              <w:t xml:space="preserve">Reprint of the </w:t>
            </w:r>
            <w:r>
              <w:rPr>
                <w:b/>
                <w:i/>
              </w:rPr>
              <w:t>Electoral Act 1907</w:t>
            </w:r>
            <w:r>
              <w:rPr>
                <w:b/>
              </w:rPr>
              <w:t xml:space="preserve"> approved 26 Feb 1962 (not in a Volume) </w:t>
            </w:r>
            <w:r>
              <w:t>(includes amendments listed above)</w:t>
            </w:r>
          </w:p>
        </w:tc>
      </w:tr>
      <w:tr>
        <w:trPr>
          <w:cantSplit/>
        </w:trPr>
        <w:tc>
          <w:tcPr>
            <w:tcW w:w="2269" w:type="dxa"/>
          </w:tcPr>
          <w:p>
            <w:pPr>
              <w:pStyle w:val="nTable"/>
              <w:spacing w:before="60" w:after="60"/>
              <w:ind w:right="113"/>
              <w:rPr>
                <w:i/>
              </w:rPr>
            </w:pPr>
            <w:r>
              <w:rPr>
                <w:i/>
              </w:rPr>
              <w:t>Electoral Act Amendment Act 1962</w:t>
            </w:r>
          </w:p>
        </w:tc>
        <w:tc>
          <w:tcPr>
            <w:tcW w:w="1134" w:type="dxa"/>
          </w:tcPr>
          <w:p>
            <w:pPr>
              <w:pStyle w:val="nTable"/>
              <w:spacing w:before="60" w:after="60"/>
            </w:pPr>
            <w:r>
              <w:t>51 of 1962</w:t>
            </w:r>
            <w:r>
              <w:br/>
              <w:t>(11 Eliz. II No. 51)</w:t>
            </w:r>
          </w:p>
        </w:tc>
        <w:tc>
          <w:tcPr>
            <w:tcW w:w="1139" w:type="dxa"/>
          </w:tcPr>
          <w:p>
            <w:pPr>
              <w:pStyle w:val="nTable"/>
              <w:spacing w:before="60" w:after="60"/>
            </w:pPr>
            <w:r>
              <w:t>20 Nov 1962</w:t>
            </w:r>
          </w:p>
        </w:tc>
        <w:tc>
          <w:tcPr>
            <w:tcW w:w="2551" w:type="dxa"/>
            <w:gridSpan w:val="2"/>
          </w:tcPr>
          <w:p>
            <w:pPr>
              <w:pStyle w:val="nTable"/>
              <w:spacing w:before="60" w:after="60"/>
            </w:pPr>
            <w:r>
              <w:t>20 Nov 1962</w:t>
            </w:r>
          </w:p>
        </w:tc>
      </w:tr>
      <w:tr>
        <w:trPr>
          <w:cantSplit/>
        </w:trPr>
        <w:tc>
          <w:tcPr>
            <w:tcW w:w="2269" w:type="dxa"/>
          </w:tcPr>
          <w:p>
            <w:pPr>
              <w:pStyle w:val="nTable"/>
              <w:spacing w:before="60" w:after="60"/>
              <w:ind w:right="113"/>
              <w:rPr>
                <w:i/>
              </w:rPr>
            </w:pPr>
            <w:r>
              <w:rPr>
                <w:i/>
              </w:rPr>
              <w:t>Electoral Act Amendment Act 1964</w:t>
            </w:r>
          </w:p>
        </w:tc>
        <w:tc>
          <w:tcPr>
            <w:tcW w:w="1134" w:type="dxa"/>
          </w:tcPr>
          <w:p>
            <w:pPr>
              <w:pStyle w:val="nTable"/>
              <w:spacing w:before="60" w:after="60"/>
            </w:pPr>
            <w:r>
              <w:t>33 of 1964</w:t>
            </w:r>
            <w:r>
              <w:br/>
              <w:t>(13 Eliz. II No. 33)</w:t>
            </w:r>
          </w:p>
        </w:tc>
        <w:tc>
          <w:tcPr>
            <w:tcW w:w="1139" w:type="dxa"/>
          </w:tcPr>
          <w:p>
            <w:pPr>
              <w:pStyle w:val="nTable"/>
              <w:spacing w:before="60" w:after="60"/>
            </w:pPr>
            <w:r>
              <w:t>3 Nov 1964</w:t>
            </w:r>
          </w:p>
        </w:tc>
        <w:tc>
          <w:tcPr>
            <w:tcW w:w="2551" w:type="dxa"/>
            <w:gridSpan w:val="2"/>
          </w:tcPr>
          <w:p>
            <w:pPr>
              <w:pStyle w:val="nTable"/>
              <w:spacing w:before="60" w:after="60"/>
            </w:pPr>
            <w:r>
              <w:t xml:space="preserve">31 Dec 1964 (see s. 2 and </w:t>
            </w:r>
            <w:r>
              <w:rPr>
                <w:i/>
              </w:rPr>
              <w:t xml:space="preserve">Gazette </w:t>
            </w:r>
            <w:r>
              <w:t>24 Dec 1964 p. 4094)</w:t>
            </w:r>
          </w:p>
        </w:tc>
      </w:tr>
      <w:tr>
        <w:trPr>
          <w:cantSplit/>
        </w:trPr>
        <w:tc>
          <w:tcPr>
            <w:tcW w:w="2269" w:type="dxa"/>
          </w:tcPr>
          <w:p>
            <w:pPr>
              <w:pStyle w:val="nTable"/>
              <w:spacing w:before="60" w:after="60"/>
              <w:ind w:right="113"/>
            </w:pPr>
            <w:r>
              <w:rPr>
                <w:i/>
              </w:rPr>
              <w:t>Electoral Act Amendment Act (No. 3) 1964</w:t>
            </w:r>
          </w:p>
        </w:tc>
        <w:tc>
          <w:tcPr>
            <w:tcW w:w="1134" w:type="dxa"/>
          </w:tcPr>
          <w:p>
            <w:pPr>
              <w:pStyle w:val="nTable"/>
              <w:spacing w:before="60" w:after="60"/>
            </w:pPr>
            <w:r>
              <w:t>68 of 1964</w:t>
            </w:r>
            <w:r>
              <w:br/>
              <w:t>(13 Eliz. II No. 68)</w:t>
            </w:r>
          </w:p>
        </w:tc>
        <w:tc>
          <w:tcPr>
            <w:tcW w:w="1139" w:type="dxa"/>
          </w:tcPr>
          <w:p>
            <w:pPr>
              <w:pStyle w:val="nTable"/>
              <w:spacing w:before="60" w:after="60"/>
            </w:pPr>
            <w:r>
              <w:t>4 Dec 1964</w:t>
            </w:r>
          </w:p>
        </w:tc>
        <w:tc>
          <w:tcPr>
            <w:tcW w:w="2551" w:type="dxa"/>
            <w:gridSpan w:val="2"/>
          </w:tcPr>
          <w:p>
            <w:pPr>
              <w:pStyle w:val="nTable"/>
              <w:spacing w:before="60" w:after="60"/>
            </w:pPr>
            <w:r>
              <w:t xml:space="preserve">31 Dec 1964 (see s. 2 and </w:t>
            </w:r>
            <w:r>
              <w:rPr>
                <w:i/>
              </w:rPr>
              <w:t xml:space="preserve">Gazette </w:t>
            </w:r>
            <w:r>
              <w:t>24 Dec 1964 p. 4094)</w:t>
            </w:r>
          </w:p>
        </w:tc>
      </w:tr>
      <w:tr>
        <w:trPr>
          <w:cantSplit/>
        </w:trPr>
        <w:tc>
          <w:tcPr>
            <w:tcW w:w="7093" w:type="dxa"/>
            <w:gridSpan w:val="5"/>
          </w:tcPr>
          <w:p>
            <w:pPr>
              <w:pStyle w:val="nTable"/>
              <w:spacing w:before="60" w:after="60"/>
            </w:pPr>
            <w:r>
              <w:rPr>
                <w:b/>
              </w:rPr>
              <w:t xml:space="preserve">Reprint of the </w:t>
            </w:r>
            <w:r>
              <w:rPr>
                <w:b/>
                <w:i/>
              </w:rPr>
              <w:t>Electoral Act 1907</w:t>
            </w:r>
            <w:r>
              <w:rPr>
                <w:b/>
              </w:rPr>
              <w:t xml:space="preserve"> approved 9 Feb 1965 in Volume 19 of Reprinted Acts </w:t>
            </w:r>
            <w:r>
              <w:t>(includes amendments listed above)</w:t>
            </w:r>
          </w:p>
        </w:tc>
      </w:tr>
      <w:tr>
        <w:trPr>
          <w:cantSplit/>
        </w:trPr>
        <w:tc>
          <w:tcPr>
            <w:tcW w:w="2269" w:type="dxa"/>
          </w:tcPr>
          <w:p>
            <w:pPr>
              <w:pStyle w:val="nTable"/>
              <w:spacing w:before="60" w:after="60"/>
              <w:ind w:right="113"/>
              <w:rPr>
                <w:i/>
              </w:rPr>
            </w:pPr>
            <w:r>
              <w:rPr>
                <w:i/>
              </w:rPr>
              <w:t>Decimal Currency Act 1965</w:t>
            </w:r>
          </w:p>
        </w:tc>
        <w:tc>
          <w:tcPr>
            <w:tcW w:w="1134" w:type="dxa"/>
          </w:tcPr>
          <w:p>
            <w:pPr>
              <w:pStyle w:val="nTable"/>
              <w:spacing w:before="60" w:after="60"/>
            </w:pPr>
            <w:r>
              <w:t>113 of 1965</w:t>
            </w:r>
          </w:p>
        </w:tc>
        <w:tc>
          <w:tcPr>
            <w:tcW w:w="1139" w:type="dxa"/>
          </w:tcPr>
          <w:p>
            <w:pPr>
              <w:pStyle w:val="nTable"/>
              <w:spacing w:before="60" w:after="60"/>
            </w:pPr>
            <w:r>
              <w:t>21 Dec 1965</w:t>
            </w:r>
          </w:p>
        </w:tc>
        <w:tc>
          <w:tcPr>
            <w:tcW w:w="2551" w:type="dxa"/>
            <w:gridSpan w:val="2"/>
          </w:tcPr>
          <w:p>
            <w:pPr>
              <w:pStyle w:val="nTable"/>
              <w:spacing w:before="60" w:after="60"/>
            </w:pPr>
            <w:r>
              <w:t>Act other than s. 4</w:t>
            </w:r>
            <w:r>
              <w:noBreakHyphen/>
              <w:t>9: 21 Dec 1965 (see s. 2(1));</w:t>
            </w:r>
            <w:r>
              <w:br/>
              <w:t>s. 4</w:t>
            </w:r>
            <w:r>
              <w:noBreakHyphen/>
              <w:t>9: 14 Feb 1966 (see s. 2(2))</w:t>
            </w:r>
          </w:p>
        </w:tc>
      </w:tr>
      <w:tr>
        <w:trPr>
          <w:cantSplit/>
        </w:trPr>
        <w:tc>
          <w:tcPr>
            <w:tcW w:w="2269" w:type="dxa"/>
          </w:tcPr>
          <w:p>
            <w:pPr>
              <w:pStyle w:val="nTable"/>
              <w:spacing w:before="60" w:after="60"/>
              <w:ind w:right="113"/>
              <w:rPr>
                <w:i/>
              </w:rPr>
            </w:pPr>
            <w:r>
              <w:rPr>
                <w:i/>
              </w:rPr>
              <w:t>Electoral Act Amendment Act 1967</w:t>
            </w:r>
          </w:p>
        </w:tc>
        <w:tc>
          <w:tcPr>
            <w:tcW w:w="1134" w:type="dxa"/>
          </w:tcPr>
          <w:p>
            <w:pPr>
              <w:pStyle w:val="nTable"/>
              <w:spacing w:before="60" w:after="60"/>
            </w:pPr>
            <w:r>
              <w:t>33 of 1967</w:t>
            </w:r>
          </w:p>
        </w:tc>
        <w:tc>
          <w:tcPr>
            <w:tcW w:w="1139" w:type="dxa"/>
          </w:tcPr>
          <w:p>
            <w:pPr>
              <w:pStyle w:val="nTable"/>
              <w:spacing w:before="60" w:after="60"/>
            </w:pPr>
            <w:r>
              <w:t>17 Nov 1967</w:t>
            </w:r>
          </w:p>
        </w:tc>
        <w:tc>
          <w:tcPr>
            <w:tcW w:w="2551" w:type="dxa"/>
            <w:gridSpan w:val="2"/>
          </w:tcPr>
          <w:p>
            <w:pPr>
              <w:pStyle w:val="nTable"/>
              <w:spacing w:before="60" w:after="60"/>
            </w:pPr>
            <w:r>
              <w:t xml:space="preserve">24 Nov 1967 (see s. 2 and </w:t>
            </w:r>
            <w:r>
              <w:rPr>
                <w:i/>
              </w:rPr>
              <w:t xml:space="preserve">Gazette </w:t>
            </w:r>
            <w:r>
              <w:t>24 Nov 1967 p. 3195)</w:t>
            </w:r>
          </w:p>
        </w:tc>
      </w:tr>
      <w:tr>
        <w:trPr>
          <w:cantSplit/>
        </w:trPr>
        <w:tc>
          <w:tcPr>
            <w:tcW w:w="2269" w:type="dxa"/>
          </w:tcPr>
          <w:p>
            <w:pPr>
              <w:pStyle w:val="nTable"/>
              <w:spacing w:before="60" w:after="60"/>
              <w:ind w:right="113"/>
              <w:rPr>
                <w:i/>
              </w:rPr>
            </w:pPr>
            <w:r>
              <w:rPr>
                <w:i/>
              </w:rPr>
              <w:t>Electoral Act Amendment Act 1970</w:t>
            </w:r>
          </w:p>
        </w:tc>
        <w:tc>
          <w:tcPr>
            <w:tcW w:w="1134" w:type="dxa"/>
          </w:tcPr>
          <w:p>
            <w:pPr>
              <w:pStyle w:val="nTable"/>
              <w:spacing w:before="60" w:after="60"/>
            </w:pPr>
            <w:r>
              <w:t>28 of 1970</w:t>
            </w:r>
          </w:p>
        </w:tc>
        <w:tc>
          <w:tcPr>
            <w:tcW w:w="1139" w:type="dxa"/>
          </w:tcPr>
          <w:p>
            <w:pPr>
              <w:pStyle w:val="nTable"/>
              <w:spacing w:before="60" w:after="60"/>
            </w:pPr>
            <w:r>
              <w:t>20 May 1970</w:t>
            </w:r>
          </w:p>
        </w:tc>
        <w:tc>
          <w:tcPr>
            <w:tcW w:w="2551" w:type="dxa"/>
            <w:gridSpan w:val="2"/>
          </w:tcPr>
          <w:p>
            <w:pPr>
              <w:pStyle w:val="nTable"/>
              <w:spacing w:before="60" w:after="60"/>
            </w:pPr>
            <w:r>
              <w:t xml:space="preserve">1 Nov 1970 (see s. 2 and </w:t>
            </w:r>
            <w:r>
              <w:rPr>
                <w:i/>
              </w:rPr>
              <w:t>Gazette</w:t>
            </w:r>
            <w:r>
              <w:t xml:space="preserve"> 30 Oct 1970 p. 3343)</w:t>
            </w:r>
          </w:p>
        </w:tc>
      </w:tr>
      <w:tr>
        <w:trPr>
          <w:cantSplit/>
        </w:trPr>
        <w:tc>
          <w:tcPr>
            <w:tcW w:w="2269" w:type="dxa"/>
          </w:tcPr>
          <w:p>
            <w:pPr>
              <w:pStyle w:val="nTable"/>
              <w:spacing w:before="60" w:after="60"/>
              <w:ind w:right="113"/>
            </w:pPr>
            <w:r>
              <w:rPr>
                <w:i/>
              </w:rPr>
              <w:t>Electoral Act Amendment Act (No. 2) 1970</w:t>
            </w:r>
          </w:p>
        </w:tc>
        <w:tc>
          <w:tcPr>
            <w:tcW w:w="1134" w:type="dxa"/>
          </w:tcPr>
          <w:p>
            <w:pPr>
              <w:pStyle w:val="nTable"/>
              <w:spacing w:before="60" w:after="60"/>
            </w:pPr>
            <w:r>
              <w:t>94 of 1970</w:t>
            </w:r>
          </w:p>
        </w:tc>
        <w:tc>
          <w:tcPr>
            <w:tcW w:w="1139" w:type="dxa"/>
          </w:tcPr>
          <w:p>
            <w:pPr>
              <w:pStyle w:val="nTable"/>
              <w:spacing w:before="60" w:after="60"/>
            </w:pPr>
            <w:r>
              <w:t>30 Nov 1970</w:t>
            </w:r>
          </w:p>
        </w:tc>
        <w:tc>
          <w:tcPr>
            <w:tcW w:w="2551" w:type="dxa"/>
            <w:gridSpan w:val="2"/>
          </w:tcPr>
          <w:p>
            <w:pPr>
              <w:pStyle w:val="nTable"/>
              <w:spacing w:before="60" w:after="60"/>
            </w:pPr>
            <w:r>
              <w:t xml:space="preserve">5 Dec 1970 (see s. 2 and </w:t>
            </w:r>
            <w:r>
              <w:rPr>
                <w:i/>
              </w:rPr>
              <w:t>Gazette</w:t>
            </w:r>
            <w:r>
              <w:t xml:space="preserve"> 4 Dec 1970 p. 3705)</w:t>
            </w:r>
          </w:p>
        </w:tc>
      </w:tr>
      <w:tr>
        <w:trPr>
          <w:cantSplit/>
        </w:trPr>
        <w:tc>
          <w:tcPr>
            <w:tcW w:w="7093" w:type="dxa"/>
            <w:gridSpan w:val="5"/>
          </w:tcPr>
          <w:p>
            <w:pPr>
              <w:pStyle w:val="nTable"/>
              <w:spacing w:before="60" w:after="60"/>
            </w:pPr>
            <w:r>
              <w:rPr>
                <w:b/>
              </w:rPr>
              <w:t xml:space="preserve">Reprint of the </w:t>
            </w:r>
            <w:r>
              <w:rPr>
                <w:b/>
                <w:i/>
              </w:rPr>
              <w:t>Electoral Act 1907</w:t>
            </w:r>
            <w:r>
              <w:rPr>
                <w:b/>
              </w:rPr>
              <w:t xml:space="preserve"> approved 12 Jan 1971 (not in a Volume) </w:t>
            </w:r>
            <w:r>
              <w:t>(includes amendments listed above)</w:t>
            </w:r>
          </w:p>
        </w:tc>
      </w:tr>
      <w:tr>
        <w:trPr>
          <w:cantSplit/>
        </w:trPr>
        <w:tc>
          <w:tcPr>
            <w:tcW w:w="2269" w:type="dxa"/>
          </w:tcPr>
          <w:p>
            <w:pPr>
              <w:pStyle w:val="nTable"/>
              <w:spacing w:before="60" w:after="60"/>
              <w:ind w:right="113"/>
              <w:rPr>
                <w:i/>
              </w:rPr>
            </w:pPr>
            <w:r>
              <w:rPr>
                <w:i/>
              </w:rPr>
              <w:t>Metric Conversion Act 1972</w:t>
            </w:r>
          </w:p>
        </w:tc>
        <w:tc>
          <w:tcPr>
            <w:tcW w:w="1134" w:type="dxa"/>
          </w:tcPr>
          <w:p>
            <w:pPr>
              <w:pStyle w:val="nTable"/>
              <w:spacing w:before="60" w:after="60"/>
            </w:pPr>
            <w:r>
              <w:t>94 of 1972</w:t>
            </w:r>
          </w:p>
        </w:tc>
        <w:tc>
          <w:tcPr>
            <w:tcW w:w="1139" w:type="dxa"/>
          </w:tcPr>
          <w:p>
            <w:pPr>
              <w:pStyle w:val="nTable"/>
              <w:spacing w:before="60" w:after="60"/>
            </w:pPr>
            <w:r>
              <w:t>4 Dec 1972</w:t>
            </w:r>
          </w:p>
        </w:tc>
        <w:tc>
          <w:tcPr>
            <w:tcW w:w="2551" w:type="dxa"/>
            <w:gridSpan w:val="2"/>
          </w:tcPr>
          <w:p>
            <w:pPr>
              <w:pStyle w:val="nTable"/>
              <w:spacing w:before="60" w:after="60"/>
            </w:pPr>
            <w:r>
              <w:t>Relevant amendments (see First Sch. </w:t>
            </w:r>
            <w:r>
              <w:rPr>
                <w:vertAlign w:val="superscript"/>
              </w:rPr>
              <w:t>7</w:t>
            </w:r>
            <w:r>
              <w:t xml:space="preserve">) took effect on 1 Jan 1974 (see s. 4(2) and </w:t>
            </w:r>
            <w:r>
              <w:rPr>
                <w:i/>
              </w:rPr>
              <w:t>Gazette</w:t>
            </w:r>
            <w:r>
              <w:t xml:space="preserve"> 7 Dec 1973 p. 4490)</w:t>
            </w:r>
          </w:p>
        </w:tc>
      </w:tr>
      <w:tr>
        <w:trPr>
          <w:cantSplit/>
        </w:trPr>
        <w:tc>
          <w:tcPr>
            <w:tcW w:w="2269" w:type="dxa"/>
          </w:tcPr>
          <w:p>
            <w:pPr>
              <w:pStyle w:val="nTable"/>
              <w:spacing w:before="60" w:after="60"/>
              <w:ind w:right="113"/>
            </w:pPr>
            <w:r>
              <w:rPr>
                <w:i/>
              </w:rPr>
              <w:t>Electoral Act Amendment Act (No. 2) 1973</w:t>
            </w:r>
          </w:p>
        </w:tc>
        <w:tc>
          <w:tcPr>
            <w:tcW w:w="1134" w:type="dxa"/>
          </w:tcPr>
          <w:p>
            <w:pPr>
              <w:pStyle w:val="nTable"/>
              <w:keepNext/>
              <w:spacing w:before="60" w:after="60"/>
            </w:pPr>
            <w:r>
              <w:t>70 of 1973</w:t>
            </w:r>
          </w:p>
        </w:tc>
        <w:tc>
          <w:tcPr>
            <w:tcW w:w="1139" w:type="dxa"/>
          </w:tcPr>
          <w:p>
            <w:pPr>
              <w:pStyle w:val="nTable"/>
              <w:keepNext/>
              <w:spacing w:before="60" w:after="60"/>
            </w:pPr>
            <w:r>
              <w:t>6 Dec 1973</w:t>
            </w:r>
          </w:p>
        </w:tc>
        <w:tc>
          <w:tcPr>
            <w:tcW w:w="2551" w:type="dxa"/>
            <w:gridSpan w:val="2"/>
          </w:tcPr>
          <w:p>
            <w:pPr>
              <w:pStyle w:val="nTable"/>
              <w:keepNext/>
              <w:spacing w:before="60" w:after="60"/>
            </w:pPr>
            <w:r>
              <w:t xml:space="preserve">1 Jan 1974 (see s. 2 and </w:t>
            </w:r>
            <w:r>
              <w:rPr>
                <w:i/>
              </w:rPr>
              <w:t>Gazette</w:t>
            </w:r>
            <w:r>
              <w:t xml:space="preserve"> 28 Dec 1973 p. 4725)</w:t>
            </w:r>
          </w:p>
        </w:tc>
      </w:tr>
      <w:tr>
        <w:trPr>
          <w:cantSplit/>
        </w:trPr>
        <w:tc>
          <w:tcPr>
            <w:tcW w:w="2269" w:type="dxa"/>
          </w:tcPr>
          <w:p>
            <w:pPr>
              <w:pStyle w:val="nTable"/>
              <w:spacing w:before="60" w:after="60"/>
              <w:ind w:right="113"/>
            </w:pPr>
            <w:r>
              <w:rPr>
                <w:i/>
              </w:rPr>
              <w:t>Electoral Act Amendment Act (No. 2) 1976</w:t>
            </w:r>
          </w:p>
        </w:tc>
        <w:tc>
          <w:tcPr>
            <w:tcW w:w="1134" w:type="dxa"/>
          </w:tcPr>
          <w:p>
            <w:pPr>
              <w:pStyle w:val="nTable"/>
              <w:spacing w:before="60" w:after="60"/>
            </w:pPr>
            <w:r>
              <w:t>129 of 1976</w:t>
            </w:r>
          </w:p>
        </w:tc>
        <w:tc>
          <w:tcPr>
            <w:tcW w:w="1139" w:type="dxa"/>
          </w:tcPr>
          <w:p>
            <w:pPr>
              <w:pStyle w:val="nTable"/>
              <w:spacing w:before="60" w:after="60"/>
            </w:pPr>
            <w:r>
              <w:t>9 Dec 1976</w:t>
            </w:r>
          </w:p>
        </w:tc>
        <w:tc>
          <w:tcPr>
            <w:tcW w:w="2551" w:type="dxa"/>
            <w:gridSpan w:val="2"/>
          </w:tcPr>
          <w:p>
            <w:pPr>
              <w:pStyle w:val="nTable"/>
              <w:spacing w:before="60" w:after="60"/>
            </w:pPr>
            <w:r>
              <w:t>9 Dec 1976</w:t>
            </w:r>
          </w:p>
        </w:tc>
      </w:tr>
      <w:tr>
        <w:trPr>
          <w:cantSplit/>
        </w:trPr>
        <w:tc>
          <w:tcPr>
            <w:tcW w:w="2269" w:type="dxa"/>
          </w:tcPr>
          <w:p>
            <w:pPr>
              <w:pStyle w:val="nTable"/>
              <w:spacing w:before="60" w:after="60"/>
              <w:ind w:right="113"/>
            </w:pPr>
            <w:r>
              <w:rPr>
                <w:i/>
              </w:rPr>
              <w:t>Electoral Act Amendment Act (No. 2) 1979</w:t>
            </w:r>
          </w:p>
        </w:tc>
        <w:tc>
          <w:tcPr>
            <w:tcW w:w="1134" w:type="dxa"/>
          </w:tcPr>
          <w:p>
            <w:pPr>
              <w:pStyle w:val="nTable"/>
              <w:spacing w:before="60" w:after="60"/>
            </w:pPr>
            <w:r>
              <w:t>39 of 1979</w:t>
            </w:r>
          </w:p>
        </w:tc>
        <w:tc>
          <w:tcPr>
            <w:tcW w:w="1139" w:type="dxa"/>
          </w:tcPr>
          <w:p>
            <w:pPr>
              <w:pStyle w:val="nTable"/>
              <w:spacing w:before="60" w:after="60"/>
            </w:pPr>
            <w:r>
              <w:t>25 Oct 1979</w:t>
            </w:r>
          </w:p>
        </w:tc>
        <w:tc>
          <w:tcPr>
            <w:tcW w:w="2551" w:type="dxa"/>
            <w:gridSpan w:val="2"/>
          </w:tcPr>
          <w:p>
            <w:pPr>
              <w:pStyle w:val="nTable"/>
              <w:spacing w:before="60" w:after="60"/>
            </w:pPr>
            <w:r>
              <w:t xml:space="preserve">23 Nov 1979 (see s. 2 and </w:t>
            </w:r>
            <w:r>
              <w:rPr>
                <w:i/>
              </w:rPr>
              <w:t xml:space="preserve">Gazette </w:t>
            </w:r>
            <w:r>
              <w:t>23 Nov 1979 p. 3635)</w:t>
            </w:r>
          </w:p>
        </w:tc>
      </w:tr>
      <w:tr>
        <w:trPr>
          <w:cantSplit/>
        </w:trPr>
        <w:tc>
          <w:tcPr>
            <w:tcW w:w="2269" w:type="dxa"/>
          </w:tcPr>
          <w:p>
            <w:pPr>
              <w:pStyle w:val="nTable"/>
              <w:spacing w:before="60" w:after="60"/>
              <w:ind w:right="113"/>
              <w:rPr>
                <w:i/>
              </w:rPr>
            </w:pPr>
            <w:r>
              <w:rPr>
                <w:i/>
              </w:rPr>
              <w:t xml:space="preserve">Acts Amendment (Master, Supreme Court) Act 1979 </w:t>
            </w:r>
            <w:r>
              <w:t>Pt. XI</w:t>
            </w:r>
          </w:p>
        </w:tc>
        <w:tc>
          <w:tcPr>
            <w:tcW w:w="1134" w:type="dxa"/>
          </w:tcPr>
          <w:p>
            <w:pPr>
              <w:pStyle w:val="nTable"/>
              <w:spacing w:before="60" w:after="60"/>
            </w:pPr>
            <w:r>
              <w:t>67 of 1979</w:t>
            </w:r>
          </w:p>
        </w:tc>
        <w:tc>
          <w:tcPr>
            <w:tcW w:w="1139" w:type="dxa"/>
          </w:tcPr>
          <w:p>
            <w:pPr>
              <w:pStyle w:val="nTable"/>
              <w:spacing w:before="60" w:after="60"/>
            </w:pPr>
            <w:r>
              <w:t>21 Nov 1979</w:t>
            </w:r>
          </w:p>
        </w:tc>
        <w:tc>
          <w:tcPr>
            <w:tcW w:w="2551" w:type="dxa"/>
            <w:gridSpan w:val="2"/>
          </w:tcPr>
          <w:p>
            <w:pPr>
              <w:pStyle w:val="nTable"/>
              <w:spacing w:before="60" w:after="60"/>
            </w:pPr>
            <w:r>
              <w:t xml:space="preserve">11 Feb 1980 (see s. 2 and </w:t>
            </w:r>
            <w:r>
              <w:rPr>
                <w:i/>
              </w:rPr>
              <w:t>Gazette</w:t>
            </w:r>
            <w:r>
              <w:t xml:space="preserve"> 8 Feb 1980 p. 383)</w:t>
            </w:r>
          </w:p>
        </w:tc>
      </w:tr>
      <w:tr>
        <w:trPr>
          <w:cantSplit/>
        </w:trPr>
        <w:tc>
          <w:tcPr>
            <w:tcW w:w="2269" w:type="dxa"/>
          </w:tcPr>
          <w:p>
            <w:pPr>
              <w:pStyle w:val="nTable"/>
              <w:spacing w:before="60" w:after="60"/>
              <w:ind w:right="113"/>
              <w:rPr>
                <w:i/>
              </w:rPr>
            </w:pPr>
            <w:r>
              <w:rPr>
                <w:i/>
              </w:rPr>
              <w:t>Electoral Amendment Act 1980</w:t>
            </w:r>
          </w:p>
        </w:tc>
        <w:tc>
          <w:tcPr>
            <w:tcW w:w="1134" w:type="dxa"/>
          </w:tcPr>
          <w:p>
            <w:pPr>
              <w:pStyle w:val="nTable"/>
              <w:spacing w:before="60" w:after="60"/>
            </w:pPr>
            <w:r>
              <w:t>52 of 1980</w:t>
            </w:r>
          </w:p>
        </w:tc>
        <w:tc>
          <w:tcPr>
            <w:tcW w:w="1139" w:type="dxa"/>
          </w:tcPr>
          <w:p>
            <w:pPr>
              <w:pStyle w:val="nTable"/>
              <w:spacing w:before="60" w:after="60"/>
            </w:pPr>
            <w:r>
              <w:t>19 Nov 1980</w:t>
            </w:r>
          </w:p>
        </w:tc>
        <w:tc>
          <w:tcPr>
            <w:tcW w:w="2551" w:type="dxa"/>
            <w:gridSpan w:val="2"/>
          </w:tcPr>
          <w:p>
            <w:pPr>
              <w:pStyle w:val="nTable"/>
              <w:spacing w:before="60" w:after="60"/>
            </w:pPr>
            <w:r>
              <w:t>19 Nov 1980</w:t>
            </w:r>
          </w:p>
        </w:tc>
      </w:tr>
      <w:tr>
        <w:trPr>
          <w:cantSplit/>
        </w:trPr>
        <w:tc>
          <w:tcPr>
            <w:tcW w:w="7093" w:type="dxa"/>
            <w:gridSpan w:val="5"/>
          </w:tcPr>
          <w:p>
            <w:pPr>
              <w:pStyle w:val="nTable"/>
              <w:keepNext/>
              <w:spacing w:before="60" w:after="60"/>
            </w:pPr>
            <w:r>
              <w:rPr>
                <w:b/>
              </w:rPr>
              <w:t xml:space="preserve">Reprint of the </w:t>
            </w:r>
            <w:r>
              <w:rPr>
                <w:b/>
                <w:i/>
              </w:rPr>
              <w:t>Electoral Act 1907</w:t>
            </w:r>
            <w:r>
              <w:rPr>
                <w:b/>
              </w:rPr>
              <w:t xml:space="preserve"> approved 8 Dec 1981 </w:t>
            </w:r>
            <w:r>
              <w:t>(includes amendments listed above)</w:t>
            </w:r>
          </w:p>
        </w:tc>
      </w:tr>
      <w:tr>
        <w:trPr>
          <w:cantSplit/>
        </w:trPr>
        <w:tc>
          <w:tcPr>
            <w:tcW w:w="2269" w:type="dxa"/>
          </w:tcPr>
          <w:p>
            <w:pPr>
              <w:pStyle w:val="nTable"/>
              <w:spacing w:before="60" w:after="60"/>
              <w:ind w:right="113"/>
              <w:rPr>
                <w:i/>
              </w:rPr>
            </w:pPr>
            <w:r>
              <w:rPr>
                <w:i/>
              </w:rPr>
              <w:t>Electoral Amendment Act 1982</w:t>
            </w:r>
          </w:p>
        </w:tc>
        <w:tc>
          <w:tcPr>
            <w:tcW w:w="1134" w:type="dxa"/>
          </w:tcPr>
          <w:p>
            <w:pPr>
              <w:pStyle w:val="nTable"/>
              <w:spacing w:before="60" w:after="60"/>
            </w:pPr>
            <w:r>
              <w:t>31 of 1982</w:t>
            </w:r>
          </w:p>
        </w:tc>
        <w:tc>
          <w:tcPr>
            <w:tcW w:w="1139" w:type="dxa"/>
          </w:tcPr>
          <w:p>
            <w:pPr>
              <w:pStyle w:val="nTable"/>
              <w:spacing w:before="60" w:after="60"/>
            </w:pPr>
            <w:r>
              <w:t>27 May 1982</w:t>
            </w:r>
          </w:p>
        </w:tc>
        <w:tc>
          <w:tcPr>
            <w:tcW w:w="2551" w:type="dxa"/>
            <w:gridSpan w:val="2"/>
          </w:tcPr>
          <w:p>
            <w:pPr>
              <w:pStyle w:val="nTable"/>
              <w:spacing w:before="60" w:after="60"/>
            </w:pPr>
            <w:r>
              <w:t xml:space="preserve">11 Oct 1982 (see s. 2 and </w:t>
            </w:r>
            <w:r>
              <w:rPr>
                <w:i/>
              </w:rPr>
              <w:t>Gazette</w:t>
            </w:r>
            <w:r>
              <w:t xml:space="preserve"> 10 Sep 1982 p. 3637)</w:t>
            </w:r>
          </w:p>
        </w:tc>
      </w:tr>
      <w:tr>
        <w:trPr>
          <w:cantSplit/>
        </w:trPr>
        <w:tc>
          <w:tcPr>
            <w:tcW w:w="2269" w:type="dxa"/>
          </w:tcPr>
          <w:p>
            <w:pPr>
              <w:pStyle w:val="nTable"/>
              <w:spacing w:before="60" w:after="60"/>
              <w:ind w:right="113"/>
            </w:pPr>
            <w:r>
              <w:rPr>
                <w:i/>
              </w:rPr>
              <w:t>Electoral Amendment Act (No. 2) 1982</w:t>
            </w:r>
          </w:p>
        </w:tc>
        <w:tc>
          <w:tcPr>
            <w:tcW w:w="1134" w:type="dxa"/>
          </w:tcPr>
          <w:p>
            <w:pPr>
              <w:pStyle w:val="nTable"/>
              <w:spacing w:before="60" w:after="60"/>
            </w:pPr>
            <w:r>
              <w:t>123 of 1982</w:t>
            </w:r>
          </w:p>
        </w:tc>
        <w:tc>
          <w:tcPr>
            <w:tcW w:w="1139" w:type="dxa"/>
          </w:tcPr>
          <w:p>
            <w:pPr>
              <w:pStyle w:val="nTable"/>
              <w:spacing w:before="60" w:after="60"/>
            </w:pPr>
            <w:r>
              <w:t>10 Dec 1982</w:t>
            </w:r>
          </w:p>
        </w:tc>
        <w:tc>
          <w:tcPr>
            <w:tcW w:w="2551" w:type="dxa"/>
            <w:gridSpan w:val="2"/>
          </w:tcPr>
          <w:p>
            <w:pPr>
              <w:pStyle w:val="nTable"/>
              <w:spacing w:before="60" w:after="60"/>
            </w:pPr>
            <w:r>
              <w:t>10 Dec 1982</w:t>
            </w:r>
          </w:p>
        </w:tc>
      </w:tr>
      <w:tr>
        <w:trPr>
          <w:cantSplit/>
        </w:trPr>
        <w:tc>
          <w:tcPr>
            <w:tcW w:w="2269" w:type="dxa"/>
          </w:tcPr>
          <w:p>
            <w:pPr>
              <w:pStyle w:val="nTable"/>
              <w:spacing w:before="60" w:after="60"/>
              <w:ind w:right="113"/>
              <w:rPr>
                <w:i/>
              </w:rPr>
            </w:pPr>
            <w:r>
              <w:rPr>
                <w:i/>
              </w:rPr>
              <w:t>Electoral Amendment Act 1983</w:t>
            </w:r>
          </w:p>
        </w:tc>
        <w:tc>
          <w:tcPr>
            <w:tcW w:w="1134" w:type="dxa"/>
          </w:tcPr>
          <w:p>
            <w:pPr>
              <w:pStyle w:val="nTable"/>
              <w:spacing w:before="60" w:after="60"/>
            </w:pPr>
            <w:r>
              <w:t>9 of 1983</w:t>
            </w:r>
          </w:p>
        </w:tc>
        <w:tc>
          <w:tcPr>
            <w:tcW w:w="1139" w:type="dxa"/>
          </w:tcPr>
          <w:p>
            <w:pPr>
              <w:pStyle w:val="nTable"/>
              <w:spacing w:before="60" w:after="60"/>
            </w:pPr>
            <w:r>
              <w:t>29 Sep 1983</w:t>
            </w:r>
          </w:p>
        </w:tc>
        <w:tc>
          <w:tcPr>
            <w:tcW w:w="2551" w:type="dxa"/>
            <w:gridSpan w:val="2"/>
          </w:tcPr>
          <w:p>
            <w:pPr>
              <w:pStyle w:val="nTable"/>
              <w:spacing w:before="60" w:after="60"/>
            </w:pPr>
            <w:r>
              <w:t xml:space="preserve">s. 5: 7 Oct 1983 (see s. 2 and </w:t>
            </w:r>
            <w:r>
              <w:rPr>
                <w:i/>
              </w:rPr>
              <w:t xml:space="preserve">Gazette </w:t>
            </w:r>
            <w:r>
              <w:t>7 Oct 1983 p. 4066);</w:t>
            </w:r>
            <w:r>
              <w:br/>
              <w:t>s. 1</w:t>
            </w:r>
            <w:r>
              <w:noBreakHyphen/>
              <w:t>4 and 6</w:t>
            </w:r>
            <w:r>
              <w:noBreakHyphen/>
              <w:t xml:space="preserve">28: 1 Nov 1983 (see s. 2 and </w:t>
            </w:r>
            <w:r>
              <w:rPr>
                <w:i/>
              </w:rPr>
              <w:t xml:space="preserve">Gazette </w:t>
            </w:r>
            <w:r>
              <w:t>14 Oct 1983 p. 4147);</w:t>
            </w:r>
            <w:r>
              <w:br/>
              <w:t>s. 29</w:t>
            </w:r>
            <w:r>
              <w:noBreakHyphen/>
              <w:t xml:space="preserve">31: 26 Jan 1984 (see s. 2 and </w:t>
            </w:r>
            <w:r>
              <w:rPr>
                <w:i/>
              </w:rPr>
              <w:t xml:space="preserve">Gazette </w:t>
            </w:r>
            <w:r>
              <w:t>18 Nov 1983 p. 4559)</w:t>
            </w:r>
          </w:p>
        </w:tc>
      </w:tr>
      <w:tr>
        <w:trPr>
          <w:cantSplit/>
        </w:trPr>
        <w:tc>
          <w:tcPr>
            <w:tcW w:w="2269" w:type="dxa"/>
          </w:tcPr>
          <w:p>
            <w:pPr>
              <w:pStyle w:val="nTable"/>
              <w:spacing w:before="60" w:after="60"/>
              <w:ind w:right="113"/>
            </w:pPr>
            <w:r>
              <w:rPr>
                <w:i/>
              </w:rPr>
              <w:t>Electoral Amendment Act (No. 2) 1983</w:t>
            </w:r>
          </w:p>
        </w:tc>
        <w:tc>
          <w:tcPr>
            <w:tcW w:w="1134" w:type="dxa"/>
          </w:tcPr>
          <w:p>
            <w:pPr>
              <w:pStyle w:val="nTable"/>
              <w:spacing w:before="60" w:after="60"/>
            </w:pPr>
            <w:r>
              <w:t>54 of 1983</w:t>
            </w:r>
          </w:p>
        </w:tc>
        <w:tc>
          <w:tcPr>
            <w:tcW w:w="1139" w:type="dxa"/>
          </w:tcPr>
          <w:p>
            <w:pPr>
              <w:pStyle w:val="nTable"/>
              <w:spacing w:before="60" w:after="60"/>
            </w:pPr>
            <w:r>
              <w:t>13 Dec 1983</w:t>
            </w:r>
          </w:p>
        </w:tc>
        <w:tc>
          <w:tcPr>
            <w:tcW w:w="2551" w:type="dxa"/>
            <w:gridSpan w:val="2"/>
          </w:tcPr>
          <w:p>
            <w:pPr>
              <w:pStyle w:val="nTable"/>
              <w:spacing w:before="60" w:after="60"/>
            </w:pPr>
            <w:r>
              <w:t>13 Dec 1983</w:t>
            </w:r>
          </w:p>
        </w:tc>
      </w:tr>
      <w:tr>
        <w:trPr>
          <w:cantSplit/>
        </w:trPr>
        <w:tc>
          <w:tcPr>
            <w:tcW w:w="2269" w:type="dxa"/>
          </w:tcPr>
          <w:p>
            <w:pPr>
              <w:pStyle w:val="nTable"/>
              <w:spacing w:before="60" w:after="60"/>
              <w:ind w:right="113"/>
            </w:pPr>
            <w:r>
              <w:rPr>
                <w:i/>
              </w:rPr>
              <w:t>Electoral Amendment Act (No. 3) 1983</w:t>
            </w:r>
          </w:p>
        </w:tc>
        <w:tc>
          <w:tcPr>
            <w:tcW w:w="1134" w:type="dxa"/>
          </w:tcPr>
          <w:p>
            <w:pPr>
              <w:pStyle w:val="nTable"/>
              <w:spacing w:before="60" w:after="60"/>
            </w:pPr>
            <w:r>
              <w:t>66 of 1983</w:t>
            </w:r>
          </w:p>
        </w:tc>
        <w:tc>
          <w:tcPr>
            <w:tcW w:w="1139" w:type="dxa"/>
          </w:tcPr>
          <w:p>
            <w:pPr>
              <w:pStyle w:val="nTable"/>
              <w:spacing w:before="60" w:after="60"/>
            </w:pPr>
            <w:r>
              <w:t>22 Dec 1983</w:t>
            </w:r>
          </w:p>
        </w:tc>
        <w:tc>
          <w:tcPr>
            <w:tcW w:w="2551" w:type="dxa"/>
            <w:gridSpan w:val="2"/>
          </w:tcPr>
          <w:p>
            <w:pPr>
              <w:pStyle w:val="nTable"/>
              <w:spacing w:before="60" w:after="60"/>
            </w:pPr>
            <w:r>
              <w:t xml:space="preserve">26 Jan 1984 (see s. 2 and </w:t>
            </w:r>
            <w:r>
              <w:rPr>
                <w:i/>
              </w:rPr>
              <w:t>Gazette</w:t>
            </w:r>
            <w:r>
              <w:t xml:space="preserve"> 20 Jan 1984 p. 119)</w:t>
            </w:r>
          </w:p>
        </w:tc>
      </w:tr>
      <w:tr>
        <w:trPr>
          <w:cantSplit/>
        </w:trPr>
        <w:tc>
          <w:tcPr>
            <w:tcW w:w="2269" w:type="dxa"/>
          </w:tcPr>
          <w:p>
            <w:pPr>
              <w:pStyle w:val="nTable"/>
              <w:spacing w:before="60" w:after="60"/>
              <w:ind w:right="113"/>
              <w:rPr>
                <w:i/>
              </w:rPr>
            </w:pPr>
            <w:r>
              <w:rPr>
                <w:i/>
              </w:rPr>
              <w:t xml:space="preserve">Health Legislation Amendment Act 1984 </w:t>
            </w:r>
            <w:r>
              <w:t>Pt. VI</w:t>
            </w:r>
          </w:p>
        </w:tc>
        <w:tc>
          <w:tcPr>
            <w:tcW w:w="1134" w:type="dxa"/>
          </w:tcPr>
          <w:p>
            <w:pPr>
              <w:pStyle w:val="nTable"/>
              <w:spacing w:before="60" w:after="60"/>
            </w:pPr>
            <w:r>
              <w:t>28 of 1984</w:t>
            </w:r>
          </w:p>
        </w:tc>
        <w:tc>
          <w:tcPr>
            <w:tcW w:w="1139" w:type="dxa"/>
          </w:tcPr>
          <w:p>
            <w:pPr>
              <w:pStyle w:val="nTable"/>
              <w:spacing w:before="60" w:after="60"/>
            </w:pPr>
            <w:r>
              <w:t>31 May 1984</w:t>
            </w:r>
          </w:p>
        </w:tc>
        <w:tc>
          <w:tcPr>
            <w:tcW w:w="2551" w:type="dxa"/>
            <w:gridSpan w:val="2"/>
          </w:tcPr>
          <w:p>
            <w:pPr>
              <w:pStyle w:val="nTable"/>
              <w:spacing w:before="60" w:after="60"/>
            </w:pPr>
            <w:r>
              <w:t xml:space="preserve">1 Jul 1984 (see s. 2 and </w:t>
            </w:r>
            <w:r>
              <w:rPr>
                <w:i/>
              </w:rPr>
              <w:t xml:space="preserve">Gazette </w:t>
            </w:r>
            <w:r>
              <w:t>15 Jun 1984 p. 1629)</w:t>
            </w:r>
          </w:p>
        </w:tc>
      </w:tr>
      <w:tr>
        <w:trPr>
          <w:cantSplit/>
        </w:trPr>
        <w:tc>
          <w:tcPr>
            <w:tcW w:w="2269" w:type="dxa"/>
          </w:tcPr>
          <w:p>
            <w:pPr>
              <w:pStyle w:val="nTable"/>
              <w:spacing w:before="60" w:after="60"/>
              <w:ind w:right="113"/>
              <w:rPr>
                <w:i/>
              </w:rPr>
            </w:pPr>
            <w:r>
              <w:rPr>
                <w:i/>
              </w:rPr>
              <w:t xml:space="preserve">Acts Amendment and Repeal (Disqualification for Parliament) Act 1984 </w:t>
            </w:r>
            <w:r>
              <w:t>Pt. VII</w:t>
            </w:r>
          </w:p>
        </w:tc>
        <w:tc>
          <w:tcPr>
            <w:tcW w:w="1134" w:type="dxa"/>
          </w:tcPr>
          <w:p>
            <w:pPr>
              <w:pStyle w:val="nTable"/>
              <w:spacing w:before="60" w:after="60"/>
            </w:pPr>
            <w:r>
              <w:t>78 of 1984</w:t>
            </w:r>
          </w:p>
        </w:tc>
        <w:tc>
          <w:tcPr>
            <w:tcW w:w="1139" w:type="dxa"/>
          </w:tcPr>
          <w:p>
            <w:pPr>
              <w:pStyle w:val="nTable"/>
              <w:spacing w:before="60" w:after="60"/>
            </w:pPr>
            <w:r>
              <w:t>14 Nov 1984</w:t>
            </w:r>
          </w:p>
        </w:tc>
        <w:tc>
          <w:tcPr>
            <w:tcW w:w="2551" w:type="dxa"/>
            <w:gridSpan w:val="2"/>
          </w:tcPr>
          <w:p>
            <w:pPr>
              <w:pStyle w:val="nTable"/>
              <w:spacing w:before="60" w:after="60"/>
            </w:pPr>
            <w:r>
              <w:t xml:space="preserve">1 Jul 1985 (see s. 2 and </w:t>
            </w:r>
            <w:r>
              <w:rPr>
                <w:i/>
              </w:rPr>
              <w:t>Gazette</w:t>
            </w:r>
            <w:r>
              <w:t xml:space="preserve"> 17 May 1985 p. 1671)</w:t>
            </w:r>
          </w:p>
        </w:tc>
      </w:tr>
      <w:tr>
        <w:trPr>
          <w:cantSplit/>
        </w:trPr>
        <w:tc>
          <w:tcPr>
            <w:tcW w:w="2269" w:type="dxa"/>
          </w:tcPr>
          <w:p>
            <w:pPr>
              <w:pStyle w:val="nTable"/>
              <w:spacing w:before="60" w:after="60"/>
              <w:ind w:right="113"/>
              <w:rPr>
                <w:i/>
              </w:rPr>
            </w:pPr>
            <w:r>
              <w:rPr>
                <w:i/>
              </w:rPr>
              <w:t>Electoral Amendment Act 1984</w:t>
            </w:r>
          </w:p>
        </w:tc>
        <w:tc>
          <w:tcPr>
            <w:tcW w:w="1134" w:type="dxa"/>
          </w:tcPr>
          <w:p>
            <w:pPr>
              <w:pStyle w:val="nTable"/>
              <w:spacing w:before="60" w:after="60"/>
            </w:pPr>
            <w:r>
              <w:t>76 of 1984</w:t>
            </w:r>
          </w:p>
        </w:tc>
        <w:tc>
          <w:tcPr>
            <w:tcW w:w="1139" w:type="dxa"/>
          </w:tcPr>
          <w:p>
            <w:pPr>
              <w:pStyle w:val="nTable"/>
              <w:spacing w:before="60" w:after="60"/>
            </w:pPr>
            <w:r>
              <w:t>26 Nov 1984</w:t>
            </w:r>
          </w:p>
        </w:tc>
        <w:tc>
          <w:tcPr>
            <w:tcW w:w="2551" w:type="dxa"/>
            <w:gridSpan w:val="2"/>
          </w:tcPr>
          <w:p>
            <w:pPr>
              <w:pStyle w:val="nTable"/>
              <w:spacing w:before="60" w:after="60"/>
            </w:pPr>
            <w:r>
              <w:t>s. 1 and 2: 26 Nov 1984;</w:t>
            </w:r>
            <w:r>
              <w:br/>
              <w:t xml:space="preserve">Act other than s. 1 and 2: 24 Dec 1984 (see s. 2 and </w:t>
            </w:r>
            <w:r>
              <w:rPr>
                <w:i/>
              </w:rPr>
              <w:t xml:space="preserve">Gazette </w:t>
            </w:r>
            <w:r>
              <w:t>21 Dec 1984 p. 4173)</w:t>
            </w:r>
          </w:p>
        </w:tc>
      </w:tr>
      <w:tr>
        <w:trPr>
          <w:cantSplit/>
        </w:trPr>
        <w:tc>
          <w:tcPr>
            <w:tcW w:w="2269" w:type="dxa"/>
          </w:tcPr>
          <w:p>
            <w:pPr>
              <w:pStyle w:val="nTable"/>
              <w:spacing w:before="60" w:after="60"/>
              <w:ind w:right="113"/>
            </w:pPr>
            <w:r>
              <w:rPr>
                <w:i/>
              </w:rPr>
              <w:t>Electoral Amendment Act (No. 2) 1985</w:t>
            </w:r>
          </w:p>
        </w:tc>
        <w:tc>
          <w:tcPr>
            <w:tcW w:w="1134" w:type="dxa"/>
          </w:tcPr>
          <w:p>
            <w:pPr>
              <w:pStyle w:val="nTable"/>
              <w:spacing w:before="60" w:after="60"/>
            </w:pPr>
            <w:r>
              <w:t>104 of 1985 (as amended by No. 1 of 1987)</w:t>
            </w:r>
          </w:p>
        </w:tc>
        <w:tc>
          <w:tcPr>
            <w:tcW w:w="1139" w:type="dxa"/>
          </w:tcPr>
          <w:p>
            <w:pPr>
              <w:pStyle w:val="nTable"/>
              <w:spacing w:before="60" w:after="60"/>
            </w:pPr>
            <w:r>
              <w:t>7 Dec 1985</w:t>
            </w:r>
          </w:p>
        </w:tc>
        <w:tc>
          <w:tcPr>
            <w:tcW w:w="2551" w:type="dxa"/>
            <w:gridSpan w:val="2"/>
          </w:tcPr>
          <w:p>
            <w:pPr>
              <w:pStyle w:val="nTable"/>
              <w:spacing w:before="60" w:after="60"/>
            </w:pPr>
            <w:r>
              <w:t>s. 1 and 2: 7 Dec 1985;</w:t>
            </w:r>
            <w:r>
              <w:br/>
              <w:t xml:space="preserve">Act other than s. 1 and 2: 1 May 1987 (see s. 3 of Act No. 1 of 1987 and Commonwealth Special </w:t>
            </w:r>
            <w:r>
              <w:rPr>
                <w:i/>
              </w:rPr>
              <w:t>Gazette</w:t>
            </w:r>
            <w:r>
              <w:t xml:space="preserve"> 68 of 1987)</w:t>
            </w:r>
          </w:p>
        </w:tc>
      </w:tr>
      <w:tr>
        <w:trPr>
          <w:cantSplit/>
        </w:trPr>
        <w:tc>
          <w:tcPr>
            <w:tcW w:w="7093" w:type="dxa"/>
            <w:gridSpan w:val="5"/>
          </w:tcPr>
          <w:p>
            <w:pPr>
              <w:pStyle w:val="nTable"/>
              <w:spacing w:before="60" w:after="60"/>
            </w:pPr>
            <w:r>
              <w:rPr>
                <w:b/>
              </w:rPr>
              <w:t xml:space="preserve">Reprint of the </w:t>
            </w:r>
            <w:r>
              <w:rPr>
                <w:b/>
                <w:i/>
              </w:rPr>
              <w:t>Electoral Act 1907</w:t>
            </w:r>
            <w:r>
              <w:rPr>
                <w:b/>
              </w:rPr>
              <w:t xml:space="preserve"> as at 16 Jun 1986 </w:t>
            </w:r>
            <w:r>
              <w:t xml:space="preserve">(includes amendments listed above except those in the </w:t>
            </w:r>
            <w:r>
              <w:rPr>
                <w:i/>
              </w:rPr>
              <w:t>Electoral Amendment Act (No. 2) 1985</w:t>
            </w:r>
            <w:r>
              <w:t>)</w:t>
            </w:r>
          </w:p>
        </w:tc>
      </w:tr>
      <w:tr>
        <w:trPr>
          <w:cantSplit/>
        </w:trPr>
        <w:tc>
          <w:tcPr>
            <w:tcW w:w="2269" w:type="dxa"/>
          </w:tcPr>
          <w:p>
            <w:pPr>
              <w:pStyle w:val="nTable"/>
              <w:spacing w:before="60" w:after="60"/>
              <w:ind w:right="113"/>
              <w:rPr>
                <w:i/>
                <w:vertAlign w:val="superscript"/>
              </w:rPr>
            </w:pPr>
            <w:r>
              <w:rPr>
                <w:i/>
              </w:rPr>
              <w:t xml:space="preserve">Acts Amendment (Electoral Reform) Act 1987 </w:t>
            </w:r>
            <w:r>
              <w:t>Pt. IV</w:t>
            </w:r>
            <w:r>
              <w:rPr>
                <w:vertAlign w:val="superscript"/>
              </w:rPr>
              <w:t> 8, 9</w:t>
            </w:r>
          </w:p>
        </w:tc>
        <w:tc>
          <w:tcPr>
            <w:tcW w:w="1134" w:type="dxa"/>
          </w:tcPr>
          <w:p>
            <w:pPr>
              <w:pStyle w:val="nTable"/>
              <w:spacing w:before="60" w:after="60"/>
            </w:pPr>
            <w:r>
              <w:t>40 of 1987</w:t>
            </w:r>
          </w:p>
        </w:tc>
        <w:tc>
          <w:tcPr>
            <w:tcW w:w="1139" w:type="dxa"/>
          </w:tcPr>
          <w:p>
            <w:pPr>
              <w:pStyle w:val="nTable"/>
              <w:spacing w:before="60" w:after="60"/>
            </w:pPr>
            <w:r>
              <w:t>12 Jul 1987</w:t>
            </w:r>
          </w:p>
        </w:tc>
        <w:tc>
          <w:tcPr>
            <w:tcW w:w="2551" w:type="dxa"/>
            <w:gridSpan w:val="2"/>
          </w:tcPr>
          <w:p>
            <w:pPr>
              <w:pStyle w:val="nTable"/>
              <w:spacing w:before="60" w:after="60"/>
            </w:pPr>
            <w:r>
              <w:t xml:space="preserve">30 Oct 1987 (see s. 2 and </w:t>
            </w:r>
            <w:r>
              <w:rPr>
                <w:i/>
              </w:rPr>
              <w:t>Gazette</w:t>
            </w:r>
            <w:r>
              <w:t xml:space="preserve"> 30 Oct 1987 p. 3977)</w:t>
            </w:r>
          </w:p>
        </w:tc>
      </w:tr>
      <w:tr>
        <w:trPr>
          <w:cantSplit/>
        </w:trPr>
        <w:tc>
          <w:tcPr>
            <w:tcW w:w="2269" w:type="dxa"/>
          </w:tcPr>
          <w:p>
            <w:pPr>
              <w:pStyle w:val="nTable"/>
              <w:spacing w:before="60" w:after="60"/>
              <w:ind w:right="113"/>
              <w:rPr>
                <w:i/>
              </w:rPr>
            </w:pPr>
            <w:r>
              <w:rPr>
                <w:i/>
              </w:rPr>
              <w:t>Electoral (Procedures) Amendment Act 1987</w:t>
            </w:r>
          </w:p>
        </w:tc>
        <w:tc>
          <w:tcPr>
            <w:tcW w:w="1134" w:type="dxa"/>
          </w:tcPr>
          <w:p>
            <w:pPr>
              <w:pStyle w:val="nTable"/>
              <w:spacing w:before="60" w:after="60"/>
            </w:pPr>
            <w:r>
              <w:t>79 of 1987</w:t>
            </w:r>
          </w:p>
        </w:tc>
        <w:tc>
          <w:tcPr>
            <w:tcW w:w="1139" w:type="dxa"/>
          </w:tcPr>
          <w:p>
            <w:pPr>
              <w:pStyle w:val="nTable"/>
              <w:spacing w:before="60" w:after="60"/>
            </w:pPr>
            <w:r>
              <w:t>1 Dec 1987</w:t>
            </w:r>
          </w:p>
        </w:tc>
        <w:tc>
          <w:tcPr>
            <w:tcW w:w="2551" w:type="dxa"/>
            <w:gridSpan w:val="2"/>
          </w:tcPr>
          <w:p>
            <w:pPr>
              <w:pStyle w:val="nTable"/>
              <w:spacing w:before="60" w:after="60"/>
            </w:pPr>
            <w:r>
              <w:t>s. 1 and 2: 1 Dec 1987;</w:t>
            </w:r>
            <w:r>
              <w:br/>
              <w:t xml:space="preserve">Act other than s. 1 and 2: 16 Feb 1988 (see s. 2 and </w:t>
            </w:r>
            <w:r>
              <w:rPr>
                <w:i/>
              </w:rPr>
              <w:t>Gazette</w:t>
            </w:r>
            <w:r>
              <w:t xml:space="preserve"> 16 Feb 1988 p. 477)</w:t>
            </w:r>
          </w:p>
        </w:tc>
      </w:tr>
      <w:tr>
        <w:trPr>
          <w:cantSplit/>
        </w:trPr>
        <w:tc>
          <w:tcPr>
            <w:tcW w:w="2269" w:type="dxa"/>
          </w:tcPr>
          <w:p>
            <w:pPr>
              <w:pStyle w:val="nTable"/>
              <w:spacing w:before="60" w:after="60"/>
              <w:ind w:right="113"/>
              <w:rPr>
                <w:i/>
              </w:rPr>
            </w:pPr>
            <w:r>
              <w:rPr>
                <w:i/>
              </w:rPr>
              <w:t>Electoral Amendment Act 1988</w:t>
            </w:r>
          </w:p>
        </w:tc>
        <w:tc>
          <w:tcPr>
            <w:tcW w:w="1134" w:type="dxa"/>
          </w:tcPr>
          <w:p>
            <w:pPr>
              <w:pStyle w:val="nTable"/>
              <w:spacing w:before="60" w:after="60"/>
            </w:pPr>
            <w:r>
              <w:t>20 of 1988</w:t>
            </w:r>
          </w:p>
        </w:tc>
        <w:tc>
          <w:tcPr>
            <w:tcW w:w="1139" w:type="dxa"/>
          </w:tcPr>
          <w:p>
            <w:pPr>
              <w:pStyle w:val="nTable"/>
              <w:spacing w:before="60" w:after="60"/>
            </w:pPr>
            <w:r>
              <w:t>9 Sep 1988</w:t>
            </w:r>
          </w:p>
        </w:tc>
        <w:tc>
          <w:tcPr>
            <w:tcW w:w="2551" w:type="dxa"/>
            <w:gridSpan w:val="2"/>
          </w:tcPr>
          <w:p>
            <w:pPr>
              <w:pStyle w:val="nTable"/>
              <w:spacing w:before="60" w:after="60"/>
            </w:pPr>
            <w:r>
              <w:t>9 Sep 1988 (see s. 2)</w:t>
            </w:r>
          </w:p>
        </w:tc>
      </w:tr>
      <w:tr>
        <w:trPr>
          <w:cantSplit/>
        </w:trPr>
        <w:tc>
          <w:tcPr>
            <w:tcW w:w="2269" w:type="dxa"/>
          </w:tcPr>
          <w:p>
            <w:pPr>
              <w:pStyle w:val="nTable"/>
              <w:spacing w:before="60" w:after="60"/>
              <w:ind w:right="113"/>
            </w:pPr>
            <w:r>
              <w:rPr>
                <w:i/>
              </w:rPr>
              <w:t>Electoral Amendment Act (No. 2) 1988</w:t>
            </w:r>
          </w:p>
        </w:tc>
        <w:tc>
          <w:tcPr>
            <w:tcW w:w="1134" w:type="dxa"/>
          </w:tcPr>
          <w:p>
            <w:pPr>
              <w:pStyle w:val="nTable"/>
              <w:spacing w:before="60" w:after="60"/>
            </w:pPr>
            <w:r>
              <w:t>58 of 1988</w:t>
            </w:r>
          </w:p>
        </w:tc>
        <w:tc>
          <w:tcPr>
            <w:tcW w:w="1139" w:type="dxa"/>
          </w:tcPr>
          <w:p>
            <w:pPr>
              <w:pStyle w:val="nTable"/>
              <w:spacing w:before="60" w:after="60"/>
            </w:pPr>
            <w:r>
              <w:t>8 Dec 1988</w:t>
            </w:r>
          </w:p>
        </w:tc>
        <w:tc>
          <w:tcPr>
            <w:tcW w:w="2551" w:type="dxa"/>
            <w:gridSpan w:val="2"/>
          </w:tcPr>
          <w:p>
            <w:pPr>
              <w:pStyle w:val="nTable"/>
              <w:spacing w:before="60" w:after="60"/>
            </w:pPr>
            <w:r>
              <w:t>s. 1 and 2: 8 Dec 1988;</w:t>
            </w:r>
            <w:r>
              <w:br/>
              <w:t xml:space="preserve">Act other than s. 1 and 2: 27 Jan 1989 (see s. 2 and </w:t>
            </w:r>
            <w:r>
              <w:rPr>
                <w:i/>
              </w:rPr>
              <w:t>Gazette</w:t>
            </w:r>
            <w:r>
              <w:t xml:space="preserve"> 27 Jan 1989 p. 264)</w:t>
            </w:r>
          </w:p>
        </w:tc>
      </w:tr>
      <w:tr>
        <w:trPr>
          <w:cantSplit/>
        </w:trPr>
        <w:tc>
          <w:tcPr>
            <w:tcW w:w="7093" w:type="dxa"/>
            <w:gridSpan w:val="5"/>
          </w:tcPr>
          <w:p>
            <w:pPr>
              <w:pStyle w:val="nTable"/>
              <w:spacing w:before="60" w:after="60"/>
            </w:pPr>
            <w:r>
              <w:rPr>
                <w:b/>
              </w:rPr>
              <w:t xml:space="preserve">Reprint of the </w:t>
            </w:r>
            <w:r>
              <w:rPr>
                <w:b/>
                <w:i/>
              </w:rPr>
              <w:t>Electoral Act 1907</w:t>
            </w:r>
            <w:r>
              <w:rPr>
                <w:b/>
              </w:rPr>
              <w:t xml:space="preserve"> as at 1 Jan 1989 </w:t>
            </w:r>
            <w:r>
              <w:t xml:space="preserve">(includes amendments listed above except those in the </w:t>
            </w:r>
            <w:r>
              <w:rPr>
                <w:i/>
              </w:rPr>
              <w:t>Electoral Amendment Act (No. 2) 1988</w:t>
            </w:r>
            <w:r>
              <w:t>)</w:t>
            </w:r>
          </w:p>
        </w:tc>
      </w:tr>
      <w:tr>
        <w:trPr>
          <w:cantSplit/>
        </w:trPr>
        <w:tc>
          <w:tcPr>
            <w:tcW w:w="2269" w:type="dxa"/>
          </w:tcPr>
          <w:p>
            <w:pPr>
              <w:pStyle w:val="nTable"/>
              <w:spacing w:before="60" w:after="60"/>
              <w:ind w:right="113"/>
            </w:pPr>
            <w:r>
              <w:rPr>
                <w:i/>
              </w:rPr>
              <w:t xml:space="preserve">Guardianship and Administration Act 1990 </w:t>
            </w:r>
            <w:r>
              <w:t xml:space="preserve">s. 123 </w:t>
            </w:r>
          </w:p>
        </w:tc>
        <w:tc>
          <w:tcPr>
            <w:tcW w:w="1134" w:type="dxa"/>
          </w:tcPr>
          <w:p>
            <w:pPr>
              <w:pStyle w:val="nTable"/>
              <w:spacing w:before="60" w:after="60"/>
            </w:pPr>
            <w:r>
              <w:t>24 of 1990</w:t>
            </w:r>
          </w:p>
        </w:tc>
        <w:tc>
          <w:tcPr>
            <w:tcW w:w="1139" w:type="dxa"/>
          </w:tcPr>
          <w:p>
            <w:pPr>
              <w:pStyle w:val="nTable"/>
              <w:spacing w:before="60" w:after="60"/>
            </w:pPr>
            <w:r>
              <w:t>7 Sep 1990</w:t>
            </w:r>
          </w:p>
        </w:tc>
        <w:tc>
          <w:tcPr>
            <w:tcW w:w="2551" w:type="dxa"/>
            <w:gridSpan w:val="2"/>
          </w:tcPr>
          <w:p>
            <w:pPr>
              <w:pStyle w:val="nTable"/>
              <w:spacing w:before="60" w:after="60"/>
            </w:pPr>
            <w:r>
              <w:t xml:space="preserve">20 Oct 1992 (see s. 2 and </w:t>
            </w:r>
            <w:r>
              <w:rPr>
                <w:i/>
              </w:rPr>
              <w:t>Gazette</w:t>
            </w:r>
            <w:r>
              <w:t xml:space="preserve"> 2 Oct 1992 p. 4811)</w:t>
            </w:r>
          </w:p>
        </w:tc>
      </w:tr>
      <w:tr>
        <w:trPr>
          <w:cantSplit/>
        </w:trPr>
        <w:tc>
          <w:tcPr>
            <w:tcW w:w="2269" w:type="dxa"/>
          </w:tcPr>
          <w:p>
            <w:pPr>
              <w:pStyle w:val="nTable"/>
              <w:spacing w:before="60" w:after="60"/>
              <w:ind w:right="113"/>
              <w:rPr>
                <w:i/>
              </w:rPr>
            </w:pPr>
            <w:r>
              <w:rPr>
                <w:i/>
              </w:rPr>
              <w:t>Electoral Amendment Act 1990</w:t>
            </w:r>
          </w:p>
        </w:tc>
        <w:tc>
          <w:tcPr>
            <w:tcW w:w="1134" w:type="dxa"/>
          </w:tcPr>
          <w:p>
            <w:pPr>
              <w:pStyle w:val="nTable"/>
              <w:spacing w:before="60" w:after="60"/>
            </w:pPr>
            <w:r>
              <w:t>66 of 1990</w:t>
            </w:r>
          </w:p>
        </w:tc>
        <w:tc>
          <w:tcPr>
            <w:tcW w:w="1139" w:type="dxa"/>
          </w:tcPr>
          <w:p>
            <w:pPr>
              <w:pStyle w:val="nTable"/>
              <w:spacing w:before="60" w:after="60"/>
            </w:pPr>
            <w:r>
              <w:t>17 Dec 1990</w:t>
            </w:r>
          </w:p>
        </w:tc>
        <w:tc>
          <w:tcPr>
            <w:tcW w:w="2551" w:type="dxa"/>
            <w:gridSpan w:val="2"/>
          </w:tcPr>
          <w:p>
            <w:pPr>
              <w:pStyle w:val="nTable"/>
              <w:spacing w:before="60" w:after="60"/>
            </w:pPr>
            <w:r>
              <w:t>14 Jan 1991</w:t>
            </w:r>
          </w:p>
        </w:tc>
      </w:tr>
      <w:tr>
        <w:trPr>
          <w:cantSplit/>
        </w:trPr>
        <w:tc>
          <w:tcPr>
            <w:tcW w:w="2269" w:type="dxa"/>
          </w:tcPr>
          <w:p>
            <w:pPr>
              <w:pStyle w:val="nTable"/>
              <w:spacing w:before="60" w:after="60"/>
              <w:ind w:right="113"/>
            </w:pPr>
            <w:r>
              <w:rPr>
                <w:i/>
              </w:rPr>
              <w:t xml:space="preserve">Criminal Law Amendment Act (No. 2) 1992 </w:t>
            </w:r>
            <w:r>
              <w:t>s. 16(4)</w:t>
            </w:r>
          </w:p>
        </w:tc>
        <w:tc>
          <w:tcPr>
            <w:tcW w:w="1134" w:type="dxa"/>
          </w:tcPr>
          <w:p>
            <w:pPr>
              <w:pStyle w:val="nTable"/>
              <w:spacing w:before="60" w:after="60"/>
            </w:pPr>
            <w:r>
              <w:t>51 of 1992</w:t>
            </w:r>
          </w:p>
        </w:tc>
        <w:tc>
          <w:tcPr>
            <w:tcW w:w="1139" w:type="dxa"/>
          </w:tcPr>
          <w:p>
            <w:pPr>
              <w:pStyle w:val="nTable"/>
              <w:spacing w:before="60" w:after="60"/>
            </w:pPr>
            <w:r>
              <w:t>9 Dec 1992</w:t>
            </w:r>
          </w:p>
        </w:tc>
        <w:tc>
          <w:tcPr>
            <w:tcW w:w="2551" w:type="dxa"/>
            <w:gridSpan w:val="2"/>
          </w:tcPr>
          <w:p>
            <w:pPr>
              <w:pStyle w:val="nTable"/>
              <w:spacing w:before="60" w:after="60"/>
            </w:pPr>
            <w:r>
              <w:t>6 Jan 1993</w:t>
            </w:r>
          </w:p>
        </w:tc>
      </w:tr>
      <w:tr>
        <w:trPr>
          <w:cantSplit/>
        </w:trPr>
        <w:tc>
          <w:tcPr>
            <w:tcW w:w="2269" w:type="dxa"/>
          </w:tcPr>
          <w:p>
            <w:pPr>
              <w:pStyle w:val="nTable"/>
              <w:spacing w:before="60" w:after="60"/>
              <w:ind w:right="113"/>
              <w:rPr>
                <w:i/>
              </w:rPr>
            </w:pPr>
            <w:r>
              <w:rPr>
                <w:i/>
              </w:rPr>
              <w:t xml:space="preserve">Electoral Amendment (Political Finance) Act 1992 </w:t>
            </w:r>
            <w:r>
              <w:rPr>
                <w:vertAlign w:val="superscript"/>
              </w:rPr>
              <w:t>10</w:t>
            </w:r>
          </w:p>
        </w:tc>
        <w:tc>
          <w:tcPr>
            <w:tcW w:w="1134" w:type="dxa"/>
          </w:tcPr>
          <w:p>
            <w:pPr>
              <w:pStyle w:val="nTable"/>
              <w:spacing w:before="60" w:after="60"/>
            </w:pPr>
            <w:r>
              <w:t xml:space="preserve">75 of 1992 </w:t>
            </w:r>
            <w:r>
              <w:rPr>
                <w:spacing w:val="-2"/>
              </w:rPr>
              <w:t>(</w:t>
            </w:r>
            <w:r>
              <w:rPr>
                <w:spacing w:val="-4"/>
              </w:rPr>
              <w:t xml:space="preserve">as amended by No. 43 of 1996 Pt. 3; </w:t>
            </w:r>
            <w:r>
              <w:t>No. 64 of 2006 s. 55</w:t>
            </w:r>
            <w:r>
              <w:rPr>
                <w:spacing w:val="-4"/>
              </w:rPr>
              <w:t>)</w:t>
            </w:r>
          </w:p>
        </w:tc>
        <w:tc>
          <w:tcPr>
            <w:tcW w:w="1139" w:type="dxa"/>
          </w:tcPr>
          <w:p>
            <w:pPr>
              <w:pStyle w:val="nTable"/>
              <w:spacing w:before="60" w:after="60"/>
            </w:pPr>
            <w:r>
              <w:t>16 Dec 1992</w:t>
            </w:r>
          </w:p>
        </w:tc>
        <w:tc>
          <w:tcPr>
            <w:tcW w:w="2551" w:type="dxa"/>
            <w:gridSpan w:val="2"/>
          </w:tcPr>
          <w:p>
            <w:pPr>
              <w:pStyle w:val="nTable"/>
              <w:spacing w:before="60" w:after="60"/>
            </w:pPr>
            <w:r>
              <w:t>s. 1 and 2: 16 Dec 1992;</w:t>
            </w:r>
            <w:r>
              <w:br/>
              <w:t xml:space="preserve">Act other than s. 1, 2, 5 and 6: 9 Nov 1996 (see s. 2 and </w:t>
            </w:r>
            <w:r>
              <w:rPr>
                <w:i/>
              </w:rPr>
              <w:t>Gazette</w:t>
            </w:r>
            <w:r>
              <w:t xml:space="preserve"> 8 Nov 1996 p. 6265);</w:t>
            </w:r>
            <w:r>
              <w:br/>
              <w:t>s. 5 and 6 repealed by No. 64 of 2006 s. 55</w:t>
            </w:r>
          </w:p>
        </w:tc>
      </w:tr>
      <w:tr>
        <w:trPr>
          <w:cantSplit/>
        </w:trPr>
        <w:tc>
          <w:tcPr>
            <w:tcW w:w="2269" w:type="dxa"/>
          </w:tcPr>
          <w:p>
            <w:pPr>
              <w:pStyle w:val="nTable"/>
              <w:spacing w:before="60" w:after="60"/>
              <w:ind w:right="113"/>
              <w:rPr>
                <w:i/>
              </w:rPr>
            </w:pPr>
            <w:r>
              <w:rPr>
                <w:i/>
              </w:rPr>
              <w:t>Financial Administration Legislation Amendment Act 1993</w:t>
            </w:r>
            <w:r>
              <w:t xml:space="preserve"> s. 11</w:t>
            </w:r>
          </w:p>
        </w:tc>
        <w:tc>
          <w:tcPr>
            <w:tcW w:w="1134" w:type="dxa"/>
          </w:tcPr>
          <w:p>
            <w:pPr>
              <w:pStyle w:val="nTable"/>
              <w:spacing w:before="60" w:after="60"/>
            </w:pPr>
            <w:r>
              <w:t>6 of 1993</w:t>
            </w:r>
          </w:p>
        </w:tc>
        <w:tc>
          <w:tcPr>
            <w:tcW w:w="1139" w:type="dxa"/>
          </w:tcPr>
          <w:p>
            <w:pPr>
              <w:pStyle w:val="nTable"/>
              <w:spacing w:before="60" w:after="60"/>
            </w:pPr>
            <w:r>
              <w:t>27 Aug 1993</w:t>
            </w:r>
          </w:p>
        </w:tc>
        <w:tc>
          <w:tcPr>
            <w:tcW w:w="2551" w:type="dxa"/>
            <w:gridSpan w:val="2"/>
          </w:tcPr>
          <w:p>
            <w:pPr>
              <w:pStyle w:val="nTable"/>
              <w:spacing w:before="60" w:after="60"/>
            </w:pPr>
            <w:r>
              <w:t>1 Jul 1993 (see s. 2(1))</w:t>
            </w:r>
          </w:p>
        </w:tc>
      </w:tr>
      <w:tr>
        <w:trPr>
          <w:cantSplit/>
        </w:trPr>
        <w:tc>
          <w:tcPr>
            <w:tcW w:w="2269" w:type="dxa"/>
          </w:tcPr>
          <w:p>
            <w:pPr>
              <w:pStyle w:val="nTable"/>
              <w:spacing w:before="60" w:after="60"/>
              <w:ind w:right="113"/>
              <w:rPr>
                <w:i/>
              </w:rPr>
            </w:pPr>
            <w:r>
              <w:rPr>
                <w:i/>
              </w:rPr>
              <w:t xml:space="preserve">Acts Amendment (Ministry of Justice) Act 1993 </w:t>
            </w:r>
            <w:r>
              <w:t>Pt. 8</w:t>
            </w:r>
            <w:r>
              <w:rPr>
                <w:vertAlign w:val="superscript"/>
              </w:rPr>
              <w:t> 11</w:t>
            </w:r>
          </w:p>
        </w:tc>
        <w:tc>
          <w:tcPr>
            <w:tcW w:w="1134" w:type="dxa"/>
          </w:tcPr>
          <w:p>
            <w:pPr>
              <w:pStyle w:val="nTable"/>
              <w:spacing w:before="60" w:after="60"/>
            </w:pPr>
            <w:r>
              <w:t>31 of 1993</w:t>
            </w:r>
          </w:p>
        </w:tc>
        <w:tc>
          <w:tcPr>
            <w:tcW w:w="1139" w:type="dxa"/>
          </w:tcPr>
          <w:p>
            <w:pPr>
              <w:pStyle w:val="nTable"/>
              <w:spacing w:before="60" w:after="60"/>
            </w:pPr>
            <w:r>
              <w:t>15 Dec 1993</w:t>
            </w:r>
          </w:p>
        </w:tc>
        <w:tc>
          <w:tcPr>
            <w:tcW w:w="2551" w:type="dxa"/>
            <w:gridSpan w:val="2"/>
          </w:tcPr>
          <w:p>
            <w:pPr>
              <w:pStyle w:val="nTable"/>
              <w:spacing w:before="60" w:after="60"/>
            </w:pPr>
            <w:r>
              <w:t>1 Jul 1993 (see s. 2)</w:t>
            </w:r>
          </w:p>
        </w:tc>
      </w:tr>
      <w:tr>
        <w:trPr>
          <w:cantSplit/>
        </w:trPr>
        <w:tc>
          <w:tcPr>
            <w:tcW w:w="2269" w:type="dxa"/>
          </w:tcPr>
          <w:p>
            <w:pPr>
              <w:pStyle w:val="nTable"/>
              <w:spacing w:before="60" w:after="60"/>
              <w:ind w:right="113"/>
            </w:pPr>
            <w:r>
              <w:rPr>
                <w:i/>
              </w:rPr>
              <w:t xml:space="preserve">Acts Amendment (Public Sector Management) Act 1994 </w:t>
            </w:r>
            <w:r>
              <w:t>s. 11</w:t>
            </w:r>
          </w:p>
        </w:tc>
        <w:tc>
          <w:tcPr>
            <w:tcW w:w="1134" w:type="dxa"/>
          </w:tcPr>
          <w:p>
            <w:pPr>
              <w:pStyle w:val="nTable"/>
              <w:spacing w:before="60" w:after="60"/>
            </w:pPr>
            <w:r>
              <w:t>32 of 1994</w:t>
            </w:r>
          </w:p>
        </w:tc>
        <w:tc>
          <w:tcPr>
            <w:tcW w:w="1139" w:type="dxa"/>
          </w:tcPr>
          <w:p>
            <w:pPr>
              <w:pStyle w:val="nTable"/>
              <w:spacing w:before="60" w:after="60"/>
            </w:pPr>
            <w:r>
              <w:t>29 Jun 1994</w:t>
            </w:r>
          </w:p>
        </w:tc>
        <w:tc>
          <w:tcPr>
            <w:tcW w:w="2551" w:type="dxa"/>
            <w:gridSpan w:val="2"/>
          </w:tcPr>
          <w:p>
            <w:pPr>
              <w:pStyle w:val="nTable"/>
              <w:spacing w:before="60" w:after="60"/>
            </w:pPr>
            <w:r>
              <w:t xml:space="preserve">1 Oct 1994 (see s. 2 and </w:t>
            </w:r>
            <w:r>
              <w:rPr>
                <w:i/>
              </w:rPr>
              <w:t>Gazette</w:t>
            </w:r>
            <w:r>
              <w:t xml:space="preserve"> 30 Sep 1994 p. 4948)</w:t>
            </w:r>
          </w:p>
        </w:tc>
      </w:tr>
      <w:tr>
        <w:trPr>
          <w:cantSplit/>
        </w:trPr>
        <w:tc>
          <w:tcPr>
            <w:tcW w:w="2269" w:type="dxa"/>
          </w:tcPr>
          <w:p>
            <w:pPr>
              <w:pStyle w:val="nTable"/>
              <w:spacing w:before="60" w:after="60"/>
              <w:ind w:right="113"/>
            </w:pPr>
            <w:r>
              <w:rPr>
                <w:i/>
              </w:rPr>
              <w:t xml:space="preserve">Sentencing (Consequential Provisions) Act 1995 </w:t>
            </w:r>
            <w:r>
              <w:t>Pt. 26 and s. 147</w:t>
            </w:r>
          </w:p>
        </w:tc>
        <w:tc>
          <w:tcPr>
            <w:tcW w:w="1134" w:type="dxa"/>
          </w:tcPr>
          <w:p>
            <w:pPr>
              <w:pStyle w:val="nTable"/>
              <w:spacing w:before="60" w:after="60"/>
            </w:pPr>
            <w:r>
              <w:t>78 of 1995</w:t>
            </w:r>
          </w:p>
        </w:tc>
        <w:tc>
          <w:tcPr>
            <w:tcW w:w="1139" w:type="dxa"/>
          </w:tcPr>
          <w:p>
            <w:pPr>
              <w:pStyle w:val="nTable"/>
              <w:spacing w:before="60" w:after="60"/>
            </w:pPr>
            <w:r>
              <w:t>16 Jan 1996</w:t>
            </w:r>
          </w:p>
        </w:tc>
        <w:tc>
          <w:tcPr>
            <w:tcW w:w="2551" w:type="dxa"/>
            <w:gridSpan w:val="2"/>
          </w:tcPr>
          <w:p>
            <w:pPr>
              <w:pStyle w:val="nTable"/>
              <w:spacing w:before="60" w:after="60"/>
            </w:pPr>
            <w:r>
              <w:t xml:space="preserve">4 Nov 1996 (see s. 2 and </w:t>
            </w:r>
            <w:r>
              <w:rPr>
                <w:i/>
              </w:rPr>
              <w:t>Gazette</w:t>
            </w:r>
            <w:r>
              <w:t xml:space="preserve"> 25 Oct 1996 p. 5632)</w:t>
            </w:r>
          </w:p>
        </w:tc>
      </w:tr>
      <w:tr>
        <w:trPr>
          <w:cantSplit/>
        </w:trPr>
        <w:tc>
          <w:tcPr>
            <w:tcW w:w="2269" w:type="dxa"/>
          </w:tcPr>
          <w:p>
            <w:pPr>
              <w:pStyle w:val="nTable"/>
              <w:spacing w:before="60" w:after="60"/>
              <w:ind w:right="113"/>
            </w:pPr>
            <w:r>
              <w:rPr>
                <w:i/>
              </w:rPr>
              <w:t xml:space="preserve">Local Government (Consequential Amendments) Act 1996 </w:t>
            </w:r>
            <w:r>
              <w:t>s. 4</w:t>
            </w:r>
          </w:p>
        </w:tc>
        <w:tc>
          <w:tcPr>
            <w:tcW w:w="1134" w:type="dxa"/>
          </w:tcPr>
          <w:p>
            <w:pPr>
              <w:pStyle w:val="nTable"/>
              <w:spacing w:before="60" w:after="60"/>
            </w:pPr>
            <w:r>
              <w:t>14 of 1996</w:t>
            </w:r>
          </w:p>
        </w:tc>
        <w:tc>
          <w:tcPr>
            <w:tcW w:w="1139" w:type="dxa"/>
          </w:tcPr>
          <w:p>
            <w:pPr>
              <w:pStyle w:val="nTable"/>
              <w:spacing w:before="60" w:after="60"/>
            </w:pPr>
            <w:r>
              <w:t>28 Jun 1996</w:t>
            </w:r>
          </w:p>
        </w:tc>
        <w:tc>
          <w:tcPr>
            <w:tcW w:w="2551" w:type="dxa"/>
            <w:gridSpan w:val="2"/>
          </w:tcPr>
          <w:p>
            <w:pPr>
              <w:pStyle w:val="nTable"/>
              <w:spacing w:before="60" w:after="60"/>
            </w:pPr>
            <w:r>
              <w:t>1 Jul 1996 (see s. 2)</w:t>
            </w:r>
          </w:p>
        </w:tc>
      </w:tr>
      <w:tr>
        <w:trPr>
          <w:cantSplit/>
        </w:trPr>
        <w:tc>
          <w:tcPr>
            <w:tcW w:w="2269" w:type="dxa"/>
          </w:tcPr>
          <w:p>
            <w:pPr>
              <w:pStyle w:val="nTable"/>
              <w:spacing w:before="60" w:after="60"/>
              <w:ind w:right="113"/>
              <w:rPr>
                <w:i/>
              </w:rPr>
            </w:pPr>
            <w:r>
              <w:rPr>
                <w:i/>
              </w:rPr>
              <w:t xml:space="preserve">Electoral Legislation Amendment Act 1996 </w:t>
            </w:r>
            <w:r>
              <w:t>Pt. 2</w:t>
            </w:r>
          </w:p>
        </w:tc>
        <w:tc>
          <w:tcPr>
            <w:tcW w:w="1134" w:type="dxa"/>
          </w:tcPr>
          <w:p>
            <w:pPr>
              <w:pStyle w:val="nTable"/>
              <w:spacing w:before="60" w:after="60"/>
            </w:pPr>
            <w:r>
              <w:t>43 of 1996</w:t>
            </w:r>
          </w:p>
        </w:tc>
        <w:tc>
          <w:tcPr>
            <w:tcW w:w="1139" w:type="dxa"/>
          </w:tcPr>
          <w:p>
            <w:pPr>
              <w:pStyle w:val="nTable"/>
              <w:spacing w:before="60" w:after="60"/>
            </w:pPr>
            <w:r>
              <w:t>16 Oct 1996</w:t>
            </w:r>
          </w:p>
        </w:tc>
        <w:tc>
          <w:tcPr>
            <w:tcW w:w="2551" w:type="dxa"/>
            <w:gridSpan w:val="2"/>
          </w:tcPr>
          <w:p>
            <w:pPr>
              <w:pStyle w:val="nTable"/>
              <w:spacing w:before="60" w:after="60"/>
            </w:pPr>
            <w:r>
              <w:t xml:space="preserve">9 Nov 1996 (see s. 2(2) and </w:t>
            </w:r>
            <w:r>
              <w:rPr>
                <w:i/>
              </w:rPr>
              <w:t>Gazette</w:t>
            </w:r>
            <w:r>
              <w:t xml:space="preserve"> 8 Nov 1996 p. 6265)</w:t>
            </w:r>
          </w:p>
        </w:tc>
      </w:tr>
      <w:tr>
        <w:trPr>
          <w:cantSplit/>
        </w:trPr>
        <w:tc>
          <w:tcPr>
            <w:tcW w:w="2269" w:type="dxa"/>
          </w:tcPr>
          <w:p>
            <w:pPr>
              <w:pStyle w:val="nTable"/>
              <w:spacing w:before="60" w:after="60"/>
              <w:ind w:right="113"/>
            </w:pPr>
            <w:r>
              <w:rPr>
                <w:i/>
              </w:rPr>
              <w:t xml:space="preserve">Financial Legislation Amendment Act 1996 </w:t>
            </w:r>
            <w:r>
              <w:t>s. 64</w:t>
            </w:r>
          </w:p>
        </w:tc>
        <w:tc>
          <w:tcPr>
            <w:tcW w:w="1134" w:type="dxa"/>
          </w:tcPr>
          <w:p>
            <w:pPr>
              <w:pStyle w:val="nTable"/>
              <w:spacing w:before="60" w:after="60"/>
            </w:pPr>
            <w:r>
              <w:t>49 of 1996</w:t>
            </w:r>
          </w:p>
        </w:tc>
        <w:tc>
          <w:tcPr>
            <w:tcW w:w="1139" w:type="dxa"/>
          </w:tcPr>
          <w:p>
            <w:pPr>
              <w:pStyle w:val="nTable"/>
              <w:spacing w:before="60" w:after="60"/>
            </w:pPr>
            <w:r>
              <w:t>25 Oct 1996</w:t>
            </w:r>
          </w:p>
        </w:tc>
        <w:tc>
          <w:tcPr>
            <w:tcW w:w="2551" w:type="dxa"/>
            <w:gridSpan w:val="2"/>
          </w:tcPr>
          <w:p>
            <w:pPr>
              <w:pStyle w:val="nTable"/>
              <w:spacing w:before="60" w:after="60"/>
            </w:pPr>
            <w:r>
              <w:t>25 Oct 1996 (see s. 2(1))</w:t>
            </w:r>
          </w:p>
        </w:tc>
      </w:tr>
      <w:tr>
        <w:trPr>
          <w:cantSplit/>
        </w:trPr>
        <w:tc>
          <w:tcPr>
            <w:tcW w:w="2269" w:type="dxa"/>
          </w:tcPr>
          <w:p>
            <w:pPr>
              <w:pStyle w:val="nTable"/>
              <w:spacing w:before="60" w:after="60"/>
              <w:ind w:right="113"/>
            </w:pPr>
            <w:r>
              <w:rPr>
                <w:i/>
              </w:rPr>
              <w:t>Mental Health (Consequential Provisions) Act 1996</w:t>
            </w:r>
            <w:r>
              <w:t xml:space="preserve"> Pt. 6</w:t>
            </w:r>
          </w:p>
        </w:tc>
        <w:tc>
          <w:tcPr>
            <w:tcW w:w="1134" w:type="dxa"/>
          </w:tcPr>
          <w:p>
            <w:pPr>
              <w:pStyle w:val="nTable"/>
              <w:spacing w:before="60" w:after="60"/>
            </w:pPr>
            <w:r>
              <w:t>69 of 1996</w:t>
            </w:r>
          </w:p>
        </w:tc>
        <w:tc>
          <w:tcPr>
            <w:tcW w:w="1139" w:type="dxa"/>
          </w:tcPr>
          <w:p>
            <w:pPr>
              <w:pStyle w:val="nTable"/>
              <w:spacing w:before="60" w:after="60"/>
            </w:pPr>
            <w:r>
              <w:t>13 Nov 1996</w:t>
            </w:r>
          </w:p>
        </w:tc>
        <w:tc>
          <w:tcPr>
            <w:tcW w:w="2551" w:type="dxa"/>
            <w:gridSpan w:val="2"/>
          </w:tcPr>
          <w:p>
            <w:pPr>
              <w:pStyle w:val="nTable"/>
              <w:spacing w:before="60" w:after="60"/>
            </w:pPr>
            <w:r>
              <w:t>13 Nov 1997 (see s. 2)</w:t>
            </w:r>
          </w:p>
        </w:tc>
      </w:tr>
      <w:tr>
        <w:trPr>
          <w:cantSplit/>
        </w:trPr>
        <w:tc>
          <w:tcPr>
            <w:tcW w:w="7093" w:type="dxa"/>
            <w:gridSpan w:val="5"/>
          </w:tcPr>
          <w:p>
            <w:pPr>
              <w:pStyle w:val="nTable"/>
              <w:spacing w:before="60" w:after="60"/>
            </w:pPr>
            <w:r>
              <w:rPr>
                <w:b/>
              </w:rPr>
              <w:t xml:space="preserve">Reprint of the </w:t>
            </w:r>
            <w:r>
              <w:rPr>
                <w:b/>
                <w:i/>
              </w:rPr>
              <w:t>Electoral Act 1907</w:t>
            </w:r>
            <w:r>
              <w:rPr>
                <w:b/>
              </w:rPr>
              <w:t xml:space="preserve"> as at 22 Apr 1997 </w:t>
            </w:r>
            <w:r>
              <w:t xml:space="preserve">(includes amendments listed above except those in the </w:t>
            </w:r>
            <w:r>
              <w:rPr>
                <w:i/>
              </w:rPr>
              <w:t>Electoral Amendment (Political Finance) Act 1992</w:t>
            </w:r>
            <w:r>
              <w:rPr>
                <w:iCs/>
              </w:rPr>
              <w:t xml:space="preserve"> s. 5 and 6 and the </w:t>
            </w:r>
            <w:r>
              <w:rPr>
                <w:i/>
              </w:rPr>
              <w:t>Mental Health (Consequential Provisions) Act 1996</w:t>
            </w:r>
            <w:r>
              <w:t>)</w:t>
            </w:r>
          </w:p>
        </w:tc>
      </w:tr>
      <w:tr>
        <w:trPr>
          <w:cantSplit/>
        </w:trPr>
        <w:tc>
          <w:tcPr>
            <w:tcW w:w="2269" w:type="dxa"/>
          </w:tcPr>
          <w:p>
            <w:pPr>
              <w:pStyle w:val="nTable"/>
              <w:spacing w:before="60" w:after="60"/>
              <w:ind w:right="113"/>
            </w:pPr>
            <w:r>
              <w:rPr>
                <w:i/>
              </w:rPr>
              <w:t>Equal Opportunity Amendment Act (No. 3) 1997</w:t>
            </w:r>
            <w:r>
              <w:t xml:space="preserve"> s. 8</w:t>
            </w:r>
          </w:p>
        </w:tc>
        <w:tc>
          <w:tcPr>
            <w:tcW w:w="1134" w:type="dxa"/>
          </w:tcPr>
          <w:p>
            <w:pPr>
              <w:pStyle w:val="nTable"/>
              <w:spacing w:before="60" w:after="60"/>
            </w:pPr>
            <w:r>
              <w:t>42 of 1997</w:t>
            </w:r>
          </w:p>
        </w:tc>
        <w:tc>
          <w:tcPr>
            <w:tcW w:w="1139" w:type="dxa"/>
          </w:tcPr>
          <w:p>
            <w:pPr>
              <w:pStyle w:val="nTable"/>
              <w:spacing w:before="60" w:after="60"/>
            </w:pPr>
            <w:r>
              <w:t>9 Dec 1997</w:t>
            </w:r>
          </w:p>
        </w:tc>
        <w:tc>
          <w:tcPr>
            <w:tcW w:w="2551" w:type="dxa"/>
            <w:gridSpan w:val="2"/>
          </w:tcPr>
          <w:p>
            <w:pPr>
              <w:pStyle w:val="nTable"/>
              <w:spacing w:before="60" w:after="60"/>
            </w:pPr>
            <w:r>
              <w:t>6 Jan 1998 (see s. 2(1))</w:t>
            </w:r>
          </w:p>
        </w:tc>
      </w:tr>
      <w:tr>
        <w:trPr>
          <w:cantSplit/>
        </w:trPr>
        <w:tc>
          <w:tcPr>
            <w:tcW w:w="2269" w:type="dxa"/>
          </w:tcPr>
          <w:p>
            <w:pPr>
              <w:pStyle w:val="nTable"/>
              <w:spacing w:before="60" w:after="60"/>
              <w:ind w:right="113"/>
            </w:pPr>
            <w:r>
              <w:rPr>
                <w:i/>
              </w:rPr>
              <w:t>Statutes (Repeals and Minor Amendments) Act (No. 2) 1998</w:t>
            </w:r>
            <w:r>
              <w:t xml:space="preserve"> s. 76</w:t>
            </w:r>
          </w:p>
        </w:tc>
        <w:tc>
          <w:tcPr>
            <w:tcW w:w="1134" w:type="dxa"/>
          </w:tcPr>
          <w:p>
            <w:pPr>
              <w:pStyle w:val="nTable"/>
              <w:spacing w:before="60" w:after="60"/>
            </w:pPr>
            <w:r>
              <w:t>10 of 1998</w:t>
            </w:r>
          </w:p>
        </w:tc>
        <w:tc>
          <w:tcPr>
            <w:tcW w:w="1139" w:type="dxa"/>
          </w:tcPr>
          <w:p>
            <w:pPr>
              <w:pStyle w:val="nTable"/>
              <w:spacing w:before="60" w:after="60"/>
            </w:pPr>
            <w:r>
              <w:t>30 Apr 1998</w:t>
            </w:r>
          </w:p>
        </w:tc>
        <w:tc>
          <w:tcPr>
            <w:tcW w:w="2551" w:type="dxa"/>
            <w:gridSpan w:val="2"/>
          </w:tcPr>
          <w:p>
            <w:pPr>
              <w:pStyle w:val="nTable"/>
              <w:spacing w:before="60" w:after="60"/>
            </w:pPr>
            <w:r>
              <w:t>30 Apr 1998 (see s. 2(1))</w:t>
            </w:r>
          </w:p>
        </w:tc>
      </w:tr>
      <w:tr>
        <w:trPr>
          <w:cantSplit/>
        </w:trPr>
        <w:tc>
          <w:tcPr>
            <w:tcW w:w="2269" w:type="dxa"/>
          </w:tcPr>
          <w:p>
            <w:pPr>
              <w:pStyle w:val="nTable"/>
              <w:spacing w:before="60" w:after="60"/>
              <w:ind w:right="113"/>
            </w:pPr>
            <w:r>
              <w:rPr>
                <w:i/>
              </w:rPr>
              <w:t>Acts Repeal and Amendment (Births, Deaths and Marriages Registration) Act 1998</w:t>
            </w:r>
            <w:r>
              <w:t xml:space="preserve"> s. 11</w:t>
            </w:r>
          </w:p>
        </w:tc>
        <w:tc>
          <w:tcPr>
            <w:tcW w:w="1134" w:type="dxa"/>
          </w:tcPr>
          <w:p>
            <w:pPr>
              <w:pStyle w:val="nTable"/>
              <w:spacing w:before="60" w:after="60"/>
            </w:pPr>
            <w:r>
              <w:t>40 of 1998</w:t>
            </w:r>
          </w:p>
        </w:tc>
        <w:tc>
          <w:tcPr>
            <w:tcW w:w="1139" w:type="dxa"/>
          </w:tcPr>
          <w:p>
            <w:pPr>
              <w:pStyle w:val="nTable"/>
              <w:spacing w:before="60" w:after="60"/>
            </w:pPr>
            <w:r>
              <w:t>30 Oct 1998</w:t>
            </w:r>
          </w:p>
        </w:tc>
        <w:tc>
          <w:tcPr>
            <w:tcW w:w="2551" w:type="dxa"/>
            <w:gridSpan w:val="2"/>
          </w:tcPr>
          <w:p>
            <w:pPr>
              <w:pStyle w:val="nTable"/>
              <w:spacing w:before="60" w:after="60"/>
            </w:pPr>
            <w:r>
              <w:t xml:space="preserve">14 Apr 1999 (see s. 2 and </w:t>
            </w:r>
            <w:r>
              <w:rPr>
                <w:i/>
              </w:rPr>
              <w:t>Gazette</w:t>
            </w:r>
            <w:r>
              <w:t xml:space="preserve"> 9 Apr 1999 p. 1433)</w:t>
            </w:r>
          </w:p>
        </w:tc>
      </w:tr>
      <w:tr>
        <w:trPr>
          <w:cantSplit/>
        </w:trPr>
        <w:tc>
          <w:tcPr>
            <w:tcW w:w="2269" w:type="dxa"/>
          </w:tcPr>
          <w:p>
            <w:pPr>
              <w:pStyle w:val="nTable"/>
              <w:spacing w:before="60" w:after="60"/>
              <w:ind w:right="113"/>
              <w:rPr>
                <w:i/>
              </w:rPr>
            </w:pPr>
            <w:r>
              <w:rPr>
                <w:i/>
              </w:rPr>
              <w:t>Statutes (Repeals and Minor Amendments) Act 2000</w:t>
            </w:r>
            <w:r>
              <w:t xml:space="preserve"> s. 50</w:t>
            </w:r>
          </w:p>
        </w:tc>
        <w:tc>
          <w:tcPr>
            <w:tcW w:w="1134" w:type="dxa"/>
          </w:tcPr>
          <w:p>
            <w:pPr>
              <w:pStyle w:val="nTable"/>
              <w:spacing w:before="60" w:after="60"/>
            </w:pPr>
            <w:r>
              <w:t>24 of 2000</w:t>
            </w:r>
          </w:p>
        </w:tc>
        <w:tc>
          <w:tcPr>
            <w:tcW w:w="1139" w:type="dxa"/>
          </w:tcPr>
          <w:p>
            <w:pPr>
              <w:pStyle w:val="nTable"/>
              <w:spacing w:before="60" w:after="60"/>
            </w:pPr>
            <w:r>
              <w:t>4 Jul 2000</w:t>
            </w:r>
          </w:p>
        </w:tc>
        <w:tc>
          <w:tcPr>
            <w:tcW w:w="2551" w:type="dxa"/>
            <w:gridSpan w:val="2"/>
          </w:tcPr>
          <w:p>
            <w:pPr>
              <w:pStyle w:val="nTable"/>
              <w:spacing w:before="60" w:after="60"/>
            </w:pPr>
            <w:r>
              <w:t>4 Jul 2000 (see s. 2)</w:t>
            </w:r>
          </w:p>
        </w:tc>
      </w:tr>
      <w:tr>
        <w:trPr>
          <w:cantSplit/>
        </w:trPr>
        <w:tc>
          <w:tcPr>
            <w:tcW w:w="2269" w:type="dxa"/>
          </w:tcPr>
          <w:p>
            <w:pPr>
              <w:pStyle w:val="nTable"/>
              <w:spacing w:before="60" w:after="60"/>
              <w:ind w:right="113"/>
            </w:pPr>
            <w:r>
              <w:rPr>
                <w:i/>
              </w:rPr>
              <w:t>Electoral Amendment Act 2000</w:t>
            </w:r>
            <w:r>
              <w:rPr>
                <w:vertAlign w:val="superscript"/>
              </w:rPr>
              <w:t> 12</w:t>
            </w:r>
          </w:p>
        </w:tc>
        <w:tc>
          <w:tcPr>
            <w:tcW w:w="1134" w:type="dxa"/>
          </w:tcPr>
          <w:p>
            <w:pPr>
              <w:pStyle w:val="nTable"/>
              <w:spacing w:before="60" w:after="60"/>
            </w:pPr>
            <w:r>
              <w:t>36 of 2000</w:t>
            </w:r>
          </w:p>
        </w:tc>
        <w:tc>
          <w:tcPr>
            <w:tcW w:w="1139" w:type="dxa"/>
          </w:tcPr>
          <w:p>
            <w:pPr>
              <w:pStyle w:val="nTable"/>
              <w:spacing w:before="60" w:after="60"/>
            </w:pPr>
            <w:r>
              <w:t>10 Oct 2000</w:t>
            </w:r>
          </w:p>
        </w:tc>
        <w:tc>
          <w:tcPr>
            <w:tcW w:w="2551" w:type="dxa"/>
            <w:gridSpan w:val="2"/>
          </w:tcPr>
          <w:p>
            <w:pPr>
              <w:pStyle w:val="nTable"/>
              <w:spacing w:before="60" w:after="60"/>
            </w:pPr>
            <w:r>
              <w:t>s. 1 and 2: 10 Oct 2000;</w:t>
            </w:r>
            <w:r>
              <w:br/>
              <w:t xml:space="preserve">Act other than s. 1, 2, 28 and Pt. 5: 21 Oct 2000 (see s. 2 and </w:t>
            </w:r>
            <w:r>
              <w:rPr>
                <w:i/>
              </w:rPr>
              <w:t>Gazette</w:t>
            </w:r>
            <w:r>
              <w:t xml:space="preserve"> 20 Oct 2000 p. 5899);</w:t>
            </w:r>
            <w:r>
              <w:br/>
              <w:t xml:space="preserve">s. 28 and Pt. 5: 11 Nov 2000 (see s. 2 and </w:t>
            </w:r>
            <w:r>
              <w:rPr>
                <w:i/>
              </w:rPr>
              <w:t xml:space="preserve">Gazette </w:t>
            </w:r>
            <w:r>
              <w:t xml:space="preserve">10 Nov 2000 p. 6193) </w:t>
            </w:r>
          </w:p>
        </w:tc>
      </w:tr>
      <w:tr>
        <w:trPr>
          <w:cantSplit/>
        </w:trPr>
        <w:tc>
          <w:tcPr>
            <w:tcW w:w="7093" w:type="dxa"/>
            <w:gridSpan w:val="5"/>
          </w:tcPr>
          <w:p>
            <w:pPr>
              <w:pStyle w:val="nTable"/>
              <w:spacing w:before="60" w:after="60"/>
            </w:pPr>
            <w:r>
              <w:rPr>
                <w:b/>
              </w:rPr>
              <w:t xml:space="preserve">Reprint of the </w:t>
            </w:r>
            <w:r>
              <w:rPr>
                <w:b/>
                <w:i/>
              </w:rPr>
              <w:t>Electoral Act 1907</w:t>
            </w:r>
            <w:r>
              <w:rPr>
                <w:b/>
              </w:rPr>
              <w:t xml:space="preserve"> as at 15 Dec 2000 </w:t>
            </w:r>
            <w:r>
              <w:t xml:space="preserve">(includes amendments listed above except those in the </w:t>
            </w:r>
            <w:r>
              <w:rPr>
                <w:i/>
              </w:rPr>
              <w:t>Electoral Amendment (Political Finance) Act 1992</w:t>
            </w:r>
            <w:r>
              <w:rPr>
                <w:iCs/>
              </w:rPr>
              <w:t xml:space="preserve"> s. 5 and 6</w:t>
            </w:r>
            <w:r>
              <w:t>)</w:t>
            </w:r>
          </w:p>
        </w:tc>
      </w:tr>
      <w:tr>
        <w:trPr>
          <w:cantSplit/>
        </w:trPr>
        <w:tc>
          <w:tcPr>
            <w:tcW w:w="2269" w:type="dxa"/>
          </w:tcPr>
          <w:p>
            <w:pPr>
              <w:pStyle w:val="nTable"/>
              <w:spacing w:before="60" w:after="60"/>
              <w:ind w:right="113"/>
              <w:rPr>
                <w:i/>
              </w:rPr>
            </w:pPr>
            <w:r>
              <w:rPr>
                <w:i/>
              </w:rPr>
              <w:t>Corporations (Consequential Amendments) Act 2001</w:t>
            </w:r>
            <w:r>
              <w:t xml:space="preserve"> s. 220</w:t>
            </w:r>
          </w:p>
        </w:tc>
        <w:tc>
          <w:tcPr>
            <w:tcW w:w="1134" w:type="dxa"/>
          </w:tcPr>
          <w:p>
            <w:pPr>
              <w:pStyle w:val="nTable"/>
              <w:spacing w:before="60" w:after="60"/>
            </w:pPr>
            <w:r>
              <w:t>10 of 2001</w:t>
            </w:r>
          </w:p>
        </w:tc>
        <w:tc>
          <w:tcPr>
            <w:tcW w:w="1139" w:type="dxa"/>
          </w:tcPr>
          <w:p>
            <w:pPr>
              <w:pStyle w:val="nTable"/>
              <w:spacing w:before="60" w:after="60"/>
            </w:pPr>
            <w:r>
              <w:t>28 Jun 2001</w:t>
            </w:r>
          </w:p>
        </w:tc>
        <w:tc>
          <w:tcPr>
            <w:tcW w:w="2551" w:type="dxa"/>
            <w:gridSpan w:val="2"/>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9" w:type="dxa"/>
          </w:tcPr>
          <w:p>
            <w:pPr>
              <w:pStyle w:val="nTable"/>
              <w:spacing w:before="60" w:after="60"/>
              <w:ind w:right="113"/>
              <w:rPr>
                <w:i/>
              </w:rPr>
            </w:pPr>
            <w:r>
              <w:rPr>
                <w:i/>
              </w:rPr>
              <w:t xml:space="preserve">Sentencing Legislation Amendment and Repeal Act 2003 </w:t>
            </w:r>
            <w:r>
              <w:t>s. 56</w:t>
            </w:r>
          </w:p>
        </w:tc>
        <w:tc>
          <w:tcPr>
            <w:tcW w:w="1134" w:type="dxa"/>
          </w:tcPr>
          <w:p>
            <w:pPr>
              <w:pStyle w:val="nTable"/>
              <w:spacing w:before="60" w:after="60"/>
            </w:pPr>
            <w:r>
              <w:t>50 of 2003</w:t>
            </w:r>
          </w:p>
        </w:tc>
        <w:tc>
          <w:tcPr>
            <w:tcW w:w="1139" w:type="dxa"/>
          </w:tcPr>
          <w:p>
            <w:pPr>
              <w:pStyle w:val="nTable"/>
              <w:spacing w:before="60" w:after="60"/>
            </w:pPr>
            <w:r>
              <w:t>9 Jul 2003</w:t>
            </w:r>
          </w:p>
        </w:tc>
        <w:tc>
          <w:tcPr>
            <w:tcW w:w="2551" w:type="dxa"/>
            <w:gridSpan w:val="2"/>
          </w:tcPr>
          <w:p>
            <w:pPr>
              <w:pStyle w:val="nTable"/>
              <w:spacing w:before="60" w:after="6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9" w:type="dxa"/>
          </w:tcPr>
          <w:p>
            <w:pPr>
              <w:pStyle w:val="nTable"/>
              <w:spacing w:before="60" w:after="60"/>
              <w:ind w:right="113"/>
            </w:pPr>
            <w:r>
              <w:rPr>
                <w:i/>
              </w:rPr>
              <w:t>Statutes (Repeals and Minor Amendments) Act 2003</w:t>
            </w:r>
            <w:r>
              <w:t xml:space="preserve"> s. 47</w:t>
            </w:r>
          </w:p>
        </w:tc>
        <w:tc>
          <w:tcPr>
            <w:tcW w:w="1134" w:type="dxa"/>
          </w:tcPr>
          <w:p>
            <w:pPr>
              <w:pStyle w:val="nTable"/>
              <w:spacing w:before="60" w:after="60"/>
            </w:pPr>
            <w:r>
              <w:t>74 of 2003</w:t>
            </w:r>
          </w:p>
        </w:tc>
        <w:tc>
          <w:tcPr>
            <w:tcW w:w="1139" w:type="dxa"/>
          </w:tcPr>
          <w:p>
            <w:pPr>
              <w:pStyle w:val="nTable"/>
              <w:spacing w:before="60" w:after="60"/>
            </w:pPr>
            <w:r>
              <w:t>15 Dec 2003</w:t>
            </w:r>
          </w:p>
        </w:tc>
        <w:tc>
          <w:tcPr>
            <w:tcW w:w="2551" w:type="dxa"/>
            <w:gridSpan w:val="2"/>
          </w:tcPr>
          <w:p>
            <w:pPr>
              <w:pStyle w:val="nTable"/>
              <w:spacing w:before="60" w:after="60"/>
            </w:pPr>
            <w:r>
              <w:rPr>
                <w:spacing w:val="-2"/>
              </w:rPr>
              <w:t>15 Dec 2003 (see s. 2)</w:t>
            </w:r>
          </w:p>
        </w:tc>
      </w:tr>
      <w:tr>
        <w:trPr>
          <w:cantSplit/>
        </w:trPr>
        <w:tc>
          <w:tcPr>
            <w:tcW w:w="2269" w:type="dxa"/>
          </w:tcPr>
          <w:p>
            <w:pPr>
              <w:pStyle w:val="nTable"/>
              <w:spacing w:before="60" w:after="60"/>
              <w:ind w:right="113"/>
              <w:rPr>
                <w:i/>
              </w:rPr>
            </w:pPr>
            <w:r>
              <w:rPr>
                <w:i/>
              </w:rPr>
              <w:t xml:space="preserve">Criminal Code Amendment Act 2004 </w:t>
            </w:r>
            <w:r>
              <w:t>s. 58</w:t>
            </w:r>
          </w:p>
        </w:tc>
        <w:tc>
          <w:tcPr>
            <w:tcW w:w="1134" w:type="dxa"/>
          </w:tcPr>
          <w:p>
            <w:pPr>
              <w:pStyle w:val="nTable"/>
              <w:spacing w:before="60" w:after="60"/>
            </w:pPr>
            <w:r>
              <w:t>4 of 2004</w:t>
            </w:r>
          </w:p>
        </w:tc>
        <w:tc>
          <w:tcPr>
            <w:tcW w:w="1139" w:type="dxa"/>
          </w:tcPr>
          <w:p>
            <w:pPr>
              <w:pStyle w:val="nTable"/>
              <w:spacing w:before="60" w:after="60"/>
            </w:pPr>
            <w:r>
              <w:t>23 Apr 2004</w:t>
            </w:r>
          </w:p>
        </w:tc>
        <w:tc>
          <w:tcPr>
            <w:tcW w:w="2551" w:type="dxa"/>
            <w:gridSpan w:val="2"/>
          </w:tcPr>
          <w:p>
            <w:pPr>
              <w:pStyle w:val="nTable"/>
              <w:spacing w:before="60" w:after="60"/>
              <w:rPr>
                <w:spacing w:val="-2"/>
              </w:rPr>
            </w:pPr>
            <w:r>
              <w:t>21 May 2004 (see s. 2)</w:t>
            </w:r>
          </w:p>
        </w:tc>
      </w:tr>
      <w:tr>
        <w:trPr>
          <w:cantSplit/>
        </w:trPr>
        <w:tc>
          <w:tcPr>
            <w:tcW w:w="2269" w:type="dxa"/>
          </w:tcPr>
          <w:p>
            <w:pPr>
              <w:pStyle w:val="nTable"/>
              <w:spacing w:before="60" w:after="60"/>
              <w:rPr>
                <w:snapToGrid w:val="0"/>
              </w:rPr>
            </w:pPr>
            <w:r>
              <w:rPr>
                <w:i/>
                <w:snapToGrid w:val="0"/>
              </w:rPr>
              <w:t>Children and Community Services Act 2004</w:t>
            </w:r>
            <w:r>
              <w:rPr>
                <w:snapToGrid w:val="0"/>
              </w:rPr>
              <w:t xml:space="preserve"> </w:t>
            </w:r>
            <w:r>
              <w:t>Sch. 2 cl. 8</w:t>
            </w:r>
          </w:p>
        </w:tc>
        <w:tc>
          <w:tcPr>
            <w:tcW w:w="1134" w:type="dxa"/>
          </w:tcPr>
          <w:p>
            <w:pPr>
              <w:pStyle w:val="nTable"/>
              <w:spacing w:before="60" w:after="60"/>
              <w:rPr>
                <w:snapToGrid w:val="0"/>
              </w:rPr>
            </w:pPr>
            <w:r>
              <w:rPr>
                <w:snapToGrid w:val="0"/>
              </w:rPr>
              <w:t>34 of 2004</w:t>
            </w:r>
          </w:p>
        </w:tc>
        <w:tc>
          <w:tcPr>
            <w:tcW w:w="1139" w:type="dxa"/>
          </w:tcPr>
          <w:p>
            <w:pPr>
              <w:pStyle w:val="nTable"/>
              <w:spacing w:before="60" w:after="60"/>
              <w:rPr>
                <w:snapToGrid w:val="0"/>
              </w:rPr>
            </w:pPr>
            <w:r>
              <w:t>20 Oct 2004</w:t>
            </w:r>
          </w:p>
        </w:tc>
        <w:tc>
          <w:tcPr>
            <w:tcW w:w="2551" w:type="dxa"/>
            <w:gridSpan w:val="2"/>
          </w:tcPr>
          <w:p>
            <w:pPr>
              <w:pStyle w:val="nTable"/>
              <w:spacing w:before="60" w:after="60"/>
            </w:pPr>
            <w:r>
              <w:t xml:space="preserve">1 Mar 2006 (see s. 2 and </w:t>
            </w:r>
            <w:r>
              <w:rPr>
                <w:i/>
              </w:rPr>
              <w:t>Gazette</w:t>
            </w:r>
            <w:r>
              <w:t xml:space="preserve"> 14 Feb 2006 p. 695)</w:t>
            </w:r>
          </w:p>
        </w:tc>
      </w:tr>
      <w:tr>
        <w:trPr>
          <w:cantSplit/>
        </w:trPr>
        <w:tc>
          <w:tcPr>
            <w:tcW w:w="2269" w:type="dxa"/>
          </w:tcPr>
          <w:p>
            <w:pPr>
              <w:pStyle w:val="nTable"/>
              <w:spacing w:before="60" w:after="60"/>
              <w:ind w:right="113"/>
              <w:rPr>
                <w:i/>
              </w:rPr>
            </w:pPr>
            <w:r>
              <w:rPr>
                <w:i/>
                <w:snapToGrid w:val="0"/>
              </w:rPr>
              <w:t xml:space="preserve">Courts Legislation Amendment and Repeal Act 2004 </w:t>
            </w:r>
            <w:r>
              <w:rPr>
                <w:snapToGrid w:val="0"/>
              </w:rPr>
              <w:t>s. 141</w:t>
            </w:r>
          </w:p>
        </w:tc>
        <w:tc>
          <w:tcPr>
            <w:tcW w:w="1134" w:type="dxa"/>
          </w:tcPr>
          <w:p>
            <w:pPr>
              <w:pStyle w:val="nTable"/>
              <w:spacing w:before="60" w:after="60"/>
            </w:pPr>
            <w:r>
              <w:rPr>
                <w:snapToGrid w:val="0"/>
              </w:rPr>
              <w:t>59 of 2004</w:t>
            </w:r>
          </w:p>
        </w:tc>
        <w:tc>
          <w:tcPr>
            <w:tcW w:w="1139" w:type="dxa"/>
          </w:tcPr>
          <w:p>
            <w:pPr>
              <w:pStyle w:val="nTable"/>
              <w:spacing w:before="60" w:after="60"/>
            </w:pPr>
            <w:r>
              <w:rPr>
                <w:snapToGrid w:val="0"/>
              </w:rPr>
              <w:t>23 Nov 2004</w:t>
            </w:r>
          </w:p>
        </w:tc>
        <w:tc>
          <w:tcPr>
            <w:tcW w:w="2551" w:type="dxa"/>
            <w:gridSpan w:val="2"/>
          </w:tcPr>
          <w:p>
            <w:pPr>
              <w:pStyle w:val="nTable"/>
              <w:spacing w:before="60" w:after="6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before="60" w:after="60"/>
              <w:ind w:right="113"/>
            </w:pPr>
            <w:r>
              <w:rPr>
                <w:i/>
                <w:snapToGrid w:val="0"/>
              </w:rPr>
              <w:t xml:space="preserve">State Administrative Tribunal (Conferral of Jurisdiction) Amendment and Repeal Act 2004 </w:t>
            </w:r>
            <w:r>
              <w:rPr>
                <w:snapToGrid w:val="0"/>
              </w:rPr>
              <w:t>s. 468</w:t>
            </w:r>
            <w:r>
              <w:rPr>
                <w:snapToGrid w:val="0"/>
                <w:vertAlign w:val="superscript"/>
              </w:rPr>
              <w:t> 13</w:t>
            </w:r>
          </w:p>
        </w:tc>
        <w:tc>
          <w:tcPr>
            <w:tcW w:w="1134" w:type="dxa"/>
          </w:tcPr>
          <w:p>
            <w:pPr>
              <w:pStyle w:val="nTable"/>
              <w:spacing w:before="60" w:after="60"/>
            </w:pPr>
            <w:r>
              <w:t>55 of 2004</w:t>
            </w:r>
          </w:p>
        </w:tc>
        <w:tc>
          <w:tcPr>
            <w:tcW w:w="1139" w:type="dxa"/>
          </w:tcPr>
          <w:p>
            <w:pPr>
              <w:pStyle w:val="nTable"/>
              <w:spacing w:before="60" w:after="60"/>
            </w:pPr>
            <w:r>
              <w:t>24 Nov 2004</w:t>
            </w:r>
          </w:p>
        </w:tc>
        <w:tc>
          <w:tcPr>
            <w:tcW w:w="2551" w:type="dxa"/>
            <w:gridSpan w:val="2"/>
          </w:tcPr>
          <w:p>
            <w:pPr>
              <w:pStyle w:val="nTable"/>
              <w:spacing w:before="60" w:after="60"/>
            </w:pPr>
            <w:r>
              <w:t xml:space="preserve">24 Jan 2005 (see s. 2 and </w:t>
            </w:r>
            <w:r>
              <w:rPr>
                <w:i/>
              </w:rPr>
              <w:t>Gazette</w:t>
            </w:r>
            <w:r>
              <w:t xml:space="preserve"> 31 Dec 2004 p. 7130)</w:t>
            </w:r>
          </w:p>
        </w:tc>
      </w:tr>
      <w:tr>
        <w:trPr>
          <w:cantSplit/>
        </w:trPr>
        <w:tc>
          <w:tcPr>
            <w:tcW w:w="2269" w:type="dxa"/>
          </w:tcPr>
          <w:p>
            <w:pPr>
              <w:pStyle w:val="nTable"/>
              <w:spacing w:before="60" w:after="6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before="60" w:after="60"/>
            </w:pPr>
            <w:r>
              <w:rPr>
                <w:snapToGrid w:val="0"/>
              </w:rPr>
              <w:t>84 of 2004</w:t>
            </w:r>
          </w:p>
        </w:tc>
        <w:tc>
          <w:tcPr>
            <w:tcW w:w="1139" w:type="dxa"/>
          </w:tcPr>
          <w:p>
            <w:pPr>
              <w:pStyle w:val="nTable"/>
              <w:spacing w:before="60" w:after="60"/>
            </w:pPr>
            <w:r>
              <w:t>16 Dec 2004</w:t>
            </w:r>
          </w:p>
        </w:tc>
        <w:tc>
          <w:tcPr>
            <w:tcW w:w="2551" w:type="dxa"/>
            <w:gridSpan w:val="2"/>
          </w:tcPr>
          <w:p>
            <w:pPr>
              <w:pStyle w:val="nTable"/>
              <w:spacing w:before="60" w:after="6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9" w:type="dxa"/>
          </w:tcPr>
          <w:p>
            <w:pPr>
              <w:pStyle w:val="nTable"/>
              <w:spacing w:before="60" w:after="60"/>
              <w:ind w:right="113"/>
              <w:rPr>
                <w:snapToGrid w:val="0"/>
              </w:rPr>
            </w:pPr>
            <w:r>
              <w:rPr>
                <w:i/>
                <w:snapToGrid w:val="0"/>
              </w:rPr>
              <w:t>Electoral Amendment and Repeal Act 2005</w:t>
            </w:r>
            <w:r>
              <w:rPr>
                <w:snapToGrid w:val="0"/>
              </w:rPr>
              <w:t xml:space="preserve"> Pt. 2</w:t>
            </w:r>
          </w:p>
        </w:tc>
        <w:tc>
          <w:tcPr>
            <w:tcW w:w="1134" w:type="dxa"/>
          </w:tcPr>
          <w:p>
            <w:pPr>
              <w:pStyle w:val="nTable"/>
              <w:spacing w:before="60" w:after="60"/>
              <w:rPr>
                <w:snapToGrid w:val="0"/>
              </w:rPr>
            </w:pPr>
            <w:r>
              <w:rPr>
                <w:snapToGrid w:val="0"/>
              </w:rPr>
              <w:t>1 of 2005</w:t>
            </w:r>
          </w:p>
        </w:tc>
        <w:tc>
          <w:tcPr>
            <w:tcW w:w="1139" w:type="dxa"/>
          </w:tcPr>
          <w:p>
            <w:pPr>
              <w:pStyle w:val="nTable"/>
              <w:spacing w:before="60" w:after="60"/>
            </w:pPr>
            <w:r>
              <w:t>20 May 2005</w:t>
            </w:r>
          </w:p>
        </w:tc>
        <w:tc>
          <w:tcPr>
            <w:tcW w:w="2551" w:type="dxa"/>
            <w:gridSpan w:val="2"/>
          </w:tcPr>
          <w:p>
            <w:pPr>
              <w:pStyle w:val="nTable"/>
              <w:spacing w:before="60" w:after="60"/>
              <w:rPr>
                <w:snapToGrid w:val="0"/>
              </w:rPr>
            </w:pPr>
            <w:r>
              <w:rPr>
                <w:snapToGrid w:val="0"/>
              </w:rPr>
              <w:t>20 May 2005 (see s. 2)</w:t>
            </w:r>
          </w:p>
        </w:tc>
      </w:tr>
      <w:tr>
        <w:trPr>
          <w:cantSplit/>
        </w:trPr>
        <w:tc>
          <w:tcPr>
            <w:tcW w:w="2269" w:type="dxa"/>
          </w:tcPr>
          <w:p>
            <w:pPr>
              <w:pStyle w:val="nTable"/>
              <w:spacing w:before="60" w:after="60"/>
              <w:ind w:right="113"/>
              <w:rPr>
                <w:snapToGrid w:val="0"/>
              </w:rPr>
            </w:pPr>
            <w:r>
              <w:rPr>
                <w:i/>
                <w:snapToGrid w:val="0"/>
              </w:rPr>
              <w:t>Constitution and Electoral Amendment Act 2005</w:t>
            </w:r>
            <w:r>
              <w:rPr>
                <w:snapToGrid w:val="0"/>
              </w:rPr>
              <w:t xml:space="preserve"> s. 4</w:t>
            </w:r>
          </w:p>
        </w:tc>
        <w:tc>
          <w:tcPr>
            <w:tcW w:w="1134" w:type="dxa"/>
          </w:tcPr>
          <w:p>
            <w:pPr>
              <w:pStyle w:val="nTable"/>
              <w:spacing w:before="60" w:after="60"/>
              <w:rPr>
                <w:snapToGrid w:val="0"/>
              </w:rPr>
            </w:pPr>
            <w:r>
              <w:rPr>
                <w:snapToGrid w:val="0"/>
              </w:rPr>
              <w:t>2 of 2005</w:t>
            </w:r>
          </w:p>
        </w:tc>
        <w:tc>
          <w:tcPr>
            <w:tcW w:w="1139" w:type="dxa"/>
          </w:tcPr>
          <w:p>
            <w:pPr>
              <w:pStyle w:val="nTable"/>
              <w:spacing w:before="60" w:after="60"/>
            </w:pPr>
            <w:r>
              <w:t>23 May 2005</w:t>
            </w:r>
          </w:p>
        </w:tc>
        <w:tc>
          <w:tcPr>
            <w:tcW w:w="2551" w:type="dxa"/>
            <w:gridSpan w:val="2"/>
          </w:tcPr>
          <w:p>
            <w:pPr>
              <w:pStyle w:val="nTable"/>
              <w:spacing w:before="60" w:after="60"/>
              <w:rPr>
                <w:snapToGrid w:val="0"/>
              </w:rPr>
            </w:pPr>
            <w:r>
              <w:rPr>
                <w:snapToGrid w:val="0"/>
              </w:rPr>
              <w:t>23 May 2005 (see s. 2)</w:t>
            </w:r>
          </w:p>
        </w:tc>
      </w:tr>
      <w:tr>
        <w:trPr>
          <w:cantSplit/>
        </w:trPr>
        <w:tc>
          <w:tcPr>
            <w:tcW w:w="7093" w:type="dxa"/>
            <w:gridSpan w:val="5"/>
          </w:tcPr>
          <w:p>
            <w:pPr>
              <w:pStyle w:val="nTable"/>
              <w:spacing w:before="60" w:after="60"/>
              <w:rPr>
                <w:snapToGrid w:val="0"/>
              </w:rPr>
            </w:pPr>
            <w:r>
              <w:rPr>
                <w:b/>
              </w:rPr>
              <w:t xml:space="preserve">Reprint 13: The </w:t>
            </w:r>
            <w:r>
              <w:rPr>
                <w:b/>
                <w:i/>
              </w:rPr>
              <w:t>Electoral Act 1907</w:t>
            </w:r>
            <w:r>
              <w:rPr>
                <w:b/>
              </w:rPr>
              <w:t xml:space="preserve"> as at 9 Sep 2005 </w:t>
            </w:r>
            <w:r>
              <w:t>(includes</w:t>
            </w:r>
            <w:r>
              <w:rPr>
                <w:b/>
              </w:rPr>
              <w:t xml:space="preserve"> </w:t>
            </w:r>
            <w:r>
              <w:t xml:space="preserve">amendments listed above except those in the </w:t>
            </w:r>
            <w:r>
              <w:rPr>
                <w:i/>
              </w:rPr>
              <w:t>Electoral Amendment (Political Finance) Act 1992</w:t>
            </w:r>
            <w:r>
              <w:rPr>
                <w:iCs/>
              </w:rPr>
              <w:t xml:space="preserve"> s. 5 and 6 and the </w:t>
            </w:r>
            <w:r>
              <w:rPr>
                <w:i/>
                <w:snapToGrid w:val="0"/>
              </w:rPr>
              <w:t>Children and Community Services Act 2004</w:t>
            </w:r>
            <w:r>
              <w:t>)</w:t>
            </w:r>
          </w:p>
        </w:tc>
      </w:tr>
      <w:tr>
        <w:trPr>
          <w:cantSplit/>
        </w:trPr>
        <w:tc>
          <w:tcPr>
            <w:tcW w:w="2269" w:type="dxa"/>
          </w:tcPr>
          <w:p>
            <w:pPr>
              <w:pStyle w:val="nTable"/>
              <w:spacing w:before="60" w:after="60"/>
              <w:ind w:right="113"/>
              <w:rPr>
                <w:snapToGrid w:val="0"/>
              </w:rPr>
            </w:pPr>
            <w:r>
              <w:rPr>
                <w:i/>
                <w:snapToGrid w:val="0"/>
              </w:rPr>
              <w:t>Electoral Reform (Electoral Funding) Act 2006</w:t>
            </w:r>
            <w:r>
              <w:rPr>
                <w:snapToGrid w:val="0"/>
              </w:rPr>
              <w:t xml:space="preserve"> </w:t>
            </w:r>
          </w:p>
        </w:tc>
        <w:tc>
          <w:tcPr>
            <w:tcW w:w="1134" w:type="dxa"/>
          </w:tcPr>
          <w:p>
            <w:pPr>
              <w:pStyle w:val="nTable"/>
              <w:spacing w:before="60" w:after="60"/>
              <w:rPr>
                <w:snapToGrid w:val="0"/>
              </w:rPr>
            </w:pPr>
            <w:r>
              <w:rPr>
                <w:snapToGrid w:val="0"/>
              </w:rPr>
              <w:t>55 of 2006</w:t>
            </w:r>
          </w:p>
        </w:tc>
        <w:tc>
          <w:tcPr>
            <w:tcW w:w="1139" w:type="dxa"/>
          </w:tcPr>
          <w:p>
            <w:pPr>
              <w:pStyle w:val="nTable"/>
              <w:spacing w:before="60" w:after="60"/>
            </w:pPr>
            <w:r>
              <w:t xml:space="preserve">26 Oct 2006 </w:t>
            </w:r>
          </w:p>
        </w:tc>
        <w:tc>
          <w:tcPr>
            <w:tcW w:w="2551" w:type="dxa"/>
            <w:gridSpan w:val="2"/>
          </w:tcPr>
          <w:p>
            <w:pPr>
              <w:pStyle w:val="nTable"/>
              <w:spacing w:before="60" w:after="60"/>
              <w:rPr>
                <w:snapToGrid w:val="0"/>
              </w:rPr>
            </w:pPr>
            <w:r>
              <w:rPr>
                <w:snapToGrid w:val="0"/>
              </w:rPr>
              <w:t>27 Oct 2006 (see s. 2)</w:t>
            </w:r>
          </w:p>
        </w:tc>
      </w:tr>
      <w:tr>
        <w:trPr>
          <w:cantSplit/>
        </w:trPr>
        <w:tc>
          <w:tcPr>
            <w:tcW w:w="2269" w:type="dxa"/>
          </w:tcPr>
          <w:p>
            <w:pPr>
              <w:pStyle w:val="nTable"/>
              <w:keepNext/>
              <w:spacing w:before="60" w:after="60"/>
              <w:ind w:right="113"/>
              <w:rPr>
                <w:i/>
                <w:snapToGrid w:val="0"/>
              </w:rPr>
            </w:pPr>
            <w:r>
              <w:rPr>
                <w:i/>
                <w:snapToGrid w:val="0"/>
              </w:rPr>
              <w:t xml:space="preserve">Electoral Legislation Amendment Act 2006 </w:t>
            </w:r>
            <w:r>
              <w:rPr>
                <w:snapToGrid w:val="0"/>
              </w:rPr>
              <w:t>Pt. 3 </w:t>
            </w:r>
            <w:r>
              <w:rPr>
                <w:snapToGrid w:val="0"/>
                <w:vertAlign w:val="superscript"/>
              </w:rPr>
              <w:t>14</w:t>
            </w:r>
          </w:p>
        </w:tc>
        <w:tc>
          <w:tcPr>
            <w:tcW w:w="1134" w:type="dxa"/>
          </w:tcPr>
          <w:p>
            <w:pPr>
              <w:pStyle w:val="nTable"/>
              <w:keepNext/>
              <w:spacing w:before="60" w:after="60"/>
              <w:rPr>
                <w:snapToGrid w:val="0"/>
              </w:rPr>
            </w:pPr>
            <w:r>
              <w:rPr>
                <w:snapToGrid w:val="0"/>
              </w:rPr>
              <w:t>64 of 2006</w:t>
            </w:r>
          </w:p>
        </w:tc>
        <w:tc>
          <w:tcPr>
            <w:tcW w:w="1139" w:type="dxa"/>
          </w:tcPr>
          <w:p>
            <w:pPr>
              <w:pStyle w:val="nTable"/>
              <w:keepNext/>
              <w:spacing w:before="60" w:after="60"/>
            </w:pPr>
            <w:r>
              <w:t>8 Dec 2006</w:t>
            </w:r>
          </w:p>
        </w:tc>
        <w:tc>
          <w:tcPr>
            <w:tcW w:w="2551" w:type="dxa"/>
            <w:gridSpan w:val="2"/>
          </w:tcPr>
          <w:p>
            <w:pPr>
              <w:pStyle w:val="nTable"/>
              <w:keepNext/>
              <w:spacing w:before="60" w:after="60"/>
              <w:rPr>
                <w:snapToGrid w:val="0"/>
              </w:rPr>
            </w:pPr>
            <w:r>
              <w:rPr>
                <w:snapToGrid w:val="0"/>
              </w:rPr>
              <w:t xml:space="preserve">5 Mar 2007 (see s. 2(2) and </w:t>
            </w:r>
            <w:r>
              <w:rPr>
                <w:i/>
                <w:iCs/>
                <w:snapToGrid w:val="0"/>
              </w:rPr>
              <w:t>Gazette</w:t>
            </w:r>
            <w:r>
              <w:rPr>
                <w:snapToGrid w:val="0"/>
              </w:rPr>
              <w:t xml:space="preserve"> 2 Mar 2007 p. 689)</w:t>
            </w:r>
          </w:p>
        </w:tc>
      </w:tr>
      <w:tr>
        <w:trPr>
          <w:cantSplit/>
        </w:trPr>
        <w:tc>
          <w:tcPr>
            <w:tcW w:w="2269" w:type="dxa"/>
          </w:tcPr>
          <w:p>
            <w:pPr>
              <w:pStyle w:val="nTable"/>
              <w:spacing w:before="60" w:after="60"/>
              <w:ind w:right="113"/>
              <w:rPr>
                <w:i/>
                <w:snapToGrid w:val="0"/>
              </w:rPr>
            </w:pPr>
            <w:r>
              <w:rPr>
                <w:i/>
                <w:snapToGrid w:val="0"/>
              </w:rPr>
              <w:t xml:space="preserve">Financial Legislation Amendment and Repeal Act 2006 </w:t>
            </w:r>
            <w:r>
              <w:rPr>
                <w:iCs/>
                <w:snapToGrid w:val="0"/>
              </w:rPr>
              <w:t>s. 4 and Sch. 1 cl. 51</w:t>
            </w:r>
          </w:p>
        </w:tc>
        <w:tc>
          <w:tcPr>
            <w:tcW w:w="1134" w:type="dxa"/>
          </w:tcPr>
          <w:p>
            <w:pPr>
              <w:pStyle w:val="nTable"/>
              <w:spacing w:before="60" w:after="60"/>
              <w:rPr>
                <w:snapToGrid w:val="0"/>
              </w:rPr>
            </w:pPr>
            <w:r>
              <w:rPr>
                <w:snapToGrid w:val="0"/>
              </w:rPr>
              <w:t xml:space="preserve">77 of 2006 </w:t>
            </w:r>
          </w:p>
        </w:tc>
        <w:tc>
          <w:tcPr>
            <w:tcW w:w="1139" w:type="dxa"/>
          </w:tcPr>
          <w:p>
            <w:pPr>
              <w:pStyle w:val="nTable"/>
              <w:spacing w:before="60" w:after="60"/>
            </w:pPr>
            <w:r>
              <w:rPr>
                <w:snapToGrid w:val="0"/>
              </w:rPr>
              <w:t>21 Dec 2006</w:t>
            </w:r>
          </w:p>
        </w:tc>
        <w:tc>
          <w:tcPr>
            <w:tcW w:w="2551" w:type="dxa"/>
            <w:gridSpan w:val="2"/>
          </w:tcPr>
          <w:p>
            <w:pPr>
              <w:pStyle w:val="nTable"/>
              <w:spacing w:before="60" w:after="6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93" w:type="dxa"/>
            <w:gridSpan w:val="5"/>
          </w:tcPr>
          <w:p>
            <w:pPr>
              <w:pStyle w:val="nTable"/>
              <w:spacing w:before="60" w:after="60"/>
              <w:rPr>
                <w:snapToGrid w:val="0"/>
              </w:rPr>
            </w:pPr>
            <w:r>
              <w:rPr>
                <w:b/>
              </w:rPr>
              <w:t xml:space="preserve">Reprint 14: The </w:t>
            </w:r>
            <w:r>
              <w:rPr>
                <w:b/>
                <w:i/>
              </w:rPr>
              <w:t>Electoral Act 1907</w:t>
            </w:r>
            <w:r>
              <w:rPr>
                <w:b/>
              </w:rPr>
              <w:t xml:space="preserve"> as at 7 Dec 2007 </w:t>
            </w:r>
            <w:r>
              <w:t>(includes</w:t>
            </w:r>
            <w:r>
              <w:rPr>
                <w:b/>
              </w:rPr>
              <w:t xml:space="preserve"> </w:t>
            </w:r>
            <w:r>
              <w:t>amendments listed above)</w:t>
            </w:r>
          </w:p>
        </w:tc>
      </w:tr>
      <w:tr>
        <w:trPr>
          <w:cantSplit/>
        </w:trPr>
        <w:tc>
          <w:tcPr>
            <w:tcW w:w="2269" w:type="dxa"/>
          </w:tcPr>
          <w:p>
            <w:pPr>
              <w:pStyle w:val="nTable"/>
              <w:spacing w:before="60" w:after="60"/>
              <w:rPr>
                <w:iCs/>
                <w:snapToGrid w:val="0"/>
                <w:vertAlign w:val="superscript"/>
              </w:rPr>
            </w:pPr>
            <w:r>
              <w:rPr>
                <w:i/>
                <w:snapToGrid w:val="0"/>
              </w:rPr>
              <w:t>Criminal Law Amendment (Homicide) Act 2008</w:t>
            </w:r>
            <w:r>
              <w:rPr>
                <w:iCs/>
                <w:snapToGrid w:val="0"/>
              </w:rPr>
              <w:t xml:space="preserve"> s. 32</w:t>
            </w:r>
          </w:p>
        </w:tc>
        <w:tc>
          <w:tcPr>
            <w:tcW w:w="1134" w:type="dxa"/>
          </w:tcPr>
          <w:p>
            <w:pPr>
              <w:pStyle w:val="nTable"/>
              <w:spacing w:before="60" w:after="60"/>
            </w:pPr>
            <w:r>
              <w:t>29 of 2008</w:t>
            </w:r>
          </w:p>
        </w:tc>
        <w:tc>
          <w:tcPr>
            <w:tcW w:w="1139" w:type="dxa"/>
          </w:tcPr>
          <w:p>
            <w:pPr>
              <w:pStyle w:val="nTable"/>
              <w:spacing w:before="60" w:after="60"/>
            </w:pPr>
            <w:r>
              <w:t>27 Jun 2008</w:t>
            </w:r>
          </w:p>
        </w:tc>
        <w:tc>
          <w:tcPr>
            <w:tcW w:w="2551" w:type="dxa"/>
            <w:gridSpan w:val="2"/>
          </w:tcPr>
          <w:p>
            <w:pPr>
              <w:pStyle w:val="nTable"/>
              <w:spacing w:before="60" w:after="60"/>
            </w:pPr>
            <w:r>
              <w:rPr>
                <w:snapToGrid w:val="0"/>
              </w:rPr>
              <w:t xml:space="preserve">1 Aug 2008 (see s. 2(d) and </w:t>
            </w:r>
            <w:r>
              <w:rPr>
                <w:i/>
                <w:iCs/>
                <w:snapToGrid w:val="0"/>
              </w:rPr>
              <w:t>Gazette</w:t>
            </w:r>
            <w:r>
              <w:rPr>
                <w:snapToGrid w:val="0"/>
              </w:rPr>
              <w:t xml:space="preserve"> 22 Jul 2008 p. 3353)</w:t>
            </w:r>
          </w:p>
        </w:tc>
      </w:tr>
      <w:tr>
        <w:trPr>
          <w:cantSplit/>
        </w:trPr>
        <w:tc>
          <w:tcPr>
            <w:tcW w:w="2269" w:type="dxa"/>
          </w:tcPr>
          <w:p>
            <w:pPr>
              <w:pStyle w:val="nTable"/>
              <w:spacing w:before="60" w:after="60"/>
              <w:rPr>
                <w:i/>
                <w:snapToGrid w:val="0"/>
              </w:rPr>
            </w:pPr>
            <w:r>
              <w:rPr>
                <w:i/>
                <w:snapToGrid w:val="0"/>
              </w:rPr>
              <w:t>Electoral Amendment Act 2008</w:t>
            </w:r>
          </w:p>
        </w:tc>
        <w:tc>
          <w:tcPr>
            <w:tcW w:w="1134" w:type="dxa"/>
          </w:tcPr>
          <w:p>
            <w:pPr>
              <w:pStyle w:val="nTable"/>
              <w:spacing w:before="60" w:after="60"/>
            </w:pPr>
            <w:r>
              <w:t>38 of 2008</w:t>
            </w:r>
          </w:p>
        </w:tc>
        <w:tc>
          <w:tcPr>
            <w:tcW w:w="1139" w:type="dxa"/>
          </w:tcPr>
          <w:p>
            <w:pPr>
              <w:pStyle w:val="nTable"/>
              <w:spacing w:before="60" w:after="60"/>
            </w:pPr>
            <w:r>
              <w:t>3 Jul 2008</w:t>
            </w:r>
          </w:p>
        </w:tc>
        <w:tc>
          <w:tcPr>
            <w:tcW w:w="2551" w:type="dxa"/>
            <w:gridSpan w:val="2"/>
          </w:tcPr>
          <w:p>
            <w:pPr>
              <w:pStyle w:val="nTable"/>
              <w:spacing w:before="60" w:after="60"/>
              <w:rPr>
                <w:snapToGrid w:val="0"/>
              </w:rPr>
            </w:pPr>
            <w:r>
              <w:rPr>
                <w:snapToGrid w:val="0"/>
              </w:rPr>
              <w:t>s. 1 and 2: 3 Jul 2008</w:t>
            </w:r>
            <w:r>
              <w:rPr>
                <w:snapToGrid w:val="0"/>
              </w:rPr>
              <w:br/>
              <w:t>(see s. 2(a));</w:t>
            </w:r>
            <w:r>
              <w:rPr>
                <w:snapToGrid w:val="0"/>
              </w:rPr>
              <w:br/>
              <w:t xml:space="preserve">Act other than s. 1 and 2: 30 Apr 2010 (see s. 2(b) and </w:t>
            </w:r>
            <w:r>
              <w:rPr>
                <w:i/>
                <w:iCs/>
                <w:snapToGrid w:val="0"/>
              </w:rPr>
              <w:t>Gazette</w:t>
            </w:r>
            <w:r>
              <w:rPr>
                <w:snapToGrid w:val="0"/>
              </w:rPr>
              <w:t xml:space="preserve"> 23 Apr 2010 p. 1523)</w:t>
            </w:r>
          </w:p>
        </w:tc>
      </w:tr>
      <w:tr>
        <w:trPr>
          <w:cantSplit/>
        </w:trPr>
        <w:tc>
          <w:tcPr>
            <w:tcW w:w="2269" w:type="dxa"/>
          </w:tcPr>
          <w:p>
            <w:pPr>
              <w:pStyle w:val="nTable"/>
              <w:spacing w:before="60" w:after="60"/>
              <w:rPr>
                <w:i/>
                <w:snapToGrid w:val="0"/>
              </w:rPr>
            </w:pPr>
            <w:r>
              <w:rPr>
                <w:i/>
                <w:snapToGrid w:val="0"/>
              </w:rPr>
              <w:t>Electoral Amendment (Miscellaneous) Act 2009</w:t>
            </w:r>
          </w:p>
        </w:tc>
        <w:tc>
          <w:tcPr>
            <w:tcW w:w="1134" w:type="dxa"/>
          </w:tcPr>
          <w:p>
            <w:pPr>
              <w:pStyle w:val="nTable"/>
              <w:spacing w:before="60" w:after="60"/>
            </w:pPr>
            <w:r>
              <w:t>7 of 2009</w:t>
            </w:r>
          </w:p>
        </w:tc>
        <w:tc>
          <w:tcPr>
            <w:tcW w:w="1139" w:type="dxa"/>
          </w:tcPr>
          <w:p>
            <w:pPr>
              <w:pStyle w:val="nTable"/>
              <w:spacing w:before="60" w:after="60"/>
            </w:pPr>
            <w:r>
              <w:t>21 May 2009</w:t>
            </w:r>
          </w:p>
        </w:tc>
        <w:tc>
          <w:tcPr>
            <w:tcW w:w="2551" w:type="dxa"/>
            <w:gridSpan w:val="2"/>
          </w:tcPr>
          <w:p>
            <w:pPr>
              <w:pStyle w:val="nTable"/>
              <w:spacing w:before="60" w:after="60"/>
            </w:pPr>
            <w:r>
              <w:t>Pt. 1: 21 May 2009 (see s. 2(a));</w:t>
            </w:r>
            <w:r>
              <w:br/>
              <w:t xml:space="preserve">Act other than Part 1: 1 Oct 2009 (see s. 2(b) and </w:t>
            </w:r>
            <w:r>
              <w:rPr>
                <w:i/>
                <w:iCs/>
              </w:rPr>
              <w:t>Gazette</w:t>
            </w:r>
            <w:r>
              <w:t xml:space="preserve"> 1 Sep 2009 p. 3393)</w:t>
            </w:r>
          </w:p>
        </w:tc>
      </w:tr>
      <w:tr>
        <w:trPr>
          <w:cantSplit/>
        </w:trPr>
        <w:tc>
          <w:tcPr>
            <w:tcW w:w="2269" w:type="dxa"/>
          </w:tcPr>
          <w:p>
            <w:pPr>
              <w:pStyle w:val="nTable"/>
              <w:spacing w:before="60" w:after="60"/>
              <w:rPr>
                <w:iCs/>
                <w:snapToGrid w:val="0"/>
              </w:rPr>
            </w:pPr>
            <w:r>
              <w:rPr>
                <w:i/>
                <w:snapToGrid w:val="0"/>
              </w:rPr>
              <w:t>Acts Amendment (Bankruptcy) Act 2009</w:t>
            </w:r>
            <w:r>
              <w:rPr>
                <w:iCs/>
                <w:snapToGrid w:val="0"/>
              </w:rPr>
              <w:t xml:space="preserve"> s. 34</w:t>
            </w:r>
          </w:p>
        </w:tc>
        <w:tc>
          <w:tcPr>
            <w:tcW w:w="1134" w:type="dxa"/>
          </w:tcPr>
          <w:p>
            <w:pPr>
              <w:pStyle w:val="nTable"/>
              <w:spacing w:before="60" w:after="60"/>
            </w:pPr>
            <w:r>
              <w:t>18 of 2009</w:t>
            </w:r>
          </w:p>
        </w:tc>
        <w:tc>
          <w:tcPr>
            <w:tcW w:w="1139" w:type="dxa"/>
          </w:tcPr>
          <w:p>
            <w:pPr>
              <w:pStyle w:val="nTable"/>
              <w:spacing w:before="60" w:after="60"/>
            </w:pPr>
            <w:r>
              <w:t>16 Sep 2009</w:t>
            </w:r>
          </w:p>
        </w:tc>
        <w:tc>
          <w:tcPr>
            <w:tcW w:w="2551" w:type="dxa"/>
            <w:gridSpan w:val="2"/>
          </w:tcPr>
          <w:p>
            <w:pPr>
              <w:pStyle w:val="nTable"/>
              <w:spacing w:before="60" w:after="60"/>
            </w:pPr>
            <w:r>
              <w:t>17 Sep 2009 (see s. 2(b))</w:t>
            </w:r>
          </w:p>
        </w:tc>
      </w:tr>
      <w:tr>
        <w:trPr>
          <w:cantSplit/>
        </w:trPr>
        <w:tc>
          <w:tcPr>
            <w:tcW w:w="7093" w:type="dxa"/>
            <w:gridSpan w:val="5"/>
          </w:tcPr>
          <w:p>
            <w:pPr>
              <w:pStyle w:val="nTable"/>
              <w:spacing w:before="60" w:after="60"/>
            </w:pPr>
            <w:r>
              <w:rPr>
                <w:b/>
              </w:rPr>
              <w:t xml:space="preserve">Reprint 15: The </w:t>
            </w:r>
            <w:r>
              <w:rPr>
                <w:b/>
                <w:i/>
              </w:rPr>
              <w:t>Electoral Act 1907</w:t>
            </w:r>
            <w:r>
              <w:rPr>
                <w:b/>
              </w:rPr>
              <w:t xml:space="preserve"> as at 23 Jul 2010 </w:t>
            </w:r>
            <w:r>
              <w:t>(includes</w:t>
            </w:r>
            <w:r>
              <w:rPr>
                <w:b/>
              </w:rPr>
              <w:t xml:space="preserve"> </w:t>
            </w:r>
            <w:r>
              <w:t>amendments listed above)</w:t>
            </w:r>
          </w:p>
        </w:tc>
      </w:tr>
      <w:tr>
        <w:trPr>
          <w:cantSplit/>
        </w:trPr>
        <w:tc>
          <w:tcPr>
            <w:tcW w:w="2269" w:type="dxa"/>
          </w:tcPr>
          <w:p>
            <w:pPr>
              <w:pStyle w:val="nTable"/>
              <w:spacing w:before="60" w:after="60"/>
              <w:rPr>
                <w:iCs/>
                <w:snapToGrid w:val="0"/>
              </w:rPr>
            </w:pPr>
            <w:r>
              <w:rPr>
                <w:i/>
                <w:snapToGrid w:val="0"/>
              </w:rPr>
              <w:t>Electoral and Constitution Amendment Act 2011</w:t>
            </w:r>
            <w:r>
              <w:rPr>
                <w:snapToGrid w:val="0"/>
              </w:rPr>
              <w:t xml:space="preserve"> Pt. 2</w:t>
            </w:r>
          </w:p>
        </w:tc>
        <w:tc>
          <w:tcPr>
            <w:tcW w:w="1134" w:type="dxa"/>
          </w:tcPr>
          <w:p>
            <w:pPr>
              <w:pStyle w:val="nTable"/>
              <w:spacing w:before="60" w:after="60"/>
            </w:pPr>
            <w:r>
              <w:t>49 of 2011</w:t>
            </w:r>
          </w:p>
        </w:tc>
        <w:tc>
          <w:tcPr>
            <w:tcW w:w="1139" w:type="dxa"/>
          </w:tcPr>
          <w:p>
            <w:pPr>
              <w:pStyle w:val="nTable"/>
              <w:spacing w:before="60" w:after="60"/>
            </w:pPr>
            <w:r>
              <w:t>11 Nov 2011</w:t>
            </w:r>
          </w:p>
        </w:tc>
        <w:tc>
          <w:tcPr>
            <w:tcW w:w="2551" w:type="dxa"/>
            <w:gridSpan w:val="2"/>
          </w:tcPr>
          <w:p>
            <w:pPr>
              <w:pStyle w:val="nTable"/>
              <w:spacing w:before="60" w:after="60"/>
            </w:pPr>
            <w:r>
              <w:t xml:space="preserve">21 Dec 2011 (see s. 2(b) and </w:t>
            </w:r>
            <w:r>
              <w:rPr>
                <w:i/>
              </w:rPr>
              <w:t>Gazette</w:t>
            </w:r>
            <w:r>
              <w:t xml:space="preserve"> 20 Dec 2011 p. 5373)</w:t>
            </w:r>
          </w:p>
        </w:tc>
      </w:tr>
      <w:tr>
        <w:trPr>
          <w:cantSplit/>
        </w:trPr>
        <w:tc>
          <w:tcPr>
            <w:tcW w:w="2269" w:type="dxa"/>
            <w:shd w:val="clear" w:color="auto" w:fill="auto"/>
          </w:tcPr>
          <w:p>
            <w:pPr>
              <w:pStyle w:val="nTable"/>
              <w:spacing w:before="60" w:after="60"/>
              <w:rPr>
                <w:i/>
                <w:snapToGrid w:val="0"/>
              </w:rPr>
            </w:pPr>
            <w:r>
              <w:rPr>
                <w:i/>
                <w:snapToGrid w:val="0"/>
              </w:rPr>
              <w:t>Electoral Amendment Act 2012</w:t>
            </w:r>
          </w:p>
        </w:tc>
        <w:tc>
          <w:tcPr>
            <w:tcW w:w="1134" w:type="dxa"/>
            <w:shd w:val="clear" w:color="auto" w:fill="auto"/>
          </w:tcPr>
          <w:p>
            <w:pPr>
              <w:pStyle w:val="nTable"/>
              <w:spacing w:before="60" w:after="60"/>
            </w:pPr>
            <w:r>
              <w:t>35 of 2012</w:t>
            </w:r>
          </w:p>
        </w:tc>
        <w:tc>
          <w:tcPr>
            <w:tcW w:w="1139" w:type="dxa"/>
            <w:shd w:val="clear" w:color="auto" w:fill="auto"/>
          </w:tcPr>
          <w:p>
            <w:pPr>
              <w:pStyle w:val="nTable"/>
              <w:spacing w:before="60" w:after="60"/>
            </w:pPr>
            <w:r>
              <w:t>5 Nov 2012</w:t>
            </w:r>
          </w:p>
        </w:tc>
        <w:tc>
          <w:tcPr>
            <w:tcW w:w="2551" w:type="dxa"/>
            <w:gridSpan w:val="2"/>
            <w:shd w:val="clear" w:color="auto" w:fill="auto"/>
          </w:tcPr>
          <w:p>
            <w:pPr>
              <w:pStyle w:val="nTable"/>
              <w:spacing w:before="60" w:after="60"/>
              <w:rPr>
                <w:i/>
              </w:rPr>
            </w:pPr>
            <w:r>
              <w:rPr>
                <w:snapToGrid w:val="0"/>
              </w:rPr>
              <w:t>s. 1 and 2: 5 Nov 2012 (see s. 2(a));</w:t>
            </w:r>
            <w:r>
              <w:rPr>
                <w:snapToGrid w:val="0"/>
              </w:rPr>
              <w:br/>
              <w:t xml:space="preserve">Act other than s. 1 and 2: 5 Dec 2012 (see s. 2(b) and </w:t>
            </w:r>
            <w:r>
              <w:rPr>
                <w:i/>
                <w:snapToGrid w:val="0"/>
              </w:rPr>
              <w:t xml:space="preserve">Gazette </w:t>
            </w:r>
            <w:r>
              <w:rPr>
                <w:snapToGrid w:val="0"/>
              </w:rPr>
              <w:t>4 Dec 2012 p. 5907)</w:t>
            </w:r>
          </w:p>
        </w:tc>
      </w:tr>
      <w:tr>
        <w:trPr>
          <w:cantSplit/>
        </w:trPr>
        <w:tc>
          <w:tcPr>
            <w:tcW w:w="7093" w:type="dxa"/>
            <w:gridSpan w:val="5"/>
            <w:shd w:val="clear" w:color="auto" w:fill="auto"/>
          </w:tcPr>
          <w:p>
            <w:pPr>
              <w:pStyle w:val="nTable"/>
              <w:spacing w:before="60" w:after="60"/>
              <w:rPr>
                <w:snapToGrid w:val="0"/>
              </w:rPr>
            </w:pPr>
            <w:r>
              <w:rPr>
                <w:b/>
              </w:rPr>
              <w:t xml:space="preserve">Reprint 16: The </w:t>
            </w:r>
            <w:r>
              <w:rPr>
                <w:b/>
                <w:i/>
              </w:rPr>
              <w:t>Electoral Act 1907</w:t>
            </w:r>
            <w:r>
              <w:rPr>
                <w:b/>
              </w:rPr>
              <w:t xml:space="preserve"> as at 11 Jan 2013 </w:t>
            </w:r>
            <w:r>
              <w:t>(includes</w:t>
            </w:r>
            <w:r>
              <w:rPr>
                <w:b/>
              </w:rPr>
              <w:t xml:space="preserve"> </w:t>
            </w:r>
            <w:r>
              <w:t>amendments listed above)</w:t>
            </w:r>
          </w:p>
        </w:tc>
      </w:tr>
      <w:tr>
        <w:trPr>
          <w:cantSplit/>
        </w:trPr>
        <w:tc>
          <w:tcPr>
            <w:tcW w:w="2269" w:type="dxa"/>
            <w:shd w:val="clear" w:color="auto" w:fill="auto"/>
          </w:tcPr>
          <w:p>
            <w:pPr>
              <w:pStyle w:val="nTable"/>
              <w:spacing w:before="60" w:after="60"/>
              <w:rPr>
                <w:snapToGrid w:val="0"/>
              </w:rPr>
            </w:pPr>
            <w:r>
              <w:rPr>
                <w:i/>
                <w:snapToGrid w:val="0"/>
              </w:rPr>
              <w:t>Electoral Amendment Act 2014</w:t>
            </w:r>
            <w:r>
              <w:rPr>
                <w:snapToGrid w:val="0"/>
              </w:rPr>
              <w:t xml:space="preserve"> Pt. 2</w:t>
            </w:r>
          </w:p>
        </w:tc>
        <w:tc>
          <w:tcPr>
            <w:tcW w:w="1134" w:type="dxa"/>
            <w:shd w:val="clear" w:color="auto" w:fill="auto"/>
          </w:tcPr>
          <w:p>
            <w:pPr>
              <w:pStyle w:val="nTable"/>
              <w:spacing w:before="60" w:after="60"/>
            </w:pPr>
            <w:r>
              <w:t>14 of 2014</w:t>
            </w:r>
          </w:p>
        </w:tc>
        <w:tc>
          <w:tcPr>
            <w:tcW w:w="1139" w:type="dxa"/>
            <w:shd w:val="clear" w:color="auto" w:fill="auto"/>
          </w:tcPr>
          <w:p>
            <w:pPr>
              <w:pStyle w:val="nTable"/>
              <w:spacing w:before="60" w:after="60"/>
            </w:pPr>
            <w:r>
              <w:t>2 Jul 2014</w:t>
            </w:r>
          </w:p>
        </w:tc>
        <w:tc>
          <w:tcPr>
            <w:tcW w:w="2551" w:type="dxa"/>
            <w:gridSpan w:val="2"/>
            <w:shd w:val="clear" w:color="auto" w:fill="auto"/>
          </w:tcPr>
          <w:p>
            <w:pPr>
              <w:pStyle w:val="nTable"/>
              <w:spacing w:before="60" w:after="60"/>
            </w:pPr>
            <w:r>
              <w:t>3 Jul 2014 (see s. 2(b))</w:t>
            </w:r>
          </w:p>
        </w:tc>
      </w:tr>
      <w:tr>
        <w:trPr>
          <w:cantSplit/>
        </w:trPr>
        <w:tc>
          <w:tcPr>
            <w:tcW w:w="2269" w:type="dxa"/>
            <w:shd w:val="clear" w:color="auto" w:fill="auto"/>
          </w:tcPr>
          <w:p>
            <w:pPr>
              <w:pStyle w:val="nTable"/>
              <w:spacing w:before="60" w:after="60"/>
              <w:rPr>
                <w:i/>
                <w:snapToGrid w:val="0"/>
              </w:rPr>
            </w:pPr>
            <w:r>
              <w:rPr>
                <w:i/>
                <w:snapToGrid w:val="0"/>
              </w:rPr>
              <w:t>Statutes (Repeals and Minor Amendments) Act 2014</w:t>
            </w:r>
            <w:r>
              <w:rPr>
                <w:snapToGrid w:val="0"/>
              </w:rPr>
              <w:t xml:space="preserve"> s. 11</w:t>
            </w:r>
          </w:p>
        </w:tc>
        <w:tc>
          <w:tcPr>
            <w:tcW w:w="1134" w:type="dxa"/>
            <w:shd w:val="clear" w:color="auto" w:fill="auto"/>
          </w:tcPr>
          <w:p>
            <w:pPr>
              <w:pStyle w:val="nTable"/>
              <w:spacing w:before="60" w:after="60"/>
            </w:pPr>
            <w:r>
              <w:t>17 of 2014</w:t>
            </w:r>
          </w:p>
        </w:tc>
        <w:tc>
          <w:tcPr>
            <w:tcW w:w="1139" w:type="dxa"/>
            <w:shd w:val="clear" w:color="auto" w:fill="auto"/>
          </w:tcPr>
          <w:p>
            <w:pPr>
              <w:pStyle w:val="nTable"/>
              <w:spacing w:before="60" w:after="60"/>
            </w:pPr>
            <w:r>
              <w:t>2 Jul 2014</w:t>
            </w:r>
          </w:p>
        </w:tc>
        <w:tc>
          <w:tcPr>
            <w:tcW w:w="2551" w:type="dxa"/>
            <w:gridSpan w:val="2"/>
            <w:shd w:val="clear" w:color="auto" w:fill="auto"/>
          </w:tcPr>
          <w:p>
            <w:pPr>
              <w:pStyle w:val="nTable"/>
              <w:spacing w:before="60" w:after="60"/>
            </w:pPr>
            <w:r>
              <w:t xml:space="preserve">6 Sep 2014 (see s. 2(b) and </w:t>
            </w:r>
            <w:r>
              <w:rPr>
                <w:i/>
              </w:rPr>
              <w:t>Gazette</w:t>
            </w:r>
            <w:r>
              <w:t xml:space="preserve"> 5 Sep 2014 p. 3213)</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ins w:id="1402" w:author="svcMRProcess" w:date="2020-02-15T11:58:00Z"/>
        </w:trPr>
        <w:tc>
          <w:tcPr>
            <w:tcW w:w="2269" w:type="dxa"/>
            <w:tcBorders>
              <w:top w:val="nil"/>
              <w:bottom w:val="single" w:sz="4" w:space="0" w:color="auto"/>
            </w:tcBorders>
          </w:tcPr>
          <w:p>
            <w:pPr>
              <w:pStyle w:val="nTable"/>
              <w:spacing w:after="40"/>
              <w:rPr>
                <w:ins w:id="1403" w:author="svcMRProcess" w:date="2020-02-15T11:58:00Z"/>
                <w:vertAlign w:val="superscript"/>
              </w:rPr>
            </w:pPr>
            <w:ins w:id="1404" w:author="svcMRProcess" w:date="2020-02-15T11:58:00Z">
              <w:r>
                <w:rPr>
                  <w:i/>
                </w:rPr>
                <w:t>Mental Health Legislation Amendment Act 2014</w:t>
              </w:r>
              <w:r>
                <w:t xml:space="preserve"> Pt. 4 Div. 4 Subdiv. 11</w:t>
              </w:r>
            </w:ins>
          </w:p>
        </w:tc>
        <w:tc>
          <w:tcPr>
            <w:tcW w:w="1134" w:type="dxa"/>
            <w:tcBorders>
              <w:top w:val="nil"/>
              <w:bottom w:val="single" w:sz="4" w:space="0" w:color="auto"/>
            </w:tcBorders>
          </w:tcPr>
          <w:p>
            <w:pPr>
              <w:pStyle w:val="nTable"/>
              <w:spacing w:after="40"/>
              <w:rPr>
                <w:ins w:id="1405" w:author="svcMRProcess" w:date="2020-02-15T11:58:00Z"/>
                <w:snapToGrid w:val="0"/>
                <w:lang w:val="en-US"/>
              </w:rPr>
            </w:pPr>
            <w:ins w:id="1406" w:author="svcMRProcess" w:date="2020-02-15T11:58:00Z">
              <w:r>
                <w:rPr>
                  <w:snapToGrid w:val="0"/>
                  <w:lang w:val="en-US"/>
                </w:rPr>
                <w:t>25 of 2014</w:t>
              </w:r>
            </w:ins>
          </w:p>
        </w:tc>
        <w:tc>
          <w:tcPr>
            <w:tcW w:w="1139" w:type="dxa"/>
            <w:tcBorders>
              <w:top w:val="nil"/>
              <w:bottom w:val="single" w:sz="4" w:space="0" w:color="auto"/>
            </w:tcBorders>
          </w:tcPr>
          <w:p>
            <w:pPr>
              <w:pStyle w:val="nTable"/>
              <w:spacing w:after="40"/>
              <w:rPr>
                <w:ins w:id="1407" w:author="svcMRProcess" w:date="2020-02-15T11:58:00Z"/>
                <w:snapToGrid w:val="0"/>
                <w:lang w:val="en-US"/>
              </w:rPr>
            </w:pPr>
            <w:ins w:id="1408" w:author="svcMRProcess" w:date="2020-02-15T11:58:00Z">
              <w:r>
                <w:t>3 Nov 2014</w:t>
              </w:r>
            </w:ins>
          </w:p>
        </w:tc>
        <w:tc>
          <w:tcPr>
            <w:tcW w:w="2541" w:type="dxa"/>
            <w:tcBorders>
              <w:top w:val="nil"/>
              <w:bottom w:val="single" w:sz="4" w:space="0" w:color="auto"/>
            </w:tcBorders>
          </w:tcPr>
          <w:p>
            <w:pPr>
              <w:pStyle w:val="nTable"/>
              <w:spacing w:after="40"/>
              <w:rPr>
                <w:ins w:id="1409" w:author="svcMRProcess" w:date="2020-02-15T11:58:00Z"/>
                <w:snapToGrid w:val="0"/>
                <w:lang w:val="en-US"/>
              </w:rPr>
            </w:pPr>
            <w:ins w:id="1410" w:author="svcMRProcess" w:date="2020-02-15T11:58:00Z">
              <w:r>
                <w:rPr>
                  <w:snapToGrid w:val="0"/>
                  <w:lang w:val="en-US"/>
                </w:rPr>
                <w:t xml:space="preserve">30 Nov 2015 (see s. 2(b) and </w:t>
              </w:r>
              <w:r>
                <w:rPr>
                  <w:i/>
                  <w:snapToGrid w:val="0"/>
                  <w:lang w:val="en-US"/>
                </w:rPr>
                <w:t>Gazette</w:t>
              </w:r>
              <w:r>
                <w:rPr>
                  <w:snapToGrid w:val="0"/>
                  <w:lang w:val="en-US"/>
                </w:rPr>
                <w:t xml:space="preserve"> 13 Nov 2015 p. 4632)</w:t>
              </w:r>
            </w:ins>
          </w:p>
        </w:tc>
      </w:tr>
    </w:tbl>
    <w:p>
      <w:pPr>
        <w:pStyle w:val="nSubsection"/>
        <w:spacing w:before="360"/>
        <w:ind w:left="482" w:hanging="482"/>
      </w:pPr>
      <w:r>
        <w:rPr>
          <w:vertAlign w:val="superscript"/>
        </w:rPr>
        <w:t>1a</w:t>
      </w:r>
      <w:r>
        <w:tab/>
        <w:t xml:space="preserve">On the date as at which this </w:t>
      </w:r>
      <w:del w:id="1411" w:author="svcMRProcess" w:date="2020-02-15T11:58:00Z">
        <w:r>
          <w:delText>reprint</w:delText>
        </w:r>
      </w:del>
      <w:ins w:id="1412" w:author="svcMRProcess" w:date="2020-02-15T11:58:00Z">
        <w:r>
          <w:t>compilation</w:t>
        </w:r>
      </w:ins>
      <w:r>
        <w:t xml:space="preserve"> was prepared, provisions referred to in the following table had not come into operation and were therefore not included in </w:t>
      </w:r>
      <w:del w:id="1413" w:author="svcMRProcess" w:date="2020-02-15T11:58:00Z">
        <w:r>
          <w:delText>compiling the reprint.</w:delText>
        </w:r>
      </w:del>
      <w:ins w:id="1414" w:author="svcMRProcess" w:date="2020-02-15T11:58:00Z">
        <w:r>
          <w:t>this compilation.</w:t>
        </w:r>
      </w:ins>
      <w:r>
        <w:t xml:space="preserve">  For the text of the provisions see the endnotes referred to in the table.</w:t>
      </w:r>
    </w:p>
    <w:p>
      <w:pPr>
        <w:pStyle w:val="nHeading3"/>
      </w:pPr>
      <w:bookmarkStart w:id="1415" w:name="_Toc402969608"/>
      <w:bookmarkStart w:id="1416" w:name="_Toc436058793"/>
      <w:bookmarkStart w:id="1417" w:name="_Toc416703424"/>
      <w:r>
        <w:t>Provisions that have not come into operation</w:t>
      </w:r>
      <w:bookmarkEnd w:id="1415"/>
      <w:bookmarkEnd w:id="1416"/>
      <w:bookmarkEnd w:id="1417"/>
    </w:p>
    <w:tbl>
      <w:tblPr>
        <w:tblW w:w="7049" w:type="dxa"/>
        <w:tblInd w:w="56" w:type="dxa"/>
        <w:tblLayout w:type="fixed"/>
        <w:tblCellMar>
          <w:left w:w="56" w:type="dxa"/>
          <w:right w:w="56" w:type="dxa"/>
        </w:tblCellMar>
        <w:tblLook w:val="0000" w:firstRow="0" w:lastRow="0" w:firstColumn="0" w:lastColumn="0" w:noHBand="0" w:noVBand="0"/>
      </w:tblPr>
      <w:tblGrid>
        <w:gridCol w:w="2250"/>
        <w:gridCol w:w="1119"/>
        <w:gridCol w:w="1126"/>
        <w:gridCol w:w="2517"/>
        <w:gridCol w:w="37"/>
      </w:tblGrid>
      <w:tr>
        <w:trPr>
          <w:gridAfter w:val="1"/>
          <w:wAfter w:w="37" w:type="dxa"/>
          <w:cantSplit/>
          <w:tblHeader/>
        </w:trPr>
        <w:tc>
          <w:tcPr>
            <w:tcW w:w="2257"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27"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28"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37"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gridAfter w:val="1"/>
          <w:wAfter w:w="37" w:type="dxa"/>
          <w:cantSplit/>
        </w:trPr>
        <w:tc>
          <w:tcPr>
            <w:tcW w:w="2257" w:type="dxa"/>
            <w:tcBorders>
              <w:top w:val="single" w:sz="8" w:space="0" w:color="auto"/>
              <w:bottom w:val="single" w:sz="4" w:space="0" w:color="auto"/>
            </w:tcBorders>
            <w:shd w:val="clear" w:color="auto" w:fill="auto"/>
          </w:tcPr>
          <w:p>
            <w:pPr>
              <w:pStyle w:val="nTable"/>
              <w:spacing w:after="40"/>
              <w:ind w:right="113"/>
              <w:rPr>
                <w:snapToGrid w:val="0"/>
                <w:vertAlign w:val="superscript"/>
              </w:rPr>
            </w:pPr>
            <w:r>
              <w:rPr>
                <w:i/>
                <w:snapToGrid w:val="0"/>
              </w:rPr>
              <w:t>State Superannuation (Transitional and Consequential Provisions) Act 2000</w:t>
            </w:r>
            <w:r>
              <w:rPr>
                <w:snapToGrid w:val="0"/>
              </w:rPr>
              <w:t xml:space="preserve"> s. 75 </w:t>
            </w:r>
            <w:r>
              <w:rPr>
                <w:snapToGrid w:val="0"/>
                <w:vertAlign w:val="superscript"/>
              </w:rPr>
              <w:t>15</w:t>
            </w:r>
          </w:p>
        </w:tc>
        <w:tc>
          <w:tcPr>
            <w:tcW w:w="1127" w:type="dxa"/>
            <w:tcBorders>
              <w:top w:val="single" w:sz="8" w:space="0" w:color="auto"/>
              <w:bottom w:val="single" w:sz="4" w:space="0" w:color="auto"/>
            </w:tcBorders>
            <w:shd w:val="clear" w:color="auto" w:fill="auto"/>
          </w:tcPr>
          <w:p>
            <w:pPr>
              <w:pStyle w:val="nTable"/>
              <w:keepNext/>
              <w:spacing w:after="40"/>
            </w:pPr>
            <w:r>
              <w:t>43 of 2000</w:t>
            </w:r>
          </w:p>
        </w:tc>
        <w:tc>
          <w:tcPr>
            <w:tcW w:w="1128" w:type="dxa"/>
            <w:tcBorders>
              <w:top w:val="single" w:sz="8" w:space="0" w:color="auto"/>
              <w:bottom w:val="single" w:sz="4" w:space="0" w:color="auto"/>
            </w:tcBorders>
            <w:shd w:val="clear" w:color="auto" w:fill="auto"/>
          </w:tcPr>
          <w:p>
            <w:pPr>
              <w:pStyle w:val="nTable"/>
              <w:keepNext/>
              <w:spacing w:after="40"/>
            </w:pPr>
            <w:r>
              <w:t>2 Nov 2000</w:t>
            </w:r>
          </w:p>
        </w:tc>
        <w:tc>
          <w:tcPr>
            <w:tcW w:w="2537" w:type="dxa"/>
            <w:tcBorders>
              <w:top w:val="single" w:sz="8" w:space="0" w:color="auto"/>
              <w:bottom w:val="single" w:sz="4" w:space="0" w:color="auto"/>
            </w:tcBorders>
            <w:shd w:val="clear" w:color="auto" w:fill="auto"/>
          </w:tcPr>
          <w:p>
            <w:pPr>
              <w:pStyle w:val="nTable"/>
              <w:spacing w:after="40"/>
            </w:pPr>
            <w:r>
              <w:rPr>
                <w:snapToGrid w:val="0"/>
              </w:rPr>
              <w:t>To be proclaimed (see s. 2(2))</w:t>
            </w:r>
          </w:p>
        </w:tc>
      </w:tr>
      <w:tr>
        <w:tblPrEx>
          <w:tblBorders>
            <w:top w:val="single" w:sz="8" w:space="0" w:color="auto"/>
            <w:bottom w:val="single" w:sz="8" w:space="0" w:color="auto"/>
            <w:insideH w:val="single" w:sz="8" w:space="0" w:color="auto"/>
          </w:tblBorders>
          <w:tblCellMar>
            <w:left w:w="57" w:type="dxa"/>
            <w:right w:w="57" w:type="dxa"/>
          </w:tblCellMar>
        </w:tblPrEx>
        <w:trPr>
          <w:del w:id="1418" w:author="svcMRProcess" w:date="2020-02-15T11:58:00Z"/>
        </w:trPr>
        <w:tc>
          <w:tcPr>
            <w:tcW w:w="2268" w:type="dxa"/>
            <w:tcBorders>
              <w:top w:val="nil"/>
              <w:bottom w:val="single" w:sz="4" w:space="0" w:color="auto"/>
            </w:tcBorders>
          </w:tcPr>
          <w:p>
            <w:pPr>
              <w:pStyle w:val="nTable"/>
              <w:spacing w:after="40"/>
              <w:rPr>
                <w:del w:id="1419" w:author="svcMRProcess" w:date="2020-02-15T11:58:00Z"/>
                <w:vertAlign w:val="superscript"/>
              </w:rPr>
            </w:pPr>
            <w:del w:id="1420" w:author="svcMRProcess" w:date="2020-02-15T11:58:00Z">
              <w:r>
                <w:rPr>
                  <w:i/>
                </w:rPr>
                <w:delText>Mental Health Legislation Amendment Act 2014</w:delText>
              </w:r>
              <w:r>
                <w:delText xml:space="preserve"> Pt. 4 Div. 4 Subdiv. 11 </w:delText>
              </w:r>
              <w:r>
                <w:rPr>
                  <w:vertAlign w:val="superscript"/>
                </w:rPr>
                <w:delText>16</w:delText>
              </w:r>
            </w:del>
          </w:p>
        </w:tc>
        <w:tc>
          <w:tcPr>
            <w:tcW w:w="1118" w:type="dxa"/>
            <w:tcBorders>
              <w:top w:val="nil"/>
              <w:bottom w:val="single" w:sz="4" w:space="0" w:color="auto"/>
            </w:tcBorders>
          </w:tcPr>
          <w:p>
            <w:pPr>
              <w:pStyle w:val="nTable"/>
              <w:spacing w:after="40"/>
              <w:rPr>
                <w:del w:id="1421" w:author="svcMRProcess" w:date="2020-02-15T11:58:00Z"/>
                <w:snapToGrid w:val="0"/>
                <w:lang w:val="en-US"/>
              </w:rPr>
            </w:pPr>
            <w:del w:id="1422" w:author="svcMRProcess" w:date="2020-02-15T11:58:00Z">
              <w:r>
                <w:rPr>
                  <w:snapToGrid w:val="0"/>
                  <w:lang w:val="en-US"/>
                </w:rPr>
                <w:delText>25 of 2014</w:delText>
              </w:r>
            </w:del>
          </w:p>
        </w:tc>
        <w:tc>
          <w:tcPr>
            <w:tcW w:w="1134" w:type="dxa"/>
            <w:tcBorders>
              <w:top w:val="nil"/>
              <w:bottom w:val="single" w:sz="4" w:space="0" w:color="auto"/>
            </w:tcBorders>
          </w:tcPr>
          <w:p>
            <w:pPr>
              <w:pStyle w:val="nTable"/>
              <w:spacing w:after="40"/>
              <w:rPr>
                <w:del w:id="1423" w:author="svcMRProcess" w:date="2020-02-15T11:58:00Z"/>
                <w:snapToGrid w:val="0"/>
                <w:lang w:val="en-US"/>
              </w:rPr>
            </w:pPr>
            <w:del w:id="1424" w:author="svcMRProcess" w:date="2020-02-15T11:58:00Z">
              <w:r>
                <w:delText>3 Nov 2014</w:delText>
              </w:r>
            </w:del>
          </w:p>
        </w:tc>
        <w:tc>
          <w:tcPr>
            <w:tcW w:w="2552" w:type="dxa"/>
            <w:gridSpan w:val="2"/>
            <w:tcBorders>
              <w:top w:val="nil"/>
              <w:bottom w:val="single" w:sz="4" w:space="0" w:color="auto"/>
            </w:tcBorders>
          </w:tcPr>
          <w:p>
            <w:pPr>
              <w:pStyle w:val="nTable"/>
              <w:spacing w:after="40"/>
              <w:rPr>
                <w:del w:id="1425" w:author="svcMRProcess" w:date="2020-02-15T11:58:00Z"/>
                <w:snapToGrid w:val="0"/>
                <w:lang w:val="en-US"/>
              </w:rPr>
            </w:pPr>
            <w:del w:id="1426" w:author="svcMRProcess" w:date="2020-02-15T11:58:00Z">
              <w:r>
                <w:rPr>
                  <w:snapToGrid w:val="0"/>
                  <w:lang w:val="en-US"/>
                </w:rPr>
                <w:delText>To be proclaimed (see s. 2(b))</w:delText>
              </w:r>
            </w:del>
          </w:p>
        </w:tc>
      </w:tr>
    </w:tbl>
    <w:p>
      <w:pPr>
        <w:pStyle w:val="nSubsection"/>
        <w:keepLines/>
        <w:spacing w:before="120"/>
        <w:rPr>
          <w:snapToGrid w:val="0"/>
        </w:rPr>
      </w:pPr>
      <w:r>
        <w:rPr>
          <w:snapToGrid w:val="0"/>
          <w:vertAlign w:val="superscript"/>
        </w:rPr>
        <w:t>2</w:t>
      </w:r>
      <w:r>
        <w:rPr>
          <w:snapToGrid w:val="0"/>
        </w:rPr>
        <w:tab/>
      </w:r>
      <w:r>
        <w:t xml:space="preserve">Repealed by the </w:t>
      </w:r>
      <w:r>
        <w:rPr>
          <w:i/>
        </w:rPr>
        <w:t>Australian Citizenship (Transitionals and Consequentials) Act 2007</w:t>
      </w:r>
      <w:r>
        <w:t xml:space="preserve"> Sch. 1 Part 2. Now see the </w:t>
      </w:r>
      <w:r>
        <w:rPr>
          <w:i/>
        </w:rPr>
        <w:t>Australian Citizenship Act 2007</w:t>
      </w:r>
      <w:r>
        <w:t xml:space="preserve"> (Cwlth).</w:t>
      </w:r>
    </w:p>
    <w:p>
      <w:pPr>
        <w:pStyle w:val="nSubsection"/>
        <w:keepLines/>
        <w:spacing w:before="120"/>
        <w:rPr>
          <w:snapToGrid w:val="0"/>
        </w:rPr>
      </w:pPr>
      <w:r>
        <w:rPr>
          <w:snapToGrid w:val="0"/>
          <w:vertAlign w:val="superscript"/>
        </w:rPr>
        <w:t>3</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15.</w:t>
      </w:r>
    </w:p>
    <w:p>
      <w:pPr>
        <w:pStyle w:val="nSubsection"/>
        <w:spacing w:before="120"/>
        <w:rPr>
          <w:rFonts w:ascii="Arial" w:hAnsi="Arial"/>
        </w:rPr>
      </w:pPr>
      <w:r>
        <w:rPr>
          <w:snapToGrid w:val="0"/>
          <w:vertAlign w:val="superscript"/>
        </w:rPr>
        <w:t>4</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5</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spacing w:before="120"/>
        <w:rPr>
          <w:snapToGrid w:val="0"/>
        </w:rPr>
      </w:pPr>
      <w:r>
        <w:rPr>
          <w:snapToGrid w:val="0"/>
          <w:vertAlign w:val="superscript"/>
        </w:rPr>
        <w:t>6</w:t>
      </w:r>
      <w:r>
        <w:rPr>
          <w:snapToGrid w:val="0"/>
        </w:rPr>
        <w:tab/>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spacing w:before="120"/>
      </w:pPr>
      <w:r>
        <w:rPr>
          <w:vertAlign w:val="superscript"/>
        </w:rPr>
        <w:t>7</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spacing w:before="120"/>
        <w:rPr>
          <w:snapToGrid w:val="0"/>
        </w:rPr>
      </w:pPr>
      <w:r>
        <w:rPr>
          <w:snapToGrid w:val="0"/>
          <w:vertAlign w:val="superscript"/>
        </w:rPr>
        <w:t>8</w:t>
      </w:r>
      <w:r>
        <w:rPr>
          <w:snapToGrid w:val="0"/>
        </w:rPr>
        <w:tab/>
        <w:t xml:space="preserve">The </w:t>
      </w:r>
      <w:r>
        <w:rPr>
          <w:i/>
          <w:snapToGrid w:val="0"/>
        </w:rPr>
        <w:t>Acts Amendment (Electoral Reform) Act 1987</w:t>
      </w:r>
      <w:r>
        <w:rPr>
          <w:snapToGrid w:val="0"/>
        </w:rPr>
        <w:t xml:space="preserve"> s. 19(2) reads as follows:</w:t>
      </w:r>
    </w:p>
    <w:p>
      <w:pPr>
        <w:pStyle w:val="BlankOpen"/>
        <w:rPr>
          <w:snapToGrid w:val="0"/>
        </w:rPr>
      </w:pP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BlankClose"/>
        <w:rPr>
          <w:snapToGrid w:val="0"/>
        </w:rPr>
      </w:pPr>
    </w:p>
    <w:p>
      <w:pPr>
        <w:pStyle w:val="nSubsection"/>
        <w:keepNext/>
        <w:spacing w:before="120"/>
        <w:rPr>
          <w:snapToGrid w:val="0"/>
        </w:rPr>
      </w:pPr>
      <w:r>
        <w:rPr>
          <w:snapToGrid w:val="0"/>
          <w:vertAlign w:val="superscript"/>
        </w:rPr>
        <w:t>9</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BlankOpen"/>
        <w:rPr>
          <w:snapToGrid w:val="0"/>
        </w:rPr>
      </w:pP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BlankClose"/>
        <w:rPr>
          <w:snapToGrid w:val="0"/>
        </w:rPr>
      </w:pPr>
    </w:p>
    <w:p>
      <w:pPr>
        <w:pStyle w:val="nSubsection"/>
        <w:spacing w:before="120"/>
      </w:pPr>
      <w:r>
        <w:rPr>
          <w:snapToGrid w:val="0"/>
          <w:vertAlign w:val="superscript"/>
        </w:rPr>
        <w:t>10</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spacing w:before="120"/>
        <w:rPr>
          <w:snapToGrid w:val="0"/>
        </w:rPr>
      </w:pPr>
      <w:r>
        <w:rPr>
          <w:snapToGrid w:val="0"/>
          <w:vertAlign w:val="superscript"/>
        </w:rPr>
        <w:t>11</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spacing w:before="120"/>
        <w:rPr>
          <w:snapToGrid w:val="0"/>
        </w:rPr>
      </w:pPr>
      <w:r>
        <w:rPr>
          <w:snapToGrid w:val="0"/>
          <w:vertAlign w:val="superscript"/>
        </w:rPr>
        <w:t>12</w:t>
      </w:r>
      <w:r>
        <w:rPr>
          <w:snapToGrid w:val="0"/>
        </w:rPr>
        <w:tab/>
        <w:t xml:space="preserve">The </w:t>
      </w:r>
      <w:r>
        <w:rPr>
          <w:i/>
          <w:snapToGrid w:val="0"/>
        </w:rPr>
        <w:t>Electoral Amendment Act 2000</w:t>
      </w:r>
      <w:r>
        <w:t xml:space="preserve"> s. 81(2)</w:t>
      </w:r>
      <w:r>
        <w:rPr>
          <w:snapToGrid w:val="0"/>
        </w:rPr>
        <w:t xml:space="preserve"> reads as follows:</w:t>
      </w:r>
    </w:p>
    <w:p>
      <w:pPr>
        <w:pStyle w:val="BlankOpen"/>
        <w:rPr>
          <w:snapToGrid w:val="0"/>
        </w:rPr>
      </w:pPr>
    </w:p>
    <w:p>
      <w:pPr>
        <w:pStyle w:val="nzSubsection"/>
      </w:pPr>
      <w:r>
        <w:tab/>
        <w:t>(2)</w:t>
      </w:r>
      <w:r>
        <w:tab/>
        <w:t xml:space="preserve">The repeal of Schedule 3 does not affect the operation of the </w:t>
      </w:r>
      <w:r>
        <w:rPr>
          <w:i/>
        </w:rPr>
        <w:t>Electoral (Ballot Paper Forms) Regulations 1990</w:t>
      </w:r>
      <w:r>
        <w:t>.</w:t>
      </w:r>
    </w:p>
    <w:p>
      <w:pPr>
        <w:pStyle w:val="BlankClose"/>
        <w:rPr>
          <w:snapToGrid w:val="0"/>
        </w:rPr>
      </w:pPr>
    </w:p>
    <w:p>
      <w:pPr>
        <w:pStyle w:val="nSubsection"/>
        <w:spacing w:before="120"/>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14</w:t>
      </w:r>
      <w:r>
        <w:tab/>
        <w:t xml:space="preserve">The </w:t>
      </w:r>
      <w:r>
        <w:rPr>
          <w:i/>
          <w:iCs/>
        </w:rPr>
        <w:t>Electoral Legislation Amendment Act 2006</w:t>
      </w:r>
      <w:r>
        <w:t xml:space="preserve"> s. 27(2)</w:t>
      </w:r>
      <w:r>
        <w:noBreakHyphen/>
        <w:t>(4) read as follows:</w:t>
      </w:r>
    </w:p>
    <w:p>
      <w:pPr>
        <w:pStyle w:val="BlankOpen"/>
      </w:pPr>
    </w:p>
    <w:p>
      <w:pPr>
        <w:pStyle w:val="nzSubsection"/>
        <w:keepNext/>
        <w:keepLines/>
        <w:spacing w:before="40"/>
      </w:pPr>
      <w:r>
        <w:tab/>
        <w:t>(2)</w:t>
      </w:r>
      <w:r>
        <w:tab/>
        <w:t>A person who is a member of the Legislative Assembly or the Legislative Council immediately before the commencement —</w:t>
      </w:r>
    </w:p>
    <w:p>
      <w:pPr>
        <w:pStyle w:val="nzIndenta"/>
        <w:keepNext/>
        <w:keepLines/>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A person who has been elected as a member of the Legislative Council but has not begun his or her term as a member before the commencement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keepNext/>
        <w:keepLines/>
      </w:pPr>
      <w:r>
        <w:tab/>
        <w:t>(4)</w:t>
      </w:r>
      <w:r>
        <w:tab/>
        <w:t>In subsections (2) and (3) —</w:t>
      </w:r>
    </w:p>
    <w:p>
      <w:pPr>
        <w:pStyle w:val="nzDefstart"/>
        <w:keepNext/>
        <w:keepLines/>
      </w:pPr>
      <w:r>
        <w:rPr>
          <w:b/>
        </w:rPr>
        <w:tab/>
      </w:r>
      <w:r>
        <w:rPr>
          <w:rStyle w:val="CharDefText"/>
        </w:rPr>
        <w:t>commencement</w:t>
      </w:r>
      <w:r>
        <w:t xml:space="preserve"> means the coming into operation of this section.</w:t>
      </w:r>
    </w:p>
    <w:p>
      <w:pPr>
        <w:pStyle w:val="BlankClose"/>
        <w:keepNext/>
      </w:pPr>
    </w:p>
    <w:p>
      <w:pPr>
        <w:pStyle w:val="nSubsection"/>
        <w:keepNext/>
        <w:keepLines/>
        <w:spacing w:before="40"/>
      </w:pPr>
      <w:r>
        <w:rPr>
          <w:vertAlign w:val="superscript"/>
        </w:rPr>
        <w:t>15</w:t>
      </w:r>
      <w: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rPr>
          <w:snapToGrid w:val="0"/>
        </w:rPr>
      </w:pPr>
    </w:p>
    <w:p>
      <w:pPr>
        <w:pStyle w:val="nzHeading5"/>
        <w:spacing w:before="40"/>
      </w:pPr>
      <w:r>
        <w:t>75.</w:t>
      </w:r>
      <w:r>
        <w:tab/>
        <w:t>Various provisions repealed</w:t>
      </w:r>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BlankClose"/>
        <w:rPr>
          <w:snapToGrid w:val="0"/>
        </w:rPr>
      </w:pPr>
    </w:p>
    <w:p>
      <w:pPr>
        <w:pStyle w:val="nSubsection"/>
        <w:keepNext/>
        <w:keepLines/>
        <w:rPr>
          <w:del w:id="1427" w:author="svcMRProcess" w:date="2020-02-15T11:58:00Z"/>
          <w:snapToGrid w:val="0"/>
        </w:rPr>
      </w:pPr>
      <w:del w:id="1428" w:author="svcMRProcess" w:date="2020-02-15T11:58:00Z">
        <w:r>
          <w:rPr>
            <w:snapToGrid w:val="0"/>
            <w:vertAlign w:val="superscript"/>
          </w:rPr>
          <w:delText>16</w:delText>
        </w:r>
        <w:r>
          <w:rPr>
            <w:snapToGrid w:val="0"/>
          </w:rPr>
          <w:tab/>
        </w:r>
        <w:r>
          <w:delText xml:space="preserve">On the date as at which this compilation was prepared, </w:delText>
        </w:r>
        <w:r>
          <w:rPr>
            <w:snapToGrid w:val="0"/>
          </w:rPr>
          <w:delText xml:space="preserve">the </w:delText>
        </w:r>
        <w:r>
          <w:rPr>
            <w:i/>
          </w:rPr>
          <w:delText>Mental Health Legislation Amendment Act 2014</w:delText>
        </w:r>
        <w:r>
          <w:delText xml:space="preserve"> Pt. 4 Div. 4 Subdiv. 11</w:delText>
        </w:r>
        <w:r>
          <w:rPr>
            <w:snapToGrid w:val="0"/>
          </w:rPr>
          <w:delText xml:space="preserve"> had not come into operation.  It reads as follows:</w:delText>
        </w:r>
      </w:del>
    </w:p>
    <w:p>
      <w:pPr>
        <w:pStyle w:val="BlankOpen"/>
        <w:rPr>
          <w:del w:id="1429" w:author="svcMRProcess" w:date="2020-02-15T11:58:00Z"/>
          <w:rStyle w:val="CharPartText"/>
        </w:rPr>
      </w:pPr>
    </w:p>
    <w:p>
      <w:pPr>
        <w:pStyle w:val="nzHeading2"/>
        <w:rPr>
          <w:del w:id="1430" w:author="svcMRProcess" w:date="2020-02-15T11:58:00Z"/>
          <w:rStyle w:val="CharPartText"/>
          <w:b w:val="0"/>
          <w:sz w:val="18"/>
        </w:rPr>
      </w:pPr>
      <w:bookmarkStart w:id="1431" w:name="_Toc373331812"/>
      <w:bookmarkStart w:id="1432" w:name="_Toc373332059"/>
      <w:bookmarkStart w:id="1433" w:name="_Toc385413042"/>
      <w:bookmarkStart w:id="1434" w:name="_Toc385413290"/>
      <w:bookmarkStart w:id="1435" w:name="_Toc385415631"/>
      <w:bookmarkStart w:id="1436" w:name="_Toc385498823"/>
      <w:bookmarkStart w:id="1437" w:name="_Toc385500219"/>
      <w:bookmarkStart w:id="1438" w:name="_Toc401671244"/>
      <w:bookmarkStart w:id="1439" w:name="_Toc401673109"/>
      <w:bookmarkStart w:id="1440" w:name="_Toc402180222"/>
      <w:del w:id="1441" w:author="svcMRProcess" w:date="2020-02-15T11:58:00Z">
        <w:r>
          <w:rPr>
            <w:rStyle w:val="CharPartNo"/>
          </w:rPr>
          <w:delText>Part 4</w:delText>
        </w:r>
        <w:r>
          <w:delText> — </w:delText>
        </w:r>
        <w:r>
          <w:rPr>
            <w:rStyle w:val="CharPartText"/>
          </w:rPr>
          <w:delText>Amendments to other Acts</w:delText>
        </w:r>
        <w:bookmarkEnd w:id="1431"/>
        <w:bookmarkEnd w:id="1432"/>
        <w:bookmarkEnd w:id="1433"/>
        <w:bookmarkEnd w:id="1434"/>
        <w:bookmarkEnd w:id="1435"/>
        <w:bookmarkEnd w:id="1436"/>
        <w:bookmarkEnd w:id="1437"/>
        <w:bookmarkEnd w:id="1438"/>
        <w:bookmarkEnd w:id="1439"/>
        <w:bookmarkEnd w:id="1440"/>
      </w:del>
    </w:p>
    <w:p>
      <w:pPr>
        <w:pStyle w:val="nzHeading3"/>
        <w:rPr>
          <w:del w:id="1442" w:author="svcMRProcess" w:date="2020-02-15T11:58:00Z"/>
          <w:rStyle w:val="CharPartText"/>
          <w:b w:val="0"/>
          <w:sz w:val="18"/>
        </w:rPr>
      </w:pPr>
      <w:bookmarkStart w:id="1443" w:name="_Toc373331841"/>
      <w:bookmarkStart w:id="1444" w:name="_Toc373332088"/>
      <w:bookmarkStart w:id="1445" w:name="_Toc385413072"/>
      <w:bookmarkStart w:id="1446" w:name="_Toc385413320"/>
      <w:bookmarkStart w:id="1447" w:name="_Toc385415661"/>
      <w:bookmarkStart w:id="1448" w:name="_Toc385498853"/>
      <w:bookmarkStart w:id="1449" w:name="_Toc385500249"/>
      <w:bookmarkStart w:id="1450" w:name="_Toc401671274"/>
      <w:bookmarkStart w:id="1451" w:name="_Toc401673139"/>
      <w:bookmarkStart w:id="1452" w:name="_Toc402180252"/>
      <w:del w:id="1453" w:author="svcMRProcess" w:date="2020-02-15T11:58:00Z">
        <w:r>
          <w:rPr>
            <w:rStyle w:val="CharDivNo"/>
          </w:rPr>
          <w:delText>Division 4</w:delText>
        </w:r>
        <w:r>
          <w:delText> — </w:delText>
        </w:r>
        <w:r>
          <w:rPr>
            <w:rStyle w:val="CharDivText"/>
          </w:rPr>
          <w:delText>Other Acts amended</w:delText>
        </w:r>
        <w:bookmarkEnd w:id="1443"/>
        <w:bookmarkEnd w:id="1444"/>
        <w:bookmarkEnd w:id="1445"/>
        <w:bookmarkEnd w:id="1446"/>
        <w:bookmarkEnd w:id="1447"/>
        <w:bookmarkEnd w:id="1448"/>
        <w:bookmarkEnd w:id="1449"/>
        <w:bookmarkEnd w:id="1450"/>
        <w:bookmarkEnd w:id="1451"/>
        <w:bookmarkEnd w:id="1452"/>
      </w:del>
    </w:p>
    <w:p>
      <w:pPr>
        <w:pStyle w:val="nzHeading4"/>
        <w:rPr>
          <w:del w:id="1454" w:author="svcMRProcess" w:date="2020-02-15T11:58:00Z"/>
        </w:rPr>
      </w:pPr>
      <w:bookmarkStart w:id="1455" w:name="_Toc373331877"/>
      <w:bookmarkStart w:id="1456" w:name="_Toc373332124"/>
      <w:bookmarkStart w:id="1457" w:name="_Toc385413108"/>
      <w:bookmarkStart w:id="1458" w:name="_Toc385413356"/>
      <w:bookmarkStart w:id="1459" w:name="_Toc385415697"/>
      <w:bookmarkStart w:id="1460" w:name="_Toc385498889"/>
      <w:bookmarkStart w:id="1461" w:name="_Toc385500285"/>
      <w:bookmarkStart w:id="1462" w:name="_Toc401671310"/>
      <w:bookmarkStart w:id="1463" w:name="_Toc401673175"/>
      <w:bookmarkStart w:id="1464" w:name="_Toc402180288"/>
      <w:del w:id="1465" w:author="svcMRProcess" w:date="2020-02-15T11:58:00Z">
        <w:r>
          <w:delText>Subdivision 11 — </w:delText>
        </w:r>
        <w:r>
          <w:rPr>
            <w:i/>
          </w:rPr>
          <w:delText>Electoral Act 1907</w:delText>
        </w:r>
        <w:r>
          <w:delText xml:space="preserve"> amended</w:delText>
        </w:r>
        <w:bookmarkEnd w:id="1455"/>
        <w:bookmarkEnd w:id="1456"/>
        <w:bookmarkEnd w:id="1457"/>
        <w:bookmarkEnd w:id="1458"/>
        <w:bookmarkEnd w:id="1459"/>
        <w:bookmarkEnd w:id="1460"/>
        <w:bookmarkEnd w:id="1461"/>
        <w:bookmarkEnd w:id="1462"/>
        <w:bookmarkEnd w:id="1463"/>
        <w:bookmarkEnd w:id="1464"/>
      </w:del>
    </w:p>
    <w:p>
      <w:pPr>
        <w:pStyle w:val="nzHeading5"/>
        <w:rPr>
          <w:del w:id="1466" w:author="svcMRProcess" w:date="2020-02-15T11:58:00Z"/>
        </w:rPr>
      </w:pPr>
      <w:bookmarkStart w:id="1467" w:name="_Toc402180289"/>
      <w:del w:id="1468" w:author="svcMRProcess" w:date="2020-02-15T11:58:00Z">
        <w:r>
          <w:rPr>
            <w:rStyle w:val="CharSectno"/>
          </w:rPr>
          <w:delText>57</w:delText>
        </w:r>
        <w:r>
          <w:delText>.</w:delText>
        </w:r>
        <w:r>
          <w:tab/>
          <w:delText>Act amended</w:delText>
        </w:r>
        <w:bookmarkEnd w:id="1467"/>
      </w:del>
    </w:p>
    <w:p>
      <w:pPr>
        <w:pStyle w:val="nzSubsection"/>
        <w:rPr>
          <w:del w:id="1469" w:author="svcMRProcess" w:date="2020-02-15T11:58:00Z"/>
        </w:rPr>
      </w:pPr>
      <w:del w:id="1470" w:author="svcMRProcess" w:date="2020-02-15T11:58:00Z">
        <w:r>
          <w:tab/>
        </w:r>
        <w:r>
          <w:tab/>
          <w:delText xml:space="preserve">This Subdivision amends the </w:delText>
        </w:r>
        <w:r>
          <w:rPr>
            <w:i/>
            <w:iCs/>
          </w:rPr>
          <w:delText>Electoral Act 1907</w:delText>
        </w:r>
        <w:r>
          <w:delText>.</w:delText>
        </w:r>
      </w:del>
    </w:p>
    <w:p>
      <w:pPr>
        <w:pStyle w:val="nzHeading5"/>
        <w:rPr>
          <w:del w:id="1471" w:author="svcMRProcess" w:date="2020-02-15T11:58:00Z"/>
        </w:rPr>
      </w:pPr>
      <w:bookmarkStart w:id="1472" w:name="_Toc402180290"/>
      <w:del w:id="1473" w:author="svcMRProcess" w:date="2020-02-15T11:58:00Z">
        <w:r>
          <w:rPr>
            <w:rStyle w:val="CharSectno"/>
          </w:rPr>
          <w:delText>58</w:delText>
        </w:r>
        <w:r>
          <w:delText>.</w:delText>
        </w:r>
        <w:r>
          <w:tab/>
          <w:delText>Section 40 amended</w:delText>
        </w:r>
        <w:bookmarkEnd w:id="1472"/>
      </w:del>
    </w:p>
    <w:p>
      <w:pPr>
        <w:pStyle w:val="nzSubsection"/>
        <w:rPr>
          <w:del w:id="1474" w:author="svcMRProcess" w:date="2020-02-15T11:58:00Z"/>
        </w:rPr>
      </w:pPr>
      <w:del w:id="1475" w:author="svcMRProcess" w:date="2020-02-15T11:58:00Z">
        <w:r>
          <w:tab/>
        </w:r>
        <w:r>
          <w:tab/>
          <w:delText>Delete section 40(1)(b)(i) and insert:</w:delText>
        </w:r>
      </w:del>
    </w:p>
    <w:p>
      <w:pPr>
        <w:pStyle w:val="BlankOpen"/>
        <w:rPr>
          <w:del w:id="1476" w:author="svcMRProcess" w:date="2020-02-15T11:58:00Z"/>
        </w:rPr>
      </w:pPr>
    </w:p>
    <w:p>
      <w:pPr>
        <w:pStyle w:val="nzIndenti"/>
        <w:rPr>
          <w:del w:id="1477" w:author="svcMRProcess" w:date="2020-02-15T11:58:00Z"/>
        </w:rPr>
      </w:pPr>
      <w:del w:id="1478" w:author="svcMRProcess" w:date="2020-02-15T11:58:00Z">
        <w:r>
          <w:tab/>
          <w:delText>(i)</w:delText>
        </w:r>
        <w:r>
          <w:tab/>
          <w:delText>who, from information supplied by the Registrar of Births, Deaths and Marriages, appear to be dead; or</w:delText>
        </w:r>
      </w:del>
    </w:p>
    <w:p>
      <w:pPr>
        <w:pStyle w:val="nzIndenti"/>
        <w:rPr>
          <w:del w:id="1479" w:author="svcMRProcess" w:date="2020-02-15T11:58:00Z"/>
          <w:snapToGrid w:val="0"/>
        </w:rPr>
      </w:pPr>
      <w:del w:id="1480" w:author="svcMRProcess" w:date="2020-02-15T11:58:00Z">
        <w:r>
          <w:tab/>
          <w:delText>(iia)</w:delText>
        </w:r>
        <w:r>
          <w:tab/>
          <w:delText xml:space="preserve">who, from information supplied by </w:delText>
        </w:r>
        <w:r>
          <w:rPr>
            <w:snapToGrid w:val="0"/>
          </w:rPr>
          <w:delText xml:space="preserve">the </w:delText>
        </w:r>
        <w:r>
          <w:delText xml:space="preserve">chief executive officer (as defined in the </w:delText>
        </w:r>
        <w:r>
          <w:rPr>
            <w:i/>
          </w:rPr>
          <w:delText>Prisons Act 1981</w:delText>
        </w:r>
        <w:r>
          <w:delText xml:space="preserve"> section 3(1))</w:delText>
        </w:r>
        <w:r>
          <w:rPr>
            <w:snapToGrid w:val="0"/>
          </w:rPr>
          <w:delText xml:space="preserve"> appear to be disqualified; or</w:delText>
        </w:r>
      </w:del>
    </w:p>
    <w:p>
      <w:pPr>
        <w:pStyle w:val="BlankClose"/>
        <w:rPr>
          <w:del w:id="1481" w:author="svcMRProcess" w:date="2020-02-15T11:58:00Z"/>
        </w:rPr>
      </w:pPr>
    </w:p>
    <w:p>
      <w:pPr>
        <w:pStyle w:val="nzHeading5"/>
        <w:rPr>
          <w:del w:id="1482" w:author="svcMRProcess" w:date="2020-02-15T11:58:00Z"/>
        </w:rPr>
      </w:pPr>
      <w:bookmarkStart w:id="1483" w:name="_Toc402180291"/>
      <w:del w:id="1484" w:author="svcMRProcess" w:date="2020-02-15T11:58:00Z">
        <w:r>
          <w:rPr>
            <w:rStyle w:val="CharSectno"/>
          </w:rPr>
          <w:delText>59</w:delText>
        </w:r>
        <w:r>
          <w:delText>.</w:delText>
        </w:r>
        <w:r>
          <w:tab/>
          <w:delText>Section 51A amended</w:delText>
        </w:r>
        <w:bookmarkEnd w:id="1483"/>
      </w:del>
    </w:p>
    <w:p>
      <w:pPr>
        <w:pStyle w:val="nzSubsection"/>
        <w:rPr>
          <w:del w:id="1485" w:author="svcMRProcess" w:date="2020-02-15T11:58:00Z"/>
        </w:rPr>
      </w:pPr>
      <w:del w:id="1486" w:author="svcMRProcess" w:date="2020-02-15T11:58:00Z">
        <w:r>
          <w:tab/>
        </w:r>
        <w:r>
          <w:tab/>
          <w:delText>Delete section 51A(4) and insert:</w:delText>
        </w:r>
      </w:del>
    </w:p>
    <w:p>
      <w:pPr>
        <w:pStyle w:val="BlankOpen"/>
        <w:keepNext w:val="0"/>
        <w:keepLines w:val="0"/>
        <w:tabs>
          <w:tab w:val="left" w:pos="2694"/>
        </w:tabs>
        <w:rPr>
          <w:del w:id="1487" w:author="svcMRProcess" w:date="2020-02-15T11:58:00Z"/>
        </w:rPr>
      </w:pPr>
    </w:p>
    <w:p>
      <w:pPr>
        <w:pStyle w:val="nzSubsection"/>
        <w:rPr>
          <w:del w:id="1488" w:author="svcMRProcess" w:date="2020-02-15T11:58:00Z"/>
        </w:rPr>
      </w:pPr>
      <w:del w:id="1489" w:author="svcMRProcess" w:date="2020-02-15T11:58:00Z">
        <w:r>
          <w:tab/>
          <w:delText>(4A)</w:delText>
        </w:r>
        <w:r>
          <w:tab/>
          <w:delText xml:space="preserve">A person’s name is taken to have been removed from a roll pursuant to this section if, immediately before the day on which the </w:delText>
        </w:r>
        <w:r>
          <w:rPr>
            <w:i/>
          </w:rPr>
          <w:delText>Mental Health Legislation Amendment Act 2014</w:delText>
        </w:r>
        <w:r>
          <w:delText xml:space="preserve"> Part 4 Division 4 Subdivision 11 commences, the person’s name did not appear on the roll because it had been removed from the roll under section 51AA(1a) of this Act as in force before that day.</w:delText>
        </w:r>
      </w:del>
    </w:p>
    <w:p>
      <w:pPr>
        <w:pStyle w:val="nzSubsection"/>
        <w:rPr>
          <w:del w:id="1490" w:author="svcMRProcess" w:date="2020-02-15T11:58:00Z"/>
        </w:rPr>
      </w:pPr>
      <w:del w:id="1491" w:author="svcMRProcess" w:date="2020-02-15T11:58:00Z">
        <w:r>
          <w:tab/>
          <w:delText>(4)</w:delText>
        </w:r>
        <w:r>
          <w:tab/>
          <w:delText xml:space="preserve">The power of removal conferred on the Electoral Commissioner by subsection (1) does not extend to a person in respect of whom a guardianship or administration order is in force under the </w:delText>
        </w:r>
        <w:r>
          <w:rPr>
            <w:i/>
          </w:rPr>
          <w:delText>Guardianship and Administration Act 1990</w:delText>
        </w:r>
        <w:r>
          <w:delText>.</w:delText>
        </w:r>
      </w:del>
    </w:p>
    <w:p>
      <w:pPr>
        <w:pStyle w:val="BlankClose"/>
        <w:tabs>
          <w:tab w:val="left" w:pos="2694"/>
        </w:tabs>
        <w:rPr>
          <w:del w:id="1492" w:author="svcMRProcess" w:date="2020-02-15T11:58:00Z"/>
        </w:rPr>
      </w:pPr>
    </w:p>
    <w:p>
      <w:pPr>
        <w:pStyle w:val="nzHeading5"/>
        <w:rPr>
          <w:del w:id="1493" w:author="svcMRProcess" w:date="2020-02-15T11:58:00Z"/>
        </w:rPr>
      </w:pPr>
      <w:bookmarkStart w:id="1494" w:name="_Toc402180292"/>
      <w:del w:id="1495" w:author="svcMRProcess" w:date="2020-02-15T11:58:00Z">
        <w:r>
          <w:rPr>
            <w:rStyle w:val="CharSectno"/>
          </w:rPr>
          <w:delText>60</w:delText>
        </w:r>
        <w:r>
          <w:delText>.</w:delText>
        </w:r>
        <w:r>
          <w:tab/>
          <w:delText>Section 51AA amended</w:delText>
        </w:r>
        <w:bookmarkEnd w:id="1494"/>
      </w:del>
    </w:p>
    <w:p>
      <w:pPr>
        <w:pStyle w:val="nzSubsection"/>
        <w:rPr>
          <w:del w:id="1496" w:author="svcMRProcess" w:date="2020-02-15T11:58:00Z"/>
        </w:rPr>
      </w:pPr>
      <w:del w:id="1497" w:author="svcMRProcess" w:date="2020-02-15T11:58:00Z">
        <w:r>
          <w:tab/>
          <w:delText>(1)</w:delText>
        </w:r>
        <w:r>
          <w:tab/>
          <w:delText>Delete section 51AA(1a).</w:delText>
        </w:r>
      </w:del>
    </w:p>
    <w:p>
      <w:pPr>
        <w:pStyle w:val="nzSubsection"/>
        <w:rPr>
          <w:del w:id="1498" w:author="svcMRProcess" w:date="2020-02-15T11:58:00Z"/>
        </w:rPr>
      </w:pPr>
      <w:del w:id="1499" w:author="svcMRProcess" w:date="2020-02-15T11:58:00Z">
        <w:r>
          <w:tab/>
          <w:delText>(2)</w:delText>
        </w:r>
        <w:r>
          <w:tab/>
          <w:delText>In section 51AA(2) delete “</w:delText>
        </w:r>
        <w:r>
          <w:rPr>
            <w:snapToGrid w:val="0"/>
          </w:rPr>
          <w:delText>subsection (1)</w:delText>
        </w:r>
        <w:r>
          <w:delText>, or a determination referred to in subsection (1a),” and insert:</w:delText>
        </w:r>
      </w:del>
    </w:p>
    <w:p>
      <w:pPr>
        <w:pStyle w:val="BlankOpen"/>
        <w:tabs>
          <w:tab w:val="left" w:pos="2694"/>
        </w:tabs>
        <w:rPr>
          <w:del w:id="1500" w:author="svcMRProcess" w:date="2020-02-15T11:58:00Z"/>
        </w:rPr>
      </w:pPr>
    </w:p>
    <w:p>
      <w:pPr>
        <w:pStyle w:val="nzSubsection"/>
        <w:rPr>
          <w:del w:id="1501" w:author="svcMRProcess" w:date="2020-02-15T11:58:00Z"/>
        </w:rPr>
      </w:pPr>
      <w:del w:id="1502" w:author="svcMRProcess" w:date="2020-02-15T11:58:00Z">
        <w:r>
          <w:tab/>
        </w:r>
        <w:r>
          <w:tab/>
          <w:delText>subsection (1)</w:delText>
        </w:r>
      </w:del>
    </w:p>
    <w:p>
      <w:pPr>
        <w:pStyle w:val="BlankClose"/>
        <w:tabs>
          <w:tab w:val="left" w:pos="2694"/>
        </w:tabs>
        <w:rPr>
          <w:del w:id="1503" w:author="svcMRProcess" w:date="2020-02-15T11:58:00Z"/>
        </w:rPr>
      </w:pPr>
    </w:p>
    <w:p>
      <w:pPr>
        <w:pStyle w:val="BlankClose"/>
        <w:rPr>
          <w:del w:id="1504" w:author="svcMRProcess" w:date="2020-02-15T11:58:00Z"/>
          <w:snapToGrid w:val="0"/>
        </w:rPr>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05" w:name="Compilation"/>
    <w:bookmarkEnd w:id="15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06" w:name="Coversheet"/>
    <w:bookmarkEnd w:id="15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390" w:name="Schedule"/>
    <w:bookmarkEnd w:id="139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lvlText w:val="%1."/>
      <w:lvlJc w:val="left"/>
      <w:pPr>
        <w:tabs>
          <w:tab w:val="num" w:pos="1492"/>
        </w:tabs>
        <w:ind w:left="1492" w:hanging="360"/>
      </w:pPr>
    </w:lvl>
  </w:abstractNum>
  <w:abstractNum w:abstractNumId="1">
    <w:nsid w:val="FFFFFF7D"/>
    <w:multiLevelType w:val="singleLevel"/>
    <w:tmpl w:val="778818AA"/>
    <w:lvl w:ilvl="0">
      <w:start w:val="1"/>
      <w:numFmt w:val="decimal"/>
      <w:lvlText w:val="%1."/>
      <w:lvlJc w:val="left"/>
      <w:pPr>
        <w:tabs>
          <w:tab w:val="num" w:pos="1209"/>
        </w:tabs>
        <w:ind w:left="1209" w:hanging="360"/>
      </w:pPr>
    </w:lvl>
  </w:abstractNum>
  <w:abstractNum w:abstractNumId="2">
    <w:nsid w:val="FFFFFF7E"/>
    <w:multiLevelType w:val="singleLevel"/>
    <w:tmpl w:val="4120D2E6"/>
    <w:lvl w:ilvl="0">
      <w:start w:val="1"/>
      <w:numFmt w:val="decimal"/>
      <w:lvlText w:val="%1."/>
      <w:lvlJc w:val="left"/>
      <w:pPr>
        <w:tabs>
          <w:tab w:val="num" w:pos="926"/>
        </w:tabs>
        <w:ind w:left="926" w:hanging="360"/>
      </w:pPr>
    </w:lvl>
  </w:abstractNum>
  <w:abstractNum w:abstractNumId="3">
    <w:nsid w:val="FFFFFF7F"/>
    <w:multiLevelType w:val="singleLevel"/>
    <w:tmpl w:val="FC0AC392"/>
    <w:lvl w:ilvl="0">
      <w:start w:val="1"/>
      <w:numFmt w:val="decimal"/>
      <w:lvlText w:val="%1."/>
      <w:lvlJc w:val="left"/>
      <w:pPr>
        <w:tabs>
          <w:tab w:val="num" w:pos="643"/>
        </w:tabs>
        <w:ind w:left="643" w:hanging="360"/>
      </w:pPr>
    </w:lvl>
  </w:abstractNum>
  <w:abstractNum w:abstractNumId="4">
    <w:nsid w:val="FFFFFF80"/>
    <w:multiLevelType w:val="singleLevel"/>
    <w:tmpl w:val="1BE229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lvlText w:val="%1."/>
      <w:lvlJc w:val="left"/>
      <w:pPr>
        <w:tabs>
          <w:tab w:val="num" w:pos="360"/>
        </w:tabs>
        <w:ind w:left="360" w:hanging="360"/>
      </w:pPr>
    </w:lvl>
  </w:abstractNum>
  <w:abstractNum w:abstractNumId="9">
    <w:nsid w:val="FFFFFF89"/>
    <w:multiLevelType w:val="singleLevel"/>
    <w:tmpl w:val="AFD0362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B188B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14130"/>
    <w:docVar w:name="WAFER_20140115104159" w:val="RemoveTocBookmarks,RemoveUnusedBookmarks,RemoveLanguageTags,UsedStyles,ResetPageSize,UpdateArrangement"/>
    <w:docVar w:name="WAFER_20140115104159_GUID" w:val="6889fcad-7695-44d8-9c7e-9fb0d17ed5d5"/>
    <w:docVar w:name="WAFER_20140115104431" w:val="RemoveTocBookmarks,RunningHeaders"/>
    <w:docVar w:name="WAFER_20140115104431_GUID" w:val="def89412-f77f-4442-83ca-f679c2e573ba"/>
    <w:docVar w:name="WAFER_20140115104749" w:val="RemoveTocBookmarks,RunningHeaders"/>
    <w:docVar w:name="WAFER_20140115104749_GUID" w:val="00609249-872b-48ed-854d-0f85787e6c63"/>
    <w:docVar w:name="WAFER_20140703162631" w:val="RemoveTocBookmarks,RemoveUnusedBookmarks,RemoveLanguageTags,UsedStyles,ResetPageSize,UpdateArrangement"/>
    <w:docVar w:name="WAFER_20140703162631_GUID" w:val="8bb919d6-41ae-42ea-ad16-0b201ac2755a"/>
    <w:docVar w:name="WAFER_20141104172612" w:val="RemoveTocBookmarks,RemoveUnusedBookmarks,RemoveLanguageTags,UsedStyles,ResetPageSize,UpdateArrangement"/>
    <w:docVar w:name="WAFER_20141104172612_GUID" w:val="b9763541-91cd-45ba-bf37-8689e6239b46"/>
    <w:docVar w:name="WAFER_20150413150256" w:val="ResetPageSize,UpdateArrangement,UpdateNTable"/>
    <w:docVar w:name="WAFER_20150413150256_GUID" w:val="502c2d42-a1b8-4db9-84b2-63ec92edde9d"/>
    <w:docVar w:name="WAFER_20150413150312" w:val="ResetPageSize,UpdateArrangement,UpdateNTable"/>
    <w:docVar w:name="WAFER_20150413150312_GUID" w:val="15286025-ddc1-475a-8a10-60b36b78dea6"/>
    <w:docVar w:name="WAFER_20151105114115" w:val="UpdateStyles,UsedStyles"/>
    <w:docVar w:name="WAFER_20151105114115_GUID" w:val="dc4c02d0-cf3e-4a31-9928-c6eeb6ad3a40"/>
    <w:docVar w:name="WAFER_20151105114130" w:val="UpdateStyles,UsedStyles"/>
    <w:docVar w:name="WAFER_20151105114130_GUID" w:val="bcfc0dfd-56aa-4cad-be55-8e81964e8e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81379</Words>
  <Characters>376789</Characters>
  <Application>Microsoft Office Word</Application>
  <DocSecurity>0</DocSecurity>
  <Lines>9661</Lines>
  <Paragraphs>4627</Paragraphs>
  <ScaleCrop>false</ScaleCrop>
  <HeadingPairs>
    <vt:vector size="2" baseType="variant">
      <vt:variant>
        <vt:lpstr>Title</vt:lpstr>
      </vt:variant>
      <vt:variant>
        <vt:i4>1</vt:i4>
      </vt:variant>
    </vt:vector>
  </HeadingPairs>
  <TitlesOfParts>
    <vt:vector size="1" baseType="lpstr">
      <vt:lpstr>Electoral Act 1907</vt:lpstr>
    </vt:vector>
  </TitlesOfParts>
  <Manager/>
  <Company/>
  <LinksUpToDate>false</LinksUpToDate>
  <CharactersWithSpaces>453541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16-d0-02 - 16-e0-00</dc:title>
  <dc:subject/>
  <dc:creator/>
  <cp:keywords/>
  <dc:description/>
  <cp:lastModifiedBy>svcMRProcess</cp:lastModifiedBy>
  <cp:revision>2</cp:revision>
  <cp:lastPrinted>2013-01-30T04:14:00Z</cp:lastPrinted>
  <dcterms:created xsi:type="dcterms:W3CDTF">2020-02-15T03:58:00Z</dcterms:created>
  <dcterms:modified xsi:type="dcterms:W3CDTF">2020-02-15T03:58:00Z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DocumentType">
    <vt:lpwstr>Act</vt:lpwstr>
  </property>
  <property fmtid="{D5CDD505-2E9C-101B-9397-08002B2CF9AE}" pid="4" name="OwlsUID">
    <vt:i4>242</vt:i4>
  </property>
  <property fmtid="{D5CDD505-2E9C-101B-9397-08002B2CF9AE}" pid="5" name="ReprintNo">
    <vt:lpwstr>16</vt:lpwstr>
  </property>
  <property fmtid="{D5CDD505-2E9C-101B-9397-08002B2CF9AE}" pid="6" name="ReprintedAsAt">
    <vt:filetime>2013-01-10T16:00:00Z</vt:filetime>
  </property>
  <property fmtid="{D5CDD505-2E9C-101B-9397-08002B2CF9AE}" pid="7" name="CommencementDate">
    <vt:lpwstr>20151130</vt:lpwstr>
  </property>
  <property fmtid="{D5CDD505-2E9C-101B-9397-08002B2CF9AE}" pid="8" name="FromSuffix">
    <vt:lpwstr>16-d0-02</vt:lpwstr>
  </property>
  <property fmtid="{D5CDD505-2E9C-101B-9397-08002B2CF9AE}" pid="9" name="FromAsAtDate">
    <vt:lpwstr>03 Nov 2014</vt:lpwstr>
  </property>
  <property fmtid="{D5CDD505-2E9C-101B-9397-08002B2CF9AE}" pid="10" name="ToSuffix">
    <vt:lpwstr>16-e0-00</vt:lpwstr>
  </property>
  <property fmtid="{D5CDD505-2E9C-101B-9397-08002B2CF9AE}" pid="11" name="ToAsAtDate">
    <vt:lpwstr>30 Nov 2015</vt:lpwstr>
  </property>
</Properties>
</file>