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Betting Control Regulations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Nov 2015</w:t>
      </w:r>
      <w:r>
        <w:fldChar w:fldCharType="end"/>
      </w:r>
      <w:r>
        <w:t xml:space="preserve">, </w:t>
      </w:r>
      <w:r>
        <w:fldChar w:fldCharType="begin"/>
      </w:r>
      <w:r>
        <w:instrText xml:space="preserve"> DocProperty FromSuffix </w:instrText>
      </w:r>
      <w:r>
        <w:fldChar w:fldCharType="separate"/>
      </w:r>
      <w:r>
        <w:t>07-g0-01</w:t>
      </w:r>
      <w:r>
        <w:fldChar w:fldCharType="end"/>
      </w:r>
      <w:r>
        <w:t>] and [</w:t>
      </w:r>
      <w:r>
        <w:fldChar w:fldCharType="begin"/>
      </w:r>
      <w:r>
        <w:instrText xml:space="preserve"> DocProperty ToAsAtDate</w:instrText>
      </w:r>
      <w:r>
        <w:fldChar w:fldCharType="separate"/>
      </w:r>
      <w:r>
        <w:t>01 Jan 2016</w:t>
      </w:r>
      <w:r>
        <w:fldChar w:fldCharType="end"/>
      </w:r>
      <w:r>
        <w:t xml:space="preserve">, </w:t>
      </w:r>
      <w:r>
        <w:fldChar w:fldCharType="begin"/>
      </w:r>
      <w:r>
        <w:instrText xml:space="preserve"> DocProperty ToSuffix</w:instrText>
      </w:r>
      <w:r>
        <w:fldChar w:fldCharType="separate"/>
      </w:r>
      <w:r>
        <w:t>07-h0-01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Betting Control Act 1954</w:t>
      </w:r>
    </w:p>
    <w:p>
      <w:pPr>
        <w:pStyle w:val="NameofActReg"/>
        <w:spacing w:before="720"/>
      </w:pPr>
      <w:r>
        <w:t>Betting Control Regulations 1978</w:t>
      </w:r>
    </w:p>
    <w:p>
      <w:pPr>
        <w:pStyle w:val="Heading2"/>
        <w:pageBreakBefore w:val="0"/>
      </w:pPr>
      <w:bookmarkStart w:id="1" w:name="_Toc407692184"/>
      <w:bookmarkStart w:id="2" w:name="_Toc414961954"/>
      <w:bookmarkStart w:id="3" w:name="_Toc414962073"/>
      <w:bookmarkStart w:id="4" w:name="_Toc438111779"/>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Footnoteheading"/>
      </w:pPr>
      <w:r>
        <w:tab/>
        <w:t>[Heading inserted in Gazette 21 Jul 2006 p. 2671.]</w:t>
      </w:r>
    </w:p>
    <w:p>
      <w:pPr>
        <w:pStyle w:val="Heading5"/>
        <w:rPr>
          <w:snapToGrid w:val="0"/>
        </w:rPr>
      </w:pPr>
      <w:bookmarkStart w:id="6" w:name="_Toc407692185"/>
      <w:bookmarkStart w:id="7" w:name="_Toc438111780"/>
      <w:bookmarkStart w:id="8" w:name="_Toc414962074"/>
      <w:r>
        <w:rPr>
          <w:rStyle w:val="CharSectno"/>
        </w:rPr>
        <w:t>1</w:t>
      </w:r>
      <w:r>
        <w:rPr>
          <w:snapToGrid w:val="0"/>
        </w:rPr>
        <w:t>.</w:t>
      </w:r>
      <w:r>
        <w:rPr>
          <w:snapToGrid w:val="0"/>
        </w:rPr>
        <w:tab/>
        <w:t>Citation</w:t>
      </w:r>
      <w:bookmarkEnd w:id="6"/>
      <w:bookmarkEnd w:id="7"/>
      <w:bookmarkEnd w:id="8"/>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rPr>
          <w:snapToGrid w:val="0"/>
        </w:rPr>
      </w:pPr>
      <w:bookmarkStart w:id="9" w:name="_Toc407692186"/>
      <w:bookmarkStart w:id="10" w:name="_Toc438111781"/>
      <w:bookmarkStart w:id="11" w:name="_Toc414962075"/>
      <w:r>
        <w:rPr>
          <w:rStyle w:val="CharSectno"/>
        </w:rPr>
        <w:t>2</w:t>
      </w:r>
      <w:r>
        <w:rPr>
          <w:snapToGrid w:val="0"/>
        </w:rPr>
        <w:t>.</w:t>
      </w:r>
      <w:r>
        <w:rPr>
          <w:snapToGrid w:val="0"/>
        </w:rPr>
        <w:tab/>
        <w:t>Transitional provision</w:t>
      </w:r>
      <w:bookmarkEnd w:id="9"/>
      <w:bookmarkEnd w:id="10"/>
      <w:bookmarkEnd w:id="11"/>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vertAlign w:val="superscript"/>
        </w:rPr>
        <w:t> 1</w:t>
      </w:r>
      <w:r>
        <w:rPr>
          <w:snapToGrid w:val="0"/>
        </w:rPr>
        <w:t xml:space="preserve"> certain responsibilities of the person holding the office of Commissioner of State Taxation</w:t>
      </w:r>
      <w:r>
        <w:rPr>
          <w:snapToGrid w:val="0"/>
          <w:vertAlign w:val="superscript"/>
        </w:rPr>
        <w:t> 2</w:t>
      </w:r>
      <w:r>
        <w:rPr>
          <w:snapToGrid w:val="0"/>
        </w:rPr>
        <w:t xml:space="preserve"> were transferred to the Board, where under these regulations any form or activity was approved by the Commissioner of State Taxation</w:t>
      </w:r>
      <w:r>
        <w:rPr>
          <w:snapToGrid w:val="0"/>
          <w:vertAlign w:val="superscript"/>
        </w:rPr>
        <w:t> 2</w:t>
      </w:r>
      <w:r>
        <w:rPr>
          <w:snapToGrid w:val="0"/>
        </w:rPr>
        <w:t xml:space="preserve"> that form or activity shall be taken to have been approved by the Commission in the absence of any specific decision by the Commission to the contrary.</w:t>
      </w:r>
    </w:p>
    <w:p>
      <w:pPr>
        <w:pStyle w:val="Footnotesection"/>
      </w:pPr>
      <w:r>
        <w:tab/>
        <w:t>[Regulation 2 inserted in Gazette 25 Jun 1996 p. 2975; amended in Gazette 22 Oct 1996 p. 5619; 30 Jan 2004 p. 412.]</w:t>
      </w:r>
    </w:p>
    <w:p>
      <w:pPr>
        <w:pStyle w:val="Heading5"/>
        <w:keepLines w:val="0"/>
        <w:rPr>
          <w:snapToGrid w:val="0"/>
        </w:rPr>
      </w:pPr>
      <w:bookmarkStart w:id="12" w:name="_Toc407692187"/>
      <w:bookmarkStart w:id="13" w:name="_Toc438111782"/>
      <w:bookmarkStart w:id="14" w:name="_Toc414962076"/>
      <w:r>
        <w:rPr>
          <w:rStyle w:val="CharSectno"/>
        </w:rPr>
        <w:t>3</w:t>
      </w:r>
      <w:r>
        <w:rPr>
          <w:snapToGrid w:val="0"/>
        </w:rPr>
        <w:t>.</w:t>
      </w:r>
      <w:r>
        <w:rPr>
          <w:snapToGrid w:val="0"/>
        </w:rPr>
        <w:tab/>
        <w:t>Terms used</w:t>
      </w:r>
      <w:bookmarkEnd w:id="12"/>
      <w:bookmarkEnd w:id="13"/>
      <w:bookmarkEnd w:id="14"/>
    </w:p>
    <w:p>
      <w:pPr>
        <w:pStyle w:val="Subsection"/>
        <w:keepNext/>
        <w:rPr>
          <w:snapToGrid w:val="0"/>
        </w:rPr>
      </w:pPr>
      <w:r>
        <w:rPr>
          <w:snapToGrid w:val="0"/>
        </w:rPr>
        <w:tab/>
        <w:t>(1)</w:t>
      </w:r>
      <w:r>
        <w:rPr>
          <w:snapToGrid w:val="0"/>
        </w:rPr>
        <w:tab/>
        <w:t>In these regulations unless the context requires otherwise —</w:t>
      </w:r>
    </w:p>
    <w:p>
      <w:pPr>
        <w:pStyle w:val="Defstart"/>
      </w:pPr>
      <w:r>
        <w:tab/>
      </w:r>
      <w:r>
        <w:rPr>
          <w:rStyle w:val="CharDefText"/>
        </w:rPr>
        <w:t>bet back</w:t>
      </w:r>
      <w:r>
        <w:t xml:space="preserve"> means a bet made by, or on behalf of, a bookmaker — </w:t>
      </w:r>
    </w:p>
    <w:p>
      <w:pPr>
        <w:pStyle w:val="Defpara"/>
      </w:pPr>
      <w:r>
        <w:lastRenderedPageBreak/>
        <w:tab/>
        <w:t>(a)</w:t>
      </w:r>
      <w:r>
        <w:tab/>
        <w:t>on a runner or, in the context of a sporting event, on a competitor or contingency; and</w:t>
      </w:r>
    </w:p>
    <w:p>
      <w:pPr>
        <w:pStyle w:val="Defpara"/>
      </w:pPr>
      <w:r>
        <w:tab/>
        <w:t>(b)</w:t>
      </w:r>
      <w:r>
        <w:tab/>
        <w:t>for the purpose of reducing the bookmaker’s liability for bets already accepted by the bookmaker against that runner, competitor or contingency;</w:t>
      </w:r>
    </w:p>
    <w:p>
      <w:pPr>
        <w:pStyle w:val="Defstart"/>
        <w:spacing w:before="100"/>
      </w:pPr>
      <w:r>
        <w:tab/>
      </w:r>
      <w:r>
        <w:rPr>
          <w:rStyle w:val="CharDefText"/>
        </w:rPr>
        <w:t>cash</w:t>
      </w:r>
      <w:r>
        <w:t xml:space="preserve"> means bank notes or coins;</w:t>
      </w:r>
    </w:p>
    <w:p>
      <w:pPr>
        <w:pStyle w:val="Defstart"/>
        <w:spacing w:before="100"/>
      </w:pPr>
      <w:r>
        <w:rPr>
          <w:b/>
        </w:rPr>
        <w:tab/>
      </w:r>
      <w:r>
        <w:rPr>
          <w:rStyle w:val="CharDefText"/>
        </w:rPr>
        <w:t>concession bet</w:t>
      </w:r>
      <w:r>
        <w:t xml:space="preserve"> means a bet to win at special odds, the stake being refunded if the runner concerned is placed second or third, subject to the number of starters;</w:t>
      </w:r>
    </w:p>
    <w:p>
      <w:pPr>
        <w:pStyle w:val="Defstart"/>
        <w:spacing w:before="100"/>
      </w:pPr>
      <w:r>
        <w:rPr>
          <w:b/>
        </w:rPr>
        <w:tab/>
      </w:r>
      <w:r>
        <w:rPr>
          <w:rStyle w:val="CharDefText"/>
        </w:rPr>
        <w:t>country</w:t>
      </w:r>
      <w:r>
        <w:t xml:space="preserve"> means any part of the State outside the metropolitan area;</w:t>
      </w:r>
    </w:p>
    <w:p>
      <w:pPr>
        <w:pStyle w:val="Defstart"/>
        <w:spacing w:before="100"/>
      </w:pPr>
      <w:r>
        <w:rPr>
          <w:b/>
        </w:rPr>
        <w:tab/>
      </w:r>
      <w:r>
        <w:rPr>
          <w:rStyle w:val="CharDefText"/>
        </w:rPr>
        <w:t>each way bet</w:t>
      </w:r>
      <w:r>
        <w:t xml:space="preserve"> means a bet comprising 2 equal amounts, one amount being for a win and one for a place and both being taken or laid on the same runner or other competitor or contingency at the same time, at stated odds for a win;</w:t>
      </w:r>
    </w:p>
    <w:p>
      <w:pPr>
        <w:pStyle w:val="Defstart"/>
        <w:spacing w:before="100"/>
      </w:pPr>
      <w:r>
        <w:rPr>
          <w:b/>
        </w:rPr>
        <w:tab/>
      </w:r>
      <w:r>
        <w:rPr>
          <w:rStyle w:val="CharDefText"/>
        </w:rPr>
        <w:t>Flexi Bet</w:t>
      </w:r>
      <w:r>
        <w:t xml:space="preserve"> means a method of betting an amount on one or more combinations of outcomes, where the amount of the investment on each combination covered by the bet can be a percentage, or fraction, of the unit of investment;</w:t>
      </w:r>
    </w:p>
    <w:p>
      <w:pPr>
        <w:pStyle w:val="Defstart"/>
        <w:spacing w:before="100"/>
      </w:pPr>
      <w:r>
        <w:rPr>
          <w:b/>
        </w:rPr>
        <w:tab/>
      </w:r>
      <w:r>
        <w:rPr>
          <w:rStyle w:val="CharDefText"/>
        </w:rPr>
        <w:t>grandstand enclosure</w:t>
      </w:r>
      <w:r>
        <w:t xml:space="preserve"> means that portion of a racecourse which is set aside as such by the committee or other authority controlling the racecourse, and commonly known as the “grandstand enclosure”;</w:t>
      </w:r>
    </w:p>
    <w:p>
      <w:pPr>
        <w:pStyle w:val="Defstart"/>
        <w:spacing w:before="100"/>
      </w:pPr>
      <w:r>
        <w:tab/>
      </w:r>
      <w:r>
        <w:rPr>
          <w:rStyle w:val="CharDefText"/>
        </w:rPr>
        <w:t>internet betting</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spacing w:before="100"/>
      </w:pPr>
      <w:r>
        <w:rPr>
          <w:b/>
        </w:rPr>
        <w:tab/>
      </w:r>
      <w:r>
        <w:rPr>
          <w:rStyle w:val="CharDefText"/>
        </w:rPr>
        <w:t>leger</w:t>
      </w:r>
      <w:r>
        <w:t xml:space="preserve"> means that portion of a racecourse which is set aside as such by the committee or other authority controlling the racecourse, and commonly known as “the leger”;</w:t>
      </w:r>
    </w:p>
    <w:p>
      <w:pPr>
        <w:pStyle w:val="Defstart"/>
        <w:spacing w:before="100"/>
      </w:pPr>
      <w:r>
        <w:rPr>
          <w:b/>
        </w:rPr>
        <w:tab/>
      </w:r>
      <w:r>
        <w:rPr>
          <w:rStyle w:val="CharDefText"/>
        </w:rPr>
        <w:t>rules of racing</w:t>
      </w:r>
      <w:r>
        <w:t xml:space="preserve"> means the rules of racing made under, or continued for the purposes of, the RWWA Act;</w:t>
      </w:r>
    </w:p>
    <w:p>
      <w:pPr>
        <w:pStyle w:val="Defstart"/>
        <w:spacing w:before="100"/>
      </w:pPr>
      <w:r>
        <w:rPr>
          <w:b/>
        </w:rPr>
        <w:tab/>
      </w:r>
      <w:r>
        <w:rPr>
          <w:rStyle w:val="CharDefText"/>
        </w:rPr>
        <w:t>rules of wagering</w:t>
      </w:r>
      <w:r>
        <w:t xml:space="preserve"> means the rules of wagering made under, or continued for the purposes of, the RWWA Act;</w:t>
      </w:r>
    </w:p>
    <w:p>
      <w:pPr>
        <w:pStyle w:val="Defstart"/>
        <w:keepNext/>
      </w:pPr>
      <w:r>
        <w:tab/>
      </w:r>
      <w:r>
        <w:rPr>
          <w:rStyle w:val="CharDefText"/>
        </w:rPr>
        <w:t>runner</w:t>
      </w:r>
      <w:r>
        <w:t xml:space="preserve"> means —</w:t>
      </w:r>
    </w:p>
    <w:p>
      <w:pPr>
        <w:pStyle w:val="Defpara"/>
      </w:pPr>
      <w:r>
        <w:tab/>
        <w:t>(a)</w:t>
      </w:r>
      <w:r>
        <w:tab/>
        <w:t>in the context of a horse race, a horse running in the race; or</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rStyle w:val="CharDefText"/>
        </w:rPr>
        <w:t>sporting event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pPr>
      <w:r>
        <w:tab/>
        <w:t>(4)</w:t>
      </w:r>
      <w:r>
        <w:tab/>
        <w:t>For the purpose of these regulations, a bet is an on</w:t>
      </w:r>
      <w:r>
        <w:noBreakHyphen/>
        <w:t>course totalisator bet if —</w:t>
      </w:r>
    </w:p>
    <w:p>
      <w:pPr>
        <w:pStyle w:val="Indenta"/>
      </w:pPr>
      <w:r>
        <w:tab/>
        <w:t>(a)</w:t>
      </w:r>
      <w:r>
        <w:tab/>
        <w:t>the person making the bet is physically present at the racecourse; and</w:t>
      </w:r>
    </w:p>
    <w:p>
      <w:pPr>
        <w:pStyle w:val="Indenta"/>
      </w:pPr>
      <w:r>
        <w:tab/>
        <w:t>(b)</w:t>
      </w:r>
      <w:r>
        <w:tab/>
        <w:t>the bet is placed through a totalisator located on that racecourse; and</w:t>
      </w:r>
    </w:p>
    <w:p>
      <w:pPr>
        <w:pStyle w:val="Indenta"/>
      </w:pPr>
      <w:r>
        <w:tab/>
        <w:t>(c)</w:t>
      </w:r>
      <w:r>
        <w:tab/>
        <w:t>payment for the bet is made at the time the bet is placed, either in cash or from an established RWWA wagering account; and</w:t>
      </w:r>
    </w:p>
    <w:p>
      <w:pPr>
        <w:pStyle w:val="Indenta"/>
        <w:keepNext/>
        <w:keepLines/>
      </w:pPr>
      <w:r>
        <w:tab/>
        <w:t>(d)</w:t>
      </w:r>
      <w:r>
        <w:tab/>
        <w:t>the bet is placed in person and not by telephone.</w:t>
      </w:r>
    </w:p>
    <w:p>
      <w:pPr>
        <w:pStyle w:val="Footnotesection"/>
      </w:pPr>
      <w:r>
        <w:tab/>
        <w:t>[Regulation 3 amended in Gazette 24 Jun 1988 p. 2003; 14 Feb 1992 p. 857; 10 Jul 1992 p. 3286</w:t>
      </w:r>
      <w:r>
        <w:noBreakHyphen/>
        <w:t>7; 21 Jul 1998 p. 3851, 3854, 3855 and 3856; 26 Nov 1999 p. 5908; 30 Jan 2004 p. 403; 21 Jul 2006 p. 2672; 18 Sep 2007 p. 4717; 25 Sep 2009 p. 3752; 14 Jun 2013 p. 2241.]</w:t>
      </w:r>
    </w:p>
    <w:p>
      <w:pPr>
        <w:pStyle w:val="Heading2"/>
      </w:pPr>
      <w:bookmarkStart w:id="15" w:name="_Toc407692188"/>
      <w:bookmarkStart w:id="16" w:name="_Toc414961958"/>
      <w:bookmarkStart w:id="17" w:name="_Toc414962077"/>
      <w:bookmarkStart w:id="18" w:name="_Toc438111783"/>
      <w:r>
        <w:rPr>
          <w:rStyle w:val="CharPartNo"/>
        </w:rPr>
        <w:t>Part 2</w:t>
      </w:r>
      <w:r>
        <w:rPr>
          <w:b w:val="0"/>
        </w:rPr>
        <w:t> </w:t>
      </w:r>
      <w:r>
        <w:t>—</w:t>
      </w:r>
      <w:r>
        <w:rPr>
          <w:b w:val="0"/>
        </w:rPr>
        <w:t> </w:t>
      </w:r>
      <w:r>
        <w:rPr>
          <w:rStyle w:val="CharPartText"/>
        </w:rPr>
        <w:t>Licences, fees and commissions</w:t>
      </w:r>
      <w:bookmarkEnd w:id="15"/>
      <w:bookmarkEnd w:id="16"/>
      <w:bookmarkEnd w:id="17"/>
      <w:bookmarkEnd w:id="18"/>
    </w:p>
    <w:p>
      <w:pPr>
        <w:pStyle w:val="Footnoteheading"/>
      </w:pPr>
      <w:r>
        <w:tab/>
        <w:t>[Heading inserted in Gazette 21 Jul 2006 p. 2672.]</w:t>
      </w:r>
    </w:p>
    <w:p>
      <w:pPr>
        <w:pStyle w:val="Ednotesection"/>
      </w:pPr>
      <w:r>
        <w:t>[</w:t>
      </w:r>
      <w:r>
        <w:rPr>
          <w:b/>
        </w:rPr>
        <w:t>3A</w:t>
      </w:r>
      <w:r>
        <w:rPr>
          <w:b/>
        </w:rPr>
        <w:noBreakHyphen/>
        <w:t>8.</w:t>
      </w:r>
      <w:r>
        <w:rPr>
          <w:b/>
        </w:rPr>
        <w:tab/>
      </w:r>
      <w:r>
        <w:t>Deleted in Gazette 30 Jan 2004 p. 403.]</w:t>
      </w:r>
    </w:p>
    <w:p>
      <w:pPr>
        <w:pStyle w:val="Heading5"/>
        <w:rPr>
          <w:snapToGrid w:val="0"/>
        </w:rPr>
      </w:pPr>
      <w:bookmarkStart w:id="19" w:name="_Toc407692189"/>
      <w:bookmarkStart w:id="20" w:name="_Toc438111784"/>
      <w:bookmarkStart w:id="21" w:name="_Toc414962078"/>
      <w:r>
        <w:rPr>
          <w:rStyle w:val="CharSectno"/>
        </w:rPr>
        <w:t>9</w:t>
      </w:r>
      <w:r>
        <w:rPr>
          <w:snapToGrid w:val="0"/>
        </w:rPr>
        <w:t>.</w:t>
      </w:r>
      <w:r>
        <w:rPr>
          <w:snapToGrid w:val="0"/>
        </w:rPr>
        <w:tab/>
        <w:t>Application for licence</w:t>
      </w:r>
      <w:bookmarkEnd w:id="19"/>
      <w:bookmarkEnd w:id="20"/>
      <w:bookmarkEnd w:id="21"/>
    </w:p>
    <w:p>
      <w:pPr>
        <w:pStyle w:val="Subsection"/>
        <w:rPr>
          <w:snapToGrid w:val="0"/>
        </w:rPr>
      </w:pPr>
      <w:r>
        <w:rPr>
          <w:snapToGrid w:val="0"/>
        </w:rPr>
        <w:tab/>
        <w:t>(1)</w:t>
      </w:r>
      <w:r>
        <w:rPr>
          <w:snapToGrid w:val="0"/>
        </w:rPr>
        <w:tab/>
        <w:t>A person who desires to make application for a licence shall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in Gazette 14 Jul 1989 p. 2133; 10 Jul 1992 p. 3286</w:t>
      </w:r>
      <w:r>
        <w:noBreakHyphen/>
        <w:t>7; 20 Sep 2002 p. 4698; 30 Jan 2004 p. 404 and 412.]</w:t>
      </w:r>
    </w:p>
    <w:p>
      <w:pPr>
        <w:pStyle w:val="Heading5"/>
      </w:pPr>
      <w:bookmarkStart w:id="22" w:name="_Toc407692190"/>
      <w:bookmarkStart w:id="23" w:name="_Toc438111785"/>
      <w:bookmarkStart w:id="24" w:name="_Toc414962079"/>
      <w:r>
        <w:rPr>
          <w:rStyle w:val="CharSectno"/>
        </w:rPr>
        <w:t>9A</w:t>
      </w:r>
      <w:r>
        <w:t>.</w:t>
      </w:r>
      <w:r>
        <w:tab/>
        <w:t>Application to conduct a designated sporting event</w:t>
      </w:r>
      <w:bookmarkEnd w:id="22"/>
      <w:bookmarkEnd w:id="23"/>
      <w:bookmarkEnd w:id="24"/>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in Gazette 21 Jul 1998 p. 3852; amended in Gazette 20 Sep 2002 p. 4698; 30 Jan 2004 p. 412.]</w:t>
      </w:r>
    </w:p>
    <w:p>
      <w:pPr>
        <w:pStyle w:val="Heading5"/>
      </w:pPr>
      <w:bookmarkStart w:id="25" w:name="_Toc407692191"/>
      <w:bookmarkStart w:id="26" w:name="_Toc438111786"/>
      <w:bookmarkStart w:id="27" w:name="_Toc414962080"/>
      <w:r>
        <w:rPr>
          <w:rStyle w:val="CharSectno"/>
        </w:rPr>
        <w:t>10</w:t>
      </w:r>
      <w:r>
        <w:t>.</w:t>
      </w:r>
      <w:r>
        <w:tab/>
        <w:t>Application for approval</w:t>
      </w:r>
      <w:bookmarkEnd w:id="25"/>
      <w:bookmarkEnd w:id="26"/>
      <w:bookmarkEnd w:id="27"/>
    </w:p>
    <w:p>
      <w:pPr>
        <w:pStyle w:val="Subsection"/>
      </w:pPr>
      <w:r>
        <w:tab/>
      </w:r>
      <w:r>
        <w:tab/>
        <w:t>A person who desires to make application for approval under section 11B(4) or 11C(2) of the Act shall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in Gazette 20 Sep 2002 p. 4698; amended in Gazette 30 Jan 2004 p. 404 and 412.]</w:t>
      </w:r>
    </w:p>
    <w:p>
      <w:pPr>
        <w:pStyle w:val="Heading5"/>
        <w:rPr>
          <w:snapToGrid w:val="0"/>
        </w:rPr>
      </w:pPr>
      <w:bookmarkStart w:id="28" w:name="_Toc407692192"/>
      <w:bookmarkStart w:id="29" w:name="_Toc438111787"/>
      <w:bookmarkStart w:id="30" w:name="_Toc414962081"/>
      <w:r>
        <w:rPr>
          <w:rStyle w:val="CharSectno"/>
        </w:rPr>
        <w:t>11</w:t>
      </w:r>
      <w:r>
        <w:rPr>
          <w:snapToGrid w:val="0"/>
        </w:rPr>
        <w:t>.</w:t>
      </w:r>
      <w:r>
        <w:rPr>
          <w:snapToGrid w:val="0"/>
        </w:rPr>
        <w:tab/>
        <w:t>When licence may be renewed</w:t>
      </w:r>
      <w:bookmarkEnd w:id="28"/>
      <w:bookmarkEnd w:id="29"/>
      <w:bookmarkEnd w:id="30"/>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in Gazette 10 Jul 1992 p. 3286</w:t>
      </w:r>
      <w:r>
        <w:noBreakHyphen/>
        <w:t>7; 20 Sep 2002 p. 4698.]</w:t>
      </w:r>
    </w:p>
    <w:p>
      <w:pPr>
        <w:pStyle w:val="Heading5"/>
        <w:rPr>
          <w:snapToGrid w:val="0"/>
        </w:rPr>
      </w:pPr>
      <w:bookmarkStart w:id="31" w:name="_Toc407692193"/>
      <w:bookmarkStart w:id="32" w:name="_Toc438111788"/>
      <w:bookmarkStart w:id="33" w:name="_Toc414962082"/>
      <w:r>
        <w:rPr>
          <w:rStyle w:val="CharSectno"/>
        </w:rPr>
        <w:t>12</w:t>
      </w:r>
      <w:r>
        <w:rPr>
          <w:snapToGrid w:val="0"/>
        </w:rPr>
        <w:t>.</w:t>
      </w:r>
      <w:r>
        <w:rPr>
          <w:snapToGrid w:val="0"/>
        </w:rPr>
        <w:tab/>
        <w:t>Grant of licence</w:t>
      </w:r>
      <w:bookmarkEnd w:id="31"/>
      <w:bookmarkEnd w:id="32"/>
      <w:bookmarkEnd w:id="33"/>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deleted]</w:t>
      </w:r>
    </w:p>
    <w:p>
      <w:pPr>
        <w:pStyle w:val="Footnotesection"/>
      </w:pPr>
      <w:r>
        <w:tab/>
        <w:t>[Regulation 12 amended in Gazette 10 Jul 1992 p. 3286</w:t>
      </w:r>
      <w:r>
        <w:noBreakHyphen/>
        <w:t>8; 30 Jan 2004 p. 404 and 412.]</w:t>
      </w:r>
    </w:p>
    <w:p>
      <w:pPr>
        <w:pStyle w:val="Ednotesection"/>
      </w:pPr>
      <w:r>
        <w:t>[</w:t>
      </w:r>
      <w:r>
        <w:rPr>
          <w:b/>
        </w:rPr>
        <w:t>13.</w:t>
      </w:r>
      <w:r>
        <w:tab/>
        <w:t>Deleted in Gazette 20 Sep 2002 p. 4698.]</w:t>
      </w:r>
    </w:p>
    <w:p>
      <w:pPr>
        <w:pStyle w:val="Heading5"/>
        <w:rPr>
          <w:snapToGrid w:val="0"/>
        </w:rPr>
      </w:pPr>
      <w:bookmarkStart w:id="34" w:name="_Toc407692194"/>
      <w:bookmarkStart w:id="35" w:name="_Toc438111789"/>
      <w:bookmarkStart w:id="36" w:name="_Toc414962083"/>
      <w:r>
        <w:rPr>
          <w:rStyle w:val="CharSectno"/>
        </w:rPr>
        <w:t>14</w:t>
      </w:r>
      <w:r>
        <w:rPr>
          <w:snapToGrid w:val="0"/>
        </w:rPr>
        <w:t>.</w:t>
      </w:r>
      <w:r>
        <w:rPr>
          <w:snapToGrid w:val="0"/>
        </w:rPr>
        <w:tab/>
        <w:t>Effect of licence</w:t>
      </w:r>
      <w:bookmarkEnd w:id="34"/>
      <w:bookmarkEnd w:id="35"/>
      <w:bookmarkEnd w:id="36"/>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Lines/>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in Gazette 24 Jun 1988 p. 2004; 10 Jul 1992 p. 3286 and 3288; 31 Aug 1993 p. 4677 (correction in Gazette 10 Sep 1993 p. 4975); 24 Dec 1993 p. 6839; 21 Jul 1998 p. 3852 and 3855; 26 Nov 1999 p. 5908</w:t>
      </w:r>
      <w:r>
        <w:noBreakHyphen/>
        <w:t>9; 20 Sep 2002 p. 4699; 30 Jan 2004 p. 412.]</w:t>
      </w:r>
    </w:p>
    <w:p>
      <w:pPr>
        <w:pStyle w:val="Ednotesection"/>
      </w:pPr>
      <w:r>
        <w:t>[</w:t>
      </w:r>
      <w:r>
        <w:rPr>
          <w:b/>
        </w:rPr>
        <w:t>15.</w:t>
      </w:r>
      <w:r>
        <w:tab/>
        <w:t>Deleted in Gazette 10 Jul 1992 p. 3288.]</w:t>
      </w:r>
    </w:p>
    <w:p>
      <w:pPr>
        <w:pStyle w:val="Heading5"/>
        <w:rPr>
          <w:snapToGrid w:val="0"/>
        </w:rPr>
      </w:pPr>
      <w:bookmarkStart w:id="37" w:name="_Toc407692195"/>
      <w:bookmarkStart w:id="38" w:name="_Toc438111790"/>
      <w:bookmarkStart w:id="39" w:name="_Toc414962084"/>
      <w:r>
        <w:rPr>
          <w:rStyle w:val="CharSectno"/>
        </w:rPr>
        <w:t>16</w:t>
      </w:r>
      <w:r>
        <w:rPr>
          <w:snapToGrid w:val="0"/>
        </w:rPr>
        <w:t>.</w:t>
      </w:r>
      <w:r>
        <w:rPr>
          <w:snapToGrid w:val="0"/>
        </w:rPr>
        <w:tab/>
        <w:t>Duplicate licences</w:t>
      </w:r>
      <w:bookmarkEnd w:id="37"/>
      <w:bookmarkEnd w:id="38"/>
      <w:bookmarkEnd w:id="39"/>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[Regulation 16 amended in Gazette 10 Jul 1992 p. 3286 and 3288; 30 Jan 2004 p. 412.]</w:t>
      </w:r>
    </w:p>
    <w:p>
      <w:pPr>
        <w:pStyle w:val="Heading5"/>
        <w:rPr>
          <w:snapToGrid w:val="0"/>
        </w:rPr>
      </w:pPr>
      <w:bookmarkStart w:id="40" w:name="_Toc407692196"/>
      <w:bookmarkStart w:id="41" w:name="_Toc438111791"/>
      <w:bookmarkStart w:id="42" w:name="_Toc414962085"/>
      <w:r>
        <w:rPr>
          <w:rStyle w:val="CharSectno"/>
        </w:rPr>
        <w:t>17</w:t>
      </w:r>
      <w:r>
        <w:rPr>
          <w:snapToGrid w:val="0"/>
        </w:rPr>
        <w:t>.</w:t>
      </w:r>
      <w:r>
        <w:rPr>
          <w:snapToGrid w:val="0"/>
        </w:rPr>
        <w:tab/>
        <w:t>Fees and charges</w:t>
      </w:r>
      <w:bookmarkEnd w:id="40"/>
      <w:bookmarkEnd w:id="41"/>
      <w:bookmarkEnd w:id="42"/>
    </w:p>
    <w:p>
      <w:pPr>
        <w:pStyle w:val="Subsection"/>
        <w:rPr>
          <w:snapToGrid w:val="0"/>
        </w:rPr>
      </w:pPr>
      <w:r>
        <w:rPr>
          <w:snapToGrid w:val="0"/>
        </w:rPr>
        <w:tab/>
        <w:t>(1)</w:t>
      </w:r>
      <w:r>
        <w:rPr>
          <w:snapToGrid w:val="0"/>
        </w:rPr>
        <w:tab/>
        <w:t>The Commission shall charge the following fees —</w:t>
      </w:r>
    </w:p>
    <w:p>
      <w:pPr>
        <w:pStyle w:val="Indenta"/>
        <w:rPr>
          <w:snapToGrid w:val="0"/>
        </w:rPr>
      </w:pPr>
      <w:r>
        <w:rPr>
          <w:snapToGrid w:val="0"/>
        </w:rPr>
        <w:tab/>
        <w:t>(aa)</w:t>
      </w:r>
      <w:r>
        <w:rPr>
          <w:snapToGrid w:val="0"/>
        </w:rPr>
        <w:tab/>
        <w:t>On the grant of a permit under section 4A</w:t>
      </w:r>
      <w:r>
        <w:rPr>
          <w:snapToGrid w:val="0"/>
        </w:rPr>
        <w:br/>
        <w:t xml:space="preserve">for a designated sporting event ................................ </w:t>
      </w:r>
      <w:r>
        <w:t>$</w:t>
      </w:r>
      <w:del w:id="43" w:author="Master Repository Process" w:date="2021-07-31T11:46:00Z">
        <w:r>
          <w:delText>47</w:delText>
        </w:r>
      </w:del>
      <w:ins w:id="44" w:author="Master Repository Process" w:date="2021-07-31T11:46:00Z">
        <w:r>
          <w:t>48</w:t>
        </w:r>
      </w:ins>
      <w:r>
        <w:rPr>
          <w:snapToGrid w:val="0"/>
        </w:rPr>
        <w:t>;</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 xml:space="preserve">telephone betting ..................................................... </w:t>
      </w:r>
      <w:r>
        <w:t>$</w:t>
      </w:r>
      <w:del w:id="45" w:author="Master Repository Process" w:date="2021-07-31T11:46:00Z">
        <w:r>
          <w:delText>68</w:delText>
        </w:r>
      </w:del>
      <w:ins w:id="46" w:author="Master Repository Process" w:date="2021-07-31T11:46:00Z">
        <w:r>
          <w:t>69</w:t>
        </w:r>
      </w:ins>
      <w:r>
        <w:rPr>
          <w:snapToGrid w:val="0"/>
        </w:rPr>
        <w:t>;</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 xml:space="preserve">internet betting........................................................ </w:t>
      </w:r>
      <w:r>
        <w:t>$345</w:t>
      </w:r>
      <w:r>
        <w:rPr>
          <w:snapToGrid w:val="0"/>
        </w:rPr>
        <w:t>;</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 xml:space="preserve">betting ledger system................................................ </w:t>
      </w:r>
      <w:r>
        <w:t>$</w:t>
      </w:r>
      <w:del w:id="47" w:author="Master Repository Process" w:date="2021-07-31T11:46:00Z">
        <w:r>
          <w:delText>73</w:delText>
        </w:r>
      </w:del>
      <w:ins w:id="48" w:author="Master Repository Process" w:date="2021-07-31T11:46:00Z">
        <w:r>
          <w:t>74</w:t>
        </w:r>
      </w:ins>
      <w:r>
        <w:rPr>
          <w:snapToGrid w:val="0"/>
        </w:rPr>
        <w:t>;</w:t>
      </w:r>
    </w:p>
    <w:p>
      <w:pPr>
        <w:pStyle w:val="Indenta"/>
        <w:spacing w:before="100"/>
        <w:rPr>
          <w:snapToGrid w:val="0"/>
        </w:rPr>
      </w:pPr>
      <w:r>
        <w:rPr>
          <w:snapToGrid w:val="0"/>
        </w:rPr>
        <w:tab/>
        <w:t>(a)</w:t>
      </w:r>
      <w:r>
        <w:rPr>
          <w:snapToGrid w:val="0"/>
        </w:rPr>
        <w:tab/>
        <w:t>On an application for a bookmaker’s</w:t>
      </w:r>
      <w:r>
        <w:rPr>
          <w:snapToGrid w:val="0"/>
        </w:rPr>
        <w:br/>
        <w:t xml:space="preserve">licence..................................................................... </w:t>
      </w:r>
      <w:r>
        <w:t>$</w:t>
      </w:r>
      <w:del w:id="49" w:author="Master Repository Process" w:date="2021-07-31T11:46:00Z">
        <w:r>
          <w:delText>692</w:delText>
        </w:r>
      </w:del>
      <w:ins w:id="50" w:author="Master Repository Process" w:date="2021-07-31T11:46:00Z">
        <w:r>
          <w:t>695</w:t>
        </w:r>
      </w:ins>
      <w:r>
        <w:rPr>
          <w:snapToGrid w:val="0"/>
        </w:rPr>
        <w:t>;</w:t>
      </w:r>
    </w:p>
    <w:p>
      <w:pPr>
        <w:pStyle w:val="Indenta"/>
        <w:spacing w:before="100"/>
        <w:rPr>
          <w:snapToGrid w:val="0"/>
        </w:rPr>
      </w:pPr>
      <w:r>
        <w:rPr>
          <w:snapToGrid w:val="0"/>
        </w:rPr>
        <w:tab/>
        <w:t>(b)</w:t>
      </w:r>
      <w:r>
        <w:rPr>
          <w:snapToGrid w:val="0"/>
        </w:rPr>
        <w:tab/>
        <w:t>On an application for, or for the renewal</w:t>
      </w:r>
      <w:r>
        <w:rPr>
          <w:snapToGrid w:val="0"/>
        </w:rPr>
        <w:br/>
        <w:t>of, a bookmaker’s employee licence........................ $30;</w:t>
      </w:r>
    </w:p>
    <w:p>
      <w:pPr>
        <w:pStyle w:val="Indenta"/>
        <w:spacing w:before="100"/>
        <w:rPr>
          <w:snapToGrid w:val="0"/>
        </w:rPr>
      </w:pPr>
      <w:r>
        <w:rPr>
          <w:snapToGrid w:val="0"/>
        </w:rPr>
        <w:tab/>
        <w:t>(ba)</w:t>
      </w:r>
      <w:r>
        <w:rPr>
          <w:snapToGrid w:val="0"/>
        </w:rPr>
        <w:tab/>
        <w:t>On an application for a bookmaker’s</w:t>
      </w:r>
      <w:r>
        <w:rPr>
          <w:snapToGrid w:val="0"/>
        </w:rPr>
        <w:br/>
        <w:t xml:space="preserve">manager licence...................................................... </w:t>
      </w:r>
      <w:r>
        <w:t>$</w:t>
      </w:r>
      <w:del w:id="51" w:author="Master Repository Process" w:date="2021-07-31T11:46:00Z">
        <w:r>
          <w:delText>166</w:delText>
        </w:r>
      </w:del>
      <w:ins w:id="52" w:author="Master Repository Process" w:date="2021-07-31T11:46:00Z">
        <w:r>
          <w:t>170</w:t>
        </w:r>
      </w:ins>
      <w:r>
        <w:rPr>
          <w:snapToGrid w:val="0"/>
        </w:rPr>
        <w:t>;</w:t>
      </w:r>
    </w:p>
    <w:p>
      <w:pPr>
        <w:pStyle w:val="Indenta"/>
        <w:spacing w:before="100"/>
        <w:rPr>
          <w:snapToGrid w:val="0"/>
        </w:rPr>
      </w:pPr>
      <w:r>
        <w:rPr>
          <w:snapToGrid w:val="0"/>
        </w:rPr>
        <w:tab/>
        <w:t>(bb)</w:t>
      </w:r>
      <w:r>
        <w:rPr>
          <w:snapToGrid w:val="0"/>
        </w:rPr>
        <w:tab/>
        <w:t>On an application for the renewal of a</w:t>
      </w:r>
      <w:r>
        <w:rPr>
          <w:snapToGrid w:val="0"/>
        </w:rPr>
        <w:br/>
        <w:t xml:space="preserve">bookmaker’s manager licence.................................. </w:t>
      </w:r>
      <w:r>
        <w:t>$</w:t>
      </w:r>
      <w:del w:id="53" w:author="Master Repository Process" w:date="2021-07-31T11:46:00Z">
        <w:r>
          <w:delText>89</w:delText>
        </w:r>
      </w:del>
      <w:ins w:id="54" w:author="Master Repository Process" w:date="2021-07-31T11:46:00Z">
        <w:r>
          <w:t>91</w:t>
        </w:r>
      </w:ins>
      <w:r>
        <w:rPr>
          <w:snapToGrid w:val="0"/>
        </w:rPr>
        <w:t>;</w:t>
      </w:r>
    </w:p>
    <w:p>
      <w:pPr>
        <w:pStyle w:val="Indenta"/>
        <w:spacing w:before="100"/>
        <w:rPr>
          <w:snapToGrid w:val="0"/>
        </w:rPr>
      </w:pPr>
      <w:r>
        <w:rPr>
          <w:snapToGrid w:val="0"/>
        </w:rPr>
        <w:tab/>
        <w:t>(c)</w:t>
      </w:r>
      <w:r>
        <w:rPr>
          <w:snapToGrid w:val="0"/>
        </w:rPr>
        <w:tab/>
        <w:t>For an appeal to the Commission in</w:t>
      </w:r>
      <w:r>
        <w:rPr>
          <w:snapToGrid w:val="0"/>
        </w:rPr>
        <w:br/>
        <w:t xml:space="preserve">connection with a betting dispute........................... </w:t>
      </w:r>
      <w:r>
        <w:t>$</w:t>
      </w:r>
      <w:del w:id="55" w:author="Master Repository Process" w:date="2021-07-31T11:46:00Z">
        <w:r>
          <w:delText>161</w:delText>
        </w:r>
      </w:del>
      <w:ins w:id="56" w:author="Master Repository Process" w:date="2021-07-31T11:46:00Z">
        <w:r>
          <w:t>165</w:t>
        </w:r>
      </w:ins>
      <w:r>
        <w:rPr>
          <w:snapToGrid w:val="0"/>
        </w:rPr>
        <w:t>;</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 ............................... $4;</w:t>
      </w:r>
    </w:p>
    <w:p>
      <w:pPr>
        <w:pStyle w:val="Indenta"/>
        <w:spacing w:before="100"/>
        <w:rPr>
          <w:snapToGrid w:val="0"/>
        </w:rPr>
      </w:pPr>
      <w:r>
        <w:rPr>
          <w:snapToGrid w:val="0"/>
        </w:rPr>
        <w:tab/>
        <w:t>(e)</w:t>
      </w:r>
      <w:r>
        <w:rPr>
          <w:snapToGrid w:val="0"/>
        </w:rPr>
        <w:tab/>
        <w:t>On applying for the issue of a duplicate</w:t>
      </w:r>
      <w:r>
        <w:rPr>
          <w:snapToGrid w:val="0"/>
        </w:rPr>
        <w:br/>
        <w:t>licence....................................................................... $30;</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w:t>
      </w:r>
      <w:r>
        <w:t xml:space="preserve"> $</w:t>
      </w:r>
      <w:del w:id="57" w:author="Master Repository Process" w:date="2021-07-31T11:46:00Z">
        <w:r>
          <w:delText>649</w:delText>
        </w:r>
      </w:del>
      <w:ins w:id="58" w:author="Master Repository Process" w:date="2021-07-31T11:46:00Z">
        <w:r>
          <w:t>665</w:t>
        </w:r>
      </w:ins>
      <w:r>
        <w:rPr>
          <w:snapToGrid w:val="0"/>
        </w:rPr>
        <w:t>.</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w:t>
      </w:r>
      <w:del w:id="59" w:author="Master Repository Process" w:date="2021-07-31T11:46:00Z">
        <w:r>
          <w:delText>106</w:delText>
        </w:r>
      </w:del>
      <w:ins w:id="60" w:author="Master Repository Process" w:date="2021-07-31T11:46:00Z">
        <w:r>
          <w:t>108</w:t>
        </w:r>
      </w:ins>
      <w:r>
        <w:rPr>
          <w:snapToGrid w:val="0"/>
        </w:rPr>
        <w:t>.</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w:t>
      </w:r>
      <w:r>
        <w:t>$</w:t>
      </w:r>
      <w:del w:id="61" w:author="Master Repository Process" w:date="2021-07-31T11:46:00Z">
        <w:r>
          <w:delText>106</w:delText>
        </w:r>
      </w:del>
      <w:ins w:id="62" w:author="Master Repository Process" w:date="2021-07-31T11:46:00Z">
        <w:r>
          <w:t>108</w:t>
        </w:r>
      </w:ins>
      <w:r>
        <w:rPr>
          <w:snapToGrid w:val="0"/>
        </w:rPr>
        <w:t>.</w:t>
      </w:r>
    </w:p>
    <w:p>
      <w:pPr>
        <w:pStyle w:val="Footnotesection"/>
      </w:pPr>
      <w:r>
        <w:tab/>
        <w:t>[Regulation 17 amended in Gazette 14 Jul 1989 p. 2133; 10 Jul 1992 p. 3288; 21 Jul 1998 p. 3852; 2 Oct 2001 p. 5454; 20 Sep 2002 p. 4699; 26 Sep 2003 p. 4226; 30 Jan 2004 p. 404 and 412; 9 Jul 2004 p. 2781; 14 Oct 2005 p. 4559; 14 Nov 2006 p. 4729</w:t>
      </w:r>
      <w:r>
        <w:noBreakHyphen/>
        <w:t>30; 9 Oct 2007 p. 5348</w:t>
      </w:r>
      <w:r>
        <w:noBreakHyphen/>
        <w:t>9; 28 Oct 2008 p. 4732</w:t>
      </w:r>
      <w:r>
        <w:noBreakHyphen/>
        <w:t xml:space="preserve">3; 30 Oct 2009 p. 4312-13; 19 Nov 2010 p. 5739; 4 Nov 2011 p. 4635; 16 Nov 2012 p. 5646-7; </w:t>
      </w:r>
      <w:r>
        <w:rPr>
          <w:szCs w:val="24"/>
        </w:rPr>
        <w:t>8 Nov 2013 p.</w:t>
      </w:r>
      <w:r>
        <w:t> 4972; 14 Nov 2014 p. 4279-80</w:t>
      </w:r>
      <w:ins w:id="63" w:author="Master Repository Process" w:date="2021-07-31T11:46:00Z">
        <w:r>
          <w:t>; 6 Nov 2015 p. 4581</w:t>
        </w:r>
        <w:r>
          <w:noBreakHyphen/>
          <w:t>2</w:t>
        </w:r>
      </w:ins>
      <w:r>
        <w:t>.]</w:t>
      </w:r>
    </w:p>
    <w:p>
      <w:pPr>
        <w:pStyle w:val="Heading5"/>
        <w:spacing w:before="240"/>
        <w:rPr>
          <w:snapToGrid w:val="0"/>
        </w:rPr>
      </w:pPr>
      <w:bookmarkStart w:id="64" w:name="_Toc407692197"/>
      <w:bookmarkStart w:id="65" w:name="_Toc438111792"/>
      <w:bookmarkStart w:id="66" w:name="_Toc414962086"/>
      <w:r>
        <w:rPr>
          <w:rStyle w:val="CharSectno"/>
        </w:rPr>
        <w:t>17A</w:t>
      </w:r>
      <w:r>
        <w:rPr>
          <w:snapToGrid w:val="0"/>
        </w:rPr>
        <w:t>.</w:t>
      </w:r>
      <w:r>
        <w:rPr>
          <w:snapToGrid w:val="0"/>
        </w:rPr>
        <w:tab/>
        <w:t>Bookmakers’ annual licence fee</w:t>
      </w:r>
      <w:bookmarkEnd w:id="64"/>
      <w:bookmarkEnd w:id="65"/>
      <w:bookmarkEnd w:id="66"/>
    </w:p>
    <w:p>
      <w:pPr>
        <w:pStyle w:val="Subsection"/>
        <w:spacing w:before="180"/>
        <w:rPr>
          <w:snapToGrid w:val="0"/>
        </w:rPr>
      </w:pPr>
      <w:r>
        <w:rPr>
          <w:snapToGrid w:val="0"/>
        </w:rPr>
        <w:tab/>
        <w:t>(1)</w:t>
      </w:r>
      <w:r>
        <w:rPr>
          <w:snapToGrid w:val="0"/>
        </w:rPr>
        <w:tab/>
        <w:t>The bookmakers’ annual licence fee payable under section 13(1) shall be —</w:t>
      </w:r>
    </w:p>
    <w:p>
      <w:pPr>
        <w:pStyle w:val="Indenta"/>
        <w:rPr>
          <w:snapToGrid w:val="0"/>
        </w:rPr>
      </w:pPr>
      <w:r>
        <w:rPr>
          <w:snapToGrid w:val="0"/>
        </w:rPr>
        <w:tab/>
        <w:t>(a)</w:t>
      </w:r>
      <w:r>
        <w:rPr>
          <w:snapToGrid w:val="0"/>
        </w:rPr>
        <w:tab/>
        <w:t>paid, in respect of each assessment year commencing on 1 August and ending on 31 July, at the following rates for that year —</w:t>
      </w:r>
    </w:p>
    <w:p>
      <w:pPr>
        <w:pStyle w:val="Indenti"/>
      </w:pPr>
      <w:r>
        <w:tab/>
        <w:t>(i)</w:t>
      </w:r>
      <w:r>
        <w:tab/>
        <w:t>on total turnover not exceeding</w:t>
      </w:r>
      <w:r>
        <w:br/>
        <w:t>$250 000 ..................................................... $</w:t>
      </w:r>
      <w:del w:id="67" w:author="Master Repository Process" w:date="2021-07-31T11:46:00Z">
        <w:r>
          <w:delText>380</w:delText>
        </w:r>
      </w:del>
      <w:ins w:id="68" w:author="Master Repository Process" w:date="2021-07-31T11:46:00Z">
        <w:r>
          <w:t>389</w:t>
        </w:r>
      </w:ins>
      <w:r>
        <w:t>;</w:t>
      </w:r>
    </w:p>
    <w:p>
      <w:pPr>
        <w:pStyle w:val="Indenti"/>
      </w:pPr>
      <w:r>
        <w:tab/>
        <w:t>(ii)</w:t>
      </w:r>
      <w:r>
        <w:tab/>
        <w:t xml:space="preserve">on total turnover greater than </w:t>
      </w:r>
      <w:r>
        <w:br/>
        <w:t>$250 000 but not exceeding</w:t>
      </w:r>
      <w:r>
        <w:br/>
        <w:t>$1 000 000 .................................................. $</w:t>
      </w:r>
      <w:del w:id="69" w:author="Master Repository Process" w:date="2021-07-31T11:46:00Z">
        <w:r>
          <w:delText>774</w:delText>
        </w:r>
      </w:del>
      <w:ins w:id="70" w:author="Master Repository Process" w:date="2021-07-31T11:46:00Z">
        <w:r>
          <w:t>793</w:t>
        </w:r>
      </w:ins>
      <w:r>
        <w:t>;</w:t>
      </w:r>
    </w:p>
    <w:p>
      <w:pPr>
        <w:pStyle w:val="Indenti"/>
      </w:pPr>
      <w:r>
        <w:tab/>
        <w:t>(iii)</w:t>
      </w:r>
      <w:r>
        <w:tab/>
        <w:t>on total turnover greater than</w:t>
      </w:r>
      <w:r>
        <w:br/>
        <w:t>$1 000 000 ............................................... $1 </w:t>
      </w:r>
      <w:del w:id="71" w:author="Master Repository Process" w:date="2021-07-31T11:46:00Z">
        <w:r>
          <w:delText>161</w:delText>
        </w:r>
      </w:del>
      <w:ins w:id="72" w:author="Master Repository Process" w:date="2021-07-31T11:46:00Z">
        <w:r>
          <w:t>190</w:t>
        </w:r>
      </w:ins>
      <w: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 xml:space="preserve">[Regulation 17A inserted in Gazette 25 Jun 1996 p. 2975; amended in Gazette 10 Jul 1988 p. 3647; 21 Jul 1998 p. 3852; 26 Sep 2003 p. 4226; 30 Jan 2004 p. 412; 9 Jul 2004 p. 2781; 14 Oct 2005 p. 4559; 14 Nov 2006 p. 4730; 9 Oct 2007 p. 5349; 28 Oct 2008 p. 4733; 30 Oct 2009 p. 4313; 19 Nov 2010 p. 5740; 4 Nov 2011 p. 4636; 16 Nov 2012 p. 5647; </w:t>
      </w:r>
      <w:r>
        <w:rPr>
          <w:szCs w:val="24"/>
        </w:rPr>
        <w:t>8 Nov 2013 p. 4</w:t>
      </w:r>
      <w:r>
        <w:t>973; 14 Nov 2014 p. 4280</w:t>
      </w:r>
      <w:ins w:id="73" w:author="Master Repository Process" w:date="2021-07-31T11:46:00Z">
        <w:r>
          <w:t>; 6 Nov 2015 p. 4582</w:t>
        </w:r>
      </w:ins>
      <w:r>
        <w:t>.]</w:t>
      </w:r>
    </w:p>
    <w:p>
      <w:pPr>
        <w:pStyle w:val="Heading5"/>
        <w:rPr>
          <w:snapToGrid w:val="0"/>
        </w:rPr>
      </w:pPr>
      <w:bookmarkStart w:id="74" w:name="_Toc407692198"/>
      <w:bookmarkStart w:id="75" w:name="_Toc438111793"/>
      <w:bookmarkStart w:id="76" w:name="_Toc414962087"/>
      <w:r>
        <w:rPr>
          <w:rStyle w:val="CharSectno"/>
        </w:rPr>
        <w:t>17B</w:t>
      </w:r>
      <w:r>
        <w:rPr>
          <w:snapToGrid w:val="0"/>
        </w:rPr>
        <w:t>.</w:t>
      </w:r>
      <w:r>
        <w:rPr>
          <w:snapToGrid w:val="0"/>
        </w:rPr>
        <w:tab/>
        <w:t>On</w:t>
      </w:r>
      <w:r>
        <w:rPr>
          <w:snapToGrid w:val="0"/>
        </w:rPr>
        <w:noBreakHyphen/>
        <w:t>course totalisator annual licence fee</w:t>
      </w:r>
      <w:bookmarkEnd w:id="74"/>
      <w:bookmarkEnd w:id="75"/>
      <w:bookmarkEnd w:id="76"/>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w:t>
      </w:r>
    </w:p>
    <w:p>
      <w:pPr>
        <w:pStyle w:val="Indenta"/>
        <w:rPr>
          <w:snapToGrid w:val="0"/>
        </w:rPr>
      </w:pPr>
      <w:r>
        <w:rPr>
          <w:snapToGrid w:val="0"/>
        </w:rPr>
        <w:tab/>
        <w:t>(a)</w:t>
      </w:r>
      <w:r>
        <w:rPr>
          <w:snapToGrid w:val="0"/>
        </w:rPr>
        <w:tab/>
        <w:t>paid, in respect of each assessment year commencing on 1 August and ending on 31 July, at the following rates —</w:t>
      </w:r>
    </w:p>
    <w:p>
      <w:pPr>
        <w:pStyle w:val="Indenti"/>
      </w:pPr>
      <w:r>
        <w:tab/>
        <w:t>(i)</w:t>
      </w:r>
      <w:r>
        <w:tab/>
        <w:t>on total turnover not exceeding $10 000 — no fee;</w:t>
      </w:r>
    </w:p>
    <w:p>
      <w:pPr>
        <w:pStyle w:val="Indenti"/>
      </w:pPr>
      <w:r>
        <w:tab/>
        <w:t>(ii)</w:t>
      </w:r>
      <w:r>
        <w:tab/>
        <w:t>on total turnover greater than $10 000 but not exceeding $160 000 — $</w:t>
      </w:r>
      <w:del w:id="77" w:author="Master Repository Process" w:date="2021-07-31T11:46:00Z">
        <w:r>
          <w:delText>47</w:delText>
        </w:r>
      </w:del>
      <w:ins w:id="78" w:author="Master Repository Process" w:date="2021-07-31T11:46:00Z">
        <w:r>
          <w:t>48</w:t>
        </w:r>
      </w:ins>
      <w:r>
        <w:t>;</w:t>
      </w:r>
    </w:p>
    <w:p>
      <w:pPr>
        <w:pStyle w:val="Indenti"/>
      </w:pPr>
      <w:r>
        <w:tab/>
        <w:t>(iii)</w:t>
      </w:r>
      <w:r>
        <w:tab/>
        <w:t>on total turnover greater than $160 000 — 0.03% of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in Gazette 25 Jun 1996 p. 2976; amended in Gazette 10 Jul 1998 p. 3647; 26 Sep 2003 p. 4226; 30 Jan 2004 p. 412; 28 Apr 2006 p. 1659; 9 Oct 2007 p. 5349</w:t>
      </w:r>
      <w:r>
        <w:noBreakHyphen/>
        <w:t>50; 19 Nov 2010 p. 5740; 16 Nov 2012 p. 5647; 8 Nov 2013 p. 4973; 14 Nov 2014 p. 4280</w:t>
      </w:r>
      <w:ins w:id="79" w:author="Master Repository Process" w:date="2021-07-31T11:46:00Z">
        <w:r>
          <w:t>; 6 Nov 2015 p. 4582</w:t>
        </w:r>
      </w:ins>
      <w:r>
        <w:t>.]</w:t>
      </w:r>
    </w:p>
    <w:p>
      <w:pPr>
        <w:pStyle w:val="Heading5"/>
      </w:pPr>
      <w:bookmarkStart w:id="80" w:name="_Toc407692199"/>
      <w:bookmarkStart w:id="81" w:name="_Toc438111794"/>
      <w:bookmarkStart w:id="82" w:name="_Toc414962088"/>
      <w:r>
        <w:rPr>
          <w:rStyle w:val="CharSectno"/>
        </w:rPr>
        <w:t>17C</w:t>
      </w:r>
      <w:r>
        <w:rPr>
          <w:spacing w:val="-2"/>
        </w:rPr>
        <w:t>.</w:t>
      </w:r>
      <w:r>
        <w:rPr>
          <w:spacing w:val="-2"/>
        </w:rPr>
        <w:tab/>
      </w:r>
      <w:r>
        <w:t>Percentage of bets to belong to RWWA</w:t>
      </w:r>
      <w:bookmarkEnd w:id="80"/>
      <w:bookmarkEnd w:id="81"/>
      <w:bookmarkEnd w:id="82"/>
    </w:p>
    <w:p>
      <w:pPr>
        <w:pStyle w:val="Subsection"/>
      </w:pPr>
      <w:r>
        <w:tab/>
      </w:r>
      <w:r>
        <w:tab/>
        <w:t>For the purpose of section 17E(1)(a), the amount prescribed as the commission for a bet is —</w:t>
      </w:r>
    </w:p>
    <w:p>
      <w:pPr>
        <w:pStyle w:val="Indenta"/>
      </w:pPr>
      <w:r>
        <w:tab/>
        <w:t>(a)</w:t>
      </w:r>
      <w:r>
        <w:tab/>
        <w:t>where the totalisator is conducted on the system whereby all winning bets, for a win or a place, are deducted before the commission is deducted —</w:t>
      </w:r>
    </w:p>
    <w:p>
      <w:pPr>
        <w:pStyle w:val="Indenti"/>
      </w:pPr>
      <w:r>
        <w:tab/>
        <w:t>(i)</w:t>
      </w:r>
      <w:r>
        <w:tab/>
        <w:t>for a losing bet for a win..............20%; and</w:t>
      </w:r>
    </w:p>
    <w:p>
      <w:pPr>
        <w:pStyle w:val="Indenti"/>
      </w:pPr>
      <w:r>
        <w:tab/>
        <w:t>(ii)</w:t>
      </w:r>
      <w:r>
        <w:tab/>
        <w:t>for a losing bet for a place...........25%;</w:t>
      </w:r>
    </w:p>
    <w:p>
      <w:pPr>
        <w:pStyle w:val="Indenta"/>
      </w:pPr>
      <w:r>
        <w:tab/>
      </w:r>
      <w:r>
        <w:tab/>
        <w:t>and</w:t>
      </w:r>
    </w:p>
    <w:p>
      <w:pPr>
        <w:pStyle w:val="Indenta"/>
      </w:pPr>
      <w:r>
        <w:tab/>
        <w:t>(b)</w:t>
      </w:r>
      <w:r>
        <w:tab/>
        <w:t>for all win bets that are not pooled, 14.5% of those win bets; and</w:t>
      </w:r>
    </w:p>
    <w:p>
      <w:pPr>
        <w:pStyle w:val="Indenta"/>
      </w:pPr>
      <w:r>
        <w:tab/>
        <w:t>(ba)</w:t>
      </w:r>
      <w:r>
        <w:tab/>
        <w:t>for all place bets that are not pooled, 14.25% of those place bets; and</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in Gazette 25 Jun 1996 p. 2976</w:t>
      </w:r>
      <w:r>
        <w:noBreakHyphen/>
        <w:t>7; amended in Gazette 11 Sep 2001 p. 5001; 18 Jan 2002 p. 284; 28 Apr 2006 p. 1659; 21 Jul 2006 p. 2672.]</w:t>
      </w:r>
    </w:p>
    <w:p>
      <w:pPr>
        <w:pStyle w:val="Heading5"/>
      </w:pPr>
      <w:bookmarkStart w:id="83" w:name="_Toc407692200"/>
      <w:bookmarkStart w:id="84" w:name="_Toc438111795"/>
      <w:bookmarkStart w:id="85" w:name="_Toc414962089"/>
      <w:r>
        <w:rPr>
          <w:rStyle w:val="CharSectno"/>
        </w:rPr>
        <w:t>17D</w:t>
      </w:r>
      <w:r>
        <w:t>.</w:t>
      </w:r>
      <w:r>
        <w:tab/>
        <w:t>Percentage of bets to belong to racing club</w:t>
      </w:r>
      <w:bookmarkEnd w:id="83"/>
      <w:bookmarkEnd w:id="84"/>
      <w:bookmarkEnd w:id="85"/>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in Gazette 25 Jun 1996 p. 2977; amended in Gazette 30 Jan 2004 p. 404.]</w:t>
      </w:r>
    </w:p>
    <w:p>
      <w:pPr>
        <w:pStyle w:val="Heading2"/>
      </w:pPr>
      <w:bookmarkStart w:id="86" w:name="_Toc407692201"/>
      <w:bookmarkStart w:id="87" w:name="_Toc414961971"/>
      <w:bookmarkStart w:id="88" w:name="_Toc414962090"/>
      <w:bookmarkStart w:id="89" w:name="_Toc438111796"/>
      <w:r>
        <w:rPr>
          <w:rStyle w:val="CharPartNo"/>
        </w:rPr>
        <w:t>Part 3</w:t>
      </w:r>
      <w:r>
        <w:rPr>
          <w:b w:val="0"/>
        </w:rPr>
        <w:t> </w:t>
      </w:r>
      <w:r>
        <w:t>—</w:t>
      </w:r>
      <w:r>
        <w:rPr>
          <w:b w:val="0"/>
        </w:rPr>
        <w:t> </w:t>
      </w:r>
      <w:r>
        <w:rPr>
          <w:rStyle w:val="CharPartText"/>
        </w:rPr>
        <w:t>Provisions relating to bookmakers</w:t>
      </w:r>
      <w:bookmarkEnd w:id="86"/>
      <w:bookmarkEnd w:id="87"/>
      <w:bookmarkEnd w:id="88"/>
      <w:bookmarkEnd w:id="89"/>
    </w:p>
    <w:p>
      <w:pPr>
        <w:pStyle w:val="Footnoteheading"/>
      </w:pPr>
      <w:r>
        <w:tab/>
        <w:t>[Heading inserted in Gazette 21 Jul 2006 p. 2672.]</w:t>
      </w:r>
    </w:p>
    <w:p>
      <w:pPr>
        <w:pStyle w:val="Heading5"/>
      </w:pPr>
      <w:bookmarkStart w:id="90" w:name="_Toc407692202"/>
      <w:bookmarkStart w:id="91" w:name="_Toc438111797"/>
      <w:bookmarkStart w:id="92" w:name="_Toc414962091"/>
      <w:r>
        <w:rPr>
          <w:rStyle w:val="CharSectno"/>
        </w:rPr>
        <w:t>17E</w:t>
      </w:r>
      <w:r>
        <w:t>.</w:t>
      </w:r>
      <w:r>
        <w:tab/>
        <w:t>Levy which may be retained</w:t>
      </w:r>
      <w:bookmarkEnd w:id="90"/>
      <w:bookmarkEnd w:id="91"/>
      <w:bookmarkEnd w:id="92"/>
    </w:p>
    <w:p>
      <w:pPr>
        <w:pStyle w:val="Subsection"/>
      </w:pPr>
      <w:r>
        <w:tab/>
      </w:r>
      <w:r>
        <w:tab/>
        <w:t>For the purpose of section 15(5)(a), a racing club may retain out of the sum of bookmakers’ betting levy received by that club in respect of —</w:t>
      </w:r>
    </w:p>
    <w:p>
      <w:pPr>
        <w:pStyle w:val="Indenta"/>
      </w:pPr>
      <w:r>
        <w:tab/>
        <w:t>(a)</w:t>
      </w:r>
      <w:r>
        <w:tab/>
        <w:t>sports betting to which section 4A applies, no percentage; and</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in Gazette 25 Jun 1996 p. 2977; amended in Gazette 21 Jul 1998 p. 3854.]</w:t>
      </w:r>
    </w:p>
    <w:p>
      <w:pPr>
        <w:pStyle w:val="Heading5"/>
      </w:pPr>
      <w:bookmarkStart w:id="93" w:name="_Toc407692203"/>
      <w:bookmarkStart w:id="94" w:name="_Toc438111798"/>
      <w:bookmarkStart w:id="95" w:name="_Toc414962092"/>
      <w:r>
        <w:rPr>
          <w:rStyle w:val="CharSectno"/>
        </w:rPr>
        <w:t>18</w:t>
      </w:r>
      <w:r>
        <w:t>.</w:t>
      </w:r>
      <w:r>
        <w:tab/>
        <w:t>Security to be given</w:t>
      </w:r>
      <w:bookmarkEnd w:id="93"/>
      <w:bookmarkEnd w:id="94"/>
      <w:bookmarkEnd w:id="95"/>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200" w:type="dxa"/>
        <w:tblInd w:w="71" w:type="dxa"/>
        <w:tblLayout w:type="fixed"/>
        <w:tblCellMar>
          <w:left w:w="71" w:type="dxa"/>
          <w:right w:w="71" w:type="dxa"/>
        </w:tblCellMar>
        <w:tblLook w:val="0000" w:firstRow="0" w:lastRow="0" w:firstColumn="0" w:lastColumn="0" w:noHBand="0" w:noVBand="0"/>
      </w:tblPr>
      <w:tblGrid>
        <w:gridCol w:w="6000"/>
        <w:gridCol w:w="1200"/>
      </w:tblGrid>
      <w:tr>
        <w:tc>
          <w:tcPr>
            <w:tcW w:w="6000" w:type="dxa"/>
          </w:tcPr>
          <w:p>
            <w:pPr>
              <w:pStyle w:val="TableNAm"/>
              <w:tabs>
                <w:tab w:val="clear" w:pos="567"/>
                <w:tab w:val="right" w:pos="1249"/>
              </w:tabs>
              <w:ind w:left="1565" w:hanging="1565"/>
            </w:pPr>
            <w:r>
              <w:tab/>
              <w:t>(a)</w:t>
            </w:r>
            <w:r>
              <w:tab/>
              <w:t>for a licence endorsed for metropolitan grandstand enclosure operations with The Western Australian Turf Club......................</w:t>
            </w:r>
          </w:p>
        </w:tc>
        <w:tc>
          <w:tcPr>
            <w:tcW w:w="1200" w:type="dxa"/>
          </w:tcPr>
          <w:p>
            <w:pPr>
              <w:pStyle w:val="TableNAm"/>
              <w:ind w:right="57"/>
              <w:jc w:val="right"/>
            </w:pPr>
            <w:r>
              <w:br/>
            </w:r>
            <w:r>
              <w:br/>
              <w:t>$100 000;</w:t>
            </w:r>
          </w:p>
        </w:tc>
      </w:tr>
      <w:tr>
        <w:tc>
          <w:tcPr>
            <w:tcW w:w="6000" w:type="dxa"/>
          </w:tcPr>
          <w:p>
            <w:pPr>
              <w:pStyle w:val="TableNAm"/>
              <w:tabs>
                <w:tab w:val="clear" w:pos="567"/>
                <w:tab w:val="right" w:pos="1249"/>
              </w:tabs>
              <w:ind w:left="1565" w:hanging="1565"/>
            </w:pPr>
            <w:r>
              <w:tab/>
              <w:t>(b)</w:t>
            </w:r>
            <w:r>
              <w:tab/>
              <w:t>for a licence endorsed for metropolitan grandstand enclosure operations with the Western Australian Trotting Association.....</w:t>
            </w:r>
          </w:p>
        </w:tc>
        <w:tc>
          <w:tcPr>
            <w:tcW w:w="1200" w:type="dxa"/>
          </w:tcPr>
          <w:p>
            <w:pPr>
              <w:pStyle w:val="TableNAm"/>
              <w:ind w:right="57"/>
              <w:jc w:val="right"/>
            </w:pPr>
            <w:r>
              <w:br/>
            </w:r>
            <w:r>
              <w:br/>
              <w:t>$40 000;</w:t>
            </w:r>
          </w:p>
        </w:tc>
      </w:tr>
      <w:tr>
        <w:tc>
          <w:tcPr>
            <w:tcW w:w="6000" w:type="dxa"/>
          </w:tcPr>
          <w:p>
            <w:pPr>
              <w:pStyle w:val="TableNAm"/>
              <w:tabs>
                <w:tab w:val="clear" w:pos="567"/>
                <w:tab w:val="right" w:pos="1249"/>
              </w:tabs>
              <w:ind w:left="1565" w:hanging="1565"/>
            </w:pPr>
            <w:r>
              <w:tab/>
              <w:t>(c)</w:t>
            </w:r>
            <w:r>
              <w:tab/>
              <w:t>for a licence endorsed for metropolitan grandstand enclosure operations with the Western Australian Greyhound Racing Association...................................................</w:t>
            </w:r>
          </w:p>
        </w:tc>
        <w:tc>
          <w:tcPr>
            <w:tcW w:w="1200" w:type="dxa"/>
          </w:tcPr>
          <w:p>
            <w:pPr>
              <w:pStyle w:val="TableNAm"/>
              <w:ind w:right="57"/>
              <w:jc w:val="right"/>
            </w:pPr>
            <w:r>
              <w:br/>
            </w:r>
            <w:r>
              <w:br/>
            </w:r>
            <w:r>
              <w:br/>
              <w:t>$25 000;</w:t>
            </w:r>
          </w:p>
        </w:tc>
      </w:tr>
      <w:tr>
        <w:trPr>
          <w:cantSplit/>
        </w:trPr>
        <w:tc>
          <w:tcPr>
            <w:tcW w:w="6000" w:type="dxa"/>
          </w:tcPr>
          <w:p>
            <w:pPr>
              <w:pStyle w:val="TableNAm"/>
              <w:tabs>
                <w:tab w:val="clear" w:pos="567"/>
                <w:tab w:val="right" w:pos="1249"/>
              </w:tabs>
              <w:ind w:left="1565" w:hanging="1565"/>
            </w:pPr>
            <w:r>
              <w:tab/>
              <w:t>(d)</w:t>
            </w:r>
            <w:r>
              <w:tab/>
              <w:t>for a licence endorsed for metropolitan leger or country racecourse operations with The Western Australian Turf Club, the Western Australian Trotting Association, or the Western Australian Greyhound Racing Association...................................................</w:t>
            </w:r>
          </w:p>
        </w:tc>
        <w:tc>
          <w:tcPr>
            <w:tcW w:w="1200" w:type="dxa"/>
          </w:tcPr>
          <w:p>
            <w:pPr>
              <w:pStyle w:val="TableNAm"/>
              <w:ind w:right="57"/>
              <w:jc w:val="right"/>
            </w:pPr>
            <w:r>
              <w:br/>
            </w:r>
            <w:r>
              <w:br/>
            </w:r>
            <w:r>
              <w:br/>
            </w:r>
            <w:r>
              <w:br/>
            </w:r>
            <w:r>
              <w:br/>
              <w:t>$25 000;</w:t>
            </w:r>
          </w:p>
        </w:tc>
      </w:tr>
      <w:tr>
        <w:tc>
          <w:tcPr>
            <w:tcW w:w="6000" w:type="dxa"/>
          </w:tcPr>
          <w:p>
            <w:pPr>
              <w:pStyle w:val="TableNAm"/>
              <w:tabs>
                <w:tab w:val="clear" w:pos="567"/>
                <w:tab w:val="right" w:pos="1249"/>
              </w:tabs>
              <w:ind w:left="1565" w:hanging="1565"/>
            </w:pPr>
            <w:r>
              <w:tab/>
              <w:t>(e)</w:t>
            </w:r>
            <w:r>
              <w:tab/>
              <w:t>for a licence endorsed to authorise the conduct of sports betting or double event betting, or both.............................................</w:t>
            </w:r>
          </w:p>
        </w:tc>
        <w:tc>
          <w:tcPr>
            <w:tcW w:w="1200" w:type="dxa"/>
          </w:tcPr>
          <w:p>
            <w:pPr>
              <w:pStyle w:val="TableNAm"/>
              <w:ind w:right="57"/>
              <w:jc w:val="right"/>
            </w:pPr>
            <w:r>
              <w:br/>
            </w:r>
            <w:r>
              <w:b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Omitted under the Reprints Act 1984 s. 7(4)(e).]</w:t>
      </w:r>
    </w:p>
    <w:p>
      <w:pPr>
        <w:pStyle w:val="Footnotesection"/>
      </w:pPr>
      <w:r>
        <w:tab/>
        <w:t>[Regulation 18 amended in Gazette 24 Jun 1988 p. 2004; 10 Jul 1992 p. 3288</w:t>
      </w:r>
      <w:r>
        <w:noBreakHyphen/>
        <w:t>9; 4 Mar 1997 p. 1396 (as amended in Gazette 24 Jun 1997 p. 3014); 21 Jul 1998 p. 3854; 20 Sep 2002 p. 4699</w:t>
      </w:r>
      <w:r>
        <w:noBreakHyphen/>
        <w:t>700; 17 Dec 2002 p. 5923</w:t>
      </w:r>
      <w:r>
        <w:noBreakHyphen/>
        <w:t>4; 30 Jan 2004 p. 412.]</w:t>
      </w:r>
    </w:p>
    <w:p>
      <w:pPr>
        <w:pStyle w:val="Ednotesection"/>
      </w:pPr>
      <w:r>
        <w:t>[</w:t>
      </w:r>
      <w:r>
        <w:rPr>
          <w:b/>
        </w:rPr>
        <w:t>19</w:t>
      </w:r>
      <w:r>
        <w:rPr>
          <w:b/>
        </w:rPr>
        <w:noBreakHyphen/>
        <w:t>24.</w:t>
      </w:r>
      <w:r>
        <w:tab/>
        <w:t>Deleted in Gazette 10 Jul 1992 p. 3289.]</w:t>
      </w:r>
    </w:p>
    <w:p>
      <w:pPr>
        <w:pStyle w:val="Heading5"/>
        <w:rPr>
          <w:snapToGrid w:val="0"/>
        </w:rPr>
      </w:pPr>
      <w:bookmarkStart w:id="96" w:name="_Toc407692204"/>
      <w:bookmarkStart w:id="97" w:name="_Toc438111799"/>
      <w:bookmarkStart w:id="98" w:name="_Toc414962093"/>
      <w:r>
        <w:rPr>
          <w:rStyle w:val="CharSectno"/>
        </w:rPr>
        <w:t>25</w:t>
      </w:r>
      <w:r>
        <w:rPr>
          <w:snapToGrid w:val="0"/>
        </w:rPr>
        <w:t>.</w:t>
      </w:r>
      <w:r>
        <w:rPr>
          <w:snapToGrid w:val="0"/>
        </w:rPr>
        <w:tab/>
        <w:t>Register</w:t>
      </w:r>
      <w:bookmarkEnd w:id="96"/>
      <w:bookmarkEnd w:id="97"/>
      <w:bookmarkEnd w:id="98"/>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in Gazette 20 Sep 2002 p. 4700; 30 Jan 2004 p. 404.]</w:t>
      </w:r>
    </w:p>
    <w:p>
      <w:pPr>
        <w:pStyle w:val="Ednotesection"/>
      </w:pPr>
      <w:r>
        <w:t>[</w:t>
      </w:r>
      <w:r>
        <w:rPr>
          <w:b/>
        </w:rPr>
        <w:t>26.</w:t>
      </w:r>
      <w:r>
        <w:tab/>
        <w:t>Deleted in Gazette 10 Jul 1992 p. 3289.]</w:t>
      </w:r>
    </w:p>
    <w:p>
      <w:pPr>
        <w:pStyle w:val="Heading5"/>
        <w:rPr>
          <w:snapToGrid w:val="0"/>
        </w:rPr>
      </w:pPr>
      <w:bookmarkStart w:id="99" w:name="_Toc407692205"/>
      <w:bookmarkStart w:id="100" w:name="_Toc438111800"/>
      <w:bookmarkStart w:id="101" w:name="_Toc414962094"/>
      <w:r>
        <w:rPr>
          <w:rStyle w:val="CharSectno"/>
        </w:rPr>
        <w:t>27</w:t>
      </w:r>
      <w:r>
        <w:rPr>
          <w:snapToGrid w:val="0"/>
        </w:rPr>
        <w:t>.</w:t>
      </w:r>
      <w:r>
        <w:rPr>
          <w:snapToGrid w:val="0"/>
        </w:rPr>
        <w:tab/>
        <w:t>Change of address</w:t>
      </w:r>
      <w:bookmarkEnd w:id="99"/>
      <w:bookmarkEnd w:id="100"/>
      <w:bookmarkEnd w:id="101"/>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[Regulation 27 amended in Gazette 24 Jun 1988 p. 2004; 10 Jul 1992 p. 3286 and 3289; 25 Jun 1996 p. 2977; 20 Sep 2002 p. 4700; 30 Jan 2004 p. 412.]</w:t>
      </w:r>
    </w:p>
    <w:p>
      <w:pPr>
        <w:pStyle w:val="Heading5"/>
        <w:rPr>
          <w:snapToGrid w:val="0"/>
        </w:rPr>
      </w:pPr>
      <w:bookmarkStart w:id="102" w:name="_Toc407692206"/>
      <w:bookmarkStart w:id="103" w:name="_Toc438111801"/>
      <w:bookmarkStart w:id="104" w:name="_Toc414962095"/>
      <w:r>
        <w:rPr>
          <w:rStyle w:val="CharSectno"/>
        </w:rPr>
        <w:t>28</w:t>
      </w:r>
      <w:r>
        <w:rPr>
          <w:snapToGrid w:val="0"/>
        </w:rPr>
        <w:t>.</w:t>
      </w:r>
      <w:r>
        <w:rPr>
          <w:snapToGrid w:val="0"/>
        </w:rPr>
        <w:tab/>
        <w:t>Return of licence</w:t>
      </w:r>
      <w:bookmarkEnd w:id="102"/>
      <w:bookmarkEnd w:id="103"/>
      <w:bookmarkEnd w:id="104"/>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in Gazette 24 Jun 1988 p. 2004; 10 Jul 1992 p. 3286 and 3289; 20 Sep 2002 p. 4700</w:t>
      </w:r>
      <w:r>
        <w:noBreakHyphen/>
        <w:t>1; 30 Jan 2004 p. 404 and 412.]</w:t>
      </w:r>
    </w:p>
    <w:p>
      <w:pPr>
        <w:pStyle w:val="Heading5"/>
        <w:spacing w:before="180"/>
        <w:rPr>
          <w:snapToGrid w:val="0"/>
        </w:rPr>
      </w:pPr>
      <w:bookmarkStart w:id="105" w:name="_Toc407692207"/>
      <w:bookmarkStart w:id="106" w:name="_Toc438111802"/>
      <w:bookmarkStart w:id="107" w:name="_Toc414962096"/>
      <w:r>
        <w:rPr>
          <w:rStyle w:val="CharSectno"/>
        </w:rPr>
        <w:t>29</w:t>
      </w:r>
      <w:r>
        <w:rPr>
          <w:snapToGrid w:val="0"/>
        </w:rPr>
        <w:t>.</w:t>
      </w:r>
      <w:r>
        <w:rPr>
          <w:snapToGrid w:val="0"/>
        </w:rPr>
        <w:tab/>
        <w:t>Production of licence</w:t>
      </w:r>
      <w:bookmarkEnd w:id="105"/>
      <w:bookmarkEnd w:id="106"/>
      <w:bookmarkEnd w:id="107"/>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[Regulation 29 amended in Gazette 24 Jun 1988 p. 2004; 10 Jul 1992 p. 3286 and 3289; 20 Sep 2002 p. 4701; 30 Jan 2004 p. 405 and 412.]</w:t>
      </w:r>
    </w:p>
    <w:p>
      <w:pPr>
        <w:pStyle w:val="Heading5"/>
        <w:spacing w:before="180"/>
        <w:rPr>
          <w:snapToGrid w:val="0"/>
        </w:rPr>
      </w:pPr>
      <w:bookmarkStart w:id="108" w:name="_Toc407692208"/>
      <w:bookmarkStart w:id="109" w:name="_Toc438111803"/>
      <w:bookmarkStart w:id="110" w:name="_Toc414962097"/>
      <w:r>
        <w:rPr>
          <w:rStyle w:val="CharSectno"/>
        </w:rPr>
        <w:t>30</w:t>
      </w:r>
      <w:r>
        <w:rPr>
          <w:snapToGrid w:val="0"/>
        </w:rPr>
        <w:t>.</w:t>
      </w:r>
      <w:r>
        <w:rPr>
          <w:snapToGrid w:val="0"/>
        </w:rPr>
        <w:tab/>
        <w:t>Advertising</w:t>
      </w:r>
      <w:bookmarkEnd w:id="108"/>
      <w:bookmarkEnd w:id="109"/>
      <w:bookmarkEnd w:id="110"/>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[Regulation 30 inserted in Gazette 12 Aug 1983 p. 2918; amended in Gazette 10 Jul 1992 p. 3289; 13 Oct 2000 p. 5726; 20 Sep 2002 p. 4701.]</w:t>
      </w:r>
    </w:p>
    <w:p>
      <w:pPr>
        <w:pStyle w:val="Ednotesection"/>
        <w:spacing w:before="160"/>
        <w:ind w:left="890" w:hanging="890"/>
      </w:pPr>
      <w:r>
        <w:t>[</w:t>
      </w:r>
      <w:r>
        <w:rPr>
          <w:b/>
        </w:rPr>
        <w:t>31</w:t>
      </w:r>
      <w:r>
        <w:rPr>
          <w:b/>
        </w:rPr>
        <w:noBreakHyphen/>
        <w:t>35.</w:t>
      </w:r>
      <w:r>
        <w:tab/>
        <w:t>Deleted in Gazette 10 Jul 1992 p. 3289.]</w:t>
      </w:r>
    </w:p>
    <w:p>
      <w:pPr>
        <w:pStyle w:val="Heading5"/>
        <w:rPr>
          <w:snapToGrid w:val="0"/>
        </w:rPr>
      </w:pPr>
      <w:bookmarkStart w:id="111" w:name="_Toc407692209"/>
      <w:bookmarkStart w:id="112" w:name="_Toc438111804"/>
      <w:bookmarkStart w:id="113" w:name="_Toc414962098"/>
      <w:r>
        <w:rPr>
          <w:rStyle w:val="CharSectno"/>
        </w:rPr>
        <w:t>36</w:t>
      </w:r>
      <w:r>
        <w:rPr>
          <w:snapToGrid w:val="0"/>
        </w:rPr>
        <w:t>.</w:t>
      </w:r>
      <w:r>
        <w:rPr>
          <w:snapToGrid w:val="0"/>
        </w:rPr>
        <w:tab/>
        <w:t>Betting tickets</w:t>
      </w:r>
      <w:bookmarkEnd w:id="111"/>
      <w:bookmarkEnd w:id="112"/>
      <w:bookmarkEnd w:id="113"/>
    </w:p>
    <w:p>
      <w:pPr>
        <w:pStyle w:val="Subsection"/>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pPr>
      <w:r>
        <w:tab/>
        <w:t>[(2)</w:t>
      </w:r>
      <w:r>
        <w:tab/>
        <w:t>deleted]</w:t>
      </w:r>
    </w:p>
    <w:p>
      <w:pPr>
        <w:pStyle w:val="Subsection"/>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rPr>
          <w:snapToGrid w:val="0"/>
        </w:rPr>
      </w:pPr>
      <w:r>
        <w:rPr>
          <w:snapToGrid w:val="0"/>
        </w:rPr>
        <w:tab/>
        <w:t>(5)</w:t>
      </w:r>
      <w:r>
        <w:rPr>
          <w:snapToGrid w:val="0"/>
        </w:rPr>
        <w:tab/>
        <w:t>Betting tickets shall —</w:t>
      </w:r>
    </w:p>
    <w:p>
      <w:pPr>
        <w:pStyle w:val="Indenta"/>
        <w:rPr>
          <w:snapToGrid w:val="0"/>
        </w:rPr>
      </w:pPr>
      <w:r>
        <w:rPr>
          <w:snapToGrid w:val="0"/>
        </w:rPr>
        <w:tab/>
        <w:t>(a)</w:t>
      </w:r>
      <w:r>
        <w:rPr>
          <w:snapToGrid w:val="0"/>
        </w:rPr>
        <w:tab/>
        <w:t>bear consecutive numbers, and be issued in consecutive order; and</w:t>
      </w:r>
    </w:p>
    <w:p>
      <w:pPr>
        <w:pStyle w:val="Indenta"/>
        <w:rPr>
          <w:snapToGrid w:val="0"/>
        </w:rPr>
      </w:pPr>
      <w:r>
        <w:rPr>
          <w:snapToGrid w:val="0"/>
        </w:rPr>
        <w:tab/>
        <w:t>(b)</w:t>
      </w:r>
      <w:r>
        <w:rPr>
          <w:snapToGrid w:val="0"/>
        </w:rPr>
        <w:tab/>
        <w:t>be provided for the use of a bookmaker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if the record of betting is to be made using a computer, by that bookmaker in a form, size and colour approved by the Commission;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keepNext/>
        <w:keepLines/>
        <w:rPr>
          <w:snapToGrid w:val="0"/>
        </w:rPr>
      </w:pPr>
      <w:r>
        <w:rPr>
          <w:snapToGrid w:val="0"/>
        </w:rPr>
        <w:tab/>
        <w:t>(6)</w:t>
      </w:r>
      <w:r>
        <w:rPr>
          <w:snapToGrid w:val="0"/>
        </w:rPr>
        <w:tab/>
        <w:t>A bookmaker who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This regulation applies to a partnership that is a bookmaker as if the partnership were a person, but it applies with the following changes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in Gazette 12 Aug 1983 p. 2918; 14 Feb 1992 p. 859</w:t>
      </w:r>
      <w:r>
        <w:noBreakHyphen/>
        <w:t>60; 10 Jul 1992 p. 3289</w:t>
      </w:r>
      <w:r>
        <w:noBreakHyphen/>
        <w:t>90; 25 Jun 1996 p. 2977; 13 Oct 2000 p. 5726; 20 Sep 2002 p. 4701</w:t>
      </w:r>
      <w:r>
        <w:noBreakHyphen/>
        <w:t>2; 30 Jan 2004 p. 412.]</w:t>
      </w:r>
    </w:p>
    <w:p>
      <w:pPr>
        <w:pStyle w:val="Heading5"/>
        <w:rPr>
          <w:snapToGrid w:val="0"/>
        </w:rPr>
      </w:pPr>
      <w:bookmarkStart w:id="114" w:name="_Toc407692210"/>
      <w:bookmarkStart w:id="115" w:name="_Toc438111805"/>
      <w:bookmarkStart w:id="116" w:name="_Toc414962099"/>
      <w:r>
        <w:rPr>
          <w:rStyle w:val="CharSectno"/>
        </w:rPr>
        <w:t>37</w:t>
      </w:r>
      <w:r>
        <w:rPr>
          <w:snapToGrid w:val="0"/>
        </w:rPr>
        <w:t>.</w:t>
      </w:r>
      <w:r>
        <w:rPr>
          <w:snapToGrid w:val="0"/>
        </w:rPr>
        <w:tab/>
        <w:t>Written record of betting transactions</w:t>
      </w:r>
      <w:bookmarkEnd w:id="114"/>
      <w:bookmarkEnd w:id="115"/>
      <w:bookmarkEnd w:id="116"/>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w:t>
      </w:r>
    </w:p>
    <w:p>
      <w:pPr>
        <w:pStyle w:val="Indenta"/>
        <w:rPr>
          <w:snapToGrid w:val="0"/>
        </w:rPr>
      </w:pPr>
      <w:r>
        <w:rPr>
          <w:snapToGrid w:val="0"/>
        </w:rPr>
        <w:tab/>
        <w:t>(a)</w:t>
      </w:r>
      <w:r>
        <w:rPr>
          <w:snapToGrid w:val="0"/>
        </w:rPr>
        <w:tab/>
        <w:t xml:space="preserve">the name of the bookmaker; </w:t>
      </w:r>
    </w:p>
    <w:p>
      <w:pPr>
        <w:pStyle w:val="Indenta"/>
        <w:rPr>
          <w:snapToGrid w:val="0"/>
        </w:rPr>
      </w:pPr>
      <w:r>
        <w:rPr>
          <w:snapToGrid w:val="0"/>
        </w:rPr>
        <w:tab/>
        <w:t>(b)</w:t>
      </w:r>
      <w:r>
        <w:rPr>
          <w:snapToGrid w:val="0"/>
        </w:rPr>
        <w:tab/>
        <w:t xml:space="preserve">the name of the racecourse; </w:t>
      </w:r>
    </w:p>
    <w:p>
      <w:pPr>
        <w:pStyle w:val="Indenta"/>
        <w:rPr>
          <w:snapToGrid w:val="0"/>
        </w:rPr>
      </w:pPr>
      <w:r>
        <w:rPr>
          <w:snapToGrid w:val="0"/>
        </w:rPr>
        <w:tab/>
        <w:t>(c)</w:t>
      </w:r>
      <w:r>
        <w:rPr>
          <w:snapToGrid w:val="0"/>
        </w:rPr>
        <w:tab/>
        <w:t xml:space="preserve">the date of the meeting; </w:t>
      </w:r>
    </w:p>
    <w:p>
      <w:pPr>
        <w:pStyle w:val="Indenta"/>
        <w:rPr>
          <w:snapToGrid w:val="0"/>
        </w:rPr>
      </w:pPr>
      <w:r>
        <w:rPr>
          <w:snapToGrid w:val="0"/>
        </w:rPr>
        <w:tab/>
        <w:t>(d)</w:t>
      </w:r>
      <w:r>
        <w:rPr>
          <w:snapToGrid w:val="0"/>
        </w:rPr>
        <w:tab/>
        <w:t xml:space="preserve">where appropriate, the race number; </w:t>
      </w:r>
    </w:p>
    <w:p>
      <w:pPr>
        <w:pStyle w:val="Indenta"/>
        <w:rPr>
          <w:snapToGrid w:val="0"/>
        </w:rPr>
      </w:pPr>
      <w:r>
        <w:rPr>
          <w:snapToGrid w:val="0"/>
        </w:rPr>
        <w:tab/>
        <w:t>(e)</w:t>
      </w:r>
      <w:r>
        <w:rPr>
          <w:snapToGrid w:val="0"/>
        </w:rPr>
        <w:tab/>
        <w:t xml:space="preserve">the number of the betting ticket; </w:t>
      </w:r>
    </w:p>
    <w:p>
      <w:pPr>
        <w:pStyle w:val="Indenta"/>
        <w:rPr>
          <w:snapToGrid w:val="0"/>
        </w:rPr>
      </w:pPr>
      <w:r>
        <w:rPr>
          <w:snapToGrid w:val="0"/>
        </w:rPr>
        <w:tab/>
        <w:t>(f)</w:t>
      </w:r>
      <w:r>
        <w:rPr>
          <w:snapToGrid w:val="0"/>
        </w:rPr>
        <w:tab/>
        <w:t xml:space="preserve">the name of the runner, or the nature of the event or contingency, on which the bet is made; </w:t>
      </w:r>
    </w:p>
    <w:p>
      <w:pPr>
        <w:pStyle w:val="Indenta"/>
        <w:rPr>
          <w:snapToGrid w:val="0"/>
        </w:rPr>
      </w:pPr>
      <w:r>
        <w:rPr>
          <w:snapToGrid w:val="0"/>
        </w:rPr>
        <w:tab/>
        <w:t>(g)</w:t>
      </w:r>
      <w:r>
        <w:rPr>
          <w:snapToGrid w:val="0"/>
        </w:rPr>
        <w:tab/>
        <w:t xml:space="preserve">the kind of bet made, in sufficient detail to identify the bet; </w:t>
      </w:r>
    </w:p>
    <w:p>
      <w:pPr>
        <w:pStyle w:val="Indenta"/>
      </w:pPr>
      <w:r>
        <w:tab/>
        <w:t>(h)</w:t>
      </w:r>
      <w:r>
        <w:tab/>
        <w:t xml:space="preserve">the amount of the bet and the odds at which it was made or the method by which the odds will be calculated (if the odds are not known); </w:t>
      </w:r>
    </w:p>
    <w:p>
      <w:pPr>
        <w:pStyle w:val="Indenta"/>
        <w:rPr>
          <w:snapToGrid w:val="0"/>
        </w:rPr>
      </w:pPr>
      <w:r>
        <w:rPr>
          <w:snapToGrid w:val="0"/>
        </w:rPr>
        <w:tab/>
        <w:t>(j)</w:t>
      </w:r>
      <w:r>
        <w:rPr>
          <w:snapToGrid w:val="0"/>
        </w:rPr>
        <w:tab/>
        <w:t xml:space="preserve">where the bet is not made for cash, the name of the person with whom the bet is made; </w:t>
      </w:r>
    </w:p>
    <w:p>
      <w:pPr>
        <w:pStyle w:val="Indenta"/>
        <w:rPr>
          <w:snapToGrid w:val="0"/>
        </w:rPr>
      </w:pPr>
      <w:r>
        <w:rPr>
          <w:snapToGrid w:val="0"/>
        </w:rPr>
        <w:tab/>
        <w:t>(k)</w:t>
      </w:r>
      <w:r>
        <w:rPr>
          <w:snapToGrid w:val="0"/>
        </w:rPr>
        <w:tab/>
        <w:t xml:space="preserve">where the bet is on a sporting event, such other particulars as are specified in an approval under section 4B approving the conduct of betting; </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pPr>
      <w:r>
        <w:tab/>
        <w:t>(2A)</w:t>
      </w:r>
      <w:r>
        <w:tab/>
        <w:t>For the purposes of subregulation (1)(j) —</w:t>
      </w:r>
    </w:p>
    <w:p>
      <w:pPr>
        <w:pStyle w:val="Indenta"/>
      </w:pPr>
      <w:r>
        <w:tab/>
        <w:t>(a)</w:t>
      </w:r>
      <w:r>
        <w:tab/>
        <w:t>if a person (agent) makes a bet for or on behalf of another person (principal), the principal is the person with whom the bet is made; and</w:t>
      </w:r>
    </w:p>
    <w:p>
      <w:pPr>
        <w:pStyle w:val="Indenta"/>
      </w:pPr>
      <w:r>
        <w:tab/>
        <w:t>(b)</w:t>
      </w:r>
      <w:r>
        <w:tab/>
        <w:t>if a bet is received by way of internet betting, the requirement to name the person with whom the bet was made is not satisfied by stating —</w:t>
      </w:r>
    </w:p>
    <w:p>
      <w:pPr>
        <w:pStyle w:val="Indenti"/>
      </w:pPr>
      <w:r>
        <w:tab/>
        <w:t>(i)</w:t>
      </w:r>
      <w:r>
        <w:tab/>
        <w:t>that the bet was received via the internet; or</w:t>
      </w:r>
    </w:p>
    <w:p>
      <w:pPr>
        <w:pStyle w:val="Indenti"/>
      </w:pPr>
      <w:r>
        <w:tab/>
        <w:t>(ii)</w:t>
      </w:r>
      <w:r>
        <w:tab/>
        <w:t>the name the internet betting system used to place that bet.</w:t>
      </w:r>
    </w:p>
    <w:p>
      <w:pPr>
        <w:pStyle w:val="Subsection"/>
        <w:keepNext/>
        <w:rPr>
          <w:snapToGrid w:val="0"/>
        </w:rPr>
      </w:pPr>
      <w:r>
        <w:rPr>
          <w:snapToGrid w:val="0"/>
        </w:rPr>
        <w:tab/>
        <w:t>(2)</w:t>
      </w:r>
      <w:r>
        <w:rPr>
          <w:snapToGrid w:val="0"/>
        </w:rPr>
        <w:tab/>
        <w:t>The details of the amount of the bet may be shown in either of the following ways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pPr>
      <w:r>
        <w:tab/>
        <w:t>(3A)</w:t>
      </w:r>
      <w:r>
        <w:tab/>
        <w:t>For the purposes of subregulation (2)(a) if the odds are not known at the time the bet is made, the method by which the odds will be calculated must be recorded.</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w:t>
      </w:r>
    </w:p>
    <w:p>
      <w:pPr>
        <w:pStyle w:val="Indenta"/>
        <w:rPr>
          <w:snapToGrid w:val="0"/>
        </w:rPr>
      </w:pPr>
      <w:r>
        <w:rPr>
          <w:snapToGrid w:val="0"/>
        </w:rPr>
        <w:tab/>
        <w:t>(a)</w:t>
      </w:r>
      <w:r>
        <w:rPr>
          <w:snapToGrid w:val="0"/>
        </w:rPr>
        <w:tab/>
        <w:t>to facilitate the recording of bets; and</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w:t>
      </w:r>
    </w:p>
    <w:p>
      <w:pPr>
        <w:pStyle w:val="Indenta"/>
        <w:rPr>
          <w:snapToGrid w:val="0"/>
        </w:rPr>
      </w:pPr>
      <w:r>
        <w:rPr>
          <w:snapToGrid w:val="0"/>
        </w:rPr>
        <w:tab/>
        <w:t>(a)</w:t>
      </w:r>
      <w:r>
        <w:rPr>
          <w:snapToGrid w:val="0"/>
        </w:rPr>
        <w:tab/>
        <w:t>such conditions as to —</w:t>
      </w:r>
    </w:p>
    <w:p>
      <w:pPr>
        <w:pStyle w:val="Indenti"/>
        <w:rPr>
          <w:snapToGrid w:val="0"/>
        </w:rPr>
      </w:pPr>
      <w:r>
        <w:rPr>
          <w:snapToGrid w:val="0"/>
        </w:rPr>
        <w:tab/>
        <w:t>(i)</w:t>
      </w:r>
      <w:r>
        <w:rPr>
          <w:snapToGrid w:val="0"/>
        </w:rPr>
        <w:tab/>
        <w:t>the use of; and</w:t>
      </w:r>
    </w:p>
    <w:p>
      <w:pPr>
        <w:pStyle w:val="Indenti"/>
        <w:rPr>
          <w:snapToGrid w:val="0"/>
        </w:rPr>
      </w:pPr>
      <w:r>
        <w:rPr>
          <w:snapToGrid w:val="0"/>
        </w:rPr>
        <w:tab/>
        <w:t>(ii)</w:t>
      </w:r>
      <w:r>
        <w:rPr>
          <w:snapToGrid w:val="0"/>
        </w:rPr>
        <w:tab/>
        <w:t>the time or circumstances of the use of; and</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rPr>
          <w:snapToGrid w:val="0"/>
        </w:rPr>
      </w:pPr>
      <w:r>
        <w:rPr>
          <w:snapToGrid w:val="0"/>
        </w:rPr>
        <w:tab/>
      </w:r>
      <w:r>
        <w:rPr>
          <w:snapToGrid w:val="0"/>
        </w:rPr>
        <w:tab/>
        <w:t>that computer as the Commission specifies in that approval may be imposed; and</w:t>
      </w:r>
    </w:p>
    <w:p>
      <w:pPr>
        <w:pStyle w:val="Indenta"/>
        <w:keepNext/>
        <w:keepLines/>
        <w:rPr>
          <w:snapToGrid w:val="0"/>
        </w:rPr>
      </w:pPr>
      <w:r>
        <w:rPr>
          <w:snapToGrid w:val="0"/>
        </w:rPr>
        <w:tab/>
        <w:t>(b)</w:t>
      </w:r>
      <w:r>
        <w:rPr>
          <w:snapToGrid w:val="0"/>
        </w:rPr>
        <w:tab/>
        <w:t>the Commission, at any time by notice in writing given to the bookmaker, may —</w:t>
      </w:r>
    </w:p>
    <w:p>
      <w:pPr>
        <w:pStyle w:val="Indenti"/>
        <w:spacing w:before="60"/>
        <w:rPr>
          <w:snapToGrid w:val="0"/>
        </w:rPr>
      </w:pPr>
      <w:r>
        <w:rPr>
          <w:snapToGrid w:val="0"/>
        </w:rPr>
        <w:tab/>
        <w:t>(i)</w:t>
      </w:r>
      <w:r>
        <w:rPr>
          <w:snapToGrid w:val="0"/>
        </w:rPr>
        <w:tab/>
        <w:t>cancel or vary a condition imposed; or</w:t>
      </w:r>
    </w:p>
    <w:p>
      <w:pPr>
        <w:pStyle w:val="Indenti"/>
        <w:spacing w:before="60"/>
        <w:rPr>
          <w:snapToGrid w:val="0"/>
        </w:rPr>
      </w:pPr>
      <w:r>
        <w:rPr>
          <w:snapToGrid w:val="0"/>
        </w:rPr>
        <w:tab/>
        <w:t>(ii)</w:t>
      </w:r>
      <w:r>
        <w:rPr>
          <w:snapToGrid w:val="0"/>
        </w:rPr>
        <w:tab/>
        <w:t>withdraw the approval.</w:t>
      </w:r>
    </w:p>
    <w:p>
      <w:pPr>
        <w:pStyle w:val="Footnotesection"/>
        <w:spacing w:before="100"/>
        <w:ind w:left="890" w:hanging="890"/>
      </w:pPr>
      <w:r>
        <w:tab/>
        <w:t>[Regulation 37 inserted in Gazette 14 Feb 1992 p. 860</w:t>
      </w:r>
      <w:r>
        <w:noBreakHyphen/>
        <w:t>1; amended in Gazette 25 Jun 1996 p. 2977; 21 Jul 1998 p. 3853 and 3855; 2 Oct 2001 p. 5455; 30 Jan 2004 p. 412; 25 Sep 2009 p. 3752; 29 Nov 2013 p. 5467.]</w:t>
      </w:r>
    </w:p>
    <w:p>
      <w:pPr>
        <w:pStyle w:val="Heading5"/>
        <w:rPr>
          <w:snapToGrid w:val="0"/>
        </w:rPr>
      </w:pPr>
      <w:bookmarkStart w:id="117" w:name="_Toc407692211"/>
      <w:bookmarkStart w:id="118" w:name="_Toc438111806"/>
      <w:bookmarkStart w:id="119" w:name="_Toc414962100"/>
      <w:r>
        <w:rPr>
          <w:rStyle w:val="CharSectno"/>
        </w:rPr>
        <w:t>38</w:t>
      </w:r>
      <w:r>
        <w:rPr>
          <w:snapToGrid w:val="0"/>
        </w:rPr>
        <w:t>.</w:t>
      </w:r>
      <w:r>
        <w:rPr>
          <w:snapToGrid w:val="0"/>
        </w:rPr>
        <w:tab/>
        <w:t>Supply of books</w:t>
      </w:r>
      <w:bookmarkEnd w:id="117"/>
      <w:bookmarkEnd w:id="118"/>
      <w:bookmarkEnd w:id="119"/>
    </w:p>
    <w:p>
      <w:pPr>
        <w:pStyle w:val="Subsection"/>
        <w:spacing w:before="140"/>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spacing w:before="100"/>
        <w:ind w:left="890" w:hanging="890"/>
      </w:pPr>
      <w:r>
        <w:tab/>
        <w:t>[Regulation 38 amended in Gazette 10 Jul 1992 p. 3290; 25 Jun 1996 p. 2977; 30 Jan 2004 p. 412.]</w:t>
      </w:r>
    </w:p>
    <w:p>
      <w:pPr>
        <w:pStyle w:val="Heading5"/>
        <w:rPr>
          <w:snapToGrid w:val="0"/>
        </w:rPr>
      </w:pPr>
      <w:bookmarkStart w:id="120" w:name="_Toc407692212"/>
      <w:bookmarkStart w:id="121" w:name="_Toc438111807"/>
      <w:bookmarkStart w:id="122" w:name="_Toc414962101"/>
      <w:r>
        <w:rPr>
          <w:rStyle w:val="CharSectno"/>
        </w:rPr>
        <w:t>39</w:t>
      </w:r>
      <w:r>
        <w:rPr>
          <w:snapToGrid w:val="0"/>
        </w:rPr>
        <w:t>.</w:t>
      </w:r>
      <w:r>
        <w:rPr>
          <w:snapToGrid w:val="0"/>
        </w:rPr>
        <w:tab/>
        <w:t>Loss of books etc.</w:t>
      </w:r>
      <w:bookmarkEnd w:id="120"/>
      <w:bookmarkEnd w:id="121"/>
      <w:bookmarkEnd w:id="122"/>
    </w:p>
    <w:p>
      <w:pPr>
        <w:pStyle w:val="Subsection"/>
        <w:spacing w:before="140"/>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spacing w:before="100"/>
        <w:ind w:left="890" w:hanging="890"/>
      </w:pPr>
      <w:r>
        <w:tab/>
        <w:t>[Regulation 39 amended in Gazette 14 Feb 1992 p. 861; 25 Jun 1996 p. 2977; 30 Jan 2004 p. 412.]</w:t>
      </w:r>
    </w:p>
    <w:p>
      <w:pPr>
        <w:pStyle w:val="Ednotesection"/>
        <w:spacing w:before="180"/>
        <w:ind w:left="890" w:hanging="890"/>
      </w:pPr>
      <w:r>
        <w:t>[</w:t>
      </w:r>
      <w:r>
        <w:rPr>
          <w:b/>
        </w:rPr>
        <w:t>40</w:t>
      </w:r>
      <w:r>
        <w:rPr>
          <w:b/>
        </w:rPr>
        <w:noBreakHyphen/>
        <w:t>42.</w:t>
      </w:r>
      <w:r>
        <w:tab/>
        <w:t>Deleted in Gazette 10 Jul 1992 p. 3290.]</w:t>
      </w:r>
    </w:p>
    <w:p>
      <w:pPr>
        <w:pStyle w:val="Heading5"/>
        <w:spacing w:before="180"/>
        <w:rPr>
          <w:snapToGrid w:val="0"/>
        </w:rPr>
      </w:pPr>
      <w:bookmarkStart w:id="123" w:name="_Toc407692213"/>
      <w:bookmarkStart w:id="124" w:name="_Toc438111808"/>
      <w:bookmarkStart w:id="125" w:name="_Toc414962102"/>
      <w:r>
        <w:rPr>
          <w:rStyle w:val="CharSectno"/>
        </w:rPr>
        <w:t>43</w:t>
      </w:r>
      <w:r>
        <w:rPr>
          <w:snapToGrid w:val="0"/>
        </w:rPr>
        <w:t>.</w:t>
      </w:r>
      <w:r>
        <w:rPr>
          <w:snapToGrid w:val="0"/>
        </w:rPr>
        <w:tab/>
        <w:t>Betting material</w:t>
      </w:r>
      <w:bookmarkEnd w:id="123"/>
      <w:bookmarkEnd w:id="124"/>
      <w:bookmarkEnd w:id="125"/>
    </w:p>
    <w:p>
      <w:pPr>
        <w:pStyle w:val="Ednotesubsection"/>
        <w:spacing w:before="140"/>
      </w:pPr>
      <w:r>
        <w:tab/>
        <w:t>[(1)</w:t>
      </w:r>
      <w:r>
        <w:tab/>
        <w:t>deleted]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[Regulation 43 amended in Gazette 10 Jul 1992 p. 3290; 20 Sep 2002 p. 4702; 30 Jan 2004 p. 412.]</w:t>
      </w:r>
    </w:p>
    <w:p>
      <w:pPr>
        <w:pStyle w:val="Ednotesection"/>
        <w:spacing w:before="180"/>
      </w:pPr>
      <w:r>
        <w:t>[</w:t>
      </w:r>
      <w:r>
        <w:rPr>
          <w:b/>
        </w:rPr>
        <w:t>44</w:t>
      </w:r>
      <w:r>
        <w:rPr>
          <w:b/>
        </w:rPr>
        <w:noBreakHyphen/>
        <w:t>47.</w:t>
      </w:r>
      <w:r>
        <w:tab/>
        <w:t>Deleted in Gazette 10 Jul 1992 p. 3290.]</w:t>
      </w:r>
    </w:p>
    <w:p>
      <w:pPr>
        <w:pStyle w:val="Heading5"/>
        <w:spacing w:before="180"/>
        <w:rPr>
          <w:snapToGrid w:val="0"/>
        </w:rPr>
      </w:pPr>
      <w:bookmarkStart w:id="126" w:name="_Toc407692214"/>
      <w:bookmarkStart w:id="127" w:name="_Toc438111809"/>
      <w:bookmarkStart w:id="128" w:name="_Toc414962103"/>
      <w:r>
        <w:rPr>
          <w:rStyle w:val="CharSectno"/>
        </w:rPr>
        <w:t>48</w:t>
      </w:r>
      <w:r>
        <w:rPr>
          <w:snapToGrid w:val="0"/>
        </w:rPr>
        <w:t>.</w:t>
      </w:r>
      <w:r>
        <w:rPr>
          <w:snapToGrid w:val="0"/>
        </w:rPr>
        <w:tab/>
        <w:t>Rules of Betting</w:t>
      </w:r>
      <w:bookmarkEnd w:id="126"/>
      <w:bookmarkEnd w:id="127"/>
      <w:bookmarkEnd w:id="128"/>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in Gazette 30 Jan 2004 p. 405.]</w:t>
      </w:r>
    </w:p>
    <w:p>
      <w:pPr>
        <w:pStyle w:val="Heading5"/>
      </w:pPr>
      <w:bookmarkStart w:id="129" w:name="_Toc407692215"/>
      <w:bookmarkStart w:id="130" w:name="_Toc438111810"/>
      <w:bookmarkStart w:id="131" w:name="_Toc414962104"/>
      <w:r>
        <w:rPr>
          <w:rStyle w:val="CharSectno"/>
        </w:rPr>
        <w:t>48A</w:t>
      </w:r>
      <w:r>
        <w:t>.</w:t>
      </w:r>
      <w:r>
        <w:tab/>
        <w:t>Minimum bet obligations</w:t>
      </w:r>
      <w:bookmarkEnd w:id="129"/>
      <w:bookmarkEnd w:id="130"/>
      <w:bookmarkEnd w:id="131"/>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in Gazette 30 Jan 2004 p. 405.]</w:t>
      </w:r>
    </w:p>
    <w:p>
      <w:pPr>
        <w:pStyle w:val="Heading5"/>
      </w:pPr>
      <w:bookmarkStart w:id="132" w:name="_Toc407692216"/>
      <w:bookmarkStart w:id="133" w:name="_Toc438111811"/>
      <w:bookmarkStart w:id="134" w:name="_Toc414962105"/>
      <w:r>
        <w:rPr>
          <w:rStyle w:val="CharSectno"/>
        </w:rPr>
        <w:t>49</w:t>
      </w:r>
      <w:r>
        <w:t>.</w:t>
      </w:r>
      <w:r>
        <w:tab/>
        <w:t>Bets on more than one result</w:t>
      </w:r>
      <w:bookmarkEnd w:id="132"/>
      <w:bookmarkEnd w:id="133"/>
      <w:bookmarkEnd w:id="134"/>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in Gazette 21 Jul 1998 p. 3853.]</w:t>
      </w:r>
    </w:p>
    <w:p>
      <w:pPr>
        <w:pStyle w:val="Heading5"/>
      </w:pPr>
      <w:bookmarkStart w:id="135" w:name="_Toc407692217"/>
      <w:bookmarkStart w:id="136" w:name="_Toc438111812"/>
      <w:bookmarkStart w:id="137" w:name="_Toc414962106"/>
      <w:r>
        <w:rPr>
          <w:rStyle w:val="CharSectno"/>
        </w:rPr>
        <w:t>50</w:t>
      </w:r>
      <w:r>
        <w:t>.</w:t>
      </w:r>
      <w:r>
        <w:tab/>
        <w:t>Permitted bets</w:t>
      </w:r>
      <w:bookmarkEnd w:id="135"/>
      <w:bookmarkEnd w:id="136"/>
      <w:bookmarkEnd w:id="137"/>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in Gazette 21 Jul 1998 p. 3853; amended in Gazette 30 Jan 2004 p. 405.]</w:t>
      </w:r>
    </w:p>
    <w:p>
      <w:pPr>
        <w:pStyle w:val="Heading5"/>
        <w:rPr>
          <w:snapToGrid w:val="0"/>
        </w:rPr>
      </w:pPr>
      <w:bookmarkStart w:id="138" w:name="_Toc407692218"/>
      <w:bookmarkStart w:id="139" w:name="_Toc438111813"/>
      <w:bookmarkStart w:id="140" w:name="_Toc414962107"/>
      <w:r>
        <w:rPr>
          <w:rStyle w:val="CharSectno"/>
        </w:rPr>
        <w:t>51</w:t>
      </w:r>
      <w:r>
        <w:rPr>
          <w:snapToGrid w:val="0"/>
        </w:rPr>
        <w:t>.</w:t>
      </w:r>
      <w:r>
        <w:rPr>
          <w:snapToGrid w:val="0"/>
        </w:rPr>
        <w:tab/>
        <w:t>Place betting</w:t>
      </w:r>
      <w:bookmarkEnd w:id="138"/>
      <w:bookmarkEnd w:id="139"/>
      <w:bookmarkEnd w:id="140"/>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 or</w:t>
      </w:r>
    </w:p>
    <w:p>
      <w:pPr>
        <w:pStyle w:val="Indenta"/>
        <w:rPr>
          <w:snapToGrid w:val="0"/>
        </w:rPr>
      </w:pPr>
      <w:r>
        <w:rPr>
          <w:snapToGrid w:val="0"/>
        </w:rPr>
        <w:tab/>
        <w:t>(b)</w:t>
      </w:r>
      <w:r>
        <w:rPr>
          <w:snapToGrid w:val="0"/>
        </w:rPr>
        <w:tab/>
        <w:t>in the context of a sporting event an approval under section 4B provides otherwise; or</w:t>
      </w:r>
    </w:p>
    <w:p>
      <w:pPr>
        <w:pStyle w:val="Indenta"/>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deleted]</w:t>
      </w:r>
    </w:p>
    <w:p>
      <w:pPr>
        <w:pStyle w:val="Subsection"/>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[Regulation 51 amended in Gazette 24 Jun 1988 p. 2005; 14 Sep 1990 p. 4863; 10 Jul 1992 p. 3291; 21 Jul 1998 p. 3854 and 3855; 20 Sep 2002 p. 4702.]</w:t>
      </w:r>
    </w:p>
    <w:p>
      <w:pPr>
        <w:pStyle w:val="Heading5"/>
        <w:spacing w:before="260"/>
        <w:rPr>
          <w:snapToGrid w:val="0"/>
        </w:rPr>
      </w:pPr>
      <w:bookmarkStart w:id="141" w:name="_Toc407692219"/>
      <w:bookmarkStart w:id="142" w:name="_Toc438111814"/>
      <w:bookmarkStart w:id="143" w:name="_Toc414962108"/>
      <w:r>
        <w:rPr>
          <w:rStyle w:val="CharSectno"/>
        </w:rPr>
        <w:t>52</w:t>
      </w:r>
      <w:r>
        <w:rPr>
          <w:snapToGrid w:val="0"/>
        </w:rPr>
        <w:t>.</w:t>
      </w:r>
      <w:r>
        <w:rPr>
          <w:snapToGrid w:val="0"/>
        </w:rPr>
        <w:tab/>
        <w:t>Concession betting</w:t>
      </w:r>
      <w:bookmarkEnd w:id="141"/>
      <w:bookmarkEnd w:id="142"/>
      <w:bookmarkEnd w:id="143"/>
    </w:p>
    <w:p>
      <w:pPr>
        <w:pStyle w:val="Subsection"/>
        <w:spacing w:before="180"/>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[Regulation 52 amended in Gazette 24 Jun 1988 p. 2005; 10 Jul 1992 p. 3291.]</w:t>
      </w:r>
    </w:p>
    <w:p>
      <w:pPr>
        <w:pStyle w:val="Heading5"/>
        <w:rPr>
          <w:snapToGrid w:val="0"/>
        </w:rPr>
      </w:pPr>
      <w:bookmarkStart w:id="144" w:name="_Toc407692220"/>
      <w:bookmarkStart w:id="145" w:name="_Toc438111815"/>
      <w:bookmarkStart w:id="146" w:name="_Toc414962109"/>
      <w:r>
        <w:rPr>
          <w:rStyle w:val="CharSectno"/>
        </w:rPr>
        <w:t>53</w:t>
      </w:r>
      <w:r>
        <w:rPr>
          <w:snapToGrid w:val="0"/>
        </w:rPr>
        <w:t>.</w:t>
      </w:r>
      <w:r>
        <w:rPr>
          <w:snapToGrid w:val="0"/>
        </w:rPr>
        <w:tab/>
        <w:t>Doubles other than multiple doubles</w:t>
      </w:r>
      <w:bookmarkEnd w:id="144"/>
      <w:bookmarkEnd w:id="145"/>
      <w:bookmarkEnd w:id="146"/>
    </w:p>
    <w:p>
      <w:pPr>
        <w:pStyle w:val="Subsection"/>
        <w:spacing w:before="180"/>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53 amended in Gazette 24 Jun 1988 p. 2005; 30 Jan 2004 p. 412.]</w:t>
      </w:r>
    </w:p>
    <w:p>
      <w:pPr>
        <w:pStyle w:val="Heading5"/>
        <w:rPr>
          <w:snapToGrid w:val="0"/>
        </w:rPr>
      </w:pPr>
      <w:bookmarkStart w:id="147" w:name="_Toc407692221"/>
      <w:bookmarkStart w:id="148" w:name="_Toc438111816"/>
      <w:bookmarkStart w:id="149" w:name="_Toc414962110"/>
      <w:r>
        <w:rPr>
          <w:rStyle w:val="CharSectno"/>
        </w:rPr>
        <w:t>54</w:t>
      </w:r>
      <w:r>
        <w:rPr>
          <w:snapToGrid w:val="0"/>
        </w:rPr>
        <w:t>.</w:t>
      </w:r>
      <w:r>
        <w:rPr>
          <w:snapToGrid w:val="0"/>
        </w:rPr>
        <w:tab/>
        <w:t>Trebles</w:t>
      </w:r>
      <w:bookmarkEnd w:id="147"/>
      <w:bookmarkEnd w:id="148"/>
      <w:bookmarkEnd w:id="149"/>
    </w:p>
    <w:p>
      <w:pPr>
        <w:pStyle w:val="Subsection"/>
        <w:spacing w:before="180"/>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54 amended in Gazette 24 Jun 1988 p. 2005; 30 Jan 2004 p. 412.]</w:t>
      </w:r>
    </w:p>
    <w:p>
      <w:pPr>
        <w:pStyle w:val="Heading5"/>
        <w:spacing w:before="260"/>
        <w:rPr>
          <w:snapToGrid w:val="0"/>
        </w:rPr>
      </w:pPr>
      <w:bookmarkStart w:id="150" w:name="_Toc407692222"/>
      <w:bookmarkStart w:id="151" w:name="_Toc438111817"/>
      <w:bookmarkStart w:id="152" w:name="_Toc414962111"/>
      <w:r>
        <w:rPr>
          <w:rStyle w:val="CharSectno"/>
        </w:rPr>
        <w:t>55</w:t>
      </w:r>
      <w:r>
        <w:rPr>
          <w:snapToGrid w:val="0"/>
        </w:rPr>
        <w:t>.</w:t>
      </w:r>
      <w:r>
        <w:rPr>
          <w:snapToGrid w:val="0"/>
        </w:rPr>
        <w:tab/>
        <w:t>All</w:t>
      </w:r>
      <w:r>
        <w:rPr>
          <w:snapToGrid w:val="0"/>
        </w:rPr>
        <w:noBreakHyphen/>
        <w:t>up</w:t>
      </w:r>
      <w:bookmarkEnd w:id="150"/>
      <w:bookmarkEnd w:id="151"/>
      <w:bookmarkEnd w:id="152"/>
    </w:p>
    <w:p>
      <w:pPr>
        <w:pStyle w:val="Subsection"/>
        <w:spacing w:before="20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[Regulation 55 amended in Gazette 24 Jun 1988 p. 2005.]</w:t>
      </w:r>
    </w:p>
    <w:p>
      <w:pPr>
        <w:pStyle w:val="Ednotesection"/>
        <w:keepNext/>
        <w:spacing w:before="180"/>
        <w:ind w:left="890" w:hanging="890"/>
      </w:pPr>
      <w:r>
        <w:t>[</w:t>
      </w:r>
      <w:r>
        <w:rPr>
          <w:rStyle w:val="CharSectno"/>
          <w:b/>
        </w:rPr>
        <w:t>56</w:t>
      </w:r>
      <w:r>
        <w:rPr>
          <w:b/>
        </w:rPr>
        <w:t>.</w:t>
      </w:r>
      <w:r>
        <w:tab/>
        <w:t>Deleted in Gazette 13 Oct 2000 p. 5726.]</w:t>
      </w:r>
    </w:p>
    <w:p>
      <w:pPr>
        <w:pStyle w:val="Heading5"/>
        <w:spacing w:before="260"/>
        <w:rPr>
          <w:snapToGrid w:val="0"/>
        </w:rPr>
      </w:pPr>
      <w:bookmarkStart w:id="153" w:name="_Toc407692223"/>
      <w:bookmarkStart w:id="154" w:name="_Toc438111818"/>
      <w:bookmarkStart w:id="155" w:name="_Toc414962112"/>
      <w:r>
        <w:rPr>
          <w:rStyle w:val="CharSectno"/>
        </w:rPr>
        <w:t>57</w:t>
      </w:r>
      <w:r>
        <w:rPr>
          <w:snapToGrid w:val="0"/>
        </w:rPr>
        <w:t>.</w:t>
      </w:r>
      <w:r>
        <w:rPr>
          <w:snapToGrid w:val="0"/>
        </w:rPr>
        <w:tab/>
        <w:t>Stand</w:t>
      </w:r>
      <w:bookmarkEnd w:id="153"/>
      <w:bookmarkEnd w:id="154"/>
      <w:bookmarkEnd w:id="155"/>
    </w:p>
    <w:p>
      <w:pPr>
        <w:pStyle w:val="Subsection"/>
        <w:spacing w:before="20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[Regulation 57 amended in Gazette 24 Jun 1988 p. 2005; 10 Jul 1992 p. 3291; 21 Jul 1998 p. 3854.]</w:t>
      </w:r>
    </w:p>
    <w:p>
      <w:pPr>
        <w:pStyle w:val="Heading5"/>
        <w:spacing w:before="260"/>
        <w:rPr>
          <w:snapToGrid w:val="0"/>
        </w:rPr>
      </w:pPr>
      <w:bookmarkStart w:id="156" w:name="_Toc407692224"/>
      <w:bookmarkStart w:id="157" w:name="_Toc438111819"/>
      <w:bookmarkStart w:id="158" w:name="_Toc414962113"/>
      <w:r>
        <w:rPr>
          <w:rStyle w:val="CharSectno"/>
        </w:rPr>
        <w:t>58</w:t>
      </w:r>
      <w:r>
        <w:rPr>
          <w:snapToGrid w:val="0"/>
        </w:rPr>
        <w:t>.</w:t>
      </w:r>
      <w:r>
        <w:rPr>
          <w:snapToGrid w:val="0"/>
        </w:rPr>
        <w:tab/>
        <w:t>Use of stand</w:t>
      </w:r>
      <w:bookmarkEnd w:id="156"/>
      <w:bookmarkEnd w:id="157"/>
      <w:bookmarkEnd w:id="158"/>
    </w:p>
    <w:p>
      <w:pPr>
        <w:pStyle w:val="Subsection"/>
        <w:spacing w:before="200"/>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spacing w:before="200"/>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[Regulation 58 amended in Gazette 24 Jun 1988 p. 2005; 10 Jul 1992 p. 3291; 20 Sep 2002 p. 4702.]</w:t>
      </w:r>
    </w:p>
    <w:p>
      <w:pPr>
        <w:pStyle w:val="Heading5"/>
      </w:pPr>
      <w:bookmarkStart w:id="159" w:name="_Toc407692225"/>
      <w:bookmarkStart w:id="160" w:name="_Toc438111820"/>
      <w:bookmarkStart w:id="161" w:name="_Toc414962114"/>
      <w:r>
        <w:rPr>
          <w:rStyle w:val="CharSectno"/>
        </w:rPr>
        <w:t>59</w:t>
      </w:r>
      <w:r>
        <w:t>.</w:t>
      </w:r>
      <w:r>
        <w:tab/>
        <w:t>Name of bookmaker to be shown</w:t>
      </w:r>
      <w:bookmarkEnd w:id="159"/>
      <w:bookmarkEnd w:id="160"/>
      <w:bookmarkEnd w:id="161"/>
    </w:p>
    <w:p>
      <w:pPr>
        <w:pStyle w:val="Subsection"/>
      </w:pPr>
      <w:r>
        <w:tab/>
        <w:t>(1)</w:t>
      </w:r>
      <w:r>
        <w:tab/>
        <w:t>A bookmaker shall not carry on business as a bookmaker at a race meeting unless there is displayed on the betting stand of that bookmaker a tablet or sign showing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in Gazette 11 Nov 2003 p. 4673</w:t>
      </w:r>
      <w:r>
        <w:noBreakHyphen/>
        <w:t>4; amended in Gazette 30 Jan 2004 p. 405 and 412.]</w:t>
      </w:r>
    </w:p>
    <w:p>
      <w:pPr>
        <w:pStyle w:val="Heading5"/>
        <w:spacing w:before="240"/>
        <w:rPr>
          <w:snapToGrid w:val="0"/>
        </w:rPr>
      </w:pPr>
      <w:bookmarkStart w:id="162" w:name="_Toc407692226"/>
      <w:bookmarkStart w:id="163" w:name="_Toc438111821"/>
      <w:bookmarkStart w:id="164" w:name="_Toc414962115"/>
      <w:r>
        <w:rPr>
          <w:rStyle w:val="CharSectno"/>
        </w:rPr>
        <w:t>60</w:t>
      </w:r>
      <w:r>
        <w:rPr>
          <w:snapToGrid w:val="0"/>
        </w:rPr>
        <w:t>.</w:t>
      </w:r>
      <w:r>
        <w:rPr>
          <w:snapToGrid w:val="0"/>
        </w:rPr>
        <w:tab/>
        <w:t>Betting boards etc. to be approved</w:t>
      </w:r>
      <w:bookmarkEnd w:id="162"/>
      <w:bookmarkEnd w:id="163"/>
      <w:bookmarkEnd w:id="164"/>
    </w:p>
    <w:p>
      <w:pPr>
        <w:pStyle w:val="Subsection"/>
        <w:spacing w:before="180"/>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[Regulation 60 amended in Gazette 24 Jun 1988 p. 2005; 10 Jul 1992 p. 3291; 21 Jul 1998 p. 3856.]</w:t>
      </w:r>
    </w:p>
    <w:p>
      <w:pPr>
        <w:pStyle w:val="Heading5"/>
        <w:spacing w:before="240"/>
        <w:rPr>
          <w:snapToGrid w:val="0"/>
        </w:rPr>
      </w:pPr>
      <w:bookmarkStart w:id="165" w:name="_Toc407692227"/>
      <w:bookmarkStart w:id="166" w:name="_Toc438111822"/>
      <w:bookmarkStart w:id="167" w:name="_Toc414962116"/>
      <w:r>
        <w:rPr>
          <w:rStyle w:val="CharSectno"/>
        </w:rPr>
        <w:t>61</w:t>
      </w:r>
      <w:r>
        <w:rPr>
          <w:snapToGrid w:val="0"/>
        </w:rPr>
        <w:t>.</w:t>
      </w:r>
      <w:r>
        <w:rPr>
          <w:snapToGrid w:val="0"/>
        </w:rPr>
        <w:tab/>
        <w:t>Betting boards</w:t>
      </w:r>
      <w:bookmarkEnd w:id="165"/>
      <w:bookmarkEnd w:id="166"/>
      <w:bookmarkEnd w:id="167"/>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[Regulation 61 amended in Gazette 24 Jun 1988 p. 2005; 10 Jul 1992 p. 3292; 21 Jul 1998 p. 3855 and 3856; 20 Sep 2002 p. 4703; 30 Jan 2004 p. 405.]</w:t>
      </w:r>
    </w:p>
    <w:p>
      <w:pPr>
        <w:pStyle w:val="Heading5"/>
        <w:rPr>
          <w:snapToGrid w:val="0"/>
        </w:rPr>
      </w:pPr>
      <w:bookmarkStart w:id="168" w:name="_Toc407692228"/>
      <w:bookmarkStart w:id="169" w:name="_Toc438111823"/>
      <w:bookmarkStart w:id="170" w:name="_Toc414962117"/>
      <w:r>
        <w:rPr>
          <w:rStyle w:val="CharSectno"/>
        </w:rPr>
        <w:t>62</w:t>
      </w:r>
      <w:r>
        <w:rPr>
          <w:snapToGrid w:val="0"/>
        </w:rPr>
        <w:t>.</w:t>
      </w:r>
      <w:r>
        <w:rPr>
          <w:snapToGrid w:val="0"/>
        </w:rPr>
        <w:tab/>
        <w:t>Omissions from betting board etc.</w:t>
      </w:r>
      <w:bookmarkEnd w:id="168"/>
      <w:bookmarkEnd w:id="169"/>
      <w:bookmarkEnd w:id="170"/>
    </w:p>
    <w:p>
      <w:pPr>
        <w:pStyle w:val="Subsection"/>
        <w:rPr>
          <w:snapToGrid w:val="0"/>
        </w:rPr>
      </w:pPr>
      <w:r>
        <w:rPr>
          <w:snapToGrid w:val="0"/>
        </w:rPr>
        <w:tab/>
        <w:t>(1)</w:t>
      </w:r>
      <w:r>
        <w:rPr>
          <w:snapToGrid w:val="0"/>
        </w:rPr>
        <w:tab/>
      </w:r>
      <w:r>
        <w:t>A bookmaker or a manager of a bookmaker who</w:t>
      </w:r>
      <w:r>
        <w:rPr>
          <w:snapToGrid w:val="0"/>
        </w:rPr>
        <w:t>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[Regulation 62 amended in Gazette 10 Jul 1992 p. 3292; 21 Jul 1998 p. 3855; 20 Sep 2002 p. 4703.]</w:t>
      </w:r>
    </w:p>
    <w:p>
      <w:pPr>
        <w:pStyle w:val="Heading5"/>
        <w:rPr>
          <w:snapToGrid w:val="0"/>
        </w:rPr>
      </w:pPr>
      <w:bookmarkStart w:id="171" w:name="_Toc407692229"/>
      <w:bookmarkStart w:id="172" w:name="_Toc438111824"/>
      <w:bookmarkStart w:id="173" w:name="_Toc414962118"/>
      <w:r>
        <w:rPr>
          <w:rStyle w:val="CharSectno"/>
        </w:rPr>
        <w:t>63</w:t>
      </w:r>
      <w:r>
        <w:rPr>
          <w:snapToGrid w:val="0"/>
        </w:rPr>
        <w:t>.</w:t>
      </w:r>
      <w:r>
        <w:rPr>
          <w:snapToGrid w:val="0"/>
        </w:rPr>
        <w:tab/>
        <w:t>Bets with domestic betting operators and totalisators</w:t>
      </w:r>
      <w:bookmarkEnd w:id="171"/>
      <w:bookmarkEnd w:id="172"/>
      <w:bookmarkEnd w:id="173"/>
    </w:p>
    <w:p>
      <w:pPr>
        <w:pStyle w:val="Subsection"/>
      </w:pPr>
      <w:r>
        <w:tab/>
        <w:t>(1A)</w:t>
      </w:r>
      <w:r>
        <w:tab/>
        <w:t xml:space="preserve">In this regulation — </w:t>
      </w:r>
    </w:p>
    <w:p>
      <w:pPr>
        <w:pStyle w:val="Defstart"/>
      </w:pPr>
      <w:r>
        <w:tab/>
      </w:r>
      <w:r>
        <w:rPr>
          <w:rStyle w:val="CharDefText"/>
        </w:rPr>
        <w:t>totalisator</w:t>
      </w:r>
      <w:r>
        <w:t xml:space="preserve"> includes a totalisator (however described) operated in another State or a Territory.</w:t>
      </w:r>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 (3)</w:t>
      </w:r>
      <w:r>
        <w:tab/>
        <w:t>deleted]</w:t>
      </w:r>
    </w:p>
    <w:p>
      <w:pPr>
        <w:pStyle w:val="Subsection"/>
        <w:spacing w:before="180"/>
        <w:rPr>
          <w:snapToGrid w:val="0"/>
        </w:rPr>
      </w:pPr>
      <w:r>
        <w:rPr>
          <w:snapToGrid w:val="0"/>
        </w:rPr>
        <w:tab/>
        <w:t>(4)</w:t>
      </w:r>
      <w:r>
        <w:rPr>
          <w:snapToGrid w:val="0"/>
        </w:rPr>
        <w:tab/>
        <w:t>Where a bet is made by or on behalf of a bookmaker with</w:t>
      </w:r>
      <w:r>
        <w:t xml:space="preserve"> a domestic betting operator —</w:t>
      </w:r>
    </w:p>
    <w:p>
      <w:pPr>
        <w:pStyle w:val="Indenta"/>
        <w:rPr>
          <w:snapToGrid w:val="0"/>
        </w:rPr>
      </w:pPr>
      <w:r>
        <w:rPr>
          <w:snapToGrid w:val="0"/>
        </w:rPr>
        <w:tab/>
        <w:t>(a)</w:t>
      </w:r>
      <w:r>
        <w:rPr>
          <w:snapToGrid w:val="0"/>
        </w:rPr>
        <w:tab/>
      </w:r>
      <w:r>
        <w:t>if the domestic betting operator is another bookmaker, the bookmaker receiving</w:t>
      </w:r>
      <w:r>
        <w:rPr>
          <w:snapToGrid w:val="0"/>
        </w:rPr>
        <w:t xml:space="preserve"> the bet shall record the name of the bookmaker making the bet, or on whose behalf the bet is made, alongside the record of the bet whether or not the bet is made in cash; and</w:t>
      </w:r>
    </w:p>
    <w:p>
      <w:pPr>
        <w:pStyle w:val="Indenta"/>
      </w:pPr>
      <w:r>
        <w:tab/>
        <w:t>(b)</w:t>
      </w:r>
      <w:r>
        <w:tab/>
        <w:t>if the bet is a bet back, the bookmaker who makes the bet or on whose behalf the bet is made shall record —</w:t>
      </w:r>
    </w:p>
    <w:p>
      <w:pPr>
        <w:pStyle w:val="Indenti"/>
      </w:pPr>
      <w:r>
        <w:tab/>
        <w:t>(i)</w:t>
      </w:r>
      <w:r>
        <w:tab/>
        <w:t>the details of the bet; and</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 xml:space="preserve">Where a bet by way of </w:t>
      </w:r>
      <w:r>
        <w:t>a bet back is</w:t>
      </w:r>
      <w:r>
        <w:rPr>
          <w:snapToGrid w:val="0"/>
        </w:rPr>
        <w:t xml:space="preserve"> made by a bookmaker or by any person on behalf of a bookmaker on any totalisator, the bookmaker who makes the bet or on whose behalf the bet is made shall record the transaction as </w:t>
      </w:r>
      <w:r>
        <w:t>a bet back on</w:t>
      </w:r>
      <w:r>
        <w:rPr>
          <w:snapToGrid w:val="0"/>
        </w:rPr>
        <w:t xml:space="preserve"> the totalisator and shall retain the totalisator ticket or tickets of all losing bets for a period of one month.</w:t>
      </w:r>
    </w:p>
    <w:p>
      <w:pPr>
        <w:pStyle w:val="Subsection"/>
      </w:pPr>
      <w:r>
        <w:tab/>
        <w:t>(6)</w:t>
      </w:r>
      <w:r>
        <w:tab/>
        <w:t xml:space="preserve">A bookmaker who makes a bet back, or on whose behalf a bet back is made, with a domestic betting operator or a totalisator is not permitted to deduct the amount of the bet back from the total of the bets the bookmaker has received — </w:t>
      </w:r>
    </w:p>
    <w:p>
      <w:pPr>
        <w:pStyle w:val="Indenta"/>
      </w:pPr>
      <w:r>
        <w:tab/>
        <w:t>(a)</w:t>
      </w:r>
      <w:r>
        <w:tab/>
        <w:t>for the race, race meeting or sporting event to which the bet relates; or</w:t>
      </w:r>
    </w:p>
    <w:p>
      <w:pPr>
        <w:pStyle w:val="Indenta"/>
      </w:pPr>
      <w:r>
        <w:tab/>
        <w:t>(b)</w:t>
      </w:r>
      <w:r>
        <w:tab/>
        <w:t>for any other races, race meetings or sporting events in relation to which the bookmaker has accepted bets.</w:t>
      </w:r>
    </w:p>
    <w:p>
      <w:pPr>
        <w:pStyle w:val="Footnotesection"/>
      </w:pPr>
      <w:r>
        <w:tab/>
        <w:t>[Regulation 63 amended in Gazette 24 Jun 1988 p. 2005; 10 Jul 1992 p. 3293; 21 Jul 1998 p. 3855 and 3856; 17 Dec 2002 p. 5924; 14 Jun 2013 p. 2241-2.]</w:t>
      </w:r>
    </w:p>
    <w:p>
      <w:pPr>
        <w:pStyle w:val="Heading5"/>
      </w:pPr>
      <w:bookmarkStart w:id="174" w:name="_Toc407692230"/>
      <w:bookmarkStart w:id="175" w:name="_Toc438111825"/>
      <w:bookmarkStart w:id="176" w:name="_Toc414962119"/>
      <w:r>
        <w:rPr>
          <w:rStyle w:val="CharSectno"/>
        </w:rPr>
        <w:t>64</w:t>
      </w:r>
      <w:r>
        <w:t>.</w:t>
      </w:r>
      <w:r>
        <w:tab/>
        <w:t>Bet back by means of a betting exchange</w:t>
      </w:r>
      <w:bookmarkEnd w:id="174"/>
      <w:bookmarkEnd w:id="175"/>
      <w:bookmarkEnd w:id="176"/>
    </w:p>
    <w:p>
      <w:pPr>
        <w:pStyle w:val="Subsection"/>
      </w:pPr>
      <w:r>
        <w:tab/>
        <w:t>(1)</w:t>
      </w:r>
      <w:r>
        <w:tab/>
        <w:t>This regulation applies if a bet back is made by means of a betting exchange.</w:t>
      </w:r>
    </w:p>
    <w:p>
      <w:pPr>
        <w:pStyle w:val="Subsection"/>
      </w:pPr>
      <w:r>
        <w:tab/>
        <w:t>(2)</w:t>
      </w:r>
      <w:r>
        <w:tab/>
        <w:t xml:space="preserve">The bookmaker who makes the bet back, or on whose behalf the bet back is made, must record — </w:t>
      </w:r>
    </w:p>
    <w:p>
      <w:pPr>
        <w:pStyle w:val="Indenta"/>
      </w:pPr>
      <w:r>
        <w:tab/>
        <w:t>(a)</w:t>
      </w:r>
      <w:r>
        <w:tab/>
        <w:t>the details of the bet; and</w:t>
      </w:r>
    </w:p>
    <w:p>
      <w:pPr>
        <w:pStyle w:val="Indenta"/>
      </w:pPr>
      <w:r>
        <w:tab/>
        <w:t>(b)</w:t>
      </w:r>
      <w:r>
        <w:tab/>
        <w:t>the bet as a bet back; and</w:t>
      </w:r>
    </w:p>
    <w:p>
      <w:pPr>
        <w:pStyle w:val="Indenta"/>
      </w:pPr>
      <w:r>
        <w:tab/>
        <w:t>(c)</w:t>
      </w:r>
      <w:r>
        <w:tab/>
        <w:t>the number of the betting ticket.</w:t>
      </w:r>
    </w:p>
    <w:p>
      <w:pPr>
        <w:pStyle w:val="Subsection"/>
      </w:pPr>
      <w:r>
        <w:tab/>
        <w:t>(3)</w:t>
      </w:r>
      <w:r>
        <w:tab/>
        <w:t xml:space="preserve">The bookmaker who makes the bet back, or on whose behalf the bet back is made, is not permitted to deduct the amount of the bet back from the total of the bets the bookmaker has received — </w:t>
      </w:r>
    </w:p>
    <w:p>
      <w:pPr>
        <w:pStyle w:val="Indenta"/>
        <w:spacing w:before="60"/>
      </w:pPr>
      <w:r>
        <w:tab/>
        <w:t>(a)</w:t>
      </w:r>
      <w:r>
        <w:tab/>
        <w:t>for the race, race meeting or sporting event to which the bet relates; or</w:t>
      </w:r>
    </w:p>
    <w:p>
      <w:pPr>
        <w:pStyle w:val="Indenta"/>
        <w:spacing w:before="60"/>
      </w:pPr>
      <w:r>
        <w:tab/>
        <w:t>(b)</w:t>
      </w:r>
      <w:r>
        <w:tab/>
        <w:t>for any other races, race meetings or sporting events in relation to which the bookmaker has accepted bets.</w:t>
      </w:r>
    </w:p>
    <w:p>
      <w:pPr>
        <w:pStyle w:val="Footnotesection"/>
        <w:spacing w:before="100"/>
      </w:pPr>
      <w:r>
        <w:tab/>
        <w:t>[Regulation 64 inserted in Gazette 14 Jun 2013 p. 2242-3.]</w:t>
      </w:r>
    </w:p>
    <w:p>
      <w:pPr>
        <w:pStyle w:val="Ednotesection"/>
        <w:spacing w:before="200"/>
      </w:pPr>
      <w:r>
        <w:t>[</w:t>
      </w:r>
      <w:r>
        <w:rPr>
          <w:b/>
        </w:rPr>
        <w:t>65.</w:t>
      </w:r>
      <w:r>
        <w:tab/>
        <w:t>Deleted in Gazette 13 Oct 2000 p. 5726.]</w:t>
      </w:r>
    </w:p>
    <w:p>
      <w:pPr>
        <w:pStyle w:val="Ednotesection"/>
        <w:spacing w:before="200"/>
      </w:pPr>
      <w:r>
        <w:t>[</w:t>
      </w:r>
      <w:r>
        <w:rPr>
          <w:b/>
        </w:rPr>
        <w:t>66</w:t>
      </w:r>
      <w:r>
        <w:rPr>
          <w:b/>
        </w:rPr>
        <w:noBreakHyphen/>
        <w:t>67.</w:t>
      </w:r>
      <w:r>
        <w:rPr>
          <w:b/>
        </w:rPr>
        <w:tab/>
      </w:r>
      <w:r>
        <w:t>Deleted in Gazette 10 Jul 1992 p. 3293.]</w:t>
      </w:r>
    </w:p>
    <w:p>
      <w:pPr>
        <w:pStyle w:val="Heading5"/>
        <w:spacing w:before="200"/>
        <w:rPr>
          <w:snapToGrid w:val="0"/>
        </w:rPr>
      </w:pPr>
      <w:bookmarkStart w:id="177" w:name="_Toc407692231"/>
      <w:bookmarkStart w:id="178" w:name="_Toc438111826"/>
      <w:bookmarkStart w:id="179" w:name="_Toc414962120"/>
      <w:r>
        <w:rPr>
          <w:rStyle w:val="CharSectno"/>
        </w:rPr>
        <w:t>68</w:t>
      </w:r>
      <w:r>
        <w:rPr>
          <w:snapToGrid w:val="0"/>
        </w:rPr>
        <w:t>.</w:t>
      </w:r>
      <w:r>
        <w:rPr>
          <w:snapToGrid w:val="0"/>
        </w:rPr>
        <w:tab/>
        <w:t xml:space="preserve">Cooperation with </w:t>
      </w:r>
      <w:r>
        <w:t>Commission</w:t>
      </w:r>
      <w:r>
        <w:rPr>
          <w:snapToGrid w:val="0"/>
        </w:rPr>
        <w:t xml:space="preserve"> in matters relating to betting disputes</w:t>
      </w:r>
      <w:bookmarkEnd w:id="177"/>
      <w:bookmarkEnd w:id="178"/>
      <w:bookmarkEnd w:id="179"/>
    </w:p>
    <w:p>
      <w:pPr>
        <w:pStyle w:val="Subsection"/>
        <w:spacing w:before="140"/>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spacing w:before="100"/>
      </w:pPr>
      <w:r>
        <w:tab/>
        <w:t>[Regulation 68 amended in Gazette 30 Jan 2004 p. 405; 1 Jul 2004 p. 2625.]</w:t>
      </w:r>
    </w:p>
    <w:p>
      <w:pPr>
        <w:pStyle w:val="Ednotesection"/>
        <w:spacing w:before="200"/>
      </w:pPr>
      <w:r>
        <w:t>[</w:t>
      </w:r>
      <w:r>
        <w:rPr>
          <w:b/>
        </w:rPr>
        <w:t>69.</w:t>
      </w:r>
      <w:r>
        <w:tab/>
        <w:t>Deleted in Gazette 21 Jul 1998 p. 3854.]</w:t>
      </w:r>
    </w:p>
    <w:p>
      <w:pPr>
        <w:pStyle w:val="Ednotesection"/>
        <w:spacing w:before="200"/>
      </w:pPr>
      <w:r>
        <w:t>[</w:t>
      </w:r>
      <w:r>
        <w:rPr>
          <w:b/>
        </w:rPr>
        <w:t>70.</w:t>
      </w:r>
      <w:r>
        <w:tab/>
        <w:t>Deleted in Gazette 21 Jul 2006 p. 2673.]</w:t>
      </w:r>
    </w:p>
    <w:p>
      <w:pPr>
        <w:pStyle w:val="Heading5"/>
        <w:spacing w:before="200"/>
        <w:rPr>
          <w:snapToGrid w:val="0"/>
        </w:rPr>
      </w:pPr>
      <w:bookmarkStart w:id="180" w:name="_Toc407692232"/>
      <w:bookmarkStart w:id="181" w:name="_Toc438111827"/>
      <w:bookmarkStart w:id="182" w:name="_Toc414962121"/>
      <w:r>
        <w:rPr>
          <w:rStyle w:val="CharSectno"/>
        </w:rPr>
        <w:t>71</w:t>
      </w:r>
      <w:r>
        <w:rPr>
          <w:snapToGrid w:val="0"/>
        </w:rPr>
        <w:t>.</w:t>
      </w:r>
      <w:r>
        <w:rPr>
          <w:snapToGrid w:val="0"/>
        </w:rPr>
        <w:tab/>
        <w:t>Telephone betting on sporting events</w:t>
      </w:r>
      <w:bookmarkEnd w:id="180"/>
      <w:bookmarkEnd w:id="181"/>
      <w:bookmarkEnd w:id="182"/>
    </w:p>
    <w:p>
      <w:pPr>
        <w:pStyle w:val="Subsection"/>
        <w:spacing w:before="140"/>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w:t>
      </w:r>
    </w:p>
    <w:p>
      <w:pPr>
        <w:pStyle w:val="Indenta"/>
        <w:spacing w:before="60"/>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spacing w:before="60"/>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w:t>
      </w:r>
    </w:p>
    <w:p>
      <w:pPr>
        <w:pStyle w:val="Indenta"/>
        <w:spacing w:before="60"/>
        <w:rPr>
          <w:snapToGrid w:val="0"/>
        </w:rPr>
      </w:pPr>
      <w:r>
        <w:rPr>
          <w:snapToGrid w:val="0"/>
        </w:rPr>
        <w:tab/>
        <w:t>(a)</w:t>
      </w:r>
      <w:r>
        <w:rPr>
          <w:snapToGrid w:val="0"/>
        </w:rPr>
        <w:tab/>
        <w:t>the telephone system to be used shall be of a type approved by the Commission; and</w:t>
      </w:r>
    </w:p>
    <w:p>
      <w:pPr>
        <w:pStyle w:val="Indenta"/>
        <w:spacing w:before="60"/>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spacing w:before="60"/>
        <w:rPr>
          <w:snapToGrid w:val="0"/>
        </w:rPr>
      </w:pPr>
      <w:r>
        <w:rPr>
          <w:snapToGrid w:val="0"/>
        </w:rPr>
        <w:tab/>
        <w:t>(c)</w:t>
      </w:r>
      <w:r>
        <w:rPr>
          <w:snapToGrid w:val="0"/>
        </w:rPr>
        <w:tab/>
        <w:t>consent to the voice logging of the betting transactions is to be obtained from all telephone bettors; and</w:t>
      </w:r>
    </w:p>
    <w:p>
      <w:pPr>
        <w:pStyle w:val="Indenta"/>
        <w:spacing w:before="60"/>
        <w:rPr>
          <w:snapToGrid w:val="0"/>
        </w:rPr>
      </w:pPr>
      <w:r>
        <w:rPr>
          <w:snapToGrid w:val="0"/>
        </w:rPr>
        <w:tab/>
        <w:t>(d)</w:t>
      </w:r>
      <w:r>
        <w:rPr>
          <w:snapToGrid w:val="0"/>
        </w:rPr>
        <w:tab/>
        <w:t>all betting transactions by telephone shall be recorded through the voice logging equipment; and</w:t>
      </w:r>
    </w:p>
    <w:p>
      <w:pPr>
        <w:pStyle w:val="Indenta"/>
        <w:keepNext/>
        <w:keepLines/>
        <w:spacing w:before="60"/>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keepNext/>
        <w:keepLines/>
        <w:spacing w:before="60"/>
        <w:rPr>
          <w:snapToGrid w:val="0"/>
        </w:rPr>
      </w:pPr>
      <w:r>
        <w:rPr>
          <w:snapToGrid w:val="0"/>
        </w:rPr>
        <w:tab/>
        <w:t>(f)</w:t>
      </w:r>
      <w:r>
        <w:rPr>
          <w:snapToGrid w:val="0"/>
        </w:rPr>
        <w:tab/>
        <w:t>tapes, when used to record betting transactions, shall —</w:t>
      </w:r>
    </w:p>
    <w:p>
      <w:pPr>
        <w:pStyle w:val="Indenti"/>
        <w:spacing w:before="60"/>
        <w:rPr>
          <w:snapToGrid w:val="0"/>
        </w:rPr>
      </w:pPr>
      <w:r>
        <w:rPr>
          <w:snapToGrid w:val="0"/>
        </w:rPr>
        <w:tab/>
        <w:t>(i)</w:t>
      </w:r>
      <w:r>
        <w:rPr>
          <w:snapToGrid w:val="0"/>
        </w:rPr>
        <w:tab/>
        <w:t>be held and distributed by stewards; and</w:t>
      </w:r>
    </w:p>
    <w:p>
      <w:pPr>
        <w:pStyle w:val="Indenti"/>
        <w:spacing w:before="60"/>
        <w:rPr>
          <w:snapToGrid w:val="0"/>
        </w:rPr>
      </w:pPr>
      <w:r>
        <w:rPr>
          <w:snapToGrid w:val="0"/>
        </w:rPr>
        <w:tab/>
        <w:t>(ii)</w:t>
      </w:r>
      <w:r>
        <w:rPr>
          <w:snapToGrid w:val="0"/>
        </w:rPr>
        <w:tab/>
        <w:t>at the end of each race meeting, be collected by the Betting Steward, together with the duplicate sports betting sheets; and</w:t>
      </w:r>
    </w:p>
    <w:p>
      <w:pPr>
        <w:pStyle w:val="Indenti"/>
        <w:spacing w:before="60"/>
        <w:rPr>
          <w:snapToGrid w:val="0"/>
        </w:rPr>
      </w:pPr>
      <w:r>
        <w:rPr>
          <w:snapToGrid w:val="0"/>
        </w:rPr>
        <w:tab/>
        <w:t>(iii)</w:t>
      </w:r>
      <w:r>
        <w:rPr>
          <w:snapToGrid w:val="0"/>
        </w:rPr>
        <w:tab/>
        <w:t>be maintained as betting records for inspection or audit by any authorised person;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[Regulation 71 inserted in Gazette 31 Aug 1993 p. 4677; amended in Gazette 24 Dec 1993 p. 6839; 21 Jul 1998 p. 3854; 20 Sep 2002 p. 4703; 30 Jan 2004 p. 412.]</w:t>
      </w:r>
    </w:p>
    <w:p>
      <w:pPr>
        <w:pStyle w:val="Heading5"/>
        <w:rPr>
          <w:snapToGrid w:val="0"/>
        </w:rPr>
      </w:pPr>
      <w:bookmarkStart w:id="183" w:name="_Toc407692233"/>
      <w:bookmarkStart w:id="184" w:name="_Toc438111828"/>
      <w:bookmarkStart w:id="185" w:name="_Toc414962122"/>
      <w:r>
        <w:rPr>
          <w:rStyle w:val="CharSectno"/>
        </w:rPr>
        <w:t>72</w:t>
      </w:r>
      <w:r>
        <w:rPr>
          <w:snapToGrid w:val="0"/>
        </w:rPr>
        <w:t>.</w:t>
      </w:r>
      <w:r>
        <w:rPr>
          <w:snapToGrid w:val="0"/>
        </w:rPr>
        <w:tab/>
        <w:t>Telephone betting on racing</w:t>
      </w:r>
      <w:bookmarkEnd w:id="183"/>
      <w:bookmarkEnd w:id="184"/>
      <w:bookmarkEnd w:id="185"/>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keepNext/>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w:t>
      </w:r>
    </w:p>
    <w:p>
      <w:pPr>
        <w:pStyle w:val="Indenta"/>
        <w:rPr>
          <w:snapToGrid w:val="0"/>
        </w:rPr>
      </w:pPr>
      <w:r>
        <w:rPr>
          <w:snapToGrid w:val="0"/>
        </w:rPr>
        <w:tab/>
        <w:t>(a)</w:t>
      </w:r>
      <w:r>
        <w:rPr>
          <w:snapToGrid w:val="0"/>
        </w:rPr>
        <w:tab/>
        <w:t>the telephone system to be used shall be of a type approved by the Commission; and</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rPr>
          <w:snapToGrid w:val="0"/>
        </w:rPr>
      </w:pPr>
      <w:r>
        <w:rPr>
          <w:snapToGrid w:val="0"/>
        </w:rPr>
        <w:tab/>
        <w:t>(c)</w:t>
      </w:r>
      <w:r>
        <w:rPr>
          <w:snapToGrid w:val="0"/>
        </w:rPr>
        <w:tab/>
        <w:t>consent to the voice logging of the betting transactions is to be obtained from all telephone bettors; and</w:t>
      </w:r>
    </w:p>
    <w:p>
      <w:pPr>
        <w:pStyle w:val="Indenta"/>
        <w:rPr>
          <w:snapToGrid w:val="0"/>
        </w:rPr>
      </w:pPr>
      <w:r>
        <w:rPr>
          <w:snapToGrid w:val="0"/>
        </w:rPr>
        <w:tab/>
        <w:t>(d)</w:t>
      </w:r>
      <w:r>
        <w:rPr>
          <w:snapToGrid w:val="0"/>
        </w:rPr>
        <w:tab/>
        <w:t>all betting transactions by telephone shall be recorded through the voice logging equipment; and</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rPr>
          <w:snapToGrid w:val="0"/>
        </w:rPr>
      </w:pPr>
      <w:r>
        <w:rPr>
          <w:snapToGrid w:val="0"/>
        </w:rPr>
        <w:tab/>
        <w:t>(f)</w:t>
      </w:r>
      <w:r>
        <w:rPr>
          <w:snapToGrid w:val="0"/>
        </w:rPr>
        <w:tab/>
        <w:t>tapes, when used to record betting transactions, shall —</w:t>
      </w:r>
    </w:p>
    <w:p>
      <w:pPr>
        <w:pStyle w:val="Indenti"/>
        <w:rPr>
          <w:snapToGrid w:val="0"/>
        </w:rPr>
      </w:pPr>
      <w:r>
        <w:rPr>
          <w:snapToGrid w:val="0"/>
        </w:rPr>
        <w:tab/>
        <w:t>(i)</w:t>
      </w:r>
      <w:r>
        <w:rPr>
          <w:snapToGrid w:val="0"/>
        </w:rPr>
        <w:tab/>
        <w:t>be held and distributed by stewards; and</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be maintained as betting records for inspection or audit by any authorised person;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in Gazette 24 Dec 1993 p. 6839</w:t>
      </w:r>
      <w:r>
        <w:noBreakHyphen/>
        <w:t>40; amended in Gazette 24 Jun 1997 p. 3014; 21 Jul 1998 p. 3854 and 3855; 13 Oct 2000 p. 5727; 20 Sep 2002 p. 4703; 25 Mar 2003 p. 921</w:t>
      </w:r>
      <w:r>
        <w:noBreakHyphen/>
        <w:t>2; 20 Jun 2003 p. 2250; 30 Jan 2004 p. 412; 1 Jul 2004 p. 2625</w:t>
      </w:r>
      <w:r>
        <w:noBreakHyphen/>
        <w:t>6.]</w:t>
      </w:r>
    </w:p>
    <w:p>
      <w:pPr>
        <w:pStyle w:val="Heading5"/>
        <w:spacing w:before="260"/>
      </w:pPr>
      <w:bookmarkStart w:id="186" w:name="_Toc407692234"/>
      <w:bookmarkStart w:id="187" w:name="_Toc438111829"/>
      <w:bookmarkStart w:id="188" w:name="_Toc414962123"/>
      <w:r>
        <w:rPr>
          <w:rStyle w:val="CharSectno"/>
        </w:rPr>
        <w:t>73</w:t>
      </w:r>
      <w:r>
        <w:t>.</w:t>
      </w:r>
      <w:r>
        <w:tab/>
        <w:t>Credit betting other than by telephone</w:t>
      </w:r>
      <w:bookmarkEnd w:id="186"/>
      <w:bookmarkEnd w:id="187"/>
      <w:bookmarkEnd w:id="188"/>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Subregulation (1) does not apply to a bet back.</w:t>
      </w:r>
    </w:p>
    <w:p>
      <w:pPr>
        <w:pStyle w:val="PermNoteHeading"/>
      </w:pPr>
      <w:r>
        <w:tab/>
        <w:t>Note:</w:t>
      </w:r>
    </w:p>
    <w:p>
      <w:pPr>
        <w:pStyle w:val="PermNoteText"/>
      </w:pPr>
      <w:r>
        <w:tab/>
      </w:r>
      <w:r>
        <w:tab/>
        <w:t>The requirement to write and deliver to the bettor a betting ticket does not apply to bets made by telephone in accordance with the regulations, see section 31(1)(b)(iii) of the Act.</w:t>
      </w:r>
    </w:p>
    <w:p>
      <w:pPr>
        <w:pStyle w:val="Footnotesection"/>
      </w:pPr>
      <w:r>
        <w:tab/>
        <w:t>[Regulation 73 inserted in Gazette 21 Jul 1998 p. 3854; amended in Gazette 17 Dec 2002 p. 5924; 14 Jun 2013 p. 2243.]</w:t>
      </w:r>
    </w:p>
    <w:p>
      <w:pPr>
        <w:pStyle w:val="Heading5"/>
      </w:pPr>
      <w:bookmarkStart w:id="189" w:name="_Toc407692235"/>
      <w:bookmarkStart w:id="190" w:name="_Toc438111830"/>
      <w:bookmarkStart w:id="191" w:name="_Toc414962124"/>
      <w:r>
        <w:rPr>
          <w:rStyle w:val="CharSectno"/>
        </w:rPr>
        <w:t>74</w:t>
      </w:r>
      <w:r>
        <w:t>.</w:t>
      </w:r>
      <w:r>
        <w:tab/>
        <w:t>Internet betting (sporting events)</w:t>
      </w:r>
      <w:bookmarkEnd w:id="189"/>
      <w:bookmarkEnd w:id="190"/>
      <w:bookmarkEnd w:id="191"/>
    </w:p>
    <w:p>
      <w:pPr>
        <w:pStyle w:val="Subsection"/>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spacing w:before="120"/>
      </w:pPr>
      <w:r>
        <w:tab/>
      </w:r>
      <w:r>
        <w:tab/>
        <w:t>and not otherwise.</w:t>
      </w:r>
    </w:p>
    <w:p>
      <w:pPr>
        <w:pStyle w:val="Footnotesection"/>
        <w:keepLines w:val="0"/>
      </w:pPr>
      <w:r>
        <w:tab/>
        <w:t>[Regulation 74 inserted in Gazette 26 Nov 1999 p. 5909; amended in Gazette 30 Jan 2004 p. 412.]</w:t>
      </w:r>
    </w:p>
    <w:p>
      <w:pPr>
        <w:pStyle w:val="Heading5"/>
      </w:pPr>
      <w:bookmarkStart w:id="192" w:name="_Toc407692236"/>
      <w:bookmarkStart w:id="193" w:name="_Toc438111831"/>
      <w:bookmarkStart w:id="194" w:name="_Toc414962125"/>
      <w:r>
        <w:rPr>
          <w:rStyle w:val="CharSectno"/>
        </w:rPr>
        <w:t>75</w:t>
      </w:r>
      <w:r>
        <w:t>.</w:t>
      </w:r>
      <w:r>
        <w:tab/>
        <w:t>Internet betting (racing)</w:t>
      </w:r>
      <w:bookmarkEnd w:id="192"/>
      <w:bookmarkEnd w:id="193"/>
      <w:bookmarkEnd w:id="194"/>
    </w:p>
    <w:p>
      <w:pPr>
        <w:pStyle w:val="Subsection"/>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if the committee or other authority controlling the racecourse so permits;</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in Gazette 26 Nov 1999 p. 5909</w:t>
      </w:r>
      <w:r>
        <w:noBreakHyphen/>
        <w:t>10; amended in Gazette 20 Sep 2002 p. 4703</w:t>
      </w:r>
      <w:r>
        <w:noBreakHyphen/>
        <w:t>4; 25 Mar 2003 p. 922; 20 Jun 2003 p. 225; 30 Jan 2004 p. 412; 1 Jul 2004 p. 2626.]</w:t>
      </w:r>
    </w:p>
    <w:p>
      <w:pPr>
        <w:pStyle w:val="Heading5"/>
      </w:pPr>
      <w:bookmarkStart w:id="195" w:name="_Toc407692237"/>
      <w:bookmarkStart w:id="196" w:name="_Toc438111832"/>
      <w:bookmarkStart w:id="197" w:name="_Toc414962126"/>
      <w:r>
        <w:rPr>
          <w:rStyle w:val="CharSectno"/>
        </w:rPr>
        <w:t>76</w:t>
      </w:r>
      <w:r>
        <w:t>.</w:t>
      </w:r>
      <w:r>
        <w:tab/>
        <w:t>Procedures for internet betting</w:t>
      </w:r>
      <w:bookmarkEnd w:id="195"/>
      <w:bookmarkEnd w:id="196"/>
      <w:bookmarkEnd w:id="197"/>
    </w:p>
    <w:p>
      <w:pPr>
        <w:pStyle w:val="Subsection"/>
      </w:pPr>
      <w:r>
        <w:tab/>
        <w:t>(1)</w:t>
      </w:r>
      <w:r>
        <w:tab/>
        <w:t xml:space="preserve">For the purposes of regulations 74 and 75 the </w:t>
      </w:r>
      <w:r>
        <w:rPr>
          <w:snapToGrid w:val="0"/>
        </w:rPr>
        <w:t>Commission</w:t>
      </w:r>
      <w:r>
        <w:t xml:space="preserve"> has established the following procedures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keepNext/>
        <w:keepLines/>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notwithstanding section 31(1)(b)(iii), is to be delivered (or not delivered) in a manner,</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in Gazette 26 Nov 1999 p. 5910; amended in Gazette 30 Jan 2004 p. 406 and 412.]</w:t>
      </w:r>
    </w:p>
    <w:p>
      <w:pPr>
        <w:pStyle w:val="Heading5"/>
      </w:pPr>
      <w:bookmarkStart w:id="198" w:name="_Toc407692238"/>
      <w:bookmarkStart w:id="199" w:name="_Toc438111833"/>
      <w:bookmarkStart w:id="200" w:name="_Toc414962127"/>
      <w:r>
        <w:rPr>
          <w:rStyle w:val="CharSectno"/>
        </w:rPr>
        <w:t>77</w:t>
      </w:r>
      <w:r>
        <w:t>.</w:t>
      </w:r>
      <w:r>
        <w:tab/>
        <w:t>Form of search warrant</w:t>
      </w:r>
      <w:bookmarkEnd w:id="198"/>
      <w:bookmarkEnd w:id="199"/>
      <w:bookmarkEnd w:id="200"/>
    </w:p>
    <w:p>
      <w:pPr>
        <w:pStyle w:val="Subsection"/>
      </w:pPr>
      <w:r>
        <w:tab/>
      </w:r>
      <w:r>
        <w:tab/>
        <w:t>A search warrant for the purposes of section 28A of the Act is to be in the form of Form 1 in Schedule 1.</w:t>
      </w:r>
    </w:p>
    <w:p>
      <w:pPr>
        <w:pStyle w:val="Footnotesection"/>
      </w:pPr>
      <w:r>
        <w:tab/>
        <w:t>[Regulation 77 inserted in Gazette 30 Jan 2004 p. 406.]</w:t>
      </w:r>
    </w:p>
    <w:p>
      <w:pPr>
        <w:pStyle w:val="Heading2"/>
      </w:pPr>
      <w:bookmarkStart w:id="201" w:name="_Toc407692239"/>
      <w:bookmarkStart w:id="202" w:name="_Toc414962009"/>
      <w:bookmarkStart w:id="203" w:name="_Toc414962128"/>
      <w:bookmarkStart w:id="204" w:name="_Toc438111834"/>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201"/>
      <w:bookmarkEnd w:id="202"/>
      <w:bookmarkEnd w:id="203"/>
      <w:bookmarkEnd w:id="204"/>
    </w:p>
    <w:p>
      <w:pPr>
        <w:pStyle w:val="Footnoteheading"/>
      </w:pPr>
      <w:r>
        <w:tab/>
        <w:t>[Heading inserted in Gazette 21 Jul 2006 p. 2673.]</w:t>
      </w:r>
    </w:p>
    <w:p>
      <w:pPr>
        <w:pStyle w:val="Heading3"/>
      </w:pPr>
      <w:bookmarkStart w:id="205" w:name="_Toc407692240"/>
      <w:bookmarkStart w:id="206" w:name="_Toc414962010"/>
      <w:bookmarkStart w:id="207" w:name="_Toc414962129"/>
      <w:bookmarkStart w:id="208" w:name="_Toc438111835"/>
      <w:r>
        <w:rPr>
          <w:rStyle w:val="CharDivNo"/>
        </w:rPr>
        <w:t>Division 1</w:t>
      </w:r>
      <w:r>
        <w:t> — </w:t>
      </w:r>
      <w:r>
        <w:rPr>
          <w:rStyle w:val="CharDivText"/>
        </w:rPr>
        <w:t>Preliminary</w:t>
      </w:r>
      <w:bookmarkEnd w:id="205"/>
      <w:bookmarkEnd w:id="206"/>
      <w:bookmarkEnd w:id="207"/>
      <w:bookmarkEnd w:id="208"/>
    </w:p>
    <w:p>
      <w:pPr>
        <w:pStyle w:val="Footnoteheading"/>
      </w:pPr>
      <w:r>
        <w:tab/>
        <w:t>[Heading inserted in Gazette 21 Jul 2006 p. 2673.]</w:t>
      </w:r>
    </w:p>
    <w:p>
      <w:pPr>
        <w:pStyle w:val="Heading5"/>
      </w:pPr>
      <w:bookmarkStart w:id="209" w:name="_Toc407692241"/>
      <w:bookmarkStart w:id="210" w:name="_Toc438111836"/>
      <w:bookmarkStart w:id="211" w:name="_Toc414962130"/>
      <w:r>
        <w:rPr>
          <w:rStyle w:val="CharSectno"/>
        </w:rPr>
        <w:t>78</w:t>
      </w:r>
      <w:r>
        <w:t>.</w:t>
      </w:r>
      <w:r>
        <w:tab/>
        <w:t>Terms used</w:t>
      </w:r>
      <w:bookmarkEnd w:id="209"/>
      <w:bookmarkEnd w:id="210"/>
      <w:bookmarkEnd w:id="211"/>
    </w:p>
    <w:p>
      <w:pPr>
        <w:pStyle w:val="Subsection"/>
      </w:pPr>
      <w:r>
        <w:tab/>
        <w:t>(1)</w:t>
      </w:r>
      <w:r>
        <w:tab/>
        <w:t>In this Part —</w:t>
      </w:r>
    </w:p>
    <w:p>
      <w:pPr>
        <w:pStyle w:val="Defstart"/>
        <w:spacing w:before="60"/>
      </w:pPr>
      <w:r>
        <w:rPr>
          <w:b/>
        </w:rPr>
        <w:tab/>
      </w:r>
      <w:r>
        <w:rPr>
          <w:rStyle w:val="CharDefText"/>
        </w:rPr>
        <w:t>Australian Greyhound Racing Rules</w:t>
      </w:r>
      <w:r>
        <w:t>,</w:t>
      </w:r>
      <w:r>
        <w:rPr>
          <w:b/>
        </w:rPr>
        <w:t xml:space="preserve"> </w:t>
      </w:r>
      <w:r>
        <w:rPr>
          <w:rStyle w:val="CharDefText"/>
        </w:rPr>
        <w:t>Australian Rules of Harness Racing</w:t>
      </w:r>
      <w:r>
        <w:t xml:space="preserve"> and </w:t>
      </w:r>
      <w:r>
        <w:rPr>
          <w:rStyle w:val="CharDefText"/>
        </w:rPr>
        <w:t>Australian Rules of Racing</w:t>
      </w:r>
      <w:r>
        <w:rPr>
          <w:b/>
        </w:rPr>
        <w:t xml:space="preserve"> </w:t>
      </w:r>
      <w:r>
        <w:t>have the meanings given in the RWWA Act;</w:t>
      </w:r>
    </w:p>
    <w:p>
      <w:pPr>
        <w:pStyle w:val="Defstart"/>
        <w:spacing w:before="60"/>
        <w:rPr>
          <w:b/>
        </w:rPr>
      </w:pPr>
      <w:r>
        <w:rPr>
          <w:b/>
        </w:rPr>
        <w:tab/>
      </w:r>
      <w:r>
        <w:rPr>
          <w:rStyle w:val="CharDefText"/>
        </w:rPr>
        <w:t>local on</w:t>
      </w:r>
      <w:r>
        <w:rPr>
          <w:rStyle w:val="CharDefText"/>
        </w:rPr>
        <w:noBreakHyphen/>
        <w:t>course totalisator</w:t>
      </w:r>
      <w:r>
        <w:t xml:space="preserve"> means —</w:t>
      </w:r>
    </w:p>
    <w:p>
      <w:pPr>
        <w:pStyle w:val="Defpara"/>
        <w:spacing w:before="60"/>
      </w:pPr>
      <w:r>
        <w:tab/>
        <w:t>(a)</w:t>
      </w:r>
      <w:r>
        <w:tab/>
        <w:t>a totalisator operated at a racecourse by the authority conducting the particular race meeting where totalisator betting is conducted independently of RWWA;</w:t>
      </w:r>
    </w:p>
    <w:p>
      <w:pPr>
        <w:pStyle w:val="Defpara"/>
        <w:spacing w:before="60"/>
      </w:pPr>
      <w:r>
        <w:tab/>
        <w:t>(b)</w:t>
      </w:r>
      <w:r>
        <w:tab/>
        <w:t>where the context requires, a person representing the authority operating the totalisator in paragraph (a);</w:t>
      </w:r>
    </w:p>
    <w:p>
      <w:pPr>
        <w:pStyle w:val="Defpara"/>
        <w:spacing w:before="60"/>
      </w:pPr>
      <w:r>
        <w:tab/>
        <w:t>(c)</w:t>
      </w:r>
      <w:r>
        <w:tab/>
        <w:t>where the context requires, the premises in which the betting for a totalisator in paragraph (a) is conducted;</w:t>
      </w:r>
    </w:p>
    <w:p>
      <w:pPr>
        <w:pStyle w:val="Defstart"/>
        <w:spacing w:before="60"/>
      </w:pPr>
      <w:r>
        <w:rPr>
          <w:b/>
        </w:rPr>
        <w:tab/>
      </w:r>
      <w:r>
        <w:rPr>
          <w:rStyle w:val="CharDefText"/>
        </w:rPr>
        <w:t>on</w:t>
      </w:r>
      <w:r>
        <w:rPr>
          <w:rStyle w:val="CharDefText"/>
        </w:rPr>
        <w:noBreakHyphen/>
        <w:t>course totalisator</w:t>
      </w:r>
      <w:r>
        <w:t xml:space="preserve"> means —</w:t>
      </w:r>
    </w:p>
    <w:p>
      <w:pPr>
        <w:pStyle w:val="Defpara"/>
        <w:spacing w:before="60"/>
      </w:pPr>
      <w:r>
        <w:tab/>
        <w:t>(a)</w:t>
      </w:r>
      <w:r>
        <w:tab/>
        <w:t>a totalisator operated at a racecourse by the racing club, where bets form a part of the RWWA totalisator scheme under section 58 of the RWWA Act;</w:t>
      </w:r>
    </w:p>
    <w:p>
      <w:pPr>
        <w:pStyle w:val="Defpara"/>
        <w:spacing w:before="60"/>
      </w:pPr>
      <w:r>
        <w:tab/>
        <w:t>(b)</w:t>
      </w:r>
      <w:r>
        <w:tab/>
        <w:t>where the context requires, a representative of the racing club operating the totalisator in paragraph (a);</w:t>
      </w:r>
    </w:p>
    <w:p>
      <w:pPr>
        <w:pStyle w:val="Defpara"/>
        <w:spacing w:before="60"/>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t>bet includes a reference to a wager.</w:t>
      </w:r>
    </w:p>
    <w:p>
      <w:pPr>
        <w:pStyle w:val="Footnotesection"/>
      </w:pPr>
      <w:r>
        <w:tab/>
        <w:t>[Regulation 78 inserted in Gazette 21 Jul 2006 p. 2673</w:t>
      </w:r>
      <w:r>
        <w:noBreakHyphen/>
        <w:t>4.]</w:t>
      </w:r>
    </w:p>
    <w:p>
      <w:pPr>
        <w:pStyle w:val="Heading3"/>
      </w:pPr>
      <w:bookmarkStart w:id="212" w:name="_Toc407692242"/>
      <w:bookmarkStart w:id="213" w:name="_Toc414962012"/>
      <w:bookmarkStart w:id="214" w:name="_Toc414962131"/>
      <w:bookmarkStart w:id="215" w:name="_Toc438111837"/>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212"/>
      <w:bookmarkEnd w:id="213"/>
      <w:bookmarkEnd w:id="214"/>
      <w:bookmarkEnd w:id="215"/>
    </w:p>
    <w:p>
      <w:pPr>
        <w:pStyle w:val="Footnoteheading"/>
      </w:pPr>
      <w:r>
        <w:tab/>
        <w:t>[Heading inserted in Gazette 21 Jul 2006 p. 2674.]</w:t>
      </w:r>
    </w:p>
    <w:p>
      <w:pPr>
        <w:pStyle w:val="Heading5"/>
      </w:pPr>
      <w:bookmarkStart w:id="216" w:name="_Toc407692243"/>
      <w:bookmarkStart w:id="217" w:name="_Toc438111838"/>
      <w:bookmarkStart w:id="218" w:name="_Toc414962132"/>
      <w:r>
        <w:rPr>
          <w:rStyle w:val="CharSectno"/>
        </w:rPr>
        <w:t>79</w:t>
      </w:r>
      <w:r>
        <w:t>.</w:t>
      </w:r>
      <w:r>
        <w:tab/>
        <w:t>On</w:t>
      </w:r>
      <w:r>
        <w:noBreakHyphen/>
        <w:t>course totalisator bets accepted subject to the rules and these regulations</w:t>
      </w:r>
      <w:bookmarkEnd w:id="216"/>
      <w:bookmarkEnd w:id="217"/>
      <w:bookmarkEnd w:id="218"/>
    </w:p>
    <w:p>
      <w:pPr>
        <w:pStyle w:val="Subsection"/>
      </w:pPr>
      <w:r>
        <w:tab/>
        <w:t>(1)</w:t>
      </w:r>
      <w:r>
        <w:tab/>
        <w:t>Subject to these regulations, regulations made under the RWWA Act and the rules of wagering, a bet made with or through an on</w:t>
      </w:r>
      <w:r>
        <w:noBreakHyphen/>
        <w:t>course totalisator is taken to be accepted subject to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in Gazette 21 Jul 2006 p. 2674</w:t>
      </w:r>
      <w:r>
        <w:noBreakHyphen/>
        <w:t>5.]</w:t>
      </w:r>
    </w:p>
    <w:p>
      <w:pPr>
        <w:pStyle w:val="Heading5"/>
      </w:pPr>
      <w:bookmarkStart w:id="219" w:name="_Toc407692244"/>
      <w:bookmarkStart w:id="220" w:name="_Toc438111839"/>
      <w:bookmarkStart w:id="221" w:name="_Toc414962133"/>
      <w:r>
        <w:rPr>
          <w:rStyle w:val="CharSectno"/>
        </w:rPr>
        <w:t>80</w:t>
      </w:r>
      <w:r>
        <w:t>.</w:t>
      </w:r>
      <w:r>
        <w:tab/>
        <w:t>Local on</w:t>
      </w:r>
      <w:r>
        <w:noBreakHyphen/>
        <w:t>course totalisator bets accepted subject to the rules and these regulations</w:t>
      </w:r>
      <w:bookmarkEnd w:id="219"/>
      <w:bookmarkEnd w:id="220"/>
      <w:bookmarkEnd w:id="221"/>
    </w:p>
    <w:p>
      <w:pPr>
        <w:pStyle w:val="Subsection"/>
      </w:pPr>
      <w:r>
        <w:tab/>
      </w:r>
      <w:r>
        <w:tab/>
        <w:t>Subject to these regulations and the rules of wagering, a bet made with or through a local on</w:t>
      </w:r>
      <w:r>
        <w:noBreakHyphen/>
        <w:t>course totalisator is taken to be accepted subject to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r>
        <w:tab/>
        <w:t>[Regulation 80 inserted in Gazette 21 Jul 2006 p. 2675</w:t>
      </w:r>
      <w:r>
        <w:noBreakHyphen/>
        <w:t>6.]</w:t>
      </w:r>
    </w:p>
    <w:p>
      <w:pPr>
        <w:pStyle w:val="Heading5"/>
      </w:pPr>
      <w:bookmarkStart w:id="222" w:name="_Toc407692245"/>
      <w:bookmarkStart w:id="223" w:name="_Toc438111840"/>
      <w:bookmarkStart w:id="224" w:name="_Toc414962134"/>
      <w:r>
        <w:rPr>
          <w:rStyle w:val="CharSectno"/>
        </w:rPr>
        <w:t>81</w:t>
      </w:r>
      <w:r>
        <w:t>.</w:t>
      </w:r>
      <w:r>
        <w:tab/>
        <w:t>All bets to be 50 cents or multiples of 50 cents</w:t>
      </w:r>
      <w:bookmarkEnd w:id="222"/>
      <w:bookmarkEnd w:id="223"/>
      <w:bookmarkEnd w:id="224"/>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Subsection"/>
      </w:pPr>
      <w:r>
        <w:tab/>
        <w:t>(2)</w:t>
      </w:r>
      <w:r>
        <w:tab/>
        <w:t>Dividends are to be rounded down if the total dividend payable would not be divisible by 5 cents.</w:t>
      </w:r>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r>
        <w:tab/>
        <w:t>[Regulation 81 inserted in Gazette 21 Jul 2006 p. 2676; amended in Gazette 18 Sep 2007 p. 4717.]</w:t>
      </w:r>
    </w:p>
    <w:p>
      <w:pPr>
        <w:pStyle w:val="Heading5"/>
      </w:pPr>
      <w:bookmarkStart w:id="225" w:name="_Toc407692246"/>
      <w:bookmarkStart w:id="226" w:name="_Toc438111841"/>
      <w:bookmarkStart w:id="227" w:name="_Toc414962135"/>
      <w:r>
        <w:rPr>
          <w:rStyle w:val="CharSectno"/>
        </w:rPr>
        <w:t>82</w:t>
      </w:r>
      <w:r>
        <w:t>.</w:t>
      </w:r>
      <w:r>
        <w:tab/>
        <w:t>On</w:t>
      </w:r>
      <w:r>
        <w:noBreakHyphen/>
        <w:t>course totalisator dividend as declared</w:t>
      </w:r>
      <w:bookmarkEnd w:id="225"/>
      <w:bookmarkEnd w:id="226"/>
      <w:bookmarkEnd w:id="227"/>
    </w:p>
    <w:p>
      <w:pPr>
        <w:pStyle w:val="Subsection"/>
      </w:pPr>
      <w:r>
        <w:tab/>
        <w:t>(1)</w:t>
      </w:r>
      <w:r>
        <w:tab/>
        <w:t>The on</w:t>
      </w:r>
      <w:r>
        <w:noBreakHyphen/>
        <w:t>course totalisator dividend for a unit of 50 cents is to be as declared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Subject to these regulations and the rules of wagering, where a totalisator pool is conducted by RWWA, RWWA is to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Except where a race or sporting event results in a dead heat, tie or draw, and a dead heat, tie or draw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at 55 cents.</w:t>
      </w:r>
    </w:p>
    <w:p>
      <w:pPr>
        <w:pStyle w:val="Footnotesection"/>
      </w:pPr>
      <w:r>
        <w:tab/>
        <w:t>[Regulation 82 inserted in Gazette 21 Jul 2006 p. 2676</w:t>
      </w:r>
      <w:r>
        <w:noBreakHyphen/>
        <w:t>7.]</w:t>
      </w:r>
    </w:p>
    <w:p>
      <w:pPr>
        <w:pStyle w:val="Heading5"/>
      </w:pPr>
      <w:bookmarkStart w:id="228" w:name="_Toc407692247"/>
      <w:bookmarkStart w:id="229" w:name="_Toc438111842"/>
      <w:bookmarkStart w:id="230" w:name="_Toc414962136"/>
      <w:r>
        <w:rPr>
          <w:rStyle w:val="CharSectno"/>
        </w:rPr>
        <w:t>83</w:t>
      </w:r>
      <w:r>
        <w:t>.</w:t>
      </w:r>
      <w:r>
        <w:tab/>
        <w:t>Local on</w:t>
      </w:r>
      <w:r>
        <w:noBreakHyphen/>
        <w:t>course totalisator dividend as declared</w:t>
      </w:r>
      <w:bookmarkEnd w:id="228"/>
      <w:bookmarkEnd w:id="229"/>
      <w:bookmarkEnd w:id="230"/>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course totalisator is to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Except where a race results in a dead heat, and a dead heat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at 55 cents.</w:t>
      </w:r>
    </w:p>
    <w:p>
      <w:pPr>
        <w:pStyle w:val="Footnotesection"/>
      </w:pPr>
      <w:r>
        <w:tab/>
        <w:t>[Regulation 83 inserted in Gazette 21 Jul 2006 p. 2677</w:t>
      </w:r>
      <w:r>
        <w:noBreakHyphen/>
        <w:t>8.]</w:t>
      </w:r>
    </w:p>
    <w:p>
      <w:pPr>
        <w:pStyle w:val="Heading5"/>
      </w:pPr>
      <w:bookmarkStart w:id="231" w:name="_Toc407692248"/>
      <w:bookmarkStart w:id="232" w:name="_Toc438111843"/>
      <w:bookmarkStart w:id="233" w:name="_Toc414962137"/>
      <w:r>
        <w:rPr>
          <w:rStyle w:val="CharSectno"/>
        </w:rPr>
        <w:t>84</w:t>
      </w:r>
      <w:r>
        <w:t>.</w:t>
      </w:r>
      <w:r>
        <w:tab/>
        <w:t>Bets may be refused</w:t>
      </w:r>
      <w:bookmarkEnd w:id="231"/>
      <w:bookmarkEnd w:id="232"/>
      <w:bookmarkEnd w:id="233"/>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r>
        <w:t>, while that notice is in force, must not be accepted.</w:t>
      </w:r>
    </w:p>
    <w:p>
      <w:pPr>
        <w:pStyle w:val="Footnotesection"/>
        <w:spacing w:before="100"/>
      </w:pPr>
      <w:r>
        <w:tab/>
        <w:t>[Regulation 84 inserted in Gazette 21 Jul 2006 p. 2678.]</w:t>
      </w:r>
    </w:p>
    <w:p>
      <w:pPr>
        <w:pStyle w:val="Heading5"/>
      </w:pPr>
      <w:bookmarkStart w:id="234" w:name="_Toc407692249"/>
      <w:bookmarkStart w:id="235" w:name="_Toc438111844"/>
      <w:bookmarkStart w:id="236" w:name="_Toc414962138"/>
      <w:r>
        <w:rPr>
          <w:rStyle w:val="CharSectno"/>
        </w:rPr>
        <w:t>85</w:t>
      </w:r>
      <w:r>
        <w:t>.</w:t>
      </w:r>
      <w:r>
        <w:tab/>
        <w:t>Only authorised bets to be accepted</w:t>
      </w:r>
      <w:bookmarkEnd w:id="234"/>
      <w:bookmarkEnd w:id="235"/>
      <w:bookmarkEnd w:id="236"/>
    </w:p>
    <w:p>
      <w:pPr>
        <w:pStyle w:val="Subsection"/>
        <w:spacing w:before="140"/>
      </w:pPr>
      <w:r>
        <w:tab/>
      </w:r>
      <w:r>
        <w:tab/>
        <w:t>Bets with or through an on</w:t>
      </w:r>
      <w:r>
        <w:noBreakHyphen/>
        <w:t>course totalisator or a local on</w:t>
      </w:r>
      <w:r>
        <w:noBreakHyphen/>
        <w:t>course totalisator are to be accepted —</w:t>
      </w:r>
    </w:p>
    <w:p>
      <w:pPr>
        <w:pStyle w:val="Indenta"/>
        <w:spacing w:before="60"/>
      </w:pPr>
      <w:r>
        <w:tab/>
        <w:t>(a)</w:t>
      </w:r>
      <w:r>
        <w:tab/>
        <w:t>subject to these regulations and the rules of wagering; and</w:t>
      </w:r>
    </w:p>
    <w:p>
      <w:pPr>
        <w:pStyle w:val="Indenta"/>
        <w:spacing w:before="60"/>
      </w:pPr>
      <w:r>
        <w:tab/>
        <w:t>(b)</w:t>
      </w:r>
      <w:r>
        <w:tab/>
        <w:t>only in respect of such race meetings or races, or (where applicable) such sporting events, as RWWA authorises in relation to that on</w:t>
      </w:r>
      <w:r>
        <w:noBreakHyphen/>
        <w:t>course totalisator.</w:t>
      </w:r>
    </w:p>
    <w:p>
      <w:pPr>
        <w:pStyle w:val="Footnotesection"/>
        <w:spacing w:before="100"/>
      </w:pPr>
      <w:r>
        <w:tab/>
        <w:t>[Regulation 85 inserted in Gazette 21 Jul 2006 p. 2678</w:t>
      </w:r>
      <w:r>
        <w:noBreakHyphen/>
        <w:t>9.]</w:t>
      </w:r>
    </w:p>
    <w:p>
      <w:pPr>
        <w:pStyle w:val="Heading5"/>
        <w:spacing w:before="200"/>
      </w:pPr>
      <w:bookmarkStart w:id="237" w:name="_Toc407692250"/>
      <w:bookmarkStart w:id="238" w:name="_Toc438111845"/>
      <w:bookmarkStart w:id="239" w:name="_Toc414962139"/>
      <w:r>
        <w:rPr>
          <w:rStyle w:val="CharSectno"/>
        </w:rPr>
        <w:t>86</w:t>
      </w:r>
      <w:r>
        <w:t>.</w:t>
      </w:r>
      <w:r>
        <w:tab/>
        <w:t>Hours for opening</w:t>
      </w:r>
      <w:bookmarkEnd w:id="237"/>
      <w:bookmarkEnd w:id="238"/>
      <w:bookmarkEnd w:id="239"/>
    </w:p>
    <w:p>
      <w:pPr>
        <w:pStyle w:val="Subsection"/>
        <w:spacing w:before="140"/>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spacing w:before="140"/>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spacing w:before="140"/>
      </w:pPr>
      <w:r>
        <w:tab/>
        <w:t>(3)</w:t>
      </w:r>
      <w:r>
        <w:tab/>
        <w:t>A local on</w:t>
      </w:r>
      <w:r>
        <w:noBreakHyphen/>
        <w:t>course totalisator may at any time close that totalisator and decline to accepts bets or bets of a particular kind.</w:t>
      </w:r>
    </w:p>
    <w:p>
      <w:pPr>
        <w:pStyle w:val="Footnotesection"/>
        <w:spacing w:before="100"/>
      </w:pPr>
      <w:r>
        <w:tab/>
        <w:t>[Regulation 86 inserted in Gazette 21 Jul 2006 p. 2679.]</w:t>
      </w:r>
    </w:p>
    <w:p>
      <w:pPr>
        <w:pStyle w:val="Heading5"/>
        <w:spacing w:before="200"/>
      </w:pPr>
      <w:bookmarkStart w:id="240" w:name="_Toc407692251"/>
      <w:bookmarkStart w:id="241" w:name="_Toc438111846"/>
      <w:bookmarkStart w:id="242" w:name="_Toc414962140"/>
      <w:r>
        <w:rPr>
          <w:rStyle w:val="CharSectno"/>
        </w:rPr>
        <w:t>87</w:t>
      </w:r>
      <w:r>
        <w:t>.</w:t>
      </w:r>
      <w:r>
        <w:tab/>
        <w:t>Bets may be made by various methods</w:t>
      </w:r>
      <w:bookmarkEnd w:id="240"/>
      <w:bookmarkEnd w:id="241"/>
      <w:bookmarkEnd w:id="242"/>
    </w:p>
    <w:p>
      <w:pPr>
        <w:pStyle w:val="Subsection"/>
        <w:spacing w:before="140"/>
      </w:pPr>
      <w:r>
        <w:tab/>
        <w:t>(1)</w:t>
      </w:r>
      <w:r>
        <w:tab/>
        <w:t>Subject to these regulations and the rules of wagering, bets with or through an on</w:t>
      </w:r>
      <w:r>
        <w:noBreakHyphen/>
        <w:t>course totalisator will be accepted from a person at that totalisator —</w:t>
      </w:r>
    </w:p>
    <w:p>
      <w:pPr>
        <w:pStyle w:val="Indenta"/>
        <w:spacing w:before="60"/>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course totalisator may accept a bet where part or full payment for the bet is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course totalisator may accept a bet where part or full payment for the bet is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r>
        <w:tab/>
        <w:t>[Regulation 87 inserted in Gazette 21 Jul 2006 p. 2679</w:t>
      </w:r>
      <w:r>
        <w:noBreakHyphen/>
        <w:t>80.]</w:t>
      </w:r>
    </w:p>
    <w:p>
      <w:pPr>
        <w:pStyle w:val="Heading5"/>
      </w:pPr>
      <w:bookmarkStart w:id="243" w:name="_Toc407692252"/>
      <w:bookmarkStart w:id="244" w:name="_Toc438111847"/>
      <w:bookmarkStart w:id="245" w:name="_Toc414962141"/>
      <w:r>
        <w:rPr>
          <w:rStyle w:val="CharSectno"/>
        </w:rPr>
        <w:t>88</w:t>
      </w:r>
      <w:r>
        <w:t>.</w:t>
      </w:r>
      <w:r>
        <w:tab/>
        <w:t>On</w:t>
      </w:r>
      <w:r>
        <w:noBreakHyphen/>
        <w:t>course totalisator bets to be properly marked</w:t>
      </w:r>
      <w:bookmarkEnd w:id="243"/>
      <w:bookmarkEnd w:id="244"/>
      <w:bookmarkEnd w:id="245"/>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in Gazette 21 Jul 2006 p. 2680.]</w:t>
      </w:r>
    </w:p>
    <w:p>
      <w:pPr>
        <w:pStyle w:val="Heading5"/>
        <w:spacing w:before="180"/>
      </w:pPr>
      <w:bookmarkStart w:id="246" w:name="_Toc407692253"/>
      <w:bookmarkStart w:id="247" w:name="_Toc438111848"/>
      <w:bookmarkStart w:id="248" w:name="_Toc414962142"/>
      <w:r>
        <w:rPr>
          <w:rStyle w:val="CharSectno"/>
        </w:rPr>
        <w:t>89</w:t>
      </w:r>
      <w:r>
        <w:t>.</w:t>
      </w:r>
      <w:r>
        <w:tab/>
        <w:t>Local on</w:t>
      </w:r>
      <w:r>
        <w:noBreakHyphen/>
        <w:t>course totalisator bets to be properly marked</w:t>
      </w:r>
      <w:bookmarkEnd w:id="246"/>
      <w:bookmarkEnd w:id="247"/>
      <w:bookmarkEnd w:id="248"/>
    </w:p>
    <w:p>
      <w:pPr>
        <w:pStyle w:val="Subsection"/>
        <w:spacing w:before="140"/>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spacing w:before="140"/>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spacing w:before="140"/>
      </w:pPr>
      <w:r>
        <w:tab/>
        <w:t>(3)</w:t>
      </w:r>
      <w:r>
        <w:tab/>
        <w:t>A local on</w:t>
      </w:r>
      <w:r>
        <w:noBreakHyphen/>
        <w:t>course totalisator is not to accept instructions for alternative bets in the event of the horse or greyhound selected being scratched.</w:t>
      </w:r>
    </w:p>
    <w:p>
      <w:pPr>
        <w:pStyle w:val="Footnotesection"/>
      </w:pPr>
      <w:r>
        <w:tab/>
        <w:t>[Regulation 89 inserted in Gazette 21 Jul 2006 p. 2681.]</w:t>
      </w:r>
    </w:p>
    <w:p>
      <w:pPr>
        <w:pStyle w:val="Heading5"/>
        <w:spacing w:before="180"/>
      </w:pPr>
      <w:bookmarkStart w:id="249" w:name="_Toc407692254"/>
      <w:bookmarkStart w:id="250" w:name="_Toc438111849"/>
      <w:bookmarkStart w:id="251" w:name="_Toc414962143"/>
      <w:r>
        <w:rPr>
          <w:rStyle w:val="CharSectno"/>
        </w:rPr>
        <w:t>90</w:t>
      </w:r>
      <w:r>
        <w:t>.</w:t>
      </w:r>
      <w:r>
        <w:tab/>
        <w:t>Tickets to be properly marked</w:t>
      </w:r>
      <w:bookmarkEnd w:id="249"/>
      <w:bookmarkEnd w:id="250"/>
      <w:bookmarkEnd w:id="251"/>
    </w:p>
    <w:p>
      <w:pPr>
        <w:pStyle w:val="Subsection"/>
      </w:pPr>
      <w:r>
        <w:tab/>
        <w:t>(1)</w:t>
      </w:r>
      <w:r>
        <w:tab/>
        <w:t>Every ticket issued by an on</w:t>
      </w:r>
      <w:r>
        <w:noBreakHyphen/>
        <w:t>course totalisator or local on</w:t>
      </w:r>
      <w:r>
        <w:noBreakHyphen/>
        <w:t>course totalisator is to be printed, written, stamped, punched or marked to show the kind of bet and, in the case of a bet on a race or races, other than a favourite numbers bet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tab/>
        <w:t>(c)</w:t>
      </w:r>
      <w:r>
        <w:tab/>
        <w:t>the code number that has been allocated by RWWA to the horse or greyhound or horses or greyhounds on which the bet in respect of which the ticket is issued is made,</w:t>
      </w:r>
    </w:p>
    <w:p>
      <w:pPr>
        <w:pStyle w:val="Subsection"/>
        <w:spacing w:before="120"/>
      </w:pPr>
      <w:r>
        <w:tab/>
      </w:r>
      <w:r>
        <w:tab/>
        <w:t>together with sufficient details to identify the bet accepted.</w:t>
      </w:r>
    </w:p>
    <w:p>
      <w:pPr>
        <w:pStyle w:val="Subsection"/>
        <w:spacing w:before="120"/>
      </w:pPr>
      <w:r>
        <w:tab/>
        <w:t>(1a)</w:t>
      </w:r>
      <w:r>
        <w:tab/>
        <w:t>A ticket issued by an on</w:t>
      </w:r>
      <w:r>
        <w:noBreakHyphen/>
        <w:t>course totalisator or local on</w:t>
      </w:r>
      <w:r>
        <w:noBreakHyphen/>
        <w:t>course totalisator must show details of the amount of the bet and —</w:t>
      </w:r>
    </w:p>
    <w:p>
      <w:pPr>
        <w:pStyle w:val="Indenta"/>
        <w:spacing w:before="60"/>
      </w:pPr>
      <w:r>
        <w:tab/>
        <w:t>(a)</w:t>
      </w:r>
      <w:r>
        <w:tab/>
        <w:t>where the bet is not a Flexi Bet, the amount is to be expressed in units of 50 cents;</w:t>
      </w:r>
    </w:p>
    <w:p>
      <w:pPr>
        <w:pStyle w:val="Indenta"/>
        <w:spacing w:before="60"/>
      </w:pPr>
      <w:r>
        <w:tab/>
        <w:t>(b)</w:t>
      </w:r>
      <w:r>
        <w:tab/>
        <w:t>where the bet is a Flexi Bet, the amount may be expressed in units of 50 cents, percentages of 50 cent units or fractions of units of 50 cents.</w:t>
      </w:r>
    </w:p>
    <w:p>
      <w:pPr>
        <w:pStyle w:val="Subsection"/>
        <w:spacing w:before="120"/>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in Gazette 21 Jul 2006 p. 2681</w:t>
      </w:r>
      <w:r>
        <w:noBreakHyphen/>
        <w:t>2; amended in Gazette 18 Sep 2007 p. 4717</w:t>
      </w:r>
      <w:r>
        <w:noBreakHyphen/>
        <w:t>18.]</w:t>
      </w:r>
    </w:p>
    <w:p>
      <w:pPr>
        <w:pStyle w:val="Heading5"/>
        <w:spacing w:before="180"/>
      </w:pPr>
      <w:bookmarkStart w:id="252" w:name="_Toc407692255"/>
      <w:bookmarkStart w:id="253" w:name="_Toc438111850"/>
      <w:bookmarkStart w:id="254" w:name="_Toc414962144"/>
      <w:r>
        <w:rPr>
          <w:rStyle w:val="CharSectno"/>
        </w:rPr>
        <w:t>91</w:t>
      </w:r>
      <w:r>
        <w:t>.</w:t>
      </w:r>
      <w:r>
        <w:tab/>
        <w:t>Host racing club to exhibit notices at on</w:t>
      </w:r>
      <w:r>
        <w:noBreakHyphen/>
        <w:t>course totalisator and local on</w:t>
      </w:r>
      <w:r>
        <w:noBreakHyphen/>
        <w:t>course totalisator</w:t>
      </w:r>
      <w:bookmarkEnd w:id="252"/>
      <w:bookmarkEnd w:id="253"/>
      <w:bookmarkEnd w:id="254"/>
    </w:p>
    <w:p>
      <w:pPr>
        <w:pStyle w:val="Subsection"/>
        <w:spacing w:before="120"/>
      </w:pPr>
      <w:r>
        <w:tab/>
        <w:t>(1)</w:t>
      </w:r>
      <w:r>
        <w:tab/>
        <w:t>The authority controlling the race meeting (</w:t>
      </w:r>
      <w:r>
        <w:rPr>
          <w:rStyle w:val="CharDefText"/>
        </w:rPr>
        <w:t>host club</w:t>
      </w:r>
      <w:r>
        <w:t>)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r>
        <w:tab/>
        <w:t>[Regulation 91 inserted in Gazette 21 Jul 2006 p. 2682.]</w:t>
      </w:r>
    </w:p>
    <w:p>
      <w:pPr>
        <w:pStyle w:val="Heading5"/>
      </w:pPr>
      <w:bookmarkStart w:id="255" w:name="_Toc407692256"/>
      <w:bookmarkStart w:id="256" w:name="_Toc438111851"/>
      <w:bookmarkStart w:id="257" w:name="_Toc414962145"/>
      <w:r>
        <w:rPr>
          <w:rStyle w:val="CharSectno"/>
        </w:rPr>
        <w:t>92</w:t>
      </w:r>
      <w:r>
        <w:t>.</w:t>
      </w:r>
      <w:r>
        <w:tab/>
        <w:t>Correction of errors and omissions and the giving of certain refunds</w:t>
      </w:r>
      <w:bookmarkEnd w:id="255"/>
      <w:bookmarkEnd w:id="256"/>
      <w:bookmarkEnd w:id="257"/>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course totalisator may cancel that ticket —</w:t>
      </w:r>
    </w:p>
    <w:p>
      <w:pPr>
        <w:pStyle w:val="Indenta"/>
      </w:pPr>
      <w:r>
        <w:tab/>
        <w:t>(a)</w:t>
      </w:r>
      <w:r>
        <w:tab/>
        <w:t>more than 30 minutes prior to the advertised starting time for the race or sporting event, for any reason; or</w:t>
      </w:r>
    </w:p>
    <w:p>
      <w:pPr>
        <w:pStyle w:val="Indenta"/>
      </w:pPr>
      <w:r>
        <w:tab/>
        <w:t>(b)</w:t>
      </w:r>
      <w:r>
        <w:tab/>
        <w:t>within 30 minutes prior to the advertised starting time for the race or sporting event, if the cancellation is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Unless subregulation (1) applies, where a ticket is incomplete as to any of the particulars required to be shown on the ticket, or if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r>
        <w:tab/>
        <w:t>[Regulation 92 inserted in Gazette 21 Jul 2006 p. 2683</w:t>
      </w:r>
      <w:r>
        <w:noBreakHyphen/>
        <w:t>4; amended in Gazette 10 Oct 2006 p. 4392.]</w:t>
      </w:r>
    </w:p>
    <w:p>
      <w:pPr>
        <w:pStyle w:val="Heading5"/>
      </w:pPr>
      <w:bookmarkStart w:id="258" w:name="_Toc407692257"/>
      <w:bookmarkStart w:id="259" w:name="_Toc438111852"/>
      <w:bookmarkStart w:id="260" w:name="_Toc414962146"/>
      <w:r>
        <w:rPr>
          <w:rStyle w:val="CharSectno"/>
        </w:rPr>
        <w:t>93</w:t>
      </w:r>
      <w:r>
        <w:t>.</w:t>
      </w:r>
      <w:r>
        <w:tab/>
        <w:t>Time for payment of dividends or refunds for cash bets</w:t>
      </w:r>
      <w:bookmarkEnd w:id="258"/>
      <w:bookmarkEnd w:id="259"/>
      <w:bookmarkEnd w:id="260"/>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r>
        <w:tab/>
        <w:t>[Regulation 93 inserted in Gazette 21 Jul 2006 p. 2684</w:t>
      </w:r>
      <w:r>
        <w:noBreakHyphen/>
        <w:t>5.]</w:t>
      </w:r>
    </w:p>
    <w:p>
      <w:pPr>
        <w:pStyle w:val="Heading5"/>
      </w:pPr>
      <w:bookmarkStart w:id="261" w:name="_Toc407692258"/>
      <w:bookmarkStart w:id="262" w:name="_Toc438111853"/>
      <w:bookmarkStart w:id="263" w:name="_Toc414962147"/>
      <w:r>
        <w:rPr>
          <w:rStyle w:val="CharSectno"/>
        </w:rPr>
        <w:t>94</w:t>
      </w:r>
      <w:r>
        <w:t>.</w:t>
      </w:r>
      <w:r>
        <w:tab/>
        <w:t>Presentation of tickets or claims</w:t>
      </w:r>
      <w:bookmarkEnd w:id="261"/>
      <w:bookmarkEnd w:id="262"/>
      <w:bookmarkEnd w:id="263"/>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course totalisator may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r>
        <w:tab/>
        <w:t>[Regulation 94 inserted in Gazette 21 Jul 2006 p. 2685</w:t>
      </w:r>
      <w:r>
        <w:noBreakHyphen/>
        <w:t>6.]</w:t>
      </w:r>
    </w:p>
    <w:p>
      <w:pPr>
        <w:pStyle w:val="Heading5"/>
      </w:pPr>
      <w:bookmarkStart w:id="264" w:name="_Toc407692259"/>
      <w:bookmarkStart w:id="265" w:name="_Toc438111854"/>
      <w:bookmarkStart w:id="266" w:name="_Toc414962148"/>
      <w:r>
        <w:rPr>
          <w:rStyle w:val="CharSectno"/>
        </w:rPr>
        <w:t>95</w:t>
      </w:r>
      <w:r>
        <w:t>.</w:t>
      </w:r>
      <w:r>
        <w:tab/>
        <w:t>When refunds of bets are payable</w:t>
      </w:r>
      <w:bookmarkEnd w:id="264"/>
      <w:bookmarkEnd w:id="265"/>
      <w:bookmarkEnd w:id="266"/>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pPr>
      <w:r>
        <w:tab/>
        <w:t>(2)</w:t>
      </w:r>
      <w:r>
        <w:tab/>
        <w:t>Where a refund is payable under subregulation (1) due to a scratching, and the person entitled to the refund wishes to obtain that refund prior to the running of the race, that person may, on request, obtain a refund of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course totalisator is to refund all of the amounts of bets made in respect of races that were to be but were not held on that day at that race meeting other than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spacing w:before="140"/>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spacing w:before="100"/>
        <w:ind w:left="890" w:hanging="890"/>
      </w:pPr>
      <w:r>
        <w:tab/>
        <w:t>[Regulation 95 inserted in Gazette 21 Jul 2006 p. 2686</w:t>
      </w:r>
      <w:r>
        <w:noBreakHyphen/>
        <w:t>8.]</w:t>
      </w:r>
    </w:p>
    <w:p>
      <w:pPr>
        <w:pStyle w:val="Heading3"/>
      </w:pPr>
      <w:bookmarkStart w:id="267" w:name="_Toc407692260"/>
      <w:bookmarkStart w:id="268" w:name="_Toc414962030"/>
      <w:bookmarkStart w:id="269" w:name="_Toc414962149"/>
      <w:bookmarkStart w:id="270" w:name="_Toc438111855"/>
      <w:r>
        <w:rPr>
          <w:rStyle w:val="CharDivNo"/>
        </w:rPr>
        <w:t>Division 3</w:t>
      </w:r>
      <w:r>
        <w:t> — </w:t>
      </w:r>
      <w:r>
        <w:rPr>
          <w:rStyle w:val="CharDivText"/>
        </w:rPr>
        <w:t>Miscellaneous discipline and offence provisions</w:t>
      </w:r>
      <w:bookmarkEnd w:id="267"/>
      <w:bookmarkEnd w:id="268"/>
      <w:bookmarkEnd w:id="269"/>
      <w:bookmarkEnd w:id="270"/>
    </w:p>
    <w:p>
      <w:pPr>
        <w:pStyle w:val="Footnoteheading"/>
        <w:spacing w:before="100"/>
      </w:pPr>
      <w:r>
        <w:tab/>
        <w:t>[Heading inserted in Gazette 21 Jul 2006 p. 2688.]</w:t>
      </w:r>
    </w:p>
    <w:p>
      <w:pPr>
        <w:pStyle w:val="Heading5"/>
      </w:pPr>
      <w:bookmarkStart w:id="271" w:name="_Toc407692261"/>
      <w:bookmarkStart w:id="272" w:name="_Toc438111856"/>
      <w:bookmarkStart w:id="273" w:name="_Toc414962150"/>
      <w:r>
        <w:rPr>
          <w:rStyle w:val="CharSectno"/>
        </w:rPr>
        <w:t>96</w:t>
      </w:r>
      <w:r>
        <w:t>.</w:t>
      </w:r>
      <w:r>
        <w:tab/>
        <w:t>Person making bet bound by these regulations, the rules of wagering and instructions</w:t>
      </w:r>
      <w:bookmarkEnd w:id="271"/>
      <w:bookmarkEnd w:id="272"/>
      <w:bookmarkEnd w:id="273"/>
    </w:p>
    <w:p>
      <w:pPr>
        <w:pStyle w:val="Subsection"/>
        <w:spacing w:before="140"/>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spacing w:before="140"/>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spacing w:before="100"/>
        <w:ind w:left="890" w:hanging="890"/>
      </w:pPr>
      <w:r>
        <w:tab/>
        <w:t>[Regulation 96 inserted in Gazette 21 Jul 2006 p. 2688.]</w:t>
      </w:r>
    </w:p>
    <w:p>
      <w:pPr>
        <w:pStyle w:val="Heading5"/>
      </w:pPr>
      <w:bookmarkStart w:id="274" w:name="_Toc407692262"/>
      <w:bookmarkStart w:id="275" w:name="_Toc438111857"/>
      <w:bookmarkStart w:id="276" w:name="_Toc414962151"/>
      <w:r>
        <w:rPr>
          <w:rStyle w:val="CharSectno"/>
        </w:rPr>
        <w:t>97</w:t>
      </w:r>
      <w:r>
        <w:t>.</w:t>
      </w:r>
      <w:r>
        <w:tab/>
        <w:t>Offences relating to making and accepting wagers</w:t>
      </w:r>
      <w:bookmarkEnd w:id="274"/>
      <w:bookmarkEnd w:id="275"/>
      <w:bookmarkEnd w:id="276"/>
    </w:p>
    <w:p>
      <w:pPr>
        <w:pStyle w:val="Subsection"/>
        <w:spacing w:before="140"/>
      </w:pPr>
      <w:r>
        <w:tab/>
        <w:t>(1)</w:t>
      </w:r>
      <w:r>
        <w:tab/>
        <w:t>The offences set out in this regulation are committed by a person if that person is —</w:t>
      </w:r>
    </w:p>
    <w:p>
      <w:pPr>
        <w:pStyle w:val="Defpara"/>
        <w:spacing w:before="60"/>
      </w:pPr>
      <w:r>
        <w:tab/>
        <w:t>(a)</w:t>
      </w:r>
      <w:r>
        <w:tab/>
        <w:t>a person representing the authority operating a local on</w:t>
      </w:r>
      <w:r>
        <w:noBreakHyphen/>
        <w:t>course totalisator; or</w:t>
      </w:r>
    </w:p>
    <w:p>
      <w:pPr>
        <w:pStyle w:val="Defpara"/>
        <w:spacing w:before="60"/>
      </w:pPr>
      <w:r>
        <w:tab/>
        <w:t>(b)</w:t>
      </w:r>
      <w:r>
        <w:tab/>
        <w:t>a representative of the racing club operating an on</w:t>
      </w:r>
      <w:r>
        <w:noBreakHyphen/>
        <w:t>course totalisator; or</w:t>
      </w:r>
    </w:p>
    <w:p>
      <w:pPr>
        <w:pStyle w:val="Defpara"/>
        <w:spacing w:before="60"/>
      </w:pPr>
      <w:r>
        <w:tab/>
        <w:t>(c)</w:t>
      </w:r>
      <w:r>
        <w:tab/>
        <w:t>a person employed or otherwise engaged to assist in the operation of an on</w:t>
      </w:r>
      <w:r>
        <w:noBreakHyphen/>
        <w:t>course totalisator or a local on</w:t>
      </w:r>
      <w:r>
        <w:noBreakHyphen/>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A person who accepts a wager contrary to —</w:t>
      </w:r>
    </w:p>
    <w:p>
      <w:pPr>
        <w:pStyle w:val="Indenta"/>
      </w:pPr>
      <w:r>
        <w:tab/>
        <w:t>(a)</w:t>
      </w:r>
      <w:r>
        <w:tab/>
        <w:t>a method allowed by regulation 87; or</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in Gazette 21 Jul 2006 p. 2688</w:t>
      </w:r>
      <w:r>
        <w:noBreakHyphen/>
        <w:t>9.]</w:t>
      </w:r>
    </w:p>
    <w:p>
      <w:pPr>
        <w:pStyle w:val="Heading2"/>
      </w:pPr>
      <w:bookmarkStart w:id="277" w:name="_Toc407692263"/>
      <w:bookmarkStart w:id="278" w:name="_Toc414962033"/>
      <w:bookmarkStart w:id="279" w:name="_Toc414962152"/>
      <w:bookmarkStart w:id="280" w:name="_Toc438111858"/>
      <w:r>
        <w:rPr>
          <w:rStyle w:val="CharPartNo"/>
        </w:rPr>
        <w:t>Part 5</w:t>
      </w:r>
      <w:r>
        <w:rPr>
          <w:rStyle w:val="CharDivNo"/>
        </w:rPr>
        <w:t> </w:t>
      </w:r>
      <w:r>
        <w:t>—</w:t>
      </w:r>
      <w:r>
        <w:rPr>
          <w:rStyle w:val="CharDivText"/>
        </w:rPr>
        <w:t> </w:t>
      </w:r>
      <w:r>
        <w:rPr>
          <w:rStyle w:val="CharPartText"/>
        </w:rPr>
        <w:t>Approval to publish or make available WA race fields</w:t>
      </w:r>
      <w:bookmarkEnd w:id="277"/>
      <w:bookmarkEnd w:id="278"/>
      <w:bookmarkEnd w:id="279"/>
      <w:bookmarkEnd w:id="280"/>
    </w:p>
    <w:p>
      <w:pPr>
        <w:pStyle w:val="Footnoteheading"/>
      </w:pPr>
      <w:r>
        <w:tab/>
        <w:t>[Heading inserted in Gazette 22 Jun 2007 p. 2863.]</w:t>
      </w:r>
    </w:p>
    <w:p>
      <w:pPr>
        <w:pStyle w:val="Heading5"/>
      </w:pPr>
      <w:bookmarkStart w:id="281" w:name="_Toc407692264"/>
      <w:bookmarkStart w:id="282" w:name="_Toc438111859"/>
      <w:bookmarkStart w:id="283" w:name="_Toc414962153"/>
      <w:r>
        <w:rPr>
          <w:rStyle w:val="CharSectno"/>
        </w:rPr>
        <w:t>98</w:t>
      </w:r>
      <w:r>
        <w:t>.</w:t>
      </w:r>
      <w:r>
        <w:tab/>
        <w:t>Terms used</w:t>
      </w:r>
      <w:bookmarkEnd w:id="281"/>
      <w:bookmarkEnd w:id="282"/>
      <w:bookmarkEnd w:id="283"/>
    </w:p>
    <w:p>
      <w:pPr>
        <w:pStyle w:val="Subsection"/>
        <w:spacing w:before="120"/>
      </w:pPr>
      <w:r>
        <w:tab/>
      </w:r>
      <w:r>
        <w:tab/>
        <w:t>In this Part —</w:t>
      </w:r>
    </w:p>
    <w:p>
      <w:pPr>
        <w:pStyle w:val="Defstart"/>
        <w:spacing w:before="60"/>
      </w:pPr>
      <w:r>
        <w:tab/>
      </w:r>
      <w:r>
        <w:rPr>
          <w:rStyle w:val="CharDefText"/>
        </w:rPr>
        <w:t>another jurisdiction</w:t>
      </w:r>
      <w:r>
        <w:t xml:space="preserve"> means a jurisdiction outside </w:t>
      </w:r>
      <w:smartTag w:uri="urn:schemas-microsoft-com:office:smarttags" w:element="place">
        <w:smartTag w:uri="urn:schemas-microsoft-com:office:smarttags" w:element="country-region">
          <w:r>
            <w:t>Australia</w:t>
          </w:r>
        </w:smartTag>
      </w:smartTag>
      <w:r>
        <w:t>;</w:t>
      </w:r>
    </w:p>
    <w:p>
      <w:pPr>
        <w:pStyle w:val="Defstart"/>
        <w:spacing w:before="60"/>
      </w:pPr>
      <w:r>
        <w:tab/>
      </w:r>
      <w:r>
        <w:rPr>
          <w:rStyle w:val="CharDefText"/>
        </w:rPr>
        <w:t>approval</w:t>
      </w:r>
      <w:r>
        <w:t xml:space="preserve"> means an approval under section 27D(2) of the Act;</w:t>
      </w:r>
    </w:p>
    <w:p>
      <w:pPr>
        <w:pStyle w:val="Defstart"/>
        <w:spacing w:before="60"/>
      </w:pPr>
      <w:r>
        <w:tab/>
      </w:r>
      <w:r>
        <w:rPr>
          <w:rStyle w:val="CharDefText"/>
        </w:rPr>
        <w:t>authorisation</w:t>
      </w:r>
      <w:r>
        <w:t xml:space="preserve"> includes a licence;</w:t>
      </w:r>
    </w:p>
    <w:p>
      <w:pPr>
        <w:pStyle w:val="Defstart"/>
        <w:spacing w:before="60"/>
      </w:pPr>
      <w:r>
        <w:tab/>
      </w:r>
      <w:r>
        <w:rPr>
          <w:rStyle w:val="CharDefText"/>
        </w:rPr>
        <w:t>betting</w:t>
      </w:r>
      <w:r>
        <w:t xml:space="preserve"> includes —</w:t>
      </w:r>
    </w:p>
    <w:p>
      <w:pPr>
        <w:pStyle w:val="Defpara"/>
        <w:spacing w:before="60"/>
      </w:pPr>
      <w:r>
        <w:tab/>
        <w:t>(a)</w:t>
      </w:r>
      <w:r>
        <w:tab/>
        <w:t>carrying on the business or vocation of, or acting as, a bookmaker; or</w:t>
      </w:r>
    </w:p>
    <w:p>
      <w:pPr>
        <w:pStyle w:val="Defpara"/>
        <w:spacing w:before="60"/>
      </w:pPr>
      <w:r>
        <w:tab/>
        <w:t>(b)</w:t>
      </w:r>
      <w:r>
        <w:tab/>
        <w:t>conducting betting by the operation of a totalisator; or</w:t>
      </w:r>
    </w:p>
    <w:p>
      <w:pPr>
        <w:pStyle w:val="Defpara"/>
        <w:spacing w:before="60"/>
      </w:pPr>
      <w:r>
        <w:tab/>
        <w:t>(c)</w:t>
      </w:r>
      <w:r>
        <w:tab/>
        <w:t>operating a betting exchange (however described); or</w:t>
      </w:r>
    </w:p>
    <w:p>
      <w:pPr>
        <w:pStyle w:val="Defpara"/>
        <w:spacing w:before="60"/>
      </w:pPr>
      <w:r>
        <w:tab/>
        <w:t>(d)</w:t>
      </w:r>
      <w:r>
        <w:tab/>
        <w:t>gaining or endeavouring to gain a livelihood wholly or partly by making bets;</w:t>
      </w:r>
    </w:p>
    <w:p>
      <w:pPr>
        <w:pStyle w:val="Defstart"/>
        <w:spacing w:before="60"/>
      </w:pPr>
      <w:r>
        <w:tab/>
      </w:r>
      <w:r>
        <w:rPr>
          <w:rStyle w:val="CharDefText"/>
        </w:rPr>
        <w:t>relevant person</w:t>
      </w:r>
      <w:r>
        <w:t>, in relation to a decision by the Commission under section 27D(5) of the Act relating to an approval, means the person applying for, or holding, the approval, as the case requires.</w:t>
      </w:r>
    </w:p>
    <w:p>
      <w:pPr>
        <w:pStyle w:val="Footnotesection"/>
      </w:pPr>
      <w:r>
        <w:tab/>
        <w:t>[Regulation 98 inserted in Gazette 8 Jan 2010 p. 20.]</w:t>
      </w:r>
    </w:p>
    <w:p>
      <w:pPr>
        <w:pStyle w:val="Heading5"/>
      </w:pPr>
      <w:bookmarkStart w:id="284" w:name="_Toc407692265"/>
      <w:bookmarkStart w:id="285" w:name="_Toc438111860"/>
      <w:bookmarkStart w:id="286" w:name="_Toc414962154"/>
      <w:r>
        <w:rPr>
          <w:rStyle w:val="CharSectno"/>
        </w:rPr>
        <w:t>99</w:t>
      </w:r>
      <w:r>
        <w:t>.</w:t>
      </w:r>
      <w:r>
        <w:tab/>
        <w:t>Prescribed criteria: section 27D(5)</w:t>
      </w:r>
      <w:bookmarkEnd w:id="284"/>
      <w:bookmarkEnd w:id="285"/>
      <w:bookmarkEnd w:id="286"/>
    </w:p>
    <w:p>
      <w:pPr>
        <w:pStyle w:val="Subsection"/>
        <w:spacing w:before="120"/>
      </w:pPr>
      <w:r>
        <w:tab/>
        <w:t>(1)</w:t>
      </w:r>
      <w:r>
        <w:tab/>
        <w:t>For the purposes of section 27D(5) of the Act the prescribed criteria are as follows —</w:t>
      </w:r>
    </w:p>
    <w:p>
      <w:pPr>
        <w:pStyle w:val="Indenta"/>
        <w:spacing w:before="60"/>
      </w:pPr>
      <w:r>
        <w:tab/>
        <w:t>(a)</w:t>
      </w:r>
      <w:r>
        <w:tab/>
        <w:t>whether the Commission is satisfied that —</w:t>
      </w:r>
    </w:p>
    <w:p>
      <w:pPr>
        <w:pStyle w:val="Indenti"/>
        <w:spacing w:before="60"/>
      </w:pPr>
      <w:r>
        <w:tab/>
        <w:t>(i)</w:t>
      </w:r>
      <w:r>
        <w:tab/>
        <w:t>the relevant person; or</w:t>
      </w:r>
    </w:p>
    <w:p>
      <w:pPr>
        <w:pStyle w:val="Indenti"/>
        <w:spacing w:before="60"/>
      </w:pPr>
      <w:r>
        <w:tab/>
        <w:t>(ii)</w:t>
      </w:r>
      <w:r>
        <w:tab/>
        <w:t>if the relevant person is a partnership, each member of the partnership who is a natural person,</w:t>
      </w:r>
    </w:p>
    <w:p>
      <w:pPr>
        <w:pStyle w:val="Indenta"/>
        <w:spacing w:before="60"/>
      </w:pPr>
      <w:r>
        <w:tab/>
      </w:r>
      <w:r>
        <w:tab/>
        <w:t>is, or continues to be, a fit and proper person to be granted, or continue to hold, an approval;</w:t>
      </w:r>
    </w:p>
    <w:p>
      <w:pPr>
        <w:pStyle w:val="Indenta"/>
      </w:pPr>
      <w:r>
        <w:tab/>
        <w:t>(b)</w:t>
      </w:r>
      <w:r>
        <w:tab/>
        <w:t>if the relevant person is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Commission is satisfied that each person who occupies a position of authority in the body corporate would be a fit and proper person to be granted, or continue to hold, an approval if the person were to apply for, or hold, the approval personally;</w:t>
      </w:r>
    </w:p>
    <w:p>
      <w:pPr>
        <w:pStyle w:val="Indenta"/>
      </w:pPr>
      <w:r>
        <w:tab/>
        <w:t>(c)</w:t>
      </w:r>
      <w:r>
        <w:tab/>
        <w:t>whether a member of the staff of the relevant person is under 18 years of age;</w:t>
      </w:r>
    </w:p>
    <w:p>
      <w:pPr>
        <w:pStyle w:val="Indenta"/>
      </w:pPr>
      <w:r>
        <w:tab/>
        <w:t>(d)</w:t>
      </w:r>
      <w:r>
        <w:tab/>
        <w:t>if the relevant person conducts, or intends to conduct, betting that is required under the laws of this State, another State, a Territory or another jurisdiction to be licensed or otherwise authorised, whether the relevant person holds, or continues to hold, the required authorisation to do so;</w:t>
      </w:r>
    </w:p>
    <w:p>
      <w:pPr>
        <w:pStyle w:val="Indenta"/>
      </w:pPr>
      <w:r>
        <w:tab/>
        <w:t>(e)</w:t>
      </w:r>
      <w:r>
        <w:tab/>
        <w:t>whether the relevant person has failed to comply with a condition on an approval imposed under section 27D(3) of the Act or a condition to which an approval is subject under section 27D(4A) of the Act.</w:t>
      </w:r>
    </w:p>
    <w:p>
      <w:pPr>
        <w:pStyle w:val="Subsection"/>
      </w:pPr>
      <w:r>
        <w:tab/>
        <w:t>(2)</w:t>
      </w:r>
      <w:r>
        <w:tab/>
        <w:t>For the purpose of, and without limiting, subregulation (1)(a) and (b), the Commission may take into account —</w:t>
      </w:r>
    </w:p>
    <w:p>
      <w:pPr>
        <w:pStyle w:val="Indenta"/>
      </w:pPr>
      <w:r>
        <w:tab/>
        <w:t>(a)</w:t>
      </w:r>
      <w:r>
        <w:tab/>
        <w:t>the reputation and background of persons suspected by the Commission to be associated with the relevant person; and</w:t>
      </w:r>
    </w:p>
    <w:p>
      <w:pPr>
        <w:pStyle w:val="Indenta"/>
      </w:pPr>
      <w:r>
        <w:tab/>
        <w:t>(b)</w:t>
      </w:r>
      <w:r>
        <w:tab/>
        <w:t>the number and nature of any convictions recorded, or charges pending, against the relevant person or another person referred to in subregulation (1)(a)(ii) or (b) for offences against the laws of this State, another State, a Territory or another jurisdiction, having particular regard to offences against laws relating to wagering.</w:t>
      </w:r>
    </w:p>
    <w:p>
      <w:pPr>
        <w:pStyle w:val="Footnotesection"/>
      </w:pPr>
      <w:r>
        <w:tab/>
        <w:t>[Regulation 99 inserted in Gazette 8 Jan 2010 p. 20-1.]</w:t>
      </w:r>
    </w:p>
    <w:p>
      <w:pPr>
        <w:pStyle w:val="Heading5"/>
      </w:pPr>
      <w:bookmarkStart w:id="287" w:name="_Toc407692266"/>
      <w:bookmarkStart w:id="288" w:name="_Toc438111861"/>
      <w:bookmarkStart w:id="289" w:name="_Toc414962155"/>
      <w:r>
        <w:rPr>
          <w:rStyle w:val="CharSectno"/>
        </w:rPr>
        <w:t>100</w:t>
      </w:r>
      <w:r>
        <w:t>.</w:t>
      </w:r>
      <w:r>
        <w:tab/>
        <w:t>Application for approval</w:t>
      </w:r>
      <w:bookmarkEnd w:id="287"/>
      <w:bookmarkEnd w:id="288"/>
      <w:bookmarkEnd w:id="289"/>
    </w:p>
    <w:p>
      <w:pPr>
        <w:pStyle w:val="Subsection"/>
      </w:pPr>
      <w:r>
        <w:tab/>
        <w:t>(1)</w:t>
      </w:r>
      <w:r>
        <w:tab/>
        <w:t>An application for an approval —</w:t>
      </w:r>
    </w:p>
    <w:p>
      <w:pPr>
        <w:pStyle w:val="Indenta"/>
      </w:pPr>
      <w:r>
        <w:tab/>
        <w:t>(a)</w:t>
      </w:r>
      <w:r>
        <w:tab/>
        <w:t>is to be in the form approved by the Commission; and</w:t>
      </w:r>
    </w:p>
    <w:p>
      <w:pPr>
        <w:pStyle w:val="Indenta"/>
      </w:pPr>
      <w:r>
        <w:tab/>
        <w:t>(b)</w:t>
      </w:r>
      <w:r>
        <w:tab/>
        <w:t>is to be accompanied by any information required by the application form.</w:t>
      </w:r>
    </w:p>
    <w:p>
      <w:pPr>
        <w:pStyle w:val="Subsection"/>
      </w:pPr>
      <w:r>
        <w:tab/>
        <w:t>(2)</w:t>
      </w:r>
      <w:r>
        <w:tab/>
        <w:t>An applicant for an approval is to provide to the Commission any further information that the Commission reasonably requires for the proper consideration of the application.</w:t>
      </w:r>
    </w:p>
    <w:p>
      <w:pPr>
        <w:pStyle w:val="Footnotesection"/>
      </w:pPr>
      <w:r>
        <w:tab/>
        <w:t>[Regulation 100 inserted in Gazette 22 Jun 2007 p. 2865; amended in Gazette 8 Jan 2010 p. 21.]</w:t>
      </w:r>
    </w:p>
    <w:p>
      <w:pPr>
        <w:pStyle w:val="Heading2"/>
      </w:pPr>
      <w:bookmarkStart w:id="290" w:name="_Toc407692267"/>
      <w:bookmarkStart w:id="291" w:name="_Toc414962037"/>
      <w:bookmarkStart w:id="292" w:name="_Toc414962156"/>
      <w:bookmarkStart w:id="293" w:name="_Toc438111862"/>
      <w:r>
        <w:rPr>
          <w:rStyle w:val="CharPartNo"/>
        </w:rPr>
        <w:t>Part 6</w:t>
      </w:r>
      <w:r>
        <w:rPr>
          <w:b w:val="0"/>
        </w:rPr>
        <w:t> </w:t>
      </w:r>
      <w:r>
        <w:t>—</w:t>
      </w:r>
      <w:r>
        <w:rPr>
          <w:b w:val="0"/>
        </w:rPr>
        <w:t> </w:t>
      </w:r>
      <w:r>
        <w:rPr>
          <w:rStyle w:val="CharPartText"/>
        </w:rPr>
        <w:t>Racing bets levy</w:t>
      </w:r>
      <w:bookmarkEnd w:id="290"/>
      <w:bookmarkEnd w:id="291"/>
      <w:bookmarkEnd w:id="292"/>
      <w:bookmarkEnd w:id="293"/>
    </w:p>
    <w:p>
      <w:pPr>
        <w:pStyle w:val="Footnoteheading"/>
        <w:spacing w:before="100"/>
      </w:pPr>
      <w:r>
        <w:tab/>
        <w:t>[Heading inserted in Gazette 8 Jan 2010 p. 22.]</w:t>
      </w:r>
    </w:p>
    <w:p>
      <w:pPr>
        <w:pStyle w:val="Heading5"/>
        <w:spacing w:before="200"/>
      </w:pPr>
      <w:bookmarkStart w:id="294" w:name="_Toc407692268"/>
      <w:bookmarkStart w:id="295" w:name="_Toc438111863"/>
      <w:bookmarkStart w:id="296" w:name="_Toc414962157"/>
      <w:r>
        <w:rPr>
          <w:rStyle w:val="CharSectno"/>
        </w:rPr>
        <w:t>101</w:t>
      </w:r>
      <w:r>
        <w:t>.</w:t>
      </w:r>
      <w:r>
        <w:tab/>
        <w:t>Term used: approved offshore betting operator</w:t>
      </w:r>
      <w:bookmarkEnd w:id="294"/>
      <w:bookmarkEnd w:id="295"/>
      <w:bookmarkEnd w:id="296"/>
    </w:p>
    <w:p>
      <w:pPr>
        <w:pStyle w:val="Subsection"/>
        <w:spacing w:before="140"/>
      </w:pPr>
      <w:r>
        <w:tab/>
      </w:r>
      <w:r>
        <w:tab/>
        <w:t>In this Part —</w:t>
      </w:r>
    </w:p>
    <w:p>
      <w:pPr>
        <w:pStyle w:val="Defstart"/>
      </w:pPr>
      <w:r>
        <w:tab/>
      </w:r>
      <w:r>
        <w:rPr>
          <w:rStyle w:val="CharDefText"/>
        </w:rPr>
        <w:t>approved offshore betting operator</w:t>
      </w:r>
      <w:r>
        <w:t xml:space="preserve"> means the holder of an approval under section 27D(2) of the Act.</w:t>
      </w:r>
    </w:p>
    <w:p>
      <w:pPr>
        <w:pStyle w:val="Footnotesection"/>
        <w:spacing w:before="100"/>
      </w:pPr>
      <w:r>
        <w:tab/>
        <w:t>[Regulation 101 inserted in Gazette 8 Jan 2010 p. 22.]</w:t>
      </w:r>
    </w:p>
    <w:p>
      <w:pPr>
        <w:pStyle w:val="Heading5"/>
        <w:spacing w:before="200"/>
      </w:pPr>
      <w:bookmarkStart w:id="297" w:name="_Toc407692269"/>
      <w:bookmarkStart w:id="298" w:name="_Toc438111864"/>
      <w:bookmarkStart w:id="299" w:name="_Toc414962158"/>
      <w:r>
        <w:rPr>
          <w:rStyle w:val="CharSectno"/>
        </w:rPr>
        <w:t>102</w:t>
      </w:r>
      <w:r>
        <w:t>.</w:t>
      </w:r>
      <w:r>
        <w:tab/>
        <w:t>Prescribed period: section 14A(2)(a)</w:t>
      </w:r>
      <w:bookmarkEnd w:id="297"/>
      <w:bookmarkEnd w:id="298"/>
      <w:bookmarkEnd w:id="299"/>
    </w:p>
    <w:p>
      <w:pPr>
        <w:pStyle w:val="Subsection"/>
        <w:spacing w:before="140"/>
      </w:pPr>
      <w:r>
        <w:tab/>
        <w:t>(1)</w:t>
      </w:r>
      <w:r>
        <w:tab/>
        <w:t xml:space="preserve">For the purposes of section 14A(2)(a) of the Act, in respect of racing bets placed with, or placed or accepted through, a betting operator on or after 1 September 2008 and before the day on which the paragraph comes into operation (the </w:t>
      </w:r>
      <w:r>
        <w:rPr>
          <w:rStyle w:val="CharDefText"/>
        </w:rPr>
        <w:t>commencement day</w:t>
      </w:r>
      <w:r>
        <w:t>), the period prescribed is 28 days beginning on the commencement day.</w:t>
      </w:r>
    </w:p>
    <w:p>
      <w:pPr>
        <w:pStyle w:val="Subsection"/>
        <w:spacing w:before="140"/>
      </w:pPr>
      <w:r>
        <w:tab/>
        <w:t>(2)</w:t>
      </w:r>
      <w:r>
        <w:tab/>
        <w:t>For the purposes of section 14A(2)(a) of the Act, in respect of racing bets placed with, or placed or accepted through, a betting operator on or after the commencement day, the period prescribed is 14 days beginning on the first day of each month.</w:t>
      </w:r>
    </w:p>
    <w:p>
      <w:pPr>
        <w:pStyle w:val="Footnotesection"/>
        <w:spacing w:before="100"/>
      </w:pPr>
      <w:r>
        <w:tab/>
        <w:t>[Regulation 102 inserted in Gazette 8 Jan 2010 p. 22.]</w:t>
      </w:r>
    </w:p>
    <w:p>
      <w:pPr>
        <w:pStyle w:val="Heading5"/>
        <w:spacing w:before="200"/>
      </w:pPr>
      <w:bookmarkStart w:id="300" w:name="_Toc407692270"/>
      <w:bookmarkStart w:id="301" w:name="_Toc438111865"/>
      <w:bookmarkStart w:id="302" w:name="_Toc414962159"/>
      <w:r>
        <w:rPr>
          <w:rStyle w:val="CharSectno"/>
        </w:rPr>
        <w:t>103</w:t>
      </w:r>
      <w:r>
        <w:t>.</w:t>
      </w:r>
      <w:r>
        <w:tab/>
        <w:t>Information prescribed: section 27D(4A)(a)</w:t>
      </w:r>
      <w:bookmarkEnd w:id="300"/>
      <w:bookmarkEnd w:id="301"/>
      <w:bookmarkEnd w:id="302"/>
    </w:p>
    <w:p>
      <w:pPr>
        <w:pStyle w:val="Subsection"/>
        <w:spacing w:before="140"/>
      </w:pPr>
      <w:r>
        <w:tab/>
      </w:r>
      <w:r>
        <w:tab/>
        <w:t>For the purposes of section 27D(4A)(a) of the Act, the prescribed information is information in documents, records or accounts relating to racing bets placed with, or placed or accepted through, an approved offshore betting operator on or after 1 September 2008.</w:t>
      </w:r>
    </w:p>
    <w:p>
      <w:pPr>
        <w:pStyle w:val="Footnotesection"/>
        <w:spacing w:before="100"/>
      </w:pPr>
      <w:r>
        <w:tab/>
        <w:t>[Regulation 103 inserted in Gazette 8 Jan 2010 p. 22.]</w:t>
      </w:r>
    </w:p>
    <w:p>
      <w:pPr>
        <w:pStyle w:val="Heading5"/>
        <w:spacing w:before="200"/>
      </w:pPr>
      <w:bookmarkStart w:id="303" w:name="_Toc407692271"/>
      <w:bookmarkStart w:id="304" w:name="_Toc438111866"/>
      <w:bookmarkStart w:id="305" w:name="_Toc414962160"/>
      <w:r>
        <w:rPr>
          <w:rStyle w:val="CharSectno"/>
        </w:rPr>
        <w:t>104</w:t>
      </w:r>
      <w:r>
        <w:t>.</w:t>
      </w:r>
      <w:r>
        <w:tab/>
        <w:t>Manner of access to prescribed information: section 27D(4A)(a)</w:t>
      </w:r>
      <w:bookmarkEnd w:id="303"/>
      <w:bookmarkEnd w:id="304"/>
      <w:bookmarkEnd w:id="305"/>
    </w:p>
    <w:p>
      <w:pPr>
        <w:pStyle w:val="Subsection"/>
        <w:spacing w:before="140"/>
      </w:pPr>
      <w:r>
        <w:tab/>
        <w:t>(1)</w:t>
      </w:r>
      <w:r>
        <w:tab/>
        <w:t>For the purposes of section 27D(4A)(a) of the Act, this regulation sets out the prescribed manner of access to information prescribed under regulation 103 (</w:t>
      </w:r>
      <w:r>
        <w:rPr>
          <w:rStyle w:val="CharDefText"/>
        </w:rPr>
        <w:t>prescribed information</w:t>
      </w:r>
      <w:r>
        <w:t>).</w:t>
      </w:r>
    </w:p>
    <w:p>
      <w:pPr>
        <w:pStyle w:val="Subsection"/>
      </w:pPr>
      <w:r>
        <w:tab/>
        <w:t>(2)</w:t>
      </w:r>
      <w:r>
        <w:tab/>
        <w:t xml:space="preserve">An approved offshore betting operator must give the Commission or an officer of RWWA approved under section 27D(4A)(a)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An approved offshore betting operator must give the Commission or an approved officer access to prescribed information by —</w:t>
      </w:r>
    </w:p>
    <w:p>
      <w:pPr>
        <w:pStyle w:val="Indenta"/>
        <w:spacing w:before="70"/>
      </w:pPr>
      <w:r>
        <w:tab/>
        <w:t>(a)</w:t>
      </w:r>
      <w:r>
        <w:tab/>
        <w:t>allowing the Commission or the approved officer to have real</w:t>
      </w:r>
      <w:r>
        <w:noBreakHyphen/>
        <w:t>time access to any computerised betting system of the holder if it is reasonably practicable to do so; and</w:t>
      </w:r>
    </w:p>
    <w:p>
      <w:pPr>
        <w:pStyle w:val="Indenta"/>
        <w:spacing w:before="70"/>
      </w:pPr>
      <w:r>
        <w:tab/>
        <w:t>(b)</w:t>
      </w:r>
      <w:r>
        <w:tab/>
        <w:t>giving the Commission or the approved officer the capability to download and print out any such information.</w:t>
      </w:r>
    </w:p>
    <w:p>
      <w:pPr>
        <w:pStyle w:val="Footnotesection"/>
        <w:spacing w:before="100"/>
      </w:pPr>
      <w:r>
        <w:tab/>
        <w:t>[Regulation 104 inserted in Gazette 8 Jan 2010 p. 22-3]</w:t>
      </w:r>
    </w:p>
    <w:p>
      <w:pPr>
        <w:pStyle w:val="Heading5"/>
      </w:pPr>
      <w:bookmarkStart w:id="306" w:name="_Toc407692272"/>
      <w:bookmarkStart w:id="307" w:name="_Toc438111867"/>
      <w:bookmarkStart w:id="308" w:name="_Toc414962161"/>
      <w:r>
        <w:rPr>
          <w:rStyle w:val="CharSectno"/>
        </w:rPr>
        <w:t>105</w:t>
      </w:r>
      <w:r>
        <w:t>.</w:t>
      </w:r>
      <w:r>
        <w:tab/>
        <w:t>Prescribed conditions: section 27D(4A)(b)</w:t>
      </w:r>
      <w:bookmarkEnd w:id="306"/>
      <w:bookmarkEnd w:id="307"/>
      <w:bookmarkEnd w:id="308"/>
    </w:p>
    <w:p>
      <w:pPr>
        <w:pStyle w:val="Subsection"/>
      </w:pPr>
      <w:r>
        <w:tab/>
        <w:t>(1)</w:t>
      </w:r>
      <w:r>
        <w:tab/>
        <w:t>For the purposes of section 27D(4A)(b) of the Act, the prescribed conditions that an approved offshore betting operator must comply with are set out in this regulation.</w:t>
      </w:r>
    </w:p>
    <w:p>
      <w:pPr>
        <w:pStyle w:val="Subsection"/>
      </w:pPr>
      <w:r>
        <w:tab/>
        <w:t>(2)</w:t>
      </w:r>
      <w:r>
        <w:tab/>
        <w:t>An approved offshore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40"/>
      </w:pPr>
      <w:r>
        <w:tab/>
        <w:t>(3)</w:t>
      </w:r>
      <w:r>
        <w:tab/>
        <w:t>An approved offshore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40"/>
      </w:pPr>
      <w:r>
        <w:tab/>
        <w:t>(4)</w:t>
      </w:r>
      <w:r>
        <w:tab/>
        <w:t>An approved offshore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40"/>
      </w:pPr>
      <w:r>
        <w:tab/>
        <w:t>(5)</w:t>
      </w:r>
      <w:r>
        <w:tab/>
        <w:t>An approved offshore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spacing w:before="130"/>
      </w:pPr>
      <w:r>
        <w:tab/>
        <w:t>(6)</w:t>
      </w:r>
      <w:r>
        <w:tab/>
        <w:t>An approved offshore betting operator must report to an authorised officer of the Commission and the Chief Steward of RWWA any matter that the operator considers may affect the integrity or reputation of the Western Australian racing industry.</w:t>
      </w:r>
    </w:p>
    <w:p>
      <w:pPr>
        <w:pStyle w:val="Subsection"/>
        <w:spacing w:before="130"/>
      </w:pPr>
      <w:r>
        <w:tab/>
        <w:t>(7)</w:t>
      </w:r>
      <w:r>
        <w:tab/>
        <w:t>An approved offshore betting operator must, when requested by an authorised officer of the Commission and the Chief Steward of RWWA, assist in any inquiry relating to the integrity of or reputation of the Western Australian racing industry and —</w:t>
      </w:r>
    </w:p>
    <w:p>
      <w:pPr>
        <w:pStyle w:val="Indenta"/>
        <w:spacing w:before="60"/>
      </w:pPr>
      <w:r>
        <w:tab/>
        <w:t>(a)</w:t>
      </w:r>
      <w:r>
        <w:tab/>
        <w:t>allow the person conducting the inquiry to view any document relevant to the inquiry; and</w:t>
      </w:r>
    </w:p>
    <w:p>
      <w:pPr>
        <w:pStyle w:val="Indenta"/>
        <w:spacing w:before="60"/>
      </w:pPr>
      <w:r>
        <w:tab/>
        <w:t>(b)</w:t>
      </w:r>
      <w:r>
        <w:tab/>
        <w:t>give the person conducting the inquiry a copy of any document relevant to the inquiry.</w:t>
      </w:r>
    </w:p>
    <w:p>
      <w:pPr>
        <w:pStyle w:val="Subsection"/>
        <w:spacing w:before="140"/>
      </w:pPr>
      <w:r>
        <w:tab/>
        <w:t>(8)</w:t>
      </w:r>
      <w:r>
        <w:tab/>
        <w:t>An approved offshore betting operator must in relation to races referred to in a WA race field maintain appropriate and adequate internal procedures, systems and controls to —</w:t>
      </w:r>
    </w:p>
    <w:p>
      <w:pPr>
        <w:pStyle w:val="Indenta"/>
        <w:spacing w:before="60"/>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105 inserted in Gazette 8 Jan 2010 p. 23-4.]</w:t>
      </w:r>
    </w:p>
    <w:p>
      <w:pPr>
        <w:pStyle w:val="Heading5"/>
      </w:pPr>
      <w:bookmarkStart w:id="309" w:name="_Toc407692273"/>
      <w:bookmarkStart w:id="310" w:name="_Toc438111868"/>
      <w:bookmarkStart w:id="311" w:name="_Toc414962162"/>
      <w:r>
        <w:rPr>
          <w:rStyle w:val="CharSectno"/>
        </w:rPr>
        <w:t>106</w:t>
      </w:r>
      <w:r>
        <w:t>.</w:t>
      </w:r>
      <w:r>
        <w:tab/>
        <w:t>Information prescribed: section 27F(2)(a)</w:t>
      </w:r>
      <w:bookmarkEnd w:id="309"/>
      <w:bookmarkEnd w:id="310"/>
      <w:bookmarkEnd w:id="311"/>
    </w:p>
    <w:p>
      <w:pPr>
        <w:pStyle w:val="Subsection"/>
      </w:pPr>
      <w:r>
        <w:tab/>
      </w:r>
      <w:r>
        <w:tab/>
        <w:t>For the purposes of section 27F(2)(a) of the Act, the prescribed information is information in documents, records or accounts relating to racing bets placed with, or placed or accepted through, a domestic betting operator on or after 1 September 2008.</w:t>
      </w:r>
    </w:p>
    <w:p>
      <w:pPr>
        <w:pStyle w:val="Footnotesection"/>
      </w:pPr>
      <w:r>
        <w:tab/>
        <w:t>[Regulation 106 inserted in Gazette 8 Jan 2010 p. 24.]</w:t>
      </w:r>
    </w:p>
    <w:p>
      <w:pPr>
        <w:pStyle w:val="Heading5"/>
      </w:pPr>
      <w:bookmarkStart w:id="312" w:name="_Toc407692274"/>
      <w:bookmarkStart w:id="313" w:name="_Toc438111869"/>
      <w:bookmarkStart w:id="314" w:name="_Toc414962163"/>
      <w:r>
        <w:rPr>
          <w:rStyle w:val="CharSectno"/>
        </w:rPr>
        <w:t>107</w:t>
      </w:r>
      <w:r>
        <w:t>.</w:t>
      </w:r>
      <w:r>
        <w:tab/>
        <w:t>Manner of access to prescribed information: section 27F(2)(a)</w:t>
      </w:r>
      <w:bookmarkEnd w:id="312"/>
      <w:bookmarkEnd w:id="313"/>
      <w:bookmarkEnd w:id="314"/>
    </w:p>
    <w:p>
      <w:pPr>
        <w:pStyle w:val="Subsection"/>
      </w:pPr>
      <w:r>
        <w:tab/>
        <w:t>(1)</w:t>
      </w:r>
      <w:r>
        <w:tab/>
        <w:t>For the purposes of section 27F(2)(a) of the Act, this regulation sets out the prescribed manner of access to information prescribed under regulation 106 (</w:t>
      </w:r>
      <w:r>
        <w:rPr>
          <w:rStyle w:val="CharDefText"/>
        </w:rPr>
        <w:t>prescribed information</w:t>
      </w:r>
      <w:r>
        <w:t>).</w:t>
      </w:r>
    </w:p>
    <w:p>
      <w:pPr>
        <w:pStyle w:val="Subsection"/>
      </w:pPr>
      <w:r>
        <w:tab/>
        <w:t>(2)</w:t>
      </w:r>
      <w:r>
        <w:tab/>
        <w:t xml:space="preserve">A domestic betting operator must give the Commission or an officer of RWWA approved under section 27F(2)(a)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 domestic betting operator must give the Commission or an approved officer access to prescribed information by —</w:t>
      </w:r>
    </w:p>
    <w:p>
      <w:pPr>
        <w:pStyle w:val="Indenta"/>
      </w:pPr>
      <w:r>
        <w:tab/>
        <w:t>(a)</w:t>
      </w:r>
      <w:r>
        <w:tab/>
        <w:t>allowing the Commission or the approved officer to have real</w:t>
      </w:r>
      <w:r>
        <w:noBreakHyphen/>
        <w:t>time access to any computerised betting system of the holder if it is reasonably practicable to do so; and</w:t>
      </w:r>
    </w:p>
    <w:p>
      <w:pPr>
        <w:pStyle w:val="Indenta"/>
        <w:spacing w:before="60"/>
      </w:pPr>
      <w:r>
        <w:tab/>
        <w:t>(b)</w:t>
      </w:r>
      <w:r>
        <w:tab/>
        <w:t>giving the Commission or the approved officer the capability to download and print out any such information.</w:t>
      </w:r>
    </w:p>
    <w:p>
      <w:pPr>
        <w:pStyle w:val="Footnotesection"/>
        <w:spacing w:before="100"/>
      </w:pPr>
      <w:r>
        <w:tab/>
        <w:t>[Regulation 107 inserted in Gazette 8 Jan 2010 p. 24-5.]</w:t>
      </w:r>
    </w:p>
    <w:p>
      <w:pPr>
        <w:pStyle w:val="Heading5"/>
      </w:pPr>
      <w:bookmarkStart w:id="315" w:name="_Toc407692275"/>
      <w:bookmarkStart w:id="316" w:name="_Toc438111870"/>
      <w:bookmarkStart w:id="317" w:name="_Toc414962164"/>
      <w:r>
        <w:rPr>
          <w:rStyle w:val="CharSectno"/>
        </w:rPr>
        <w:t>108</w:t>
      </w:r>
      <w:r>
        <w:t>.</w:t>
      </w:r>
      <w:r>
        <w:tab/>
        <w:t>Prescribed conditions: section 27F(2)(b)</w:t>
      </w:r>
      <w:bookmarkEnd w:id="315"/>
      <w:bookmarkEnd w:id="316"/>
      <w:bookmarkEnd w:id="317"/>
    </w:p>
    <w:p>
      <w:pPr>
        <w:pStyle w:val="Subsection"/>
        <w:spacing w:before="150"/>
      </w:pPr>
      <w:r>
        <w:tab/>
        <w:t>(1)</w:t>
      </w:r>
      <w:r>
        <w:tab/>
        <w:t>For the purposes of section 27F(2)(b) of the Act, the prescribed conditions that a domestic betting operator must comply with are set out in this regulation.</w:t>
      </w:r>
    </w:p>
    <w:p>
      <w:pPr>
        <w:pStyle w:val="Subsection"/>
        <w:spacing w:before="150"/>
      </w:pPr>
      <w:r>
        <w:tab/>
        <w:t>(2)</w:t>
      </w:r>
      <w:r>
        <w:tab/>
        <w:t>A domestic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50"/>
      </w:pPr>
      <w:r>
        <w:tab/>
        <w:t>(3)</w:t>
      </w:r>
      <w:r>
        <w:tab/>
        <w:t>A domestic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50"/>
      </w:pPr>
      <w:r>
        <w:tab/>
        <w:t>(4)</w:t>
      </w:r>
      <w:r>
        <w:tab/>
        <w:t>A domestic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50"/>
      </w:pPr>
      <w:r>
        <w:tab/>
        <w:t>(5)</w:t>
      </w:r>
      <w:r>
        <w:tab/>
        <w:t>A domestic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pPr>
      <w:r>
        <w:tab/>
        <w:t>(6)</w:t>
      </w:r>
      <w:r>
        <w:tab/>
        <w:t>A domestic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 domestic betting operator must, when requested by an authorised officer of the Commission and the Chief Steward of RWWA, assist in any inquiry relating to the integrity of or reputation of the Western Australian racing industry and —</w:t>
      </w:r>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 domestic betting operator must in relation to races referred to in a WA race field maintain appropriate and adequate internal procedures, systems and controls to —</w:t>
      </w:r>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108 inserted in Gazette 8 Jan 2010 p. 25-6.]</w:t>
      </w:r>
    </w:p>
    <w:p>
      <w:pPr>
        <w:pStyle w:val="Heading5"/>
      </w:pPr>
      <w:bookmarkStart w:id="318" w:name="_Toc407692276"/>
      <w:bookmarkStart w:id="319" w:name="_Toc438111871"/>
      <w:bookmarkStart w:id="320" w:name="_Toc414962165"/>
      <w:r>
        <w:rPr>
          <w:rStyle w:val="CharSectno"/>
        </w:rPr>
        <w:t>109</w:t>
      </w:r>
      <w:r>
        <w:t>.</w:t>
      </w:r>
      <w:r>
        <w:tab/>
        <w:t>Prescribed criteria: section 27F(4)</w:t>
      </w:r>
      <w:bookmarkEnd w:id="318"/>
      <w:bookmarkEnd w:id="319"/>
      <w:bookmarkEnd w:id="320"/>
    </w:p>
    <w:p>
      <w:pPr>
        <w:pStyle w:val="Subsection"/>
      </w:pPr>
      <w:r>
        <w:tab/>
        <w:t>(1)</w:t>
      </w:r>
      <w:r>
        <w:tab/>
        <w:t>For the purposes of section 27F(4) of the Act, the prescribed criteria are as follows —</w:t>
      </w:r>
    </w:p>
    <w:p>
      <w:pPr>
        <w:pStyle w:val="Indenta"/>
      </w:pPr>
      <w:r>
        <w:tab/>
        <w:t>(a)</w:t>
      </w:r>
      <w:r>
        <w:tab/>
        <w:t>whether the domestic betting operator has engaged in conduct that would tend to undermine the integrity or reputation of the Western Australian racing industry;</w:t>
      </w:r>
    </w:p>
    <w:p>
      <w:pPr>
        <w:pStyle w:val="Indenta"/>
      </w:pPr>
      <w:r>
        <w:tab/>
        <w:t>(b)</w:t>
      </w:r>
      <w:r>
        <w:tab/>
        <w:t>whether the domestic betting operator is fit and proper to hold an authorisation;</w:t>
      </w:r>
    </w:p>
    <w:p>
      <w:pPr>
        <w:pStyle w:val="Indenta"/>
      </w:pPr>
      <w:r>
        <w:tab/>
        <w:t>(c)</w:t>
      </w:r>
      <w:r>
        <w:tab/>
        <w:t>whether the domestic betting operator is authorised in this State or another State or a Territory under a law of that State or Territory to engage in or conduct the business of betting on races.</w:t>
      </w:r>
    </w:p>
    <w:p>
      <w:pPr>
        <w:pStyle w:val="Subsection"/>
      </w:pPr>
      <w:r>
        <w:tab/>
        <w:t>(2)</w:t>
      </w:r>
      <w:r>
        <w:tab/>
        <w:t>For the purpose of, and without limiting, subregulation (1)(b), the Commission may take into account the number and nature of any convictions recorded, or charges pending, against the domestic betting operator for offences against the laws of this State or another State or a Territory, having particular regard to offences against laws relating to wagering.</w:t>
      </w:r>
    </w:p>
    <w:p>
      <w:pPr>
        <w:pStyle w:val="Footnotesection"/>
      </w:pPr>
      <w:r>
        <w:tab/>
        <w:t>[Regulation 109 inserted in Gazette 8 Jan 2010 p. 26.]</w:t>
      </w:r>
    </w:p>
    <w:p>
      <w:pPr>
        <w:pStyle w:val="Heading5"/>
      </w:pPr>
      <w:bookmarkStart w:id="321" w:name="_Toc407692277"/>
      <w:bookmarkStart w:id="322" w:name="_Toc438111872"/>
      <w:bookmarkStart w:id="323" w:name="_Toc414962166"/>
      <w:r>
        <w:rPr>
          <w:rStyle w:val="CharSectno"/>
        </w:rPr>
        <w:t>110</w:t>
      </w:r>
      <w:r>
        <w:t>.</w:t>
      </w:r>
      <w:r>
        <w:tab/>
        <w:t>Audited return</w:t>
      </w:r>
      <w:bookmarkEnd w:id="321"/>
      <w:bookmarkEnd w:id="322"/>
      <w:bookmarkEnd w:id="323"/>
    </w:p>
    <w:p>
      <w:pPr>
        <w:pStyle w:val="Subsection"/>
      </w:pPr>
      <w:r>
        <w:tab/>
        <w:t>(1)</w:t>
      </w:r>
      <w:r>
        <w:tab/>
        <w:t>A betting operator must submit an audited return to the Commission before 30 August in each year unless the Commission has advised the operator in writing before that date that the operator is not required to submit an audited return that year.</w:t>
      </w:r>
    </w:p>
    <w:p>
      <w:pPr>
        <w:pStyle w:val="Penstart"/>
      </w:pPr>
      <w:r>
        <w:tab/>
        <w:t>Penalty: a fine of $1 000.</w:t>
      </w:r>
    </w:p>
    <w:p>
      <w:pPr>
        <w:pStyle w:val="Subsection"/>
      </w:pPr>
      <w:r>
        <w:tab/>
        <w:t>(2)</w:t>
      </w:r>
      <w:r>
        <w:tab/>
        <w:t>The audited return referred to in subregulation (1) must, for the 12 months ending on 31 July immediately preceding 30 August, show —</w:t>
      </w:r>
    </w:p>
    <w:p>
      <w:pPr>
        <w:pStyle w:val="Indenta"/>
      </w:pPr>
      <w:r>
        <w:tab/>
        <w:t>(a)</w:t>
      </w:r>
      <w:r>
        <w:tab/>
        <w:t>the amount of all racing bets placed with, or placed or accepted through, the betting operator; and</w:t>
      </w:r>
    </w:p>
    <w:p>
      <w:pPr>
        <w:pStyle w:val="Indenta"/>
      </w:pPr>
      <w:r>
        <w:tab/>
        <w:t>(b)</w:t>
      </w:r>
      <w:r>
        <w:tab/>
        <w:t>the amount by way of levy paid on those bets under section 14A(2) of the Act; and</w:t>
      </w:r>
    </w:p>
    <w:p>
      <w:pPr>
        <w:pStyle w:val="Indenta"/>
      </w:pPr>
      <w:r>
        <w:tab/>
        <w:t>(c)</w:t>
      </w:r>
      <w:r>
        <w:tab/>
        <w:t>the amount of racing bets in relation to which the levy was paid in relation to —</w:t>
      </w:r>
    </w:p>
    <w:p>
      <w:pPr>
        <w:pStyle w:val="Indenti"/>
      </w:pPr>
      <w:r>
        <w:tab/>
        <w:t>(i)</w:t>
      </w:r>
      <w:r>
        <w:tab/>
        <w:t>gross revenue; and</w:t>
      </w:r>
    </w:p>
    <w:p>
      <w:pPr>
        <w:pStyle w:val="Indenti"/>
      </w:pPr>
      <w:r>
        <w:tab/>
        <w:t>(ii)</w:t>
      </w:r>
      <w:r>
        <w:tab/>
        <w:t>turnover.</w:t>
      </w:r>
    </w:p>
    <w:p>
      <w:pPr>
        <w:pStyle w:val="Footnotesection"/>
      </w:pPr>
      <w:r>
        <w:tab/>
        <w:t>[Regulation 110 inserted in Gazette 8 Jan 2010 p. 27.]</w:t>
      </w:r>
    </w:p>
    <w:p>
      <w:pPr>
        <w:ind w:left="49" w:right="-20"/>
        <w:jc w:val="cente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324" w:name="_Toc407692278"/>
      <w:bookmarkStart w:id="325" w:name="_Toc414962048"/>
      <w:bookmarkStart w:id="326" w:name="_Toc414962167"/>
      <w:bookmarkStart w:id="327" w:name="_Toc438111873"/>
      <w:r>
        <w:rPr>
          <w:rStyle w:val="CharSchNo"/>
        </w:rPr>
        <w:t>Appendix</w:t>
      </w:r>
      <w:bookmarkEnd w:id="324"/>
      <w:bookmarkEnd w:id="325"/>
      <w:bookmarkEnd w:id="326"/>
      <w:bookmarkEnd w:id="327"/>
    </w:p>
    <w:p>
      <w:pPr>
        <w:pStyle w:val="yHeading2"/>
      </w:pPr>
      <w:bookmarkStart w:id="328" w:name="_Toc407692279"/>
      <w:bookmarkStart w:id="329" w:name="_Toc414962049"/>
      <w:bookmarkStart w:id="330" w:name="_Toc414962168"/>
      <w:bookmarkStart w:id="331" w:name="_Toc438111874"/>
      <w:r>
        <w:rPr>
          <w:rStyle w:val="CharSchText"/>
        </w:rPr>
        <w:t>Rules of Betting</w:t>
      </w:r>
      <w:bookmarkEnd w:id="328"/>
      <w:bookmarkEnd w:id="329"/>
      <w:bookmarkEnd w:id="330"/>
      <w:bookmarkEnd w:id="331"/>
    </w:p>
    <w:p>
      <w:pPr>
        <w:pStyle w:val="yFootnoteheading"/>
      </w:pPr>
      <w:r>
        <w:tab/>
        <w:t>[Heading inserted in Gazette 14 Sep 1990 p. 4864.]</w:t>
      </w:r>
    </w:p>
    <w:p>
      <w:pPr>
        <w:pStyle w:val="yHeading3"/>
        <w:rPr>
          <w:sz w:val="22"/>
        </w:rPr>
      </w:pPr>
      <w:bookmarkStart w:id="332" w:name="_Toc407692280"/>
      <w:bookmarkStart w:id="333" w:name="_Toc414962050"/>
      <w:bookmarkStart w:id="334" w:name="_Toc414962169"/>
      <w:bookmarkStart w:id="335" w:name="_Toc438111875"/>
      <w:r>
        <w:rPr>
          <w:rStyle w:val="CharSDivNo"/>
        </w:rPr>
        <w:t>Part 1</w:t>
      </w:r>
      <w:r>
        <w:rPr>
          <w:sz w:val="22"/>
        </w:rPr>
        <w:t> — </w:t>
      </w:r>
      <w:r>
        <w:rPr>
          <w:rStyle w:val="CharSDivText"/>
        </w:rPr>
        <w:t>Betting under the rules of racing</w:t>
      </w:r>
      <w:bookmarkEnd w:id="332"/>
      <w:bookmarkEnd w:id="333"/>
      <w:bookmarkEnd w:id="334"/>
      <w:bookmarkEnd w:id="335"/>
    </w:p>
    <w:p>
      <w:pPr>
        <w:pStyle w:val="yFootnoteheading"/>
        <w:rPr>
          <w:snapToGrid w:val="0"/>
        </w:rPr>
      </w:pPr>
      <w:r>
        <w:rPr>
          <w:snapToGrid w:val="0"/>
        </w:rPr>
        <w:tab/>
        <w:t>[Heading inserted in Gazette 21 Jul 1998 p. 3856.]</w:t>
      </w:r>
    </w:p>
    <w:p>
      <w:pPr>
        <w:pStyle w:val="yHeading5"/>
        <w:spacing w:before="260"/>
        <w:rPr>
          <w:snapToGrid w:val="0"/>
        </w:rPr>
      </w:pPr>
      <w:bookmarkStart w:id="336" w:name="_Toc407692281"/>
      <w:bookmarkStart w:id="337" w:name="_Toc438111876"/>
      <w:bookmarkStart w:id="338" w:name="_Toc414962170"/>
      <w:r>
        <w:rPr>
          <w:rStyle w:val="CharSClsNo"/>
        </w:rPr>
        <w:t>1</w:t>
      </w:r>
      <w:r>
        <w:rPr>
          <w:snapToGrid w:val="0"/>
        </w:rPr>
        <w:t>.</w:t>
      </w:r>
      <w:r>
        <w:rPr>
          <w:snapToGrid w:val="0"/>
        </w:rPr>
        <w:tab/>
        <w:t>Terms used</w:t>
      </w:r>
      <w:bookmarkEnd w:id="336"/>
      <w:bookmarkEnd w:id="337"/>
      <w:bookmarkEnd w:id="338"/>
    </w:p>
    <w:p>
      <w:pPr>
        <w:pStyle w:val="ySubsection"/>
        <w:spacing w:before="200"/>
        <w:rPr>
          <w:snapToGrid w:val="0"/>
        </w:rPr>
      </w:pPr>
      <w:r>
        <w:rPr>
          <w:snapToGrid w:val="0"/>
        </w:rPr>
        <w:tab/>
        <w:t>(1)</w:t>
      </w:r>
      <w:r>
        <w:rPr>
          <w:snapToGrid w:val="0"/>
        </w:rPr>
        <w:tab/>
        <w:t>In these rules, unless the contrary intention appears —</w:t>
      </w:r>
    </w:p>
    <w:p>
      <w:pPr>
        <w:pStyle w:val="yDefstart"/>
        <w:spacing w:before="60"/>
      </w:pPr>
      <w:r>
        <w:rPr>
          <w:b/>
        </w:rPr>
        <w:tab/>
      </w:r>
      <w:r>
        <w:rPr>
          <w:rStyle w:val="CharDefText"/>
        </w:rPr>
        <w:t>all up bet</w:t>
      </w:r>
      <w:r>
        <w:t xml:space="preserve"> means a bet in which the original stake and any subsequent winnings are wagered on the runners named until the contract is completed;</w:t>
      </w:r>
    </w:p>
    <w:p>
      <w:pPr>
        <w:pStyle w:val="yDefstart"/>
        <w:spacing w:before="60"/>
      </w:pPr>
      <w:r>
        <w:rPr>
          <w:b/>
        </w:rPr>
        <w:tab/>
      </w:r>
      <w:r>
        <w:rPr>
          <w:rStyle w:val="CharDefText"/>
        </w:rPr>
        <w:t>barrier</w:t>
      </w:r>
      <w:r>
        <w:t xml:space="preserve"> includes starting box or starting gate;</w:t>
      </w:r>
    </w:p>
    <w:p>
      <w:pPr>
        <w:pStyle w:val="yDefstart"/>
        <w:spacing w:before="60"/>
      </w:pPr>
      <w:r>
        <w:rPr>
          <w:b/>
        </w:rPr>
        <w:tab/>
      </w:r>
      <w:r>
        <w:rPr>
          <w:rStyle w:val="CharDefText"/>
        </w:rPr>
        <w:t>betting sheet</w:t>
      </w:r>
      <w:r>
        <w:t xml:space="preserve"> means the written record of a bookmaker’s bets on the several runners in a race as required by the Act and regulations;</w:t>
      </w:r>
    </w:p>
    <w:p>
      <w:pPr>
        <w:pStyle w:val="yDefstart"/>
        <w:spacing w:before="60"/>
      </w:pPr>
      <w:r>
        <w:rPr>
          <w:b/>
        </w:rPr>
        <w:tab/>
      </w:r>
      <w:r>
        <w:rPr>
          <w:rStyle w:val="CharDefText"/>
        </w:rPr>
        <w:t>committee</w:t>
      </w:r>
      <w:r>
        <w:t xml:space="preserve"> means the committee of the racing club holding the race meeting;</w:t>
      </w:r>
    </w:p>
    <w:p>
      <w:pPr>
        <w:pStyle w:val="yDefstart"/>
        <w:spacing w:before="60"/>
      </w:pPr>
      <w:r>
        <w:rPr>
          <w:b/>
        </w:rPr>
        <w:tab/>
      </w:r>
      <w:r>
        <w:rPr>
          <w:rStyle w:val="CharDefText"/>
        </w:rPr>
        <w:t>double</w:t>
      </w:r>
      <w:r>
        <w:t xml:space="preserve"> means a bet on the contingency of 2 races;</w:t>
      </w:r>
    </w:p>
    <w:p>
      <w:pPr>
        <w:pStyle w:val="yDefstart"/>
        <w:spacing w:before="60"/>
      </w:pPr>
      <w:r>
        <w:rPr>
          <w:b/>
        </w:rPr>
        <w:tab/>
      </w:r>
      <w:r>
        <w:rPr>
          <w:rStyle w:val="CharDefText"/>
        </w:rPr>
        <w:t>objection</w:t>
      </w:r>
      <w:r>
        <w:t xml:space="preserve"> includes protest;</w:t>
      </w:r>
    </w:p>
    <w:p>
      <w:pPr>
        <w:pStyle w:val="yDefstart"/>
        <w:spacing w:before="60"/>
      </w:pPr>
      <w:r>
        <w:rPr>
          <w:b/>
        </w:rPr>
        <w:tab/>
      </w:r>
      <w:r>
        <w:rPr>
          <w:rStyle w:val="CharDefText"/>
        </w:rPr>
        <w:t>play or pay</w:t>
      </w:r>
      <w:r>
        <w:t xml:space="preserve"> used in relation to a bet, means a bet that holds good whether the runner to which the bet relates runs in the race in respect of which the bet is made or not;</w:t>
      </w:r>
    </w:p>
    <w:p>
      <w:pPr>
        <w:pStyle w:val="yDefstart"/>
        <w:spacing w:before="60"/>
      </w:pPr>
      <w:r>
        <w:rPr>
          <w:b/>
        </w:rPr>
        <w:tab/>
      </w:r>
      <w:r>
        <w:rPr>
          <w:rStyle w:val="CharDefText"/>
        </w:rPr>
        <w:t>Scale of Deduction Table</w:t>
      </w:r>
      <w:r>
        <w:t xml:space="preserve"> means the Table set out at the end of these rules;</w:t>
      </w:r>
    </w:p>
    <w:p>
      <w:pPr>
        <w:pStyle w:val="yDefstart"/>
        <w:spacing w:before="60"/>
      </w:pPr>
      <w:r>
        <w:rPr>
          <w:b/>
        </w:rPr>
        <w:tab/>
      </w:r>
      <w:r>
        <w:rPr>
          <w:rStyle w:val="CharDefText"/>
        </w:rPr>
        <w:t>treble</w:t>
      </w:r>
      <w:r>
        <w:t xml:space="preserve"> means a bet on the contingency of 3 races;</w:t>
      </w:r>
    </w:p>
    <w:p>
      <w:pPr>
        <w:pStyle w:val="yDefstart"/>
        <w:spacing w:before="60"/>
      </w:pPr>
      <w:r>
        <w:rPr>
          <w:b/>
        </w:rPr>
        <w:tab/>
      </w:r>
      <w:r>
        <w:rPr>
          <w:rStyle w:val="CharDefText"/>
        </w:rPr>
        <w:t>walk</w:t>
      </w:r>
      <w:r>
        <w:rPr>
          <w:rStyle w:val="CharDefText"/>
        </w:rPr>
        <w:noBreakHyphen/>
        <w:t>over</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in Gazette 21 Jul 1998 p. 3855 and 3856; 30 Jan 2004 p. 406.]</w:t>
      </w:r>
    </w:p>
    <w:p>
      <w:pPr>
        <w:pStyle w:val="yHeading5"/>
        <w:rPr>
          <w:snapToGrid w:val="0"/>
        </w:rPr>
      </w:pPr>
      <w:bookmarkStart w:id="339" w:name="_Toc407692282"/>
      <w:bookmarkStart w:id="340" w:name="_Toc438111877"/>
      <w:bookmarkStart w:id="341" w:name="_Toc414962171"/>
      <w:r>
        <w:rPr>
          <w:rStyle w:val="CharSClsNo"/>
        </w:rPr>
        <w:t>2</w:t>
      </w:r>
      <w:r>
        <w:rPr>
          <w:snapToGrid w:val="0"/>
        </w:rPr>
        <w:t>.</w:t>
      </w:r>
      <w:r>
        <w:rPr>
          <w:snapToGrid w:val="0"/>
        </w:rPr>
        <w:tab/>
        <w:t>Bets void in certain circumstances</w:t>
      </w:r>
      <w:bookmarkEnd w:id="339"/>
      <w:bookmarkEnd w:id="340"/>
      <w:bookmarkEnd w:id="341"/>
    </w:p>
    <w:p>
      <w:pPr>
        <w:pStyle w:val="ySubsection"/>
        <w:spacing w:before="140"/>
        <w:rPr>
          <w:snapToGrid w:val="0"/>
        </w:rPr>
      </w:pPr>
      <w:r>
        <w:rPr>
          <w:snapToGrid w:val="0"/>
        </w:rPr>
        <w:tab/>
        <w:t>(1)</w:t>
      </w:r>
      <w:r>
        <w:rPr>
          <w:snapToGrid w:val="0"/>
        </w:rPr>
        <w:tab/>
        <w:t>A bet is void —</w:t>
      </w:r>
    </w:p>
    <w:p>
      <w:pPr>
        <w:pStyle w:val="yIndenta"/>
        <w:spacing w:before="60"/>
        <w:rPr>
          <w:snapToGrid w:val="0"/>
        </w:rPr>
      </w:pPr>
      <w:r>
        <w:rPr>
          <w:snapToGrid w:val="0"/>
        </w:rPr>
        <w:tab/>
        <w:t>(a)</w:t>
      </w:r>
      <w:r>
        <w:rPr>
          <w:snapToGrid w:val="0"/>
        </w:rPr>
        <w:tab/>
        <w:t>if, when it is made, it is not possible for the backer to win; or</w:t>
      </w:r>
    </w:p>
    <w:p>
      <w:pPr>
        <w:pStyle w:val="yIndenta"/>
        <w:spacing w:before="6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 or</w:t>
      </w:r>
    </w:p>
    <w:p>
      <w:pPr>
        <w:pStyle w:val="yIndenta"/>
        <w:spacing w:before="60"/>
        <w:rPr>
          <w:snapToGrid w:val="0"/>
        </w:rPr>
      </w:pPr>
      <w:r>
        <w:rPr>
          <w:snapToGrid w:val="0"/>
        </w:rPr>
        <w:tab/>
        <w:t>(c)</w:t>
      </w:r>
      <w:r>
        <w:rPr>
          <w:snapToGrid w:val="0"/>
        </w:rPr>
        <w:tab/>
        <w:t>if it is made on a runner in running; or</w:t>
      </w:r>
    </w:p>
    <w:p>
      <w:pPr>
        <w:pStyle w:val="yIndenta"/>
        <w:spacing w:before="6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 or</w:t>
      </w:r>
    </w:p>
    <w:p>
      <w:pPr>
        <w:pStyle w:val="yIndenta"/>
        <w:spacing w:before="60"/>
        <w:rPr>
          <w:snapToGrid w:val="0"/>
        </w:rPr>
      </w:pPr>
      <w:r>
        <w:rPr>
          <w:snapToGrid w:val="0"/>
        </w:rPr>
        <w:tab/>
        <w:t>(e)</w:t>
      </w:r>
      <w:r>
        <w:rPr>
          <w:snapToGrid w:val="0"/>
        </w:rPr>
        <w:tab/>
        <w:t>if, being made on a match between 2 runners the match results in a dead heat; or</w:t>
      </w:r>
    </w:p>
    <w:p>
      <w:pPr>
        <w:pStyle w:val="yIndenta"/>
        <w:spacing w:before="60"/>
        <w:rPr>
          <w:snapToGrid w:val="0"/>
        </w:rPr>
      </w:pPr>
      <w:r>
        <w:rPr>
          <w:snapToGrid w:val="0"/>
        </w:rPr>
        <w:tab/>
        <w:t>(f)</w:t>
      </w:r>
      <w:r>
        <w:rPr>
          <w:snapToGrid w:val="0"/>
        </w:rPr>
        <w:tab/>
        <w:t>if it is made after the determination of the race to which it relates; or</w:t>
      </w:r>
    </w:p>
    <w:p>
      <w:pPr>
        <w:pStyle w:val="yIndenta"/>
        <w:spacing w:before="60"/>
        <w:rPr>
          <w:snapToGrid w:val="0"/>
        </w:rPr>
      </w:pPr>
      <w:r>
        <w:rPr>
          <w:snapToGrid w:val="0"/>
        </w:rPr>
        <w:tab/>
        <w:t>(g)</w:t>
      </w:r>
      <w:r>
        <w:rPr>
          <w:snapToGrid w:val="0"/>
        </w:rPr>
        <w:tab/>
        <w:t>if it is so declared by</w:t>
      </w:r>
      <w:r>
        <w:t xml:space="preserve"> the rules of racing or wagering</w:t>
      </w:r>
      <w:r>
        <w:rPr>
          <w:snapToGrid w:val="0"/>
        </w:rPr>
        <w:t>; or</w:t>
      </w:r>
    </w:p>
    <w:p>
      <w:pPr>
        <w:pStyle w:val="yIndenta"/>
        <w:spacing w:before="60"/>
        <w:rPr>
          <w:snapToGrid w:val="0"/>
        </w:rPr>
      </w:pPr>
      <w:r>
        <w:rPr>
          <w:snapToGrid w:val="0"/>
        </w:rPr>
        <w:tab/>
        <w:t>(h)</w:t>
      </w:r>
      <w:r>
        <w:rPr>
          <w:snapToGrid w:val="0"/>
        </w:rPr>
        <w:tab/>
        <w:t>if it is declared to be void by the Commission pursuant to subrule (2); or</w:t>
      </w:r>
    </w:p>
    <w:p>
      <w:pPr>
        <w:pStyle w:val="yIndenta"/>
        <w:spacing w:before="60"/>
        <w:rPr>
          <w:snapToGrid w:val="0"/>
        </w:rPr>
      </w:pPr>
      <w:r>
        <w:rPr>
          <w:snapToGrid w:val="0"/>
        </w:rPr>
        <w:tab/>
        <w:t>(i)</w:t>
      </w:r>
      <w:r>
        <w:rPr>
          <w:snapToGrid w:val="0"/>
        </w:rPr>
        <w:tab/>
        <w:t>if it becomes void in the manner provided in rule 12.</w:t>
      </w:r>
    </w:p>
    <w:p>
      <w:pPr>
        <w:pStyle w:val="ySubsection"/>
        <w:spacing w:before="12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spacing w:before="80"/>
      </w:pPr>
      <w:r>
        <w:tab/>
        <w:t>[Rule 2 amended in Gazette 21 Jul 1998 p. 3855 and 3856; 18 Jan 2002 p. 284; 20 Sep 2002 p. 4704; 30 Jan 2004 p. 406 and 412.]</w:t>
      </w:r>
    </w:p>
    <w:p>
      <w:pPr>
        <w:pStyle w:val="yHeading5"/>
        <w:keepLines w:val="0"/>
        <w:spacing w:before="200"/>
        <w:rPr>
          <w:snapToGrid w:val="0"/>
        </w:rPr>
      </w:pPr>
      <w:bookmarkStart w:id="342" w:name="_Toc407692283"/>
      <w:bookmarkStart w:id="343" w:name="_Toc438111878"/>
      <w:bookmarkStart w:id="344" w:name="_Toc414962172"/>
      <w:r>
        <w:rPr>
          <w:rStyle w:val="CharSClsNo"/>
        </w:rPr>
        <w:t>3</w:t>
      </w:r>
      <w:r>
        <w:rPr>
          <w:snapToGrid w:val="0"/>
        </w:rPr>
        <w:t>.</w:t>
      </w:r>
      <w:r>
        <w:rPr>
          <w:snapToGrid w:val="0"/>
        </w:rPr>
        <w:tab/>
        <w:t>When bets are off</w:t>
      </w:r>
      <w:bookmarkEnd w:id="342"/>
      <w:bookmarkEnd w:id="343"/>
      <w:bookmarkEnd w:id="344"/>
    </w:p>
    <w:p>
      <w:pPr>
        <w:pStyle w:val="ySubsection"/>
        <w:keepNext/>
        <w:spacing w:before="120"/>
        <w:rPr>
          <w:snapToGrid w:val="0"/>
        </w:rPr>
      </w:pPr>
      <w:r>
        <w:rPr>
          <w:snapToGrid w:val="0"/>
        </w:rPr>
        <w:tab/>
        <w:t>(1)</w:t>
      </w:r>
      <w:r>
        <w:rPr>
          <w:snapToGrid w:val="0"/>
        </w:rPr>
        <w:tab/>
        <w:t>No bet can be declared off except by mutual consent or as hereinafter provided, that is to say —</w:t>
      </w:r>
    </w:p>
    <w:p>
      <w:pPr>
        <w:pStyle w:val="yIndenta"/>
        <w:spacing w:before="60"/>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rPr>
          <w:snapToGrid w:val="0"/>
        </w:rPr>
      </w:pPr>
      <w:r>
        <w:rPr>
          <w:snapToGrid w:val="0"/>
        </w:rPr>
        <w:tab/>
        <w:t>(c)</w:t>
      </w:r>
      <w:r>
        <w:rPr>
          <w:snapToGrid w:val="0"/>
        </w:rPr>
        <w:tab/>
        <w:t>all wagers with any person who after the making of the wagers has been declared a defaulter, are off;</w:t>
      </w:r>
    </w:p>
    <w:p>
      <w:pPr>
        <w:pStyle w:val="yIndenta"/>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Ednotesubsection"/>
      </w:pPr>
      <w:r>
        <w:tab/>
        <w:t>[(1a)-(3)</w:t>
      </w:r>
      <w:r>
        <w:tab/>
        <w:t>deleted]</w:t>
      </w:r>
    </w:p>
    <w:p>
      <w:pPr>
        <w:pStyle w:val="yFootnotesection"/>
      </w:pPr>
      <w:r>
        <w:tab/>
        <w:t>[Rule 3 amended in Gazette 21 Jul 1998 p. 3855; 20 Sep 2002 p. 4704; 30 Jan 2004 p. 407</w:t>
      </w:r>
      <w:r>
        <w:noBreakHyphen/>
        <w:t>8 and 412; 4 Jan 2013 p. 11.]</w:t>
      </w:r>
    </w:p>
    <w:p>
      <w:pPr>
        <w:pStyle w:val="yHeading5"/>
      </w:pPr>
      <w:bookmarkStart w:id="345" w:name="_Toc407692284"/>
      <w:bookmarkStart w:id="346" w:name="_Toc438111879"/>
      <w:bookmarkStart w:id="347" w:name="_Toc414962173"/>
      <w:r>
        <w:rPr>
          <w:rStyle w:val="CharSClsNo"/>
        </w:rPr>
        <w:t>4A</w:t>
      </w:r>
      <w:r>
        <w:t>.</w:t>
      </w:r>
      <w:r>
        <w:tab/>
        <w:t>Determination of bets where runner withdrawn</w:t>
      </w:r>
      <w:bookmarkEnd w:id="345"/>
      <w:bookmarkEnd w:id="346"/>
      <w:bookmarkEnd w:id="347"/>
    </w:p>
    <w:p>
      <w:pPr>
        <w:pStyle w:val="ySubsection"/>
      </w:pPr>
      <w:r>
        <w:tab/>
        <w:t>(1)</w:t>
      </w:r>
      <w:r>
        <w:tab/>
        <w:t xml:space="preserve">In this rule — </w:t>
      </w:r>
    </w:p>
    <w:p>
      <w:pPr>
        <w:pStyle w:val="yDefstart"/>
      </w:pPr>
      <w:r>
        <w:tab/>
      </w:r>
      <w:r>
        <w:rPr>
          <w:rStyle w:val="CharDefText"/>
        </w:rPr>
        <w:t>bet</w:t>
      </w:r>
      <w:r>
        <w:t xml:space="preserve"> means a bet, other than a play or pay bet, made on the day of a race that is — </w:t>
      </w:r>
    </w:p>
    <w:p>
      <w:pPr>
        <w:pStyle w:val="yDefpara"/>
      </w:pPr>
      <w:r>
        <w:tab/>
        <w:t>(a)</w:t>
      </w:r>
      <w:r>
        <w:tab/>
        <w:t>a win bet or a place bet; or</w:t>
      </w:r>
    </w:p>
    <w:p>
      <w:pPr>
        <w:pStyle w:val="yDefpara"/>
      </w:pPr>
      <w:r>
        <w:tab/>
        <w:t>(b)</w:t>
      </w:r>
      <w:r>
        <w:tab/>
        <w:t>a bet where the person making the bet selects a combination of 2 runners in the same race on the chance that they will be first and second in that race, irrespective of the order in which they finish (known as a “quinella bet”); or</w:t>
      </w:r>
    </w:p>
    <w:p>
      <w:pPr>
        <w:pStyle w:val="yDefpara"/>
      </w:pPr>
      <w:r>
        <w:tab/>
        <w:t>(c)</w:t>
      </w:r>
      <w:r>
        <w:tab/>
        <w:t>a concession bet; or</w:t>
      </w:r>
    </w:p>
    <w:p>
      <w:pPr>
        <w:pStyle w:val="yDefpara"/>
      </w:pPr>
      <w:r>
        <w:tab/>
        <w:t>(d)</w:t>
      </w:r>
      <w:r>
        <w:tab/>
        <w:t>a double;</w:t>
      </w:r>
    </w:p>
    <w:p>
      <w:pPr>
        <w:pStyle w:val="yDefstart"/>
      </w:pPr>
      <w:r>
        <w:tab/>
      </w:r>
      <w:r>
        <w:rPr>
          <w:rStyle w:val="CharDefText"/>
        </w:rPr>
        <w:t>late scratched runner</w:t>
      </w:r>
      <w:r>
        <w:t xml:space="preserve">, in relation to a race, means — </w:t>
      </w:r>
    </w:p>
    <w:p>
      <w:pPr>
        <w:pStyle w:val="yDefpara"/>
      </w:pPr>
      <w:r>
        <w:tab/>
        <w:t>(a)</w:t>
      </w:r>
      <w:r>
        <w:tab/>
        <w:t>a runner that the stewards order or permit to be withdrawn from the race after the time for withdrawal has elapsed; or</w:t>
      </w:r>
    </w:p>
    <w:p>
      <w:pPr>
        <w:pStyle w:val="yDefpara"/>
      </w:pPr>
      <w:r>
        <w:tab/>
        <w:t>(b)</w:t>
      </w:r>
      <w:r>
        <w:tab/>
        <w:t>a runner that the stewards have declared to be a non</w:t>
      </w:r>
      <w:r>
        <w:noBreakHyphen/>
        <w:t>starter;</w:t>
      </w:r>
    </w:p>
    <w:p>
      <w:pPr>
        <w:pStyle w:val="yDefstart"/>
        <w:keepNext/>
      </w:pPr>
      <w:r>
        <w:tab/>
      </w:r>
      <w:r>
        <w:rPr>
          <w:rStyle w:val="CharDefText"/>
        </w:rPr>
        <w:t>odds</w:t>
      </w:r>
      <w:r>
        <w:t xml:space="preserve">, against a runner winning a race, means — </w:t>
      </w:r>
    </w:p>
    <w:p>
      <w:pPr>
        <w:pStyle w:val="yDefpara"/>
      </w:pPr>
      <w:r>
        <w:tab/>
        <w:t>(a)</w:t>
      </w:r>
      <w:r>
        <w:tab/>
        <w:t>subject to paragraph (b), the odds against the runner on offer at the time, and at the place, the race is being run; or</w:t>
      </w:r>
    </w:p>
    <w:p>
      <w:pPr>
        <w:pStyle w:val="yDefpara"/>
      </w:pPr>
      <w:r>
        <w:tab/>
        <w:t>(b)</w:t>
      </w:r>
      <w:r>
        <w:tab/>
        <w:t>if the stewards are satisfied that the odds against the runner on offer at the time, and at the place, where the race is being run cannot be accurately determined in a timely manner, the odds determined by the stewards in a manner approved by RWWA;</w:t>
      </w:r>
    </w:p>
    <w:p>
      <w:pPr>
        <w:pStyle w:val="yDefstart"/>
      </w:pPr>
      <w:r>
        <w:tab/>
      </w:r>
      <w:r>
        <w:rPr>
          <w:rStyle w:val="CharDefText"/>
        </w:rPr>
        <w:t>percentage</w:t>
      </w:r>
      <w:r>
        <w:t>, for a runner in a race, means the odds against the runner winning the race, expressed as a percentage;</w:t>
      </w:r>
    </w:p>
    <w:p>
      <w:pPr>
        <w:pStyle w:val="yDefstart"/>
      </w:pPr>
      <w:r>
        <w:tab/>
      </w:r>
      <w:r>
        <w:rPr>
          <w:rStyle w:val="CharDefText"/>
        </w:rPr>
        <w:t>sum percentage</w:t>
      </w:r>
      <w:r>
        <w:t>, for runners in a race, means the sum of the percentages for the runners.</w:t>
      </w:r>
    </w:p>
    <w:p>
      <w:pPr>
        <w:pStyle w:val="ySubsection"/>
      </w:pPr>
      <w:r>
        <w:tab/>
        <w:t>(2)</w:t>
      </w:r>
      <w:r>
        <w:tab/>
        <w:t xml:space="preserve">If, in relation to a race, there is a late scratched runner, a bookmaker must — </w:t>
      </w:r>
    </w:p>
    <w:p>
      <w:pPr>
        <w:pStyle w:val="yIndenta"/>
      </w:pPr>
      <w:r>
        <w:tab/>
        <w:t>(a)</w:t>
      </w:r>
      <w:r>
        <w:tab/>
        <w:t>refund all bets on the late scratched runner and those bets are, by operation of this rule, declared off;</w:t>
      </w:r>
    </w:p>
    <w:p>
      <w:pPr>
        <w:pStyle w:val="yIndenta"/>
      </w:pPr>
      <w:r>
        <w:tab/>
        <w:t>(b)</w:t>
      </w:r>
      <w:r>
        <w:tab/>
        <w:t xml:space="preserve">subject to subrule (5), pay bets on the runners calculated in accordance with the following formula — </w:t>
      </w:r>
    </w:p>
    <w:p>
      <w:pPr>
        <w:pStyle w:val="yIndenta"/>
      </w:pPr>
      <w:r>
        <w:tab/>
      </w:r>
      <w:r>
        <w:tab/>
      </w:r>
      <w:r>
        <w:rPr>
          <w:noProof/>
          <w:position w:val="-6"/>
        </w:rPr>
        <w:drawing>
          <wp:inline distT="0" distB="0" distL="0" distR="0">
            <wp:extent cx="542925" cy="18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2925" cy="180975"/>
                    </a:xfrm>
                    <a:prstGeom prst="rect">
                      <a:avLst/>
                    </a:prstGeom>
                    <a:noFill/>
                    <a:ln>
                      <a:noFill/>
                    </a:ln>
                  </pic:spPr>
                </pic:pic>
              </a:graphicData>
            </a:graphic>
          </wp:inline>
        </w:drawing>
      </w:r>
    </w:p>
    <w:p>
      <w:pPr>
        <w:pStyle w:val="yIndenta"/>
      </w:pPr>
      <w:r>
        <w:tab/>
      </w:r>
      <w:r>
        <w:tab/>
        <w:t xml:space="preserve">where — </w:t>
      </w:r>
    </w:p>
    <w:p>
      <w:pPr>
        <w:pStyle w:val="yIndenti0"/>
      </w:pPr>
      <w:r>
        <w:rPr>
          <w:b/>
          <w:bCs/>
        </w:rPr>
        <w:tab/>
        <w:t>b</w:t>
      </w:r>
      <w:r>
        <w:rPr>
          <w:b/>
          <w:bCs/>
        </w:rPr>
        <w:tab/>
      </w:r>
      <w:r>
        <w:t>is the bets to be paid;</w:t>
      </w:r>
    </w:p>
    <w:p>
      <w:pPr>
        <w:pStyle w:val="yIndenti0"/>
      </w:pPr>
      <w:r>
        <w:rPr>
          <w:b/>
          <w:bCs/>
        </w:rPr>
        <w:tab/>
        <w:t>t</w:t>
      </w:r>
      <w:r>
        <w:rPr>
          <w:b/>
          <w:bCs/>
        </w:rPr>
        <w:tab/>
      </w:r>
      <w:r>
        <w:t>is the face value of the ticket;</w:t>
      </w:r>
    </w:p>
    <w:p>
      <w:pPr>
        <w:pStyle w:val="yIndenti0"/>
      </w:pPr>
      <w:r>
        <w:rPr>
          <w:b/>
          <w:bCs/>
        </w:rPr>
        <w:tab/>
        <w:t>d</w:t>
      </w:r>
      <w:r>
        <w:rPr>
          <w:b/>
          <w:bCs/>
        </w:rPr>
        <w:tab/>
      </w:r>
      <w:r>
        <w:t>is the deduction declared by the stewards under subrule (3) or (4).</w:t>
      </w:r>
    </w:p>
    <w:p>
      <w:pPr>
        <w:pStyle w:val="ySubsection"/>
      </w:pPr>
      <w:r>
        <w:tab/>
        <w:t>(3)</w:t>
      </w:r>
      <w:r>
        <w:tab/>
        <w:t xml:space="preserve">The stewards may — </w:t>
      </w:r>
    </w:p>
    <w:p>
      <w:pPr>
        <w:pStyle w:val="yIndenta"/>
      </w:pPr>
      <w:r>
        <w:tab/>
        <w:t>(a)</w:t>
      </w:r>
      <w:r>
        <w:tab/>
        <w:t xml:space="preserve">if the sum percentage of runners is less than or equal to 140%, declare a deduction for the purposes of subrule (2)(b) calculated in accordance with the following formula — </w:t>
      </w:r>
    </w:p>
    <w:p>
      <w:pPr>
        <w:pStyle w:val="yIndenta"/>
      </w:pPr>
      <w:r>
        <w:tab/>
      </w:r>
      <w:r>
        <w:tab/>
      </w:r>
      <w:r>
        <w:rPr>
          <w:noProof/>
        </w:rPr>
        <w:drawing>
          <wp:inline distT="0" distB="0" distL="0" distR="0">
            <wp:extent cx="390525" cy="142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0525" cy="1428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a"/>
      </w:pPr>
      <w:r>
        <w:tab/>
      </w:r>
      <w:r>
        <w:tab/>
        <w:t>with the deductions applied to each remaining runner being proportional to the odds against that runner;</w:t>
      </w:r>
    </w:p>
    <w:p>
      <w:pPr>
        <w:pStyle w:val="yIndenta"/>
      </w:pPr>
      <w:r>
        <w:tab/>
        <w:t>(b)</w:t>
      </w:r>
      <w:r>
        <w:tab/>
        <w:t xml:space="preserve">if the sum percentage of runners is greater than 140%, declare a deduction for the purposes of subrule (2)(b) calculated in accordance with the following formula — </w:t>
      </w:r>
    </w:p>
    <w:p>
      <w:pPr>
        <w:pStyle w:val="yIndenta"/>
      </w:pPr>
      <w:r>
        <w:tab/>
      </w:r>
      <w:r>
        <w:tab/>
      </w:r>
      <w:r>
        <w:rPr>
          <w:noProof/>
        </w:rPr>
        <w:drawing>
          <wp:inline distT="0" distB="0" distL="0" distR="0">
            <wp:extent cx="60960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i0"/>
      </w:pPr>
      <w:r>
        <w:tab/>
      </w:r>
      <w:r>
        <w:rPr>
          <w:b/>
        </w:rPr>
        <w:t>d</w:t>
      </w:r>
      <w:r>
        <w:tab/>
        <w:t xml:space="preserve">is calculated in accordance with the following formula — </w:t>
      </w:r>
    </w:p>
    <w:p>
      <w:pPr>
        <w:pStyle w:val="yIndenti0"/>
      </w:pPr>
      <w:r>
        <w:tab/>
      </w:r>
      <w:r>
        <w:tab/>
      </w:r>
      <w:r>
        <w:rPr>
          <w:noProof/>
          <w:position w:val="-10"/>
        </w:rPr>
        <w:drawing>
          <wp:inline distT="0" distB="0" distL="0" distR="0">
            <wp:extent cx="790575" cy="200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p>
    <w:p>
      <w:pPr>
        <w:pStyle w:val="yIndenta"/>
      </w:pPr>
      <w:r>
        <w:tab/>
      </w:r>
      <w:r>
        <w:tab/>
        <w:t>with the deductions applied to each remaining runner being proportional to the odds against that runner.</w:t>
      </w:r>
    </w:p>
    <w:p>
      <w:pPr>
        <w:pStyle w:val="ySubsection"/>
      </w:pPr>
      <w:r>
        <w:tab/>
        <w:t>(4)</w:t>
      </w:r>
      <w:r>
        <w:tab/>
        <w:t>Where it is not possible for the stewards to declare a deduction in accordance with subrule (3) the stewards may declare a deduction for the purposes of subrule (2)(b) in accordance with the Scale of Deduction Table.</w:t>
      </w:r>
    </w:p>
    <w:p>
      <w:pPr>
        <w:pStyle w:val="ySubsection"/>
      </w:pPr>
      <w:r>
        <w:tab/>
        <w:t>(5)</w:t>
      </w:r>
      <w:r>
        <w:tab/>
        <w:t xml:space="preserve">The amount paid in relation to a bet must — </w:t>
      </w:r>
    </w:p>
    <w:p>
      <w:pPr>
        <w:pStyle w:val="yIndenta"/>
      </w:pPr>
      <w:r>
        <w:tab/>
        <w:t>(a)</w:t>
      </w:r>
      <w:r>
        <w:tab/>
        <w:t xml:space="preserve">subject to paragraph (b) — </w:t>
      </w:r>
    </w:p>
    <w:p>
      <w:pPr>
        <w:pStyle w:val="yIndenti0"/>
      </w:pPr>
      <w:r>
        <w:tab/>
        <w:t>(i)</w:t>
      </w:r>
      <w:r>
        <w:tab/>
        <w:t>be at least the amount of the stake; and</w:t>
      </w:r>
    </w:p>
    <w:p>
      <w:pPr>
        <w:pStyle w:val="yIndenti0"/>
      </w:pPr>
      <w:r>
        <w:tab/>
        <w:t>(ii)</w:t>
      </w:r>
      <w:r>
        <w:tab/>
        <w:t xml:space="preserve">be at least 20% of the face value of the ticket; </w:t>
      </w:r>
    </w:p>
    <w:p>
      <w:pPr>
        <w:pStyle w:val="yIndenta"/>
      </w:pPr>
      <w:r>
        <w:tab/>
      </w:r>
      <w:r>
        <w:tab/>
        <w:t>and</w:t>
      </w:r>
    </w:p>
    <w:p>
      <w:pPr>
        <w:pStyle w:val="yIndenta"/>
      </w:pPr>
      <w:r>
        <w:tab/>
        <w:t>(b)</w:t>
      </w:r>
      <w:r>
        <w:tab/>
        <w:t>in the case of a dead</w:t>
      </w:r>
      <w:r>
        <w:noBreakHyphen/>
        <w:t>heat for a particular place, be at least the amount of the stake divided by the number of runners participating in the dead</w:t>
      </w:r>
      <w:r>
        <w:noBreakHyphen/>
        <w:t>heat.</w:t>
      </w:r>
    </w:p>
    <w:p>
      <w:pPr>
        <w:pStyle w:val="ySubsection"/>
      </w:pPr>
      <w:r>
        <w:tab/>
        <w:t>(6)</w:t>
      </w:r>
      <w:r>
        <w:tab/>
        <w:t xml:space="preserve">A bookmaker is not required to settle any bet affected by the operation of this rule until all late scratched runners and the amount of any deduction declared under subrule (3) or (4) are known, despite — </w:t>
      </w:r>
    </w:p>
    <w:p>
      <w:pPr>
        <w:pStyle w:val="yIndenta"/>
      </w:pPr>
      <w:r>
        <w:tab/>
        <w:t>(a)</w:t>
      </w:r>
      <w:r>
        <w:tab/>
        <w:t>the declaration of correct weight for the race; or</w:t>
      </w:r>
    </w:p>
    <w:p>
      <w:pPr>
        <w:pStyle w:val="yIndenta"/>
      </w:pPr>
      <w:r>
        <w:tab/>
        <w:t>(b)</w:t>
      </w:r>
      <w:r>
        <w:tab/>
        <w:t>any rule or regulation to the contrary,</w:t>
      </w:r>
    </w:p>
    <w:p>
      <w:pPr>
        <w:pStyle w:val="ySubsection"/>
      </w:pPr>
      <w:r>
        <w:tab/>
      </w:r>
      <w:r>
        <w:tab/>
        <w:t>unless the bookmaker is specifically directed to do so by the stewards.</w:t>
      </w:r>
    </w:p>
    <w:p>
      <w:pPr>
        <w:pStyle w:val="ySubsection"/>
      </w:pPr>
      <w:r>
        <w:tab/>
        <w:t>(7)</w:t>
      </w:r>
      <w:r>
        <w:tab/>
        <w:t>Despite this rule, the stewards may, in exceptional circumstances, declare all bets (other than bets made at the starting price) off and order that betting on the race be re</w:t>
      </w:r>
      <w:r>
        <w:noBreakHyphen/>
        <w:t>opened.</w:t>
      </w:r>
    </w:p>
    <w:p>
      <w:pPr>
        <w:pStyle w:val="yFootnotesection"/>
        <w:spacing w:before="100"/>
      </w:pPr>
      <w:r>
        <w:tab/>
        <w:t>[Rule 4A inserted in Gazette 4 Jan 2013 p. 11-13.]</w:t>
      </w:r>
    </w:p>
    <w:p>
      <w:pPr>
        <w:pStyle w:val="yHeading5"/>
        <w:spacing w:before="200"/>
        <w:rPr>
          <w:snapToGrid w:val="0"/>
        </w:rPr>
      </w:pPr>
      <w:bookmarkStart w:id="348" w:name="_Toc407692285"/>
      <w:bookmarkStart w:id="349" w:name="_Toc438111880"/>
      <w:bookmarkStart w:id="350" w:name="_Toc414962174"/>
      <w:r>
        <w:rPr>
          <w:rStyle w:val="CharSClsNo"/>
        </w:rPr>
        <w:t>4</w:t>
      </w:r>
      <w:r>
        <w:rPr>
          <w:snapToGrid w:val="0"/>
        </w:rPr>
        <w:t>.</w:t>
      </w:r>
      <w:r>
        <w:rPr>
          <w:snapToGrid w:val="0"/>
        </w:rPr>
        <w:tab/>
        <w:t>Determination and settlement of bets</w:t>
      </w:r>
      <w:bookmarkEnd w:id="348"/>
      <w:bookmarkEnd w:id="349"/>
      <w:bookmarkEnd w:id="350"/>
    </w:p>
    <w:p>
      <w:pPr>
        <w:pStyle w:val="ySubsection"/>
        <w:spacing w:before="120"/>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spacing w:before="120"/>
        <w:rPr>
          <w:snapToGrid w:val="0"/>
        </w:rPr>
      </w:pPr>
      <w:r>
        <w:rPr>
          <w:snapToGrid w:val="0"/>
        </w:rPr>
        <w:tab/>
        <w:t>(2)</w:t>
      </w:r>
      <w:r>
        <w:rPr>
          <w:snapToGrid w:val="0"/>
        </w:rPr>
        <w:tab/>
        <w:t>Settlement of bets shall be made in accordance with the provisions of these rules.</w:t>
      </w:r>
    </w:p>
    <w:p>
      <w:pPr>
        <w:pStyle w:val="ySubsection"/>
        <w:spacing w:before="120"/>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spacing w:before="120"/>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spacing w:before="100"/>
      </w:pPr>
      <w:r>
        <w:tab/>
        <w:t>[Rule 4 amended in Gazette 21 Jul 1998 p 3856 and 3857; 18 Jan 2002 p. 284; 20 Sep 2002 p. 4704; 30 Jan 2004 p. 408.]</w:t>
      </w:r>
    </w:p>
    <w:p>
      <w:pPr>
        <w:pStyle w:val="yHeading5"/>
        <w:spacing w:before="200"/>
        <w:rPr>
          <w:snapToGrid w:val="0"/>
        </w:rPr>
      </w:pPr>
      <w:bookmarkStart w:id="351" w:name="_Toc407692286"/>
      <w:bookmarkStart w:id="352" w:name="_Toc438111881"/>
      <w:bookmarkStart w:id="353" w:name="_Toc414962175"/>
      <w:r>
        <w:rPr>
          <w:rStyle w:val="CharSClsNo"/>
        </w:rPr>
        <w:t>5</w:t>
      </w:r>
      <w:r>
        <w:rPr>
          <w:snapToGrid w:val="0"/>
        </w:rPr>
        <w:t>.</w:t>
      </w:r>
      <w:r>
        <w:rPr>
          <w:snapToGrid w:val="0"/>
        </w:rPr>
        <w:tab/>
        <w:t>Bets in respect of postponed race or race meeting</w:t>
      </w:r>
      <w:bookmarkEnd w:id="351"/>
      <w:bookmarkEnd w:id="352"/>
      <w:bookmarkEnd w:id="353"/>
    </w:p>
    <w:p>
      <w:pPr>
        <w:pStyle w:val="ySubsection"/>
        <w:spacing w:before="120"/>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spacing w:before="190"/>
        <w:rPr>
          <w:snapToGrid w:val="0"/>
        </w:rPr>
      </w:pPr>
      <w:bookmarkStart w:id="354" w:name="_Toc407692287"/>
      <w:bookmarkStart w:id="355" w:name="_Toc438111882"/>
      <w:bookmarkStart w:id="356" w:name="_Toc414962176"/>
      <w:r>
        <w:rPr>
          <w:rStyle w:val="CharSClsNo"/>
        </w:rPr>
        <w:t>6</w:t>
      </w:r>
      <w:r>
        <w:rPr>
          <w:snapToGrid w:val="0"/>
        </w:rPr>
        <w:t>.</w:t>
      </w:r>
      <w:r>
        <w:rPr>
          <w:snapToGrid w:val="0"/>
        </w:rPr>
        <w:tab/>
        <w:t>Each way bets</w:t>
      </w:r>
      <w:bookmarkEnd w:id="354"/>
      <w:bookmarkEnd w:id="355"/>
      <w:bookmarkEnd w:id="356"/>
    </w:p>
    <w:p>
      <w:pPr>
        <w:pStyle w:val="ySubsection"/>
        <w:spacing w:before="120"/>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in Gazette 14 Sep 1990 p. 4864; 21 Jul 1998 p. 3855 and 3856.]</w:t>
      </w:r>
    </w:p>
    <w:p>
      <w:pPr>
        <w:pStyle w:val="yHeading5"/>
        <w:rPr>
          <w:snapToGrid w:val="0"/>
        </w:rPr>
      </w:pPr>
      <w:bookmarkStart w:id="357" w:name="_Toc407692288"/>
      <w:bookmarkStart w:id="358" w:name="_Toc438111883"/>
      <w:bookmarkStart w:id="359" w:name="_Toc414962177"/>
      <w:r>
        <w:rPr>
          <w:rStyle w:val="CharSClsNo"/>
        </w:rPr>
        <w:t>7</w:t>
      </w:r>
      <w:r>
        <w:rPr>
          <w:snapToGrid w:val="0"/>
        </w:rPr>
        <w:t>.</w:t>
      </w:r>
      <w:r>
        <w:rPr>
          <w:snapToGrid w:val="0"/>
        </w:rPr>
        <w:tab/>
        <w:t>All bets to be “play or pay” except in certain circumstances</w:t>
      </w:r>
      <w:bookmarkEnd w:id="357"/>
      <w:bookmarkEnd w:id="358"/>
      <w:bookmarkEnd w:id="359"/>
    </w:p>
    <w:p>
      <w:pPr>
        <w:pStyle w:val="ySubsection"/>
        <w:rPr>
          <w:snapToGrid w:val="0"/>
        </w:rPr>
      </w:pPr>
      <w:r>
        <w:rPr>
          <w:snapToGrid w:val="0"/>
        </w:rPr>
        <w:tab/>
      </w:r>
      <w:r>
        <w:rPr>
          <w:snapToGrid w:val="0"/>
        </w:rPr>
        <w:tab/>
        <w:t>All bets shall be play or pay, unless the parties thereto mutually agree to the contrary, with the following exceptions —</w:t>
      </w:r>
    </w:p>
    <w:p>
      <w:pPr>
        <w:pStyle w:val="yIndenta"/>
        <w:rPr>
          <w:snapToGrid w:val="0"/>
        </w:rPr>
      </w:pPr>
      <w:r>
        <w:rPr>
          <w:snapToGrid w:val="0"/>
        </w:rPr>
        <w:tab/>
        <w:t>(a)</w:t>
      </w:r>
      <w:r>
        <w:rPr>
          <w:snapToGrid w:val="0"/>
        </w:rPr>
        <w:tab/>
        <w:t>bets made on the day of the race to which they relate; and</w:t>
      </w:r>
    </w:p>
    <w:p>
      <w:pPr>
        <w:pStyle w:val="yIndenta"/>
        <w:rPr>
          <w:snapToGrid w:val="0"/>
        </w:rPr>
      </w:pPr>
      <w:r>
        <w:rPr>
          <w:snapToGrid w:val="0"/>
        </w:rPr>
        <w:tab/>
        <w:t>(b)</w:t>
      </w:r>
      <w:r>
        <w:rPr>
          <w:snapToGrid w:val="0"/>
        </w:rPr>
        <w:tab/>
        <w:t>bets on matches; and</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 and</w:t>
      </w:r>
    </w:p>
    <w:p>
      <w:pPr>
        <w:pStyle w:val="yIndenta"/>
        <w:rPr>
          <w:snapToGrid w:val="0"/>
        </w:rPr>
      </w:pPr>
      <w:r>
        <w:rPr>
          <w:snapToGrid w:val="0"/>
        </w:rPr>
        <w:tab/>
        <w:t>(d)</w:t>
      </w:r>
      <w:r>
        <w:rPr>
          <w:snapToGrid w:val="0"/>
        </w:rPr>
        <w:tab/>
        <w:t>bets that are declared off by the stewards; and</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in Gazette 21 Jul 1998 p. 3855.]</w:t>
      </w:r>
    </w:p>
    <w:p>
      <w:pPr>
        <w:pStyle w:val="yHeading5"/>
        <w:rPr>
          <w:snapToGrid w:val="0"/>
        </w:rPr>
      </w:pPr>
      <w:bookmarkStart w:id="360" w:name="_Toc407692289"/>
      <w:bookmarkStart w:id="361" w:name="_Toc438111884"/>
      <w:bookmarkStart w:id="362" w:name="_Toc414962178"/>
      <w:r>
        <w:rPr>
          <w:rStyle w:val="CharSClsNo"/>
        </w:rPr>
        <w:t>8</w:t>
      </w:r>
      <w:r>
        <w:rPr>
          <w:snapToGrid w:val="0"/>
        </w:rPr>
        <w:t>.</w:t>
      </w:r>
      <w:r>
        <w:rPr>
          <w:snapToGrid w:val="0"/>
        </w:rPr>
        <w:tab/>
        <w:t>Provisions as to settlement of bets following dead heat</w:t>
      </w:r>
      <w:bookmarkEnd w:id="360"/>
      <w:bookmarkEnd w:id="361"/>
      <w:bookmarkEnd w:id="362"/>
    </w:p>
    <w:p>
      <w:pPr>
        <w:pStyle w:val="ySubsection"/>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spacing w:before="70"/>
        <w:rPr>
          <w:snapToGrid w:val="0"/>
        </w:rPr>
      </w:pPr>
      <w:r>
        <w:rPr>
          <w:snapToGrid w:val="0"/>
        </w:rPr>
        <w:tab/>
        <w:t>(a)</w:t>
      </w:r>
      <w:r>
        <w:rPr>
          <w:snapToGrid w:val="0"/>
        </w:rPr>
        <w:tab/>
        <w:t>half of the amount wagered shall be regarded as “won” at the agreed odds; and</w:t>
      </w:r>
    </w:p>
    <w:p>
      <w:pPr>
        <w:pStyle w:val="yIndenta"/>
        <w:spacing w:before="70"/>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in Gazette 21 Jul 1998 p. 3855, 3856 and 3857.]</w:t>
      </w:r>
    </w:p>
    <w:p>
      <w:pPr>
        <w:pStyle w:val="yHeading5"/>
        <w:rPr>
          <w:snapToGrid w:val="0"/>
        </w:rPr>
      </w:pPr>
      <w:bookmarkStart w:id="363" w:name="_Toc407692290"/>
      <w:bookmarkStart w:id="364" w:name="_Toc438111885"/>
      <w:bookmarkStart w:id="365" w:name="_Toc414962179"/>
      <w:r>
        <w:rPr>
          <w:rStyle w:val="CharSClsNo"/>
        </w:rPr>
        <w:t>9</w:t>
      </w:r>
      <w:r>
        <w:rPr>
          <w:snapToGrid w:val="0"/>
        </w:rPr>
        <w:t>.</w:t>
      </w:r>
      <w:r>
        <w:rPr>
          <w:snapToGrid w:val="0"/>
        </w:rPr>
        <w:tab/>
        <w:t>Doubles</w:t>
      </w:r>
      <w:bookmarkEnd w:id="363"/>
      <w:bookmarkEnd w:id="364"/>
      <w:bookmarkEnd w:id="365"/>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w:t>
      </w:r>
    </w:p>
    <w:p>
      <w:pPr>
        <w:pStyle w:val="yIndenti0"/>
        <w:spacing w:before="70"/>
        <w:rPr>
          <w:snapToGrid w:val="0"/>
        </w:rPr>
      </w:pPr>
      <w:r>
        <w:rPr>
          <w:snapToGrid w:val="0"/>
        </w:rPr>
        <w:tab/>
        <w:t>(i)</w:t>
      </w:r>
      <w:r>
        <w:rPr>
          <w:snapToGrid w:val="0"/>
        </w:rPr>
        <w:tab/>
        <w:t>the runner chosen for the first race does not run in that race;</w:t>
      </w:r>
    </w:p>
    <w:p>
      <w:pPr>
        <w:pStyle w:val="yIndenti0"/>
        <w:spacing w:before="70"/>
        <w:rPr>
          <w:snapToGrid w:val="0"/>
        </w:rPr>
      </w:pPr>
      <w:r>
        <w:rPr>
          <w:snapToGrid w:val="0"/>
        </w:rPr>
        <w:tab/>
        <w:t>(ii)</w:t>
      </w:r>
      <w:r>
        <w:rPr>
          <w:snapToGrid w:val="0"/>
        </w:rPr>
        <w:tab/>
        <w:t>the runner chosen for the second race is scratched not later than the time of scratching for the first race;</w:t>
      </w:r>
    </w:p>
    <w:p>
      <w:pPr>
        <w:pStyle w:val="yIndenti0"/>
        <w:spacing w:before="7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r>
        <w:tab/>
        <w:t>[Rule 9 amended in Gazette 21 Jul 1998 p. 3855 and 3856; 30 Jan 2004 p. 408.]</w:t>
      </w:r>
    </w:p>
    <w:p>
      <w:pPr>
        <w:pStyle w:val="yHeading5"/>
        <w:rPr>
          <w:snapToGrid w:val="0"/>
        </w:rPr>
      </w:pPr>
      <w:bookmarkStart w:id="366" w:name="_Toc407692291"/>
      <w:bookmarkStart w:id="367" w:name="_Toc438111886"/>
      <w:bookmarkStart w:id="368" w:name="_Toc414962180"/>
      <w:r>
        <w:rPr>
          <w:rStyle w:val="CharSClsNo"/>
        </w:rPr>
        <w:t>10</w:t>
      </w:r>
      <w:r>
        <w:rPr>
          <w:snapToGrid w:val="0"/>
        </w:rPr>
        <w:t>.</w:t>
      </w:r>
      <w:r>
        <w:rPr>
          <w:snapToGrid w:val="0"/>
        </w:rPr>
        <w:tab/>
        <w:t>Multiple doubles</w:t>
      </w:r>
      <w:bookmarkEnd w:id="366"/>
      <w:bookmarkEnd w:id="367"/>
      <w:bookmarkEnd w:id="368"/>
    </w:p>
    <w:p>
      <w:pPr>
        <w:pStyle w:val="ySubsection"/>
        <w:rPr>
          <w:snapToGrid w:val="0"/>
        </w:rPr>
      </w:pPr>
      <w:r>
        <w:rPr>
          <w:snapToGrid w:val="0"/>
        </w:rPr>
        <w:tab/>
        <w:t>(1)</w:t>
      </w:r>
      <w:r>
        <w:rPr>
          <w:snapToGrid w:val="0"/>
        </w:rPr>
        <w:tab/>
        <w:t>The following provisions apply to bets of the kind commonly known as multiple doubles, namely —</w:t>
      </w:r>
    </w:p>
    <w:p>
      <w:pPr>
        <w:pStyle w:val="yIndenta"/>
        <w:spacing w:before="70"/>
        <w:rPr>
          <w:snapToGrid w:val="0"/>
        </w:rPr>
      </w:pPr>
      <w:r>
        <w:rPr>
          <w:snapToGrid w:val="0"/>
        </w:rPr>
        <w:tab/>
        <w:t>(a)</w:t>
      </w:r>
      <w:r>
        <w:rPr>
          <w:snapToGrid w:val="0"/>
        </w:rPr>
        <w:tab/>
        <w:t>bets are determined when a race to which the double relates is lost; and</w:t>
      </w:r>
    </w:p>
    <w:p>
      <w:pPr>
        <w:pStyle w:val="yIndenta"/>
        <w:spacing w:before="7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 and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rStyle w:val="CharDefText"/>
        </w:rPr>
        <w:t>multiple double</w:t>
      </w:r>
      <w:r>
        <w:rPr>
          <w:snapToGrid w:val="0"/>
        </w:rPr>
        <w:t xml:space="preserve"> means a double on 2 races scheduled at the time the bet is made to be run on the same day.</w:t>
      </w:r>
    </w:p>
    <w:p>
      <w:pPr>
        <w:pStyle w:val="yFootnotesection"/>
      </w:pPr>
      <w:r>
        <w:tab/>
        <w:t>[Rule 10 amended in Gazette 21 Jul 1998 p. 3856; 30 Jan 2004 p. 408.]</w:t>
      </w:r>
    </w:p>
    <w:p>
      <w:pPr>
        <w:pStyle w:val="yHeading5"/>
        <w:rPr>
          <w:snapToGrid w:val="0"/>
        </w:rPr>
      </w:pPr>
      <w:bookmarkStart w:id="369" w:name="_Toc407692292"/>
      <w:bookmarkStart w:id="370" w:name="_Toc438111887"/>
      <w:bookmarkStart w:id="371" w:name="_Toc414962181"/>
      <w:r>
        <w:rPr>
          <w:rStyle w:val="CharSClsNo"/>
        </w:rPr>
        <w:t>11</w:t>
      </w:r>
      <w:r>
        <w:rPr>
          <w:snapToGrid w:val="0"/>
        </w:rPr>
        <w:t>.</w:t>
      </w:r>
      <w:r>
        <w:rPr>
          <w:snapToGrid w:val="0"/>
        </w:rPr>
        <w:tab/>
        <w:t>“All up” bets</w:t>
      </w:r>
      <w:bookmarkEnd w:id="369"/>
      <w:bookmarkEnd w:id="370"/>
      <w:bookmarkEnd w:id="371"/>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rPr>
          <w:snapToGrid w:val="0"/>
        </w:rPr>
      </w:pPr>
      <w:bookmarkStart w:id="372" w:name="_Toc407692293"/>
      <w:bookmarkStart w:id="373" w:name="_Toc438111888"/>
      <w:bookmarkStart w:id="374" w:name="_Toc414962182"/>
      <w:r>
        <w:rPr>
          <w:rStyle w:val="CharSClsNo"/>
        </w:rPr>
        <w:t>12</w:t>
      </w:r>
      <w:r>
        <w:rPr>
          <w:snapToGrid w:val="0"/>
        </w:rPr>
        <w:t>.</w:t>
      </w:r>
      <w:r>
        <w:rPr>
          <w:snapToGrid w:val="0"/>
        </w:rPr>
        <w:tab/>
        <w:t>Provisions as to races that are re</w:t>
      </w:r>
      <w:r>
        <w:rPr>
          <w:snapToGrid w:val="0"/>
        </w:rPr>
        <w:noBreakHyphen/>
        <w:t>run</w:t>
      </w:r>
      <w:bookmarkEnd w:id="372"/>
      <w:bookmarkEnd w:id="373"/>
      <w:bookmarkEnd w:id="374"/>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t>[Rule 12 amended in Gazette 21 Jul 1998 p 3855.]</w:t>
      </w:r>
    </w:p>
    <w:p>
      <w:pPr>
        <w:pStyle w:val="yHeading5"/>
        <w:rPr>
          <w:snapToGrid w:val="0"/>
        </w:rPr>
      </w:pPr>
      <w:bookmarkStart w:id="375" w:name="_Toc407692294"/>
      <w:bookmarkStart w:id="376" w:name="_Toc438111889"/>
      <w:bookmarkStart w:id="377" w:name="_Toc414962183"/>
      <w:r>
        <w:rPr>
          <w:rStyle w:val="CharSClsNo"/>
        </w:rPr>
        <w:t>13</w:t>
      </w:r>
      <w:r>
        <w:rPr>
          <w:snapToGrid w:val="0"/>
        </w:rPr>
        <w:t>.</w:t>
      </w:r>
      <w:r>
        <w:rPr>
          <w:snapToGrid w:val="0"/>
        </w:rPr>
        <w:tab/>
        <w:t>Provisions as to bets on runners that are entered for 2 or more races on same day</w:t>
      </w:r>
      <w:bookmarkEnd w:id="375"/>
      <w:bookmarkEnd w:id="376"/>
      <w:bookmarkEnd w:id="377"/>
    </w:p>
    <w:p>
      <w:pPr>
        <w:pStyle w:val="ySubsection"/>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in Gazette 21 Jul 1998 p. 3855.]</w:t>
      </w:r>
    </w:p>
    <w:p>
      <w:pPr>
        <w:pStyle w:val="yHeading5"/>
        <w:spacing w:before="260"/>
        <w:rPr>
          <w:snapToGrid w:val="0"/>
        </w:rPr>
      </w:pPr>
      <w:bookmarkStart w:id="378" w:name="_Toc407692295"/>
      <w:bookmarkStart w:id="379" w:name="_Toc438111890"/>
      <w:bookmarkStart w:id="380" w:name="_Toc414962184"/>
      <w:r>
        <w:rPr>
          <w:rStyle w:val="CharSClsNo"/>
        </w:rPr>
        <w:t>14</w:t>
      </w:r>
      <w:r>
        <w:rPr>
          <w:snapToGrid w:val="0"/>
        </w:rPr>
        <w:t>.</w:t>
      </w:r>
      <w:r>
        <w:rPr>
          <w:snapToGrid w:val="0"/>
        </w:rPr>
        <w:tab/>
        <w:t>Prohibition on betting after race</w:t>
      </w:r>
      <w:bookmarkEnd w:id="378"/>
      <w:bookmarkEnd w:id="379"/>
      <w:bookmarkEnd w:id="380"/>
    </w:p>
    <w:p>
      <w:pPr>
        <w:pStyle w:val="ySubsection"/>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r>
        <w:tab/>
        <w:t>[Rule 14 amended in Gazette 21 Jul 1998 p. 3855; 30 Jan 2004 p. 408.]</w:t>
      </w:r>
    </w:p>
    <w:p>
      <w:pPr>
        <w:pStyle w:val="yHeading5"/>
        <w:spacing w:before="260"/>
        <w:rPr>
          <w:snapToGrid w:val="0"/>
        </w:rPr>
      </w:pPr>
      <w:bookmarkStart w:id="381" w:name="_Toc407692296"/>
      <w:bookmarkStart w:id="382" w:name="_Toc438111891"/>
      <w:bookmarkStart w:id="383" w:name="_Toc414962185"/>
      <w:r>
        <w:rPr>
          <w:rStyle w:val="CharSClsNo"/>
        </w:rPr>
        <w:t>15</w:t>
      </w:r>
      <w:r>
        <w:rPr>
          <w:snapToGrid w:val="0"/>
        </w:rPr>
        <w:t>.</w:t>
      </w:r>
      <w:r>
        <w:rPr>
          <w:snapToGrid w:val="0"/>
        </w:rPr>
        <w:tab/>
        <w:t>Settlement of bets on deaths of parties thereto</w:t>
      </w:r>
      <w:bookmarkEnd w:id="381"/>
      <w:bookmarkEnd w:id="382"/>
      <w:bookmarkEnd w:id="383"/>
    </w:p>
    <w:p>
      <w:pPr>
        <w:pStyle w:val="ySubsection"/>
        <w:rPr>
          <w:snapToGrid w:val="0"/>
        </w:rPr>
      </w:pPr>
      <w:r>
        <w:rPr>
          <w:snapToGrid w:val="0"/>
        </w:rPr>
        <w:tab/>
      </w:r>
      <w:r>
        <w:rPr>
          <w:snapToGrid w:val="0"/>
        </w:rPr>
        <w:tab/>
        <w:t>The death of either party to a bet shall not invalidate the bet.</w:t>
      </w:r>
    </w:p>
    <w:p>
      <w:pPr>
        <w:pStyle w:val="yHeading5"/>
        <w:spacing w:before="260"/>
        <w:rPr>
          <w:snapToGrid w:val="0"/>
        </w:rPr>
      </w:pPr>
      <w:bookmarkStart w:id="384" w:name="_Toc407692297"/>
      <w:bookmarkStart w:id="385" w:name="_Toc438111892"/>
      <w:bookmarkStart w:id="386" w:name="_Toc414962186"/>
      <w:r>
        <w:rPr>
          <w:rStyle w:val="CharSClsNo"/>
        </w:rPr>
        <w:t>16</w:t>
      </w:r>
      <w:r>
        <w:rPr>
          <w:snapToGrid w:val="0"/>
        </w:rPr>
        <w:t>.</w:t>
      </w:r>
      <w:r>
        <w:rPr>
          <w:snapToGrid w:val="0"/>
        </w:rPr>
        <w:tab/>
        <w:t>Settlement of bets on suspension or cancellation of licence of bookmaker</w:t>
      </w:r>
      <w:bookmarkEnd w:id="384"/>
      <w:bookmarkEnd w:id="385"/>
      <w:bookmarkEnd w:id="386"/>
    </w:p>
    <w:p>
      <w:pPr>
        <w:pStyle w:val="ySubsection"/>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r>
        <w:tab/>
        <w:t>[Rule 16 amended in Gazette 20 Sep 2002 p. 4704; 30 Jan 2004 p. 412.]</w:t>
      </w:r>
    </w:p>
    <w:p>
      <w:pPr>
        <w:pStyle w:val="yHeading5"/>
        <w:rPr>
          <w:snapToGrid w:val="0"/>
        </w:rPr>
      </w:pPr>
      <w:bookmarkStart w:id="387" w:name="_Toc407692298"/>
      <w:bookmarkStart w:id="388" w:name="_Toc438111893"/>
      <w:bookmarkStart w:id="389" w:name="_Toc414962187"/>
      <w:r>
        <w:rPr>
          <w:rStyle w:val="CharSClsNo"/>
        </w:rPr>
        <w:t>17</w:t>
      </w:r>
      <w:r>
        <w:rPr>
          <w:snapToGrid w:val="0"/>
        </w:rPr>
        <w:t>.</w:t>
      </w:r>
      <w:r>
        <w:rPr>
          <w:snapToGrid w:val="0"/>
        </w:rPr>
        <w:tab/>
        <w:t>Settling</w:t>
      </w:r>
      <w:bookmarkEnd w:id="387"/>
      <w:bookmarkEnd w:id="388"/>
      <w:bookmarkEnd w:id="389"/>
    </w:p>
    <w:p>
      <w:pPr>
        <w:pStyle w:val="ySubsection"/>
      </w:pPr>
      <w:r>
        <w:rPr>
          <w:snapToGrid w:val="0"/>
        </w:rPr>
        <w:tab/>
      </w:r>
      <w:r>
        <w:rPr>
          <w:snapToGrid w:val="0"/>
        </w:rPr>
        <w:tab/>
        <w:t>Settling in terms of these rules shall not be disturbed except in cases of fraud.</w:t>
      </w:r>
    </w:p>
    <w:p>
      <w:pPr>
        <w:pStyle w:val="yHeading3"/>
        <w:rPr>
          <w:szCs w:val="24"/>
        </w:rPr>
      </w:pPr>
      <w:bookmarkStart w:id="390" w:name="_Toc407692299"/>
      <w:bookmarkStart w:id="391" w:name="_Toc414962069"/>
      <w:bookmarkStart w:id="392" w:name="_Toc414962188"/>
      <w:bookmarkStart w:id="393" w:name="_Toc438111894"/>
      <w:r>
        <w:rPr>
          <w:rStyle w:val="CharSDivNo"/>
          <w:szCs w:val="24"/>
        </w:rPr>
        <w:t>Part 2</w:t>
      </w:r>
      <w:r>
        <w:rPr>
          <w:szCs w:val="24"/>
        </w:rPr>
        <w:t> —</w:t>
      </w:r>
      <w:r>
        <w:rPr>
          <w:rStyle w:val="CharSClsNo"/>
          <w:sz w:val="24"/>
          <w:szCs w:val="24"/>
        </w:rPr>
        <w:t> </w:t>
      </w:r>
      <w:r>
        <w:rPr>
          <w:rStyle w:val="CharSDivText"/>
          <w:szCs w:val="24"/>
        </w:rPr>
        <w:t>Betting on a sporting event, or a contingency, approved under section 4B</w:t>
      </w:r>
      <w:bookmarkEnd w:id="390"/>
      <w:bookmarkEnd w:id="391"/>
      <w:bookmarkEnd w:id="392"/>
      <w:bookmarkEnd w:id="393"/>
    </w:p>
    <w:p>
      <w:pPr>
        <w:pStyle w:val="yFootnoteheading"/>
        <w:tabs>
          <w:tab w:val="clear" w:pos="879"/>
          <w:tab w:val="left" w:pos="840"/>
        </w:tabs>
        <w:rPr>
          <w:snapToGrid w:val="0"/>
        </w:rPr>
      </w:pPr>
      <w:r>
        <w:rPr>
          <w:snapToGrid w:val="0"/>
        </w:rPr>
        <w:tab/>
        <w:t>[Heading inserted in Gazette 10 Jul 1992 p. 3294.]</w:t>
      </w:r>
    </w:p>
    <w:p>
      <w:pPr>
        <w:pStyle w:val="ySubsection"/>
        <w:tabs>
          <w:tab w:val="clear" w:pos="595"/>
        </w:tabs>
        <w:spacing w:before="220"/>
        <w:rPr>
          <w:bCs/>
          <w:snapToGrid w:val="0"/>
        </w:rPr>
      </w:pPr>
      <w:r>
        <w:rPr>
          <w:b/>
        </w:rPr>
        <w:t>1</w:t>
      </w:r>
      <w:r>
        <w:rPr>
          <w:b/>
          <w:snapToGrid w:val="0"/>
        </w:rPr>
        <w:t>.</w:t>
      </w:r>
      <w:r>
        <w:rPr>
          <w:snapToGrid w:val="0"/>
        </w:rPr>
        <w:tab/>
      </w:r>
      <w:r>
        <w:rPr>
          <w:bCs/>
          <w:snapToGrid w:val="0"/>
        </w:rPr>
        <w:t>Bets shall be determined on the official results as declared by the controlling authority responsible for conducting the sporting event to which the bets relate.</w:t>
      </w:r>
    </w:p>
    <w:p>
      <w:pPr>
        <w:pStyle w:val="yFootnotesection"/>
      </w:pPr>
      <w:r>
        <w:tab/>
        <w:t>[Rule 1 inserted in Gazette 10 Jul 1992 p. 3294.]</w:t>
      </w:r>
    </w:p>
    <w:p>
      <w:pPr>
        <w:pStyle w:val="ySubsection"/>
        <w:tabs>
          <w:tab w:val="clear" w:pos="595"/>
        </w:tabs>
        <w:spacing w:before="220"/>
        <w:rPr>
          <w:b/>
          <w:snapToGrid w:val="0"/>
        </w:rPr>
      </w:pPr>
      <w:r>
        <w:rPr>
          <w:b/>
          <w:bCs/>
        </w:rPr>
        <w:t>2</w:t>
      </w:r>
      <w:r>
        <w:rPr>
          <w:b/>
          <w:bCs/>
          <w:snapToGrid w:val="0"/>
        </w:rPr>
        <w:t>.</w:t>
      </w:r>
      <w:r>
        <w:rPr>
          <w:snapToGrid w:val="0"/>
        </w:rPr>
        <w:tab/>
      </w:r>
      <w:r>
        <w:rPr>
          <w:bCs/>
          <w:snapToGrid w:val="0"/>
        </w:rPr>
        <w:t>Any outcome not covered by these rules shall be determined by the stewards acting at the race meeting where the bet was laid.</w:t>
      </w:r>
    </w:p>
    <w:p>
      <w:pPr>
        <w:pStyle w:val="yFootnotesection"/>
      </w:pPr>
      <w:r>
        <w:tab/>
        <w:t>[Rule 2 inserted in Gazette 10 Jul 1992 p. 3294.]</w:t>
      </w:r>
    </w:p>
    <w:p>
      <w:pPr>
        <w:pStyle w:val="yEdnotesection"/>
      </w:pPr>
      <w:r>
        <w:t>[</w:t>
      </w:r>
      <w:r>
        <w:rPr>
          <w:b/>
          <w:bCs/>
        </w:rPr>
        <w:t>3.</w:t>
      </w:r>
      <w:r>
        <w:tab/>
        <w:t>Deleted in Gazette 25 Sep 2009 p. 3752.]</w:t>
      </w:r>
    </w:p>
    <w:p>
      <w:pPr>
        <w:pStyle w:val="ySubsection"/>
        <w:tabs>
          <w:tab w:val="clear" w:pos="595"/>
        </w:tabs>
        <w:spacing w:before="220"/>
        <w:rPr>
          <w:bCs/>
          <w:snapToGrid w:val="0"/>
        </w:rPr>
      </w:pPr>
      <w:r>
        <w:rPr>
          <w:b/>
          <w:bCs/>
        </w:rPr>
        <w:t>4.</w:t>
      </w:r>
      <w:r>
        <w:rPr>
          <w:snapToGrid w:val="0"/>
        </w:rPr>
        <w:tab/>
      </w:r>
      <w:r>
        <w:rPr>
          <w:bCs/>
          <w:snapToGrid w:val="0"/>
        </w:rPr>
        <w:t>Where a sporting event or contingency results in a tie, draw or dead heat, and odds are offered for that tie, draw or dead heat, any bet for a win is lost.</w:t>
      </w:r>
    </w:p>
    <w:p>
      <w:pPr>
        <w:pStyle w:val="yFootnotesection"/>
      </w:pPr>
      <w:r>
        <w:tab/>
        <w:t>[Rule 4 inserted in Gazette 10 Jul 1992 p. 3294.]</w:t>
      </w:r>
    </w:p>
    <w:p>
      <w:pPr>
        <w:pStyle w:val="ySubsection"/>
        <w:tabs>
          <w:tab w:val="clear" w:pos="595"/>
        </w:tabs>
        <w:spacing w:before="220"/>
        <w:rPr>
          <w:snapToGrid w:val="0"/>
        </w:rPr>
      </w:pPr>
      <w:r>
        <w:rPr>
          <w:b/>
          <w:bCs/>
        </w:rPr>
        <w:t>5</w:t>
      </w:r>
      <w:r>
        <w:rPr>
          <w:b/>
          <w:bCs/>
          <w:snapToGrid w:val="0"/>
        </w:rPr>
        <w:t>.</w:t>
      </w:r>
      <w:r>
        <w:rPr>
          <w:snapToGrid w:val="0"/>
        </w:rPr>
        <w:tab/>
        <w:t>If no odds are offered for a tie, draw or dead heat and the event or contingency results in a tie, draw or dead heat between 2 teams or 2 competitors, then, unless the betting on the outcome involves a points margin, any bet for a win shall be determined in the following manner —</w:t>
      </w:r>
    </w:p>
    <w:p>
      <w:pPr>
        <w:pStyle w:val="yIndenta"/>
        <w:rPr>
          <w:snapToGrid w:val="0"/>
        </w:rPr>
      </w:pPr>
      <w:r>
        <w:rPr>
          <w:snapToGrid w:val="0"/>
        </w:rPr>
        <w:tab/>
        <w:t>(i)</w:t>
      </w:r>
      <w:r>
        <w:rPr>
          <w:snapToGrid w:val="0"/>
        </w:rPr>
        <w:tab/>
        <w:t>half of the amount wagered shall be regarded as “won” at the agreed odds; and</w:t>
      </w:r>
    </w:p>
    <w:p>
      <w:pPr>
        <w:pStyle w:val="yIndenta"/>
        <w:rPr>
          <w:snapToGrid w:val="0"/>
        </w:rPr>
      </w:pPr>
      <w:r>
        <w:rPr>
          <w:snapToGrid w:val="0"/>
        </w:rPr>
        <w:tab/>
        <w:t>(ii)</w:t>
      </w:r>
      <w:r>
        <w:rPr>
          <w:snapToGrid w:val="0"/>
        </w:rPr>
        <w:tab/>
        <w:t>half of the amount wagered shall be lost.</w:t>
      </w:r>
    </w:p>
    <w:p>
      <w:pPr>
        <w:pStyle w:val="yFootnotesection"/>
      </w:pPr>
      <w:r>
        <w:tab/>
        <w:t>[Rule 5 inserted in Gazette 10 Jul 1992 p. 3294; amended in Gazette 25 Sep 2009 p. 3752.]</w:t>
      </w:r>
    </w:p>
    <w:p>
      <w:pPr>
        <w:pStyle w:val="ySubsection"/>
        <w:keepNext/>
        <w:tabs>
          <w:tab w:val="clear" w:pos="595"/>
        </w:tabs>
        <w:spacing w:before="220"/>
        <w:rPr>
          <w:bCs/>
          <w:snapToGrid w:val="0"/>
        </w:rPr>
      </w:pPr>
      <w:r>
        <w:rPr>
          <w:b/>
          <w:bCs/>
        </w:rPr>
        <w:t>6.</w:t>
      </w:r>
      <w:r>
        <w:rPr>
          <w:snapToGrid w:val="0"/>
        </w:rPr>
        <w:tab/>
      </w:r>
      <w:r>
        <w:rPr>
          <w:bCs/>
          <w:snapToGrid w:val="0"/>
        </w:rPr>
        <w:t>In bets involving more than one contingency of, or relating to, the same sporting event —</w:t>
      </w:r>
    </w:p>
    <w:p>
      <w:pPr>
        <w:pStyle w:val="yIndenta"/>
        <w:spacing w:before="60"/>
        <w:rPr>
          <w:snapToGrid w:val="0"/>
        </w:rPr>
      </w:pPr>
      <w:r>
        <w:rPr>
          <w:snapToGrid w:val="0"/>
        </w:rPr>
        <w:tab/>
        <w:t>(a)</w:t>
      </w:r>
      <w:r>
        <w:rPr>
          <w:snapToGrid w:val="0"/>
        </w:rPr>
        <w:tab/>
        <w:t>if the first contingency is not decided in the backer’s favour, the bet is lost; and</w:t>
      </w:r>
    </w:p>
    <w:p>
      <w:pPr>
        <w:pStyle w:val="yIndenta"/>
        <w:spacing w:before="60"/>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 and</w:t>
      </w:r>
    </w:p>
    <w:p>
      <w:pPr>
        <w:pStyle w:val="yIndenta"/>
        <w:spacing w:before="60"/>
        <w:rPr>
          <w:snapToGrid w:val="0"/>
        </w:rPr>
      </w:pPr>
      <w:r>
        <w:rPr>
          <w:snapToGrid w:val="0"/>
        </w:rPr>
        <w:tab/>
        <w:t>(c)</w:t>
      </w:r>
      <w:r>
        <w:rPr>
          <w:snapToGrid w:val="0"/>
        </w:rPr>
        <w:tab/>
        <w:t>where the bet covers 2 contingencies and both are tied, the backer shall receive one fourth of the amount receivable had the bet been a winning bet; and</w:t>
      </w:r>
    </w:p>
    <w:p>
      <w:pPr>
        <w:pStyle w:val="yIndenta"/>
        <w:spacing w:before="60"/>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 and</w:t>
      </w:r>
    </w:p>
    <w:p>
      <w:pPr>
        <w:pStyle w:val="yIndenta"/>
        <w:spacing w:before="60"/>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Indenta"/>
        <w:spacing w:before="60"/>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spacing w:before="100"/>
      </w:pPr>
      <w:r>
        <w:tab/>
        <w:t>[Rule 6 inserted in Gazette 10 Jul 1992 p. 3294.]</w:t>
      </w:r>
    </w:p>
    <w:p>
      <w:pPr>
        <w:pStyle w:val="ySubsection"/>
        <w:tabs>
          <w:tab w:val="clear" w:pos="595"/>
        </w:tabs>
        <w:rPr>
          <w:snapToGrid w:val="0"/>
        </w:rPr>
      </w:pPr>
      <w:r>
        <w:rPr>
          <w:b/>
          <w:bCs/>
        </w:rPr>
        <w:t>7.</w:t>
      </w:r>
      <w:r>
        <w:rPr>
          <w:snapToGrid w:val="0"/>
        </w:rPr>
        <w:tab/>
        <w:t>Where a sporting event is abandoned, all bets are to be refunded except those laid in respect of contingencies that have been decided totally or in part.</w:t>
      </w:r>
    </w:p>
    <w:p>
      <w:pPr>
        <w:pStyle w:val="yFootnotesection"/>
        <w:spacing w:before="100"/>
      </w:pPr>
      <w:r>
        <w:tab/>
        <w:t>[Rule 7 inserted in Gazette 10 Jul 1992 p. 3295.]</w:t>
      </w:r>
    </w:p>
    <w:p>
      <w:pPr>
        <w:pStyle w:val="ySubsection"/>
        <w:tabs>
          <w:tab w:val="clear" w:pos="595"/>
        </w:tabs>
        <w:rPr>
          <w:snapToGrid w:val="0"/>
        </w:rPr>
      </w:pPr>
      <w:r>
        <w:rPr>
          <w:b/>
          <w:bCs/>
        </w:rPr>
        <w:t>8.</w:t>
      </w:r>
      <w:r>
        <w:rPr>
          <w:snapToGrid w:val="0"/>
        </w:rPr>
        <w:tab/>
        <w:t>Where a sporting event is postponed to a later date, all bets on the event or contingent on the event shall stand.</w:t>
      </w:r>
    </w:p>
    <w:p>
      <w:pPr>
        <w:pStyle w:val="yFootnotesection"/>
        <w:spacing w:before="100"/>
      </w:pPr>
      <w:r>
        <w:tab/>
        <w:t>[Rule 8 inserted in Gazette 10 Jul 1992 p. 3295.]</w:t>
      </w:r>
    </w:p>
    <w:p>
      <w:pPr>
        <w:pStyle w:val="ySubsection"/>
        <w:keepNext/>
        <w:tabs>
          <w:tab w:val="clear" w:pos="595"/>
        </w:tabs>
        <w:rPr>
          <w:snapToGrid w:val="0"/>
        </w:rPr>
      </w:pPr>
      <w:r>
        <w:rPr>
          <w:b/>
          <w:bCs/>
        </w:rPr>
        <w:t>9.</w:t>
      </w:r>
      <w:r>
        <w:rPr>
          <w:snapToGrid w:val="0"/>
        </w:rPr>
        <w:tab/>
        <w:t>All bets in relation to sporting contingencies shall be “play or pay”, unless the parties mutually agree to the contrary.</w:t>
      </w:r>
    </w:p>
    <w:p>
      <w:pPr>
        <w:pStyle w:val="yFootnotesection"/>
        <w:spacing w:before="100"/>
      </w:pPr>
      <w:r>
        <w:tab/>
        <w:t>[Rule 9 inserted in Gazette 10 Jul 1992 p. 3295; amended in Gazette 30 Jan 2004 p. 408</w:t>
      </w:r>
      <w:r>
        <w:noBreakHyphen/>
        <w:t>11.]</w:t>
      </w:r>
    </w:p>
    <w:p>
      <w:pPr>
        <w:pStyle w:val="yMiscellaneousHeading"/>
        <w:rPr>
          <w:b/>
        </w:rPr>
      </w:pPr>
      <w:r>
        <w:rPr>
          <w:b/>
        </w:rPr>
        <w:t>Scale of Deduction Table</w:t>
      </w:r>
    </w:p>
    <w:p>
      <w:pPr>
        <w:pStyle w:val="yNumberedItem"/>
        <w:tabs>
          <w:tab w:val="left" w:pos="574"/>
        </w:tabs>
        <w:ind w:left="588" w:hanging="588"/>
      </w:pPr>
      <w:r>
        <w:t>1.</w:t>
      </w:r>
      <w:r>
        <w:tab/>
        <w:t>The following Table is the Table referred to in rule 4A and is to be used to determine the rate % of deduction in situations where it is not possible for the stewards to declare a deduction in accordance with rule 4A(3).  In that case the stewards may declare a deduction for the purposes of rule 4A(2)(b) in accordance with this Scale of Deduction Table.  Calculations can be made in respect of win, place, each</w:t>
      </w:r>
      <w:r>
        <w:noBreakHyphen/>
        <w:t>way, concession and doubles wagers.  Rate % of deduction (cent in $) from the dividend payable in respect of the wager.  (Note: For the purpose of this Table, the win component of an each</w:t>
      </w:r>
      <w:r>
        <w:noBreakHyphen/>
        <w:t>way wager is to be taken as win wager and the place component a place wager.)</w:t>
      </w:r>
    </w:p>
    <w:p>
      <w:pPr>
        <w:pStyle w:val="yNumberedItem"/>
        <w:tabs>
          <w:tab w:val="left" w:pos="574"/>
        </w:tabs>
        <w:ind w:left="588" w:hanging="588"/>
      </w:pPr>
      <w:r>
        <w:t>2.</w:t>
      </w:r>
      <w:r>
        <w:tab/>
        <w:t>Generally, the deduction is applied to the face value of a bet made prior to the time it became known that a runner was a late scratched runner.</w:t>
      </w:r>
    </w:p>
    <w:p>
      <w:pPr>
        <w:pStyle w:val="yNumberedItem"/>
        <w:tabs>
          <w:tab w:val="left" w:pos="574"/>
        </w:tabs>
        <w:ind w:left="588" w:hanging="588"/>
      </w:pPr>
      <w:r>
        <w:t>3.</w:t>
      </w:r>
      <w:r>
        <w:tab/>
        <w:t xml:space="preserve">In relation to concession bets, the deduction is applied only — </w:t>
      </w:r>
    </w:p>
    <w:p>
      <w:pPr>
        <w:pStyle w:val="yNumberedItem"/>
        <w:tabs>
          <w:tab w:val="left" w:pos="602"/>
          <w:tab w:val="left" w:pos="1162"/>
        </w:tabs>
        <w:ind w:left="1148" w:hanging="1148"/>
      </w:pPr>
      <w:r>
        <w:tab/>
        <w:t>(a)</w:t>
      </w:r>
      <w:r>
        <w:tab/>
        <w:t>in respect of a runner that comes first; and</w:t>
      </w:r>
    </w:p>
    <w:p>
      <w:pPr>
        <w:pStyle w:val="yNumberedItem"/>
        <w:tabs>
          <w:tab w:val="left" w:pos="602"/>
          <w:tab w:val="left" w:pos="1162"/>
        </w:tabs>
        <w:ind w:left="1148" w:hanging="1148"/>
      </w:pPr>
      <w:r>
        <w:tab/>
        <w:t>(b)</w:t>
      </w:r>
      <w:r>
        <w:tab/>
        <w:t>to the amount of winnings payable.</w:t>
      </w:r>
    </w:p>
    <w:p>
      <w:pPr>
        <w:pStyle w:val="yNumberedItem"/>
        <w:tabs>
          <w:tab w:val="left" w:pos="574"/>
        </w:tabs>
        <w:ind w:left="588" w:hanging="588"/>
      </w:pPr>
      <w:r>
        <w:t>4.</w:t>
      </w:r>
      <w:r>
        <w:tab/>
        <w:t>With regard to all successful win, place, each</w:t>
      </w:r>
      <w:r>
        <w:noBreakHyphen/>
        <w:t>way, concession and multiple doubles wagers, investors are to be paid the dividend payable in respect of the wager less the number of cents in the dollar deduction applicable on the scale of deductions in the Scale of Deduction Table for the dividends of the runner at the time of its withdrawal.</w:t>
      </w:r>
    </w:p>
    <w:p>
      <w:pPr>
        <w:pStyle w:val="yNumberedItem"/>
        <w:tabs>
          <w:tab w:val="left" w:pos="574"/>
        </w:tabs>
        <w:ind w:left="588" w:hanging="588"/>
      </w:pPr>
      <w:r>
        <w:t>5.</w:t>
      </w:r>
      <w:r>
        <w:tab/>
        <w:t>Where 2 or more withdrawals occur simultaneously during wagering, successful wagers made prior to the time of withdrawal are to be paid the dividend payable in respect of the wager, less a deduction determined by adding together the rates of deduction applicable to each of the runners withdrawn.</w:t>
      </w:r>
    </w:p>
    <w:p>
      <w:pPr>
        <w:pStyle w:val="yNumberedItem"/>
        <w:tabs>
          <w:tab w:val="left" w:pos="574"/>
        </w:tabs>
        <w:ind w:left="588" w:hanging="588"/>
      </w:pPr>
      <w:r>
        <w:t>6.</w:t>
      </w:r>
      <w:r>
        <w:tab/>
        <w:t>Where withdrawals occur at different times during wagering on a race, successful wagers placed prior to the last withdrawal are to be paid the dividend payable in respect of the wager, less deductions determined as follows —</w:t>
      </w:r>
    </w:p>
    <w:p>
      <w:pPr>
        <w:pStyle w:val="yNumberedItem"/>
        <w:tabs>
          <w:tab w:val="left" w:pos="602"/>
          <w:tab w:val="left" w:pos="1162"/>
        </w:tabs>
        <w:ind w:left="1148" w:hanging="1148"/>
      </w:pPr>
      <w:r>
        <w:tab/>
        <w:t>(a)</w:t>
      </w:r>
      <w:r>
        <w:tab/>
        <w:t>for wagers placed prior to the first withdrawal, the rate of deduction is to be determined by adding together the rates of deduction applicable to the dividends of all withdrawn runners;</w:t>
      </w:r>
    </w:p>
    <w:p>
      <w:pPr>
        <w:pStyle w:val="yNumberedItem"/>
        <w:tabs>
          <w:tab w:val="left" w:pos="602"/>
          <w:tab w:val="left" w:pos="1162"/>
        </w:tabs>
        <w:ind w:left="1148" w:hanging="1148"/>
      </w:pPr>
      <w:r>
        <w:tab/>
        <w:t>(b)</w:t>
      </w:r>
      <w:r>
        <w:tab/>
        <w:t>for wagers placed after the time of the first withdrawal — and prior to the time of the second withdrawal — the rate of deduction is to be determined by the deduction applicable on the scale of deductions in the Scale of Deduction Table to the dividends of the second withdrawal.</w:t>
      </w:r>
    </w:p>
    <w:p>
      <w:pPr>
        <w:pStyle w:val="yNumberedItem"/>
        <w:tabs>
          <w:tab w:val="left" w:pos="574"/>
        </w:tabs>
        <w:ind w:left="588" w:hanging="588"/>
      </w:pPr>
      <w:r>
        <w:t>7.</w:t>
      </w:r>
      <w:r>
        <w:tab/>
        <w:t>Where the runner ordered or permitted to be withdrawn, or declared a non</w:t>
      </w:r>
      <w:r>
        <w:noBreakHyphen/>
        <w:t>starter, is shorter than the range of dividends set out in the Scale of Deduction Table, the stewards may —</w:t>
      </w:r>
    </w:p>
    <w:p>
      <w:pPr>
        <w:pStyle w:val="yNumberedItem"/>
        <w:tabs>
          <w:tab w:val="left" w:pos="602"/>
          <w:tab w:val="left" w:pos="1162"/>
        </w:tabs>
        <w:ind w:left="1148" w:hanging="1148"/>
      </w:pPr>
      <w:r>
        <w:tab/>
        <w:t>(a)</w:t>
      </w:r>
      <w:r>
        <w:tab/>
        <w:t>if there is sufficient time, declare all wagers made on the remaining runners to be void and order that wagering on the race be re</w:t>
      </w:r>
      <w:r>
        <w:noBreakHyphen/>
        <w:t>opened; or</w:t>
      </w:r>
    </w:p>
    <w:p>
      <w:pPr>
        <w:pStyle w:val="yNumberedItem"/>
        <w:tabs>
          <w:tab w:val="left" w:pos="602"/>
          <w:tab w:val="left" w:pos="1162"/>
        </w:tabs>
        <w:spacing w:after="80"/>
        <w:ind w:left="1148" w:hanging="1148"/>
      </w:pPr>
      <w:r>
        <w:tab/>
        <w:t>(b)</w:t>
      </w:r>
      <w:r>
        <w:tab/>
        <w:t>if there is insufficient time to re</w:t>
      </w:r>
      <w:r>
        <w:noBreakHyphen/>
        <w:t>open wagering, declare a deduction assessed from the Scale of Deduction Table.</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NAm"/>
              <w:spacing w:before="60"/>
              <w:jc w:val="center"/>
              <w:rPr>
                <w:b/>
                <w:bCs/>
              </w:rPr>
            </w:pPr>
            <w:r>
              <w:rPr>
                <w:b/>
                <w:bCs/>
              </w:rPr>
              <w:t>Dividend of withdrawn runner (for bet of $1)</w:t>
            </w:r>
          </w:p>
        </w:tc>
        <w:tc>
          <w:tcPr>
            <w:tcW w:w="1418" w:type="dxa"/>
            <w:tcBorders>
              <w:top w:val="single" w:sz="4" w:space="0" w:color="auto"/>
              <w:bottom w:val="single" w:sz="4" w:space="0" w:color="auto"/>
            </w:tcBorders>
          </w:tcPr>
          <w:p>
            <w:pPr>
              <w:pStyle w:val="yTableNAm"/>
              <w:spacing w:before="60"/>
              <w:jc w:val="center"/>
              <w:rPr>
                <w:b/>
                <w:bCs/>
              </w:rPr>
            </w:pPr>
            <w:r>
              <w:rPr>
                <w:b/>
                <w:bCs/>
              </w:rPr>
              <w:t xml:space="preserve">Win </w:t>
            </w:r>
            <w:r>
              <w:rPr>
                <w:b/>
                <w:bCs/>
              </w:rPr>
              <w:br/>
              <w:t>doubles</w:t>
            </w:r>
            <w:r>
              <w:rPr>
                <w:b/>
                <w:bCs/>
              </w:rPr>
              <w:br/>
              <w:t>treble deduction</w:t>
            </w:r>
          </w:p>
          <w:p>
            <w:pPr>
              <w:pStyle w:val="yTableNAm"/>
              <w:spacing w:before="0"/>
              <w:jc w:val="center"/>
              <w:rPr>
                <w:b/>
                <w:bCs/>
              </w:rPr>
            </w:pPr>
          </w:p>
          <w:p>
            <w:pPr>
              <w:pStyle w:val="yTableNAm"/>
              <w:spacing w:before="60"/>
              <w:jc w:val="center"/>
              <w:rPr>
                <w:b/>
                <w:bCs/>
              </w:rPr>
            </w:pPr>
            <w:r>
              <w:rPr>
                <w:b/>
                <w:bCs/>
              </w:rPr>
              <w:t>Cents</w:t>
            </w:r>
          </w:p>
        </w:tc>
        <w:tc>
          <w:tcPr>
            <w:tcW w:w="1417" w:type="dxa"/>
            <w:tcBorders>
              <w:top w:val="single" w:sz="4" w:space="0" w:color="auto"/>
              <w:bottom w:val="single" w:sz="4" w:space="0" w:color="auto"/>
            </w:tcBorders>
          </w:tcPr>
          <w:p>
            <w:pPr>
              <w:pStyle w:val="yTableNAm"/>
              <w:spacing w:before="60"/>
              <w:jc w:val="center"/>
              <w:rPr>
                <w:b/>
                <w:bCs/>
              </w:rPr>
            </w:pPr>
            <w:r>
              <w:rPr>
                <w:b/>
                <w:bCs/>
              </w:rPr>
              <w:t>Place deduction where 8 or more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NAm"/>
              <w:spacing w:before="60"/>
              <w:jc w:val="center"/>
              <w:rPr>
                <w:b/>
                <w:bCs/>
              </w:rPr>
            </w:pPr>
            <w:r>
              <w:rPr>
                <w:b/>
                <w:bCs/>
              </w:rPr>
              <w:t>Place deduction where less than 8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
              <w:jc w:val="center"/>
              <w:rPr>
                <w:b/>
                <w:bCs/>
              </w:rPr>
            </w:pPr>
            <w:r>
              <w:rPr>
                <w:b/>
                <w:bCs/>
              </w:rPr>
              <w:t>Concession deduction</w:t>
            </w:r>
            <w:r>
              <w:rPr>
                <w:b/>
                <w:bCs/>
              </w:rPr>
              <w:br/>
            </w:r>
            <w:r>
              <w:rPr>
                <w:b/>
                <w:bCs/>
              </w:rPr>
              <w:br/>
            </w:r>
          </w:p>
          <w:p>
            <w:pPr>
              <w:pStyle w:val="yTable"/>
              <w:jc w:val="center"/>
              <w:rPr>
                <w:b/>
                <w:bCs/>
              </w:rPr>
            </w:pPr>
          </w:p>
          <w:p>
            <w:pPr>
              <w:pStyle w:val="yTable"/>
              <w:spacing w:before="0"/>
              <w:jc w:val="center"/>
              <w:rPr>
                <w:b/>
                <w:bCs/>
              </w:rPr>
            </w:pPr>
            <w:r>
              <w:rPr>
                <w:b/>
                <w:bCs/>
              </w:rPr>
              <w:t>Cents</w:t>
            </w:r>
          </w:p>
        </w:tc>
      </w:tr>
      <w:tr>
        <w:tc>
          <w:tcPr>
            <w:tcW w:w="1417" w:type="dxa"/>
          </w:tcPr>
          <w:p>
            <w:pPr>
              <w:pStyle w:val="yTableNAm"/>
              <w:spacing w:before="60"/>
              <w:jc w:val="center"/>
            </w:pPr>
            <w:r>
              <w:t>1.05</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1.07</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1.08</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1.09</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1.10</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1.12</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1.14</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1.18</w:t>
            </w:r>
          </w:p>
        </w:tc>
        <w:tc>
          <w:tcPr>
            <w:tcW w:w="1418" w:type="dxa"/>
          </w:tcPr>
          <w:p>
            <w:pPr>
              <w:pStyle w:val="yTableNAm"/>
              <w:spacing w:before="60"/>
              <w:jc w:val="center"/>
            </w:pPr>
            <w:r>
              <w:t>79</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1.20</w:t>
            </w:r>
          </w:p>
        </w:tc>
        <w:tc>
          <w:tcPr>
            <w:tcW w:w="1418" w:type="dxa"/>
          </w:tcPr>
          <w:p>
            <w:pPr>
              <w:pStyle w:val="yTableNAm"/>
              <w:spacing w:before="60"/>
              <w:jc w:val="center"/>
            </w:pPr>
            <w:r>
              <w:t>78</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1.22</w:t>
            </w:r>
          </w:p>
        </w:tc>
        <w:tc>
          <w:tcPr>
            <w:tcW w:w="1418" w:type="dxa"/>
          </w:tcPr>
          <w:p>
            <w:pPr>
              <w:pStyle w:val="yTableNAm"/>
              <w:spacing w:before="60"/>
              <w:jc w:val="center"/>
            </w:pPr>
            <w:r>
              <w:t>77</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1.24</w:t>
            </w:r>
          </w:p>
        </w:tc>
        <w:tc>
          <w:tcPr>
            <w:tcW w:w="1418" w:type="dxa"/>
          </w:tcPr>
          <w:p>
            <w:pPr>
              <w:pStyle w:val="yTableNAm"/>
              <w:spacing w:before="60"/>
              <w:jc w:val="center"/>
            </w:pPr>
            <w:r>
              <w:t>75</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1.26</w:t>
            </w:r>
          </w:p>
        </w:tc>
        <w:tc>
          <w:tcPr>
            <w:tcW w:w="1418" w:type="dxa"/>
          </w:tcPr>
          <w:p>
            <w:pPr>
              <w:pStyle w:val="yTableNAm"/>
              <w:spacing w:before="60"/>
              <w:jc w:val="center"/>
            </w:pPr>
            <w:r>
              <w:t>74</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1.28</w:t>
            </w:r>
          </w:p>
        </w:tc>
        <w:tc>
          <w:tcPr>
            <w:tcW w:w="1418" w:type="dxa"/>
          </w:tcPr>
          <w:p>
            <w:pPr>
              <w:pStyle w:val="yTableNAm"/>
              <w:spacing w:before="60"/>
              <w:jc w:val="center"/>
            </w:pPr>
            <w:r>
              <w:t>73</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1.30</w:t>
            </w:r>
          </w:p>
        </w:tc>
        <w:tc>
          <w:tcPr>
            <w:tcW w:w="1418" w:type="dxa"/>
          </w:tcPr>
          <w:p>
            <w:pPr>
              <w:pStyle w:val="yTableNAm"/>
              <w:spacing w:before="60"/>
              <w:jc w:val="center"/>
            </w:pPr>
            <w:r>
              <w:t>72</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67</w:t>
            </w:r>
          </w:p>
        </w:tc>
      </w:tr>
      <w:tr>
        <w:tc>
          <w:tcPr>
            <w:tcW w:w="1417" w:type="dxa"/>
          </w:tcPr>
          <w:p>
            <w:pPr>
              <w:pStyle w:val="yTableNAm"/>
              <w:spacing w:before="60"/>
              <w:jc w:val="center"/>
            </w:pPr>
            <w:r>
              <w:t>1.35</w:t>
            </w:r>
          </w:p>
        </w:tc>
        <w:tc>
          <w:tcPr>
            <w:tcW w:w="1418" w:type="dxa"/>
          </w:tcPr>
          <w:p>
            <w:pPr>
              <w:pStyle w:val="yTableNAm"/>
              <w:spacing w:before="60"/>
              <w:jc w:val="center"/>
            </w:pPr>
            <w:r>
              <w:t>69</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64</w:t>
            </w:r>
          </w:p>
        </w:tc>
      </w:tr>
      <w:tr>
        <w:tc>
          <w:tcPr>
            <w:tcW w:w="1417" w:type="dxa"/>
          </w:tcPr>
          <w:p>
            <w:pPr>
              <w:pStyle w:val="yTableNAm"/>
              <w:spacing w:before="60"/>
              <w:jc w:val="center"/>
            </w:pPr>
            <w:r>
              <w:t>1.40</w:t>
            </w:r>
          </w:p>
        </w:tc>
        <w:tc>
          <w:tcPr>
            <w:tcW w:w="1418" w:type="dxa"/>
          </w:tcPr>
          <w:p>
            <w:pPr>
              <w:pStyle w:val="yTableNAm"/>
              <w:spacing w:before="60"/>
              <w:jc w:val="center"/>
            </w:pPr>
            <w:r>
              <w:t>67</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62</w:t>
            </w:r>
          </w:p>
        </w:tc>
      </w:tr>
      <w:tr>
        <w:tc>
          <w:tcPr>
            <w:tcW w:w="1417" w:type="dxa"/>
          </w:tcPr>
          <w:p>
            <w:pPr>
              <w:pStyle w:val="yTableNAm"/>
              <w:spacing w:before="60"/>
              <w:jc w:val="center"/>
            </w:pPr>
            <w:r>
              <w:t>1.45</w:t>
            </w:r>
          </w:p>
        </w:tc>
        <w:tc>
          <w:tcPr>
            <w:tcW w:w="1418" w:type="dxa"/>
          </w:tcPr>
          <w:p>
            <w:pPr>
              <w:pStyle w:val="yTableNAm"/>
              <w:spacing w:before="60"/>
              <w:jc w:val="center"/>
            </w:pPr>
            <w:r>
              <w:t>64</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59</w:t>
            </w:r>
          </w:p>
        </w:tc>
      </w:tr>
      <w:tr>
        <w:tc>
          <w:tcPr>
            <w:tcW w:w="1417" w:type="dxa"/>
          </w:tcPr>
          <w:p>
            <w:pPr>
              <w:pStyle w:val="yTableNAm"/>
              <w:spacing w:before="60"/>
              <w:jc w:val="center"/>
            </w:pPr>
            <w:r>
              <w:t>1.50</w:t>
            </w:r>
          </w:p>
        </w:tc>
        <w:tc>
          <w:tcPr>
            <w:tcW w:w="1418" w:type="dxa"/>
          </w:tcPr>
          <w:p>
            <w:pPr>
              <w:pStyle w:val="yTableNAm"/>
              <w:spacing w:before="60"/>
              <w:jc w:val="center"/>
            </w:pPr>
            <w:r>
              <w:t>62</w:t>
            </w:r>
          </w:p>
        </w:tc>
        <w:tc>
          <w:tcPr>
            <w:tcW w:w="1417" w:type="dxa"/>
          </w:tcPr>
          <w:p>
            <w:pPr>
              <w:pStyle w:val="yTableNAm"/>
              <w:spacing w:before="60"/>
              <w:jc w:val="center"/>
            </w:pPr>
            <w:r>
              <w:t>28</w:t>
            </w:r>
          </w:p>
        </w:tc>
        <w:tc>
          <w:tcPr>
            <w:tcW w:w="1418" w:type="dxa"/>
          </w:tcPr>
          <w:p>
            <w:pPr>
              <w:pStyle w:val="yTableNAm"/>
              <w:spacing w:before="60"/>
              <w:jc w:val="center"/>
            </w:pPr>
            <w:r>
              <w:t>40</w:t>
            </w:r>
          </w:p>
        </w:tc>
        <w:tc>
          <w:tcPr>
            <w:tcW w:w="1418" w:type="dxa"/>
          </w:tcPr>
          <w:p>
            <w:pPr>
              <w:pStyle w:val="yTable"/>
              <w:jc w:val="center"/>
            </w:pPr>
            <w:r>
              <w:t>57</w:t>
            </w:r>
          </w:p>
        </w:tc>
      </w:tr>
      <w:tr>
        <w:tc>
          <w:tcPr>
            <w:tcW w:w="1417" w:type="dxa"/>
          </w:tcPr>
          <w:p>
            <w:pPr>
              <w:pStyle w:val="yTableNAm"/>
              <w:spacing w:before="60"/>
              <w:jc w:val="center"/>
            </w:pPr>
            <w:r>
              <w:t>1.55</w:t>
            </w:r>
          </w:p>
        </w:tc>
        <w:tc>
          <w:tcPr>
            <w:tcW w:w="1418" w:type="dxa"/>
          </w:tcPr>
          <w:p>
            <w:pPr>
              <w:pStyle w:val="yTableNAm"/>
              <w:spacing w:before="60"/>
              <w:jc w:val="center"/>
            </w:pPr>
            <w:r>
              <w:t>60</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55</w:t>
            </w:r>
          </w:p>
        </w:tc>
      </w:tr>
      <w:tr>
        <w:tc>
          <w:tcPr>
            <w:tcW w:w="1417" w:type="dxa"/>
          </w:tcPr>
          <w:p>
            <w:pPr>
              <w:pStyle w:val="yTableNAm"/>
              <w:spacing w:before="60"/>
              <w:jc w:val="center"/>
            </w:pPr>
            <w:r>
              <w:t>1.60</w:t>
            </w:r>
          </w:p>
        </w:tc>
        <w:tc>
          <w:tcPr>
            <w:tcW w:w="1418" w:type="dxa"/>
          </w:tcPr>
          <w:p>
            <w:pPr>
              <w:pStyle w:val="yTableNAm"/>
              <w:spacing w:before="60"/>
              <w:jc w:val="center"/>
            </w:pPr>
            <w:r>
              <w:t>58</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53</w:t>
            </w:r>
          </w:p>
        </w:tc>
      </w:tr>
      <w:tr>
        <w:tc>
          <w:tcPr>
            <w:tcW w:w="1417" w:type="dxa"/>
          </w:tcPr>
          <w:p>
            <w:pPr>
              <w:pStyle w:val="yTableNAm"/>
              <w:spacing w:before="60"/>
              <w:jc w:val="center"/>
            </w:pPr>
            <w:r>
              <w:t>1.65</w:t>
            </w:r>
          </w:p>
        </w:tc>
        <w:tc>
          <w:tcPr>
            <w:tcW w:w="1418" w:type="dxa"/>
          </w:tcPr>
          <w:p>
            <w:pPr>
              <w:pStyle w:val="yTableNAm"/>
              <w:spacing w:before="60"/>
              <w:jc w:val="center"/>
            </w:pPr>
            <w:r>
              <w:t>57</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53</w:t>
            </w:r>
          </w:p>
        </w:tc>
      </w:tr>
      <w:tr>
        <w:tc>
          <w:tcPr>
            <w:tcW w:w="1417" w:type="dxa"/>
          </w:tcPr>
          <w:p>
            <w:pPr>
              <w:pStyle w:val="yTableNAm"/>
              <w:spacing w:before="60"/>
              <w:jc w:val="center"/>
            </w:pPr>
            <w:r>
              <w:t>1.70</w:t>
            </w:r>
          </w:p>
        </w:tc>
        <w:tc>
          <w:tcPr>
            <w:tcW w:w="1418" w:type="dxa"/>
          </w:tcPr>
          <w:p>
            <w:pPr>
              <w:pStyle w:val="yTableNAm"/>
              <w:spacing w:before="60"/>
              <w:jc w:val="center"/>
            </w:pPr>
            <w:r>
              <w:t>55</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51</w:t>
            </w:r>
          </w:p>
        </w:tc>
      </w:tr>
      <w:tr>
        <w:tc>
          <w:tcPr>
            <w:tcW w:w="1417" w:type="dxa"/>
          </w:tcPr>
          <w:p>
            <w:pPr>
              <w:pStyle w:val="yTableNAm"/>
              <w:spacing w:before="60"/>
              <w:jc w:val="center"/>
            </w:pPr>
            <w:r>
              <w:t>1.75</w:t>
            </w:r>
          </w:p>
        </w:tc>
        <w:tc>
          <w:tcPr>
            <w:tcW w:w="1418" w:type="dxa"/>
          </w:tcPr>
          <w:p>
            <w:pPr>
              <w:pStyle w:val="yTableNAm"/>
              <w:spacing w:before="60"/>
              <w:jc w:val="center"/>
            </w:pPr>
            <w:r>
              <w:t>53</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49</w:t>
            </w:r>
          </w:p>
        </w:tc>
      </w:tr>
      <w:tr>
        <w:tc>
          <w:tcPr>
            <w:tcW w:w="1417" w:type="dxa"/>
          </w:tcPr>
          <w:p>
            <w:pPr>
              <w:pStyle w:val="yTableNAm"/>
              <w:spacing w:before="60"/>
              <w:jc w:val="center"/>
            </w:pPr>
            <w:r>
              <w:t>1.80</w:t>
            </w:r>
          </w:p>
        </w:tc>
        <w:tc>
          <w:tcPr>
            <w:tcW w:w="1418" w:type="dxa"/>
          </w:tcPr>
          <w:p>
            <w:pPr>
              <w:pStyle w:val="yTableNAm"/>
              <w:spacing w:before="60"/>
              <w:jc w:val="center"/>
            </w:pPr>
            <w:r>
              <w:t>52</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48</w:t>
            </w:r>
          </w:p>
        </w:tc>
      </w:tr>
      <w:tr>
        <w:tc>
          <w:tcPr>
            <w:tcW w:w="1417" w:type="dxa"/>
          </w:tcPr>
          <w:p>
            <w:pPr>
              <w:pStyle w:val="yTableNAm"/>
              <w:spacing w:before="60"/>
              <w:jc w:val="center"/>
            </w:pPr>
            <w:r>
              <w:t>1.85</w:t>
            </w:r>
          </w:p>
        </w:tc>
        <w:tc>
          <w:tcPr>
            <w:tcW w:w="1418" w:type="dxa"/>
          </w:tcPr>
          <w:p>
            <w:pPr>
              <w:pStyle w:val="yTableNAm"/>
              <w:spacing w:before="60"/>
              <w:jc w:val="center"/>
            </w:pPr>
            <w:r>
              <w:t>51</w:t>
            </w:r>
          </w:p>
        </w:tc>
        <w:tc>
          <w:tcPr>
            <w:tcW w:w="1417" w:type="dxa"/>
          </w:tcPr>
          <w:p>
            <w:pPr>
              <w:pStyle w:val="yTableNAm"/>
              <w:spacing w:before="60"/>
              <w:jc w:val="center"/>
            </w:pPr>
            <w:r>
              <w:t>26</w:t>
            </w:r>
          </w:p>
        </w:tc>
        <w:tc>
          <w:tcPr>
            <w:tcW w:w="1418" w:type="dxa"/>
          </w:tcPr>
          <w:p>
            <w:pPr>
              <w:pStyle w:val="yTableNAm"/>
              <w:spacing w:before="60"/>
              <w:jc w:val="center"/>
            </w:pPr>
            <w:r>
              <w:t>36</w:t>
            </w:r>
          </w:p>
        </w:tc>
        <w:tc>
          <w:tcPr>
            <w:tcW w:w="1418" w:type="dxa"/>
          </w:tcPr>
          <w:p>
            <w:pPr>
              <w:pStyle w:val="yTable"/>
              <w:jc w:val="center"/>
            </w:pPr>
            <w:r>
              <w:t>47</w:t>
            </w:r>
          </w:p>
        </w:tc>
      </w:tr>
      <w:tr>
        <w:tc>
          <w:tcPr>
            <w:tcW w:w="1417" w:type="dxa"/>
          </w:tcPr>
          <w:p>
            <w:pPr>
              <w:pStyle w:val="yTableNAm"/>
              <w:spacing w:before="60"/>
              <w:jc w:val="center"/>
            </w:pPr>
            <w:r>
              <w:t>1.90</w:t>
            </w:r>
          </w:p>
        </w:tc>
        <w:tc>
          <w:tcPr>
            <w:tcW w:w="1418" w:type="dxa"/>
          </w:tcPr>
          <w:p>
            <w:pPr>
              <w:pStyle w:val="yTableNAm"/>
              <w:spacing w:before="60"/>
              <w:jc w:val="center"/>
            </w:pPr>
            <w:r>
              <w:t>49</w:t>
            </w:r>
          </w:p>
        </w:tc>
        <w:tc>
          <w:tcPr>
            <w:tcW w:w="1417" w:type="dxa"/>
          </w:tcPr>
          <w:p>
            <w:pPr>
              <w:pStyle w:val="yTableNAm"/>
              <w:spacing w:before="60"/>
              <w:jc w:val="center"/>
            </w:pPr>
            <w:r>
              <w:t>25</w:t>
            </w:r>
          </w:p>
        </w:tc>
        <w:tc>
          <w:tcPr>
            <w:tcW w:w="1418" w:type="dxa"/>
          </w:tcPr>
          <w:p>
            <w:pPr>
              <w:pStyle w:val="yTableNAm"/>
              <w:spacing w:before="60"/>
              <w:jc w:val="center"/>
            </w:pPr>
            <w:r>
              <w:t>36</w:t>
            </w:r>
          </w:p>
        </w:tc>
        <w:tc>
          <w:tcPr>
            <w:tcW w:w="1418" w:type="dxa"/>
          </w:tcPr>
          <w:p>
            <w:pPr>
              <w:pStyle w:val="yTable"/>
              <w:jc w:val="center"/>
            </w:pPr>
            <w:r>
              <w:t>45</w:t>
            </w:r>
          </w:p>
        </w:tc>
      </w:tr>
      <w:tr>
        <w:tc>
          <w:tcPr>
            <w:tcW w:w="1417" w:type="dxa"/>
          </w:tcPr>
          <w:p>
            <w:pPr>
              <w:pStyle w:val="yTableNAm"/>
              <w:spacing w:before="60"/>
              <w:jc w:val="center"/>
            </w:pPr>
            <w:r>
              <w:t>1.95</w:t>
            </w:r>
          </w:p>
        </w:tc>
        <w:tc>
          <w:tcPr>
            <w:tcW w:w="1418" w:type="dxa"/>
          </w:tcPr>
          <w:p>
            <w:pPr>
              <w:pStyle w:val="yTableNAm"/>
              <w:spacing w:before="60"/>
              <w:jc w:val="center"/>
            </w:pPr>
            <w:r>
              <w:t>48</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44</w:t>
            </w:r>
          </w:p>
        </w:tc>
      </w:tr>
      <w:tr>
        <w:tc>
          <w:tcPr>
            <w:tcW w:w="1417" w:type="dxa"/>
          </w:tcPr>
          <w:p>
            <w:pPr>
              <w:pStyle w:val="yTableNAm"/>
              <w:spacing w:before="60"/>
              <w:jc w:val="center"/>
            </w:pPr>
            <w:r>
              <w:t>2.00</w:t>
            </w:r>
          </w:p>
        </w:tc>
        <w:tc>
          <w:tcPr>
            <w:tcW w:w="1418" w:type="dxa"/>
          </w:tcPr>
          <w:p>
            <w:pPr>
              <w:pStyle w:val="yTableNAm"/>
              <w:spacing w:before="60"/>
              <w:jc w:val="center"/>
            </w:pPr>
            <w:r>
              <w:t>47</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43</w:t>
            </w:r>
          </w:p>
        </w:tc>
      </w:tr>
      <w:tr>
        <w:tc>
          <w:tcPr>
            <w:tcW w:w="1417" w:type="dxa"/>
          </w:tcPr>
          <w:p>
            <w:pPr>
              <w:pStyle w:val="yTableNAm"/>
              <w:spacing w:before="60"/>
              <w:jc w:val="center"/>
            </w:pPr>
            <w:r>
              <w:t>2.05</w:t>
            </w:r>
          </w:p>
        </w:tc>
        <w:tc>
          <w:tcPr>
            <w:tcW w:w="1418" w:type="dxa"/>
          </w:tcPr>
          <w:p>
            <w:pPr>
              <w:pStyle w:val="yTableNAm"/>
              <w:spacing w:before="60"/>
              <w:jc w:val="center"/>
            </w:pPr>
            <w:r>
              <w:t>46</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42</w:t>
            </w:r>
          </w:p>
        </w:tc>
      </w:tr>
      <w:tr>
        <w:tc>
          <w:tcPr>
            <w:tcW w:w="1417" w:type="dxa"/>
          </w:tcPr>
          <w:p>
            <w:pPr>
              <w:pStyle w:val="yTableNAm"/>
              <w:spacing w:before="60"/>
              <w:jc w:val="center"/>
            </w:pPr>
            <w:r>
              <w:t>2.10</w:t>
            </w:r>
          </w:p>
        </w:tc>
        <w:tc>
          <w:tcPr>
            <w:tcW w:w="1418" w:type="dxa"/>
          </w:tcPr>
          <w:p>
            <w:pPr>
              <w:pStyle w:val="yTableNAm"/>
              <w:spacing w:before="60"/>
              <w:jc w:val="center"/>
            </w:pPr>
            <w:r>
              <w:t>45</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41</w:t>
            </w:r>
          </w:p>
        </w:tc>
      </w:tr>
      <w:tr>
        <w:tc>
          <w:tcPr>
            <w:tcW w:w="1417" w:type="dxa"/>
          </w:tcPr>
          <w:p>
            <w:pPr>
              <w:pStyle w:val="yTableNAm"/>
              <w:spacing w:before="60"/>
              <w:jc w:val="center"/>
            </w:pPr>
            <w:r>
              <w:t>2.15</w:t>
            </w:r>
          </w:p>
        </w:tc>
        <w:tc>
          <w:tcPr>
            <w:tcW w:w="1418" w:type="dxa"/>
          </w:tcPr>
          <w:p>
            <w:pPr>
              <w:pStyle w:val="yTableNAm"/>
              <w:spacing w:before="60"/>
              <w:jc w:val="center"/>
            </w:pPr>
            <w:r>
              <w:t>43</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40</w:t>
            </w:r>
          </w:p>
        </w:tc>
      </w:tr>
      <w:tr>
        <w:tc>
          <w:tcPr>
            <w:tcW w:w="1417" w:type="dxa"/>
          </w:tcPr>
          <w:p>
            <w:pPr>
              <w:pStyle w:val="yTableNAm"/>
              <w:spacing w:before="60"/>
              <w:jc w:val="center"/>
            </w:pPr>
            <w:r>
              <w:t>2.20</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2.25</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2.30</w:t>
            </w:r>
          </w:p>
        </w:tc>
        <w:tc>
          <w:tcPr>
            <w:tcW w:w="1418" w:type="dxa"/>
          </w:tcPr>
          <w:p>
            <w:pPr>
              <w:pStyle w:val="yTableNAm"/>
              <w:spacing w:before="60"/>
              <w:jc w:val="center"/>
            </w:pPr>
            <w:r>
              <w:t>41</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2.35</w:t>
            </w:r>
          </w:p>
        </w:tc>
        <w:tc>
          <w:tcPr>
            <w:tcW w:w="1418" w:type="dxa"/>
          </w:tcPr>
          <w:p>
            <w:pPr>
              <w:pStyle w:val="yTableNAm"/>
              <w:spacing w:before="60"/>
              <w:jc w:val="center"/>
            </w:pPr>
            <w:r>
              <w:t>40</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38</w:t>
            </w:r>
          </w:p>
        </w:tc>
      </w:tr>
      <w:tr>
        <w:tc>
          <w:tcPr>
            <w:tcW w:w="1417" w:type="dxa"/>
          </w:tcPr>
          <w:p>
            <w:pPr>
              <w:pStyle w:val="yTableNAm"/>
              <w:spacing w:before="60"/>
              <w:jc w:val="center"/>
            </w:pPr>
            <w:r>
              <w:t>2.40</w:t>
            </w:r>
          </w:p>
        </w:tc>
        <w:tc>
          <w:tcPr>
            <w:tcW w:w="1418" w:type="dxa"/>
          </w:tcPr>
          <w:p>
            <w:pPr>
              <w:pStyle w:val="yTableNAm"/>
              <w:spacing w:before="60"/>
              <w:jc w:val="center"/>
            </w:pPr>
            <w:r>
              <w:t>39</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37</w:t>
            </w:r>
          </w:p>
        </w:tc>
      </w:tr>
      <w:tr>
        <w:tc>
          <w:tcPr>
            <w:tcW w:w="1417" w:type="dxa"/>
          </w:tcPr>
          <w:p>
            <w:pPr>
              <w:pStyle w:val="yTableNAm"/>
              <w:spacing w:before="60"/>
              <w:jc w:val="center"/>
            </w:pPr>
            <w:r>
              <w:t>2.45</w:t>
            </w:r>
          </w:p>
        </w:tc>
        <w:tc>
          <w:tcPr>
            <w:tcW w:w="1418" w:type="dxa"/>
          </w:tcPr>
          <w:p>
            <w:pPr>
              <w:pStyle w:val="yTableNAm"/>
              <w:spacing w:before="60"/>
              <w:jc w:val="center"/>
            </w:pPr>
            <w:r>
              <w:t>38</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36</w:t>
            </w:r>
          </w:p>
        </w:tc>
      </w:tr>
      <w:tr>
        <w:tc>
          <w:tcPr>
            <w:tcW w:w="1417" w:type="dxa"/>
          </w:tcPr>
          <w:p>
            <w:pPr>
              <w:pStyle w:val="yTableNAm"/>
              <w:spacing w:before="60"/>
              <w:jc w:val="center"/>
            </w:pPr>
            <w:r>
              <w:t>2.50</w:t>
            </w:r>
          </w:p>
        </w:tc>
        <w:tc>
          <w:tcPr>
            <w:tcW w:w="1418" w:type="dxa"/>
          </w:tcPr>
          <w:p>
            <w:pPr>
              <w:pStyle w:val="yTableNAm"/>
              <w:spacing w:before="60"/>
              <w:jc w:val="center"/>
            </w:pPr>
            <w:r>
              <w:t>37</w:t>
            </w:r>
          </w:p>
        </w:tc>
        <w:tc>
          <w:tcPr>
            <w:tcW w:w="1417" w:type="dxa"/>
          </w:tcPr>
          <w:p>
            <w:pPr>
              <w:pStyle w:val="yTableNAm"/>
              <w:spacing w:before="60"/>
              <w:jc w:val="center"/>
            </w:pPr>
            <w:r>
              <w:t>23</w:t>
            </w:r>
          </w:p>
        </w:tc>
        <w:tc>
          <w:tcPr>
            <w:tcW w:w="1418" w:type="dxa"/>
          </w:tcPr>
          <w:p>
            <w:pPr>
              <w:pStyle w:val="yTableNAm"/>
              <w:spacing w:before="60"/>
              <w:jc w:val="center"/>
            </w:pPr>
            <w:r>
              <w:t>31</w:t>
            </w:r>
          </w:p>
        </w:tc>
        <w:tc>
          <w:tcPr>
            <w:tcW w:w="1418" w:type="dxa"/>
          </w:tcPr>
          <w:p>
            <w:pPr>
              <w:pStyle w:val="yTable"/>
              <w:jc w:val="center"/>
            </w:pPr>
            <w:r>
              <w:t>35</w:t>
            </w:r>
          </w:p>
        </w:tc>
      </w:tr>
      <w:tr>
        <w:tc>
          <w:tcPr>
            <w:tcW w:w="1417" w:type="dxa"/>
          </w:tcPr>
          <w:p>
            <w:pPr>
              <w:pStyle w:val="yTableNAm"/>
              <w:spacing w:before="60"/>
              <w:jc w:val="center"/>
            </w:pPr>
            <w:r>
              <w:t>2.60</w:t>
            </w:r>
          </w:p>
        </w:tc>
        <w:tc>
          <w:tcPr>
            <w:tcW w:w="1418" w:type="dxa"/>
          </w:tcPr>
          <w:p>
            <w:pPr>
              <w:pStyle w:val="yTableNAm"/>
              <w:spacing w:before="60"/>
              <w:jc w:val="center"/>
            </w:pPr>
            <w:r>
              <w:t>36</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34</w:t>
            </w:r>
          </w:p>
        </w:tc>
      </w:tr>
      <w:tr>
        <w:tc>
          <w:tcPr>
            <w:tcW w:w="1417" w:type="dxa"/>
          </w:tcPr>
          <w:p>
            <w:pPr>
              <w:pStyle w:val="yTableNAm"/>
              <w:spacing w:before="60"/>
              <w:jc w:val="center"/>
            </w:pPr>
            <w:r>
              <w:t>2.70</w:t>
            </w:r>
          </w:p>
        </w:tc>
        <w:tc>
          <w:tcPr>
            <w:tcW w:w="1418" w:type="dxa"/>
          </w:tcPr>
          <w:p>
            <w:pPr>
              <w:pStyle w:val="yTableNAm"/>
              <w:spacing w:before="60"/>
              <w:jc w:val="center"/>
            </w:pPr>
            <w:r>
              <w:t>35</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33</w:t>
            </w:r>
          </w:p>
        </w:tc>
      </w:tr>
      <w:tr>
        <w:tc>
          <w:tcPr>
            <w:tcW w:w="1417" w:type="dxa"/>
          </w:tcPr>
          <w:p>
            <w:pPr>
              <w:pStyle w:val="yTableNAm"/>
              <w:spacing w:before="60"/>
              <w:jc w:val="center"/>
            </w:pPr>
            <w:r>
              <w:t>2.80</w:t>
            </w:r>
          </w:p>
        </w:tc>
        <w:tc>
          <w:tcPr>
            <w:tcW w:w="1418" w:type="dxa"/>
          </w:tcPr>
          <w:p>
            <w:pPr>
              <w:pStyle w:val="yTableNAm"/>
              <w:spacing w:before="60"/>
              <w:jc w:val="center"/>
            </w:pPr>
            <w:r>
              <w:t>33</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31</w:t>
            </w:r>
          </w:p>
        </w:tc>
      </w:tr>
      <w:tr>
        <w:tc>
          <w:tcPr>
            <w:tcW w:w="1417" w:type="dxa"/>
          </w:tcPr>
          <w:p>
            <w:pPr>
              <w:pStyle w:val="yTableNAm"/>
              <w:spacing w:before="60"/>
              <w:jc w:val="center"/>
            </w:pPr>
            <w:r>
              <w:t>2.90</w:t>
            </w:r>
          </w:p>
        </w:tc>
        <w:tc>
          <w:tcPr>
            <w:tcW w:w="1418" w:type="dxa"/>
          </w:tcPr>
          <w:p>
            <w:pPr>
              <w:pStyle w:val="yTableNAm"/>
              <w:spacing w:before="60"/>
              <w:jc w:val="center"/>
            </w:pPr>
            <w:r>
              <w:t>32</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30</w:t>
            </w:r>
          </w:p>
        </w:tc>
      </w:tr>
      <w:tr>
        <w:tc>
          <w:tcPr>
            <w:tcW w:w="1417" w:type="dxa"/>
          </w:tcPr>
          <w:p>
            <w:pPr>
              <w:pStyle w:val="yTableNAm"/>
              <w:spacing w:before="60"/>
              <w:jc w:val="center"/>
            </w:pPr>
            <w:r>
              <w:t>3.00</w:t>
            </w:r>
          </w:p>
        </w:tc>
        <w:tc>
          <w:tcPr>
            <w:tcW w:w="1418" w:type="dxa"/>
          </w:tcPr>
          <w:p>
            <w:pPr>
              <w:pStyle w:val="yTableNAm"/>
              <w:spacing w:before="60"/>
              <w:jc w:val="center"/>
            </w:pPr>
            <w:r>
              <w:t>31</w:t>
            </w:r>
          </w:p>
        </w:tc>
        <w:tc>
          <w:tcPr>
            <w:tcW w:w="1417" w:type="dxa"/>
          </w:tcPr>
          <w:p>
            <w:pPr>
              <w:pStyle w:val="yTableNAm"/>
              <w:spacing w:before="60"/>
              <w:jc w:val="center"/>
            </w:pPr>
            <w:r>
              <w:t>21</w:t>
            </w:r>
          </w:p>
        </w:tc>
        <w:tc>
          <w:tcPr>
            <w:tcW w:w="1418" w:type="dxa"/>
          </w:tcPr>
          <w:p>
            <w:pPr>
              <w:pStyle w:val="yTableNAm"/>
              <w:spacing w:before="60"/>
              <w:jc w:val="center"/>
            </w:pPr>
            <w:r>
              <w:t>28</w:t>
            </w:r>
          </w:p>
        </w:tc>
        <w:tc>
          <w:tcPr>
            <w:tcW w:w="1418" w:type="dxa"/>
          </w:tcPr>
          <w:p>
            <w:pPr>
              <w:pStyle w:val="yTable"/>
              <w:jc w:val="center"/>
            </w:pPr>
            <w:r>
              <w:t>29</w:t>
            </w:r>
          </w:p>
        </w:tc>
      </w:tr>
      <w:tr>
        <w:tc>
          <w:tcPr>
            <w:tcW w:w="1417" w:type="dxa"/>
          </w:tcPr>
          <w:p>
            <w:pPr>
              <w:pStyle w:val="yTableNAm"/>
              <w:spacing w:before="60"/>
              <w:jc w:val="center"/>
            </w:pPr>
            <w:r>
              <w:t>3.10</w:t>
            </w:r>
          </w:p>
        </w:tc>
        <w:tc>
          <w:tcPr>
            <w:tcW w:w="1418" w:type="dxa"/>
          </w:tcPr>
          <w:p>
            <w:pPr>
              <w:pStyle w:val="yTableNAm"/>
              <w:spacing w:before="60"/>
              <w:jc w:val="center"/>
            </w:pPr>
            <w:r>
              <w:t>30</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28</w:t>
            </w:r>
          </w:p>
        </w:tc>
      </w:tr>
      <w:tr>
        <w:tc>
          <w:tcPr>
            <w:tcW w:w="1417" w:type="dxa"/>
          </w:tcPr>
          <w:p>
            <w:pPr>
              <w:pStyle w:val="yTableNAm"/>
              <w:spacing w:before="60"/>
              <w:jc w:val="center"/>
            </w:pPr>
            <w:r>
              <w:t>3.20</w:t>
            </w:r>
          </w:p>
        </w:tc>
        <w:tc>
          <w:tcPr>
            <w:tcW w:w="1418" w:type="dxa"/>
          </w:tcPr>
          <w:p>
            <w:pPr>
              <w:pStyle w:val="yTableNAm"/>
              <w:spacing w:before="60"/>
              <w:jc w:val="center"/>
            </w:pPr>
            <w:r>
              <w:t>29</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27</w:t>
            </w:r>
          </w:p>
        </w:tc>
      </w:tr>
      <w:tr>
        <w:tc>
          <w:tcPr>
            <w:tcW w:w="1417" w:type="dxa"/>
          </w:tcPr>
          <w:p>
            <w:pPr>
              <w:pStyle w:val="yTableNAm"/>
              <w:spacing w:before="60"/>
              <w:jc w:val="center"/>
            </w:pPr>
            <w:r>
              <w:t>3.30</w:t>
            </w:r>
          </w:p>
        </w:tc>
        <w:tc>
          <w:tcPr>
            <w:tcW w:w="1418" w:type="dxa"/>
          </w:tcPr>
          <w:p>
            <w:pPr>
              <w:pStyle w:val="yTableNAm"/>
              <w:spacing w:before="60"/>
              <w:jc w:val="center"/>
            </w:pPr>
            <w:r>
              <w:t>28</w:t>
            </w:r>
          </w:p>
        </w:tc>
        <w:tc>
          <w:tcPr>
            <w:tcW w:w="1417" w:type="dxa"/>
          </w:tcPr>
          <w:p>
            <w:pPr>
              <w:pStyle w:val="yTableNAm"/>
              <w:spacing w:before="60"/>
              <w:jc w:val="center"/>
            </w:pPr>
            <w:r>
              <w:t>20</w:t>
            </w:r>
          </w:p>
        </w:tc>
        <w:tc>
          <w:tcPr>
            <w:tcW w:w="1418" w:type="dxa"/>
          </w:tcPr>
          <w:p>
            <w:pPr>
              <w:pStyle w:val="yTableNAm"/>
              <w:spacing w:before="60"/>
              <w:jc w:val="center"/>
            </w:pPr>
            <w:r>
              <w:t>26</w:t>
            </w:r>
          </w:p>
        </w:tc>
        <w:tc>
          <w:tcPr>
            <w:tcW w:w="1418" w:type="dxa"/>
          </w:tcPr>
          <w:p>
            <w:pPr>
              <w:pStyle w:val="yTable"/>
              <w:jc w:val="center"/>
            </w:pPr>
            <w:r>
              <w:t>26</w:t>
            </w:r>
          </w:p>
        </w:tc>
      </w:tr>
      <w:tr>
        <w:tc>
          <w:tcPr>
            <w:tcW w:w="1417" w:type="dxa"/>
          </w:tcPr>
          <w:p>
            <w:pPr>
              <w:pStyle w:val="yTableNAm"/>
              <w:spacing w:before="60"/>
              <w:jc w:val="center"/>
            </w:pPr>
            <w:r>
              <w:t>3.40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26</w:t>
            </w:r>
          </w:p>
        </w:tc>
        <w:tc>
          <w:tcPr>
            <w:tcW w:w="1418" w:type="dxa"/>
          </w:tcPr>
          <w:p>
            <w:pPr>
              <w:pStyle w:val="yTable"/>
              <w:jc w:val="center"/>
            </w:pPr>
            <w:r>
              <w:t>25</w:t>
            </w:r>
          </w:p>
        </w:tc>
      </w:tr>
      <w:tr>
        <w:tc>
          <w:tcPr>
            <w:tcW w:w="1417" w:type="dxa"/>
          </w:tcPr>
          <w:p>
            <w:pPr>
              <w:pStyle w:val="yTableNAm"/>
              <w:spacing w:before="60"/>
              <w:jc w:val="center"/>
            </w:pPr>
            <w:r>
              <w:t>3.50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25</w:t>
            </w:r>
          </w:p>
        </w:tc>
      </w:tr>
      <w:tr>
        <w:tc>
          <w:tcPr>
            <w:tcW w:w="1417" w:type="dxa"/>
          </w:tcPr>
          <w:p>
            <w:pPr>
              <w:pStyle w:val="yTableNAm"/>
              <w:spacing w:before="60"/>
              <w:jc w:val="center"/>
            </w:pPr>
            <w:r>
              <w:t>3.60</w:t>
            </w:r>
          </w:p>
        </w:tc>
        <w:tc>
          <w:tcPr>
            <w:tcW w:w="1418" w:type="dxa"/>
          </w:tcPr>
          <w:p>
            <w:pPr>
              <w:pStyle w:val="yTableNAm"/>
              <w:spacing w:before="60"/>
              <w:jc w:val="center"/>
            </w:pPr>
            <w:r>
              <w:t>26</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3.70</w:t>
            </w:r>
          </w:p>
        </w:tc>
        <w:tc>
          <w:tcPr>
            <w:tcW w:w="1418" w:type="dxa"/>
          </w:tcPr>
          <w:p>
            <w:pPr>
              <w:pStyle w:val="yTableNAm"/>
              <w:spacing w:before="60"/>
              <w:jc w:val="center"/>
            </w:pPr>
            <w:r>
              <w:t>25</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3.80</w:t>
            </w:r>
          </w:p>
        </w:tc>
        <w:tc>
          <w:tcPr>
            <w:tcW w:w="1418" w:type="dxa"/>
          </w:tcPr>
          <w:p>
            <w:pPr>
              <w:pStyle w:val="yTableNAm"/>
              <w:spacing w:before="60"/>
              <w:jc w:val="center"/>
            </w:pPr>
            <w:r>
              <w:t>25</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24</w:t>
            </w:r>
          </w:p>
        </w:tc>
      </w:tr>
      <w:tr>
        <w:tc>
          <w:tcPr>
            <w:tcW w:w="1417" w:type="dxa"/>
          </w:tcPr>
          <w:p>
            <w:pPr>
              <w:pStyle w:val="yTableNAm"/>
              <w:spacing w:before="60"/>
              <w:jc w:val="center"/>
            </w:pPr>
            <w:r>
              <w:t>3.90</w:t>
            </w:r>
          </w:p>
        </w:tc>
        <w:tc>
          <w:tcPr>
            <w:tcW w:w="1418" w:type="dxa"/>
          </w:tcPr>
          <w:p>
            <w:pPr>
              <w:pStyle w:val="yTableNAm"/>
              <w:spacing w:before="60"/>
              <w:jc w:val="center"/>
            </w:pPr>
            <w:r>
              <w:t>24</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23</w:t>
            </w:r>
          </w:p>
        </w:tc>
      </w:tr>
      <w:tr>
        <w:tc>
          <w:tcPr>
            <w:tcW w:w="1417" w:type="dxa"/>
          </w:tcPr>
          <w:p>
            <w:pPr>
              <w:pStyle w:val="yTableNAm"/>
              <w:spacing w:before="60"/>
              <w:jc w:val="center"/>
            </w:pPr>
            <w:r>
              <w:t>4.00</w:t>
            </w:r>
          </w:p>
        </w:tc>
        <w:tc>
          <w:tcPr>
            <w:tcW w:w="1418" w:type="dxa"/>
          </w:tcPr>
          <w:p>
            <w:pPr>
              <w:pStyle w:val="yTableNAm"/>
              <w:spacing w:before="60"/>
              <w:jc w:val="center"/>
            </w:pPr>
            <w:r>
              <w:t>23</w:t>
            </w:r>
          </w:p>
        </w:tc>
        <w:tc>
          <w:tcPr>
            <w:tcW w:w="1417" w:type="dxa"/>
          </w:tcPr>
          <w:p>
            <w:pPr>
              <w:pStyle w:val="yTableNAm"/>
              <w:spacing w:before="60"/>
              <w:jc w:val="center"/>
            </w:pPr>
            <w:r>
              <w:t>18</w:t>
            </w:r>
          </w:p>
        </w:tc>
        <w:tc>
          <w:tcPr>
            <w:tcW w:w="1418" w:type="dxa"/>
          </w:tcPr>
          <w:p>
            <w:pPr>
              <w:pStyle w:val="yTableNAm"/>
              <w:spacing w:before="60"/>
              <w:jc w:val="center"/>
            </w:pPr>
            <w:r>
              <w:t>23</w:t>
            </w:r>
          </w:p>
        </w:tc>
        <w:tc>
          <w:tcPr>
            <w:tcW w:w="1418" w:type="dxa"/>
          </w:tcPr>
          <w:p>
            <w:pPr>
              <w:pStyle w:val="yTable"/>
              <w:jc w:val="center"/>
            </w:pPr>
            <w:r>
              <w:t>22</w:t>
            </w:r>
          </w:p>
        </w:tc>
      </w:tr>
      <w:tr>
        <w:tc>
          <w:tcPr>
            <w:tcW w:w="1417" w:type="dxa"/>
          </w:tcPr>
          <w:p>
            <w:pPr>
              <w:pStyle w:val="yTableNAm"/>
              <w:spacing w:before="60"/>
              <w:jc w:val="center"/>
            </w:pPr>
            <w:r>
              <w:t>4.20</w:t>
            </w:r>
          </w:p>
        </w:tc>
        <w:tc>
          <w:tcPr>
            <w:tcW w:w="1418" w:type="dxa"/>
          </w:tcPr>
          <w:p>
            <w:pPr>
              <w:pStyle w:val="yTableNAm"/>
              <w:spacing w:before="60"/>
              <w:jc w:val="center"/>
            </w:pPr>
            <w:r>
              <w:t>22</w:t>
            </w:r>
          </w:p>
        </w:tc>
        <w:tc>
          <w:tcPr>
            <w:tcW w:w="1417" w:type="dxa"/>
          </w:tcPr>
          <w:p>
            <w:pPr>
              <w:pStyle w:val="yTableNAm"/>
              <w:spacing w:before="60"/>
              <w:jc w:val="center"/>
            </w:pPr>
            <w:r>
              <w:t>17</w:t>
            </w:r>
          </w:p>
        </w:tc>
        <w:tc>
          <w:tcPr>
            <w:tcW w:w="1418" w:type="dxa"/>
          </w:tcPr>
          <w:p>
            <w:pPr>
              <w:pStyle w:val="yTableNAm"/>
              <w:spacing w:before="60"/>
              <w:jc w:val="center"/>
            </w:pPr>
            <w:r>
              <w:t>23</w:t>
            </w:r>
          </w:p>
        </w:tc>
        <w:tc>
          <w:tcPr>
            <w:tcW w:w="1418" w:type="dxa"/>
          </w:tcPr>
          <w:p>
            <w:pPr>
              <w:pStyle w:val="yTable"/>
              <w:jc w:val="center"/>
            </w:pPr>
            <w:r>
              <w:t>21</w:t>
            </w:r>
          </w:p>
        </w:tc>
      </w:tr>
      <w:tr>
        <w:tc>
          <w:tcPr>
            <w:tcW w:w="1417" w:type="dxa"/>
          </w:tcPr>
          <w:p>
            <w:pPr>
              <w:pStyle w:val="yTableNAm"/>
              <w:spacing w:before="60"/>
              <w:jc w:val="center"/>
            </w:pPr>
            <w:r>
              <w:t>4.40</w:t>
            </w:r>
          </w:p>
        </w:tc>
        <w:tc>
          <w:tcPr>
            <w:tcW w:w="1418" w:type="dxa"/>
          </w:tcPr>
          <w:p>
            <w:pPr>
              <w:pStyle w:val="yTableNAm"/>
              <w:spacing w:before="60"/>
              <w:jc w:val="center"/>
            </w:pPr>
            <w:r>
              <w:t>21</w:t>
            </w:r>
          </w:p>
        </w:tc>
        <w:tc>
          <w:tcPr>
            <w:tcW w:w="1417" w:type="dxa"/>
          </w:tcPr>
          <w:p>
            <w:pPr>
              <w:pStyle w:val="yTableNAm"/>
              <w:spacing w:before="60"/>
              <w:jc w:val="center"/>
            </w:pPr>
            <w:r>
              <w:t>17</w:t>
            </w:r>
          </w:p>
        </w:tc>
        <w:tc>
          <w:tcPr>
            <w:tcW w:w="1418" w:type="dxa"/>
          </w:tcPr>
          <w:p>
            <w:pPr>
              <w:pStyle w:val="yTableNAm"/>
              <w:spacing w:before="60"/>
              <w:jc w:val="center"/>
            </w:pPr>
            <w:r>
              <w:t>22</w:t>
            </w:r>
          </w:p>
        </w:tc>
        <w:tc>
          <w:tcPr>
            <w:tcW w:w="1418" w:type="dxa"/>
          </w:tcPr>
          <w:p>
            <w:pPr>
              <w:pStyle w:val="yTable"/>
              <w:jc w:val="center"/>
            </w:pPr>
            <w:r>
              <w:t>20</w:t>
            </w:r>
          </w:p>
        </w:tc>
      </w:tr>
      <w:tr>
        <w:tc>
          <w:tcPr>
            <w:tcW w:w="1417" w:type="dxa"/>
          </w:tcPr>
          <w:p>
            <w:pPr>
              <w:pStyle w:val="yTableNAm"/>
              <w:spacing w:before="60"/>
              <w:jc w:val="center"/>
            </w:pPr>
            <w:r>
              <w:t>4.60</w:t>
            </w:r>
          </w:p>
        </w:tc>
        <w:tc>
          <w:tcPr>
            <w:tcW w:w="1418" w:type="dxa"/>
          </w:tcPr>
          <w:p>
            <w:pPr>
              <w:pStyle w:val="yTableNAm"/>
              <w:spacing w:before="60"/>
              <w:jc w:val="center"/>
            </w:pPr>
            <w:r>
              <w:t>20</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19</w:t>
            </w:r>
          </w:p>
        </w:tc>
      </w:tr>
      <w:tr>
        <w:tc>
          <w:tcPr>
            <w:tcW w:w="1417" w:type="dxa"/>
          </w:tcPr>
          <w:p>
            <w:pPr>
              <w:pStyle w:val="yTableNAm"/>
              <w:spacing w:before="60"/>
              <w:jc w:val="center"/>
            </w:pPr>
            <w:r>
              <w:t>4.80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18</w:t>
            </w:r>
          </w:p>
        </w:tc>
      </w:tr>
      <w:tr>
        <w:tc>
          <w:tcPr>
            <w:tcW w:w="1417" w:type="dxa"/>
          </w:tcPr>
          <w:p>
            <w:pPr>
              <w:pStyle w:val="yTableNAm"/>
              <w:spacing w:before="60"/>
              <w:jc w:val="center"/>
            </w:pPr>
            <w:r>
              <w:t>5.00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20</w:t>
            </w:r>
          </w:p>
        </w:tc>
        <w:tc>
          <w:tcPr>
            <w:tcW w:w="1418" w:type="dxa"/>
          </w:tcPr>
          <w:p>
            <w:pPr>
              <w:pStyle w:val="yTable"/>
              <w:jc w:val="center"/>
            </w:pPr>
            <w:r>
              <w:t>18</w:t>
            </w:r>
          </w:p>
        </w:tc>
      </w:tr>
      <w:tr>
        <w:tc>
          <w:tcPr>
            <w:tcW w:w="1417" w:type="dxa"/>
          </w:tcPr>
          <w:p>
            <w:pPr>
              <w:pStyle w:val="yTableNAm"/>
              <w:spacing w:before="60"/>
              <w:jc w:val="center"/>
            </w:pPr>
            <w:r>
              <w:t>5.50</w:t>
            </w:r>
          </w:p>
        </w:tc>
        <w:tc>
          <w:tcPr>
            <w:tcW w:w="1418" w:type="dxa"/>
          </w:tcPr>
          <w:p>
            <w:pPr>
              <w:pStyle w:val="yTableNAm"/>
              <w:spacing w:before="60"/>
              <w:jc w:val="center"/>
            </w:pPr>
            <w:r>
              <w:t>17</w:t>
            </w:r>
          </w:p>
        </w:tc>
        <w:tc>
          <w:tcPr>
            <w:tcW w:w="1417" w:type="dxa"/>
          </w:tcPr>
          <w:p>
            <w:pPr>
              <w:pStyle w:val="yTableNAm"/>
              <w:spacing w:before="60"/>
              <w:jc w:val="center"/>
            </w:pPr>
            <w:r>
              <w:t>15</w:t>
            </w:r>
          </w:p>
        </w:tc>
        <w:tc>
          <w:tcPr>
            <w:tcW w:w="1418" w:type="dxa"/>
          </w:tcPr>
          <w:p>
            <w:pPr>
              <w:pStyle w:val="yTableNAm"/>
              <w:spacing w:before="60"/>
              <w:jc w:val="center"/>
            </w:pPr>
            <w:r>
              <w:t>19</w:t>
            </w:r>
          </w:p>
        </w:tc>
        <w:tc>
          <w:tcPr>
            <w:tcW w:w="1418" w:type="dxa"/>
          </w:tcPr>
          <w:p>
            <w:pPr>
              <w:pStyle w:val="yTable"/>
              <w:jc w:val="center"/>
            </w:pPr>
            <w:r>
              <w:t>17</w:t>
            </w:r>
          </w:p>
        </w:tc>
      </w:tr>
      <w:tr>
        <w:tc>
          <w:tcPr>
            <w:tcW w:w="1417" w:type="dxa"/>
          </w:tcPr>
          <w:p>
            <w:pPr>
              <w:pStyle w:val="yTableNAm"/>
              <w:spacing w:before="60"/>
              <w:jc w:val="center"/>
            </w:pPr>
            <w:r>
              <w:t>6.00</w:t>
            </w:r>
          </w:p>
        </w:tc>
        <w:tc>
          <w:tcPr>
            <w:tcW w:w="1418" w:type="dxa"/>
          </w:tcPr>
          <w:p>
            <w:pPr>
              <w:pStyle w:val="yTableNAm"/>
              <w:spacing w:before="60"/>
              <w:jc w:val="center"/>
            </w:pPr>
            <w:r>
              <w:t>16</w:t>
            </w:r>
          </w:p>
        </w:tc>
        <w:tc>
          <w:tcPr>
            <w:tcW w:w="1417" w:type="dxa"/>
          </w:tcPr>
          <w:p>
            <w:pPr>
              <w:pStyle w:val="yTableNAm"/>
              <w:spacing w:before="60"/>
              <w:jc w:val="center"/>
            </w:pPr>
            <w:r>
              <w:t>14</w:t>
            </w:r>
          </w:p>
        </w:tc>
        <w:tc>
          <w:tcPr>
            <w:tcW w:w="1418" w:type="dxa"/>
          </w:tcPr>
          <w:p>
            <w:pPr>
              <w:pStyle w:val="yTableNAm"/>
              <w:spacing w:before="60"/>
              <w:jc w:val="center"/>
            </w:pPr>
            <w:r>
              <w:t>18</w:t>
            </w:r>
          </w:p>
        </w:tc>
        <w:tc>
          <w:tcPr>
            <w:tcW w:w="1418" w:type="dxa"/>
          </w:tcPr>
          <w:p>
            <w:pPr>
              <w:pStyle w:val="yTable"/>
              <w:jc w:val="center"/>
            </w:pPr>
            <w:r>
              <w:t>16</w:t>
            </w:r>
          </w:p>
        </w:tc>
      </w:tr>
      <w:tr>
        <w:tc>
          <w:tcPr>
            <w:tcW w:w="1417" w:type="dxa"/>
          </w:tcPr>
          <w:p>
            <w:pPr>
              <w:pStyle w:val="yTableNAm"/>
              <w:spacing w:before="60"/>
              <w:jc w:val="center"/>
            </w:pPr>
            <w:r>
              <w:t>6.50</w:t>
            </w:r>
          </w:p>
        </w:tc>
        <w:tc>
          <w:tcPr>
            <w:tcW w:w="1418" w:type="dxa"/>
          </w:tcPr>
          <w:p>
            <w:pPr>
              <w:pStyle w:val="yTableNAm"/>
              <w:spacing w:before="60"/>
              <w:jc w:val="center"/>
            </w:pPr>
            <w:r>
              <w:t>14</w:t>
            </w:r>
          </w:p>
        </w:tc>
        <w:tc>
          <w:tcPr>
            <w:tcW w:w="1417" w:type="dxa"/>
          </w:tcPr>
          <w:p>
            <w:pPr>
              <w:pStyle w:val="yTableNAm"/>
              <w:spacing w:before="60"/>
              <w:jc w:val="center"/>
            </w:pPr>
            <w:r>
              <w:t>13</w:t>
            </w:r>
          </w:p>
        </w:tc>
        <w:tc>
          <w:tcPr>
            <w:tcW w:w="1418" w:type="dxa"/>
          </w:tcPr>
          <w:p>
            <w:pPr>
              <w:pStyle w:val="yTableNAm"/>
              <w:spacing w:before="60"/>
              <w:jc w:val="center"/>
            </w:pPr>
            <w:r>
              <w:t>16</w:t>
            </w:r>
          </w:p>
        </w:tc>
        <w:tc>
          <w:tcPr>
            <w:tcW w:w="1418" w:type="dxa"/>
          </w:tcPr>
          <w:p>
            <w:pPr>
              <w:pStyle w:val="yTable"/>
              <w:jc w:val="center"/>
            </w:pPr>
            <w:r>
              <w:t>14</w:t>
            </w:r>
          </w:p>
        </w:tc>
      </w:tr>
      <w:tr>
        <w:tc>
          <w:tcPr>
            <w:tcW w:w="1417" w:type="dxa"/>
          </w:tcPr>
          <w:p>
            <w:pPr>
              <w:pStyle w:val="yTableNAm"/>
              <w:spacing w:before="60"/>
              <w:jc w:val="center"/>
            </w:pPr>
            <w:r>
              <w:t>7.00</w:t>
            </w:r>
          </w:p>
        </w:tc>
        <w:tc>
          <w:tcPr>
            <w:tcW w:w="1418" w:type="dxa"/>
          </w:tcPr>
          <w:p>
            <w:pPr>
              <w:pStyle w:val="yTableNAm"/>
              <w:spacing w:before="60"/>
              <w:jc w:val="center"/>
            </w:pPr>
            <w:r>
              <w:t>13</w:t>
            </w:r>
          </w:p>
        </w:tc>
        <w:tc>
          <w:tcPr>
            <w:tcW w:w="1417" w:type="dxa"/>
          </w:tcPr>
          <w:p>
            <w:pPr>
              <w:pStyle w:val="yTableNAm"/>
              <w:spacing w:before="60"/>
              <w:jc w:val="center"/>
            </w:pPr>
            <w:r>
              <w:t>12</w:t>
            </w:r>
          </w:p>
        </w:tc>
        <w:tc>
          <w:tcPr>
            <w:tcW w:w="1418" w:type="dxa"/>
          </w:tcPr>
          <w:p>
            <w:pPr>
              <w:pStyle w:val="yTableNAm"/>
              <w:spacing w:before="60"/>
              <w:jc w:val="center"/>
            </w:pPr>
            <w:r>
              <w:t>16</w:t>
            </w:r>
          </w:p>
        </w:tc>
        <w:tc>
          <w:tcPr>
            <w:tcW w:w="1418" w:type="dxa"/>
          </w:tcPr>
          <w:p>
            <w:pPr>
              <w:pStyle w:val="yTable"/>
              <w:jc w:val="center"/>
            </w:pPr>
            <w:r>
              <w:t>13</w:t>
            </w:r>
          </w:p>
        </w:tc>
      </w:tr>
      <w:tr>
        <w:tc>
          <w:tcPr>
            <w:tcW w:w="1417" w:type="dxa"/>
          </w:tcPr>
          <w:p>
            <w:pPr>
              <w:pStyle w:val="yTableNAm"/>
              <w:spacing w:before="60"/>
              <w:jc w:val="center"/>
            </w:pPr>
            <w:r>
              <w:t>7.50</w:t>
            </w:r>
          </w:p>
        </w:tc>
        <w:tc>
          <w:tcPr>
            <w:tcW w:w="1418" w:type="dxa"/>
          </w:tcPr>
          <w:p>
            <w:pPr>
              <w:pStyle w:val="yTableNAm"/>
              <w:spacing w:before="60"/>
              <w:jc w:val="center"/>
            </w:pPr>
            <w:r>
              <w:t>12</w:t>
            </w:r>
          </w:p>
        </w:tc>
        <w:tc>
          <w:tcPr>
            <w:tcW w:w="1417" w:type="dxa"/>
          </w:tcPr>
          <w:p>
            <w:pPr>
              <w:pStyle w:val="yTableNAm"/>
              <w:spacing w:before="60"/>
              <w:jc w:val="center"/>
            </w:pPr>
            <w:r>
              <w:t>12</w:t>
            </w:r>
          </w:p>
        </w:tc>
        <w:tc>
          <w:tcPr>
            <w:tcW w:w="1418" w:type="dxa"/>
          </w:tcPr>
          <w:p>
            <w:pPr>
              <w:pStyle w:val="yTableNAm"/>
              <w:spacing w:before="60"/>
              <w:jc w:val="center"/>
            </w:pPr>
            <w:r>
              <w:t>15</w:t>
            </w:r>
          </w:p>
        </w:tc>
        <w:tc>
          <w:tcPr>
            <w:tcW w:w="1418" w:type="dxa"/>
          </w:tcPr>
          <w:p>
            <w:pPr>
              <w:pStyle w:val="yTable"/>
              <w:jc w:val="center"/>
            </w:pPr>
            <w:r>
              <w:t>12</w:t>
            </w:r>
          </w:p>
        </w:tc>
      </w:tr>
      <w:tr>
        <w:tc>
          <w:tcPr>
            <w:tcW w:w="1417" w:type="dxa"/>
          </w:tcPr>
          <w:p>
            <w:pPr>
              <w:pStyle w:val="yTableNAm"/>
              <w:spacing w:before="60"/>
              <w:jc w:val="center"/>
            </w:pPr>
            <w:r>
              <w:t>8.00</w:t>
            </w:r>
          </w:p>
        </w:tc>
        <w:tc>
          <w:tcPr>
            <w:tcW w:w="1418" w:type="dxa"/>
          </w:tcPr>
          <w:p>
            <w:pPr>
              <w:pStyle w:val="yTableNAm"/>
              <w:spacing w:before="60"/>
              <w:jc w:val="center"/>
            </w:pPr>
            <w:r>
              <w:t>12</w:t>
            </w:r>
          </w:p>
        </w:tc>
        <w:tc>
          <w:tcPr>
            <w:tcW w:w="1417" w:type="dxa"/>
          </w:tcPr>
          <w:p>
            <w:pPr>
              <w:pStyle w:val="yTableNAm"/>
              <w:spacing w:before="60"/>
              <w:jc w:val="center"/>
            </w:pPr>
            <w:r>
              <w:t>11</w:t>
            </w:r>
          </w:p>
        </w:tc>
        <w:tc>
          <w:tcPr>
            <w:tcW w:w="1418" w:type="dxa"/>
          </w:tcPr>
          <w:p>
            <w:pPr>
              <w:pStyle w:val="yTableNAm"/>
              <w:spacing w:before="60"/>
              <w:jc w:val="center"/>
            </w:pPr>
            <w:r>
              <w:t>14</w:t>
            </w:r>
          </w:p>
        </w:tc>
        <w:tc>
          <w:tcPr>
            <w:tcW w:w="1418" w:type="dxa"/>
          </w:tcPr>
          <w:p>
            <w:pPr>
              <w:pStyle w:val="yTable"/>
              <w:jc w:val="center"/>
            </w:pPr>
            <w:r>
              <w:t>12</w:t>
            </w:r>
          </w:p>
        </w:tc>
      </w:tr>
      <w:tr>
        <w:tc>
          <w:tcPr>
            <w:tcW w:w="1417" w:type="dxa"/>
          </w:tcPr>
          <w:p>
            <w:pPr>
              <w:pStyle w:val="yTableNAm"/>
              <w:spacing w:before="60"/>
              <w:jc w:val="center"/>
            </w:pPr>
            <w:r>
              <w:t>8.50</w:t>
            </w:r>
          </w:p>
        </w:tc>
        <w:tc>
          <w:tcPr>
            <w:tcW w:w="1418" w:type="dxa"/>
          </w:tcPr>
          <w:p>
            <w:pPr>
              <w:pStyle w:val="yTableNAm"/>
              <w:spacing w:before="60"/>
              <w:jc w:val="center"/>
            </w:pPr>
            <w:r>
              <w:t>11</w:t>
            </w:r>
          </w:p>
        </w:tc>
        <w:tc>
          <w:tcPr>
            <w:tcW w:w="1417" w:type="dxa"/>
          </w:tcPr>
          <w:p>
            <w:pPr>
              <w:pStyle w:val="yTableNAm"/>
              <w:spacing w:before="60"/>
              <w:jc w:val="center"/>
            </w:pPr>
            <w:r>
              <w:t>11</w:t>
            </w:r>
          </w:p>
        </w:tc>
        <w:tc>
          <w:tcPr>
            <w:tcW w:w="1418" w:type="dxa"/>
          </w:tcPr>
          <w:p>
            <w:pPr>
              <w:pStyle w:val="yTableNAm"/>
              <w:spacing w:before="60"/>
              <w:jc w:val="center"/>
            </w:pPr>
            <w:r>
              <w:t>13</w:t>
            </w:r>
          </w:p>
        </w:tc>
        <w:tc>
          <w:tcPr>
            <w:tcW w:w="1418" w:type="dxa"/>
          </w:tcPr>
          <w:p>
            <w:pPr>
              <w:pStyle w:val="yTable"/>
              <w:jc w:val="center"/>
            </w:pPr>
            <w:r>
              <w:t>11</w:t>
            </w:r>
          </w:p>
        </w:tc>
      </w:tr>
      <w:tr>
        <w:tc>
          <w:tcPr>
            <w:tcW w:w="1417" w:type="dxa"/>
          </w:tcPr>
          <w:p>
            <w:pPr>
              <w:pStyle w:val="yTableNAm"/>
              <w:spacing w:before="60"/>
              <w:jc w:val="center"/>
            </w:pPr>
            <w:r>
              <w:t>9.00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13</w:t>
            </w:r>
          </w:p>
        </w:tc>
        <w:tc>
          <w:tcPr>
            <w:tcW w:w="1418" w:type="dxa"/>
          </w:tcPr>
          <w:p>
            <w:pPr>
              <w:pStyle w:val="yTable"/>
              <w:jc w:val="center"/>
            </w:pPr>
            <w:r>
              <w:t>10</w:t>
            </w:r>
          </w:p>
        </w:tc>
      </w:tr>
      <w:tr>
        <w:tc>
          <w:tcPr>
            <w:tcW w:w="1417" w:type="dxa"/>
          </w:tcPr>
          <w:p>
            <w:pPr>
              <w:pStyle w:val="yTableNAm"/>
              <w:spacing w:before="60"/>
              <w:jc w:val="center"/>
            </w:pPr>
            <w:r>
              <w:t>9.50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10</w:t>
            </w:r>
          </w:p>
        </w:tc>
      </w:tr>
      <w:tr>
        <w:tc>
          <w:tcPr>
            <w:tcW w:w="1417" w:type="dxa"/>
          </w:tcPr>
          <w:p>
            <w:pPr>
              <w:pStyle w:val="yTableNAm"/>
              <w:spacing w:before="60"/>
              <w:jc w:val="center"/>
            </w:pPr>
            <w:r>
              <w:t>10.00</w:t>
            </w:r>
          </w:p>
        </w:tc>
        <w:tc>
          <w:tcPr>
            <w:tcW w:w="1418" w:type="dxa"/>
          </w:tcPr>
          <w:p>
            <w:pPr>
              <w:pStyle w:val="yTableNAm"/>
              <w:spacing w:before="60"/>
              <w:jc w:val="center"/>
            </w:pPr>
            <w:r>
              <w:t>9</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9</w:t>
            </w:r>
          </w:p>
        </w:tc>
      </w:tr>
      <w:tr>
        <w:tc>
          <w:tcPr>
            <w:tcW w:w="1417" w:type="dxa"/>
          </w:tcPr>
          <w:p>
            <w:pPr>
              <w:pStyle w:val="yTableNAm"/>
              <w:spacing w:before="60"/>
              <w:jc w:val="center"/>
            </w:pPr>
            <w:r>
              <w:t>11.00</w:t>
            </w:r>
          </w:p>
        </w:tc>
        <w:tc>
          <w:tcPr>
            <w:tcW w:w="1418" w:type="dxa"/>
          </w:tcPr>
          <w:p>
            <w:pPr>
              <w:pStyle w:val="yTableNAm"/>
              <w:spacing w:before="60"/>
              <w:jc w:val="center"/>
            </w:pPr>
            <w:r>
              <w:t>8</w:t>
            </w:r>
          </w:p>
        </w:tc>
        <w:tc>
          <w:tcPr>
            <w:tcW w:w="1417" w:type="dxa"/>
          </w:tcPr>
          <w:p>
            <w:pPr>
              <w:pStyle w:val="yTableNAm"/>
              <w:spacing w:before="60"/>
              <w:jc w:val="center"/>
            </w:pPr>
            <w:r>
              <w:t>9</w:t>
            </w:r>
          </w:p>
        </w:tc>
        <w:tc>
          <w:tcPr>
            <w:tcW w:w="1418" w:type="dxa"/>
          </w:tcPr>
          <w:p>
            <w:pPr>
              <w:pStyle w:val="yTableNAm"/>
              <w:spacing w:before="60"/>
              <w:jc w:val="center"/>
            </w:pPr>
            <w:r>
              <w:t>11</w:t>
            </w:r>
          </w:p>
        </w:tc>
        <w:tc>
          <w:tcPr>
            <w:tcW w:w="1418" w:type="dxa"/>
          </w:tcPr>
          <w:p>
            <w:pPr>
              <w:pStyle w:val="yTable"/>
              <w:jc w:val="center"/>
            </w:pPr>
            <w:r>
              <w:t>8</w:t>
            </w:r>
          </w:p>
        </w:tc>
      </w:tr>
      <w:tr>
        <w:tc>
          <w:tcPr>
            <w:tcW w:w="1417" w:type="dxa"/>
          </w:tcPr>
          <w:p>
            <w:pPr>
              <w:pStyle w:val="yTableNAm"/>
              <w:spacing w:before="60"/>
              <w:jc w:val="center"/>
            </w:pPr>
            <w:r>
              <w:t>12.00</w:t>
            </w:r>
          </w:p>
        </w:tc>
        <w:tc>
          <w:tcPr>
            <w:tcW w:w="1418" w:type="dxa"/>
          </w:tcPr>
          <w:p>
            <w:pPr>
              <w:pStyle w:val="yTableNAm"/>
              <w:spacing w:before="60"/>
              <w:jc w:val="center"/>
            </w:pPr>
            <w:r>
              <w:t>8</w:t>
            </w:r>
          </w:p>
        </w:tc>
        <w:tc>
          <w:tcPr>
            <w:tcW w:w="1417" w:type="dxa"/>
          </w:tcPr>
          <w:p>
            <w:pPr>
              <w:pStyle w:val="yTableNAm"/>
              <w:spacing w:before="60"/>
              <w:jc w:val="center"/>
            </w:pPr>
            <w:r>
              <w:t>8</w:t>
            </w:r>
          </w:p>
        </w:tc>
        <w:tc>
          <w:tcPr>
            <w:tcW w:w="1418" w:type="dxa"/>
          </w:tcPr>
          <w:p>
            <w:pPr>
              <w:pStyle w:val="yTableNAm"/>
              <w:spacing w:before="60"/>
              <w:jc w:val="center"/>
            </w:pPr>
            <w:r>
              <w:t>10</w:t>
            </w:r>
          </w:p>
        </w:tc>
        <w:tc>
          <w:tcPr>
            <w:tcW w:w="1418" w:type="dxa"/>
          </w:tcPr>
          <w:p>
            <w:pPr>
              <w:pStyle w:val="yTable"/>
              <w:jc w:val="center"/>
            </w:pPr>
            <w:r>
              <w:t>8</w:t>
            </w:r>
          </w:p>
        </w:tc>
      </w:tr>
      <w:tr>
        <w:tc>
          <w:tcPr>
            <w:tcW w:w="1417" w:type="dxa"/>
          </w:tcPr>
          <w:p>
            <w:pPr>
              <w:pStyle w:val="yTableNAm"/>
              <w:spacing w:before="60"/>
              <w:jc w:val="center"/>
            </w:pPr>
            <w:r>
              <w:t>13.00</w:t>
            </w:r>
          </w:p>
        </w:tc>
        <w:tc>
          <w:tcPr>
            <w:tcW w:w="1418" w:type="dxa"/>
          </w:tcPr>
          <w:p>
            <w:pPr>
              <w:pStyle w:val="yTableNAm"/>
              <w:spacing w:before="60"/>
              <w:jc w:val="center"/>
            </w:pPr>
            <w:r>
              <w:t>7</w:t>
            </w:r>
          </w:p>
        </w:tc>
        <w:tc>
          <w:tcPr>
            <w:tcW w:w="1417" w:type="dxa"/>
          </w:tcPr>
          <w:p>
            <w:pPr>
              <w:pStyle w:val="yTableNAm"/>
              <w:spacing w:before="60"/>
              <w:jc w:val="center"/>
            </w:pPr>
            <w:r>
              <w:t>8</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14.00</w:t>
            </w:r>
          </w:p>
        </w:tc>
        <w:tc>
          <w:tcPr>
            <w:tcW w:w="1418" w:type="dxa"/>
          </w:tcPr>
          <w:p>
            <w:pPr>
              <w:pStyle w:val="yTableNAm"/>
              <w:spacing w:before="60"/>
              <w:jc w:val="center"/>
            </w:pPr>
            <w:r>
              <w:t>7</w:t>
            </w:r>
          </w:p>
        </w:tc>
        <w:tc>
          <w:tcPr>
            <w:tcW w:w="1417" w:type="dxa"/>
          </w:tcPr>
          <w:p>
            <w:pPr>
              <w:pStyle w:val="yTableNAm"/>
              <w:spacing w:before="60"/>
              <w:jc w:val="center"/>
            </w:pPr>
            <w:r>
              <w:t>7</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15.00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16.00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17.00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18.00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19.00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20.00</w:t>
            </w:r>
          </w:p>
        </w:tc>
        <w:tc>
          <w:tcPr>
            <w:tcW w:w="1418" w:type="dxa"/>
          </w:tcPr>
          <w:p>
            <w:pPr>
              <w:pStyle w:val="yTableNAm"/>
              <w:spacing w:before="60"/>
              <w:jc w:val="center"/>
            </w:pPr>
            <w:r>
              <w:t>5</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5</w:t>
            </w:r>
          </w:p>
        </w:tc>
      </w:tr>
      <w:tr>
        <w:tc>
          <w:tcPr>
            <w:tcW w:w="1417" w:type="dxa"/>
          </w:tcPr>
          <w:p>
            <w:pPr>
              <w:pStyle w:val="yTableNAm"/>
              <w:spacing w:before="60"/>
              <w:jc w:val="center"/>
            </w:pPr>
            <w:r>
              <w:t>21.00</w:t>
            </w:r>
          </w:p>
        </w:tc>
        <w:tc>
          <w:tcPr>
            <w:tcW w:w="1418" w:type="dxa"/>
          </w:tcPr>
          <w:p>
            <w:pPr>
              <w:pStyle w:val="yTableNAm"/>
              <w:spacing w:before="60"/>
              <w:jc w:val="center"/>
            </w:pPr>
            <w:r>
              <w:t>4</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4</w:t>
            </w:r>
          </w:p>
        </w:tc>
      </w:tr>
      <w:tr>
        <w:tc>
          <w:tcPr>
            <w:tcW w:w="1417" w:type="dxa"/>
          </w:tcPr>
          <w:p>
            <w:pPr>
              <w:pStyle w:val="yTableNAm"/>
              <w:spacing w:before="60"/>
              <w:jc w:val="center"/>
            </w:pPr>
            <w:r>
              <w:t>26.00</w:t>
            </w:r>
          </w:p>
        </w:tc>
        <w:tc>
          <w:tcPr>
            <w:tcW w:w="1418" w:type="dxa"/>
          </w:tcPr>
          <w:p>
            <w:pPr>
              <w:pStyle w:val="yTableNAm"/>
              <w:spacing w:before="60"/>
              <w:jc w:val="center"/>
            </w:pPr>
            <w:r>
              <w:t>3</w:t>
            </w:r>
          </w:p>
        </w:tc>
        <w:tc>
          <w:tcPr>
            <w:tcW w:w="1417" w:type="dxa"/>
          </w:tcPr>
          <w:p>
            <w:pPr>
              <w:pStyle w:val="yTableNAm"/>
              <w:spacing w:before="60"/>
              <w:jc w:val="center"/>
            </w:pPr>
            <w:r>
              <w:t>4</w:t>
            </w:r>
          </w:p>
        </w:tc>
        <w:tc>
          <w:tcPr>
            <w:tcW w:w="1418" w:type="dxa"/>
          </w:tcPr>
          <w:p>
            <w:pPr>
              <w:pStyle w:val="yTableNAm"/>
              <w:spacing w:before="60"/>
              <w:jc w:val="center"/>
            </w:pPr>
            <w:r>
              <w:t>5</w:t>
            </w:r>
          </w:p>
        </w:tc>
        <w:tc>
          <w:tcPr>
            <w:tcW w:w="1418" w:type="dxa"/>
          </w:tcPr>
          <w:p>
            <w:pPr>
              <w:pStyle w:val="yTable"/>
              <w:jc w:val="center"/>
            </w:pPr>
            <w:r>
              <w:t>3</w:t>
            </w:r>
          </w:p>
        </w:tc>
      </w:tr>
      <w:tr>
        <w:tc>
          <w:tcPr>
            <w:tcW w:w="1417" w:type="dxa"/>
          </w:tcPr>
          <w:p>
            <w:pPr>
              <w:pStyle w:val="yTableNAm"/>
              <w:spacing w:before="60"/>
              <w:jc w:val="center"/>
            </w:pPr>
            <w:r>
              <w:t>31.00</w:t>
            </w:r>
          </w:p>
        </w:tc>
        <w:tc>
          <w:tcPr>
            <w:tcW w:w="1418" w:type="dxa"/>
          </w:tcPr>
          <w:p>
            <w:pPr>
              <w:pStyle w:val="yTableNAm"/>
              <w:spacing w:before="60"/>
              <w:jc w:val="center"/>
            </w:pPr>
            <w:r>
              <w:t>3</w:t>
            </w:r>
          </w:p>
        </w:tc>
        <w:tc>
          <w:tcPr>
            <w:tcW w:w="1417" w:type="dxa"/>
          </w:tcPr>
          <w:p>
            <w:pPr>
              <w:pStyle w:val="yTableNAm"/>
              <w:spacing w:before="60"/>
              <w:jc w:val="center"/>
            </w:pPr>
            <w:r>
              <w:t>3</w:t>
            </w:r>
          </w:p>
        </w:tc>
        <w:tc>
          <w:tcPr>
            <w:tcW w:w="1418" w:type="dxa"/>
          </w:tcPr>
          <w:p>
            <w:pPr>
              <w:pStyle w:val="yTableNAm"/>
              <w:spacing w:before="60"/>
              <w:jc w:val="center"/>
            </w:pPr>
            <w:r>
              <w:t>4</w:t>
            </w:r>
          </w:p>
        </w:tc>
        <w:tc>
          <w:tcPr>
            <w:tcW w:w="1418" w:type="dxa"/>
          </w:tcPr>
          <w:p>
            <w:pPr>
              <w:pStyle w:val="yTable"/>
              <w:jc w:val="center"/>
            </w:pPr>
            <w:r>
              <w:t>3</w:t>
            </w:r>
          </w:p>
        </w:tc>
      </w:tr>
      <w:tr>
        <w:tc>
          <w:tcPr>
            <w:tcW w:w="1417" w:type="dxa"/>
          </w:tcPr>
          <w:p>
            <w:pPr>
              <w:pStyle w:val="yTableNAm"/>
              <w:spacing w:before="60"/>
              <w:jc w:val="center"/>
            </w:pPr>
            <w:r>
              <w:t>41.00</w:t>
            </w:r>
          </w:p>
        </w:tc>
        <w:tc>
          <w:tcPr>
            <w:tcW w:w="1418" w:type="dxa"/>
          </w:tcPr>
          <w:p>
            <w:pPr>
              <w:pStyle w:val="yTableNAm"/>
              <w:spacing w:before="60"/>
              <w:jc w:val="center"/>
            </w:pPr>
            <w:r>
              <w:t>2</w:t>
            </w:r>
          </w:p>
        </w:tc>
        <w:tc>
          <w:tcPr>
            <w:tcW w:w="1417" w:type="dxa"/>
          </w:tcPr>
          <w:p>
            <w:pPr>
              <w:pStyle w:val="yTableNAm"/>
              <w:spacing w:before="60"/>
              <w:jc w:val="center"/>
            </w:pPr>
            <w:r>
              <w:t>3</w:t>
            </w:r>
          </w:p>
        </w:tc>
        <w:tc>
          <w:tcPr>
            <w:tcW w:w="1418" w:type="dxa"/>
          </w:tcPr>
          <w:p>
            <w:pPr>
              <w:pStyle w:val="yTableNAm"/>
              <w:spacing w:before="60"/>
              <w:jc w:val="center"/>
            </w:pPr>
            <w:r>
              <w:t>3</w:t>
            </w:r>
          </w:p>
        </w:tc>
        <w:tc>
          <w:tcPr>
            <w:tcW w:w="1418" w:type="dxa"/>
          </w:tcPr>
          <w:p>
            <w:pPr>
              <w:pStyle w:val="yTable"/>
              <w:jc w:val="center"/>
            </w:pPr>
            <w:r>
              <w:t>2</w:t>
            </w:r>
          </w:p>
        </w:tc>
      </w:tr>
      <w:tr>
        <w:tc>
          <w:tcPr>
            <w:tcW w:w="1417" w:type="dxa"/>
            <w:tcBorders>
              <w:bottom w:val="single" w:sz="4" w:space="0" w:color="auto"/>
            </w:tcBorders>
          </w:tcPr>
          <w:p>
            <w:pPr>
              <w:pStyle w:val="yTableNAm"/>
              <w:spacing w:before="60"/>
              <w:jc w:val="center"/>
            </w:pPr>
            <w:r>
              <w:t>51.00</w:t>
            </w:r>
          </w:p>
        </w:tc>
        <w:tc>
          <w:tcPr>
            <w:tcW w:w="1418" w:type="dxa"/>
            <w:tcBorders>
              <w:bottom w:val="single" w:sz="4" w:space="0" w:color="auto"/>
            </w:tcBorders>
          </w:tcPr>
          <w:p>
            <w:pPr>
              <w:pStyle w:val="yTableNAm"/>
              <w:spacing w:before="60"/>
              <w:jc w:val="center"/>
            </w:pPr>
            <w:r>
              <w:t>2</w:t>
            </w:r>
          </w:p>
        </w:tc>
        <w:tc>
          <w:tcPr>
            <w:tcW w:w="1417"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
              <w:jc w:val="center"/>
            </w:pPr>
            <w:r>
              <w:t>2</w:t>
            </w:r>
          </w:p>
        </w:tc>
      </w:tr>
    </w:tbl>
    <w:p>
      <w:pPr>
        <w:pStyle w:val="yFootnotesection"/>
      </w:pPr>
      <w:r>
        <w:tab/>
        <w:t>[Scale of Deduction Table amended in Gazette 4 Jan 2013 p. 14-15.]</w:t>
      </w:r>
    </w:p>
    <w:p>
      <w:p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yScheduleHeading"/>
      </w:pPr>
      <w:bookmarkStart w:id="394" w:name="_Toc407692300"/>
      <w:bookmarkStart w:id="395" w:name="_Toc414962070"/>
      <w:bookmarkStart w:id="396" w:name="_Toc414962189"/>
      <w:bookmarkStart w:id="397" w:name="_Toc438111895"/>
      <w:r>
        <w:rPr>
          <w:rStyle w:val="CharSchNo"/>
        </w:rPr>
        <w:t>Schedule 1</w:t>
      </w:r>
      <w:r>
        <w:t> — </w:t>
      </w:r>
      <w:r>
        <w:rPr>
          <w:rStyle w:val="CharSchText"/>
        </w:rPr>
        <w:t>Forms</w:t>
      </w:r>
      <w:bookmarkEnd w:id="394"/>
      <w:bookmarkEnd w:id="395"/>
      <w:bookmarkEnd w:id="396"/>
      <w:bookmarkEnd w:id="397"/>
    </w:p>
    <w:p>
      <w:pPr>
        <w:pStyle w:val="yShoulderClause"/>
      </w:pPr>
      <w:r>
        <w:t>[r. 77]</w:t>
      </w:r>
    </w:p>
    <w:p>
      <w:pPr>
        <w:pStyle w:val="yFootnoteheading"/>
        <w:rPr>
          <w:b/>
          <w:snapToGrid w:val="0"/>
        </w:rPr>
      </w:pPr>
      <w:r>
        <w:tab/>
        <w:t>[Heading inserted in Gazette 30 Jan 2004 p. 411.]</w:t>
      </w:r>
    </w:p>
    <w:p>
      <w:pPr>
        <w:pStyle w:val="yMiscellaneousHeading"/>
        <w:rPr>
          <w:b/>
          <w:bCs/>
          <w:snapToGrid w:val="0"/>
        </w:rPr>
      </w:pPr>
      <w:r>
        <w:rPr>
          <w:b/>
          <w:bCs/>
          <w:snapToGrid w:val="0"/>
        </w:rPr>
        <w:t>Form 1</w:t>
      </w:r>
    </w:p>
    <w:p>
      <w:pPr>
        <w:pStyle w:val="yMiscellaneousBody"/>
        <w:spacing w:before="60"/>
        <w:jc w:val="center"/>
        <w:rPr>
          <w:i/>
          <w:iCs/>
          <w:snapToGrid w:val="0"/>
        </w:rPr>
      </w:pPr>
      <w:r>
        <w:rPr>
          <w:i/>
          <w:iCs/>
          <w:snapToGrid w:val="0"/>
        </w:rPr>
        <w:t>Betting Control Act 1954</w:t>
      </w:r>
    </w:p>
    <w:p>
      <w:pPr>
        <w:pStyle w:val="yMiscellaneousBody"/>
        <w:spacing w:before="60"/>
        <w:jc w:val="right"/>
        <w:rPr>
          <w:snapToGrid w:val="0"/>
        </w:rPr>
      </w:pPr>
      <w:r>
        <w:rPr>
          <w:snapToGrid w:val="0"/>
        </w:rPr>
        <w:t>[s. 28A]</w:t>
      </w:r>
    </w:p>
    <w:p>
      <w:pPr>
        <w:pStyle w:val="yMiscellaneousBody"/>
        <w:spacing w:before="60"/>
        <w:jc w:val="center"/>
        <w:rPr>
          <w:b/>
          <w:snapToGrid w:val="0"/>
        </w:rPr>
      </w:pPr>
      <w:r>
        <w:rPr>
          <w:b/>
          <w:snapToGrid w:val="0"/>
        </w:rPr>
        <w:t>WARRANT</w:t>
      </w:r>
    </w:p>
    <w:p>
      <w:pPr>
        <w:pStyle w:val="yMiscellaneousBody"/>
        <w:spacing w:before="60"/>
        <w:rPr>
          <w:snapToGrid w:val="0"/>
        </w:rPr>
      </w:pPr>
      <w:r>
        <w:rPr>
          <w:snapToGrid w:val="0"/>
        </w:rPr>
        <w:t xml:space="preserve">I, [insert name of Justice of the Peace granting the warrant], of ..............................................................., being a JUSTICE OF THE PEACE and being satisfied upon application by [insert name of </w:t>
      </w:r>
      <w:r>
        <w:t>applicant</w:t>
      </w:r>
      <w:r>
        <w:rPr>
          <w:snapToGrid w:val="0"/>
        </w:rPr>
        <w:t xml:space="preserve">] that there is reason to suspect that unlawful betting within the meaning of section 28A of the </w:t>
      </w:r>
      <w:r>
        <w:rPr>
          <w:i/>
          <w:iCs/>
          <w:snapToGrid w:val="0"/>
        </w:rPr>
        <w:t>Betting Control Act 1954</w:t>
      </w:r>
      <w:r>
        <w:rPr>
          <w:snapToGrid w:val="0"/>
        </w:rPr>
        <w:t xml:space="preserve"> is or is about to be carried on at (1)..............................</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GRANT to (2) ........................................................................................................</w:t>
      </w:r>
    </w:p>
    <w:p>
      <w:pPr>
        <w:pStyle w:val="yMiscellaneousBody"/>
        <w:spacing w:before="6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MiscellaneousBody"/>
        <w:spacing w:before="60"/>
        <w:rPr>
          <w:snapToGrid w:val="0"/>
        </w:rPr>
      </w:pPr>
      <w:r>
        <w:rPr>
          <w:snapToGrid w:val="0"/>
        </w:rPr>
        <w:t>Granted on .............................................................................................................</w:t>
      </w:r>
    </w:p>
    <w:p>
      <w:pPr>
        <w:pStyle w:val="yMiscellaneousBody"/>
        <w:spacing w:before="60"/>
        <w:rPr>
          <w:snapToGrid w:val="0"/>
        </w:rPr>
      </w:pPr>
      <w:r>
        <w:rPr>
          <w:snapToGrid w:val="0"/>
        </w:rPr>
        <w:t>at ............................................................................................................................</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Signature of Justice of the</w:t>
      </w:r>
      <w:r>
        <w:rPr>
          <w:snapToGrid w:val="0"/>
        </w:rPr>
        <w:br/>
        <w:t>Peace granting the warrant.</w:t>
      </w:r>
    </w:p>
    <w:p>
      <w:pPr>
        <w:pStyle w:val="yMiscellaneousBody"/>
        <w:tabs>
          <w:tab w:val="left" w:pos="600"/>
        </w:tabs>
        <w:spacing w:before="60"/>
        <w:ind w:left="600" w:hanging="600"/>
        <w:rPr>
          <w:snapToGrid w:val="0"/>
        </w:rPr>
      </w:pPr>
      <w:r>
        <w:rPr>
          <w:snapToGrid w:val="0"/>
        </w:rPr>
        <w:t>(1)</w:t>
      </w:r>
      <w:r>
        <w:rPr>
          <w:snapToGrid w:val="0"/>
        </w:rPr>
        <w:tab/>
        <w:t>Insert particulars of place.</w:t>
      </w:r>
    </w:p>
    <w:p>
      <w:pPr>
        <w:pStyle w:val="yMiscellaneousBody"/>
        <w:tabs>
          <w:tab w:val="left" w:pos="600"/>
        </w:tabs>
        <w:spacing w:before="60"/>
        <w:ind w:left="600" w:hanging="600"/>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in Gazette 30 Jan 2004 p. 411; amended in Gazette 14 Jun 2013 p. 2243.]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nHeading2"/>
      </w:pPr>
      <w:bookmarkStart w:id="399" w:name="_Toc407692301"/>
      <w:bookmarkStart w:id="400" w:name="_Toc414962071"/>
      <w:bookmarkStart w:id="401" w:name="_Toc414962190"/>
      <w:bookmarkStart w:id="402" w:name="_Toc438111896"/>
      <w:r>
        <w:t>Notes</w:t>
      </w:r>
      <w:bookmarkEnd w:id="399"/>
      <w:bookmarkEnd w:id="400"/>
      <w:bookmarkEnd w:id="401"/>
      <w:bookmarkEnd w:id="402"/>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Regulations 1978</w:t>
      </w:r>
      <w:r>
        <w:rPr>
          <w:snapToGrid w:val="0"/>
        </w:rPr>
        <w:t xml:space="preserve"> and includes the amendments made by the other written laws referred to in the following table</w:t>
      </w:r>
      <w:del w:id="403" w:author="Master Repository Process" w:date="2021-07-31T11:46: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404" w:name="_Toc407692302"/>
      <w:bookmarkStart w:id="405" w:name="_Toc438111897"/>
      <w:bookmarkStart w:id="406" w:name="_Toc414962191"/>
      <w:r>
        <w:t>Compilation table</w:t>
      </w:r>
      <w:bookmarkEnd w:id="404"/>
      <w:bookmarkEnd w:id="405"/>
      <w:bookmarkEnd w:id="406"/>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pPr>
            <w:r>
              <w:rPr>
                <w:i/>
              </w:rPr>
              <w:t>Betting Control Regulations 1978</w:t>
            </w:r>
          </w:p>
        </w:tc>
        <w:tc>
          <w:tcPr>
            <w:tcW w:w="1276" w:type="dxa"/>
          </w:tcPr>
          <w:p>
            <w:pPr>
              <w:pStyle w:val="nTable"/>
              <w:spacing w:after="40"/>
            </w:pPr>
            <w:r>
              <w:t>22 Jun 1978 p. 1991</w:t>
            </w:r>
            <w:r>
              <w:noBreakHyphen/>
              <w:t>2014</w:t>
            </w:r>
          </w:p>
        </w:tc>
        <w:tc>
          <w:tcPr>
            <w:tcW w:w="2693" w:type="dxa"/>
          </w:tcPr>
          <w:p>
            <w:pPr>
              <w:pStyle w:val="nTable"/>
              <w:spacing w:after="40"/>
            </w:pPr>
            <w:r>
              <w:t>22 Jun 1978</w:t>
            </w:r>
          </w:p>
        </w:tc>
      </w:tr>
      <w:tr>
        <w:trPr>
          <w:cantSplit/>
        </w:trPr>
        <w:tc>
          <w:tcPr>
            <w:tcW w:w="3119" w:type="dxa"/>
          </w:tcPr>
          <w:p>
            <w:pPr>
              <w:pStyle w:val="nTable"/>
              <w:spacing w:after="40"/>
              <w:ind w:right="113"/>
              <w:rPr>
                <w:i/>
              </w:rPr>
            </w:pPr>
            <w:r>
              <w:rPr>
                <w:i/>
              </w:rPr>
              <w:t>Betting Control Amendment Regulations 1983</w:t>
            </w:r>
          </w:p>
        </w:tc>
        <w:tc>
          <w:tcPr>
            <w:tcW w:w="1276" w:type="dxa"/>
          </w:tcPr>
          <w:p>
            <w:pPr>
              <w:pStyle w:val="nTable"/>
              <w:spacing w:after="40"/>
            </w:pPr>
            <w:r>
              <w:t>12 Aug 1983 p. 2918</w:t>
            </w:r>
          </w:p>
        </w:tc>
        <w:tc>
          <w:tcPr>
            <w:tcW w:w="2693" w:type="dxa"/>
          </w:tcPr>
          <w:p>
            <w:pPr>
              <w:pStyle w:val="nTable"/>
              <w:spacing w:after="40"/>
            </w:pPr>
            <w:r>
              <w:t>12 Aug 1983</w:t>
            </w:r>
          </w:p>
        </w:tc>
      </w:tr>
      <w:tr>
        <w:trPr>
          <w:cantSplit/>
        </w:trPr>
        <w:tc>
          <w:tcPr>
            <w:tcW w:w="3119" w:type="dxa"/>
          </w:tcPr>
          <w:p>
            <w:pPr>
              <w:pStyle w:val="nTable"/>
              <w:spacing w:after="40"/>
              <w:ind w:right="113"/>
              <w:rPr>
                <w:i/>
              </w:rPr>
            </w:pPr>
            <w:r>
              <w:rPr>
                <w:i/>
              </w:rPr>
              <w:t>Betting Control Amendment Regulations 1988</w:t>
            </w:r>
          </w:p>
        </w:tc>
        <w:tc>
          <w:tcPr>
            <w:tcW w:w="1276" w:type="dxa"/>
          </w:tcPr>
          <w:p>
            <w:pPr>
              <w:pStyle w:val="nTable"/>
              <w:spacing w:after="40"/>
            </w:pPr>
            <w:r>
              <w:t>4 Mar 1988 p. 667</w:t>
            </w:r>
            <w:r>
              <w:noBreakHyphen/>
              <w:t>8</w:t>
            </w:r>
          </w:p>
        </w:tc>
        <w:tc>
          <w:tcPr>
            <w:tcW w:w="2693" w:type="dxa"/>
          </w:tcPr>
          <w:p>
            <w:pPr>
              <w:pStyle w:val="nTable"/>
              <w:spacing w:after="40"/>
            </w:pPr>
            <w:r>
              <w:t>4 Mar 1988 (see r. 2)</w:t>
            </w:r>
          </w:p>
        </w:tc>
      </w:tr>
      <w:tr>
        <w:trPr>
          <w:cantSplit/>
        </w:trPr>
        <w:tc>
          <w:tcPr>
            <w:tcW w:w="3119" w:type="dxa"/>
          </w:tcPr>
          <w:p>
            <w:pPr>
              <w:pStyle w:val="nTable"/>
              <w:spacing w:after="40"/>
              <w:ind w:right="113"/>
              <w:rPr>
                <w:i/>
              </w:rPr>
            </w:pPr>
            <w:r>
              <w:rPr>
                <w:i/>
              </w:rPr>
              <w:t>Betting Control Amendment Regulations (No. 2) 1988</w:t>
            </w:r>
          </w:p>
        </w:tc>
        <w:tc>
          <w:tcPr>
            <w:tcW w:w="1276" w:type="dxa"/>
          </w:tcPr>
          <w:p>
            <w:pPr>
              <w:pStyle w:val="nTable"/>
              <w:spacing w:after="40"/>
            </w:pPr>
            <w:r>
              <w:t>24 Jun 1988 p. 2003</w:t>
            </w:r>
            <w:r>
              <w:noBreakHyphen/>
              <w:t>5</w:t>
            </w:r>
          </w:p>
        </w:tc>
        <w:tc>
          <w:tcPr>
            <w:tcW w:w="2693" w:type="dxa"/>
          </w:tcPr>
          <w:p>
            <w:pPr>
              <w:pStyle w:val="nTable"/>
              <w:spacing w:after="40"/>
            </w:pPr>
            <w:r>
              <w:t>24 Jun 1988</w:t>
            </w:r>
          </w:p>
        </w:tc>
      </w:tr>
      <w:tr>
        <w:trPr>
          <w:cantSplit/>
        </w:trPr>
        <w:tc>
          <w:tcPr>
            <w:tcW w:w="3119" w:type="dxa"/>
          </w:tcPr>
          <w:p>
            <w:pPr>
              <w:pStyle w:val="nTable"/>
              <w:spacing w:after="40"/>
              <w:ind w:right="113"/>
              <w:rPr>
                <w:i/>
              </w:rPr>
            </w:pPr>
            <w:r>
              <w:rPr>
                <w:i/>
              </w:rPr>
              <w:t>Betting Control (Amendment) Regulations 1989</w:t>
            </w:r>
          </w:p>
        </w:tc>
        <w:tc>
          <w:tcPr>
            <w:tcW w:w="1276" w:type="dxa"/>
          </w:tcPr>
          <w:p>
            <w:pPr>
              <w:pStyle w:val="nTable"/>
              <w:spacing w:after="40"/>
            </w:pPr>
            <w:r>
              <w:t>14 Jul 1989 p. 2133</w:t>
            </w:r>
          </w:p>
        </w:tc>
        <w:tc>
          <w:tcPr>
            <w:tcW w:w="2693" w:type="dxa"/>
          </w:tcPr>
          <w:p>
            <w:pPr>
              <w:pStyle w:val="nTable"/>
              <w:spacing w:after="40"/>
            </w:pPr>
            <w:r>
              <w:t>14 Jul 1989</w:t>
            </w:r>
          </w:p>
        </w:tc>
      </w:tr>
      <w:tr>
        <w:trPr>
          <w:cantSplit/>
        </w:trPr>
        <w:tc>
          <w:tcPr>
            <w:tcW w:w="3119" w:type="dxa"/>
          </w:tcPr>
          <w:p>
            <w:pPr>
              <w:pStyle w:val="nTable"/>
              <w:spacing w:after="40"/>
              <w:ind w:right="113"/>
              <w:rPr>
                <w:i/>
              </w:rPr>
            </w:pPr>
            <w:r>
              <w:rPr>
                <w:i/>
              </w:rPr>
              <w:t>Betting Control Amendment Regulations 1990</w:t>
            </w:r>
          </w:p>
        </w:tc>
        <w:tc>
          <w:tcPr>
            <w:tcW w:w="1276" w:type="dxa"/>
          </w:tcPr>
          <w:p>
            <w:pPr>
              <w:pStyle w:val="nTable"/>
              <w:spacing w:after="40"/>
            </w:pPr>
            <w:r>
              <w:t>14 Sep 1990 p. 4863</w:t>
            </w:r>
            <w:r>
              <w:noBreakHyphen/>
              <w:t>4</w:t>
            </w:r>
          </w:p>
        </w:tc>
        <w:tc>
          <w:tcPr>
            <w:tcW w:w="2693" w:type="dxa"/>
          </w:tcPr>
          <w:p>
            <w:pPr>
              <w:pStyle w:val="nTable"/>
              <w:spacing w:after="40"/>
            </w:pPr>
            <w:r>
              <w:t>14 Sep 1990</w:t>
            </w:r>
          </w:p>
        </w:tc>
      </w:tr>
      <w:tr>
        <w:trPr>
          <w:cantSplit/>
        </w:trPr>
        <w:tc>
          <w:tcPr>
            <w:tcW w:w="3119" w:type="dxa"/>
          </w:tcPr>
          <w:p>
            <w:pPr>
              <w:pStyle w:val="nTable"/>
              <w:spacing w:after="40"/>
              <w:ind w:right="113"/>
              <w:rPr>
                <w:i/>
              </w:rPr>
            </w:pPr>
            <w:r>
              <w:rPr>
                <w:i/>
              </w:rPr>
              <w:t>Betting Control Amendment Regulations 1991</w:t>
            </w:r>
          </w:p>
        </w:tc>
        <w:tc>
          <w:tcPr>
            <w:tcW w:w="1276" w:type="dxa"/>
          </w:tcPr>
          <w:p>
            <w:pPr>
              <w:pStyle w:val="nTable"/>
              <w:spacing w:after="40"/>
            </w:pPr>
            <w:r>
              <w:t>14 Feb 1992 p. 857</w:t>
            </w:r>
            <w:r>
              <w:noBreakHyphen/>
              <w:t>62</w:t>
            </w:r>
          </w:p>
        </w:tc>
        <w:tc>
          <w:tcPr>
            <w:tcW w:w="2693" w:type="dxa"/>
          </w:tcPr>
          <w:p>
            <w:pPr>
              <w:pStyle w:val="nTable"/>
              <w:spacing w:after="40"/>
            </w:pPr>
            <w:r>
              <w:t>14 Feb 1992</w:t>
            </w:r>
          </w:p>
        </w:tc>
      </w:tr>
      <w:tr>
        <w:trPr>
          <w:cantSplit/>
        </w:trPr>
        <w:tc>
          <w:tcPr>
            <w:tcW w:w="3119" w:type="dxa"/>
          </w:tcPr>
          <w:p>
            <w:pPr>
              <w:pStyle w:val="nTable"/>
              <w:spacing w:after="40"/>
              <w:ind w:right="113"/>
              <w:rPr>
                <w:i/>
              </w:rPr>
            </w:pPr>
            <w:r>
              <w:rPr>
                <w:i/>
              </w:rPr>
              <w:t>Betting Control Amendment Regulations 1992</w:t>
            </w:r>
          </w:p>
        </w:tc>
        <w:tc>
          <w:tcPr>
            <w:tcW w:w="1276" w:type="dxa"/>
          </w:tcPr>
          <w:p>
            <w:pPr>
              <w:pStyle w:val="nTable"/>
              <w:spacing w:after="40"/>
            </w:pPr>
            <w:r>
              <w:t>10 Jul 1992 p. 3286</w:t>
            </w:r>
            <w:r>
              <w:noBreakHyphen/>
              <w:t>95</w:t>
            </w:r>
          </w:p>
        </w:tc>
        <w:tc>
          <w:tcPr>
            <w:tcW w:w="2693" w:type="dxa"/>
          </w:tcPr>
          <w:p>
            <w:pPr>
              <w:pStyle w:val="nTable"/>
              <w:spacing w:after="40"/>
            </w:pPr>
            <w:r>
              <w:t>10 Jul 1992</w:t>
            </w:r>
          </w:p>
        </w:tc>
      </w:tr>
      <w:tr>
        <w:trPr>
          <w:cantSplit/>
        </w:trPr>
        <w:tc>
          <w:tcPr>
            <w:tcW w:w="3119" w:type="dxa"/>
          </w:tcPr>
          <w:p>
            <w:pPr>
              <w:pStyle w:val="nTable"/>
              <w:spacing w:after="40"/>
              <w:ind w:right="113"/>
              <w:rPr>
                <w:i/>
              </w:rPr>
            </w:pPr>
            <w:r>
              <w:rPr>
                <w:i/>
              </w:rPr>
              <w:t>Betting Control Amendment Regulations (No. 2) 1992</w:t>
            </w:r>
          </w:p>
        </w:tc>
        <w:tc>
          <w:tcPr>
            <w:tcW w:w="1276" w:type="dxa"/>
          </w:tcPr>
          <w:p>
            <w:pPr>
              <w:pStyle w:val="nTable"/>
              <w:spacing w:after="40"/>
            </w:pPr>
            <w:r>
              <w:t>31 Jul 1992 p. 3796</w:t>
            </w:r>
          </w:p>
        </w:tc>
        <w:tc>
          <w:tcPr>
            <w:tcW w:w="2693" w:type="dxa"/>
          </w:tcPr>
          <w:p>
            <w:pPr>
              <w:pStyle w:val="nTable"/>
              <w:spacing w:after="40"/>
            </w:pPr>
            <w:r>
              <w:t>31 Jul 1992</w:t>
            </w:r>
          </w:p>
        </w:tc>
      </w:tr>
      <w:tr>
        <w:trPr>
          <w:cantSplit/>
        </w:trPr>
        <w:tc>
          <w:tcPr>
            <w:tcW w:w="7088" w:type="dxa"/>
            <w:gridSpan w:val="3"/>
          </w:tcPr>
          <w:p>
            <w:pPr>
              <w:pStyle w:val="nTable"/>
              <w:spacing w:after="40"/>
            </w:pPr>
            <w:r>
              <w:rPr>
                <w:b/>
              </w:rPr>
              <w:t xml:space="preserve">Reprint of the </w:t>
            </w:r>
            <w:r>
              <w:rPr>
                <w:b/>
                <w:i/>
              </w:rPr>
              <w:t>Betting Control Regulations 1978</w:t>
            </w:r>
            <w:r>
              <w:rPr>
                <w:b/>
              </w:rPr>
              <w:t xml:space="preserve"> as at 20 Aug 1992 </w:t>
            </w:r>
            <w:r>
              <w:t>(includes amendments listed above)</w:t>
            </w:r>
          </w:p>
        </w:tc>
      </w:tr>
      <w:tr>
        <w:trPr>
          <w:cantSplit/>
        </w:trPr>
        <w:tc>
          <w:tcPr>
            <w:tcW w:w="3119" w:type="dxa"/>
          </w:tcPr>
          <w:p>
            <w:pPr>
              <w:pStyle w:val="nTable"/>
              <w:spacing w:after="40"/>
              <w:ind w:right="113"/>
            </w:pPr>
            <w:r>
              <w:rPr>
                <w:i/>
              </w:rPr>
              <w:t>Betting Control Amendment Regulations 1993</w:t>
            </w:r>
          </w:p>
        </w:tc>
        <w:tc>
          <w:tcPr>
            <w:tcW w:w="1276" w:type="dxa"/>
          </w:tcPr>
          <w:p>
            <w:pPr>
              <w:pStyle w:val="nTable"/>
              <w:spacing w:after="40"/>
            </w:pPr>
            <w:r>
              <w:t>31 Aug 1993 p. 4677 (correction 10 Sep 1993 p. 4975)</w:t>
            </w:r>
          </w:p>
        </w:tc>
        <w:tc>
          <w:tcPr>
            <w:tcW w:w="2693" w:type="dxa"/>
          </w:tcPr>
          <w:p>
            <w:pPr>
              <w:pStyle w:val="nTable"/>
              <w:spacing w:after="40"/>
            </w:pPr>
            <w:r>
              <w:t>31 Aug 1993</w:t>
            </w:r>
          </w:p>
        </w:tc>
      </w:tr>
      <w:tr>
        <w:trPr>
          <w:cantSplit/>
        </w:trPr>
        <w:tc>
          <w:tcPr>
            <w:tcW w:w="3119" w:type="dxa"/>
          </w:tcPr>
          <w:p>
            <w:pPr>
              <w:pStyle w:val="nTable"/>
              <w:spacing w:after="40"/>
              <w:ind w:right="113"/>
            </w:pPr>
            <w:r>
              <w:rPr>
                <w:i/>
              </w:rPr>
              <w:t>Betting Control Amendment Regulations (No. 2) 1993</w:t>
            </w:r>
          </w:p>
        </w:tc>
        <w:tc>
          <w:tcPr>
            <w:tcW w:w="1276" w:type="dxa"/>
          </w:tcPr>
          <w:p>
            <w:pPr>
              <w:pStyle w:val="nTable"/>
              <w:spacing w:after="40"/>
            </w:pPr>
            <w:r>
              <w:t>24 Dec 1993 p. 6839</w:t>
            </w:r>
            <w:r>
              <w:noBreakHyphen/>
              <w:t>40</w:t>
            </w:r>
          </w:p>
        </w:tc>
        <w:tc>
          <w:tcPr>
            <w:tcW w:w="2693" w:type="dxa"/>
          </w:tcPr>
          <w:p>
            <w:pPr>
              <w:pStyle w:val="nTable"/>
              <w:spacing w:after="40"/>
            </w:pPr>
            <w:r>
              <w:t>24 Dec 1993</w:t>
            </w:r>
          </w:p>
        </w:tc>
      </w:tr>
      <w:tr>
        <w:trPr>
          <w:cantSplit/>
        </w:trPr>
        <w:tc>
          <w:tcPr>
            <w:tcW w:w="3119" w:type="dxa"/>
          </w:tcPr>
          <w:p>
            <w:pPr>
              <w:pStyle w:val="nTable"/>
              <w:spacing w:after="40"/>
              <w:ind w:right="113"/>
            </w:pPr>
            <w:r>
              <w:rPr>
                <w:i/>
              </w:rPr>
              <w:t>Betting Control Amendment Regulations 1994</w:t>
            </w:r>
          </w:p>
        </w:tc>
        <w:tc>
          <w:tcPr>
            <w:tcW w:w="1276" w:type="dxa"/>
          </w:tcPr>
          <w:p>
            <w:pPr>
              <w:pStyle w:val="nTable"/>
              <w:spacing w:after="40"/>
            </w:pPr>
            <w:r>
              <w:t>2 Dec 1994 p. 6383</w:t>
            </w:r>
          </w:p>
        </w:tc>
        <w:tc>
          <w:tcPr>
            <w:tcW w:w="2693" w:type="dxa"/>
          </w:tcPr>
          <w:p>
            <w:pPr>
              <w:pStyle w:val="nTable"/>
              <w:spacing w:after="40"/>
            </w:pPr>
            <w:r>
              <w:t>2 Dec 1994</w:t>
            </w:r>
          </w:p>
        </w:tc>
      </w:tr>
      <w:tr>
        <w:trPr>
          <w:cantSplit/>
        </w:trPr>
        <w:tc>
          <w:tcPr>
            <w:tcW w:w="3119" w:type="dxa"/>
          </w:tcPr>
          <w:p>
            <w:pPr>
              <w:pStyle w:val="nTable"/>
              <w:spacing w:after="40"/>
              <w:ind w:right="113"/>
            </w:pPr>
            <w:r>
              <w:rPr>
                <w:i/>
              </w:rPr>
              <w:t>Betting Control Amendment Regulations 1996</w:t>
            </w:r>
          </w:p>
        </w:tc>
        <w:tc>
          <w:tcPr>
            <w:tcW w:w="1276" w:type="dxa"/>
          </w:tcPr>
          <w:p>
            <w:pPr>
              <w:pStyle w:val="nTable"/>
              <w:spacing w:after="40"/>
            </w:pPr>
            <w:r>
              <w:t>25 Jun 1996 p. 2974</w:t>
            </w:r>
            <w:r>
              <w:noBreakHyphen/>
              <w:t>8</w:t>
            </w:r>
          </w:p>
        </w:tc>
        <w:tc>
          <w:tcPr>
            <w:tcW w:w="2693" w:type="dxa"/>
          </w:tcPr>
          <w:p>
            <w:pPr>
              <w:pStyle w:val="nTable"/>
              <w:spacing w:after="40"/>
            </w:pPr>
            <w:r>
              <w:t xml:space="preserve">28 Jun 1996 (see r. 2 and </w:t>
            </w:r>
            <w:r>
              <w:rPr>
                <w:i/>
              </w:rPr>
              <w:t>Gazette</w:t>
            </w:r>
            <w:r>
              <w:t xml:space="preserve"> 25 Jun 1996 p. 2901)</w:t>
            </w:r>
          </w:p>
        </w:tc>
      </w:tr>
      <w:tr>
        <w:trPr>
          <w:cantSplit/>
        </w:trPr>
        <w:tc>
          <w:tcPr>
            <w:tcW w:w="3119" w:type="dxa"/>
          </w:tcPr>
          <w:p>
            <w:pPr>
              <w:pStyle w:val="nTable"/>
              <w:spacing w:after="40"/>
              <w:ind w:right="113"/>
            </w:pPr>
            <w:r>
              <w:rPr>
                <w:i/>
              </w:rPr>
              <w:t>Betting Control Amendment Regulations (No. 2) 1996</w:t>
            </w:r>
          </w:p>
        </w:tc>
        <w:tc>
          <w:tcPr>
            <w:tcW w:w="1276" w:type="dxa"/>
          </w:tcPr>
          <w:p>
            <w:pPr>
              <w:pStyle w:val="nTable"/>
              <w:spacing w:after="40"/>
            </w:pPr>
            <w:r>
              <w:t>22 Oct 1996 p. 5619</w:t>
            </w:r>
          </w:p>
        </w:tc>
        <w:tc>
          <w:tcPr>
            <w:tcW w:w="2693" w:type="dxa"/>
          </w:tcPr>
          <w:p>
            <w:pPr>
              <w:pStyle w:val="nTable"/>
              <w:spacing w:after="40"/>
            </w:pPr>
            <w:r>
              <w:t>22 Oct 1996</w:t>
            </w:r>
          </w:p>
        </w:tc>
      </w:tr>
      <w:tr>
        <w:trPr>
          <w:cantSplit/>
        </w:trPr>
        <w:tc>
          <w:tcPr>
            <w:tcW w:w="3119" w:type="dxa"/>
          </w:tcPr>
          <w:p>
            <w:pPr>
              <w:pStyle w:val="nTable"/>
              <w:spacing w:after="40"/>
              <w:ind w:right="113"/>
            </w:pPr>
            <w:r>
              <w:rPr>
                <w:i/>
              </w:rPr>
              <w:t>Betting Control Amendment Regulations 1997</w:t>
            </w:r>
          </w:p>
        </w:tc>
        <w:tc>
          <w:tcPr>
            <w:tcW w:w="1276" w:type="dxa"/>
          </w:tcPr>
          <w:p>
            <w:pPr>
              <w:pStyle w:val="nTable"/>
              <w:spacing w:after="40"/>
            </w:pPr>
            <w:r>
              <w:t>4 Mar 1997</w:t>
            </w:r>
            <w:r>
              <w:br/>
              <w:t>p. 1395</w:t>
            </w:r>
          </w:p>
        </w:tc>
        <w:tc>
          <w:tcPr>
            <w:tcW w:w="2693" w:type="dxa"/>
          </w:tcPr>
          <w:p>
            <w:pPr>
              <w:pStyle w:val="nTable"/>
              <w:spacing w:after="40"/>
            </w:pPr>
            <w:r>
              <w:t>4 Mar 1997</w:t>
            </w:r>
          </w:p>
        </w:tc>
      </w:tr>
      <w:tr>
        <w:trPr>
          <w:cantSplit/>
        </w:trPr>
        <w:tc>
          <w:tcPr>
            <w:tcW w:w="3119" w:type="dxa"/>
          </w:tcPr>
          <w:p>
            <w:pPr>
              <w:pStyle w:val="nTable"/>
              <w:keepNext/>
              <w:spacing w:after="40"/>
              <w:ind w:right="113"/>
            </w:pPr>
            <w:r>
              <w:rPr>
                <w:i/>
              </w:rPr>
              <w:t>Betting Control Amendment Regulations (No. 2) 1997</w:t>
            </w:r>
          </w:p>
        </w:tc>
        <w:tc>
          <w:tcPr>
            <w:tcW w:w="1276" w:type="dxa"/>
          </w:tcPr>
          <w:p>
            <w:pPr>
              <w:pStyle w:val="nTable"/>
              <w:keepNext/>
              <w:spacing w:after="40"/>
            </w:pPr>
            <w:r>
              <w:t>4 Mar 1997 p. 1396 (as amended 24 Jun 1997 p. 3014)</w:t>
            </w:r>
          </w:p>
        </w:tc>
        <w:tc>
          <w:tcPr>
            <w:tcW w:w="2693" w:type="dxa"/>
          </w:tcPr>
          <w:p>
            <w:pPr>
              <w:pStyle w:val="nTable"/>
              <w:keepNext/>
              <w:spacing w:after="40"/>
            </w:pPr>
            <w:r>
              <w:t>1 Aug 1997 (see r. 2)</w:t>
            </w:r>
          </w:p>
        </w:tc>
      </w:tr>
      <w:tr>
        <w:trPr>
          <w:cantSplit/>
        </w:trPr>
        <w:tc>
          <w:tcPr>
            <w:tcW w:w="3119" w:type="dxa"/>
          </w:tcPr>
          <w:p>
            <w:pPr>
              <w:pStyle w:val="nTable"/>
              <w:spacing w:after="40"/>
              <w:ind w:right="113"/>
            </w:pPr>
            <w:r>
              <w:rPr>
                <w:i/>
              </w:rPr>
              <w:t>Betting Control Amendment Regulations (No. 3) 1997</w:t>
            </w:r>
          </w:p>
        </w:tc>
        <w:tc>
          <w:tcPr>
            <w:tcW w:w="1276" w:type="dxa"/>
          </w:tcPr>
          <w:p>
            <w:pPr>
              <w:pStyle w:val="nTable"/>
              <w:spacing w:after="40"/>
            </w:pPr>
            <w:r>
              <w:t>24 Jun 1997 p. 3014</w:t>
            </w:r>
          </w:p>
        </w:tc>
        <w:tc>
          <w:tcPr>
            <w:tcW w:w="2693" w:type="dxa"/>
          </w:tcPr>
          <w:p>
            <w:pPr>
              <w:pStyle w:val="nTable"/>
              <w:spacing w:after="40"/>
            </w:pPr>
            <w:r>
              <w:t>24 Jun 1997</w:t>
            </w:r>
          </w:p>
        </w:tc>
      </w:tr>
      <w:tr>
        <w:trPr>
          <w:cantSplit/>
        </w:trPr>
        <w:tc>
          <w:tcPr>
            <w:tcW w:w="7088" w:type="dxa"/>
            <w:gridSpan w:val="3"/>
          </w:tcPr>
          <w:p>
            <w:pPr>
              <w:pStyle w:val="nTable"/>
              <w:spacing w:after="40"/>
            </w:pPr>
            <w:r>
              <w:rPr>
                <w:b/>
              </w:rPr>
              <w:t xml:space="preserve">Reprint of the </w:t>
            </w:r>
            <w:r>
              <w:rPr>
                <w:b/>
                <w:i/>
              </w:rPr>
              <w:t>Betting Control Regulations 1978</w:t>
            </w:r>
            <w:r>
              <w:rPr>
                <w:b/>
              </w:rPr>
              <w:t xml:space="preserve"> as at 30 Sep 1997 </w:t>
            </w:r>
            <w:r>
              <w:t>(includes amendments listed above)</w:t>
            </w:r>
          </w:p>
        </w:tc>
      </w:tr>
      <w:tr>
        <w:trPr>
          <w:cantSplit/>
        </w:trPr>
        <w:tc>
          <w:tcPr>
            <w:tcW w:w="3119" w:type="dxa"/>
          </w:tcPr>
          <w:p>
            <w:pPr>
              <w:pStyle w:val="nTable"/>
              <w:spacing w:after="40"/>
              <w:ind w:right="113"/>
            </w:pPr>
            <w:r>
              <w:rPr>
                <w:i/>
              </w:rPr>
              <w:t>Betting Control Amendment Regulations 1998</w:t>
            </w:r>
          </w:p>
        </w:tc>
        <w:tc>
          <w:tcPr>
            <w:tcW w:w="1276" w:type="dxa"/>
          </w:tcPr>
          <w:p>
            <w:pPr>
              <w:pStyle w:val="nTable"/>
              <w:spacing w:after="40"/>
            </w:pPr>
            <w:r>
              <w:t>13 Mar 1998 p. 1394</w:t>
            </w:r>
          </w:p>
        </w:tc>
        <w:tc>
          <w:tcPr>
            <w:tcW w:w="2693" w:type="dxa"/>
          </w:tcPr>
          <w:p>
            <w:pPr>
              <w:pStyle w:val="nTable"/>
              <w:spacing w:after="40"/>
            </w:pPr>
            <w:r>
              <w:t>13 Mar 1998</w:t>
            </w:r>
          </w:p>
        </w:tc>
      </w:tr>
      <w:tr>
        <w:trPr>
          <w:cantSplit/>
        </w:trPr>
        <w:tc>
          <w:tcPr>
            <w:tcW w:w="3119" w:type="dxa"/>
          </w:tcPr>
          <w:p>
            <w:pPr>
              <w:pStyle w:val="nTable"/>
              <w:spacing w:after="40"/>
              <w:ind w:right="113"/>
              <w:rPr>
                <w:i/>
              </w:rPr>
            </w:pPr>
            <w:r>
              <w:rPr>
                <w:i/>
              </w:rPr>
              <w:t>Betting Control Amendment Regulations (No. 3) 1998</w:t>
            </w:r>
          </w:p>
        </w:tc>
        <w:tc>
          <w:tcPr>
            <w:tcW w:w="1276" w:type="dxa"/>
          </w:tcPr>
          <w:p>
            <w:pPr>
              <w:pStyle w:val="nTable"/>
              <w:spacing w:after="40"/>
            </w:pPr>
            <w:r>
              <w:t>10 Jul 1998 p. 3647</w:t>
            </w:r>
          </w:p>
        </w:tc>
        <w:tc>
          <w:tcPr>
            <w:tcW w:w="2693" w:type="dxa"/>
          </w:tcPr>
          <w:p>
            <w:pPr>
              <w:pStyle w:val="nTable"/>
              <w:spacing w:after="40"/>
            </w:pPr>
            <w:r>
              <w:t>1 Aug 1998 (see r. 2)</w:t>
            </w:r>
          </w:p>
        </w:tc>
      </w:tr>
      <w:tr>
        <w:trPr>
          <w:cantSplit/>
        </w:trPr>
        <w:tc>
          <w:tcPr>
            <w:tcW w:w="3119" w:type="dxa"/>
          </w:tcPr>
          <w:p>
            <w:pPr>
              <w:pStyle w:val="nTable"/>
              <w:spacing w:after="40"/>
              <w:ind w:right="113"/>
              <w:rPr>
                <w:i/>
              </w:rPr>
            </w:pPr>
            <w:r>
              <w:rPr>
                <w:i/>
              </w:rPr>
              <w:t>Betting Control Amendment Regulations (No. 2) 1998</w:t>
            </w:r>
          </w:p>
        </w:tc>
        <w:tc>
          <w:tcPr>
            <w:tcW w:w="1276" w:type="dxa"/>
          </w:tcPr>
          <w:p>
            <w:pPr>
              <w:pStyle w:val="nTable"/>
              <w:spacing w:after="40"/>
            </w:pPr>
            <w:r>
              <w:t>21 Jul 1998 p. 3850</w:t>
            </w:r>
            <w:r>
              <w:noBreakHyphen/>
              <w:t>60</w:t>
            </w:r>
          </w:p>
        </w:tc>
        <w:tc>
          <w:tcPr>
            <w:tcW w:w="2693" w:type="dxa"/>
          </w:tcPr>
          <w:p>
            <w:pPr>
              <w:pStyle w:val="nTable"/>
              <w:spacing w:after="40"/>
            </w:pPr>
            <w:r>
              <w:t xml:space="preserve">1 Aug 1998 (see r. 2 and </w:t>
            </w:r>
            <w:r>
              <w:rPr>
                <w:i/>
              </w:rPr>
              <w:t xml:space="preserve">Gazette </w:t>
            </w:r>
            <w:r>
              <w:t>21 Jul 1998 p. 3825)</w:t>
            </w:r>
          </w:p>
        </w:tc>
      </w:tr>
      <w:tr>
        <w:trPr>
          <w:cantSplit/>
        </w:trPr>
        <w:tc>
          <w:tcPr>
            <w:tcW w:w="3119" w:type="dxa"/>
          </w:tcPr>
          <w:p>
            <w:pPr>
              <w:pStyle w:val="nTable"/>
              <w:spacing w:after="40"/>
              <w:ind w:right="113"/>
              <w:rPr>
                <w:i/>
              </w:rPr>
            </w:pPr>
            <w:r>
              <w:rPr>
                <w:i/>
              </w:rPr>
              <w:t>Betting Control Amendment Regulations (No. 3) 1999</w:t>
            </w:r>
          </w:p>
        </w:tc>
        <w:tc>
          <w:tcPr>
            <w:tcW w:w="1276" w:type="dxa"/>
          </w:tcPr>
          <w:p>
            <w:pPr>
              <w:pStyle w:val="nTable"/>
              <w:spacing w:after="40"/>
            </w:pPr>
            <w:r>
              <w:t>26 Nov 1999 p. 5908</w:t>
            </w:r>
            <w:r>
              <w:noBreakHyphen/>
              <w:t>10</w:t>
            </w:r>
          </w:p>
        </w:tc>
        <w:tc>
          <w:tcPr>
            <w:tcW w:w="2693" w:type="dxa"/>
          </w:tcPr>
          <w:p>
            <w:pPr>
              <w:pStyle w:val="nTable"/>
              <w:spacing w:after="40"/>
            </w:pPr>
            <w:r>
              <w:t>26 Nov 1999</w:t>
            </w:r>
          </w:p>
        </w:tc>
      </w:tr>
      <w:tr>
        <w:trPr>
          <w:cantSplit/>
        </w:trPr>
        <w:tc>
          <w:tcPr>
            <w:tcW w:w="3119" w:type="dxa"/>
          </w:tcPr>
          <w:p>
            <w:pPr>
              <w:pStyle w:val="nTable"/>
              <w:spacing w:after="40"/>
              <w:ind w:right="113"/>
              <w:rPr>
                <w:i/>
              </w:rPr>
            </w:pPr>
            <w:r>
              <w:rPr>
                <w:i/>
              </w:rPr>
              <w:t xml:space="preserve">Betting Control Amendment Regulations 2000 </w:t>
            </w:r>
          </w:p>
        </w:tc>
        <w:tc>
          <w:tcPr>
            <w:tcW w:w="1276" w:type="dxa"/>
          </w:tcPr>
          <w:p>
            <w:pPr>
              <w:pStyle w:val="nTable"/>
              <w:spacing w:after="40"/>
            </w:pPr>
            <w:r>
              <w:t>13 Oct 2000 p. 5726</w:t>
            </w:r>
            <w:r>
              <w:noBreakHyphen/>
              <w:t>7</w:t>
            </w:r>
          </w:p>
        </w:tc>
        <w:tc>
          <w:tcPr>
            <w:tcW w:w="2693" w:type="dxa"/>
          </w:tcPr>
          <w:p>
            <w:pPr>
              <w:pStyle w:val="nTable"/>
              <w:spacing w:after="40"/>
            </w:pPr>
            <w:r>
              <w:t xml:space="preserve">13 Oct 2000 </w:t>
            </w:r>
          </w:p>
        </w:tc>
      </w:tr>
      <w:tr>
        <w:trPr>
          <w:cantSplit/>
        </w:trPr>
        <w:tc>
          <w:tcPr>
            <w:tcW w:w="7088" w:type="dxa"/>
            <w:gridSpan w:val="3"/>
          </w:tcPr>
          <w:p>
            <w:pPr>
              <w:pStyle w:val="nTable"/>
              <w:spacing w:after="40"/>
            </w:pPr>
            <w:r>
              <w:rPr>
                <w:b/>
              </w:rPr>
              <w:t xml:space="preserve">Reprint of the </w:t>
            </w:r>
            <w:r>
              <w:rPr>
                <w:b/>
                <w:i/>
              </w:rPr>
              <w:t>Betting Control Regulations 1978</w:t>
            </w:r>
            <w:r>
              <w:rPr>
                <w:b/>
              </w:rPr>
              <w:t xml:space="preserve"> as at 6 Apr 2001 </w:t>
            </w:r>
            <w:r>
              <w:t>(includes amendments listed above)</w:t>
            </w:r>
          </w:p>
        </w:tc>
      </w:tr>
      <w:tr>
        <w:trPr>
          <w:cantSplit/>
        </w:trPr>
        <w:tc>
          <w:tcPr>
            <w:tcW w:w="3119" w:type="dxa"/>
          </w:tcPr>
          <w:p>
            <w:pPr>
              <w:pStyle w:val="nTable"/>
              <w:spacing w:after="40"/>
              <w:ind w:right="113"/>
              <w:rPr>
                <w:i/>
              </w:rPr>
            </w:pPr>
            <w:r>
              <w:rPr>
                <w:i/>
              </w:rPr>
              <w:t>Betting Control Amendment Regulations 2001</w:t>
            </w:r>
          </w:p>
        </w:tc>
        <w:tc>
          <w:tcPr>
            <w:tcW w:w="1276" w:type="dxa"/>
          </w:tcPr>
          <w:p>
            <w:pPr>
              <w:pStyle w:val="nTable"/>
              <w:spacing w:after="40"/>
            </w:pPr>
            <w:r>
              <w:t>11 Sep 2001 p. 5001</w:t>
            </w:r>
          </w:p>
        </w:tc>
        <w:tc>
          <w:tcPr>
            <w:tcW w:w="2693" w:type="dxa"/>
          </w:tcPr>
          <w:p>
            <w:pPr>
              <w:pStyle w:val="nTable"/>
              <w:spacing w:after="40"/>
            </w:pPr>
            <w:r>
              <w:t>11 Sep 2001</w:t>
            </w:r>
          </w:p>
        </w:tc>
      </w:tr>
      <w:tr>
        <w:trPr>
          <w:cantSplit/>
        </w:trPr>
        <w:tc>
          <w:tcPr>
            <w:tcW w:w="3119" w:type="dxa"/>
          </w:tcPr>
          <w:p>
            <w:pPr>
              <w:pStyle w:val="nTable"/>
              <w:spacing w:after="40"/>
              <w:ind w:right="113"/>
              <w:rPr>
                <w:i/>
              </w:rPr>
            </w:pPr>
            <w:r>
              <w:rPr>
                <w:i/>
              </w:rPr>
              <w:t>Betting Control Amendment Regulations (No. 2) 2001</w:t>
            </w:r>
          </w:p>
        </w:tc>
        <w:tc>
          <w:tcPr>
            <w:tcW w:w="1276" w:type="dxa"/>
          </w:tcPr>
          <w:p>
            <w:pPr>
              <w:pStyle w:val="nTable"/>
              <w:spacing w:after="40"/>
            </w:pPr>
            <w:r>
              <w:t>2 Oct 2001 p. 5454</w:t>
            </w:r>
            <w:r>
              <w:noBreakHyphen/>
              <w:t>5</w:t>
            </w:r>
          </w:p>
        </w:tc>
        <w:tc>
          <w:tcPr>
            <w:tcW w:w="2693" w:type="dxa"/>
          </w:tcPr>
          <w:p>
            <w:pPr>
              <w:pStyle w:val="nTable"/>
              <w:spacing w:after="40"/>
            </w:pPr>
            <w:r>
              <w:t>2 Oct 2001</w:t>
            </w:r>
          </w:p>
        </w:tc>
      </w:tr>
      <w:tr>
        <w:trPr>
          <w:cantSplit/>
        </w:trPr>
        <w:tc>
          <w:tcPr>
            <w:tcW w:w="3119" w:type="dxa"/>
          </w:tcPr>
          <w:p>
            <w:pPr>
              <w:pStyle w:val="nTable"/>
              <w:spacing w:after="40"/>
              <w:ind w:right="113"/>
              <w:rPr>
                <w:i/>
              </w:rPr>
            </w:pPr>
            <w:r>
              <w:rPr>
                <w:i/>
              </w:rPr>
              <w:t>Betting Control Amendment Regulations (No. 3) 2001</w:t>
            </w:r>
          </w:p>
        </w:tc>
        <w:tc>
          <w:tcPr>
            <w:tcW w:w="1276" w:type="dxa"/>
          </w:tcPr>
          <w:p>
            <w:pPr>
              <w:pStyle w:val="nTable"/>
              <w:spacing w:after="40"/>
            </w:pPr>
            <w:r>
              <w:t>18 Jan 2002 p. 284</w:t>
            </w:r>
          </w:p>
        </w:tc>
        <w:tc>
          <w:tcPr>
            <w:tcW w:w="2693" w:type="dxa"/>
          </w:tcPr>
          <w:p>
            <w:pPr>
              <w:pStyle w:val="nTable"/>
              <w:spacing w:after="40"/>
            </w:pPr>
            <w:r>
              <w:t>21 Jan 2002 (see r. 2)</w:t>
            </w:r>
          </w:p>
        </w:tc>
      </w:tr>
      <w:tr>
        <w:trPr>
          <w:cantSplit/>
        </w:trPr>
        <w:tc>
          <w:tcPr>
            <w:tcW w:w="3119" w:type="dxa"/>
          </w:tcPr>
          <w:p>
            <w:pPr>
              <w:pStyle w:val="nTable"/>
              <w:spacing w:after="40"/>
              <w:ind w:right="113"/>
              <w:rPr>
                <w:i/>
              </w:rPr>
            </w:pPr>
            <w:r>
              <w:rPr>
                <w:i/>
              </w:rPr>
              <w:t>Betting Control Amendment Regulations 2002</w:t>
            </w:r>
          </w:p>
        </w:tc>
        <w:tc>
          <w:tcPr>
            <w:tcW w:w="1276" w:type="dxa"/>
          </w:tcPr>
          <w:p>
            <w:pPr>
              <w:pStyle w:val="nTable"/>
              <w:spacing w:after="40"/>
            </w:pPr>
            <w:r>
              <w:t>20 Sep 2002 p. 4697</w:t>
            </w:r>
            <w:r>
              <w:noBreakHyphen/>
              <w:t>704</w:t>
            </w:r>
          </w:p>
        </w:tc>
        <w:tc>
          <w:tcPr>
            <w:tcW w:w="2693" w:type="dxa"/>
          </w:tcPr>
          <w:p>
            <w:pPr>
              <w:pStyle w:val="nTable"/>
              <w:spacing w:after="40"/>
            </w:pPr>
            <w:r>
              <w:t xml:space="preserve">21 Sep 2002 (see r. 2 and </w:t>
            </w:r>
            <w:r>
              <w:rPr>
                <w:i/>
              </w:rPr>
              <w:t>Gazette</w:t>
            </w:r>
            <w:r>
              <w:t xml:space="preserve"> 20 Sep 2002 p. 4693)</w:t>
            </w:r>
          </w:p>
        </w:tc>
      </w:tr>
      <w:tr>
        <w:trPr>
          <w:cantSplit/>
        </w:trPr>
        <w:tc>
          <w:tcPr>
            <w:tcW w:w="3119" w:type="dxa"/>
          </w:tcPr>
          <w:p>
            <w:pPr>
              <w:pStyle w:val="nTable"/>
              <w:spacing w:after="40"/>
              <w:ind w:right="113"/>
              <w:rPr>
                <w:i/>
              </w:rPr>
            </w:pPr>
            <w:r>
              <w:rPr>
                <w:i/>
              </w:rPr>
              <w:t>Betting Control Amendment Regulations (No. 2) 2002</w:t>
            </w:r>
          </w:p>
        </w:tc>
        <w:tc>
          <w:tcPr>
            <w:tcW w:w="1276" w:type="dxa"/>
          </w:tcPr>
          <w:p>
            <w:pPr>
              <w:pStyle w:val="nTable"/>
              <w:spacing w:after="40"/>
            </w:pPr>
            <w:r>
              <w:t>17 Dec 2002 p. 5923</w:t>
            </w:r>
            <w:r>
              <w:noBreakHyphen/>
              <w:t>4</w:t>
            </w:r>
          </w:p>
        </w:tc>
        <w:tc>
          <w:tcPr>
            <w:tcW w:w="2693" w:type="dxa"/>
          </w:tcPr>
          <w:p>
            <w:pPr>
              <w:pStyle w:val="nTable"/>
              <w:spacing w:after="40"/>
            </w:pPr>
            <w:r>
              <w:t>17 Dec 2002</w:t>
            </w:r>
          </w:p>
        </w:tc>
      </w:tr>
      <w:tr>
        <w:trPr>
          <w:cantSplit/>
        </w:trPr>
        <w:tc>
          <w:tcPr>
            <w:tcW w:w="3119" w:type="dxa"/>
          </w:tcPr>
          <w:p>
            <w:pPr>
              <w:pStyle w:val="nTable"/>
              <w:spacing w:after="40"/>
              <w:ind w:right="113"/>
              <w:rPr>
                <w:i/>
              </w:rPr>
            </w:pPr>
            <w:r>
              <w:rPr>
                <w:i/>
              </w:rPr>
              <w:t>Betting Control Amendment Regulations 2003</w:t>
            </w:r>
          </w:p>
        </w:tc>
        <w:tc>
          <w:tcPr>
            <w:tcW w:w="1276" w:type="dxa"/>
          </w:tcPr>
          <w:p>
            <w:pPr>
              <w:pStyle w:val="nTable"/>
              <w:spacing w:after="40"/>
            </w:pPr>
            <w:r>
              <w:t>25 Mar 2003 p. 921</w:t>
            </w:r>
            <w:r>
              <w:noBreakHyphen/>
              <w:t>2</w:t>
            </w:r>
          </w:p>
        </w:tc>
        <w:tc>
          <w:tcPr>
            <w:tcW w:w="2693" w:type="dxa"/>
          </w:tcPr>
          <w:p>
            <w:pPr>
              <w:pStyle w:val="nTable"/>
              <w:spacing w:after="40"/>
            </w:pPr>
            <w:r>
              <w:t>1 Apr 2003 (see r. 2)</w:t>
            </w:r>
          </w:p>
        </w:tc>
      </w:tr>
      <w:tr>
        <w:trPr>
          <w:cantSplit/>
        </w:trPr>
        <w:tc>
          <w:tcPr>
            <w:tcW w:w="3119" w:type="dxa"/>
          </w:tcPr>
          <w:p>
            <w:pPr>
              <w:pStyle w:val="nTable"/>
              <w:spacing w:after="40"/>
              <w:ind w:right="113"/>
              <w:rPr>
                <w:i/>
              </w:rPr>
            </w:pPr>
            <w:r>
              <w:rPr>
                <w:i/>
              </w:rPr>
              <w:t>Betting Control Amendment Regulations (No. 2) 2003</w:t>
            </w:r>
          </w:p>
        </w:tc>
        <w:tc>
          <w:tcPr>
            <w:tcW w:w="1276" w:type="dxa"/>
          </w:tcPr>
          <w:p>
            <w:pPr>
              <w:pStyle w:val="nTable"/>
              <w:spacing w:after="40"/>
            </w:pPr>
            <w:r>
              <w:t>20 Jun 2003 p. 2250</w:t>
            </w:r>
            <w:r>
              <w:noBreakHyphen/>
              <w:t>1</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Betting Control Amendment Regulations (No. 3) 2003</w:t>
            </w:r>
          </w:p>
        </w:tc>
        <w:tc>
          <w:tcPr>
            <w:tcW w:w="1276" w:type="dxa"/>
          </w:tcPr>
          <w:p>
            <w:pPr>
              <w:pStyle w:val="nTable"/>
              <w:spacing w:after="40"/>
            </w:pPr>
            <w:r>
              <w:t>26 Sep 2003 p. 4225</w:t>
            </w:r>
            <w:r>
              <w:noBreakHyphen/>
              <w:t>6</w:t>
            </w:r>
          </w:p>
        </w:tc>
        <w:tc>
          <w:tcPr>
            <w:tcW w:w="2693" w:type="dxa"/>
          </w:tcPr>
          <w:p>
            <w:pPr>
              <w:pStyle w:val="nTable"/>
              <w:spacing w:after="40"/>
            </w:pPr>
            <w:r>
              <w:t>1 Jan 2004 (see r. 2)</w:t>
            </w:r>
          </w:p>
        </w:tc>
      </w:tr>
      <w:tr>
        <w:trPr>
          <w:cantSplit/>
        </w:trPr>
        <w:tc>
          <w:tcPr>
            <w:tcW w:w="3119" w:type="dxa"/>
          </w:tcPr>
          <w:p>
            <w:pPr>
              <w:pStyle w:val="nTable"/>
              <w:spacing w:after="40"/>
              <w:ind w:right="113"/>
              <w:rPr>
                <w:i/>
              </w:rPr>
            </w:pPr>
            <w:r>
              <w:rPr>
                <w:i/>
              </w:rPr>
              <w:t>Betting Control Amendment Regulations (No. 4) 2003</w:t>
            </w:r>
          </w:p>
        </w:tc>
        <w:tc>
          <w:tcPr>
            <w:tcW w:w="1276" w:type="dxa"/>
          </w:tcPr>
          <w:p>
            <w:pPr>
              <w:pStyle w:val="nTable"/>
              <w:spacing w:after="40"/>
            </w:pPr>
            <w:r>
              <w:t>11 Nov 2003 p. 4673</w:t>
            </w:r>
            <w:r>
              <w:noBreakHyphen/>
              <w:t>4</w:t>
            </w:r>
          </w:p>
        </w:tc>
        <w:tc>
          <w:tcPr>
            <w:tcW w:w="2693" w:type="dxa"/>
          </w:tcPr>
          <w:p>
            <w:pPr>
              <w:pStyle w:val="nTable"/>
              <w:spacing w:after="40"/>
            </w:pPr>
            <w:r>
              <w:t>11 Nov 2003</w:t>
            </w:r>
          </w:p>
        </w:tc>
      </w:tr>
      <w:tr>
        <w:trPr>
          <w:cantSplit/>
        </w:trPr>
        <w:tc>
          <w:tcPr>
            <w:tcW w:w="3119" w:type="dxa"/>
          </w:tcPr>
          <w:p>
            <w:pPr>
              <w:pStyle w:val="nTable"/>
              <w:spacing w:after="40"/>
              <w:ind w:right="113"/>
              <w:rPr>
                <w:i/>
              </w:rPr>
            </w:pPr>
            <w:r>
              <w:rPr>
                <w:i/>
              </w:rPr>
              <w:t>Betting Control Amendment Regulations 2004</w:t>
            </w:r>
          </w:p>
        </w:tc>
        <w:tc>
          <w:tcPr>
            <w:tcW w:w="1276" w:type="dxa"/>
          </w:tcPr>
          <w:p>
            <w:pPr>
              <w:pStyle w:val="nTable"/>
              <w:spacing w:after="40"/>
            </w:pPr>
            <w:r>
              <w:t>30 Jan 2004 p. 403</w:t>
            </w:r>
            <w:r>
              <w:noBreakHyphen/>
              <w:t>12</w:t>
            </w:r>
          </w:p>
        </w:tc>
        <w:tc>
          <w:tcPr>
            <w:tcW w:w="2693" w:type="dxa"/>
          </w:tcPr>
          <w:p>
            <w:pPr>
              <w:pStyle w:val="nTable"/>
              <w:spacing w:after="40"/>
            </w:pPr>
            <w:r>
              <w:t>30 Jan 2004 (see r. 2)</w:t>
            </w:r>
          </w:p>
        </w:tc>
      </w:tr>
      <w:tr>
        <w:trPr>
          <w:cantSplit/>
        </w:trPr>
        <w:tc>
          <w:tcPr>
            <w:tcW w:w="3119" w:type="dxa"/>
          </w:tcPr>
          <w:p>
            <w:pPr>
              <w:pStyle w:val="nTable"/>
              <w:spacing w:after="40"/>
              <w:ind w:right="113"/>
              <w:rPr>
                <w:i/>
              </w:rPr>
            </w:pPr>
            <w:r>
              <w:rPr>
                <w:i/>
              </w:rPr>
              <w:t>Betting Control Amendment Regulations (No. 2) 2004</w:t>
            </w:r>
          </w:p>
        </w:tc>
        <w:tc>
          <w:tcPr>
            <w:tcW w:w="1276" w:type="dxa"/>
          </w:tcPr>
          <w:p>
            <w:pPr>
              <w:pStyle w:val="nTable"/>
              <w:spacing w:after="40"/>
            </w:pPr>
            <w:r>
              <w:t>1 Jul 2004 p. 2625</w:t>
            </w:r>
            <w:r>
              <w:noBreakHyphen/>
              <w:t>6</w:t>
            </w:r>
          </w:p>
        </w:tc>
        <w:tc>
          <w:tcPr>
            <w:tcW w:w="2693" w:type="dxa"/>
          </w:tcPr>
          <w:p>
            <w:pPr>
              <w:pStyle w:val="nTable"/>
              <w:spacing w:after="40"/>
            </w:pPr>
            <w:r>
              <w:t>1 Jul 2004</w:t>
            </w:r>
          </w:p>
        </w:tc>
      </w:tr>
      <w:tr>
        <w:trPr>
          <w:cantSplit/>
        </w:trPr>
        <w:tc>
          <w:tcPr>
            <w:tcW w:w="3119" w:type="dxa"/>
          </w:tcPr>
          <w:p>
            <w:pPr>
              <w:pStyle w:val="nTable"/>
              <w:spacing w:after="40"/>
              <w:ind w:right="113"/>
              <w:rPr>
                <w:i/>
              </w:rPr>
            </w:pPr>
            <w:r>
              <w:rPr>
                <w:i/>
              </w:rPr>
              <w:t>Betting Control Amendment Regulations (No. 3) 2004</w:t>
            </w:r>
            <w:r>
              <w:t xml:space="preserve"> </w:t>
            </w:r>
          </w:p>
        </w:tc>
        <w:tc>
          <w:tcPr>
            <w:tcW w:w="1276" w:type="dxa"/>
          </w:tcPr>
          <w:p>
            <w:pPr>
              <w:pStyle w:val="nTable"/>
              <w:spacing w:after="40"/>
            </w:pPr>
            <w:r>
              <w:t>9 Jul 2004 p. 2780</w:t>
            </w:r>
            <w:r>
              <w:noBreakHyphen/>
              <w:t>1</w:t>
            </w:r>
          </w:p>
        </w:tc>
        <w:tc>
          <w:tcPr>
            <w:tcW w:w="2693" w:type="dxa"/>
          </w:tcPr>
          <w:p>
            <w:pPr>
              <w:pStyle w:val="nTable"/>
              <w:spacing w:after="40"/>
            </w:pPr>
            <w:r>
              <w:t>1 Jan 2005 (see r. 2)</w:t>
            </w:r>
          </w:p>
        </w:tc>
      </w:tr>
      <w:tr>
        <w:trPr>
          <w:cantSplit/>
        </w:trPr>
        <w:tc>
          <w:tcPr>
            <w:tcW w:w="7088" w:type="dxa"/>
            <w:gridSpan w:val="3"/>
          </w:tcPr>
          <w:p>
            <w:pPr>
              <w:pStyle w:val="nTable"/>
              <w:spacing w:after="40"/>
            </w:pPr>
            <w:r>
              <w:rPr>
                <w:b/>
              </w:rPr>
              <w:t xml:space="preserve">Reprint 4: The </w:t>
            </w:r>
            <w:r>
              <w:rPr>
                <w:b/>
                <w:i/>
              </w:rPr>
              <w:t xml:space="preserve">Betting Control Regulations 1978 </w:t>
            </w:r>
            <w:r>
              <w:rPr>
                <w:b/>
              </w:rPr>
              <w:t>as at 6 May 2005</w:t>
            </w:r>
            <w:r>
              <w:t xml:space="preserve"> (includes amendments listed above)</w:t>
            </w:r>
          </w:p>
        </w:tc>
      </w:tr>
      <w:tr>
        <w:trPr>
          <w:cantSplit/>
        </w:trPr>
        <w:tc>
          <w:tcPr>
            <w:tcW w:w="3119" w:type="dxa"/>
          </w:tcPr>
          <w:p>
            <w:pPr>
              <w:pStyle w:val="nTable"/>
              <w:spacing w:after="40"/>
              <w:ind w:right="113"/>
              <w:rPr>
                <w:i/>
              </w:rPr>
            </w:pPr>
            <w:r>
              <w:rPr>
                <w:i/>
              </w:rPr>
              <w:t>Betting Control Amendment Regulations (No. 2) 2005</w:t>
            </w:r>
          </w:p>
        </w:tc>
        <w:tc>
          <w:tcPr>
            <w:tcW w:w="1276" w:type="dxa"/>
          </w:tcPr>
          <w:p>
            <w:pPr>
              <w:pStyle w:val="nTable"/>
              <w:spacing w:after="40"/>
            </w:pPr>
            <w:r>
              <w:t>14 Oct 2005 p. 4558</w:t>
            </w:r>
            <w:r>
              <w:noBreakHyphen/>
              <w:t>9</w:t>
            </w:r>
          </w:p>
        </w:tc>
        <w:tc>
          <w:tcPr>
            <w:tcW w:w="2693" w:type="dxa"/>
          </w:tcPr>
          <w:p>
            <w:pPr>
              <w:pStyle w:val="nTable"/>
              <w:spacing w:after="40"/>
            </w:pPr>
            <w:r>
              <w:t>1 Jan 2006 (see r. 2)</w:t>
            </w:r>
          </w:p>
        </w:tc>
      </w:tr>
      <w:tr>
        <w:trPr>
          <w:cantSplit/>
        </w:trPr>
        <w:tc>
          <w:tcPr>
            <w:tcW w:w="3119" w:type="dxa"/>
          </w:tcPr>
          <w:p>
            <w:pPr>
              <w:pStyle w:val="nTable"/>
              <w:spacing w:after="40"/>
              <w:ind w:right="113"/>
              <w:rPr>
                <w:i/>
              </w:rPr>
            </w:pPr>
            <w:r>
              <w:rPr>
                <w:i/>
              </w:rPr>
              <w:t>Betting Control Amendment Regulations (No. 2) 2006</w:t>
            </w:r>
          </w:p>
        </w:tc>
        <w:tc>
          <w:tcPr>
            <w:tcW w:w="1276" w:type="dxa"/>
          </w:tcPr>
          <w:p>
            <w:pPr>
              <w:pStyle w:val="nTable"/>
              <w:spacing w:after="40"/>
            </w:pPr>
            <w:r>
              <w:t>28 Apr 2006 p. 1659</w:t>
            </w:r>
          </w:p>
        </w:tc>
        <w:tc>
          <w:tcPr>
            <w:tcW w:w="2693" w:type="dxa"/>
          </w:tcPr>
          <w:p>
            <w:pPr>
              <w:pStyle w:val="nTable"/>
              <w:spacing w:after="40"/>
            </w:pPr>
            <w:r>
              <w:t>28 Apr 2006</w:t>
            </w:r>
          </w:p>
        </w:tc>
      </w:tr>
      <w:tr>
        <w:trPr>
          <w:cantSplit/>
        </w:trPr>
        <w:tc>
          <w:tcPr>
            <w:tcW w:w="3119" w:type="dxa"/>
          </w:tcPr>
          <w:p>
            <w:pPr>
              <w:pStyle w:val="nTable"/>
              <w:spacing w:after="40"/>
              <w:ind w:right="113"/>
              <w:rPr>
                <w:i/>
              </w:rPr>
            </w:pPr>
            <w:r>
              <w:rPr>
                <w:i/>
              </w:rPr>
              <w:t>Betting Control Amendment Regulations 2006</w:t>
            </w:r>
          </w:p>
        </w:tc>
        <w:tc>
          <w:tcPr>
            <w:tcW w:w="1276" w:type="dxa"/>
          </w:tcPr>
          <w:p>
            <w:pPr>
              <w:pStyle w:val="nTable"/>
              <w:spacing w:after="40"/>
            </w:pPr>
            <w:r>
              <w:t>21 Jul 2006 p. 2669</w:t>
            </w:r>
            <w:r>
              <w:noBreakHyphen/>
              <w:t>89</w:t>
            </w:r>
          </w:p>
        </w:tc>
        <w:tc>
          <w:tcPr>
            <w:tcW w:w="2693" w:type="dxa"/>
          </w:tcPr>
          <w:p>
            <w:pPr>
              <w:pStyle w:val="nTable"/>
              <w:spacing w:after="40"/>
            </w:pPr>
            <w:r>
              <w:t>21 Jul 2006</w:t>
            </w:r>
          </w:p>
        </w:tc>
      </w:tr>
      <w:tr>
        <w:trPr>
          <w:cantSplit/>
        </w:trPr>
        <w:tc>
          <w:tcPr>
            <w:tcW w:w="3119" w:type="dxa"/>
          </w:tcPr>
          <w:p>
            <w:pPr>
              <w:pStyle w:val="nTable"/>
              <w:spacing w:after="40"/>
              <w:ind w:right="113"/>
              <w:rPr>
                <w:i/>
              </w:rPr>
            </w:pPr>
            <w:r>
              <w:rPr>
                <w:i/>
              </w:rPr>
              <w:t>Betting Control Amendment Regulations (No. 3) 2006</w:t>
            </w:r>
          </w:p>
        </w:tc>
        <w:tc>
          <w:tcPr>
            <w:tcW w:w="1276" w:type="dxa"/>
          </w:tcPr>
          <w:p>
            <w:pPr>
              <w:pStyle w:val="nTable"/>
              <w:spacing w:after="40"/>
            </w:pPr>
            <w:r>
              <w:t>10 Oct 2006 p. 4391</w:t>
            </w:r>
            <w:r>
              <w:noBreakHyphen/>
              <w:t>2</w:t>
            </w:r>
          </w:p>
        </w:tc>
        <w:tc>
          <w:tcPr>
            <w:tcW w:w="2693" w:type="dxa"/>
          </w:tcPr>
          <w:p>
            <w:pPr>
              <w:pStyle w:val="nTable"/>
              <w:spacing w:after="40"/>
            </w:pPr>
            <w:r>
              <w:t>10 Oct 2006</w:t>
            </w:r>
          </w:p>
        </w:tc>
      </w:tr>
      <w:tr>
        <w:trPr>
          <w:cantSplit/>
        </w:trPr>
        <w:tc>
          <w:tcPr>
            <w:tcW w:w="3119" w:type="dxa"/>
          </w:tcPr>
          <w:p>
            <w:pPr>
              <w:pStyle w:val="nTable"/>
              <w:spacing w:after="40"/>
              <w:ind w:right="113"/>
              <w:rPr>
                <w:i/>
              </w:rPr>
            </w:pPr>
            <w:r>
              <w:rPr>
                <w:i/>
              </w:rPr>
              <w:t>Betting Control Amendment Regulations (No. 4) 2006</w:t>
            </w:r>
            <w:r>
              <w:rPr>
                <w:iCs/>
              </w:rPr>
              <w:t xml:space="preserve"> </w:t>
            </w:r>
          </w:p>
        </w:tc>
        <w:tc>
          <w:tcPr>
            <w:tcW w:w="1276" w:type="dxa"/>
          </w:tcPr>
          <w:p>
            <w:pPr>
              <w:pStyle w:val="nTable"/>
              <w:spacing w:after="40"/>
            </w:pPr>
            <w:r>
              <w:t>14 Nov 2006 p. 4729</w:t>
            </w:r>
            <w:r>
              <w:noBreakHyphen/>
              <w:t>30</w:t>
            </w:r>
          </w:p>
        </w:tc>
        <w:tc>
          <w:tcPr>
            <w:tcW w:w="2693" w:type="dxa"/>
          </w:tcPr>
          <w:p>
            <w:pPr>
              <w:pStyle w:val="nTable"/>
              <w:spacing w:after="40"/>
            </w:pPr>
            <w:r>
              <w:rPr>
                <w:snapToGrid w:val="0"/>
              </w:rPr>
              <w:t>1 Jan 2007 (see r. 2)</w:t>
            </w:r>
          </w:p>
        </w:tc>
      </w:tr>
      <w:tr>
        <w:trPr>
          <w:cantSplit/>
        </w:trPr>
        <w:tc>
          <w:tcPr>
            <w:tcW w:w="3119" w:type="dxa"/>
          </w:tcPr>
          <w:p>
            <w:pPr>
              <w:pStyle w:val="nTable"/>
              <w:spacing w:after="40"/>
              <w:ind w:right="113"/>
              <w:rPr>
                <w:i/>
              </w:rPr>
            </w:pPr>
            <w:r>
              <w:rPr>
                <w:i/>
              </w:rPr>
              <w:t>Betting Control Amendment Regulations (No. 2) 2007</w:t>
            </w:r>
          </w:p>
        </w:tc>
        <w:tc>
          <w:tcPr>
            <w:tcW w:w="1276" w:type="dxa"/>
          </w:tcPr>
          <w:p>
            <w:pPr>
              <w:pStyle w:val="nTable"/>
              <w:spacing w:after="40"/>
            </w:pPr>
            <w:r>
              <w:t>22 Jun 2007 p. 2863</w:t>
            </w:r>
            <w:r>
              <w:noBreakHyphen/>
              <w:t>5</w:t>
            </w:r>
          </w:p>
        </w:tc>
        <w:tc>
          <w:tcPr>
            <w:tcW w:w="2693" w:type="dxa"/>
          </w:tcPr>
          <w:p>
            <w:pPr>
              <w:pStyle w:val="nTable"/>
              <w:spacing w:after="40"/>
              <w:rPr>
                <w:snapToGrid w:val="0"/>
              </w:rPr>
            </w:pPr>
            <w:r>
              <w:rPr>
                <w:snapToGrid w:val="0"/>
              </w:rPr>
              <w:t>r. 1 and 2: 22 Jun 2007 (see r. 2(a));</w:t>
            </w:r>
            <w:r>
              <w:rPr>
                <w:snapToGrid w:val="0"/>
              </w:rPr>
              <w:br/>
              <w:t xml:space="preserve">Regulations other than r. 1 and 2: 9 Jul 2007 (see r. 2(b) and </w:t>
            </w:r>
            <w:r>
              <w:rPr>
                <w:i/>
                <w:iCs/>
                <w:snapToGrid w:val="0"/>
              </w:rPr>
              <w:t>Gazette</w:t>
            </w:r>
            <w:r>
              <w:rPr>
                <w:snapToGrid w:val="0"/>
              </w:rPr>
              <w:t xml:space="preserve"> 22 Jun 2007 p. 2837)</w:t>
            </w:r>
          </w:p>
        </w:tc>
      </w:tr>
      <w:tr>
        <w:trPr>
          <w:cantSplit/>
        </w:trPr>
        <w:tc>
          <w:tcPr>
            <w:tcW w:w="7088" w:type="dxa"/>
            <w:gridSpan w:val="3"/>
          </w:tcPr>
          <w:p>
            <w:pPr>
              <w:pStyle w:val="nTable"/>
              <w:spacing w:after="40"/>
              <w:rPr>
                <w:snapToGrid w:val="0"/>
              </w:rPr>
            </w:pPr>
            <w:r>
              <w:rPr>
                <w:b/>
              </w:rPr>
              <w:t xml:space="preserve">Reprint 5: The </w:t>
            </w:r>
            <w:r>
              <w:rPr>
                <w:b/>
                <w:i/>
              </w:rPr>
              <w:t xml:space="preserve">Betting Control Regulations 1978 </w:t>
            </w:r>
            <w:r>
              <w:rPr>
                <w:b/>
              </w:rPr>
              <w:t>as at 24 Aug 2007</w:t>
            </w:r>
            <w:r>
              <w:t xml:space="preserve"> (includes amendments listed above)</w:t>
            </w:r>
          </w:p>
        </w:tc>
      </w:tr>
      <w:tr>
        <w:trPr>
          <w:cantSplit/>
        </w:trPr>
        <w:tc>
          <w:tcPr>
            <w:tcW w:w="3119" w:type="dxa"/>
          </w:tcPr>
          <w:p>
            <w:pPr>
              <w:pStyle w:val="nTable"/>
              <w:spacing w:after="40"/>
              <w:ind w:right="113"/>
              <w:rPr>
                <w:i/>
              </w:rPr>
            </w:pPr>
            <w:r>
              <w:rPr>
                <w:i/>
              </w:rPr>
              <w:t>Betting Control Amendment Regulations (No. 3) 2007</w:t>
            </w:r>
          </w:p>
        </w:tc>
        <w:tc>
          <w:tcPr>
            <w:tcW w:w="1276" w:type="dxa"/>
          </w:tcPr>
          <w:p>
            <w:pPr>
              <w:pStyle w:val="nTable"/>
              <w:spacing w:after="40"/>
            </w:pPr>
            <w:r>
              <w:t>18 Sep 2007 p. 4716</w:t>
            </w:r>
            <w:r>
              <w:noBreakHyphen/>
              <w:t>18</w:t>
            </w:r>
          </w:p>
        </w:tc>
        <w:tc>
          <w:tcPr>
            <w:tcW w:w="2693" w:type="dxa"/>
          </w:tcPr>
          <w:p>
            <w:pPr>
              <w:pStyle w:val="nTable"/>
              <w:spacing w:after="40"/>
              <w:rPr>
                <w:snapToGrid w:val="0"/>
              </w:rPr>
            </w:pPr>
            <w:r>
              <w:rPr>
                <w:snapToGrid w:val="0"/>
              </w:rPr>
              <w:t>r. 1 and 2: 18 Sep 2007 (see r. 2(a));</w:t>
            </w:r>
            <w:r>
              <w:rPr>
                <w:snapToGrid w:val="0"/>
              </w:rPr>
              <w:br/>
              <w:t>Regulations other than r. 1 and 2: 19 Sep 2007 (see r. 2(b))</w:t>
            </w:r>
          </w:p>
        </w:tc>
      </w:tr>
      <w:tr>
        <w:trPr>
          <w:cantSplit/>
        </w:trPr>
        <w:tc>
          <w:tcPr>
            <w:tcW w:w="3119" w:type="dxa"/>
          </w:tcPr>
          <w:p>
            <w:pPr>
              <w:pStyle w:val="nTable"/>
              <w:spacing w:after="40"/>
              <w:ind w:right="113"/>
              <w:rPr>
                <w:iCs/>
              </w:rPr>
            </w:pPr>
            <w:r>
              <w:rPr>
                <w:i/>
              </w:rPr>
              <w:t>Betting Control Amendment Regulations (No. 4) 2007</w:t>
            </w:r>
            <w:r>
              <w:rPr>
                <w:iCs/>
              </w:rPr>
              <w:t xml:space="preserve"> </w:t>
            </w:r>
          </w:p>
        </w:tc>
        <w:tc>
          <w:tcPr>
            <w:tcW w:w="1276" w:type="dxa"/>
          </w:tcPr>
          <w:p>
            <w:pPr>
              <w:pStyle w:val="nTable"/>
              <w:spacing w:after="40"/>
            </w:pPr>
            <w:r>
              <w:t>9 Oct 2007 p. 5348-50</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ind w:right="113"/>
              <w:rPr>
                <w:i/>
              </w:rPr>
            </w:pPr>
            <w:r>
              <w:rPr>
                <w:i/>
              </w:rPr>
              <w:t xml:space="preserve">Betting Control Amendment Regulations 2008 </w:t>
            </w:r>
          </w:p>
        </w:tc>
        <w:tc>
          <w:tcPr>
            <w:tcW w:w="1276" w:type="dxa"/>
          </w:tcPr>
          <w:p>
            <w:pPr>
              <w:pStyle w:val="nTable"/>
              <w:spacing w:after="40"/>
            </w:pPr>
            <w:r>
              <w:t>28 Oct 2008 p. 4732</w:t>
            </w:r>
            <w:r>
              <w:noBreakHyphen/>
              <w:t>3</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ind w:right="113"/>
              <w:rPr>
                <w:i/>
              </w:rPr>
            </w:pPr>
            <w:r>
              <w:rPr>
                <w:i/>
              </w:rPr>
              <w:t>Betting Control Amendment Regulations (No. 3) 2009</w:t>
            </w:r>
          </w:p>
        </w:tc>
        <w:tc>
          <w:tcPr>
            <w:tcW w:w="1276" w:type="dxa"/>
          </w:tcPr>
          <w:p>
            <w:pPr>
              <w:pStyle w:val="nTable"/>
              <w:spacing w:after="40"/>
            </w:pPr>
            <w:r>
              <w:t>25 Sep 2009 p. 3751-2</w:t>
            </w:r>
          </w:p>
        </w:tc>
        <w:tc>
          <w:tcPr>
            <w:tcW w:w="2693" w:type="dxa"/>
          </w:tcPr>
          <w:p>
            <w:pPr>
              <w:pStyle w:val="nTable"/>
              <w:spacing w:after="40"/>
              <w:rPr>
                <w:snapToGrid w:val="0"/>
              </w:rPr>
            </w:pPr>
            <w:r>
              <w:rPr>
                <w:snapToGrid w:val="0"/>
              </w:rPr>
              <w:t>r. 1 and 2: 25 Sep 2009 (see r. 2(a));</w:t>
            </w:r>
            <w:r>
              <w:rPr>
                <w:snapToGrid w:val="0"/>
              </w:rPr>
              <w:br/>
              <w:t>Regulations other than r. 1 and 2: 26 Sep 2009 (see r. 2(b))</w:t>
            </w:r>
          </w:p>
        </w:tc>
      </w:tr>
      <w:tr>
        <w:trPr>
          <w:cantSplit/>
        </w:trPr>
        <w:tc>
          <w:tcPr>
            <w:tcW w:w="3119" w:type="dxa"/>
          </w:tcPr>
          <w:p>
            <w:pPr>
              <w:pStyle w:val="nTable"/>
              <w:spacing w:after="40"/>
              <w:ind w:right="113"/>
              <w:rPr>
                <w:i/>
              </w:rPr>
            </w:pPr>
            <w:r>
              <w:rPr>
                <w:i/>
              </w:rPr>
              <w:t>Betting Control Amendment Regulations (No. 4) 2009</w:t>
            </w:r>
          </w:p>
        </w:tc>
        <w:tc>
          <w:tcPr>
            <w:tcW w:w="1276" w:type="dxa"/>
          </w:tcPr>
          <w:p>
            <w:pPr>
              <w:pStyle w:val="nTable"/>
              <w:spacing w:after="40"/>
            </w:pPr>
            <w:r>
              <w:t>30 Oct 2009 p. 4312-13</w:t>
            </w:r>
          </w:p>
        </w:tc>
        <w:tc>
          <w:tcPr>
            <w:tcW w:w="2693" w:type="dxa"/>
          </w:tcPr>
          <w:p>
            <w:pPr>
              <w:pStyle w:val="nTable"/>
              <w:spacing w:after="40"/>
              <w:rPr>
                <w:snapToGrid w:val="0"/>
              </w:rPr>
            </w:pPr>
            <w:r>
              <w:rPr>
                <w:snapToGrid w:val="0"/>
              </w:rPr>
              <w:t>r. 1 and 2: 30 Oct 2009 (see r. 2(a));</w:t>
            </w:r>
            <w:r>
              <w:rPr>
                <w:snapToGrid w:val="0"/>
              </w:rPr>
              <w:br/>
              <w:t>Regulations other than r. 1 and 2: 1 Jan 2010 (see r. 2(b))</w:t>
            </w:r>
          </w:p>
        </w:tc>
      </w:tr>
      <w:tr>
        <w:trPr>
          <w:cantSplit/>
        </w:trPr>
        <w:tc>
          <w:tcPr>
            <w:tcW w:w="3119" w:type="dxa"/>
          </w:tcPr>
          <w:p>
            <w:pPr>
              <w:pStyle w:val="nTable"/>
              <w:spacing w:after="40"/>
              <w:ind w:right="113"/>
              <w:rPr>
                <w:i/>
              </w:rPr>
            </w:pPr>
            <w:r>
              <w:rPr>
                <w:i/>
              </w:rPr>
              <w:t>Betting Control Amendment Regulations (No. 5) 2009</w:t>
            </w:r>
          </w:p>
        </w:tc>
        <w:tc>
          <w:tcPr>
            <w:tcW w:w="1276" w:type="dxa"/>
          </w:tcPr>
          <w:p>
            <w:pPr>
              <w:pStyle w:val="nTable"/>
              <w:spacing w:after="40"/>
            </w:pPr>
            <w:r>
              <w:t>8 Jan 2010 p. 19-27</w:t>
            </w:r>
          </w:p>
        </w:tc>
        <w:tc>
          <w:tcPr>
            <w:tcW w:w="2693" w:type="dxa"/>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9-10)</w:t>
            </w:r>
          </w:p>
        </w:tc>
      </w:tr>
      <w:tr>
        <w:trPr>
          <w:cantSplit/>
        </w:trPr>
        <w:tc>
          <w:tcPr>
            <w:tcW w:w="7088" w:type="dxa"/>
            <w:gridSpan w:val="3"/>
          </w:tcPr>
          <w:p>
            <w:pPr>
              <w:pStyle w:val="nTable"/>
              <w:spacing w:after="40"/>
              <w:rPr>
                <w:snapToGrid w:val="0"/>
                <w:spacing w:val="-2"/>
              </w:rPr>
            </w:pPr>
            <w:r>
              <w:rPr>
                <w:b/>
              </w:rPr>
              <w:t xml:space="preserve">Reprint 6: The </w:t>
            </w:r>
            <w:r>
              <w:rPr>
                <w:b/>
                <w:i/>
              </w:rPr>
              <w:t xml:space="preserve">Betting Control Regulations 1978 </w:t>
            </w:r>
            <w:r>
              <w:rPr>
                <w:b/>
              </w:rPr>
              <w:t>as at 9 Apr 2010</w:t>
            </w:r>
            <w:r>
              <w:t xml:space="preserve"> (includes amendments listed above)</w:t>
            </w:r>
          </w:p>
        </w:tc>
      </w:tr>
      <w:tr>
        <w:trPr>
          <w:cantSplit/>
        </w:trPr>
        <w:tc>
          <w:tcPr>
            <w:tcW w:w="3119" w:type="dxa"/>
          </w:tcPr>
          <w:p>
            <w:pPr>
              <w:pStyle w:val="nTable"/>
              <w:spacing w:after="40"/>
              <w:ind w:right="113"/>
              <w:rPr>
                <w:vertAlign w:val="superscript"/>
              </w:rPr>
            </w:pPr>
            <w:r>
              <w:rPr>
                <w:i/>
              </w:rPr>
              <w:t>Betting Control Amendment Regulations (No. 3) 2010</w:t>
            </w:r>
            <w:r>
              <w:rPr>
                <w:iCs/>
              </w:rPr>
              <w:t xml:space="preserve"> </w:t>
            </w:r>
          </w:p>
        </w:tc>
        <w:tc>
          <w:tcPr>
            <w:tcW w:w="1276" w:type="dxa"/>
          </w:tcPr>
          <w:p>
            <w:pPr>
              <w:pStyle w:val="nTable"/>
              <w:spacing w:after="40"/>
            </w:pPr>
            <w:r>
              <w:t>19 Nov 2010 p. 5739</w:t>
            </w:r>
            <w:r>
              <w:noBreakHyphen/>
              <w:t>40</w:t>
            </w:r>
          </w:p>
        </w:tc>
        <w:tc>
          <w:tcPr>
            <w:tcW w:w="2693" w:type="dxa"/>
          </w:tcPr>
          <w:p>
            <w:pPr>
              <w:pStyle w:val="nTable"/>
              <w:spacing w:after="40"/>
            </w:pPr>
            <w:r>
              <w:rPr>
                <w:snapToGrid w:val="0"/>
              </w:rPr>
              <w:t>r. 1 and 2: 19 Nov 2010 (see r. 2(a));</w:t>
            </w:r>
            <w:r>
              <w:rPr>
                <w:snapToGrid w:val="0"/>
              </w:rPr>
              <w:br/>
              <w:t xml:space="preserve">Regulations other than r. 1 and 2: </w:t>
            </w:r>
            <w:r>
              <w:t>1 Jan 2011 (see r. 2(b))</w:t>
            </w:r>
          </w:p>
        </w:tc>
      </w:tr>
      <w:tr>
        <w:trPr>
          <w:cantSplit/>
        </w:trPr>
        <w:tc>
          <w:tcPr>
            <w:tcW w:w="3119" w:type="dxa"/>
          </w:tcPr>
          <w:p>
            <w:pPr>
              <w:pStyle w:val="nTable"/>
              <w:spacing w:after="40"/>
              <w:ind w:right="113"/>
              <w:rPr>
                <w:i/>
              </w:rPr>
            </w:pPr>
            <w:r>
              <w:rPr>
                <w:i/>
              </w:rPr>
              <w:t>Betting Control Amendment Regulations 2011</w:t>
            </w:r>
            <w:r>
              <w:t xml:space="preserve"> </w:t>
            </w:r>
          </w:p>
        </w:tc>
        <w:tc>
          <w:tcPr>
            <w:tcW w:w="1276" w:type="dxa"/>
          </w:tcPr>
          <w:p>
            <w:pPr>
              <w:pStyle w:val="nTable"/>
              <w:spacing w:after="40"/>
            </w:pPr>
            <w:r>
              <w:t>4 Nov 2011 p. 4635-6</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cantSplit/>
        </w:trPr>
        <w:tc>
          <w:tcPr>
            <w:tcW w:w="3119" w:type="dxa"/>
          </w:tcPr>
          <w:p>
            <w:pPr>
              <w:pStyle w:val="nTable"/>
              <w:spacing w:after="40"/>
              <w:ind w:right="113"/>
              <w:rPr>
                <w:i/>
              </w:rPr>
            </w:pPr>
            <w:r>
              <w:rPr>
                <w:i/>
              </w:rPr>
              <w:t>Betting Control Amendment Regulations (No. 2) 2012</w:t>
            </w:r>
          </w:p>
        </w:tc>
        <w:tc>
          <w:tcPr>
            <w:tcW w:w="1276" w:type="dxa"/>
          </w:tcPr>
          <w:p>
            <w:pPr>
              <w:pStyle w:val="nTable"/>
              <w:spacing w:after="40"/>
            </w:pPr>
            <w:r>
              <w:t>16 Nov 2012 p. 5646-7</w:t>
            </w:r>
          </w:p>
        </w:tc>
        <w:tc>
          <w:tcPr>
            <w:tcW w:w="2693" w:type="dxa"/>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tcPr>
          <w:p>
            <w:pPr>
              <w:pStyle w:val="nTable"/>
              <w:spacing w:after="40"/>
              <w:ind w:right="113"/>
              <w:rPr>
                <w:i/>
              </w:rPr>
            </w:pPr>
            <w:r>
              <w:rPr>
                <w:i/>
              </w:rPr>
              <w:t>Betting Control Amendment Regulations 2012</w:t>
            </w:r>
          </w:p>
        </w:tc>
        <w:tc>
          <w:tcPr>
            <w:tcW w:w="1276" w:type="dxa"/>
          </w:tcPr>
          <w:p>
            <w:pPr>
              <w:pStyle w:val="nTable"/>
              <w:spacing w:after="40"/>
            </w:pPr>
            <w:r>
              <w:t>4 Jan 2013 p. 11-15</w:t>
            </w:r>
          </w:p>
        </w:tc>
        <w:tc>
          <w:tcPr>
            <w:tcW w:w="2693" w:type="dxa"/>
          </w:tcPr>
          <w:p>
            <w:pPr>
              <w:pStyle w:val="nTable"/>
              <w:spacing w:after="40"/>
              <w:rPr>
                <w:snapToGrid w:val="0"/>
              </w:rPr>
            </w:pPr>
            <w:r>
              <w:rPr>
                <w:snapToGrid w:val="0"/>
              </w:rPr>
              <w:t>r. 1 and 2: 4 Jan 2013 (see r. 2(a));</w:t>
            </w:r>
            <w:r>
              <w:rPr>
                <w:snapToGrid w:val="0"/>
              </w:rPr>
              <w:br/>
              <w:t>Regulations other than r. 1 and 2: 5</w:t>
            </w:r>
            <w:r>
              <w:t> Jan 2013 (see r. 2(b))</w:t>
            </w:r>
          </w:p>
        </w:tc>
      </w:tr>
      <w:tr>
        <w:trPr>
          <w:cantSplit/>
        </w:trPr>
        <w:tc>
          <w:tcPr>
            <w:tcW w:w="3119" w:type="dxa"/>
            <w:shd w:val="clear" w:color="auto" w:fill="auto"/>
          </w:tcPr>
          <w:p>
            <w:pPr>
              <w:pStyle w:val="nTable"/>
              <w:spacing w:after="40"/>
              <w:ind w:right="113"/>
              <w:rPr>
                <w:i/>
              </w:rPr>
            </w:pPr>
            <w:r>
              <w:rPr>
                <w:i/>
              </w:rPr>
              <w:t>Betting Control Amendment Regulations 2013</w:t>
            </w:r>
          </w:p>
        </w:tc>
        <w:tc>
          <w:tcPr>
            <w:tcW w:w="1276" w:type="dxa"/>
            <w:shd w:val="clear" w:color="auto" w:fill="auto"/>
          </w:tcPr>
          <w:p>
            <w:pPr>
              <w:pStyle w:val="nTable"/>
              <w:spacing w:after="40"/>
            </w:pPr>
            <w:r>
              <w:t>14 Jun 2013 p. 2240-3</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15</w:t>
            </w:r>
            <w:r>
              <w:t> Jun 2013 (see r. 2(b))</w:t>
            </w:r>
          </w:p>
        </w:tc>
      </w:tr>
      <w:tr>
        <w:trPr>
          <w:cantSplit/>
        </w:trPr>
        <w:tc>
          <w:tcPr>
            <w:tcW w:w="7088" w:type="dxa"/>
            <w:gridSpan w:val="3"/>
            <w:shd w:val="clear" w:color="auto" w:fill="auto"/>
          </w:tcPr>
          <w:p>
            <w:pPr>
              <w:pStyle w:val="nTable"/>
              <w:spacing w:after="40"/>
              <w:rPr>
                <w:snapToGrid w:val="0"/>
              </w:rPr>
            </w:pPr>
            <w:r>
              <w:rPr>
                <w:b/>
              </w:rPr>
              <w:t xml:space="preserve">Reprint 7: The </w:t>
            </w:r>
            <w:r>
              <w:rPr>
                <w:b/>
                <w:i/>
              </w:rPr>
              <w:t xml:space="preserve">Betting Control Regulations 1978 </w:t>
            </w:r>
            <w:r>
              <w:rPr>
                <w:b/>
              </w:rPr>
              <w:t>as at 23 Aug 2013</w:t>
            </w:r>
            <w:r>
              <w:t xml:space="preserve"> (includes amendments listed above)</w:t>
            </w:r>
          </w:p>
        </w:tc>
      </w:tr>
      <w:tr>
        <w:trPr>
          <w:cantSplit/>
        </w:trPr>
        <w:tc>
          <w:tcPr>
            <w:tcW w:w="3119" w:type="dxa"/>
            <w:shd w:val="clear" w:color="auto" w:fill="auto"/>
          </w:tcPr>
          <w:p>
            <w:pPr>
              <w:pStyle w:val="nTable"/>
              <w:spacing w:after="40"/>
              <w:ind w:right="113"/>
              <w:rPr>
                <w:i/>
              </w:rPr>
            </w:pPr>
            <w:r>
              <w:rPr>
                <w:i/>
              </w:rPr>
              <w:t>Betting Control Amendment Regulations (No. 3) 2013</w:t>
            </w:r>
          </w:p>
        </w:tc>
        <w:tc>
          <w:tcPr>
            <w:tcW w:w="1276" w:type="dxa"/>
            <w:shd w:val="clear" w:color="auto" w:fill="auto"/>
          </w:tcPr>
          <w:p>
            <w:pPr>
              <w:pStyle w:val="nTable"/>
              <w:spacing w:after="40"/>
            </w:pPr>
            <w:r>
              <w:t>8 Nov 2013 p. 4972</w:t>
            </w:r>
            <w:r>
              <w:noBreakHyphen/>
              <w:t>3</w:t>
            </w:r>
          </w:p>
        </w:tc>
        <w:tc>
          <w:tcPr>
            <w:tcW w:w="2693" w:type="dxa"/>
            <w:shd w:val="clear" w:color="auto" w:fill="auto"/>
          </w:tcPr>
          <w:p>
            <w:pPr>
              <w:pStyle w:val="nTable"/>
              <w:spacing w:after="40"/>
              <w:rPr>
                <w:b/>
                <w:bCs/>
                <w:snapToGrid w:val="0"/>
              </w:rPr>
            </w:pPr>
            <w:r>
              <w:rPr>
                <w:bCs/>
                <w:snapToGrid w:val="0"/>
              </w:rPr>
              <w:t>r. 1 and 2: 8 Nov 2013 (see r. 2(a));</w:t>
            </w:r>
            <w:r>
              <w:rPr>
                <w:bCs/>
                <w:snapToGrid w:val="0"/>
              </w:rPr>
              <w:br/>
              <w:t xml:space="preserve">Regulations other than r. 1 and 2: </w:t>
            </w:r>
            <w:r>
              <w:rPr>
                <w:snapToGrid w:val="0"/>
              </w:rPr>
              <w:t>1 Jan 2014 (see. r. 2(b))</w:t>
            </w:r>
          </w:p>
        </w:tc>
      </w:tr>
      <w:tr>
        <w:trPr>
          <w:cantSplit/>
        </w:trPr>
        <w:tc>
          <w:tcPr>
            <w:tcW w:w="3119" w:type="dxa"/>
            <w:shd w:val="clear" w:color="auto" w:fill="auto"/>
          </w:tcPr>
          <w:p>
            <w:pPr>
              <w:pStyle w:val="nTable"/>
              <w:spacing w:after="40"/>
              <w:ind w:right="113"/>
              <w:rPr>
                <w:i/>
              </w:rPr>
            </w:pPr>
            <w:r>
              <w:rPr>
                <w:i/>
              </w:rPr>
              <w:t>Betting Control Amendment Regulations (No. 2) 2013</w:t>
            </w:r>
          </w:p>
        </w:tc>
        <w:tc>
          <w:tcPr>
            <w:tcW w:w="1276" w:type="dxa"/>
            <w:shd w:val="clear" w:color="auto" w:fill="auto"/>
          </w:tcPr>
          <w:p>
            <w:pPr>
              <w:pStyle w:val="nTable"/>
              <w:spacing w:after="40"/>
            </w:pPr>
            <w:r>
              <w:t>29 Nov 2013 p. 5467</w:t>
            </w:r>
          </w:p>
        </w:tc>
        <w:tc>
          <w:tcPr>
            <w:tcW w:w="2693" w:type="dxa"/>
            <w:shd w:val="clear" w:color="auto" w:fill="auto"/>
          </w:tcPr>
          <w:p>
            <w:pPr>
              <w:pStyle w:val="nTable"/>
              <w:spacing w:after="40"/>
              <w:rPr>
                <w:bCs/>
                <w:snapToGrid w:val="0"/>
              </w:rPr>
            </w:pPr>
            <w:r>
              <w:rPr>
                <w:bCs/>
                <w:snapToGrid w:val="0"/>
              </w:rPr>
              <w:t>r. 1 and 2: 29 Nov 2013 (see r. 2(a));</w:t>
            </w:r>
            <w:r>
              <w:rPr>
                <w:bCs/>
                <w:snapToGrid w:val="0"/>
              </w:rPr>
              <w:br/>
              <w:t>Regulations other than r. 1 and 2: 30 Nov 2013 (see r. 2(b))</w:t>
            </w:r>
          </w:p>
        </w:tc>
      </w:tr>
      <w:tr>
        <w:trPr>
          <w:cantSplit/>
        </w:trPr>
        <w:tc>
          <w:tcPr>
            <w:tcW w:w="3119" w:type="dxa"/>
            <w:shd w:val="clear" w:color="auto" w:fill="auto"/>
          </w:tcPr>
          <w:p>
            <w:pPr>
              <w:pStyle w:val="nTable"/>
              <w:spacing w:after="40"/>
              <w:ind w:right="113"/>
              <w:rPr>
                <w:i/>
              </w:rPr>
            </w:pPr>
            <w:r>
              <w:rPr>
                <w:i/>
              </w:rPr>
              <w:t xml:space="preserve">Betting Control Amendment Regulations (No. 2) 2014 </w:t>
            </w:r>
          </w:p>
        </w:tc>
        <w:tc>
          <w:tcPr>
            <w:tcW w:w="1276" w:type="dxa"/>
            <w:shd w:val="clear" w:color="auto" w:fill="auto"/>
          </w:tcPr>
          <w:p>
            <w:pPr>
              <w:pStyle w:val="nTable"/>
              <w:spacing w:after="40"/>
            </w:pPr>
            <w:r>
              <w:t>14 Nov 2014 p. 4279</w:t>
            </w:r>
            <w:r>
              <w:noBreakHyphen/>
              <w:t>80</w:t>
            </w:r>
          </w:p>
        </w:tc>
        <w:tc>
          <w:tcPr>
            <w:tcW w:w="2693" w:type="dxa"/>
            <w:shd w:val="clear" w:color="auto" w:fill="auto"/>
          </w:tcPr>
          <w:p>
            <w:pPr>
              <w:pStyle w:val="nTable"/>
              <w:spacing w:after="40"/>
              <w:rPr>
                <w:bCs/>
                <w:snapToGrid w:val="0"/>
              </w:rPr>
            </w:pPr>
            <w:r>
              <w:t xml:space="preserve"> </w:t>
            </w:r>
            <w:r>
              <w:rPr>
                <w:bCs/>
                <w:snapToGrid w:val="0"/>
                <w:spacing w:val="-2"/>
              </w:rPr>
              <w:t>r. 1 and 2: 14 Nov 2014 (see r. 2(a));</w:t>
            </w:r>
            <w:r>
              <w:rPr>
                <w:bCs/>
                <w:snapToGrid w:val="0"/>
                <w:spacing w:val="-2"/>
              </w:rPr>
              <w:br/>
              <w:t xml:space="preserve">Regulations other than r. 1 and 2: </w:t>
            </w:r>
            <w:r>
              <w:t>1 Jan 2015 (see r. 2(b))</w:t>
            </w:r>
          </w:p>
        </w:tc>
      </w:tr>
    </w:tbl>
    <w:p>
      <w:pPr>
        <w:pStyle w:val="nSubsection"/>
        <w:spacing w:before="360"/>
        <w:rPr>
          <w:del w:id="407" w:author="Master Repository Process" w:date="2021-07-31T11:46:00Z"/>
        </w:rPr>
      </w:pPr>
      <w:del w:id="408" w:author="Master Repository Process" w:date="2021-07-31T11:46: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09" w:author="Master Repository Process" w:date="2021-07-31T11:46:00Z"/>
        </w:rPr>
      </w:pPr>
      <w:del w:id="410" w:author="Master Repository Process" w:date="2021-07-31T11:46:00Z">
        <w:r>
          <w:delText>Provisions that have not come into operation</w:delText>
        </w:r>
      </w:del>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411" w:author="Master Repository Process" w:date="2021-07-31T11:46:00Z"/>
        </w:trPr>
        <w:tc>
          <w:tcPr>
            <w:tcW w:w="3119" w:type="dxa"/>
            <w:tcBorders>
              <w:top w:val="single" w:sz="8" w:space="0" w:color="auto"/>
              <w:bottom w:val="single" w:sz="8" w:space="0" w:color="auto"/>
            </w:tcBorders>
          </w:tcPr>
          <w:p>
            <w:pPr>
              <w:pStyle w:val="nTable"/>
              <w:spacing w:after="40"/>
              <w:ind w:right="113"/>
              <w:rPr>
                <w:del w:id="412" w:author="Master Repository Process" w:date="2021-07-31T11:46:00Z"/>
                <w:b/>
              </w:rPr>
            </w:pPr>
            <w:del w:id="413" w:author="Master Repository Process" w:date="2021-07-31T11:46:00Z">
              <w:r>
                <w:rPr>
                  <w:b/>
                </w:rPr>
                <w:delText>Citation</w:delText>
              </w:r>
            </w:del>
          </w:p>
        </w:tc>
        <w:tc>
          <w:tcPr>
            <w:tcW w:w="1276" w:type="dxa"/>
            <w:tcBorders>
              <w:top w:val="single" w:sz="8" w:space="0" w:color="auto"/>
              <w:bottom w:val="single" w:sz="8" w:space="0" w:color="auto"/>
            </w:tcBorders>
          </w:tcPr>
          <w:p>
            <w:pPr>
              <w:pStyle w:val="nTable"/>
              <w:spacing w:after="40"/>
              <w:rPr>
                <w:del w:id="414" w:author="Master Repository Process" w:date="2021-07-31T11:46:00Z"/>
                <w:b/>
              </w:rPr>
            </w:pPr>
            <w:del w:id="415" w:author="Master Repository Process" w:date="2021-07-31T11:46:00Z">
              <w:r>
                <w:rPr>
                  <w:b/>
                </w:rPr>
                <w:delText>Gazettal</w:delText>
              </w:r>
            </w:del>
          </w:p>
        </w:tc>
        <w:tc>
          <w:tcPr>
            <w:tcW w:w="2693" w:type="dxa"/>
            <w:tcBorders>
              <w:top w:val="single" w:sz="8" w:space="0" w:color="auto"/>
              <w:bottom w:val="single" w:sz="8" w:space="0" w:color="auto"/>
            </w:tcBorders>
          </w:tcPr>
          <w:p>
            <w:pPr>
              <w:pStyle w:val="nTable"/>
              <w:spacing w:after="40"/>
              <w:rPr>
                <w:del w:id="416" w:author="Master Repository Process" w:date="2021-07-31T11:46:00Z"/>
                <w:b/>
              </w:rPr>
            </w:pPr>
            <w:del w:id="417" w:author="Master Repository Process" w:date="2021-07-31T11:46:00Z">
              <w:r>
                <w:rPr>
                  <w:b/>
                </w:rPr>
                <w:delText>Commencement</w:delText>
              </w:r>
            </w:del>
          </w:p>
        </w:tc>
      </w:tr>
      <w:tr>
        <w:trPr>
          <w:cantSplit/>
        </w:trPr>
        <w:tc>
          <w:tcPr>
            <w:tcW w:w="3119" w:type="dxa"/>
            <w:tcBorders>
              <w:bottom w:val="single" w:sz="4" w:space="0" w:color="auto"/>
            </w:tcBorders>
            <w:shd w:val="clear" w:color="auto" w:fill="auto"/>
          </w:tcPr>
          <w:p>
            <w:pPr>
              <w:pStyle w:val="nTable"/>
              <w:spacing w:after="40"/>
              <w:ind w:right="113"/>
              <w:rPr>
                <w:i/>
              </w:rPr>
            </w:pPr>
            <w:r>
              <w:rPr>
                <w:i/>
              </w:rPr>
              <w:t xml:space="preserve">Racing, Gaming and Liquor Regulations Amendment (Fees and Charges) Regulations 2015 </w:t>
            </w:r>
            <w:r>
              <w:t>Pt. 2</w:t>
            </w:r>
            <w:del w:id="418" w:author="Master Repository Process" w:date="2021-07-31T11:46:00Z">
              <w:r>
                <w:delText> </w:delText>
              </w:r>
              <w:r>
                <w:rPr>
                  <w:vertAlign w:val="superscript"/>
                </w:rPr>
                <w:delText>3</w:delText>
              </w:r>
            </w:del>
          </w:p>
        </w:tc>
        <w:tc>
          <w:tcPr>
            <w:tcW w:w="1276" w:type="dxa"/>
            <w:tcBorders>
              <w:bottom w:val="single" w:sz="4" w:space="0" w:color="auto"/>
            </w:tcBorders>
            <w:shd w:val="clear" w:color="auto" w:fill="auto"/>
          </w:tcPr>
          <w:p>
            <w:pPr>
              <w:pStyle w:val="nTable"/>
              <w:spacing w:after="40"/>
            </w:pPr>
            <w:r>
              <w:t>6 Nov 2015 p. 4581-8</w:t>
            </w:r>
          </w:p>
        </w:tc>
        <w:tc>
          <w:tcPr>
            <w:tcW w:w="2693" w:type="dxa"/>
            <w:tcBorders>
              <w:bottom w:val="single" w:sz="4" w:space="0" w:color="auto"/>
            </w:tcBorders>
            <w:shd w:val="clear" w:color="auto" w:fill="auto"/>
          </w:tcPr>
          <w:p>
            <w:pPr>
              <w:pStyle w:val="nTable"/>
              <w:spacing w:after="40"/>
            </w:pPr>
            <w:r>
              <w:rPr>
                <w:bCs/>
                <w:snapToGrid w:val="0"/>
              </w:rPr>
              <w:t>1</w:t>
            </w:r>
            <w:del w:id="419" w:author="Master Repository Process" w:date="2021-07-31T11:46:00Z">
              <w:r>
                <w:delText xml:space="preserve"> </w:delText>
              </w:r>
            </w:del>
            <w:ins w:id="420" w:author="Master Repository Process" w:date="2021-07-31T11:46:00Z">
              <w:r>
                <w:rPr>
                  <w:bCs/>
                  <w:snapToGrid w:val="0"/>
                </w:rPr>
                <w:t> </w:t>
              </w:r>
            </w:ins>
            <w:r>
              <w:rPr>
                <w:bCs/>
                <w:snapToGrid w:val="0"/>
              </w:rPr>
              <w:t>Jan</w:t>
            </w:r>
            <w:del w:id="421" w:author="Master Repository Process" w:date="2021-07-31T11:46:00Z">
              <w:r>
                <w:delText xml:space="preserve"> </w:delText>
              </w:r>
            </w:del>
            <w:ins w:id="422" w:author="Master Repository Process" w:date="2021-07-31T11:46:00Z">
              <w:r>
                <w:rPr>
                  <w:bCs/>
                  <w:snapToGrid w:val="0"/>
                </w:rPr>
                <w:t> </w:t>
              </w:r>
            </w:ins>
            <w:r>
              <w:rPr>
                <w:bCs/>
                <w:snapToGrid w:val="0"/>
              </w:rPr>
              <w:t>2016 (see r.</w:t>
            </w:r>
            <w:del w:id="423" w:author="Master Repository Process" w:date="2021-07-31T11:46:00Z">
              <w:r>
                <w:delText xml:space="preserve"> </w:delText>
              </w:r>
            </w:del>
            <w:ins w:id="424" w:author="Master Repository Process" w:date="2021-07-31T11:46:00Z">
              <w:r>
                <w:rPr>
                  <w:bCs/>
                  <w:snapToGrid w:val="0"/>
                </w:rPr>
                <w:t> </w:t>
              </w:r>
            </w:ins>
            <w:r>
              <w:rPr>
                <w:bCs/>
                <w:snapToGrid w:val="0"/>
              </w:rPr>
              <w:t>2(b))</w:t>
            </w:r>
          </w:p>
        </w:tc>
      </w:tr>
    </w:tbl>
    <w:p>
      <w:pPr>
        <w:pStyle w:val="nSubsection"/>
        <w:spacing w:before="200"/>
        <w:rPr>
          <w:snapToGrid w:val="0"/>
        </w:rPr>
      </w:pPr>
      <w:r>
        <w:rPr>
          <w:snapToGrid w:val="0"/>
          <w:vertAlign w:val="superscript"/>
        </w:rPr>
        <w:t>2</w:t>
      </w:r>
      <w:r>
        <w:rPr>
          <w:snapToGrid w:val="0"/>
        </w:rPr>
        <w:tab/>
        <w:t xml:space="preserve">Under the </w:t>
      </w:r>
      <w:r>
        <w:rPr>
          <w:i/>
          <w:iCs/>
          <w:snapToGrid w:val="0"/>
        </w:rPr>
        <w:t>Alteration of</w:t>
      </w:r>
      <w:r>
        <w:rPr>
          <w:i/>
          <w:snapToGrid w:val="0"/>
        </w:rPr>
        <w:t xml:space="preserve"> Statutory Designations Order (No. 2) 1996</w:t>
      </w:r>
      <w:r>
        <w:rPr>
          <w:snapToGrid w:val="0"/>
        </w:rPr>
        <w:t xml:space="preserve"> a reference in any law to the Commissioner of State Taxation is read and construed as a reference to the Commissioner of State Revenue unless the contrary intention appears.</w:t>
      </w:r>
    </w:p>
    <w:p>
      <w:pPr>
        <w:pStyle w:val="nSubsection"/>
        <w:spacing w:before="200"/>
        <w:rPr>
          <w:del w:id="425" w:author="Master Repository Process" w:date="2021-07-31T11:46:00Z"/>
          <w:snapToGrid w:val="0"/>
        </w:rPr>
      </w:pPr>
      <w:del w:id="426" w:author="Master Repository Process" w:date="2021-07-31T11:46:00Z">
        <w:r>
          <w:rPr>
            <w:snapToGrid w:val="0"/>
            <w:vertAlign w:val="superscript"/>
          </w:rPr>
          <w:delText>3</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 xml:space="preserve">Racing, Gaming and Liquor Regulations Amendment (Fees and Charges) Regulations 2015 </w:delText>
        </w:r>
        <w:r>
          <w:delText>Pt. 2</w:delText>
        </w:r>
        <w:r>
          <w:rPr>
            <w:noProof/>
          </w:rPr>
          <w:delText> </w:delText>
        </w:r>
        <w:r>
          <w:rPr>
            <w:snapToGrid w:val="0"/>
          </w:rPr>
          <w:delText>had not come into operation.  It reads as follows:</w:delText>
        </w:r>
      </w:del>
    </w:p>
    <w:p>
      <w:pPr>
        <w:pStyle w:val="BlankOpen"/>
        <w:rPr>
          <w:del w:id="427" w:author="Master Repository Process" w:date="2021-07-31T11:46:00Z"/>
          <w:snapToGrid w:val="0"/>
        </w:rPr>
      </w:pPr>
    </w:p>
    <w:p>
      <w:pPr>
        <w:pStyle w:val="nzHeading2"/>
        <w:rPr>
          <w:del w:id="428" w:author="Master Repository Process" w:date="2021-07-31T11:46:00Z"/>
        </w:rPr>
      </w:pPr>
      <w:del w:id="429" w:author="Master Repository Process" w:date="2021-07-31T11:46:00Z">
        <w:r>
          <w:rPr>
            <w:rStyle w:val="CharPartNo"/>
          </w:rPr>
          <w:delText>Part 2</w:delText>
        </w:r>
        <w:r>
          <w:rPr>
            <w:rStyle w:val="CharDivNo"/>
          </w:rPr>
          <w:delText> </w:delText>
        </w:r>
        <w:r>
          <w:delText>—</w:delText>
        </w:r>
        <w:r>
          <w:rPr>
            <w:rStyle w:val="CharDivText"/>
          </w:rPr>
          <w:delText> </w:delText>
        </w:r>
        <w:r>
          <w:rPr>
            <w:rStyle w:val="CharPartText"/>
            <w:i/>
          </w:rPr>
          <w:delText>Betting Control Regulations 1978</w:delText>
        </w:r>
        <w:r>
          <w:rPr>
            <w:rStyle w:val="CharPartText"/>
          </w:rPr>
          <w:delText xml:space="preserve"> amended</w:delText>
        </w:r>
      </w:del>
    </w:p>
    <w:p>
      <w:pPr>
        <w:pStyle w:val="nzHeading5"/>
        <w:rPr>
          <w:del w:id="430" w:author="Master Repository Process" w:date="2021-07-31T11:46:00Z"/>
          <w:snapToGrid w:val="0"/>
        </w:rPr>
      </w:pPr>
      <w:del w:id="431" w:author="Master Repository Process" w:date="2021-07-31T11:46:00Z">
        <w:r>
          <w:rPr>
            <w:rStyle w:val="CharSectno"/>
          </w:rPr>
          <w:delText>3</w:delText>
        </w:r>
        <w:r>
          <w:rPr>
            <w:snapToGrid w:val="0"/>
          </w:rPr>
          <w:delText>.</w:delText>
        </w:r>
        <w:r>
          <w:rPr>
            <w:snapToGrid w:val="0"/>
          </w:rPr>
          <w:tab/>
          <w:delText>Regulations amended</w:delText>
        </w:r>
      </w:del>
    </w:p>
    <w:p>
      <w:pPr>
        <w:pStyle w:val="nzSubsection"/>
        <w:rPr>
          <w:del w:id="432" w:author="Master Repository Process" w:date="2021-07-31T11:46:00Z"/>
        </w:rPr>
      </w:pPr>
      <w:del w:id="433" w:author="Master Repository Process" w:date="2021-07-31T11:46:00Z">
        <w:r>
          <w:tab/>
        </w:r>
        <w:r>
          <w:tab/>
        </w:r>
        <w:r>
          <w:rPr>
            <w:spacing w:val="-2"/>
          </w:rPr>
          <w:delText>This Part</w:delText>
        </w:r>
        <w:r>
          <w:delText xml:space="preserve"> amends the </w:delText>
        </w:r>
        <w:r>
          <w:rPr>
            <w:i/>
          </w:rPr>
          <w:delText>Betting Control Regulations 1978</w:delText>
        </w:r>
        <w:r>
          <w:delText>.</w:delText>
        </w:r>
      </w:del>
    </w:p>
    <w:p>
      <w:pPr>
        <w:pStyle w:val="nzHeading5"/>
        <w:rPr>
          <w:del w:id="434" w:author="Master Repository Process" w:date="2021-07-31T11:46:00Z"/>
        </w:rPr>
      </w:pPr>
      <w:del w:id="435" w:author="Master Repository Process" w:date="2021-07-31T11:46:00Z">
        <w:r>
          <w:rPr>
            <w:rStyle w:val="CharSectno"/>
          </w:rPr>
          <w:delText>4</w:delText>
        </w:r>
        <w:r>
          <w:delText>.</w:delText>
        </w:r>
        <w:r>
          <w:tab/>
          <w:delText>Various fees amended</w:delText>
        </w:r>
      </w:del>
    </w:p>
    <w:p>
      <w:pPr>
        <w:pStyle w:val="nzSubsection"/>
        <w:rPr>
          <w:del w:id="436" w:author="Master Repository Process" w:date="2021-07-31T11:46:00Z"/>
        </w:rPr>
      </w:pPr>
      <w:del w:id="437" w:author="Master Repository Process" w:date="2021-07-31T11:46:00Z">
        <w:r>
          <w:tab/>
        </w:r>
        <w:r>
          <w:tab/>
          <w:delText>Amend the provisions listed in the Table as set out in the Table.</w:delText>
        </w:r>
      </w:del>
    </w:p>
    <w:p>
      <w:pPr>
        <w:pStyle w:val="THeading"/>
        <w:rPr>
          <w:del w:id="438" w:author="Master Repository Process" w:date="2021-07-31T11:46:00Z"/>
          <w:sz w:val="20"/>
        </w:rPr>
      </w:pPr>
      <w:del w:id="439" w:author="Master Repository Process" w:date="2021-07-31T11:46:00Z">
        <w:r>
          <w:rPr>
            <w:sz w:val="20"/>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del w:id="440" w:author="Master Repository Process" w:date="2021-07-31T11:46:00Z"/>
        </w:trPr>
        <w:tc>
          <w:tcPr>
            <w:tcW w:w="2268" w:type="dxa"/>
          </w:tcPr>
          <w:p>
            <w:pPr>
              <w:pStyle w:val="TableAm"/>
              <w:keepNext/>
              <w:jc w:val="center"/>
              <w:rPr>
                <w:del w:id="441" w:author="Master Repository Process" w:date="2021-07-31T11:46:00Z"/>
                <w:b/>
                <w:bCs/>
                <w:sz w:val="20"/>
              </w:rPr>
            </w:pPr>
            <w:del w:id="442" w:author="Master Repository Process" w:date="2021-07-31T11:46:00Z">
              <w:r>
                <w:rPr>
                  <w:b/>
                  <w:bCs/>
                  <w:sz w:val="20"/>
                </w:rPr>
                <w:delText>Provision</w:delText>
              </w:r>
            </w:del>
          </w:p>
        </w:tc>
        <w:tc>
          <w:tcPr>
            <w:tcW w:w="2268" w:type="dxa"/>
          </w:tcPr>
          <w:p>
            <w:pPr>
              <w:pStyle w:val="TableAm"/>
              <w:keepNext/>
              <w:jc w:val="center"/>
              <w:rPr>
                <w:del w:id="443" w:author="Master Repository Process" w:date="2021-07-31T11:46:00Z"/>
                <w:b/>
                <w:bCs/>
                <w:sz w:val="20"/>
              </w:rPr>
            </w:pPr>
            <w:del w:id="444" w:author="Master Repository Process" w:date="2021-07-31T11:46:00Z">
              <w:r>
                <w:rPr>
                  <w:b/>
                  <w:bCs/>
                  <w:sz w:val="20"/>
                </w:rPr>
                <w:delText>Delete</w:delText>
              </w:r>
            </w:del>
          </w:p>
        </w:tc>
        <w:tc>
          <w:tcPr>
            <w:tcW w:w="2268" w:type="dxa"/>
          </w:tcPr>
          <w:p>
            <w:pPr>
              <w:pStyle w:val="TableAm"/>
              <w:keepNext/>
              <w:jc w:val="center"/>
              <w:rPr>
                <w:del w:id="445" w:author="Master Repository Process" w:date="2021-07-31T11:46:00Z"/>
                <w:b/>
                <w:bCs/>
                <w:sz w:val="20"/>
              </w:rPr>
            </w:pPr>
            <w:del w:id="446" w:author="Master Repository Process" w:date="2021-07-31T11:46:00Z">
              <w:r>
                <w:rPr>
                  <w:b/>
                  <w:bCs/>
                  <w:sz w:val="20"/>
                </w:rPr>
                <w:delText>Insert</w:delText>
              </w:r>
            </w:del>
          </w:p>
        </w:tc>
      </w:tr>
      <w:tr>
        <w:trPr>
          <w:cantSplit/>
          <w:jc w:val="center"/>
          <w:del w:id="447" w:author="Master Repository Process" w:date="2021-07-31T11:46:00Z"/>
        </w:trPr>
        <w:tc>
          <w:tcPr>
            <w:tcW w:w="2268" w:type="dxa"/>
          </w:tcPr>
          <w:p>
            <w:pPr>
              <w:pStyle w:val="TableAm"/>
              <w:rPr>
                <w:del w:id="448" w:author="Master Repository Process" w:date="2021-07-31T11:46:00Z"/>
                <w:sz w:val="20"/>
              </w:rPr>
            </w:pPr>
            <w:del w:id="449" w:author="Master Repository Process" w:date="2021-07-31T11:46:00Z">
              <w:r>
                <w:rPr>
                  <w:sz w:val="20"/>
                </w:rPr>
                <w:delText>r. 17(1)(aa)</w:delText>
              </w:r>
            </w:del>
          </w:p>
        </w:tc>
        <w:tc>
          <w:tcPr>
            <w:tcW w:w="2268" w:type="dxa"/>
          </w:tcPr>
          <w:p>
            <w:pPr>
              <w:pStyle w:val="TableAm"/>
              <w:rPr>
                <w:del w:id="450" w:author="Master Repository Process" w:date="2021-07-31T11:46:00Z"/>
                <w:sz w:val="20"/>
              </w:rPr>
            </w:pPr>
            <w:del w:id="451" w:author="Master Repository Process" w:date="2021-07-31T11:46:00Z">
              <w:r>
                <w:rPr>
                  <w:sz w:val="20"/>
                </w:rPr>
                <w:delText>$47</w:delText>
              </w:r>
            </w:del>
          </w:p>
        </w:tc>
        <w:tc>
          <w:tcPr>
            <w:tcW w:w="2268" w:type="dxa"/>
          </w:tcPr>
          <w:p>
            <w:pPr>
              <w:pStyle w:val="TableAm"/>
              <w:rPr>
                <w:del w:id="452" w:author="Master Repository Process" w:date="2021-07-31T11:46:00Z"/>
                <w:sz w:val="20"/>
              </w:rPr>
            </w:pPr>
            <w:del w:id="453" w:author="Master Repository Process" w:date="2021-07-31T11:46:00Z">
              <w:r>
                <w:rPr>
                  <w:sz w:val="20"/>
                </w:rPr>
                <w:delText>$48</w:delText>
              </w:r>
            </w:del>
          </w:p>
        </w:tc>
      </w:tr>
      <w:tr>
        <w:trPr>
          <w:cantSplit/>
          <w:jc w:val="center"/>
          <w:del w:id="454" w:author="Master Repository Process" w:date="2021-07-31T11:46:00Z"/>
        </w:trPr>
        <w:tc>
          <w:tcPr>
            <w:tcW w:w="2268" w:type="dxa"/>
          </w:tcPr>
          <w:p>
            <w:pPr>
              <w:pStyle w:val="TableAm"/>
              <w:rPr>
                <w:del w:id="455" w:author="Master Repository Process" w:date="2021-07-31T11:46:00Z"/>
                <w:sz w:val="20"/>
              </w:rPr>
            </w:pPr>
            <w:del w:id="456" w:author="Master Repository Process" w:date="2021-07-31T11:46:00Z">
              <w:r>
                <w:rPr>
                  <w:sz w:val="20"/>
                </w:rPr>
                <w:delText>r. 17(1)(ab)</w:delText>
              </w:r>
            </w:del>
          </w:p>
        </w:tc>
        <w:tc>
          <w:tcPr>
            <w:tcW w:w="2268" w:type="dxa"/>
          </w:tcPr>
          <w:p>
            <w:pPr>
              <w:pStyle w:val="TableAm"/>
              <w:rPr>
                <w:del w:id="457" w:author="Master Repository Process" w:date="2021-07-31T11:46:00Z"/>
                <w:sz w:val="20"/>
              </w:rPr>
            </w:pPr>
            <w:del w:id="458" w:author="Master Repository Process" w:date="2021-07-31T11:46:00Z">
              <w:r>
                <w:rPr>
                  <w:sz w:val="20"/>
                </w:rPr>
                <w:delText>$68</w:delText>
              </w:r>
            </w:del>
          </w:p>
        </w:tc>
        <w:tc>
          <w:tcPr>
            <w:tcW w:w="2268" w:type="dxa"/>
          </w:tcPr>
          <w:p>
            <w:pPr>
              <w:pStyle w:val="TableAm"/>
              <w:rPr>
                <w:del w:id="459" w:author="Master Repository Process" w:date="2021-07-31T11:46:00Z"/>
                <w:sz w:val="20"/>
              </w:rPr>
            </w:pPr>
            <w:del w:id="460" w:author="Master Repository Process" w:date="2021-07-31T11:46:00Z">
              <w:r>
                <w:rPr>
                  <w:sz w:val="20"/>
                </w:rPr>
                <w:delText>$69</w:delText>
              </w:r>
            </w:del>
          </w:p>
        </w:tc>
      </w:tr>
      <w:tr>
        <w:trPr>
          <w:cantSplit/>
          <w:jc w:val="center"/>
          <w:del w:id="461" w:author="Master Repository Process" w:date="2021-07-31T11:46:00Z"/>
        </w:trPr>
        <w:tc>
          <w:tcPr>
            <w:tcW w:w="2268" w:type="dxa"/>
          </w:tcPr>
          <w:p>
            <w:pPr>
              <w:pStyle w:val="TableAm"/>
              <w:rPr>
                <w:del w:id="462" w:author="Master Repository Process" w:date="2021-07-31T11:46:00Z"/>
                <w:sz w:val="20"/>
              </w:rPr>
            </w:pPr>
            <w:del w:id="463" w:author="Master Repository Process" w:date="2021-07-31T11:46:00Z">
              <w:r>
                <w:rPr>
                  <w:sz w:val="20"/>
                </w:rPr>
                <w:delText>r. 17(1)(ad)</w:delText>
              </w:r>
            </w:del>
          </w:p>
        </w:tc>
        <w:tc>
          <w:tcPr>
            <w:tcW w:w="2268" w:type="dxa"/>
          </w:tcPr>
          <w:p>
            <w:pPr>
              <w:pStyle w:val="TableAm"/>
              <w:rPr>
                <w:del w:id="464" w:author="Master Repository Process" w:date="2021-07-31T11:46:00Z"/>
                <w:sz w:val="20"/>
              </w:rPr>
            </w:pPr>
            <w:del w:id="465" w:author="Master Repository Process" w:date="2021-07-31T11:46:00Z">
              <w:r>
                <w:rPr>
                  <w:sz w:val="20"/>
                </w:rPr>
                <w:delText>$73</w:delText>
              </w:r>
            </w:del>
          </w:p>
        </w:tc>
        <w:tc>
          <w:tcPr>
            <w:tcW w:w="2268" w:type="dxa"/>
          </w:tcPr>
          <w:p>
            <w:pPr>
              <w:pStyle w:val="TableAm"/>
              <w:rPr>
                <w:del w:id="466" w:author="Master Repository Process" w:date="2021-07-31T11:46:00Z"/>
                <w:sz w:val="20"/>
              </w:rPr>
            </w:pPr>
            <w:del w:id="467" w:author="Master Repository Process" w:date="2021-07-31T11:46:00Z">
              <w:r>
                <w:rPr>
                  <w:sz w:val="20"/>
                </w:rPr>
                <w:delText>$74</w:delText>
              </w:r>
            </w:del>
          </w:p>
        </w:tc>
      </w:tr>
      <w:tr>
        <w:trPr>
          <w:cantSplit/>
          <w:jc w:val="center"/>
          <w:del w:id="468" w:author="Master Repository Process" w:date="2021-07-31T11:46:00Z"/>
        </w:trPr>
        <w:tc>
          <w:tcPr>
            <w:tcW w:w="2268" w:type="dxa"/>
          </w:tcPr>
          <w:p>
            <w:pPr>
              <w:pStyle w:val="TableAm"/>
              <w:rPr>
                <w:del w:id="469" w:author="Master Repository Process" w:date="2021-07-31T11:46:00Z"/>
                <w:sz w:val="20"/>
              </w:rPr>
            </w:pPr>
            <w:del w:id="470" w:author="Master Repository Process" w:date="2021-07-31T11:46:00Z">
              <w:r>
                <w:rPr>
                  <w:sz w:val="20"/>
                </w:rPr>
                <w:delText>r. 17(1)(a)</w:delText>
              </w:r>
            </w:del>
          </w:p>
        </w:tc>
        <w:tc>
          <w:tcPr>
            <w:tcW w:w="2268" w:type="dxa"/>
          </w:tcPr>
          <w:p>
            <w:pPr>
              <w:pStyle w:val="TableAm"/>
              <w:rPr>
                <w:del w:id="471" w:author="Master Repository Process" w:date="2021-07-31T11:46:00Z"/>
                <w:sz w:val="20"/>
              </w:rPr>
            </w:pPr>
            <w:del w:id="472" w:author="Master Repository Process" w:date="2021-07-31T11:46:00Z">
              <w:r>
                <w:rPr>
                  <w:sz w:val="20"/>
                </w:rPr>
                <w:delText>$692</w:delText>
              </w:r>
            </w:del>
          </w:p>
        </w:tc>
        <w:tc>
          <w:tcPr>
            <w:tcW w:w="2268" w:type="dxa"/>
          </w:tcPr>
          <w:p>
            <w:pPr>
              <w:pStyle w:val="TableAm"/>
              <w:rPr>
                <w:del w:id="473" w:author="Master Repository Process" w:date="2021-07-31T11:46:00Z"/>
                <w:sz w:val="20"/>
              </w:rPr>
            </w:pPr>
            <w:del w:id="474" w:author="Master Repository Process" w:date="2021-07-31T11:46:00Z">
              <w:r>
                <w:rPr>
                  <w:sz w:val="20"/>
                </w:rPr>
                <w:delText>$695</w:delText>
              </w:r>
            </w:del>
          </w:p>
        </w:tc>
      </w:tr>
      <w:tr>
        <w:trPr>
          <w:cantSplit/>
          <w:jc w:val="center"/>
          <w:del w:id="475" w:author="Master Repository Process" w:date="2021-07-31T11:46:00Z"/>
        </w:trPr>
        <w:tc>
          <w:tcPr>
            <w:tcW w:w="2268" w:type="dxa"/>
          </w:tcPr>
          <w:p>
            <w:pPr>
              <w:pStyle w:val="TableAm"/>
              <w:rPr>
                <w:del w:id="476" w:author="Master Repository Process" w:date="2021-07-31T11:46:00Z"/>
                <w:sz w:val="20"/>
              </w:rPr>
            </w:pPr>
            <w:del w:id="477" w:author="Master Repository Process" w:date="2021-07-31T11:46:00Z">
              <w:r>
                <w:rPr>
                  <w:sz w:val="20"/>
                </w:rPr>
                <w:delText>r. 17(1)(ba)</w:delText>
              </w:r>
            </w:del>
          </w:p>
        </w:tc>
        <w:tc>
          <w:tcPr>
            <w:tcW w:w="2268" w:type="dxa"/>
          </w:tcPr>
          <w:p>
            <w:pPr>
              <w:pStyle w:val="TableAm"/>
              <w:rPr>
                <w:del w:id="478" w:author="Master Repository Process" w:date="2021-07-31T11:46:00Z"/>
                <w:sz w:val="20"/>
              </w:rPr>
            </w:pPr>
            <w:del w:id="479" w:author="Master Repository Process" w:date="2021-07-31T11:46:00Z">
              <w:r>
                <w:rPr>
                  <w:sz w:val="20"/>
                </w:rPr>
                <w:delText>$166</w:delText>
              </w:r>
            </w:del>
          </w:p>
        </w:tc>
        <w:tc>
          <w:tcPr>
            <w:tcW w:w="2268" w:type="dxa"/>
          </w:tcPr>
          <w:p>
            <w:pPr>
              <w:pStyle w:val="TableAm"/>
              <w:rPr>
                <w:del w:id="480" w:author="Master Repository Process" w:date="2021-07-31T11:46:00Z"/>
                <w:sz w:val="20"/>
              </w:rPr>
            </w:pPr>
            <w:del w:id="481" w:author="Master Repository Process" w:date="2021-07-31T11:46:00Z">
              <w:r>
                <w:rPr>
                  <w:sz w:val="20"/>
                </w:rPr>
                <w:delText>$170</w:delText>
              </w:r>
            </w:del>
          </w:p>
        </w:tc>
      </w:tr>
      <w:tr>
        <w:trPr>
          <w:cantSplit/>
          <w:jc w:val="center"/>
          <w:del w:id="482" w:author="Master Repository Process" w:date="2021-07-31T11:46:00Z"/>
        </w:trPr>
        <w:tc>
          <w:tcPr>
            <w:tcW w:w="2268" w:type="dxa"/>
          </w:tcPr>
          <w:p>
            <w:pPr>
              <w:pStyle w:val="TableAm"/>
              <w:rPr>
                <w:del w:id="483" w:author="Master Repository Process" w:date="2021-07-31T11:46:00Z"/>
                <w:sz w:val="20"/>
              </w:rPr>
            </w:pPr>
            <w:del w:id="484" w:author="Master Repository Process" w:date="2021-07-31T11:46:00Z">
              <w:r>
                <w:rPr>
                  <w:sz w:val="20"/>
                </w:rPr>
                <w:delText>r. 17(1)(bb)</w:delText>
              </w:r>
            </w:del>
          </w:p>
        </w:tc>
        <w:tc>
          <w:tcPr>
            <w:tcW w:w="2268" w:type="dxa"/>
          </w:tcPr>
          <w:p>
            <w:pPr>
              <w:pStyle w:val="TableAm"/>
              <w:rPr>
                <w:del w:id="485" w:author="Master Repository Process" w:date="2021-07-31T11:46:00Z"/>
                <w:sz w:val="20"/>
              </w:rPr>
            </w:pPr>
            <w:del w:id="486" w:author="Master Repository Process" w:date="2021-07-31T11:46:00Z">
              <w:r>
                <w:rPr>
                  <w:sz w:val="20"/>
                </w:rPr>
                <w:delText>$89</w:delText>
              </w:r>
            </w:del>
          </w:p>
        </w:tc>
        <w:tc>
          <w:tcPr>
            <w:tcW w:w="2268" w:type="dxa"/>
          </w:tcPr>
          <w:p>
            <w:pPr>
              <w:pStyle w:val="TableAm"/>
              <w:rPr>
                <w:del w:id="487" w:author="Master Repository Process" w:date="2021-07-31T11:46:00Z"/>
                <w:sz w:val="20"/>
              </w:rPr>
            </w:pPr>
            <w:del w:id="488" w:author="Master Repository Process" w:date="2021-07-31T11:46:00Z">
              <w:r>
                <w:rPr>
                  <w:sz w:val="20"/>
                </w:rPr>
                <w:delText>$91</w:delText>
              </w:r>
            </w:del>
          </w:p>
        </w:tc>
      </w:tr>
      <w:tr>
        <w:trPr>
          <w:cantSplit/>
          <w:jc w:val="center"/>
          <w:del w:id="489" w:author="Master Repository Process" w:date="2021-07-31T11:46:00Z"/>
        </w:trPr>
        <w:tc>
          <w:tcPr>
            <w:tcW w:w="2268" w:type="dxa"/>
          </w:tcPr>
          <w:p>
            <w:pPr>
              <w:pStyle w:val="TableAm"/>
              <w:rPr>
                <w:del w:id="490" w:author="Master Repository Process" w:date="2021-07-31T11:46:00Z"/>
                <w:sz w:val="20"/>
              </w:rPr>
            </w:pPr>
            <w:del w:id="491" w:author="Master Repository Process" w:date="2021-07-31T11:46:00Z">
              <w:r>
                <w:rPr>
                  <w:sz w:val="20"/>
                </w:rPr>
                <w:delText>r. 17(1)(c)</w:delText>
              </w:r>
            </w:del>
          </w:p>
        </w:tc>
        <w:tc>
          <w:tcPr>
            <w:tcW w:w="2268" w:type="dxa"/>
          </w:tcPr>
          <w:p>
            <w:pPr>
              <w:pStyle w:val="TableAm"/>
              <w:rPr>
                <w:del w:id="492" w:author="Master Repository Process" w:date="2021-07-31T11:46:00Z"/>
                <w:sz w:val="20"/>
              </w:rPr>
            </w:pPr>
            <w:del w:id="493" w:author="Master Repository Process" w:date="2021-07-31T11:46:00Z">
              <w:r>
                <w:rPr>
                  <w:sz w:val="20"/>
                </w:rPr>
                <w:delText>$161</w:delText>
              </w:r>
            </w:del>
          </w:p>
        </w:tc>
        <w:tc>
          <w:tcPr>
            <w:tcW w:w="2268" w:type="dxa"/>
          </w:tcPr>
          <w:p>
            <w:pPr>
              <w:pStyle w:val="TableAm"/>
              <w:rPr>
                <w:del w:id="494" w:author="Master Repository Process" w:date="2021-07-31T11:46:00Z"/>
                <w:sz w:val="20"/>
              </w:rPr>
            </w:pPr>
            <w:del w:id="495" w:author="Master Repository Process" w:date="2021-07-31T11:46:00Z">
              <w:r>
                <w:rPr>
                  <w:sz w:val="20"/>
                </w:rPr>
                <w:delText>$165</w:delText>
              </w:r>
            </w:del>
          </w:p>
        </w:tc>
      </w:tr>
      <w:tr>
        <w:trPr>
          <w:cantSplit/>
          <w:jc w:val="center"/>
          <w:del w:id="496" w:author="Master Repository Process" w:date="2021-07-31T11:46:00Z"/>
        </w:trPr>
        <w:tc>
          <w:tcPr>
            <w:tcW w:w="2268" w:type="dxa"/>
          </w:tcPr>
          <w:p>
            <w:pPr>
              <w:pStyle w:val="TableAm"/>
              <w:rPr>
                <w:del w:id="497" w:author="Master Repository Process" w:date="2021-07-31T11:46:00Z"/>
                <w:sz w:val="20"/>
              </w:rPr>
            </w:pPr>
            <w:del w:id="498" w:author="Master Repository Process" w:date="2021-07-31T11:46:00Z">
              <w:r>
                <w:rPr>
                  <w:sz w:val="20"/>
                </w:rPr>
                <w:delText>r. 17(1)(f)</w:delText>
              </w:r>
            </w:del>
          </w:p>
        </w:tc>
        <w:tc>
          <w:tcPr>
            <w:tcW w:w="2268" w:type="dxa"/>
          </w:tcPr>
          <w:p>
            <w:pPr>
              <w:pStyle w:val="TableAm"/>
              <w:rPr>
                <w:del w:id="499" w:author="Master Repository Process" w:date="2021-07-31T11:46:00Z"/>
                <w:sz w:val="20"/>
              </w:rPr>
            </w:pPr>
            <w:del w:id="500" w:author="Master Repository Process" w:date="2021-07-31T11:46:00Z">
              <w:r>
                <w:rPr>
                  <w:sz w:val="20"/>
                </w:rPr>
                <w:delText>$649</w:delText>
              </w:r>
            </w:del>
          </w:p>
        </w:tc>
        <w:tc>
          <w:tcPr>
            <w:tcW w:w="2268" w:type="dxa"/>
          </w:tcPr>
          <w:p>
            <w:pPr>
              <w:pStyle w:val="TableAm"/>
              <w:rPr>
                <w:del w:id="501" w:author="Master Repository Process" w:date="2021-07-31T11:46:00Z"/>
                <w:sz w:val="20"/>
              </w:rPr>
            </w:pPr>
            <w:del w:id="502" w:author="Master Repository Process" w:date="2021-07-31T11:46:00Z">
              <w:r>
                <w:rPr>
                  <w:sz w:val="20"/>
                </w:rPr>
                <w:delText>$665</w:delText>
              </w:r>
            </w:del>
          </w:p>
        </w:tc>
      </w:tr>
      <w:tr>
        <w:trPr>
          <w:cantSplit/>
          <w:jc w:val="center"/>
          <w:del w:id="503" w:author="Master Repository Process" w:date="2021-07-31T11:46:00Z"/>
        </w:trPr>
        <w:tc>
          <w:tcPr>
            <w:tcW w:w="2268" w:type="dxa"/>
          </w:tcPr>
          <w:p>
            <w:pPr>
              <w:pStyle w:val="TableAm"/>
              <w:rPr>
                <w:del w:id="504" w:author="Master Repository Process" w:date="2021-07-31T11:46:00Z"/>
                <w:sz w:val="20"/>
              </w:rPr>
            </w:pPr>
            <w:del w:id="505" w:author="Master Repository Process" w:date="2021-07-31T11:46:00Z">
              <w:r>
                <w:rPr>
                  <w:sz w:val="20"/>
                </w:rPr>
                <w:delText>r. 17(2)</w:delText>
              </w:r>
            </w:del>
          </w:p>
        </w:tc>
        <w:tc>
          <w:tcPr>
            <w:tcW w:w="2268" w:type="dxa"/>
          </w:tcPr>
          <w:p>
            <w:pPr>
              <w:pStyle w:val="TableAm"/>
              <w:rPr>
                <w:del w:id="506" w:author="Master Repository Process" w:date="2021-07-31T11:46:00Z"/>
                <w:sz w:val="20"/>
              </w:rPr>
            </w:pPr>
            <w:del w:id="507" w:author="Master Repository Process" w:date="2021-07-31T11:46:00Z">
              <w:r>
                <w:rPr>
                  <w:sz w:val="20"/>
                </w:rPr>
                <w:delText>$106</w:delText>
              </w:r>
            </w:del>
          </w:p>
        </w:tc>
        <w:tc>
          <w:tcPr>
            <w:tcW w:w="2268" w:type="dxa"/>
          </w:tcPr>
          <w:p>
            <w:pPr>
              <w:pStyle w:val="TableAm"/>
              <w:rPr>
                <w:del w:id="508" w:author="Master Repository Process" w:date="2021-07-31T11:46:00Z"/>
                <w:sz w:val="20"/>
              </w:rPr>
            </w:pPr>
            <w:del w:id="509" w:author="Master Repository Process" w:date="2021-07-31T11:46:00Z">
              <w:r>
                <w:rPr>
                  <w:sz w:val="20"/>
                </w:rPr>
                <w:delText>$108</w:delText>
              </w:r>
            </w:del>
          </w:p>
        </w:tc>
      </w:tr>
      <w:tr>
        <w:trPr>
          <w:cantSplit/>
          <w:jc w:val="center"/>
          <w:del w:id="510" w:author="Master Repository Process" w:date="2021-07-31T11:46:00Z"/>
        </w:trPr>
        <w:tc>
          <w:tcPr>
            <w:tcW w:w="2268" w:type="dxa"/>
          </w:tcPr>
          <w:p>
            <w:pPr>
              <w:pStyle w:val="TableAm"/>
              <w:rPr>
                <w:del w:id="511" w:author="Master Repository Process" w:date="2021-07-31T11:46:00Z"/>
                <w:sz w:val="20"/>
              </w:rPr>
            </w:pPr>
            <w:del w:id="512" w:author="Master Repository Process" w:date="2021-07-31T11:46:00Z">
              <w:r>
                <w:rPr>
                  <w:sz w:val="20"/>
                </w:rPr>
                <w:delText>r. 17(3)</w:delText>
              </w:r>
            </w:del>
          </w:p>
        </w:tc>
        <w:tc>
          <w:tcPr>
            <w:tcW w:w="2268" w:type="dxa"/>
          </w:tcPr>
          <w:p>
            <w:pPr>
              <w:pStyle w:val="TableAm"/>
              <w:rPr>
                <w:del w:id="513" w:author="Master Repository Process" w:date="2021-07-31T11:46:00Z"/>
                <w:sz w:val="20"/>
              </w:rPr>
            </w:pPr>
            <w:del w:id="514" w:author="Master Repository Process" w:date="2021-07-31T11:46:00Z">
              <w:r>
                <w:rPr>
                  <w:sz w:val="20"/>
                </w:rPr>
                <w:delText>$106</w:delText>
              </w:r>
            </w:del>
          </w:p>
        </w:tc>
        <w:tc>
          <w:tcPr>
            <w:tcW w:w="2268" w:type="dxa"/>
          </w:tcPr>
          <w:p>
            <w:pPr>
              <w:pStyle w:val="TableAm"/>
              <w:rPr>
                <w:del w:id="515" w:author="Master Repository Process" w:date="2021-07-31T11:46:00Z"/>
                <w:sz w:val="20"/>
              </w:rPr>
            </w:pPr>
            <w:del w:id="516" w:author="Master Repository Process" w:date="2021-07-31T11:46:00Z">
              <w:r>
                <w:rPr>
                  <w:sz w:val="20"/>
                </w:rPr>
                <w:delText>$108</w:delText>
              </w:r>
            </w:del>
          </w:p>
        </w:tc>
      </w:tr>
      <w:tr>
        <w:trPr>
          <w:cantSplit/>
          <w:jc w:val="center"/>
          <w:del w:id="517" w:author="Master Repository Process" w:date="2021-07-31T11:46:00Z"/>
        </w:trPr>
        <w:tc>
          <w:tcPr>
            <w:tcW w:w="2268" w:type="dxa"/>
          </w:tcPr>
          <w:p>
            <w:pPr>
              <w:pStyle w:val="TableAm"/>
              <w:rPr>
                <w:del w:id="518" w:author="Master Repository Process" w:date="2021-07-31T11:46:00Z"/>
                <w:sz w:val="20"/>
              </w:rPr>
            </w:pPr>
            <w:del w:id="519" w:author="Master Repository Process" w:date="2021-07-31T11:46:00Z">
              <w:r>
                <w:rPr>
                  <w:sz w:val="20"/>
                </w:rPr>
                <w:delText>r. 17A(1)(a)(i)</w:delText>
              </w:r>
            </w:del>
          </w:p>
        </w:tc>
        <w:tc>
          <w:tcPr>
            <w:tcW w:w="2268" w:type="dxa"/>
          </w:tcPr>
          <w:p>
            <w:pPr>
              <w:pStyle w:val="TableAm"/>
              <w:rPr>
                <w:del w:id="520" w:author="Master Repository Process" w:date="2021-07-31T11:46:00Z"/>
                <w:sz w:val="20"/>
              </w:rPr>
            </w:pPr>
            <w:del w:id="521" w:author="Master Repository Process" w:date="2021-07-31T11:46:00Z">
              <w:r>
                <w:rPr>
                  <w:sz w:val="20"/>
                </w:rPr>
                <w:delText>$380</w:delText>
              </w:r>
            </w:del>
          </w:p>
        </w:tc>
        <w:tc>
          <w:tcPr>
            <w:tcW w:w="2268" w:type="dxa"/>
          </w:tcPr>
          <w:p>
            <w:pPr>
              <w:pStyle w:val="TableAm"/>
              <w:rPr>
                <w:del w:id="522" w:author="Master Repository Process" w:date="2021-07-31T11:46:00Z"/>
                <w:sz w:val="20"/>
              </w:rPr>
            </w:pPr>
            <w:del w:id="523" w:author="Master Repository Process" w:date="2021-07-31T11:46:00Z">
              <w:r>
                <w:rPr>
                  <w:sz w:val="20"/>
                </w:rPr>
                <w:delText>$389</w:delText>
              </w:r>
            </w:del>
          </w:p>
        </w:tc>
      </w:tr>
      <w:tr>
        <w:trPr>
          <w:cantSplit/>
          <w:jc w:val="center"/>
          <w:del w:id="524" w:author="Master Repository Process" w:date="2021-07-31T11:46:00Z"/>
        </w:trPr>
        <w:tc>
          <w:tcPr>
            <w:tcW w:w="2268" w:type="dxa"/>
          </w:tcPr>
          <w:p>
            <w:pPr>
              <w:pStyle w:val="TableAm"/>
              <w:rPr>
                <w:del w:id="525" w:author="Master Repository Process" w:date="2021-07-31T11:46:00Z"/>
                <w:sz w:val="20"/>
              </w:rPr>
            </w:pPr>
            <w:del w:id="526" w:author="Master Repository Process" w:date="2021-07-31T11:46:00Z">
              <w:r>
                <w:rPr>
                  <w:sz w:val="20"/>
                </w:rPr>
                <w:delText>r. 17A(1)(a)(ii)</w:delText>
              </w:r>
            </w:del>
          </w:p>
        </w:tc>
        <w:tc>
          <w:tcPr>
            <w:tcW w:w="2268" w:type="dxa"/>
          </w:tcPr>
          <w:p>
            <w:pPr>
              <w:pStyle w:val="TableAm"/>
              <w:rPr>
                <w:del w:id="527" w:author="Master Repository Process" w:date="2021-07-31T11:46:00Z"/>
                <w:sz w:val="20"/>
              </w:rPr>
            </w:pPr>
            <w:del w:id="528" w:author="Master Repository Process" w:date="2021-07-31T11:46:00Z">
              <w:r>
                <w:rPr>
                  <w:sz w:val="20"/>
                </w:rPr>
                <w:delText>$774</w:delText>
              </w:r>
            </w:del>
          </w:p>
        </w:tc>
        <w:tc>
          <w:tcPr>
            <w:tcW w:w="2268" w:type="dxa"/>
          </w:tcPr>
          <w:p>
            <w:pPr>
              <w:pStyle w:val="TableAm"/>
              <w:rPr>
                <w:del w:id="529" w:author="Master Repository Process" w:date="2021-07-31T11:46:00Z"/>
                <w:sz w:val="20"/>
              </w:rPr>
            </w:pPr>
            <w:del w:id="530" w:author="Master Repository Process" w:date="2021-07-31T11:46:00Z">
              <w:r>
                <w:rPr>
                  <w:sz w:val="20"/>
                </w:rPr>
                <w:delText>$793</w:delText>
              </w:r>
            </w:del>
          </w:p>
        </w:tc>
      </w:tr>
      <w:tr>
        <w:trPr>
          <w:cantSplit/>
          <w:jc w:val="center"/>
          <w:del w:id="531" w:author="Master Repository Process" w:date="2021-07-31T11:46:00Z"/>
        </w:trPr>
        <w:tc>
          <w:tcPr>
            <w:tcW w:w="2268" w:type="dxa"/>
          </w:tcPr>
          <w:p>
            <w:pPr>
              <w:pStyle w:val="TableAm"/>
              <w:rPr>
                <w:del w:id="532" w:author="Master Repository Process" w:date="2021-07-31T11:46:00Z"/>
                <w:sz w:val="20"/>
              </w:rPr>
            </w:pPr>
            <w:del w:id="533" w:author="Master Repository Process" w:date="2021-07-31T11:46:00Z">
              <w:r>
                <w:rPr>
                  <w:sz w:val="20"/>
                </w:rPr>
                <w:delText>r. 17A(1)(a)(iii)</w:delText>
              </w:r>
            </w:del>
          </w:p>
        </w:tc>
        <w:tc>
          <w:tcPr>
            <w:tcW w:w="2268" w:type="dxa"/>
          </w:tcPr>
          <w:p>
            <w:pPr>
              <w:pStyle w:val="TableAm"/>
              <w:rPr>
                <w:del w:id="534" w:author="Master Repository Process" w:date="2021-07-31T11:46:00Z"/>
                <w:sz w:val="20"/>
              </w:rPr>
            </w:pPr>
            <w:del w:id="535" w:author="Master Repository Process" w:date="2021-07-31T11:46:00Z">
              <w:r>
                <w:rPr>
                  <w:sz w:val="20"/>
                </w:rPr>
                <w:delText>$1 161</w:delText>
              </w:r>
            </w:del>
          </w:p>
        </w:tc>
        <w:tc>
          <w:tcPr>
            <w:tcW w:w="2268" w:type="dxa"/>
          </w:tcPr>
          <w:p>
            <w:pPr>
              <w:pStyle w:val="TableAm"/>
              <w:rPr>
                <w:del w:id="536" w:author="Master Repository Process" w:date="2021-07-31T11:46:00Z"/>
                <w:sz w:val="20"/>
              </w:rPr>
            </w:pPr>
            <w:del w:id="537" w:author="Master Repository Process" w:date="2021-07-31T11:46:00Z">
              <w:r>
                <w:rPr>
                  <w:sz w:val="20"/>
                </w:rPr>
                <w:delText>$1 190</w:delText>
              </w:r>
            </w:del>
          </w:p>
        </w:tc>
      </w:tr>
      <w:tr>
        <w:trPr>
          <w:cantSplit/>
          <w:jc w:val="center"/>
          <w:del w:id="538" w:author="Master Repository Process" w:date="2021-07-31T11:46:00Z"/>
        </w:trPr>
        <w:tc>
          <w:tcPr>
            <w:tcW w:w="2268" w:type="dxa"/>
          </w:tcPr>
          <w:p>
            <w:pPr>
              <w:pStyle w:val="TableAm"/>
              <w:rPr>
                <w:del w:id="539" w:author="Master Repository Process" w:date="2021-07-31T11:46:00Z"/>
                <w:sz w:val="20"/>
              </w:rPr>
            </w:pPr>
            <w:del w:id="540" w:author="Master Repository Process" w:date="2021-07-31T11:46:00Z">
              <w:r>
                <w:rPr>
                  <w:sz w:val="20"/>
                </w:rPr>
                <w:delText>r. 17B(1)(a)(ii)</w:delText>
              </w:r>
            </w:del>
          </w:p>
        </w:tc>
        <w:tc>
          <w:tcPr>
            <w:tcW w:w="2268" w:type="dxa"/>
          </w:tcPr>
          <w:p>
            <w:pPr>
              <w:pStyle w:val="TableAm"/>
              <w:rPr>
                <w:del w:id="541" w:author="Master Repository Process" w:date="2021-07-31T11:46:00Z"/>
                <w:sz w:val="20"/>
              </w:rPr>
            </w:pPr>
            <w:del w:id="542" w:author="Master Repository Process" w:date="2021-07-31T11:46:00Z">
              <w:r>
                <w:rPr>
                  <w:sz w:val="20"/>
                </w:rPr>
                <w:delText>$47</w:delText>
              </w:r>
            </w:del>
          </w:p>
        </w:tc>
        <w:tc>
          <w:tcPr>
            <w:tcW w:w="2268" w:type="dxa"/>
          </w:tcPr>
          <w:p>
            <w:pPr>
              <w:pStyle w:val="TableAm"/>
              <w:rPr>
                <w:del w:id="543" w:author="Master Repository Process" w:date="2021-07-31T11:46:00Z"/>
                <w:sz w:val="20"/>
              </w:rPr>
            </w:pPr>
            <w:del w:id="544" w:author="Master Repository Process" w:date="2021-07-31T11:46:00Z">
              <w:r>
                <w:rPr>
                  <w:sz w:val="20"/>
                </w:rPr>
                <w:delText>$48</w:delText>
              </w:r>
            </w:del>
          </w:p>
        </w:tc>
      </w:tr>
    </w:tbl>
    <w:p>
      <w:pPr>
        <w:pStyle w:val="BlankOpen"/>
        <w:rPr>
          <w:del w:id="545" w:author="Master Repository Process" w:date="2021-07-31T11:46:00Z"/>
        </w:rPr>
      </w:pP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Rules of Betting</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98" w:name="Schedule"/>
    <w:bookmarkEnd w:id="398"/>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46" w:name="Compilation"/>
    <w:bookmarkEnd w:id="546"/>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47" w:name="Coversheet"/>
    <w:bookmarkEnd w:id="54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392"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871"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392" w:type="dxa"/>
        </w:tcPr>
        <w:p>
          <w:pPr>
            <w:pStyle w:val="Header"/>
            <w:spacing w:before="40"/>
          </w:pPr>
          <w:r>
            <w:rPr>
              <w:b/>
            </w:rPr>
            <w:fldChar w:fldCharType="begin"/>
          </w:r>
          <w:r>
            <w:rPr>
              <w:b/>
            </w:rPr>
            <w:instrText xml:space="preserve"> styleref CharDivNo </w:instrText>
          </w:r>
          <w:r>
            <w:rPr>
              <w:b/>
            </w:rPr>
            <w:fldChar w:fldCharType="end"/>
          </w:r>
        </w:p>
      </w:tc>
      <w:tc>
        <w:tcPr>
          <w:tcW w:w="5871"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952" w:type="dxa"/>
          <w:vAlign w:val="bottom"/>
        </w:tcPr>
        <w:p>
          <w:pPr>
            <w:pStyle w:val="Header"/>
            <w:spacing w:before="40"/>
            <w:jc w:val="right"/>
          </w:pPr>
          <w:r>
            <w:fldChar w:fldCharType="begin"/>
          </w:r>
          <w:r>
            <w:instrText>styleref CharPartText</w:instrText>
          </w:r>
          <w:r>
            <w:fldChar w:fldCharType="end"/>
          </w:r>
        </w:p>
      </w:tc>
      <w:tc>
        <w:tcPr>
          <w:tcW w:w="1311" w:type="dxa"/>
        </w:tcPr>
        <w:p>
          <w:pPr>
            <w:pStyle w:val="Header"/>
            <w:spacing w:before="40"/>
            <w:ind w:right="17"/>
            <w:jc w:val="right"/>
          </w:pPr>
          <w:r>
            <w:rPr>
              <w:b/>
            </w:rPr>
            <w:fldChar w:fldCharType="begin"/>
          </w:r>
          <w:r>
            <w:rPr>
              <w:b/>
            </w:rPr>
            <w:instrText>styleref CharPartNo</w:instrText>
          </w:r>
          <w:r>
            <w:rPr>
              <w:b/>
            </w:rPr>
            <w:fldChar w:fldCharType="end"/>
          </w:r>
        </w:p>
      </w:tc>
    </w:tr>
    <w:tr>
      <w:tc>
        <w:tcPr>
          <w:tcW w:w="5952" w:type="dxa"/>
          <w:vAlign w:val="bottom"/>
        </w:tcPr>
        <w:p>
          <w:pPr>
            <w:pStyle w:val="Header"/>
            <w:spacing w:before="40"/>
            <w:jc w:val="right"/>
          </w:pPr>
          <w:r>
            <w:fldChar w:fldCharType="begin"/>
          </w:r>
          <w:r>
            <w:instrText xml:space="preserve"> styleref CharDivText </w:instrText>
          </w:r>
          <w:r>
            <w:fldChar w:fldCharType="end"/>
          </w:r>
        </w:p>
      </w:tc>
      <w:tc>
        <w:tcPr>
          <w:tcW w:w="131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w:t>
          </w:r>
          <w:r>
            <w:rPr>
              <w:b/>
            </w:rPr>
            <w:fldChar w:fldCharType="end"/>
          </w:r>
        </w:p>
      </w:tc>
      <w:tc>
        <w:tcPr>
          <w:tcW w:w="5715" w:type="dxa"/>
        </w:tcPr>
        <w:p>
          <w:pPr>
            <w:pStyle w:val="Header"/>
            <w:spacing w:before="40"/>
          </w:pPr>
          <w:r>
            <w:fldChar w:fldCharType="begin"/>
          </w:r>
          <w:r>
            <w:instrText>styleref CharSchText</w:instrText>
          </w:r>
          <w:r>
            <w:fldChar w:fldCharType="separate"/>
          </w:r>
          <w:r>
            <w:t>Rules of Betting</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06AC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82662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52E2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5EDD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F099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E0F4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D247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EAE6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D008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FA02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438E64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42314"/>
    <w:docVar w:name="WAFER_20131217105747" w:val="RemoveTocBookmarks,RemoveUnusedBookmarks,RemoveLanguageTags,UsedStyles,ResetPageSize,UpdateArrangement"/>
    <w:docVar w:name="WAFER_20131217105747_GUID" w:val="9e0019c9-0acf-44ce-b7f0-3bf1c214d2dd"/>
    <w:docVar w:name="WAFER_20141113150115" w:val="RemoveTocBookmarks,RemoveUnusedBookmarks,RemoveLanguageTags,UsedStyles,ResetPageSize,UpdateArrangement"/>
    <w:docVar w:name="WAFER_20141113150115_GUID" w:val="661133c9-2740-4495-8373-2167015f1d73"/>
    <w:docVar w:name="WAFER_20141229113115" w:val="RemoveTocBookmarks,RemoveUnusedBookmarks,RemoveLanguageTags,UsedStyles,ResetPageSize,UpdateArrangement"/>
    <w:docVar w:name="WAFER_20141229113115_GUID" w:val="f4a8f943-24dd-4bd0-91fb-a606d07be89b"/>
    <w:docVar w:name="WAFER_20141230083417" w:val="RemoveTocBookmarks,RunningHeaders"/>
    <w:docVar w:name="WAFER_20141230083417_GUID" w:val="11660bef-1195-418b-a056-f85a07ca4ebc"/>
    <w:docVar w:name="WAFER_20150324113944" w:val="ResetPageSize,UpdateArrangement,UpdateNTable"/>
    <w:docVar w:name="WAFER_20150324113944_GUID" w:val="2246688f-3aa9-4195-93e4-7acc1a1ea704"/>
    <w:docVar w:name="WAFER_20151105141953" w:val="UpdateStyles"/>
    <w:docVar w:name="WAFER_20151105141953_GUID" w:val="dec5f7b1-5296-4a7f-b5c2-eecbdb0126de"/>
    <w:docVar w:name="WAFER_20151105142314" w:val="UsedStyles"/>
    <w:docVar w:name="WAFER_20151105142314_GUID" w:val="a7501a44-236e-4b4c-90f6-8325f432f1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DCA420BC-3190-44C7-A20F-C45CED79D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72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fontTable" Target="fontTable.xml"/><Relationship Id="rId21" Type="http://schemas.openxmlformats.org/officeDocument/2006/relationships/image" Target="media/image2.wmf"/><Relationship Id="rId34" Type="http://schemas.openxmlformats.org/officeDocument/2006/relationships/header" Target="header1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13.xml"/><Relationship Id="rId37" Type="http://schemas.openxmlformats.org/officeDocument/2006/relationships/header" Target="header16.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9.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image" Target="media/image6.png"/><Relationship Id="rId30" Type="http://schemas.openxmlformats.org/officeDocument/2006/relationships/header" Target="header11.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0A079-1B5C-410B-A4A7-5FAC5C1AD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23713</Words>
  <Characters>109317</Characters>
  <Application>Microsoft Office Word</Application>
  <DocSecurity>0</DocSecurity>
  <Lines>3416</Lines>
  <Paragraphs>2015</Paragraphs>
  <ScaleCrop>false</ScaleCrop>
  <HeadingPairs>
    <vt:vector size="2" baseType="variant">
      <vt:variant>
        <vt:lpstr>Title</vt:lpstr>
      </vt:variant>
      <vt:variant>
        <vt:i4>1</vt:i4>
      </vt:variant>
    </vt:vector>
  </HeadingPairs>
  <TitlesOfParts>
    <vt:vector size="1" baseType="lpstr">
      <vt:lpstr>Betting Control Regulations 1978</vt:lpstr>
    </vt:vector>
  </TitlesOfParts>
  <Manager/>
  <Company/>
  <LinksUpToDate>false</LinksUpToDate>
  <CharactersWithSpaces>131015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07-g0-01 - 07-h0-01</dc:title>
  <dc:subject/>
  <dc:creator/>
  <cp:keywords/>
  <dc:description/>
  <cp:lastModifiedBy>Master Repository Process</cp:lastModifiedBy>
  <cp:revision>2</cp:revision>
  <cp:lastPrinted>2013-08-30T04:38:00Z</cp:lastPrinted>
  <dcterms:created xsi:type="dcterms:W3CDTF">2021-07-31T03:46:00Z</dcterms:created>
  <dcterms:modified xsi:type="dcterms:W3CDTF">2021-07-31T03:46:00Z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DocumentType">
    <vt:lpwstr>Reg</vt:lpwstr>
  </property>
  <property fmtid="{D5CDD505-2E9C-101B-9397-08002B2CF9AE}" pid="4" name="OwlsUID">
    <vt:i4>4296</vt:i4>
  </property>
  <property fmtid="{D5CDD505-2E9C-101B-9397-08002B2CF9AE}" pid="5" name="ReprintNo">
    <vt:lpwstr>7</vt:lpwstr>
  </property>
  <property fmtid="{D5CDD505-2E9C-101B-9397-08002B2CF9AE}" pid="6" name="ReprintedAsAt">
    <vt:filetime>2013-08-22T16:00:00Z</vt:filetime>
  </property>
  <property fmtid="{D5CDD505-2E9C-101B-9397-08002B2CF9AE}" pid="7" name="CommencementDate">
    <vt:lpwstr>20160101</vt:lpwstr>
  </property>
  <property fmtid="{D5CDD505-2E9C-101B-9397-08002B2CF9AE}" pid="8" name="FromSuffix">
    <vt:lpwstr>07-g0-01</vt:lpwstr>
  </property>
  <property fmtid="{D5CDD505-2E9C-101B-9397-08002B2CF9AE}" pid="9" name="FromAsAtDate">
    <vt:lpwstr>06 Nov 2015</vt:lpwstr>
  </property>
  <property fmtid="{D5CDD505-2E9C-101B-9397-08002B2CF9AE}" pid="10" name="ToSuffix">
    <vt:lpwstr>07-h0-01</vt:lpwstr>
  </property>
  <property fmtid="{D5CDD505-2E9C-101B-9397-08002B2CF9AE}" pid="11" name="ToAsAtDate">
    <vt:lpwstr>01 Jan 2016</vt:lpwstr>
  </property>
</Properties>
</file>