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2014</w:t>
      </w:r>
      <w:r>
        <w:fldChar w:fldCharType="end"/>
      </w:r>
      <w:r>
        <w:t xml:space="preserve">, </w:t>
      </w:r>
      <w:r>
        <w:fldChar w:fldCharType="begin"/>
      </w:r>
      <w:r>
        <w:instrText xml:space="preserve"> DocProperty FromSuffix </w:instrText>
      </w:r>
      <w:r>
        <w:fldChar w:fldCharType="separate"/>
      </w:r>
      <w:r>
        <w:t>01-i0-05</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6-04-18T11:04:00Z"/>
        </w:trPr>
        <w:tc>
          <w:tcPr>
            <w:tcW w:w="2434" w:type="dxa"/>
            <w:vMerge w:val="restart"/>
          </w:tcPr>
          <w:p>
            <w:pPr>
              <w:rPr>
                <w:ins w:id="2" w:author="svcMRProcess" w:date="2016-04-18T11:04:00Z"/>
              </w:rPr>
            </w:pPr>
          </w:p>
        </w:tc>
        <w:tc>
          <w:tcPr>
            <w:tcW w:w="2434" w:type="dxa"/>
            <w:vMerge w:val="restart"/>
          </w:tcPr>
          <w:p>
            <w:pPr>
              <w:jc w:val="center"/>
              <w:rPr>
                <w:ins w:id="3" w:author="svcMRProcess" w:date="2016-04-18T11:04:00Z"/>
              </w:rPr>
            </w:pPr>
            <w:ins w:id="4" w:author="svcMRProcess" w:date="2016-04-18T11: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6-04-18T11:04:00Z"/>
              </w:rPr>
            </w:pPr>
            <w:ins w:id="6" w:author="svcMRProcess" w:date="2016-04-18T11:04:00Z">
              <w:r>
                <w:rPr>
                  <w:b/>
                  <w:sz w:val="22"/>
                </w:rPr>
                <w:t xml:space="preserve">Reprinted under the </w:t>
              </w:r>
              <w:r>
                <w:rPr>
                  <w:b/>
                  <w:i/>
                  <w:sz w:val="22"/>
                </w:rPr>
                <w:t>Reprints Act 1984</w:t>
              </w:r>
              <w:r>
                <w:rPr>
                  <w:b/>
                  <w:sz w:val="22"/>
                </w:rPr>
                <w:t xml:space="preserve"> as</w:t>
              </w:r>
            </w:ins>
          </w:p>
        </w:tc>
      </w:tr>
      <w:tr>
        <w:trPr>
          <w:cantSplit/>
          <w:ins w:id="7" w:author="svcMRProcess" w:date="2016-04-18T11:04:00Z"/>
        </w:trPr>
        <w:tc>
          <w:tcPr>
            <w:tcW w:w="2434" w:type="dxa"/>
            <w:vMerge/>
          </w:tcPr>
          <w:p>
            <w:pPr>
              <w:rPr>
                <w:ins w:id="8" w:author="svcMRProcess" w:date="2016-04-18T11:04:00Z"/>
              </w:rPr>
            </w:pPr>
          </w:p>
        </w:tc>
        <w:tc>
          <w:tcPr>
            <w:tcW w:w="2434" w:type="dxa"/>
            <w:vMerge/>
          </w:tcPr>
          <w:p>
            <w:pPr>
              <w:jc w:val="center"/>
              <w:rPr>
                <w:ins w:id="9" w:author="svcMRProcess" w:date="2016-04-18T11:04:00Z"/>
              </w:rPr>
            </w:pPr>
          </w:p>
        </w:tc>
        <w:tc>
          <w:tcPr>
            <w:tcW w:w="2434" w:type="dxa"/>
          </w:tcPr>
          <w:p>
            <w:pPr>
              <w:keepNext/>
              <w:rPr>
                <w:ins w:id="10" w:author="svcMRProcess" w:date="2016-04-18T11:04:00Z"/>
                <w:b/>
                <w:sz w:val="22"/>
              </w:rPr>
            </w:pPr>
            <w:ins w:id="11" w:author="svcMRProcess" w:date="2016-04-18T11:04:00Z">
              <w:r>
                <w:rPr>
                  <w:b/>
                  <w:sz w:val="22"/>
                </w:rPr>
                <w:t>at 4 December 2015</w:t>
              </w:r>
            </w:ins>
          </w:p>
        </w:tc>
      </w:tr>
    </w:tbl>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2" w:name="_GoBack"/>
      <w:bookmarkEnd w:id="12"/>
      <w:r>
        <w:rPr>
          <w:snapToGrid w:val="0"/>
        </w:rPr>
        <w:t>n Act about oaths, affidavits and statutory declarations and for related purposes.</w:t>
      </w:r>
    </w:p>
    <w:p>
      <w:pPr>
        <w:pStyle w:val="Heading2"/>
      </w:pPr>
      <w:bookmarkStart w:id="13" w:name="_Toc435522632"/>
      <w:bookmarkStart w:id="14" w:name="_Toc435522679"/>
      <w:bookmarkStart w:id="15" w:name="_Toc385939115"/>
      <w:bookmarkStart w:id="16" w:name="_Toc421720302"/>
      <w:bookmarkStart w:id="17" w:name="_Toc421720329"/>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435522680"/>
      <w:bookmarkStart w:id="19" w:name="_Toc385939116"/>
      <w:bookmarkStart w:id="20" w:name="_Toc421720330"/>
      <w:r>
        <w:rPr>
          <w:rStyle w:val="CharSectno"/>
        </w:rPr>
        <w:t>1</w:t>
      </w:r>
      <w:r>
        <w:rPr>
          <w:snapToGrid w:val="0"/>
        </w:rPr>
        <w:t>.</w:t>
      </w:r>
      <w:r>
        <w:rPr>
          <w:snapToGrid w:val="0"/>
        </w:rPr>
        <w:tab/>
        <w:t>Short title</w:t>
      </w:r>
      <w:bookmarkEnd w:id="18"/>
      <w:bookmarkEnd w:id="19"/>
      <w:bookmarkEnd w:id="20"/>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21" w:name="_Toc435522681"/>
      <w:bookmarkStart w:id="22" w:name="_Toc385939117"/>
      <w:bookmarkStart w:id="23" w:name="_Toc421720331"/>
      <w:r>
        <w:rPr>
          <w:rStyle w:val="CharSectno"/>
        </w:rPr>
        <w:t>2</w:t>
      </w:r>
      <w:r>
        <w:t>.</w:t>
      </w:r>
      <w:r>
        <w:tab/>
        <w:t>Commencement</w:t>
      </w:r>
      <w:bookmarkEnd w:id="21"/>
      <w:bookmarkEnd w:id="22"/>
      <w:bookmarkEnd w:id="23"/>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24" w:name="_Toc435522682"/>
      <w:bookmarkStart w:id="25" w:name="_Toc385939118"/>
      <w:bookmarkStart w:id="26" w:name="_Toc421720332"/>
      <w:r>
        <w:rPr>
          <w:rStyle w:val="CharSectno"/>
        </w:rPr>
        <w:t>3</w:t>
      </w:r>
      <w:r>
        <w:t>.</w:t>
      </w:r>
      <w:r>
        <w:tab/>
        <w:t>Term used: prescribed consular official</w:t>
      </w:r>
      <w:bookmarkEnd w:id="24"/>
      <w:bookmarkEnd w:id="25"/>
      <w:bookmarkEnd w:id="26"/>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ins w:id="27" w:author="svcMRProcess" w:date="2016-04-18T11:04:00Z">
        <w:r>
          <w:t xml:space="preserve"> or</w:t>
        </w:r>
      </w:ins>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28" w:name="_Toc435522636"/>
      <w:bookmarkStart w:id="29" w:name="_Toc435522683"/>
      <w:bookmarkStart w:id="30" w:name="_Toc385939119"/>
      <w:bookmarkStart w:id="31" w:name="_Toc421720306"/>
      <w:bookmarkStart w:id="32" w:name="_Toc421720333"/>
      <w:r>
        <w:rPr>
          <w:rStyle w:val="CharPartNo"/>
        </w:rPr>
        <w:t>Part 2</w:t>
      </w:r>
      <w:r>
        <w:rPr>
          <w:rStyle w:val="CharDivNo"/>
        </w:rPr>
        <w:t> </w:t>
      </w:r>
      <w:r>
        <w:t>—</w:t>
      </w:r>
      <w:r>
        <w:rPr>
          <w:rStyle w:val="CharDivText"/>
        </w:rPr>
        <w:t> </w:t>
      </w:r>
      <w:r>
        <w:rPr>
          <w:rStyle w:val="CharPartText"/>
        </w:rPr>
        <w:t>Oaths and related matters</w:t>
      </w:r>
      <w:bookmarkEnd w:id="28"/>
      <w:bookmarkEnd w:id="29"/>
      <w:bookmarkEnd w:id="30"/>
      <w:bookmarkEnd w:id="31"/>
      <w:bookmarkEnd w:id="32"/>
    </w:p>
    <w:p>
      <w:pPr>
        <w:pStyle w:val="Heading5"/>
      </w:pPr>
      <w:bookmarkStart w:id="33" w:name="_Toc435522684"/>
      <w:bookmarkStart w:id="34" w:name="_Toc385939120"/>
      <w:bookmarkStart w:id="35" w:name="_Toc421720334"/>
      <w:r>
        <w:rPr>
          <w:rStyle w:val="CharSectno"/>
        </w:rPr>
        <w:t>4</w:t>
      </w:r>
      <w:r>
        <w:t>.</w:t>
      </w:r>
      <w:r>
        <w:tab/>
        <w:t>Oaths, general form of</w:t>
      </w:r>
      <w:bookmarkEnd w:id="33"/>
      <w:bookmarkEnd w:id="34"/>
      <w:bookmarkEnd w:id="35"/>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36" w:name="_Toc435522685"/>
      <w:bookmarkStart w:id="37" w:name="_Toc385939121"/>
      <w:bookmarkStart w:id="38" w:name="_Toc421720335"/>
      <w:r>
        <w:rPr>
          <w:rStyle w:val="CharSectno"/>
        </w:rPr>
        <w:t>5</w:t>
      </w:r>
      <w:r>
        <w:t>.</w:t>
      </w:r>
      <w:r>
        <w:tab/>
        <w:t>Affirmation may be made instead of oath</w:t>
      </w:r>
      <w:bookmarkEnd w:id="36"/>
      <w:bookmarkEnd w:id="37"/>
      <w:bookmarkEnd w:id="38"/>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ins w:id="39" w:author="svcMRProcess" w:date="2016-04-18T11:04:00Z">
        <w:r>
          <w:t xml:space="preserve"> or</w:t>
        </w:r>
      </w:ins>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40" w:name="_Toc435522686"/>
      <w:bookmarkStart w:id="41" w:name="_Toc385939122"/>
      <w:bookmarkStart w:id="42" w:name="_Toc421720336"/>
      <w:r>
        <w:rPr>
          <w:rStyle w:val="CharSectno"/>
        </w:rPr>
        <w:t>6</w:t>
      </w:r>
      <w:r>
        <w:t>.</w:t>
      </w:r>
      <w:r>
        <w:tab/>
        <w:t>Oaths and affirmations, who may administer</w:t>
      </w:r>
      <w:bookmarkEnd w:id="40"/>
      <w:bookmarkEnd w:id="41"/>
      <w:bookmarkEnd w:id="4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43" w:name="_Toc435522687"/>
      <w:bookmarkStart w:id="44" w:name="_Toc385939123"/>
      <w:bookmarkStart w:id="45" w:name="_Toc421720337"/>
      <w:r>
        <w:rPr>
          <w:rStyle w:val="CharSectno"/>
        </w:rPr>
        <w:t>7</w:t>
      </w:r>
      <w:r>
        <w:t>.</w:t>
      </w:r>
      <w:r>
        <w:tab/>
        <w:t>Oaths and affirmations, how administered</w:t>
      </w:r>
      <w:bookmarkEnd w:id="43"/>
      <w:bookmarkEnd w:id="44"/>
      <w:bookmarkEnd w:id="4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w:t>
      </w:r>
      <w:del w:id="46" w:author="svcMRProcess" w:date="2016-04-18T11:04:00Z">
        <w:r>
          <w:delText xml:space="preserve"> </w:delText>
        </w:r>
      </w:del>
      <w:ins w:id="47" w:author="svcMRProcess" w:date="2016-04-18T11:04:00Z">
        <w:r>
          <w:t> </w:t>
        </w:r>
      </w:ins>
      <w:r>
        <w:t>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48" w:name="_Toc435522641"/>
      <w:bookmarkStart w:id="49" w:name="_Toc435522688"/>
      <w:bookmarkStart w:id="50" w:name="_Toc385939124"/>
      <w:bookmarkStart w:id="51" w:name="_Toc421720311"/>
      <w:bookmarkStart w:id="52" w:name="_Toc421720338"/>
      <w:r>
        <w:rPr>
          <w:rStyle w:val="CharPartNo"/>
        </w:rPr>
        <w:t>Part 3</w:t>
      </w:r>
      <w:r>
        <w:rPr>
          <w:rStyle w:val="CharDivNo"/>
        </w:rPr>
        <w:t> </w:t>
      </w:r>
      <w:r>
        <w:t>—</w:t>
      </w:r>
      <w:r>
        <w:rPr>
          <w:rStyle w:val="CharDivText"/>
        </w:rPr>
        <w:t> </w:t>
      </w:r>
      <w:r>
        <w:rPr>
          <w:rStyle w:val="CharPartText"/>
        </w:rPr>
        <w:t>Affidavits</w:t>
      </w:r>
      <w:bookmarkEnd w:id="48"/>
      <w:bookmarkEnd w:id="49"/>
      <w:bookmarkEnd w:id="50"/>
      <w:bookmarkEnd w:id="51"/>
      <w:bookmarkEnd w:id="52"/>
    </w:p>
    <w:p>
      <w:pPr>
        <w:pStyle w:val="Heading5"/>
      </w:pPr>
      <w:bookmarkStart w:id="53" w:name="_Toc435522689"/>
      <w:bookmarkStart w:id="54" w:name="_Toc385939125"/>
      <w:bookmarkStart w:id="55" w:name="_Toc421720339"/>
      <w:r>
        <w:rPr>
          <w:rStyle w:val="CharSectno"/>
        </w:rPr>
        <w:t>8</w:t>
      </w:r>
      <w:r>
        <w:t>.</w:t>
      </w:r>
      <w:r>
        <w:rPr>
          <w:b w:val="0"/>
        </w:rPr>
        <w:tab/>
      </w:r>
      <w:del w:id="56" w:author="svcMRProcess" w:date="2016-04-18T11:04:00Z">
        <w:r>
          <w:rPr>
            <w:bCs/>
          </w:rPr>
          <w:delText>Meaning of “</w:delText>
        </w:r>
      </w:del>
      <w:ins w:id="57" w:author="svcMRProcess" w:date="2016-04-18T11:04:00Z">
        <w:r>
          <w:rPr>
            <w:bCs/>
          </w:rPr>
          <w:t xml:space="preserve">Term used: </w:t>
        </w:r>
      </w:ins>
      <w:r>
        <w:rPr>
          <w:bCs/>
        </w:rPr>
        <w:t>experienced legal practitioner</w:t>
      </w:r>
      <w:bookmarkEnd w:id="53"/>
      <w:del w:id="58" w:author="svcMRProcess" w:date="2016-04-18T11:04:00Z">
        <w:r>
          <w:rPr>
            <w:bCs/>
          </w:rPr>
          <w:delText>”</w:delText>
        </w:r>
      </w:del>
      <w:bookmarkEnd w:id="54"/>
      <w:bookmarkEnd w:id="55"/>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59" w:name="_Toc435522690"/>
      <w:bookmarkStart w:id="60" w:name="_Toc385939126"/>
      <w:bookmarkStart w:id="61" w:name="_Toc421720340"/>
      <w:r>
        <w:rPr>
          <w:rStyle w:val="CharSectno"/>
        </w:rPr>
        <w:t>9</w:t>
      </w:r>
      <w:r>
        <w:t>.</w:t>
      </w:r>
      <w:r>
        <w:tab/>
        <w:t>Affidavits, how made</w:t>
      </w:r>
      <w:bookmarkEnd w:id="59"/>
      <w:bookmarkEnd w:id="60"/>
      <w:bookmarkEnd w:id="61"/>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ins w:id="62" w:author="svcMRProcess" w:date="2016-04-18T11:04:00Z">
        <w:r>
          <w:t xml:space="preserve"> and</w:t>
        </w:r>
      </w:ins>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ins w:id="63" w:author="svcMRProcess" w:date="2016-04-18T11:04:00Z">
        <w:r>
          <w:t xml:space="preserve"> and</w:t>
        </w:r>
      </w:ins>
    </w:p>
    <w:p>
      <w:pPr>
        <w:pStyle w:val="Indenti"/>
      </w:pPr>
      <w:r>
        <w:tab/>
        <w:t>(ii)</w:t>
      </w:r>
      <w:r>
        <w:tab/>
        <w:t>that the contents of the affidavit are true;</w:t>
      </w:r>
      <w:ins w:id="64" w:author="svcMRProcess" w:date="2016-04-18T11:04:00Z">
        <w:r>
          <w:t xml:space="preserve"> and</w:t>
        </w:r>
      </w:ins>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rPr>
          <w:ins w:id="65" w:author="svcMRProcess" w:date="2016-04-18T11:04:00Z"/>
        </w:rPr>
      </w:pPr>
      <w:ins w:id="66" w:author="svcMRProcess" w:date="2016-04-18T11:04:00Z">
        <w:r>
          <w:tab/>
        </w:r>
        <w:r>
          <w:tab/>
          <w:t>and</w:t>
        </w:r>
      </w:ins>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ins w:id="67" w:author="svcMRProcess" w:date="2016-04-18T11:04:00Z">
        <w:r>
          <w:t xml:space="preserve"> or</w:t>
        </w:r>
      </w:ins>
    </w:p>
    <w:p>
      <w:pPr>
        <w:pStyle w:val="Indenta"/>
      </w:pPr>
      <w:r>
        <w:tab/>
        <w:t>(b)</w:t>
      </w:r>
      <w:r>
        <w:tab/>
        <w:t>an experienced legal practitioner, unless excluded by subsection (7);</w:t>
      </w:r>
      <w:ins w:id="68" w:author="svcMRProcess" w:date="2016-04-18T11:04:00Z">
        <w:r>
          <w:t xml:space="preserve"> or</w:t>
        </w:r>
      </w:ins>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ins w:id="69" w:author="svcMRProcess" w:date="2016-04-18T11:04:00Z">
        <w:r>
          <w:t xml:space="preserve"> or</w:t>
        </w:r>
      </w:ins>
    </w:p>
    <w:p>
      <w:pPr>
        <w:pStyle w:val="Indenta"/>
      </w:pPr>
      <w:r>
        <w:tab/>
        <w:t>(b)</w:t>
      </w:r>
      <w:r>
        <w:tab/>
        <w:t>a notary public;</w:t>
      </w:r>
      <w:ins w:id="70" w:author="svcMRProcess" w:date="2016-04-18T11:04:00Z">
        <w:r>
          <w:t xml:space="preserve"> or</w:t>
        </w:r>
      </w:ins>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71" w:name="_Toc435522691"/>
      <w:bookmarkStart w:id="72" w:name="_Toc385939127"/>
      <w:bookmarkStart w:id="73" w:name="_Toc421720341"/>
      <w:r>
        <w:rPr>
          <w:rStyle w:val="CharSectno"/>
        </w:rPr>
        <w:t>10</w:t>
      </w:r>
      <w:r>
        <w:t>.</w:t>
      </w:r>
      <w:r>
        <w:tab/>
        <w:t>Court authorised witness may witness affidavit for use in court</w:t>
      </w:r>
      <w:bookmarkEnd w:id="71"/>
      <w:bookmarkEnd w:id="72"/>
      <w:bookmarkEnd w:id="73"/>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74" w:name="_Toc435522645"/>
      <w:bookmarkStart w:id="75" w:name="_Toc435522692"/>
      <w:bookmarkStart w:id="76" w:name="_Toc385939128"/>
      <w:bookmarkStart w:id="77" w:name="_Toc421720315"/>
      <w:bookmarkStart w:id="78" w:name="_Toc421720342"/>
      <w:r>
        <w:rPr>
          <w:rStyle w:val="CharPartNo"/>
        </w:rPr>
        <w:t>Part 4</w:t>
      </w:r>
      <w:r>
        <w:rPr>
          <w:rStyle w:val="CharDivNo"/>
        </w:rPr>
        <w:t> </w:t>
      </w:r>
      <w:r>
        <w:t>—</w:t>
      </w:r>
      <w:r>
        <w:rPr>
          <w:rStyle w:val="CharDivText"/>
        </w:rPr>
        <w:t> </w:t>
      </w:r>
      <w:r>
        <w:rPr>
          <w:rStyle w:val="CharPartText"/>
        </w:rPr>
        <w:t>Statutory declarations</w:t>
      </w:r>
      <w:bookmarkEnd w:id="74"/>
      <w:bookmarkEnd w:id="75"/>
      <w:bookmarkEnd w:id="76"/>
      <w:bookmarkEnd w:id="77"/>
      <w:bookmarkEnd w:id="78"/>
    </w:p>
    <w:p>
      <w:pPr>
        <w:pStyle w:val="Heading5"/>
      </w:pPr>
      <w:bookmarkStart w:id="79" w:name="_Toc435522693"/>
      <w:bookmarkStart w:id="80" w:name="_Toc385939129"/>
      <w:bookmarkStart w:id="81" w:name="_Toc421720343"/>
      <w:r>
        <w:rPr>
          <w:rStyle w:val="CharSectno"/>
        </w:rPr>
        <w:t>11</w:t>
      </w:r>
      <w:r>
        <w:t>.</w:t>
      </w:r>
      <w:r>
        <w:tab/>
        <w:t>When</w:t>
      </w:r>
      <w:del w:id="82" w:author="svcMRProcess" w:date="2016-04-18T11:04:00Z">
        <w:r>
          <w:delText xml:space="preserve"> a</w:delText>
        </w:r>
      </w:del>
      <w:r>
        <w:t xml:space="preserve"> statutory declaration may be made</w:t>
      </w:r>
      <w:bookmarkEnd w:id="79"/>
      <w:bookmarkEnd w:id="80"/>
      <w:bookmarkEnd w:id="8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83" w:name="_Toc435522694"/>
      <w:bookmarkStart w:id="84" w:name="_Toc385939130"/>
      <w:bookmarkStart w:id="85" w:name="_Toc421720344"/>
      <w:r>
        <w:rPr>
          <w:rStyle w:val="CharSectno"/>
        </w:rPr>
        <w:t>12</w:t>
      </w:r>
      <w:r>
        <w:t>.</w:t>
      </w:r>
      <w:r>
        <w:tab/>
        <w:t>Statutory declarations, how made</w:t>
      </w:r>
      <w:bookmarkEnd w:id="83"/>
      <w:bookmarkEnd w:id="84"/>
      <w:bookmarkEnd w:id="85"/>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w:t>
      </w:r>
      <w:ins w:id="86" w:author="svcMRProcess" w:date="2016-04-18T11:04:00Z">
        <w:r>
          <w:t xml:space="preserve"> and</w:t>
        </w:r>
      </w:ins>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ins w:id="87" w:author="svcMRProcess" w:date="2016-04-18T11:04:00Z">
        <w:r>
          <w:t xml:space="preserve"> and</w:t>
        </w:r>
      </w:ins>
    </w:p>
    <w:p>
      <w:pPr>
        <w:pStyle w:val="Indenti"/>
      </w:pPr>
      <w:r>
        <w:tab/>
        <w:t>(ii)</w:t>
      </w:r>
      <w:r>
        <w:tab/>
        <w:t>that the contents of the statutory declaration are true;</w:t>
      </w:r>
      <w:ins w:id="88" w:author="svcMRProcess" w:date="2016-04-18T11:04:00Z">
        <w:r>
          <w:t xml:space="preserve"> and</w:t>
        </w:r>
      </w:ins>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ins w:id="89" w:author="svcMRProcess" w:date="2016-04-18T11:04:00Z">
        <w:r>
          <w:t xml:space="preserve"> and</w:t>
        </w:r>
      </w:ins>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90" w:name="_Toc435522648"/>
      <w:bookmarkStart w:id="91" w:name="_Toc435522695"/>
      <w:bookmarkStart w:id="92" w:name="_Toc385939131"/>
      <w:bookmarkStart w:id="93" w:name="_Toc421720318"/>
      <w:bookmarkStart w:id="94" w:name="_Toc421720345"/>
      <w:r>
        <w:rPr>
          <w:rStyle w:val="CharPartNo"/>
        </w:rPr>
        <w:t>Part 5</w:t>
      </w:r>
      <w:r>
        <w:rPr>
          <w:rStyle w:val="CharDivNo"/>
        </w:rPr>
        <w:t> </w:t>
      </w:r>
      <w:r>
        <w:t>—</w:t>
      </w:r>
      <w:r>
        <w:rPr>
          <w:rStyle w:val="CharDivText"/>
        </w:rPr>
        <w:t> </w:t>
      </w:r>
      <w:r>
        <w:rPr>
          <w:rStyle w:val="CharPartText"/>
        </w:rPr>
        <w:t>Miscellaneous</w:t>
      </w:r>
      <w:bookmarkEnd w:id="90"/>
      <w:bookmarkEnd w:id="91"/>
      <w:bookmarkEnd w:id="92"/>
      <w:bookmarkEnd w:id="93"/>
      <w:bookmarkEnd w:id="94"/>
    </w:p>
    <w:p>
      <w:pPr>
        <w:pStyle w:val="Heading5"/>
      </w:pPr>
      <w:bookmarkStart w:id="95" w:name="_Toc435522696"/>
      <w:bookmarkStart w:id="96" w:name="_Toc385939132"/>
      <w:bookmarkStart w:id="97" w:name="_Toc421720346"/>
      <w:r>
        <w:rPr>
          <w:rStyle w:val="CharSectno"/>
        </w:rPr>
        <w:t>13</w:t>
      </w:r>
      <w:r>
        <w:t>.</w:t>
      </w:r>
      <w:r>
        <w:tab/>
        <w:t>Affidavits and declarations by blind or illiterate people</w:t>
      </w:r>
      <w:bookmarkEnd w:id="95"/>
      <w:bookmarkEnd w:id="96"/>
      <w:bookmarkEnd w:id="97"/>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ins w:id="98" w:author="svcMRProcess" w:date="2016-04-18T11:04:00Z">
        <w:r>
          <w:t xml:space="preserve"> and</w:t>
        </w:r>
      </w:ins>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99" w:name="_Toc435522697"/>
      <w:bookmarkStart w:id="100" w:name="_Toc385939133"/>
      <w:bookmarkStart w:id="101" w:name="_Toc421720347"/>
      <w:r>
        <w:rPr>
          <w:rStyle w:val="CharSectno"/>
        </w:rPr>
        <w:t>14</w:t>
      </w:r>
      <w:r>
        <w:t>.</w:t>
      </w:r>
      <w:r>
        <w:tab/>
        <w:t>Affidavits and declarations by people not conversant with English</w:t>
      </w:r>
      <w:bookmarkEnd w:id="99"/>
      <w:bookmarkEnd w:id="100"/>
      <w:bookmarkEnd w:id="10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ins w:id="102" w:author="svcMRProcess" w:date="2016-04-18T11:04:00Z">
        <w:r>
          <w:t>and</w:t>
        </w:r>
      </w:ins>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103" w:name="_Toc435522698"/>
      <w:bookmarkStart w:id="104" w:name="_Toc385939134"/>
      <w:bookmarkStart w:id="105" w:name="_Toc421720348"/>
      <w:r>
        <w:rPr>
          <w:rStyle w:val="CharSectno"/>
        </w:rPr>
        <w:t>15</w:t>
      </w:r>
      <w:r>
        <w:t>.</w:t>
      </w:r>
      <w:r>
        <w:tab/>
        <w:t>Rubber stamp signatures not to be used</w:t>
      </w:r>
      <w:bookmarkEnd w:id="103"/>
      <w:bookmarkEnd w:id="104"/>
      <w:bookmarkEnd w:id="105"/>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106" w:name="_Toc435522699"/>
      <w:bookmarkStart w:id="107" w:name="_Toc385939135"/>
      <w:bookmarkStart w:id="108" w:name="_Toc421720349"/>
      <w:r>
        <w:rPr>
          <w:rStyle w:val="CharSectno"/>
        </w:rPr>
        <w:t>16</w:t>
      </w:r>
      <w:r>
        <w:t>.</w:t>
      </w:r>
      <w:r>
        <w:tab/>
        <w:t>Non</w:t>
      </w:r>
      <w:r>
        <w:noBreakHyphen/>
        <w:t>compliance with form or procedure, effect of</w:t>
      </w:r>
      <w:bookmarkEnd w:id="106"/>
      <w:bookmarkEnd w:id="107"/>
      <w:bookmarkEnd w:id="10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109" w:name="_Toc435522700"/>
      <w:bookmarkStart w:id="110" w:name="_Toc385939136"/>
      <w:bookmarkStart w:id="111" w:name="_Toc421720350"/>
      <w:r>
        <w:rPr>
          <w:rStyle w:val="CharSectno"/>
        </w:rPr>
        <w:t>17</w:t>
      </w:r>
      <w:r>
        <w:t>.</w:t>
      </w:r>
      <w:r>
        <w:tab/>
        <w:t>Pretending to be</w:t>
      </w:r>
      <w:del w:id="112" w:author="svcMRProcess" w:date="2016-04-18T11:04:00Z">
        <w:r>
          <w:delText xml:space="preserve"> an</w:delText>
        </w:r>
      </w:del>
      <w:r>
        <w:t xml:space="preserve"> authorised witness, offence of</w:t>
      </w:r>
      <w:bookmarkEnd w:id="109"/>
      <w:bookmarkEnd w:id="110"/>
      <w:bookmarkEnd w:id="11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113" w:name="_Toc435522701"/>
      <w:bookmarkStart w:id="114" w:name="_Toc385939137"/>
      <w:bookmarkStart w:id="115" w:name="_Toc421720351"/>
      <w:r>
        <w:rPr>
          <w:rStyle w:val="CharSectno"/>
        </w:rPr>
        <w:t>18</w:t>
      </w:r>
      <w:r>
        <w:t>.</w:t>
      </w:r>
      <w:r>
        <w:tab/>
        <w:t>Regulations</w:t>
      </w:r>
      <w:bookmarkEnd w:id="113"/>
      <w:bookmarkEnd w:id="114"/>
      <w:bookmarkEnd w:id="1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6" w:name="_Toc435522655"/>
      <w:bookmarkStart w:id="117" w:name="_Toc435522702"/>
      <w:bookmarkStart w:id="118" w:name="_Toc385939138"/>
      <w:bookmarkStart w:id="119" w:name="_Toc421720325"/>
      <w:bookmarkStart w:id="120" w:name="_Toc421720352"/>
      <w:r>
        <w:rPr>
          <w:rStyle w:val="CharSchNo"/>
        </w:rPr>
        <w:t>Schedule 1</w:t>
      </w:r>
      <w:r>
        <w:rPr>
          <w:rStyle w:val="CharSDivNo"/>
        </w:rPr>
        <w:t> </w:t>
      </w:r>
      <w:r>
        <w:t>—</w:t>
      </w:r>
      <w:r>
        <w:rPr>
          <w:rStyle w:val="CharSDivText"/>
        </w:rPr>
        <w:t> </w:t>
      </w:r>
      <w:r>
        <w:rPr>
          <w:rStyle w:val="CharSchText"/>
        </w:rPr>
        <w:t>Form of statutory declaration</w:t>
      </w:r>
      <w:bookmarkEnd w:id="116"/>
      <w:bookmarkEnd w:id="117"/>
      <w:bookmarkEnd w:id="118"/>
      <w:bookmarkEnd w:id="119"/>
      <w:bookmarkEnd w:id="120"/>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121" w:name="_Toc435522656"/>
      <w:bookmarkStart w:id="122" w:name="_Toc435522703"/>
      <w:bookmarkStart w:id="123" w:name="_Toc385939139"/>
      <w:bookmarkStart w:id="124" w:name="_Toc421720326"/>
      <w:bookmarkStart w:id="125" w:name="_Toc421720353"/>
      <w:r>
        <w:rPr>
          <w:rStyle w:val="CharSchNo"/>
        </w:rPr>
        <w:t>Schedule 2</w:t>
      </w:r>
      <w:r>
        <w:rPr>
          <w:rStyle w:val="CharSDivNo"/>
        </w:rPr>
        <w:t> </w:t>
      </w:r>
      <w:r>
        <w:t>—</w:t>
      </w:r>
      <w:r>
        <w:rPr>
          <w:rStyle w:val="CharSDivText"/>
        </w:rPr>
        <w:t> </w:t>
      </w:r>
      <w:r>
        <w:rPr>
          <w:rStyle w:val="CharSchText"/>
        </w:rPr>
        <w:t>Authorised witnesses for statutory declarations</w:t>
      </w:r>
      <w:bookmarkEnd w:id="121"/>
      <w:bookmarkEnd w:id="122"/>
      <w:bookmarkEnd w:id="123"/>
      <w:bookmarkEnd w:id="124"/>
      <w:bookmarkEnd w:id="125"/>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ins w:id="126" w:author="svcMRProcess" w:date="2016-04-18T11:04:00Z">
              <w:r>
                <w:t xml:space="preserve"> or</w:t>
              </w:r>
            </w:ins>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w:t>
      </w:r>
      <w:del w:id="127" w:author="svcMRProcess" w:date="2016-04-18T11:04:00Z">
        <w:r>
          <w:delText xml:space="preserve"> </w:delText>
        </w:r>
      </w:del>
      <w:ins w:id="128" w:author="svcMRProcess" w:date="2016-04-18T11:04:00Z">
        <w:r>
          <w:t> </w:t>
        </w:r>
      </w:ins>
      <w:r>
        <w:t xml:space="preserve">21 of 2008 s. 684(5); No. 22 of 2008 </w:t>
      </w:r>
      <w:del w:id="129" w:author="svcMRProcess" w:date="2016-04-18T11:04:00Z">
        <w:r>
          <w:delText>s. 162</w:delText>
        </w:r>
      </w:del>
      <w:ins w:id="130" w:author="svcMRProcess" w:date="2016-04-18T11:04:00Z">
        <w:r>
          <w:t>Sch. 3 cl. 39</w:t>
        </w:r>
      </w:ins>
      <w:r>
        <w:t>; No. 35 of 2010 s. 120; No. 16 of 2012 s. 165.]</w:t>
      </w:r>
    </w:p>
    <w:p>
      <w:pPr>
        <w:pStyle w:val="CentredBaseLine"/>
        <w:jc w:val="center"/>
        <w:rPr>
          <w:ins w:id="131" w:author="svcMRProcess" w:date="2016-04-18T11:04:00Z"/>
        </w:rPr>
      </w:pPr>
      <w:ins w:id="132" w:author="svcMRProcess" w:date="2016-04-18T11: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37"/>
        </w:tabs>
        <w:ind w:left="337" w:hanging="337"/>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4" w:name="_Toc435522657"/>
      <w:bookmarkStart w:id="135" w:name="_Toc435522704"/>
      <w:bookmarkStart w:id="136" w:name="_Toc385939140"/>
      <w:bookmarkStart w:id="137" w:name="_Toc421720327"/>
      <w:bookmarkStart w:id="138" w:name="_Toc421720354"/>
      <w:r>
        <w:t>Notes</w:t>
      </w:r>
      <w:bookmarkEnd w:id="134"/>
      <w:bookmarkEnd w:id="135"/>
      <w:bookmarkEnd w:id="136"/>
      <w:bookmarkEnd w:id="137"/>
      <w:bookmarkEnd w:id="138"/>
    </w:p>
    <w:p>
      <w:pPr>
        <w:pStyle w:val="nSubsection"/>
      </w:pPr>
      <w:r>
        <w:rPr>
          <w:vertAlign w:val="superscript"/>
        </w:rPr>
        <w:t>1</w:t>
      </w:r>
      <w:r>
        <w:tab/>
        <w:t xml:space="preserve">This </w:t>
      </w:r>
      <w:ins w:id="139" w:author="svcMRProcess" w:date="2016-04-18T11:04:00Z">
        <w:r>
          <w:t xml:space="preserve">reprint </w:t>
        </w:r>
      </w:ins>
      <w:r>
        <w:t>is a compilation</w:t>
      </w:r>
      <w:ins w:id="140" w:author="svcMRProcess" w:date="2016-04-18T11:04:00Z">
        <w:r>
          <w:t xml:space="preserve"> as at 4 December 2015</w:t>
        </w:r>
      </w:ins>
      <w:r>
        <w:t xml:space="preserve"> of the </w:t>
      </w:r>
      <w:r>
        <w:rPr>
          <w:i/>
          <w:noProof/>
        </w:rPr>
        <w:t>Oaths, Affidavits and Statutory Declarations Act 2005</w:t>
      </w:r>
      <w: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141" w:name="_Toc435522705"/>
      <w:bookmarkStart w:id="142" w:name="_Toc385939141"/>
      <w:bookmarkStart w:id="143" w:name="_Toc421720355"/>
      <w:r>
        <w:rPr>
          <w:snapToGrid w:val="0"/>
        </w:rPr>
        <w:t>Compilation table</w:t>
      </w:r>
      <w:bookmarkEnd w:id="141"/>
      <w:bookmarkEnd w:id="142"/>
      <w:bookmarkEnd w:id="143"/>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6"/>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1"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1" w:type="dxa"/>
            <w:gridSpan w:val="2"/>
          </w:tcPr>
          <w:p>
            <w:pPr>
              <w:pStyle w:val="nTable"/>
              <w:spacing w:after="40"/>
            </w:pPr>
            <w:r>
              <w:t>9 Jun 2006</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1"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1"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w:t>
            </w:r>
            <w:del w:id="144" w:author="svcMRProcess" w:date="2016-04-18T11:04:00Z">
              <w:r>
                <w:delText>s. 162</w:delText>
              </w:r>
            </w:del>
            <w:ins w:id="145" w:author="svcMRProcess" w:date="2016-04-18T11:04:00Z">
              <w:r>
                <w:t>Sch. 3 cl. 39</w:t>
              </w:r>
            </w:ins>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1" w:type="dxa"/>
            <w:gridSpan w:val="2"/>
          </w:tcPr>
          <w:p>
            <w:pPr>
              <w:pStyle w:val="nTable"/>
              <w:spacing w:after="40"/>
            </w:pPr>
            <w:r>
              <w:t>10 Dec 2011 (see r. 2(b))</w:t>
            </w:r>
          </w:p>
        </w:tc>
      </w:tr>
      <w:tr>
        <w:trPr>
          <w:gridAfter w:val="1"/>
          <w:wAfter w:w="15"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5"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bl>
    <w:p>
      <w:pPr>
        <w:pStyle w:val="nSubsection"/>
        <w:keepLines/>
        <w:spacing w:before="160"/>
        <w:rPr>
          <w:del w:id="146" w:author="svcMRProcess" w:date="2016-04-18T11:04:00Z"/>
        </w:rPr>
      </w:pPr>
      <w:del w:id="147" w:author="svcMRProcess" w:date="2016-04-18T11:04:00Z">
        <w:r>
          <w:rPr>
            <w:snapToGrid w:val="0"/>
            <w:vertAlign w:val="superscript"/>
          </w:rPr>
          <w:delText>2</w:delText>
        </w:r>
        <w:r>
          <w:rPr>
            <w:snapToGrid w:val="0"/>
          </w:rPr>
          <w:tab/>
          <w:delText xml:space="preserve">Repealed by the </w:delText>
        </w:r>
        <w:r>
          <w:rPr>
            <w:i/>
            <w:iCs/>
          </w:rPr>
          <w:delText>Chiropractors Act 2005</w:delText>
        </w:r>
        <w:r>
          <w:delText xml:space="preserve"> s. 106.</w:delText>
        </w:r>
      </w:del>
    </w:p>
    <w:p>
      <w:pPr>
        <w:pStyle w:val="nSubsection"/>
        <w:keepLines/>
        <w:rPr>
          <w:del w:id="148" w:author="svcMRProcess" w:date="2016-04-18T11:04:00Z"/>
        </w:rPr>
      </w:pPr>
      <w:del w:id="149" w:author="svcMRProcess" w:date="2016-04-18T11:04:00Z">
        <w:r>
          <w:rPr>
            <w:snapToGrid w:val="0"/>
            <w:vertAlign w:val="superscript"/>
          </w:rPr>
          <w:delText>3</w:delText>
        </w:r>
        <w:r>
          <w:rPr>
            <w:snapToGrid w:val="0"/>
          </w:rPr>
          <w:tab/>
          <w:delText xml:space="preserve">Repealed by the </w:delText>
        </w:r>
        <w:r>
          <w:rPr>
            <w:i/>
            <w:color w:val="000000"/>
          </w:rPr>
          <w:delText>Nurses and Midwives Act 2006</w:delText>
        </w:r>
        <w:r>
          <w:rPr>
            <w:iCs/>
            <w:color w:val="000000"/>
          </w:rPr>
          <w:delText xml:space="preserve"> s. 111</w:delText>
        </w:r>
        <w:r>
          <w:delText>.</w:delText>
        </w:r>
      </w:del>
    </w:p>
    <w:p>
      <w:pPr>
        <w:pStyle w:val="nSubsection"/>
        <w:keepLines/>
        <w:rPr>
          <w:del w:id="150" w:author="svcMRProcess" w:date="2016-04-18T11:04:00Z"/>
        </w:rPr>
      </w:pPr>
      <w:del w:id="151" w:author="svcMRProcess" w:date="2016-04-18T11:04:00Z">
        <w:r>
          <w:rPr>
            <w:snapToGrid w:val="0"/>
            <w:vertAlign w:val="superscript"/>
          </w:rPr>
          <w:delText>4</w:delText>
        </w:r>
        <w:r>
          <w:rPr>
            <w:snapToGrid w:val="0"/>
          </w:rPr>
          <w:tab/>
          <w:delText xml:space="preserve">Repealed by the </w:delText>
        </w:r>
        <w:r>
          <w:rPr>
            <w:i/>
            <w:iCs/>
            <w:snapToGrid w:val="0"/>
          </w:rPr>
          <w:delText>Optometrists</w:delText>
        </w:r>
        <w:r>
          <w:rPr>
            <w:i/>
            <w:iCs/>
          </w:rPr>
          <w:delText xml:space="preserve"> Act 2005 </w:delText>
        </w:r>
        <w:r>
          <w:delText>s. 106.</w:delText>
        </w:r>
      </w:del>
    </w:p>
    <w:p>
      <w:pPr>
        <w:pStyle w:val="nSubsection"/>
        <w:keepLines/>
        <w:rPr>
          <w:del w:id="152" w:author="svcMRProcess" w:date="2016-04-18T11:04:00Z"/>
        </w:rPr>
      </w:pPr>
      <w:del w:id="153" w:author="svcMRProcess" w:date="2016-04-18T11:04:00Z">
        <w:r>
          <w:rPr>
            <w:snapToGrid w:val="0"/>
            <w:vertAlign w:val="superscript"/>
          </w:rPr>
          <w:delText>5</w:delText>
        </w:r>
        <w:r>
          <w:rPr>
            <w:snapToGrid w:val="0"/>
          </w:rPr>
          <w:tab/>
          <w:delText xml:space="preserve">Repealed by the </w:delText>
        </w:r>
        <w:r>
          <w:rPr>
            <w:i/>
            <w:iCs/>
            <w:snapToGrid w:val="0"/>
          </w:rPr>
          <w:delText>Physiotherapists</w:delText>
        </w:r>
        <w:r>
          <w:rPr>
            <w:i/>
            <w:iCs/>
          </w:rPr>
          <w:delText xml:space="preserve"> Act 2005</w:delText>
        </w:r>
        <w:r>
          <w:delText xml:space="preserve"> s. 106.</w:delText>
        </w:r>
      </w:del>
    </w:p>
    <w:p>
      <w:pPr>
        <w:pStyle w:val="nSubsection"/>
        <w:keepLines/>
        <w:rPr>
          <w:del w:id="154" w:author="svcMRProcess" w:date="2016-04-18T11:04:00Z"/>
        </w:rPr>
      </w:pPr>
      <w:del w:id="155" w:author="svcMRProcess" w:date="2016-04-18T11:04:00Z">
        <w:r>
          <w:rPr>
            <w:vertAlign w:val="superscript"/>
          </w:rPr>
          <w:delText>6</w:delText>
        </w:r>
        <w:r>
          <w:rPr>
            <w:vertAlign w:val="superscript"/>
          </w:rPr>
          <w:tab/>
        </w:r>
        <w:r>
          <w:rPr>
            <w:snapToGrid w:val="0"/>
          </w:rPr>
          <w:delText xml:space="preserve">Repealed by the </w:delText>
        </w:r>
        <w:r>
          <w:rPr>
            <w:i/>
            <w:iCs/>
            <w:snapToGrid w:val="0"/>
          </w:rPr>
          <w:delText>Podiatrists</w:delText>
        </w:r>
        <w:r>
          <w:rPr>
            <w:i/>
            <w:iCs/>
          </w:rPr>
          <w:delText xml:space="preserve"> Act 2005</w:delText>
        </w:r>
        <w:r>
          <w:delText xml:space="preserve"> s. 106.</w:delText>
        </w:r>
      </w:del>
    </w:p>
    <w:p>
      <w:pPr>
        <w:pStyle w:val="nSubsection"/>
        <w:keepLines/>
        <w:rPr>
          <w:del w:id="156" w:author="svcMRProcess" w:date="2016-04-18T11:04:00Z"/>
          <w:snapToGrid w:val="0"/>
        </w:rPr>
      </w:pPr>
      <w:del w:id="157" w:author="svcMRProcess" w:date="2016-04-18T11:04:00Z">
        <w:r>
          <w:rPr>
            <w:vertAlign w:val="superscript"/>
          </w:rPr>
          <w:delText>7</w:delText>
        </w:r>
        <w:r>
          <w:rPr>
            <w:vertAlign w:val="superscript"/>
          </w:rPr>
          <w:tab/>
        </w:r>
        <w:r>
          <w:rPr>
            <w:snapToGrid w:val="0"/>
          </w:rPr>
          <w:delText xml:space="preserve">Repealed by the </w:delText>
        </w:r>
        <w:r>
          <w:rPr>
            <w:i/>
            <w:iCs/>
            <w:snapToGrid w:val="0"/>
          </w:rPr>
          <w:delText>Psychologists</w:delText>
        </w:r>
        <w:r>
          <w:rPr>
            <w:i/>
            <w:iCs/>
          </w:rPr>
          <w:delText xml:space="preserve"> Act 2005</w:delText>
        </w:r>
        <w:r>
          <w:delText xml:space="preserve"> s. 105.</w:delText>
        </w:r>
      </w:del>
    </w:p>
    <w:p>
      <w:pPr>
        <w:rPr>
          <w:del w:id="158" w:author="svcMRProcess" w:date="2016-04-18T11:04:00Z"/>
        </w:rPr>
      </w:pPr>
    </w:p>
    <w:p>
      <w:pPr>
        <w:rPr>
          <w:del w:id="159" w:author="svcMRProcess" w:date="2016-04-18T11:04:00Z"/>
        </w:r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tbl>
      <w:tblPr>
        <w:tblW w:w="0" w:type="auto"/>
        <w:tblInd w:w="14" w:type="dxa"/>
        <w:tblLayout w:type="fixed"/>
        <w:tblCellMar>
          <w:left w:w="56" w:type="dxa"/>
          <w:right w:w="56" w:type="dxa"/>
        </w:tblCellMar>
        <w:tblLook w:val="0000" w:firstRow="0" w:lastRow="0" w:firstColumn="0" w:lastColumn="0" w:noHBand="0" w:noVBand="0"/>
      </w:tblPr>
      <w:tblGrid>
        <w:gridCol w:w="7087"/>
      </w:tblGrid>
      <w:tr>
        <w:trPr>
          <w:cantSplit/>
          <w:ins w:id="160" w:author="svcMRProcess" w:date="2016-04-18T11:04:00Z"/>
        </w:trPr>
        <w:tc>
          <w:tcPr>
            <w:tcW w:w="7087" w:type="dxa"/>
            <w:tcBorders>
              <w:bottom w:val="single" w:sz="8" w:space="0" w:color="auto"/>
            </w:tcBorders>
            <w:shd w:val="clear" w:color="auto" w:fill="auto"/>
          </w:tcPr>
          <w:p>
            <w:pPr>
              <w:pStyle w:val="nTable"/>
              <w:spacing w:after="40"/>
              <w:rPr>
                <w:ins w:id="161" w:author="svcMRProcess" w:date="2016-04-18T11:04:00Z"/>
                <w:snapToGrid w:val="0"/>
              </w:rPr>
            </w:pPr>
            <w:ins w:id="162" w:author="svcMRProcess" w:date="2016-04-18T11:04:00Z">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ins>
          </w:p>
        </w:tc>
      </w:tr>
    </w:tbl>
    <w:p>
      <w:pPr>
        <w:pStyle w:val="nSubsection"/>
        <w:keepLines/>
        <w:rPr>
          <w:ins w:id="163" w:author="svcMRProcess" w:date="2016-04-18T11:04:00Z"/>
        </w:rPr>
      </w:pPr>
    </w:p>
    <w:p>
      <w:pPr>
        <w:rPr>
          <w:ins w:id="164" w:author="svcMRProcess" w:date="2016-04-18T11:04:00Z"/>
        </w:r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ins w:id="166" w:author="svcMRProcess" w:date="2016-04-18T11:04: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67" w:author="svcMRProcess" w:date="2016-04-18T11:04:00Z"/>
                                  <w:rFonts w:ascii="Arial" w:hAnsi="Arial" w:cs="Arial"/>
                                  <w:sz w:val="12"/>
                                </w:rPr>
                              </w:pPr>
                              <w:ins w:id="168" w:author="svcMRProcess" w:date="2016-04-18T11:04: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ins w:id="169" w:author="svcMRProcess" w:date="2016-04-18T11:04:00Z"/>
                            <w:rFonts w:ascii="Arial" w:hAnsi="Arial" w:cs="Arial"/>
                            <w:sz w:val="12"/>
                          </w:rPr>
                        </w:pPr>
                        <w:ins w:id="170" w:author="svcMRProcess" w:date="2016-04-18T11:04: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17D1-0047-4AAD-8EE0-95FF97C6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4421</Words>
  <Characters>21267</Characters>
  <Application>Microsoft Office Word</Application>
  <DocSecurity>0</DocSecurity>
  <Lines>733</Lines>
  <Paragraphs>467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01-i0-05 - 02-a0-02</dc:title>
  <dc:subject/>
  <dc:creator/>
  <cp:keywords/>
  <dc:description/>
  <cp:lastModifiedBy>svcMRProcess</cp:lastModifiedBy>
  <cp:revision>2</cp:revision>
  <cp:lastPrinted>2015-12-04T03:04:00Z</cp:lastPrinted>
  <dcterms:created xsi:type="dcterms:W3CDTF">2016-04-18T03:04:00Z</dcterms:created>
  <dcterms:modified xsi:type="dcterms:W3CDTF">2016-04-18T03:04:00Z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20151204</vt:lpwstr>
  </property>
  <property fmtid="{D5CDD505-2E9C-101B-9397-08002B2CF9AE}" pid="8" name="FromSuffix">
    <vt:lpwstr>01-i0-05</vt:lpwstr>
  </property>
  <property fmtid="{D5CDD505-2E9C-101B-9397-08002B2CF9AE}" pid="9" name="FromAsAtDate">
    <vt:lpwstr>18 Apr 2014</vt:lpwstr>
  </property>
  <property fmtid="{D5CDD505-2E9C-101B-9397-08002B2CF9AE}" pid="10" name="ToSuffix">
    <vt:lpwstr>02-a0-02</vt:lpwstr>
  </property>
  <property fmtid="{D5CDD505-2E9C-101B-9397-08002B2CF9AE}" pid="11" name="ToAsAtDate">
    <vt:lpwstr>04 Dec 2015</vt:lpwstr>
  </property>
</Properties>
</file>