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2016</w:t>
      </w:r>
      <w:r>
        <w:fldChar w:fldCharType="end"/>
      </w:r>
      <w:r>
        <w:t xml:space="preserve">, </w:t>
      </w:r>
      <w:r>
        <w:fldChar w:fldCharType="begin"/>
      </w:r>
      <w:r>
        <w:instrText xml:space="preserve"> DocProperty FromSuffix </w:instrText>
      </w:r>
      <w:r>
        <w:fldChar w:fldCharType="separate"/>
      </w:r>
      <w:r>
        <w:t>20-d0-00</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20-e0-01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27757358"/>
      <w:bookmarkStart w:id="5" w:name="_Toc431889367"/>
      <w:bookmarkStart w:id="6" w:name="_Toc437952238"/>
      <w:bookmarkStart w:id="7" w:name="_Toc44727002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450311553"/>
      <w:bookmarkStart w:id="9" w:name="_Toc44727003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50311554"/>
      <w:bookmarkStart w:id="11" w:name="_Toc447270031"/>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450311555"/>
      <w:bookmarkStart w:id="13" w:name="_Toc447270032"/>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450306263"/>
      <w:bookmarkStart w:id="15" w:name="_Toc450311556"/>
      <w:bookmarkStart w:id="16" w:name="_Toc427757362"/>
      <w:bookmarkStart w:id="17" w:name="_Toc431889371"/>
      <w:bookmarkStart w:id="18" w:name="_Toc437952242"/>
      <w:bookmarkStart w:id="19" w:name="_Toc447270033"/>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450306264"/>
      <w:bookmarkStart w:id="21" w:name="_Toc450311557"/>
      <w:bookmarkStart w:id="22" w:name="_Toc427757363"/>
      <w:bookmarkStart w:id="23" w:name="_Toc431889372"/>
      <w:bookmarkStart w:id="24" w:name="_Toc437952243"/>
      <w:bookmarkStart w:id="25" w:name="_Toc447270034"/>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by No. 19 of 2010 s. 44(2).]</w:t>
      </w:r>
    </w:p>
    <w:p>
      <w:pPr>
        <w:pStyle w:val="Heading5"/>
        <w:rPr>
          <w:snapToGrid w:val="0"/>
        </w:rPr>
      </w:pPr>
      <w:bookmarkStart w:id="26" w:name="_Toc450311558"/>
      <w:bookmarkStart w:id="27" w:name="_Toc447270035"/>
      <w:r>
        <w:rPr>
          <w:rStyle w:val="CharSectno"/>
        </w:rPr>
        <w:t>5</w:t>
      </w:r>
      <w:r>
        <w:rPr>
          <w:snapToGrid w:val="0"/>
        </w:rPr>
        <w:t>.</w:t>
      </w:r>
      <w:r>
        <w:rPr>
          <w:snapToGrid w:val="0"/>
        </w:rPr>
        <w:tab/>
        <w:t>Constitution of Legislative Council</w:t>
      </w:r>
      <w:bookmarkEnd w:id="26"/>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8" w:name="_Toc450311559"/>
      <w:bookmarkStart w:id="29" w:name="_Toc447270036"/>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0" w:name="_Toc450311560"/>
      <w:bookmarkStart w:id="31" w:name="_Toc447270037"/>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2" w:name="_Toc450311561"/>
      <w:bookmarkStart w:id="33" w:name="_Toc447270038"/>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4" w:name="_Toc450311562"/>
      <w:bookmarkStart w:id="35" w:name="_Toc447270039"/>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6" w:name="_Toc450311563"/>
      <w:bookmarkStart w:id="37" w:name="_Toc447270040"/>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8" w:name="_Toc450311564"/>
      <w:bookmarkStart w:id="39" w:name="_Toc447270041"/>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450311565"/>
      <w:bookmarkStart w:id="41" w:name="_Toc447270042"/>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2" w:name="_Toc450306273"/>
      <w:bookmarkStart w:id="43" w:name="_Toc450311566"/>
      <w:bookmarkStart w:id="44" w:name="_Toc427757372"/>
      <w:bookmarkStart w:id="45" w:name="_Toc431889381"/>
      <w:bookmarkStart w:id="46" w:name="_Toc437952252"/>
      <w:bookmarkStart w:id="47" w:name="_Toc447270043"/>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by No. 19 of 2010 s. 44(2).]</w:t>
      </w:r>
    </w:p>
    <w:p>
      <w:pPr>
        <w:pStyle w:val="Heading5"/>
        <w:keepNext w:val="0"/>
        <w:keepLines w:val="0"/>
        <w:spacing w:before="240"/>
      </w:pPr>
      <w:bookmarkStart w:id="48" w:name="_Toc450311567"/>
      <w:bookmarkStart w:id="49" w:name="_Toc447270044"/>
      <w:r>
        <w:rPr>
          <w:rStyle w:val="CharSectno"/>
        </w:rPr>
        <w:t>18</w:t>
      </w:r>
      <w:r>
        <w:t>.</w:t>
      </w:r>
      <w:r>
        <w:tab/>
        <w:t>Constitution of Legislative Assembly</w:t>
      </w:r>
      <w:bookmarkEnd w:id="48"/>
      <w:bookmarkEnd w:id="4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0" w:name="_Toc450311568"/>
      <w:bookmarkStart w:id="51" w:name="_Toc447270045"/>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2" w:name="_Toc450311569"/>
      <w:bookmarkStart w:id="53" w:name="_Toc447270046"/>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450311570"/>
      <w:bookmarkStart w:id="55" w:name="_Toc447270047"/>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450311571"/>
      <w:bookmarkStart w:id="57" w:name="_Toc447270048"/>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450311572"/>
      <w:bookmarkStart w:id="59" w:name="_Toc447270049"/>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0" w:name="_Toc450306280"/>
      <w:bookmarkStart w:id="61" w:name="_Toc450311573"/>
      <w:bookmarkStart w:id="62" w:name="_Toc427757379"/>
      <w:bookmarkStart w:id="63" w:name="_Toc431889388"/>
      <w:bookmarkStart w:id="64" w:name="_Toc437952259"/>
      <w:bookmarkStart w:id="65" w:name="_Toc447270050"/>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6" w:name="_Toc450311574"/>
      <w:bookmarkStart w:id="67" w:name="_Toc447270051"/>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8" w:name="_Toc450311575"/>
      <w:bookmarkStart w:id="69" w:name="_Toc447270052"/>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0" w:name="_Toc450311576"/>
      <w:bookmarkStart w:id="71" w:name="_Toc447270053"/>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72" w:name="_Toc450311577"/>
      <w:bookmarkStart w:id="73" w:name="_Toc447270054"/>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74" w:name="_Toc450311578"/>
      <w:bookmarkStart w:id="75" w:name="_Toc447270055"/>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6" w:name="_Toc450311579"/>
      <w:bookmarkStart w:id="77" w:name="_Toc447270056"/>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8" w:name="_Toc450311580"/>
      <w:bookmarkStart w:id="79" w:name="_Toc447270057"/>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0" w:name="_Toc450311581"/>
      <w:bookmarkStart w:id="81" w:name="_Toc447270058"/>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2" w:name="_Toc450311582"/>
      <w:bookmarkStart w:id="83" w:name="_Toc447270059"/>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4" w:name="_Toc450311583"/>
      <w:bookmarkStart w:id="85" w:name="_Toc447270060"/>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86" w:name="_Toc450311584"/>
      <w:bookmarkStart w:id="87" w:name="_Toc447270061"/>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8" w:name="_Toc450306292"/>
      <w:bookmarkStart w:id="89" w:name="_Toc450311585"/>
      <w:bookmarkStart w:id="90" w:name="_Toc427757391"/>
      <w:bookmarkStart w:id="91" w:name="_Toc431889400"/>
      <w:bookmarkStart w:id="92" w:name="_Toc437952271"/>
      <w:bookmarkStart w:id="93" w:name="_Toc447270062"/>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450311586"/>
      <w:bookmarkStart w:id="95" w:name="_Toc447270063"/>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6" w:name="_Toc450311587"/>
      <w:bookmarkStart w:id="97" w:name="_Toc447270064"/>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450311588"/>
      <w:bookmarkStart w:id="99" w:name="_Toc447270065"/>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0" w:name="_Toc450311589"/>
      <w:bookmarkStart w:id="101" w:name="_Toc447270066"/>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2" w:name="_Toc450306297"/>
      <w:bookmarkStart w:id="103" w:name="_Toc450311590"/>
      <w:bookmarkStart w:id="104" w:name="_Toc427757396"/>
      <w:bookmarkStart w:id="105" w:name="_Toc431889405"/>
      <w:bookmarkStart w:id="106" w:name="_Toc437952276"/>
      <w:bookmarkStart w:id="107" w:name="_Toc447270067"/>
      <w:r>
        <w:rPr>
          <w:rStyle w:val="CharPartNo"/>
        </w:rPr>
        <w:t>Part III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rPr>
          <w:snapToGrid w:val="0"/>
        </w:rPr>
      </w:pPr>
      <w:bookmarkStart w:id="108" w:name="_Toc450311591"/>
      <w:bookmarkStart w:id="109" w:name="_Toc447270068"/>
      <w:r>
        <w:rPr>
          <w:rStyle w:val="CharSectno"/>
        </w:rPr>
        <w:t>46</w:t>
      </w:r>
      <w:r>
        <w:rPr>
          <w:snapToGrid w:val="0"/>
        </w:rPr>
        <w:t>.</w:t>
      </w:r>
      <w:r>
        <w:rPr>
          <w:snapToGrid w:val="0"/>
        </w:rPr>
        <w:tab/>
        <w:t>Powers of the 2 Houses in respect of legislation</w:t>
      </w:r>
      <w:bookmarkEnd w:id="108"/>
      <w:bookmarkEnd w:id="10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0" w:name="_Toc450311592"/>
      <w:bookmarkStart w:id="111" w:name="_Toc447270069"/>
      <w:r>
        <w:rPr>
          <w:rStyle w:val="CharSectno"/>
        </w:rPr>
        <w:t>48</w:t>
      </w:r>
      <w:r>
        <w:rPr>
          <w:snapToGrid w:val="0"/>
        </w:rPr>
        <w:t>.</w:t>
      </w:r>
      <w:r>
        <w:rPr>
          <w:snapToGrid w:val="0"/>
        </w:rPr>
        <w:tab/>
        <w:t>Revision or compilation of electoral rolls upon commencement of Act</w:t>
      </w:r>
      <w:bookmarkEnd w:id="110"/>
      <w:bookmarkEnd w:id="11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2" w:name="_Toc450311593"/>
      <w:bookmarkStart w:id="113" w:name="_Toc447270070"/>
      <w:r>
        <w:rPr>
          <w:rStyle w:val="CharSectno"/>
        </w:rPr>
        <w:t>49</w:t>
      </w:r>
      <w:r>
        <w:rPr>
          <w:snapToGrid w:val="0"/>
        </w:rPr>
        <w:t>.</w:t>
      </w:r>
      <w:r>
        <w:rPr>
          <w:snapToGrid w:val="0"/>
        </w:rPr>
        <w:tab/>
        <w:t>Commencement of action</w:t>
      </w:r>
      <w:bookmarkEnd w:id="112"/>
      <w:bookmarkEnd w:id="11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4" w:name="_Toc450311594"/>
      <w:bookmarkStart w:id="115" w:name="_Toc447270071"/>
      <w:r>
        <w:rPr>
          <w:rStyle w:val="CharSectno"/>
        </w:rPr>
        <w:t>50</w:t>
      </w:r>
      <w:r>
        <w:rPr>
          <w:snapToGrid w:val="0"/>
        </w:rPr>
        <w:t>.</w:t>
      </w:r>
      <w:r>
        <w:rPr>
          <w:snapToGrid w:val="0"/>
        </w:rPr>
        <w:tab/>
        <w:t>Plaintiff to give security for costs</w:t>
      </w:r>
      <w:bookmarkEnd w:id="114"/>
      <w:bookmarkEnd w:id="11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16" w:name="_Toc450311595"/>
      <w:bookmarkStart w:id="117" w:name="_Toc447270072"/>
      <w:r>
        <w:rPr>
          <w:rStyle w:val="CharSectno"/>
        </w:rPr>
        <w:t>51</w:t>
      </w:r>
      <w:r>
        <w:rPr>
          <w:snapToGrid w:val="0"/>
        </w:rPr>
        <w:t>.</w:t>
      </w:r>
      <w:r>
        <w:rPr>
          <w:snapToGrid w:val="0"/>
        </w:rPr>
        <w:tab/>
        <w:t>No action to lie against officials of either House</w:t>
      </w:r>
      <w:bookmarkEnd w:id="116"/>
      <w:bookmarkEnd w:id="11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8" w:name="_Toc450311596"/>
      <w:bookmarkStart w:id="119" w:name="_Toc447270073"/>
      <w:r>
        <w:rPr>
          <w:rStyle w:val="CharSectno"/>
        </w:rPr>
        <w:t>52</w:t>
      </w:r>
      <w:r>
        <w:rPr>
          <w:snapToGrid w:val="0"/>
        </w:rPr>
        <w:t>.</w:t>
      </w:r>
      <w:r>
        <w:rPr>
          <w:snapToGrid w:val="0"/>
        </w:rPr>
        <w:tab/>
        <w:t>Proclamation of Royal Assent and commencement of Act</w:t>
      </w:r>
      <w:bookmarkEnd w:id="118"/>
      <w:bookmarkEnd w:id="11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0" w:name="_Toc450306304"/>
      <w:bookmarkStart w:id="121" w:name="_Toc450311597"/>
      <w:bookmarkStart w:id="122" w:name="_Toc427757403"/>
      <w:bookmarkStart w:id="123" w:name="_Toc431889412"/>
      <w:bookmarkStart w:id="124" w:name="_Toc437952283"/>
      <w:bookmarkStart w:id="125" w:name="_Toc447270074"/>
      <w:r>
        <w:rPr>
          <w:rStyle w:val="CharSchNo"/>
        </w:rPr>
        <w:t>Schedule I</w:t>
      </w:r>
      <w:r>
        <w:rPr>
          <w:rStyle w:val="CharSDivNo"/>
        </w:rPr>
        <w:t> </w:t>
      </w:r>
      <w:r>
        <w:t>—</w:t>
      </w:r>
      <w:r>
        <w:rPr>
          <w:rStyle w:val="CharSDivText"/>
        </w:rPr>
        <w:t> </w:t>
      </w:r>
      <w:r>
        <w:rPr>
          <w:rStyle w:val="CharSchText"/>
        </w:rPr>
        <w:t>Enactments repealed</w:t>
      </w:r>
      <w:bookmarkEnd w:id="120"/>
      <w:bookmarkEnd w:id="121"/>
      <w:bookmarkEnd w:id="122"/>
      <w:bookmarkEnd w:id="123"/>
      <w:bookmarkEnd w:id="124"/>
      <w:bookmarkEnd w:id="125"/>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26" w:name="_Toc450306305"/>
      <w:bookmarkStart w:id="127" w:name="_Toc450311598"/>
      <w:bookmarkStart w:id="128" w:name="_Toc427757404"/>
      <w:bookmarkStart w:id="129" w:name="_Toc431889413"/>
      <w:bookmarkStart w:id="130" w:name="_Toc437952284"/>
      <w:bookmarkStart w:id="131" w:name="_Toc447270075"/>
      <w:r>
        <w:rPr>
          <w:rStyle w:val="CharSchNo"/>
        </w:rPr>
        <w:t>Schedule V</w:t>
      </w:r>
      <w:r>
        <w:t> — </w:t>
      </w:r>
      <w:r>
        <w:rPr>
          <w:rStyle w:val="CharSchText"/>
        </w:rPr>
        <w:t>Offices and bodies to which Part I Division 3 applies</w:t>
      </w:r>
      <w:bookmarkEnd w:id="126"/>
      <w:bookmarkEnd w:id="127"/>
      <w:bookmarkEnd w:id="128"/>
      <w:bookmarkEnd w:id="129"/>
      <w:bookmarkEnd w:id="130"/>
      <w:bookmarkEnd w:id="131"/>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32" w:name="_Toc450306306"/>
      <w:bookmarkStart w:id="133" w:name="_Toc450311599"/>
      <w:bookmarkStart w:id="134" w:name="_Toc427757405"/>
      <w:bookmarkStart w:id="135" w:name="_Toc431889414"/>
      <w:bookmarkStart w:id="136" w:name="_Toc437952285"/>
      <w:bookmarkStart w:id="137" w:name="_Toc447270076"/>
      <w:r>
        <w:rPr>
          <w:rStyle w:val="CharSDivNo"/>
          <w:rFonts w:eastAsia="MS Mincho"/>
        </w:rPr>
        <w:t>Part 1</w:t>
      </w:r>
      <w:r>
        <w:rPr>
          <w:rFonts w:eastAsia="MS Mincho"/>
          <w:b w:val="0"/>
        </w:rPr>
        <w:t> — </w:t>
      </w:r>
      <w:r>
        <w:rPr>
          <w:rStyle w:val="CharSDivText"/>
          <w:rFonts w:eastAsia="MS Mincho"/>
        </w:rPr>
        <w:t>Disqualifying offices</w:t>
      </w:r>
      <w:bookmarkEnd w:id="132"/>
      <w:bookmarkEnd w:id="133"/>
      <w:bookmarkEnd w:id="134"/>
      <w:bookmarkEnd w:id="135"/>
      <w:bookmarkEnd w:id="136"/>
      <w:bookmarkEnd w:id="137"/>
    </w:p>
    <w:p>
      <w:pPr>
        <w:pStyle w:val="yFootnoteheading"/>
      </w:pPr>
      <w:r>
        <w:tab/>
        <w:t>[Heading inserted by No. 19 of 2010 s. 14(3).]</w:t>
      </w:r>
    </w:p>
    <w:p>
      <w:pPr>
        <w:pStyle w:val="yHeading4"/>
        <w:spacing w:before="260"/>
        <w:rPr>
          <w:rFonts w:eastAsia="MS Mincho"/>
        </w:rPr>
      </w:pPr>
      <w:bookmarkStart w:id="138" w:name="_Toc450306307"/>
      <w:bookmarkStart w:id="139" w:name="_Toc450311600"/>
      <w:bookmarkStart w:id="140" w:name="_Toc427757406"/>
      <w:bookmarkStart w:id="141" w:name="_Toc431889415"/>
      <w:bookmarkStart w:id="142" w:name="_Toc437952286"/>
      <w:bookmarkStart w:id="143" w:name="_Toc447270077"/>
      <w:r>
        <w:rPr>
          <w:rFonts w:eastAsia="MS Mincho"/>
        </w:rPr>
        <w:t>Division 1</w:t>
      </w:r>
      <w:r>
        <w:rPr>
          <w:rFonts w:eastAsia="MS Mincho"/>
          <w:b w:val="0"/>
        </w:rPr>
        <w:t> — </w:t>
      </w:r>
      <w:r>
        <w:rPr>
          <w:rFonts w:eastAsia="MS Mincho"/>
        </w:rPr>
        <w:t>Judicial, tribunal and similar offices</w:t>
      </w:r>
      <w:bookmarkEnd w:id="138"/>
      <w:bookmarkEnd w:id="139"/>
      <w:bookmarkEnd w:id="140"/>
      <w:bookmarkEnd w:id="141"/>
      <w:bookmarkEnd w:id="142"/>
      <w:bookmarkEnd w:id="14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44" w:name="_Toc450306308"/>
      <w:bookmarkStart w:id="145" w:name="_Toc450311601"/>
      <w:bookmarkStart w:id="146" w:name="_Toc427757407"/>
      <w:bookmarkStart w:id="147" w:name="_Toc431889416"/>
      <w:bookmarkStart w:id="148" w:name="_Toc437952287"/>
      <w:bookmarkStart w:id="149" w:name="_Toc447270078"/>
      <w:r>
        <w:rPr>
          <w:rFonts w:eastAsia="MS Mincho"/>
        </w:rPr>
        <w:t>Division 2</w:t>
      </w:r>
      <w:r>
        <w:rPr>
          <w:rFonts w:eastAsia="MS Mincho"/>
          <w:b w:val="0"/>
        </w:rPr>
        <w:t> — </w:t>
      </w:r>
      <w:r>
        <w:rPr>
          <w:rFonts w:eastAsia="MS Mincho"/>
        </w:rPr>
        <w:t>Other offices</w:t>
      </w:r>
      <w:bookmarkEnd w:id="144"/>
      <w:bookmarkEnd w:id="145"/>
      <w:bookmarkEnd w:id="146"/>
      <w:bookmarkEnd w:id="147"/>
      <w:bookmarkEnd w:id="148"/>
      <w:bookmarkEnd w:id="14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50" w:name="_Toc450306309"/>
      <w:bookmarkStart w:id="151" w:name="_Toc450311602"/>
      <w:bookmarkStart w:id="152" w:name="_Toc427757408"/>
      <w:bookmarkStart w:id="153" w:name="_Toc431889417"/>
      <w:bookmarkStart w:id="154" w:name="_Toc437952288"/>
      <w:bookmarkStart w:id="155" w:name="_Toc447270079"/>
      <w:r>
        <w:rPr>
          <w:rStyle w:val="CharSDivNo"/>
          <w:rFonts w:eastAsia="MS Mincho"/>
        </w:rPr>
        <w:t>Part 2</w:t>
      </w:r>
      <w:r>
        <w:rPr>
          <w:rFonts w:eastAsia="MS Mincho"/>
          <w:b w:val="0"/>
        </w:rPr>
        <w:t> — </w:t>
      </w:r>
      <w:r>
        <w:rPr>
          <w:rStyle w:val="CharSDivText"/>
          <w:rFonts w:eastAsia="MS Mincho"/>
        </w:rPr>
        <w:t>Offices or places vacated on election</w:t>
      </w:r>
      <w:bookmarkEnd w:id="150"/>
      <w:bookmarkEnd w:id="151"/>
      <w:bookmarkEnd w:id="152"/>
      <w:bookmarkEnd w:id="153"/>
      <w:bookmarkEnd w:id="154"/>
      <w:bookmarkEnd w:id="155"/>
    </w:p>
    <w:p>
      <w:pPr>
        <w:pStyle w:val="yFootnoteheading"/>
      </w:pPr>
      <w:r>
        <w:tab/>
        <w:t>[Heading inserted by No. 19 of 2010 s. 14(5).]</w:t>
      </w:r>
    </w:p>
    <w:p>
      <w:pPr>
        <w:pStyle w:val="yHeading4"/>
        <w:spacing w:before="260"/>
        <w:rPr>
          <w:rFonts w:eastAsia="MS Mincho"/>
        </w:rPr>
      </w:pPr>
      <w:bookmarkStart w:id="156" w:name="_Toc450306310"/>
      <w:bookmarkStart w:id="157" w:name="_Toc450311603"/>
      <w:bookmarkStart w:id="158" w:name="_Toc427757409"/>
      <w:bookmarkStart w:id="159" w:name="_Toc431889418"/>
      <w:bookmarkStart w:id="160" w:name="_Toc437952289"/>
      <w:bookmarkStart w:id="161" w:name="_Toc447270080"/>
      <w:r>
        <w:rPr>
          <w:rFonts w:eastAsia="MS Mincho"/>
        </w:rPr>
        <w:t>Division 1</w:t>
      </w:r>
      <w:r>
        <w:rPr>
          <w:rFonts w:eastAsia="MS Mincho"/>
          <w:b w:val="0"/>
        </w:rPr>
        <w:t> — </w:t>
      </w:r>
      <w:r>
        <w:rPr>
          <w:rFonts w:eastAsia="MS Mincho"/>
        </w:rPr>
        <w:t>Tribunal and board offices</w:t>
      </w:r>
      <w:bookmarkEnd w:id="156"/>
      <w:bookmarkEnd w:id="157"/>
      <w:bookmarkEnd w:id="158"/>
      <w:bookmarkEnd w:id="159"/>
      <w:bookmarkEnd w:id="160"/>
      <w:bookmarkEnd w:id="16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62" w:name="_Toc450306311"/>
      <w:bookmarkStart w:id="163" w:name="_Toc450311604"/>
      <w:bookmarkStart w:id="164" w:name="_Toc427757410"/>
      <w:bookmarkStart w:id="165" w:name="_Toc431889419"/>
      <w:bookmarkStart w:id="166" w:name="_Toc437952290"/>
      <w:bookmarkStart w:id="167" w:name="_Toc447270081"/>
      <w:r>
        <w:rPr>
          <w:rFonts w:eastAsia="MS Mincho"/>
        </w:rPr>
        <w:t>Division 2</w:t>
      </w:r>
      <w:r>
        <w:rPr>
          <w:rFonts w:eastAsia="MS Mincho"/>
          <w:b w:val="0"/>
        </w:rPr>
        <w:t> — </w:t>
      </w:r>
      <w:r>
        <w:rPr>
          <w:rFonts w:eastAsia="MS Mincho"/>
        </w:rPr>
        <w:t>Other offices or places</w:t>
      </w:r>
      <w:bookmarkEnd w:id="162"/>
      <w:bookmarkEnd w:id="163"/>
      <w:bookmarkEnd w:id="164"/>
      <w:bookmarkEnd w:id="165"/>
      <w:bookmarkEnd w:id="166"/>
      <w:bookmarkEnd w:id="16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68" w:name="_Toc450306312"/>
      <w:bookmarkStart w:id="169" w:name="_Toc450311605"/>
      <w:bookmarkStart w:id="170" w:name="_Toc427757411"/>
      <w:bookmarkStart w:id="171" w:name="_Toc431889420"/>
      <w:bookmarkStart w:id="172" w:name="_Toc437952291"/>
      <w:bookmarkStart w:id="173" w:name="_Toc447270082"/>
      <w:r>
        <w:rPr>
          <w:rStyle w:val="CharSDivNo"/>
          <w:rFonts w:eastAsia="MS Mincho"/>
        </w:rPr>
        <w:t>Part 3</w:t>
      </w:r>
      <w:r>
        <w:rPr>
          <w:rFonts w:eastAsia="MS Mincho"/>
          <w:b w:val="0"/>
        </w:rPr>
        <w:t> — </w:t>
      </w:r>
      <w:r>
        <w:rPr>
          <w:rStyle w:val="CharSDivText"/>
          <w:rFonts w:eastAsia="MS Mincho"/>
        </w:rPr>
        <w:t>Bodies membership of which is vacated on election</w:t>
      </w:r>
      <w:bookmarkEnd w:id="168"/>
      <w:bookmarkEnd w:id="169"/>
      <w:bookmarkEnd w:id="170"/>
      <w:bookmarkEnd w:id="171"/>
      <w:bookmarkEnd w:id="172"/>
      <w:bookmarkEnd w:id="17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w:t>
      </w:r>
      <w:ins w:id="174" w:author="svcMRProcess" w:date="2018-08-28T08:55:00Z">
        <w:r>
          <w:t xml:space="preserve">and Parks </w:t>
        </w:r>
      </w:ins>
      <w:r>
        <w:t>Commission</w:t>
      </w:r>
      <w:del w:id="175" w:author="svcMRProcess" w:date="2018-08-28T08:55:00Z">
        <w:r>
          <w:delText xml:space="preserve"> of Western Australia</w:delText>
        </w:r>
      </w:del>
      <w:r>
        <w:t xml:space="preserve">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w:t>
      </w:r>
      <w:del w:id="176" w:author="svcMRProcess" w:date="2018-08-28T08:55:00Z">
        <w:r>
          <w:rPr>
            <w:spacing w:val="-4"/>
          </w:rPr>
          <w:delText>54</w:delText>
        </w:r>
      </w:del>
      <w:ins w:id="177" w:author="svcMRProcess" w:date="2018-08-28T08:55:00Z">
        <w:r>
          <w:rPr>
            <w:spacing w:val="-4"/>
          </w:rPr>
          <w:t>54; No. 28 of 2015 s. 72</w:t>
        </w:r>
      </w:ins>
      <w:r>
        <w:t>.]</w:t>
      </w:r>
    </w:p>
    <w:p>
      <w:pPr>
        <w:pStyle w:val="yScheduleHeading"/>
      </w:pPr>
      <w:bookmarkStart w:id="178" w:name="_Toc450306313"/>
      <w:bookmarkStart w:id="179" w:name="_Toc450311606"/>
      <w:bookmarkStart w:id="180" w:name="_Toc427757412"/>
      <w:bookmarkStart w:id="181" w:name="_Toc431889421"/>
      <w:bookmarkStart w:id="182" w:name="_Toc437952292"/>
      <w:bookmarkStart w:id="183" w:name="_Toc447270083"/>
      <w:r>
        <w:rPr>
          <w:rStyle w:val="CharSchNo"/>
        </w:rPr>
        <w:t>Schedule VI</w:t>
      </w:r>
      <w:r>
        <w:t> — </w:t>
      </w:r>
      <w:r>
        <w:rPr>
          <w:rStyle w:val="CharSchText"/>
        </w:rPr>
        <w:t>Oaths and affirmations of office</w:t>
      </w:r>
      <w:bookmarkEnd w:id="178"/>
      <w:bookmarkEnd w:id="179"/>
      <w:bookmarkEnd w:id="180"/>
      <w:bookmarkEnd w:id="181"/>
      <w:bookmarkEnd w:id="182"/>
      <w:bookmarkEnd w:id="183"/>
    </w:p>
    <w:p>
      <w:pPr>
        <w:pStyle w:val="yShoulderClause"/>
      </w:pPr>
      <w:r>
        <w:t>[s. 43(4), 44A(6) &amp; 45]</w:t>
      </w:r>
    </w:p>
    <w:p>
      <w:pPr>
        <w:pStyle w:val="yFootnoteheading"/>
      </w:pPr>
      <w:r>
        <w:tab/>
        <w:t>[Heading inserted by No. 24 of 2005 s. 12.]</w:t>
      </w:r>
    </w:p>
    <w:p>
      <w:pPr>
        <w:pStyle w:val="yHeading3"/>
      </w:pPr>
      <w:bookmarkStart w:id="184" w:name="_Toc450306314"/>
      <w:bookmarkStart w:id="185" w:name="_Toc450311607"/>
      <w:bookmarkStart w:id="186" w:name="_Toc427757413"/>
      <w:bookmarkStart w:id="187" w:name="_Toc431889422"/>
      <w:bookmarkStart w:id="188" w:name="_Toc437952293"/>
      <w:bookmarkStart w:id="189" w:name="_Toc447270084"/>
      <w:r>
        <w:rPr>
          <w:rStyle w:val="CharSDivNo"/>
        </w:rPr>
        <w:t>Division 1</w:t>
      </w:r>
      <w:r>
        <w:rPr>
          <w:b w:val="0"/>
        </w:rPr>
        <w:t> — </w:t>
      </w:r>
      <w:r>
        <w:rPr>
          <w:rStyle w:val="CharSDivText"/>
        </w:rPr>
        <w:t>Holders of principal executive offices and for Parliamentary Secretaries</w:t>
      </w:r>
      <w:bookmarkEnd w:id="184"/>
      <w:bookmarkEnd w:id="185"/>
      <w:bookmarkEnd w:id="186"/>
      <w:bookmarkEnd w:id="187"/>
      <w:bookmarkEnd w:id="188"/>
      <w:bookmarkEnd w:id="18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90" w:name="_Toc450306315"/>
      <w:bookmarkStart w:id="191" w:name="_Toc450311608"/>
      <w:bookmarkStart w:id="192" w:name="_Toc427757414"/>
      <w:bookmarkStart w:id="193" w:name="_Toc431889423"/>
      <w:bookmarkStart w:id="194" w:name="_Toc437952294"/>
      <w:bookmarkStart w:id="195" w:name="_Toc447270085"/>
      <w:r>
        <w:rPr>
          <w:rStyle w:val="CharSDivNo"/>
        </w:rPr>
        <w:t>Division 2</w:t>
      </w:r>
      <w:r>
        <w:t> — </w:t>
      </w:r>
      <w:r>
        <w:rPr>
          <w:rStyle w:val="CharSDivText"/>
        </w:rPr>
        <w:t>Members of the Executive Council</w:t>
      </w:r>
      <w:bookmarkEnd w:id="190"/>
      <w:bookmarkEnd w:id="191"/>
      <w:bookmarkEnd w:id="192"/>
      <w:bookmarkEnd w:id="193"/>
      <w:bookmarkEnd w:id="194"/>
      <w:bookmarkEnd w:id="1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96" w:name="_Toc450306316"/>
      <w:bookmarkStart w:id="197" w:name="_Toc450311609"/>
      <w:bookmarkStart w:id="198" w:name="_Toc427757415"/>
      <w:bookmarkStart w:id="199" w:name="_Toc431889424"/>
      <w:bookmarkStart w:id="200" w:name="_Toc437952295"/>
      <w:bookmarkStart w:id="201" w:name="_Toc447270086"/>
      <w:r>
        <w:t>Notes</w:t>
      </w:r>
      <w:bookmarkEnd w:id="196"/>
      <w:bookmarkEnd w:id="197"/>
      <w:bookmarkEnd w:id="198"/>
      <w:bookmarkEnd w:id="199"/>
      <w:bookmarkEnd w:id="200"/>
      <w:bookmarkEnd w:id="20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02" w:name="_Toc450311610"/>
      <w:bookmarkStart w:id="203" w:name="_Toc447270087"/>
      <w:r>
        <w:t>Compilation table</w:t>
      </w:r>
      <w:bookmarkEnd w:id="202"/>
      <w:bookmarkEnd w:id="203"/>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ins w:id="204" w:author="svcMRProcess" w:date="2018-08-28T08:55:00Z"/>
        </w:trPr>
        <w:tc>
          <w:tcPr>
            <w:tcW w:w="2273" w:type="dxa"/>
            <w:gridSpan w:val="2"/>
            <w:tcBorders>
              <w:bottom w:val="single" w:sz="4" w:space="0" w:color="auto"/>
            </w:tcBorders>
            <w:shd w:val="clear" w:color="auto" w:fill="auto"/>
          </w:tcPr>
          <w:p>
            <w:pPr>
              <w:spacing w:before="40" w:after="40"/>
              <w:rPr>
                <w:ins w:id="205" w:author="svcMRProcess" w:date="2018-08-28T08:55:00Z"/>
                <w:i/>
                <w:sz w:val="19"/>
              </w:rPr>
            </w:pPr>
            <w:ins w:id="206" w:author="svcMRProcess" w:date="2018-08-28T08:55:00Z">
              <w:r>
                <w:rPr>
                  <w:i/>
                  <w:sz w:val="19"/>
                </w:rPr>
                <w:t>Conservation and Land Management Amendment Act 2015</w:t>
              </w:r>
              <w:r>
                <w:rPr>
                  <w:sz w:val="19"/>
                </w:rPr>
                <w:t xml:space="preserve"> s. 72</w:t>
              </w:r>
            </w:ins>
          </w:p>
        </w:tc>
        <w:tc>
          <w:tcPr>
            <w:tcW w:w="1139" w:type="dxa"/>
            <w:gridSpan w:val="2"/>
            <w:tcBorders>
              <w:bottom w:val="single" w:sz="4" w:space="0" w:color="auto"/>
            </w:tcBorders>
            <w:shd w:val="clear" w:color="auto" w:fill="auto"/>
          </w:tcPr>
          <w:p>
            <w:pPr>
              <w:spacing w:before="40" w:after="40"/>
              <w:rPr>
                <w:ins w:id="207" w:author="svcMRProcess" w:date="2018-08-28T08:55:00Z"/>
                <w:sz w:val="19"/>
              </w:rPr>
            </w:pPr>
            <w:ins w:id="208" w:author="svcMRProcess" w:date="2018-08-28T08:55:00Z">
              <w:r>
                <w:rPr>
                  <w:sz w:val="19"/>
                </w:rPr>
                <w:t>28 of 2015</w:t>
              </w:r>
            </w:ins>
          </w:p>
        </w:tc>
        <w:tc>
          <w:tcPr>
            <w:tcW w:w="1138" w:type="dxa"/>
            <w:gridSpan w:val="2"/>
            <w:tcBorders>
              <w:bottom w:val="single" w:sz="4" w:space="0" w:color="auto"/>
            </w:tcBorders>
            <w:shd w:val="clear" w:color="auto" w:fill="auto"/>
          </w:tcPr>
          <w:p>
            <w:pPr>
              <w:spacing w:before="40" w:after="40"/>
              <w:rPr>
                <w:ins w:id="209" w:author="svcMRProcess" w:date="2018-08-28T08:55:00Z"/>
                <w:sz w:val="19"/>
              </w:rPr>
            </w:pPr>
            <w:ins w:id="210" w:author="svcMRProcess" w:date="2018-08-28T08:55:00Z">
              <w:r>
                <w:rPr>
                  <w:sz w:val="19"/>
                </w:rPr>
                <w:t>19 Oct 2015</w:t>
              </w:r>
            </w:ins>
          </w:p>
        </w:tc>
        <w:tc>
          <w:tcPr>
            <w:tcW w:w="2538" w:type="dxa"/>
            <w:gridSpan w:val="2"/>
            <w:tcBorders>
              <w:bottom w:val="single" w:sz="4" w:space="0" w:color="auto"/>
            </w:tcBorders>
            <w:shd w:val="clear" w:color="auto" w:fill="auto"/>
          </w:tcPr>
          <w:p>
            <w:pPr>
              <w:spacing w:before="40" w:after="40"/>
              <w:rPr>
                <w:ins w:id="211" w:author="svcMRProcess" w:date="2018-08-28T08:55:00Z"/>
                <w:sz w:val="19"/>
              </w:rPr>
            </w:pPr>
            <w:ins w:id="212" w:author="svcMRProcess" w:date="2018-08-28T08:55:00Z">
              <w:r>
                <w:rPr>
                  <w:sz w:val="19"/>
                </w:rPr>
                <w:t xml:space="preserve">7 May 2016 (see s. 2(b) and </w:t>
              </w:r>
              <w:r>
                <w:rPr>
                  <w:i/>
                  <w:sz w:val="19"/>
                </w:rPr>
                <w:t>Gazette</w:t>
              </w:r>
              <w:r>
                <w:rPr>
                  <w:sz w:val="19"/>
                </w:rPr>
                <w:t xml:space="preserve"> 6 May 2016 p. 1379</w:t>
              </w:r>
              <w:r>
                <w:rPr>
                  <w:sz w:val="19"/>
                </w:rPr>
                <w:noBreakHyphen/>
                <w:t>80)</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450311611"/>
      <w:bookmarkStart w:id="214" w:name="_Toc447270088"/>
      <w:r>
        <w:t>Provisions that have not come into operation</w:t>
      </w:r>
      <w:bookmarkEnd w:id="213"/>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rPr>
          <w:cantSplit/>
          <w:del w:id="215" w:author="svcMRProcess" w:date="2018-08-28T08:55:00Z"/>
        </w:trPr>
        <w:tc>
          <w:tcPr>
            <w:tcW w:w="2273" w:type="dxa"/>
            <w:shd w:val="clear" w:color="auto" w:fill="auto"/>
          </w:tcPr>
          <w:p>
            <w:pPr>
              <w:spacing w:before="40" w:after="40"/>
              <w:rPr>
                <w:del w:id="216" w:author="svcMRProcess" w:date="2018-08-28T08:55:00Z"/>
                <w:sz w:val="19"/>
              </w:rPr>
            </w:pPr>
            <w:del w:id="217" w:author="svcMRProcess" w:date="2018-08-28T08:55:00Z">
              <w:r>
                <w:rPr>
                  <w:i/>
                  <w:sz w:val="19"/>
                </w:rPr>
                <w:delText>Conservation and Land Management Amendment Act 2015</w:delText>
              </w:r>
              <w:r>
                <w:rPr>
                  <w:sz w:val="19"/>
                </w:rPr>
                <w:delText xml:space="preserve"> s. 72</w:delText>
              </w:r>
              <w:r>
                <w:rPr>
                  <w:sz w:val="19"/>
                  <w:vertAlign w:val="superscript"/>
                </w:rPr>
                <w:delText xml:space="preserve"> 56</w:delText>
              </w:r>
            </w:del>
          </w:p>
        </w:tc>
        <w:tc>
          <w:tcPr>
            <w:tcW w:w="1139" w:type="dxa"/>
            <w:shd w:val="clear" w:color="auto" w:fill="auto"/>
          </w:tcPr>
          <w:p>
            <w:pPr>
              <w:spacing w:before="40" w:after="40"/>
              <w:rPr>
                <w:del w:id="218" w:author="svcMRProcess" w:date="2018-08-28T08:55:00Z"/>
                <w:sz w:val="19"/>
              </w:rPr>
            </w:pPr>
            <w:del w:id="219" w:author="svcMRProcess" w:date="2018-08-28T08:55:00Z">
              <w:r>
                <w:rPr>
                  <w:sz w:val="19"/>
                </w:rPr>
                <w:delText>28 of 2015</w:delText>
              </w:r>
            </w:del>
          </w:p>
        </w:tc>
        <w:tc>
          <w:tcPr>
            <w:tcW w:w="1138" w:type="dxa"/>
            <w:shd w:val="clear" w:color="auto" w:fill="auto"/>
          </w:tcPr>
          <w:p>
            <w:pPr>
              <w:spacing w:before="40" w:after="40"/>
              <w:rPr>
                <w:del w:id="220" w:author="svcMRProcess" w:date="2018-08-28T08:55:00Z"/>
                <w:sz w:val="19"/>
              </w:rPr>
            </w:pPr>
            <w:del w:id="221" w:author="svcMRProcess" w:date="2018-08-28T08:55:00Z">
              <w:r>
                <w:rPr>
                  <w:sz w:val="19"/>
                </w:rPr>
                <w:delText>19 Oct 2015</w:delText>
              </w:r>
            </w:del>
          </w:p>
        </w:tc>
        <w:tc>
          <w:tcPr>
            <w:tcW w:w="2584" w:type="dxa"/>
            <w:gridSpan w:val="2"/>
            <w:shd w:val="clear" w:color="auto" w:fill="auto"/>
          </w:tcPr>
          <w:p>
            <w:pPr>
              <w:spacing w:before="40" w:after="40"/>
              <w:rPr>
                <w:del w:id="222" w:author="svcMRProcess" w:date="2018-08-28T08:55:00Z"/>
                <w:sz w:val="19"/>
              </w:rPr>
            </w:pPr>
            <w:del w:id="223" w:author="svcMRProcess" w:date="2018-08-28T08:55:00Z">
              <w:r>
                <w:rPr>
                  <w:sz w:val="19"/>
                </w:rPr>
                <w:delText>To be proclaimed (see s. 2(b))</w:delText>
              </w:r>
            </w:del>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spacing w:after="40"/>
              <w:rPr>
                <w:vertAlign w:val="superscript"/>
              </w:rPr>
            </w:pPr>
            <w:r>
              <w:rPr>
                <w:i/>
                <w:noProof/>
              </w:rPr>
              <w:t xml:space="preserve">Western Australian Health Promotion Foundation Act Act 2016 </w:t>
            </w:r>
            <w:r>
              <w:rPr>
                <w:noProof/>
              </w:rPr>
              <w:t xml:space="preserve">Pt. 8 Div. 1 </w:t>
            </w:r>
            <w:r>
              <w:rPr>
                <w:noProof/>
                <w:vertAlign w:val="superscript"/>
              </w:rPr>
              <w:t>58</w:t>
            </w:r>
          </w:p>
        </w:tc>
        <w:tc>
          <w:tcPr>
            <w:tcW w:w="1139" w:type="dxa"/>
            <w:tcBorders>
              <w:top w:val="nil"/>
              <w:bottom w:val="single" w:sz="4" w:space="0" w:color="auto"/>
            </w:tcBorders>
          </w:tcPr>
          <w:p>
            <w:pPr>
              <w:pStyle w:val="nTable"/>
              <w:spacing w:after="40"/>
            </w:pPr>
            <w:r>
              <w:t>3 of 2016</w:t>
            </w:r>
          </w:p>
        </w:tc>
        <w:tc>
          <w:tcPr>
            <w:tcW w:w="1138" w:type="dxa"/>
            <w:tcBorders>
              <w:top w:val="nil"/>
              <w:bottom w:val="single" w:sz="4" w:space="0" w:color="auto"/>
            </w:tcBorders>
          </w:tcPr>
          <w:p>
            <w:pPr>
              <w:pStyle w:val="nTable"/>
              <w:spacing w:after="40"/>
            </w:pPr>
            <w:r>
              <w:t>21 Mar 2016</w:t>
            </w:r>
          </w:p>
        </w:tc>
        <w:tc>
          <w:tcPr>
            <w:tcW w:w="2555"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del w:id="224" w:author="svcMRProcess" w:date="2018-08-28T08:55:00Z"/>
          <w:snapToGrid w:val="0"/>
        </w:rPr>
      </w:pPr>
      <w:del w:id="225" w:author="svcMRProcess" w:date="2018-08-28T08:55:00Z">
        <w:r>
          <w:rPr>
            <w:snapToGrid w:val="0"/>
            <w:vertAlign w:val="superscript"/>
          </w:rPr>
          <w:delText>56</w:delText>
        </w:r>
        <w:r>
          <w:rPr>
            <w:snapToGrid w:val="0"/>
          </w:rPr>
          <w:tab/>
        </w:r>
        <w:r>
          <w:delText xml:space="preserve">On the date as at which this compilation was prepared, </w:delText>
        </w:r>
        <w:r>
          <w:rPr>
            <w:snapToGrid w:val="0"/>
          </w:rPr>
          <w:delText xml:space="preserve">the </w:delText>
        </w:r>
        <w:r>
          <w:rPr>
            <w:i/>
          </w:rPr>
          <w:delText>Conservation and Land Management Amendment Act 2015</w:delText>
        </w:r>
        <w:r>
          <w:delText xml:space="preserve"> s. 72</w:delText>
        </w:r>
        <w:r>
          <w:rPr>
            <w:snapToGrid w:val="0"/>
          </w:rPr>
          <w:delText xml:space="preserve"> had not come into operation.  It reads as follows:</w:delText>
        </w:r>
      </w:del>
    </w:p>
    <w:p>
      <w:pPr>
        <w:pStyle w:val="BlankOpen"/>
        <w:rPr>
          <w:del w:id="226" w:author="svcMRProcess" w:date="2018-08-28T08:55:00Z"/>
          <w:rStyle w:val="CharPartText"/>
        </w:rPr>
      </w:pPr>
    </w:p>
    <w:p>
      <w:pPr>
        <w:pStyle w:val="nzHeading5"/>
        <w:rPr>
          <w:del w:id="227" w:author="svcMRProcess" w:date="2018-08-28T08:55:00Z"/>
        </w:rPr>
      </w:pPr>
      <w:bookmarkStart w:id="228" w:name="_Toc433111800"/>
      <w:bookmarkStart w:id="229" w:name="_Toc433112964"/>
      <w:bookmarkStart w:id="230" w:name="_Toc433113552"/>
      <w:del w:id="231" w:author="svcMRProcess" w:date="2018-08-28T08:55:00Z">
        <w:r>
          <w:rPr>
            <w:rStyle w:val="CharSectno"/>
          </w:rPr>
          <w:delText>72</w:delText>
        </w:r>
        <w:r>
          <w:delText>.</w:delText>
        </w:r>
        <w:r>
          <w:tab/>
        </w:r>
        <w:r>
          <w:rPr>
            <w:i/>
          </w:rPr>
          <w:delText>Constitution Acts Amendment Act 1899</w:delText>
        </w:r>
        <w:r>
          <w:delText xml:space="preserve"> amended</w:delText>
        </w:r>
        <w:bookmarkEnd w:id="228"/>
        <w:bookmarkEnd w:id="229"/>
        <w:bookmarkEnd w:id="230"/>
      </w:del>
    </w:p>
    <w:p>
      <w:pPr>
        <w:pStyle w:val="nzSubsection"/>
        <w:rPr>
          <w:del w:id="232" w:author="svcMRProcess" w:date="2018-08-28T08:55:00Z"/>
        </w:rPr>
      </w:pPr>
      <w:del w:id="233" w:author="svcMRProcess" w:date="2018-08-28T08:55:00Z">
        <w:r>
          <w:tab/>
          <w:delText>(1)</w:delText>
        </w:r>
        <w:r>
          <w:tab/>
          <w:delText xml:space="preserve">This section amends the </w:delText>
        </w:r>
        <w:r>
          <w:rPr>
            <w:i/>
          </w:rPr>
          <w:delText>Constitution Acts Amendment Act 1899</w:delText>
        </w:r>
        <w:r>
          <w:delText>.</w:delText>
        </w:r>
      </w:del>
    </w:p>
    <w:p>
      <w:pPr>
        <w:pStyle w:val="nzSubsection"/>
        <w:rPr>
          <w:del w:id="234" w:author="svcMRProcess" w:date="2018-08-28T08:55:00Z"/>
        </w:rPr>
      </w:pPr>
      <w:del w:id="235" w:author="svcMRProcess" w:date="2018-08-28T08:55:00Z">
        <w:r>
          <w:tab/>
          <w:delText>(2)</w:delText>
        </w:r>
        <w:r>
          <w:tab/>
          <w:delText>In Schedule V Part 3 delete the item relating to the Conservation Commission of Western Australia and insert:</w:delText>
        </w:r>
      </w:del>
    </w:p>
    <w:p>
      <w:pPr>
        <w:pStyle w:val="BlankOpen"/>
        <w:rPr>
          <w:del w:id="236" w:author="svcMRProcess" w:date="2018-08-28T08:55:00Z"/>
        </w:rPr>
      </w:pPr>
    </w:p>
    <w:p>
      <w:pPr>
        <w:pStyle w:val="nzNumberedItem"/>
        <w:ind w:hanging="312"/>
        <w:rPr>
          <w:del w:id="237" w:author="svcMRProcess" w:date="2018-08-28T08:55:00Z"/>
        </w:rPr>
      </w:pPr>
      <w:del w:id="238" w:author="svcMRProcess" w:date="2018-08-28T08:55:00Z">
        <w:r>
          <w:tab/>
          <w:delText xml:space="preserve">The Conservation and Parks Commission established under the </w:delText>
        </w:r>
        <w:r>
          <w:rPr>
            <w:i/>
          </w:rPr>
          <w:delText>Conservation and Land Management Act 1984</w:delText>
        </w:r>
        <w:r>
          <w:delText>.</w:delText>
        </w:r>
      </w:del>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1A6D-800E-499E-8C43-9C49EA83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21542</Words>
  <Characters>96939</Characters>
  <Application>Microsoft Office Word</Application>
  <DocSecurity>0</DocSecurity>
  <Lines>3590</Lines>
  <Paragraphs>2154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20-d0-00 - 20-e0-01</dc:title>
  <dc:subject/>
  <dc:creator/>
  <cp:keywords/>
  <dc:description/>
  <cp:lastModifiedBy>svcMRProcess</cp:lastModifiedBy>
  <cp:revision>2</cp:revision>
  <cp:lastPrinted>2015-12-01T08:17:00Z</cp:lastPrinted>
  <dcterms:created xsi:type="dcterms:W3CDTF">2018-08-28T00:54:00Z</dcterms:created>
  <dcterms:modified xsi:type="dcterms:W3CDTF">2018-08-28T00:55:00Z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20160507</vt:lpwstr>
  </property>
  <property fmtid="{D5CDD505-2E9C-101B-9397-08002B2CF9AE}" pid="9" name="FromSuffix">
    <vt:lpwstr>20-d0-00</vt:lpwstr>
  </property>
  <property fmtid="{D5CDD505-2E9C-101B-9397-08002B2CF9AE}" pid="10" name="FromAsAtDate">
    <vt:lpwstr>31 Mar 2016</vt:lpwstr>
  </property>
  <property fmtid="{D5CDD505-2E9C-101B-9397-08002B2CF9AE}" pid="11" name="ToSuffix">
    <vt:lpwstr>20-e0-01</vt:lpwstr>
  </property>
  <property fmtid="{D5CDD505-2E9C-101B-9397-08002B2CF9AE}" pid="12" name="ToAsAtDate">
    <vt:lpwstr>07 May 2016</vt:lpwstr>
  </property>
</Properties>
</file>