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Births, Deaths and Marriages Registration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02-d0-05</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snapToGrid w:val="0"/>
        </w:rPr>
      </w:pPr>
      <w:r>
        <w:rPr>
          <w:snapToGrid w:val="0"/>
        </w:rPr>
        <w:lastRenderedPageBreak/>
        <w:t>Western Australia</w:t>
      </w:r>
    </w:p>
    <w:p>
      <w:pPr>
        <w:pStyle w:val="NameofActReg"/>
        <w:spacing w:before="960" w:after="1200"/>
      </w:pPr>
      <w:r>
        <w:t>Births, Deaths and Marriages Registration Act 1998</w:t>
      </w:r>
    </w:p>
    <w:p>
      <w:pPr>
        <w:pStyle w:val="LongTitle"/>
      </w:pPr>
      <w:r>
        <w:t>A</w:t>
      </w:r>
      <w:bookmarkStart w:id="1" w:name="_GoBack"/>
      <w:bookmarkEnd w:id="1"/>
      <w:r>
        <w:t>n Act to provide for the registration of births, deaths, marriages, changes of name and information about certain parentage changes in Western Australia and for related matters.</w:t>
      </w:r>
    </w:p>
    <w:p>
      <w:pPr>
        <w:pStyle w:val="Footnotelongtitle"/>
      </w:pPr>
      <w:r>
        <w:tab/>
        <w:t>[Long title amended by No. 47 of 2008 s. 47.]</w:t>
      </w:r>
    </w:p>
    <w:p>
      <w:pPr>
        <w:pStyle w:val="Heading2"/>
      </w:pPr>
      <w:bookmarkStart w:id="2" w:name="_Toc378062970"/>
      <w:bookmarkStart w:id="3" w:name="_Toc415055389"/>
      <w:bookmarkStart w:id="4" w:name="_Toc415055486"/>
      <w:bookmarkStart w:id="5" w:name="_Toc452373495"/>
      <w:bookmarkStart w:id="6" w:name="_Toc45254019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7" w:name="_Toc378062971"/>
      <w:bookmarkStart w:id="8" w:name="_Toc452540194"/>
      <w:bookmarkStart w:id="9" w:name="_Toc415055487"/>
      <w:r>
        <w:rPr>
          <w:rStyle w:val="CharSectno"/>
        </w:rPr>
        <w:t>1</w:t>
      </w:r>
      <w:r>
        <w:t>.</w:t>
      </w:r>
      <w:r>
        <w:tab/>
        <w:t>Short title</w:t>
      </w:r>
      <w:bookmarkEnd w:id="7"/>
      <w:bookmarkEnd w:id="8"/>
      <w:bookmarkEnd w:id="9"/>
    </w:p>
    <w:p>
      <w:pPr>
        <w:pStyle w:val="Subsection"/>
      </w:pPr>
      <w:r>
        <w:tab/>
      </w:r>
      <w:r>
        <w:tab/>
        <w:t xml:space="preserve">This Act may be cited as the </w:t>
      </w:r>
      <w:r>
        <w:rPr>
          <w:i/>
        </w:rPr>
        <w:t>Births, Deaths and Marriages Registration Act 1998 </w:t>
      </w:r>
      <w:r>
        <w:rPr>
          <w:vertAlign w:val="superscript"/>
        </w:rPr>
        <w:t>1</w:t>
      </w:r>
      <w:r>
        <w:t>.</w:t>
      </w:r>
    </w:p>
    <w:p>
      <w:pPr>
        <w:pStyle w:val="Heading5"/>
      </w:pPr>
      <w:bookmarkStart w:id="10" w:name="_Toc378062972"/>
      <w:bookmarkStart w:id="11" w:name="_Toc452540195"/>
      <w:bookmarkStart w:id="12" w:name="_Toc415055488"/>
      <w:r>
        <w:rPr>
          <w:rStyle w:val="CharSectno"/>
        </w:rPr>
        <w:t>2</w:t>
      </w:r>
      <w:r>
        <w:t>.</w:t>
      </w:r>
      <w:r>
        <w:tab/>
        <w:t>Commencement</w:t>
      </w:r>
      <w:bookmarkEnd w:id="10"/>
      <w:bookmarkEnd w:id="11"/>
      <w:bookmarkEnd w:id="12"/>
    </w:p>
    <w:p>
      <w:pPr>
        <w:pStyle w:val="Subsection"/>
      </w:pPr>
      <w:r>
        <w:tab/>
      </w:r>
      <w:r>
        <w:tab/>
        <w:t>This Act comes into operation on such day as is fixed by proclamation</w:t>
      </w:r>
      <w:r>
        <w:rPr>
          <w:i/>
        </w:rPr>
        <w:t> </w:t>
      </w:r>
      <w:r>
        <w:rPr>
          <w:vertAlign w:val="superscript"/>
        </w:rPr>
        <w:t>1</w:t>
      </w:r>
      <w:r>
        <w:t>.</w:t>
      </w:r>
    </w:p>
    <w:p>
      <w:pPr>
        <w:pStyle w:val="Heading5"/>
      </w:pPr>
      <w:bookmarkStart w:id="13" w:name="_Toc378062973"/>
      <w:bookmarkStart w:id="14" w:name="_Toc452540196"/>
      <w:bookmarkStart w:id="15" w:name="_Toc415055489"/>
      <w:r>
        <w:rPr>
          <w:rStyle w:val="CharSectno"/>
        </w:rPr>
        <w:t>3</w:t>
      </w:r>
      <w:r>
        <w:t>.</w:t>
      </w:r>
      <w:r>
        <w:tab/>
        <w:t>Objects of Act</w:t>
      </w:r>
      <w:bookmarkEnd w:id="13"/>
      <w:bookmarkEnd w:id="14"/>
      <w:bookmarkEnd w:id="15"/>
    </w:p>
    <w:p>
      <w:pPr>
        <w:pStyle w:val="Subsection"/>
      </w:pPr>
      <w:r>
        <w:tab/>
      </w:r>
      <w:r>
        <w:tab/>
        <w:t>The objects of this Act are to provide for — </w:t>
      </w:r>
    </w:p>
    <w:p>
      <w:pPr>
        <w:pStyle w:val="Indenta"/>
      </w:pPr>
      <w:r>
        <w:tab/>
        <w:t>(a)</w:t>
      </w:r>
      <w:r>
        <w:tab/>
        <w:t xml:space="preserve">the registration of births, deaths, marriages, changes of name and parentage change information in Western Australia; </w:t>
      </w:r>
    </w:p>
    <w:p>
      <w:pPr>
        <w:pStyle w:val="Indenta"/>
      </w:pPr>
      <w:r>
        <w:tab/>
        <w:t>(b)</w:t>
      </w:r>
      <w:r>
        <w:tab/>
        <w:t>the keeping of registers for recording and preserving information about births, deaths, marriages, changes of name and parentage changes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Footnotesection"/>
      </w:pPr>
      <w:r>
        <w:tab/>
        <w:t>[Section 3 amended by No. 47 of 2008 s. 48.]</w:t>
      </w:r>
    </w:p>
    <w:p>
      <w:pPr>
        <w:pStyle w:val="Heading5"/>
      </w:pPr>
      <w:bookmarkStart w:id="16" w:name="_Toc378062974"/>
      <w:bookmarkStart w:id="17" w:name="_Toc452540197"/>
      <w:bookmarkStart w:id="18" w:name="_Toc415055490"/>
      <w:r>
        <w:rPr>
          <w:rStyle w:val="CharSectno"/>
        </w:rPr>
        <w:t>4</w:t>
      </w:r>
      <w:r>
        <w:t>.</w:t>
      </w:r>
      <w:r>
        <w:tab/>
        <w:t>Terms used</w:t>
      </w:r>
      <w:bookmarkEnd w:id="16"/>
      <w:bookmarkEnd w:id="17"/>
      <w:bookmarkEnd w:id="18"/>
    </w:p>
    <w:p>
      <w:pPr>
        <w:pStyle w:val="Subsection"/>
      </w:pPr>
      <w:r>
        <w:tab/>
      </w:r>
      <w:r>
        <w:tab/>
        <w:t>In this Act, unless the contrary intention appears — </w:t>
      </w:r>
    </w:p>
    <w:p>
      <w:pPr>
        <w:pStyle w:val="Defstart"/>
      </w:pPr>
      <w:r>
        <w:rPr>
          <w:b/>
        </w:rPr>
        <w:tab/>
      </w:r>
      <w:r>
        <w:rPr>
          <w:rStyle w:val="CharDefText"/>
        </w:rPr>
        <w:t>adult</w:t>
      </w:r>
      <w:r>
        <w:t xml:space="preserve"> means a person who — </w:t>
      </w:r>
    </w:p>
    <w:p>
      <w:pPr>
        <w:pStyle w:val="Defpara"/>
      </w:pPr>
      <w:r>
        <w:tab/>
        <w:t>(a)</w:t>
      </w:r>
      <w:r>
        <w:tab/>
        <w:t xml:space="preserve">is 18 years of age or more; or </w:t>
      </w:r>
    </w:p>
    <w:p>
      <w:pPr>
        <w:pStyle w:val="Defpara"/>
        <w:keepNext/>
      </w:pPr>
      <w:r>
        <w:tab/>
        <w:t>(b)</w:t>
      </w:r>
      <w:r>
        <w:tab/>
        <w:t>although under 18 years of age, is or has been married;</w:t>
      </w:r>
    </w:p>
    <w:p>
      <w:pPr>
        <w:pStyle w:val="Defstart"/>
      </w:pPr>
      <w:r>
        <w:tab/>
      </w:r>
      <w:r>
        <w:rPr>
          <w:rStyle w:val="CharDefText"/>
        </w:rPr>
        <w:t>approved</w:t>
      </w:r>
      <w:r>
        <w:t xml:space="preserve"> means approved by the Registrar;</w:t>
      </w:r>
    </w:p>
    <w:p>
      <w:pPr>
        <w:pStyle w:val="Defstart"/>
      </w:pPr>
      <w:r>
        <w:tab/>
      </w:r>
      <w:r>
        <w:rPr>
          <w:rStyle w:val="CharDefText"/>
        </w:rPr>
        <w:t>birth</w:t>
      </w:r>
      <w:r>
        <w:t xml:space="preserve"> means the expulsion or extraction of a child from its mother;</w:t>
      </w:r>
    </w:p>
    <w:p>
      <w:pPr>
        <w:pStyle w:val="Defstart"/>
      </w:pPr>
      <w:r>
        <w:tab/>
      </w:r>
      <w:r>
        <w:rPr>
          <w:rStyle w:val="CharDefText"/>
        </w:rPr>
        <w:t>birth registration statement</w:t>
      </w:r>
      <w:r>
        <w:t xml:space="preserve"> means the statement referred to in section 14;</w:t>
      </w:r>
    </w:p>
    <w:p>
      <w:pPr>
        <w:pStyle w:val="Defstart"/>
      </w:pPr>
      <w:r>
        <w:tab/>
      </w:r>
      <w:r>
        <w:rPr>
          <w:rStyle w:val="CharDefText"/>
        </w:rPr>
        <w:t>change</w:t>
      </w:r>
      <w:r>
        <w:t>, in relation to a name, includes an addition, omission or substitution;</w:t>
      </w:r>
    </w:p>
    <w:p>
      <w:pPr>
        <w:pStyle w:val="Defstart"/>
      </w:pPr>
      <w:r>
        <w:tab/>
      </w:r>
      <w:r>
        <w:rPr>
          <w:rStyle w:val="CharDefText"/>
        </w:rPr>
        <w:t>child</w:t>
      </w:r>
      <w:r>
        <w:t xml:space="preserve"> includes a still</w:t>
      </w:r>
      <w:r>
        <w:noBreakHyphen/>
        <w:t>born child;</w:t>
      </w:r>
    </w:p>
    <w:p>
      <w:pPr>
        <w:pStyle w:val="Defstart"/>
      </w:pPr>
      <w:r>
        <w:tab/>
      </w:r>
      <w:r>
        <w:rPr>
          <w:rStyle w:val="CharDefText"/>
        </w:rPr>
        <w:t>corresponding law</w:t>
      </w:r>
      <w:r>
        <w:t xml:space="preserve"> means a law of another State that provides for the registration of births, deaths and marriages;</w:t>
      </w:r>
    </w:p>
    <w:p>
      <w:pPr>
        <w:pStyle w:val="Defstart"/>
      </w:pPr>
      <w:r>
        <w:tab/>
      </w:r>
      <w:r>
        <w:rPr>
          <w:rStyle w:val="CharDefText"/>
        </w:rPr>
        <w:t>death</w:t>
      </w:r>
      <w:r>
        <w:t xml:space="preserve"> includes still</w:t>
      </w:r>
      <w:r>
        <w:noBreakHyphen/>
        <w:t>birth;</w:t>
      </w:r>
    </w:p>
    <w:p>
      <w:pPr>
        <w:pStyle w:val="Defstart"/>
      </w:pPr>
      <w:r>
        <w:tab/>
      </w:r>
      <w:r>
        <w:rPr>
          <w:rStyle w:val="CharDefText"/>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tab/>
      </w:r>
      <w:r>
        <w:rPr>
          <w:rStyle w:val="CharDefText"/>
        </w:rPr>
        <w:t>doctor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funeral director</w:t>
      </w:r>
      <w:r>
        <w:t xml:space="preserve"> means a person who carries on the business of arranging for the disposal of human remains;</w:t>
      </w:r>
    </w:p>
    <w:p>
      <w:pPr>
        <w:pStyle w:val="Defstart"/>
      </w:pPr>
      <w:r>
        <w:rPr>
          <w:b/>
        </w:rPr>
        <w:tab/>
      </w:r>
      <w:r>
        <w:rPr>
          <w:rStyle w:val="CharDefText"/>
        </w:rPr>
        <w:t>human remains</w:t>
      </w:r>
      <w:r>
        <w:t xml:space="preserve"> includes the remains of a still</w:t>
      </w:r>
      <w:r>
        <w:noBreakHyphen/>
        <w:t>born child;</w:t>
      </w:r>
    </w:p>
    <w:p>
      <w:pPr>
        <w:pStyle w:val="Defstart"/>
      </w:pPr>
      <w:r>
        <w:rPr>
          <w:b/>
        </w:rPr>
        <w:tab/>
      </w:r>
      <w:r>
        <w:rPr>
          <w:rStyle w:val="CharDefText"/>
        </w:rPr>
        <w:t>neonatal death</w:t>
      </w:r>
      <w:r>
        <w:t xml:space="preserve"> means the death of a live</w:t>
      </w:r>
      <w:r>
        <w:noBreakHyphen/>
        <w:t xml:space="preserve">born child within 28 days after the birth; </w:t>
      </w:r>
    </w:p>
    <w:p>
      <w:pPr>
        <w:pStyle w:val="Defstart"/>
      </w:pPr>
      <w:r>
        <w:rPr>
          <w:b/>
        </w:rPr>
        <w:tab/>
      </w:r>
      <w:r>
        <w:rPr>
          <w:rStyle w:val="CharDefText"/>
        </w:rPr>
        <w:t>prohibited name</w:t>
      </w:r>
      <w:r>
        <w:t xml:space="preserve"> means a name that, in the opinion of the Registrar — </w:t>
      </w:r>
    </w:p>
    <w:p>
      <w:pPr>
        <w:pStyle w:val="Defpara"/>
      </w:pPr>
      <w:r>
        <w:tab/>
        <w:t>(a)</w:t>
      </w:r>
      <w:r>
        <w:tab/>
        <w:t xml:space="preserve">is obscene or offensive; </w:t>
      </w:r>
    </w:p>
    <w:p>
      <w:pPr>
        <w:pStyle w:val="Defpara"/>
        <w:keepNext/>
        <w:keepLines/>
      </w:pPr>
      <w:r>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r>
        <w:rPr>
          <w:rStyle w:val="CharDefText"/>
        </w:rPr>
        <w:t>Register</w:t>
      </w:r>
      <w:r>
        <w:t xml:space="preserve"> means the Register referred to in section 49(1);</w:t>
      </w:r>
    </w:p>
    <w:p>
      <w:pPr>
        <w:pStyle w:val="Defstart"/>
      </w:pPr>
      <w:r>
        <w:rPr>
          <w:b/>
        </w:rPr>
        <w:tab/>
      </w:r>
      <w:r>
        <w:rPr>
          <w:rStyle w:val="CharDefText"/>
        </w:rPr>
        <w:t>registering authority</w:t>
      </w:r>
      <w:r>
        <w:t xml:space="preserve"> means an authority responsible under a corresponding law for the registration of births, deaths and marriages;</w:t>
      </w:r>
    </w:p>
    <w:p>
      <w:pPr>
        <w:pStyle w:val="Defstart"/>
      </w:pPr>
      <w:r>
        <w:rPr>
          <w:b/>
        </w:rPr>
        <w:tab/>
      </w:r>
      <w:r>
        <w:rPr>
          <w:rStyle w:val="CharDefText"/>
        </w:rPr>
        <w:t>registrable event</w:t>
      </w:r>
      <w:r>
        <w:t xml:space="preserve"> means a birth, death, marriage, change of name or an adoption or discharge of an adoption or the making or discharge of a parentage order as defined in the </w:t>
      </w:r>
      <w:r>
        <w:rPr>
          <w:i/>
        </w:rPr>
        <w:t>Surrogacy Act 2008</w:t>
      </w:r>
      <w:r>
        <w:t xml:space="preserve"> section 14;</w:t>
      </w:r>
    </w:p>
    <w:p>
      <w:pPr>
        <w:pStyle w:val="Defstart"/>
      </w:pPr>
      <w:r>
        <w:rPr>
          <w:b/>
        </w:rPr>
        <w:tab/>
      </w:r>
      <w:r>
        <w:rPr>
          <w:rStyle w:val="CharDefText"/>
        </w:rPr>
        <w:t>registrable information</w:t>
      </w:r>
      <w:r>
        <w:t xml:space="preserve"> means the particulars and the further information referred to in section 49(2) that must or may be included in the Register;</w:t>
      </w:r>
    </w:p>
    <w:p>
      <w:pPr>
        <w:pStyle w:val="Defstart"/>
      </w:pPr>
      <w:r>
        <w:rPr>
          <w:b/>
        </w:rPr>
        <w:tab/>
      </w:r>
      <w:r>
        <w:rPr>
          <w:rStyle w:val="CharDefText"/>
        </w:rPr>
        <w:t>Registrar</w:t>
      </w:r>
      <w:r>
        <w:t xml:space="preserve"> means the Registrar of Births, Deaths and Marriages referred to in section 5;</w:t>
      </w:r>
    </w:p>
    <w:p>
      <w:pPr>
        <w:pStyle w:val="Defstart"/>
      </w:pPr>
      <w:r>
        <w:rPr>
          <w:b/>
        </w:rPr>
        <w:tab/>
      </w:r>
      <w:r>
        <w:rPr>
          <w:rStyle w:val="CharDefText"/>
        </w:rPr>
        <w:t>State</w:t>
      </w:r>
      <w:r>
        <w:t xml:space="preserve"> includes a Territory;</w:t>
      </w:r>
    </w:p>
    <w:p>
      <w:pPr>
        <w:pStyle w:val="Defstart"/>
      </w:pPr>
      <w:r>
        <w:rPr>
          <w:b/>
        </w:rPr>
        <w:tab/>
      </w:r>
      <w:r>
        <w:rPr>
          <w:rStyle w:val="CharDefText"/>
        </w:rPr>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r>
      <w:r>
        <w:rPr>
          <w:rStyle w:val="CharDefText"/>
        </w:rPr>
        <w:t>still</w:t>
      </w:r>
      <w:r>
        <w:rPr>
          <w:rStyle w:val="CharDefText"/>
        </w:rPr>
        <w:noBreakHyphen/>
        <w:t>birth</w:t>
      </w:r>
      <w:r>
        <w:t xml:space="preserve"> means the birth of a still</w:t>
      </w:r>
      <w:r>
        <w:noBreakHyphen/>
        <w:t>born child;</w:t>
      </w:r>
    </w:p>
    <w:p>
      <w:pPr>
        <w:pStyle w:val="Defstart"/>
      </w:pPr>
      <w:r>
        <w:rPr>
          <w:b/>
        </w:rPr>
        <w:tab/>
      </w:r>
      <w:r>
        <w:rPr>
          <w:rStyle w:val="CharDefText"/>
        </w:rPr>
        <w:t>still</w:t>
      </w:r>
      <w:r>
        <w:rPr>
          <w:rStyle w:val="CharDefText"/>
        </w:rPr>
        <w:noBreakHyphen/>
        <w:t>born child</w:t>
      </w:r>
      <w:r>
        <w:t xml:space="preserve"> means a child — </w:t>
      </w:r>
    </w:p>
    <w:p>
      <w:pPr>
        <w:pStyle w:val="Defpara"/>
      </w:pPr>
      <w:r>
        <w:tab/>
        <w:t>(a)</w:t>
      </w:r>
      <w:r>
        <w:tab/>
        <w:t xml:space="preserve">of at least 20 weeks’ gestation; or </w:t>
      </w:r>
    </w:p>
    <w:p>
      <w:pPr>
        <w:pStyle w:val="Defpara"/>
        <w:keepNext/>
      </w:pPr>
      <w:r>
        <w:tab/>
        <w:t>(b)</w:t>
      </w:r>
      <w:r>
        <w:tab/>
        <w:t xml:space="preserve">if it cannot be reliably established whether the child’s period of gestation is more or less than 20 weeks, with a body mass of at least 400 grams at birth, </w:t>
      </w:r>
    </w:p>
    <w:p>
      <w:pPr>
        <w:pStyle w:val="Defstart"/>
      </w:pPr>
      <w:r>
        <w:tab/>
        <w:t>that exhibits no sign of respiration or heartbeat, or other sign of life, immediately after birth.</w:t>
      </w:r>
    </w:p>
    <w:p>
      <w:pPr>
        <w:pStyle w:val="Footnotesection"/>
      </w:pPr>
      <w:r>
        <w:tab/>
        <w:t>[Section 4 amended by No. 22 of 2008 Sch. 3 cl. 5; No. 47 of 2008 s. 49; No. 35 of 2010 s. 34.]</w:t>
      </w:r>
    </w:p>
    <w:p>
      <w:pPr>
        <w:pStyle w:val="Heading2"/>
      </w:pPr>
      <w:bookmarkStart w:id="19" w:name="_Toc378062975"/>
      <w:bookmarkStart w:id="20" w:name="_Toc415055394"/>
      <w:bookmarkStart w:id="21" w:name="_Toc415055491"/>
      <w:bookmarkStart w:id="22" w:name="_Toc452373500"/>
      <w:bookmarkStart w:id="23" w:name="_Toc452540198"/>
      <w:r>
        <w:rPr>
          <w:rStyle w:val="CharPartNo"/>
        </w:rPr>
        <w:t>Part 2</w:t>
      </w:r>
      <w:r>
        <w:t> — </w:t>
      </w:r>
      <w:r>
        <w:rPr>
          <w:rStyle w:val="CharPartText"/>
        </w:rPr>
        <w:t>Administration</w:t>
      </w:r>
      <w:bookmarkEnd w:id="19"/>
      <w:bookmarkEnd w:id="20"/>
      <w:bookmarkEnd w:id="21"/>
      <w:bookmarkEnd w:id="22"/>
      <w:bookmarkEnd w:id="23"/>
    </w:p>
    <w:p>
      <w:pPr>
        <w:pStyle w:val="Heading3"/>
      </w:pPr>
      <w:bookmarkStart w:id="24" w:name="_Toc378062976"/>
      <w:bookmarkStart w:id="25" w:name="_Toc415055395"/>
      <w:bookmarkStart w:id="26" w:name="_Toc415055492"/>
      <w:bookmarkStart w:id="27" w:name="_Toc452373501"/>
      <w:bookmarkStart w:id="28" w:name="_Toc452540199"/>
      <w:r>
        <w:rPr>
          <w:rStyle w:val="CharDivNo"/>
        </w:rPr>
        <w:t>Division 1</w:t>
      </w:r>
      <w:r>
        <w:t> — </w:t>
      </w:r>
      <w:r>
        <w:rPr>
          <w:rStyle w:val="CharDivText"/>
        </w:rPr>
        <w:t>The Registrar and staff</w:t>
      </w:r>
      <w:bookmarkEnd w:id="24"/>
      <w:bookmarkEnd w:id="25"/>
      <w:bookmarkEnd w:id="26"/>
      <w:bookmarkEnd w:id="27"/>
      <w:bookmarkEnd w:id="28"/>
    </w:p>
    <w:p>
      <w:pPr>
        <w:pStyle w:val="Heading5"/>
      </w:pPr>
      <w:bookmarkStart w:id="29" w:name="_Toc378062977"/>
      <w:bookmarkStart w:id="30" w:name="_Toc452540200"/>
      <w:bookmarkStart w:id="31" w:name="_Toc415055493"/>
      <w:r>
        <w:rPr>
          <w:rStyle w:val="CharSectno"/>
        </w:rPr>
        <w:t>5</w:t>
      </w:r>
      <w:r>
        <w:t>.</w:t>
      </w:r>
      <w:r>
        <w:tab/>
        <w:t>Registrar</w:t>
      </w:r>
      <w:bookmarkEnd w:id="29"/>
      <w:bookmarkEnd w:id="30"/>
      <w:bookmarkEnd w:id="31"/>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32" w:name="_Toc378062978"/>
      <w:bookmarkStart w:id="33" w:name="_Toc452540201"/>
      <w:bookmarkStart w:id="34" w:name="_Toc415055494"/>
      <w:r>
        <w:rPr>
          <w:rStyle w:val="CharSectno"/>
        </w:rPr>
        <w:t>6</w:t>
      </w:r>
      <w:r>
        <w:t>.</w:t>
      </w:r>
      <w:r>
        <w:tab/>
        <w:t>Registrar’s general functions</w:t>
      </w:r>
      <w:bookmarkEnd w:id="32"/>
      <w:bookmarkEnd w:id="33"/>
      <w:bookmarkEnd w:id="34"/>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35" w:name="_Toc378062979"/>
      <w:bookmarkStart w:id="36" w:name="_Toc452540202"/>
      <w:bookmarkStart w:id="37" w:name="_Toc415055495"/>
      <w:r>
        <w:rPr>
          <w:rStyle w:val="CharSectno"/>
        </w:rPr>
        <w:t>7</w:t>
      </w:r>
      <w:r>
        <w:t>.</w:t>
      </w:r>
      <w:r>
        <w:tab/>
        <w:t>Registrar’s staff</w:t>
      </w:r>
      <w:bookmarkEnd w:id="35"/>
      <w:bookmarkEnd w:id="36"/>
      <w:bookmarkEnd w:id="37"/>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38" w:name="_Toc378062980"/>
      <w:bookmarkStart w:id="39" w:name="_Toc452540203"/>
      <w:bookmarkStart w:id="40" w:name="_Toc415055496"/>
      <w:r>
        <w:rPr>
          <w:rStyle w:val="CharSectno"/>
        </w:rPr>
        <w:t>8</w:t>
      </w:r>
      <w:r>
        <w:t>.</w:t>
      </w:r>
      <w:r>
        <w:tab/>
        <w:t>Delegation</w:t>
      </w:r>
      <w:bookmarkEnd w:id="38"/>
      <w:bookmarkEnd w:id="39"/>
      <w:bookmarkEnd w:id="40"/>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41" w:name="_Toc378062981"/>
      <w:bookmarkStart w:id="42" w:name="_Toc415055400"/>
      <w:bookmarkStart w:id="43" w:name="_Toc415055497"/>
      <w:bookmarkStart w:id="44" w:name="_Toc452373506"/>
      <w:bookmarkStart w:id="45" w:name="_Toc452540204"/>
      <w:r>
        <w:rPr>
          <w:rStyle w:val="CharDivNo"/>
        </w:rPr>
        <w:t>Division 2</w:t>
      </w:r>
      <w:r>
        <w:t> — </w:t>
      </w:r>
      <w:r>
        <w:rPr>
          <w:rStyle w:val="CharDivText"/>
        </w:rPr>
        <w:t>Execution of documents</w:t>
      </w:r>
      <w:bookmarkEnd w:id="41"/>
      <w:bookmarkEnd w:id="42"/>
      <w:bookmarkEnd w:id="43"/>
      <w:bookmarkEnd w:id="44"/>
      <w:bookmarkEnd w:id="45"/>
    </w:p>
    <w:p>
      <w:pPr>
        <w:pStyle w:val="Heading5"/>
      </w:pPr>
      <w:bookmarkStart w:id="46" w:name="_Toc378062982"/>
      <w:bookmarkStart w:id="47" w:name="_Toc452540205"/>
      <w:bookmarkStart w:id="48" w:name="_Toc415055498"/>
      <w:r>
        <w:rPr>
          <w:rStyle w:val="CharSectno"/>
        </w:rPr>
        <w:t>9</w:t>
      </w:r>
      <w:r>
        <w:t>.</w:t>
      </w:r>
      <w:r>
        <w:tab/>
        <w:t>The Registrar’s seal</w:t>
      </w:r>
      <w:bookmarkEnd w:id="46"/>
      <w:bookmarkEnd w:id="47"/>
      <w:bookmarkEnd w:id="48"/>
    </w:p>
    <w:p>
      <w:pPr>
        <w:pStyle w:val="Subsection"/>
      </w:pPr>
      <w:r>
        <w:tab/>
      </w:r>
      <w:r>
        <w:tab/>
        <w:t>The Registrar is to have a seal.</w:t>
      </w:r>
    </w:p>
    <w:p>
      <w:pPr>
        <w:pStyle w:val="Heading5"/>
      </w:pPr>
      <w:bookmarkStart w:id="49" w:name="_Toc378062983"/>
      <w:bookmarkStart w:id="50" w:name="_Toc452540206"/>
      <w:bookmarkStart w:id="51" w:name="_Toc415055499"/>
      <w:r>
        <w:rPr>
          <w:rStyle w:val="CharSectno"/>
        </w:rPr>
        <w:t>10</w:t>
      </w:r>
      <w:r>
        <w:t>.</w:t>
      </w:r>
      <w:r>
        <w:tab/>
        <w:t>Execution of documents</w:t>
      </w:r>
      <w:bookmarkEnd w:id="49"/>
      <w:bookmarkEnd w:id="50"/>
      <w:bookmarkEnd w:id="51"/>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52" w:name="_Toc378062984"/>
      <w:bookmarkStart w:id="53" w:name="_Toc415055403"/>
      <w:bookmarkStart w:id="54" w:name="_Toc415055500"/>
      <w:bookmarkStart w:id="55" w:name="_Toc452373509"/>
      <w:bookmarkStart w:id="56" w:name="_Toc452540207"/>
      <w:r>
        <w:rPr>
          <w:rStyle w:val="CharDivNo"/>
        </w:rPr>
        <w:t>Division 3</w:t>
      </w:r>
      <w:r>
        <w:t> — </w:t>
      </w:r>
      <w:r>
        <w:rPr>
          <w:rStyle w:val="CharDivText"/>
        </w:rPr>
        <w:t>Reciprocal administrative arrangements</w:t>
      </w:r>
      <w:bookmarkEnd w:id="52"/>
      <w:bookmarkEnd w:id="53"/>
      <w:bookmarkEnd w:id="54"/>
      <w:bookmarkEnd w:id="55"/>
      <w:bookmarkEnd w:id="56"/>
    </w:p>
    <w:p>
      <w:pPr>
        <w:pStyle w:val="Heading5"/>
      </w:pPr>
      <w:bookmarkStart w:id="57" w:name="_Toc378062985"/>
      <w:bookmarkStart w:id="58" w:name="_Toc452540208"/>
      <w:bookmarkStart w:id="59" w:name="_Toc415055501"/>
      <w:r>
        <w:rPr>
          <w:rStyle w:val="CharSectno"/>
        </w:rPr>
        <w:t>11</w:t>
      </w:r>
      <w:r>
        <w:t>.</w:t>
      </w:r>
      <w:r>
        <w:tab/>
        <w:t>Reciprocal administrative arrangements</w:t>
      </w:r>
      <w:bookmarkEnd w:id="57"/>
      <w:bookmarkEnd w:id="58"/>
      <w:bookmarkEnd w:id="59"/>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60" w:name="_Toc378062986"/>
      <w:bookmarkStart w:id="61" w:name="_Toc415055405"/>
      <w:bookmarkStart w:id="62" w:name="_Toc415055502"/>
      <w:bookmarkStart w:id="63" w:name="_Toc452373511"/>
      <w:bookmarkStart w:id="64" w:name="_Toc452540209"/>
      <w:r>
        <w:rPr>
          <w:rStyle w:val="CharPartNo"/>
        </w:rPr>
        <w:t>Part 3</w:t>
      </w:r>
      <w:r>
        <w:t> — </w:t>
      </w:r>
      <w:r>
        <w:rPr>
          <w:rStyle w:val="CharPartText"/>
        </w:rPr>
        <w:t>Registration of births</w:t>
      </w:r>
      <w:bookmarkEnd w:id="60"/>
      <w:bookmarkEnd w:id="61"/>
      <w:bookmarkEnd w:id="62"/>
      <w:bookmarkEnd w:id="63"/>
      <w:bookmarkEnd w:id="64"/>
    </w:p>
    <w:p>
      <w:pPr>
        <w:pStyle w:val="Heading3"/>
      </w:pPr>
      <w:bookmarkStart w:id="65" w:name="_Toc378062987"/>
      <w:bookmarkStart w:id="66" w:name="_Toc415055406"/>
      <w:bookmarkStart w:id="67" w:name="_Toc415055503"/>
      <w:bookmarkStart w:id="68" w:name="_Toc452373512"/>
      <w:bookmarkStart w:id="69" w:name="_Toc452540210"/>
      <w:r>
        <w:rPr>
          <w:rStyle w:val="CharDivNo"/>
        </w:rPr>
        <w:t>Division 1</w:t>
      </w:r>
      <w:r>
        <w:t> — </w:t>
      </w:r>
      <w:r>
        <w:rPr>
          <w:rStyle w:val="CharDivText"/>
        </w:rPr>
        <w:t>Notification of births</w:t>
      </w:r>
      <w:bookmarkEnd w:id="65"/>
      <w:bookmarkEnd w:id="66"/>
      <w:bookmarkEnd w:id="67"/>
      <w:bookmarkEnd w:id="68"/>
      <w:bookmarkEnd w:id="69"/>
    </w:p>
    <w:p>
      <w:pPr>
        <w:pStyle w:val="Heading5"/>
      </w:pPr>
      <w:bookmarkStart w:id="70" w:name="_Toc378062988"/>
      <w:bookmarkStart w:id="71" w:name="_Toc452540211"/>
      <w:bookmarkStart w:id="72" w:name="_Toc415055504"/>
      <w:r>
        <w:rPr>
          <w:rStyle w:val="CharSectno"/>
        </w:rPr>
        <w:t>12</w:t>
      </w:r>
      <w:r>
        <w:t>.</w:t>
      </w:r>
      <w:r>
        <w:tab/>
        <w:t>Notification of births</w:t>
      </w:r>
      <w:bookmarkEnd w:id="70"/>
      <w:bookmarkEnd w:id="71"/>
      <w:bookmarkEnd w:id="72"/>
    </w:p>
    <w:p>
      <w:pPr>
        <w:pStyle w:val="Subsection"/>
      </w:pPr>
      <w:r>
        <w:tab/>
        <w:t>(1)</w:t>
      </w:r>
      <w:r>
        <w:tab/>
        <w:t>In this section — </w:t>
      </w:r>
    </w:p>
    <w:p>
      <w:pPr>
        <w:pStyle w:val="Defstart"/>
      </w:pPr>
      <w:r>
        <w:rPr>
          <w:b/>
        </w:rPr>
        <w:tab/>
      </w:r>
      <w:r>
        <w:rPr>
          <w:rStyle w:val="CharDefText"/>
        </w:rPr>
        <w:t>responsible person</w:t>
      </w:r>
      <w:r>
        <w:t>, in relation to the birth of a child — </w:t>
      </w:r>
    </w:p>
    <w:p>
      <w:pPr>
        <w:pStyle w:val="Defpara"/>
      </w:pPr>
      <w:r>
        <w:tab/>
        <w:t>(a)</w:t>
      </w:r>
      <w:r>
        <w:tab/>
        <w:t>if the child was born in a hospital or brought to a hospital within 24 hours after the child’s birth, means the chief executive officer or general manager of the hospital; 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tab/>
        <w:t>(3)</w:t>
      </w:r>
      <w:r>
        <w:tab/>
        <w:t>A person does not commit an offence under subsection (2) if notice of the birth is given by another person.</w:t>
      </w:r>
    </w:p>
    <w:p>
      <w:pPr>
        <w:pStyle w:val="Heading3"/>
      </w:pPr>
      <w:bookmarkStart w:id="73" w:name="_Toc378062989"/>
      <w:bookmarkStart w:id="74" w:name="_Toc415055408"/>
      <w:bookmarkStart w:id="75" w:name="_Toc415055505"/>
      <w:bookmarkStart w:id="76" w:name="_Toc452373514"/>
      <w:bookmarkStart w:id="77" w:name="_Toc452540212"/>
      <w:r>
        <w:rPr>
          <w:rStyle w:val="CharDivNo"/>
        </w:rPr>
        <w:t>Division 2</w:t>
      </w:r>
      <w:r>
        <w:t> — </w:t>
      </w:r>
      <w:r>
        <w:rPr>
          <w:rStyle w:val="CharDivText"/>
        </w:rPr>
        <w:t>Registration of births</w:t>
      </w:r>
      <w:bookmarkEnd w:id="73"/>
      <w:bookmarkEnd w:id="74"/>
      <w:bookmarkEnd w:id="75"/>
      <w:bookmarkEnd w:id="76"/>
      <w:bookmarkEnd w:id="77"/>
    </w:p>
    <w:p>
      <w:pPr>
        <w:pStyle w:val="Heading5"/>
      </w:pPr>
      <w:bookmarkStart w:id="78" w:name="_Toc378062990"/>
      <w:bookmarkStart w:id="79" w:name="_Toc452540213"/>
      <w:bookmarkStart w:id="80" w:name="_Toc415055506"/>
      <w:r>
        <w:rPr>
          <w:rStyle w:val="CharSectno"/>
        </w:rPr>
        <w:t>13</w:t>
      </w:r>
      <w:r>
        <w:t>.</w:t>
      </w:r>
      <w:r>
        <w:tab/>
        <w:t>Cases in which registration of birth is required or authorised</w:t>
      </w:r>
      <w:bookmarkEnd w:id="78"/>
      <w:bookmarkEnd w:id="79"/>
      <w:bookmarkEnd w:id="80"/>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81" w:name="_Toc378062991"/>
      <w:bookmarkStart w:id="82" w:name="_Toc452540214"/>
      <w:bookmarkStart w:id="83" w:name="_Toc415055507"/>
      <w:r>
        <w:rPr>
          <w:rStyle w:val="CharSectno"/>
        </w:rPr>
        <w:t>14</w:t>
      </w:r>
      <w:r>
        <w:t>.</w:t>
      </w:r>
      <w:r>
        <w:tab/>
        <w:t>How to have the birth of a child registered</w:t>
      </w:r>
      <w:bookmarkEnd w:id="81"/>
      <w:bookmarkEnd w:id="82"/>
      <w:bookmarkEnd w:id="83"/>
    </w:p>
    <w:p>
      <w:pPr>
        <w:pStyle w:val="Subsection"/>
      </w:pPr>
      <w:r>
        <w:tab/>
      </w:r>
      <w:r>
        <w:tab/>
        <w:t>A person has the birth of a child registered under this Act by lodging a statement (the “birth registration statement”) in an approved form.</w:t>
      </w:r>
    </w:p>
    <w:p>
      <w:pPr>
        <w:pStyle w:val="Heading5"/>
      </w:pPr>
      <w:bookmarkStart w:id="84" w:name="_Toc378062992"/>
      <w:bookmarkStart w:id="85" w:name="_Toc452540215"/>
      <w:bookmarkStart w:id="86" w:name="_Toc415055508"/>
      <w:r>
        <w:rPr>
          <w:rStyle w:val="CharSectno"/>
        </w:rPr>
        <w:t>15</w:t>
      </w:r>
      <w:r>
        <w:t>.</w:t>
      </w:r>
      <w:r>
        <w:tab/>
        <w:t>Responsibility to have birth registered</w:t>
      </w:r>
      <w:bookmarkEnd w:id="84"/>
      <w:bookmarkEnd w:id="85"/>
      <w:bookmarkEnd w:id="86"/>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87" w:name="_Toc378062993"/>
      <w:bookmarkStart w:id="88" w:name="_Toc452540216"/>
      <w:bookmarkStart w:id="89" w:name="_Toc415055509"/>
      <w:r>
        <w:rPr>
          <w:rStyle w:val="CharSectno"/>
        </w:rPr>
        <w:t>16</w:t>
      </w:r>
      <w:r>
        <w:t>.</w:t>
      </w:r>
      <w:r>
        <w:tab/>
        <w:t>Obligation to have birth registered</w:t>
      </w:r>
      <w:bookmarkEnd w:id="87"/>
      <w:bookmarkEnd w:id="88"/>
      <w:bookmarkEnd w:id="89"/>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90" w:name="_Toc378062994"/>
      <w:bookmarkStart w:id="91" w:name="_Toc452540217"/>
      <w:bookmarkStart w:id="92" w:name="_Toc415055510"/>
      <w:r>
        <w:rPr>
          <w:rStyle w:val="CharSectno"/>
        </w:rPr>
        <w:t>17</w:t>
      </w:r>
      <w:r>
        <w:t>.</w:t>
      </w:r>
      <w:r>
        <w:tab/>
        <w:t>Registration of birth</w:t>
      </w:r>
      <w:bookmarkEnd w:id="90"/>
      <w:bookmarkEnd w:id="91"/>
      <w:bookmarkEnd w:id="92"/>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93" w:name="_Toc378062995"/>
      <w:bookmarkStart w:id="94" w:name="_Toc452540218"/>
      <w:bookmarkStart w:id="95" w:name="_Toc415055511"/>
      <w:r>
        <w:rPr>
          <w:rStyle w:val="CharSectno"/>
        </w:rPr>
        <w:t>18</w:t>
      </w:r>
      <w:r>
        <w:t>.</w:t>
      </w:r>
      <w:r>
        <w:tab/>
        <w:t>Registration of parentage details</w:t>
      </w:r>
      <w:bookmarkEnd w:id="93"/>
      <w:bookmarkEnd w:id="94"/>
      <w:bookmarkEnd w:id="95"/>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by No. 3 of 2002 s. 30.]</w:t>
      </w:r>
    </w:p>
    <w:p>
      <w:pPr>
        <w:pStyle w:val="Heading5"/>
      </w:pPr>
      <w:bookmarkStart w:id="96" w:name="_Toc378062996"/>
      <w:bookmarkStart w:id="97" w:name="_Toc452540219"/>
      <w:bookmarkStart w:id="98" w:name="_Toc415055512"/>
      <w:r>
        <w:rPr>
          <w:rStyle w:val="CharSectno"/>
        </w:rPr>
        <w:t>19</w:t>
      </w:r>
      <w:r>
        <w:t>.</w:t>
      </w:r>
      <w:r>
        <w:tab/>
        <w:t>Addition of details after birth registration</w:t>
      </w:r>
      <w:bookmarkEnd w:id="96"/>
      <w:bookmarkEnd w:id="97"/>
      <w:bookmarkEnd w:id="98"/>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rStyle w:val="CharDefText"/>
        </w:rPr>
        <w:t>proposed surname</w:t>
      </w:r>
      <w:r>
        <w:t>); and</w:t>
      </w:r>
    </w:p>
    <w:p>
      <w:pPr>
        <w:pStyle w:val="Indenta"/>
      </w:pPr>
      <w:r>
        <w:tab/>
        <w:t>(d)</w:t>
      </w:r>
      <w:r>
        <w:tab/>
        <w:t>must, if the Registrar requires verification of the information contained in the application, be accompanied by a statutory declaration verifying the 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by No. 3 of 2002 s. 31.]</w:t>
      </w:r>
    </w:p>
    <w:p>
      <w:pPr>
        <w:pStyle w:val="Heading3"/>
      </w:pPr>
      <w:bookmarkStart w:id="99" w:name="_Toc378062997"/>
      <w:bookmarkStart w:id="100" w:name="_Toc415055416"/>
      <w:bookmarkStart w:id="101" w:name="_Toc415055513"/>
      <w:bookmarkStart w:id="102" w:name="_Toc452373522"/>
      <w:bookmarkStart w:id="103" w:name="_Toc452540220"/>
      <w:r>
        <w:rPr>
          <w:rStyle w:val="CharDivNo"/>
        </w:rPr>
        <w:t>Division 3</w:t>
      </w:r>
      <w:r>
        <w:t> — </w:t>
      </w:r>
      <w:r>
        <w:rPr>
          <w:rStyle w:val="CharDivText"/>
        </w:rPr>
        <w:t>Court orders relating to registration of birth</w:t>
      </w:r>
      <w:bookmarkEnd w:id="99"/>
      <w:bookmarkEnd w:id="100"/>
      <w:bookmarkEnd w:id="101"/>
      <w:bookmarkEnd w:id="102"/>
      <w:bookmarkEnd w:id="103"/>
    </w:p>
    <w:p>
      <w:pPr>
        <w:pStyle w:val="Heading5"/>
      </w:pPr>
      <w:bookmarkStart w:id="104" w:name="_Toc378062998"/>
      <w:bookmarkStart w:id="105" w:name="_Toc452540221"/>
      <w:bookmarkStart w:id="106" w:name="_Toc415055514"/>
      <w:r>
        <w:rPr>
          <w:rStyle w:val="CharSectno"/>
        </w:rPr>
        <w:t>20</w:t>
      </w:r>
      <w:r>
        <w:t>.</w:t>
      </w:r>
      <w:r>
        <w:tab/>
        <w:t>Powers of State courts</w:t>
      </w:r>
      <w:bookmarkEnd w:id="104"/>
      <w:bookmarkEnd w:id="105"/>
      <w:bookmarkEnd w:id="106"/>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tab/>
        <w:t>(b)</w:t>
      </w:r>
      <w:r>
        <w:tab/>
        <w:t>include or correct registrable information about a birth or a child’s parents in the Register.</w:t>
      </w:r>
    </w:p>
    <w:p>
      <w:pPr>
        <w:pStyle w:val="Heading5"/>
      </w:pPr>
      <w:bookmarkStart w:id="107" w:name="_Toc378062999"/>
      <w:bookmarkStart w:id="108" w:name="_Toc452540222"/>
      <w:bookmarkStart w:id="109" w:name="_Toc415055515"/>
      <w:r>
        <w:rPr>
          <w:rStyle w:val="CharSectno"/>
        </w:rPr>
        <w:t>21</w:t>
      </w:r>
      <w:r>
        <w:t>.</w:t>
      </w:r>
      <w:r>
        <w:tab/>
        <w:t>Registration of birth etc. after court findings</w:t>
      </w:r>
      <w:bookmarkEnd w:id="107"/>
      <w:bookmarkEnd w:id="108"/>
      <w:bookmarkEnd w:id="109"/>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110" w:name="_Toc378063000"/>
      <w:bookmarkStart w:id="111" w:name="_Toc415055419"/>
      <w:bookmarkStart w:id="112" w:name="_Toc415055516"/>
      <w:bookmarkStart w:id="113" w:name="_Toc452373525"/>
      <w:bookmarkStart w:id="114" w:name="_Toc452540223"/>
      <w:r>
        <w:rPr>
          <w:rStyle w:val="CharDivNo"/>
        </w:rPr>
        <w:t>Division 4</w:t>
      </w:r>
      <w:r>
        <w:t> — </w:t>
      </w:r>
      <w:r>
        <w:rPr>
          <w:rStyle w:val="CharDivText"/>
        </w:rPr>
        <w:t>Child’s name</w:t>
      </w:r>
      <w:bookmarkEnd w:id="110"/>
      <w:bookmarkEnd w:id="111"/>
      <w:bookmarkEnd w:id="112"/>
      <w:bookmarkEnd w:id="113"/>
      <w:bookmarkEnd w:id="114"/>
    </w:p>
    <w:p>
      <w:pPr>
        <w:pStyle w:val="Heading5"/>
      </w:pPr>
      <w:bookmarkStart w:id="115" w:name="_Toc378063001"/>
      <w:bookmarkStart w:id="116" w:name="_Toc452540224"/>
      <w:bookmarkStart w:id="117" w:name="_Toc415055517"/>
      <w:r>
        <w:rPr>
          <w:rStyle w:val="CharSectno"/>
        </w:rPr>
        <w:t>22</w:t>
      </w:r>
      <w:r>
        <w:t>.</w:t>
      </w:r>
      <w:r>
        <w:tab/>
        <w:t>Name of child</w:t>
      </w:r>
      <w:bookmarkEnd w:id="115"/>
      <w:bookmarkEnd w:id="116"/>
      <w:bookmarkEnd w:id="117"/>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118" w:name="_Toc378063002"/>
      <w:bookmarkStart w:id="119" w:name="_Toc452540225"/>
      <w:bookmarkStart w:id="120" w:name="_Toc415055518"/>
      <w:r>
        <w:rPr>
          <w:rStyle w:val="CharSectno"/>
        </w:rPr>
        <w:t>23</w:t>
      </w:r>
      <w:r>
        <w:t>.</w:t>
      </w:r>
      <w:r>
        <w:tab/>
        <w:t>Given names can be changed once within a year of birth</w:t>
      </w:r>
      <w:bookmarkEnd w:id="118"/>
      <w:bookmarkEnd w:id="119"/>
      <w:bookmarkEnd w:id="120"/>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121" w:name="_Toc378063003"/>
      <w:bookmarkStart w:id="122" w:name="_Toc415055422"/>
      <w:bookmarkStart w:id="123" w:name="_Toc415055519"/>
      <w:bookmarkStart w:id="124" w:name="_Toc452373528"/>
      <w:bookmarkStart w:id="125" w:name="_Toc452540226"/>
      <w:r>
        <w:rPr>
          <w:rStyle w:val="CharPartNo"/>
        </w:rPr>
        <w:t>Part 4</w:t>
      </w:r>
      <w:r>
        <w:rPr>
          <w:rStyle w:val="CharDivNo"/>
        </w:rPr>
        <w:t> </w:t>
      </w:r>
      <w:r>
        <w:t>—</w:t>
      </w:r>
      <w:r>
        <w:rPr>
          <w:rStyle w:val="CharDivText"/>
        </w:rPr>
        <w:t> </w:t>
      </w:r>
      <w:r>
        <w:rPr>
          <w:rStyle w:val="CharPartText"/>
        </w:rPr>
        <w:t>Registration of information about certain parentage changes</w:t>
      </w:r>
      <w:bookmarkEnd w:id="121"/>
      <w:bookmarkEnd w:id="122"/>
      <w:bookmarkEnd w:id="123"/>
      <w:bookmarkEnd w:id="124"/>
      <w:bookmarkEnd w:id="125"/>
    </w:p>
    <w:p>
      <w:pPr>
        <w:pStyle w:val="Footnoteheading"/>
      </w:pPr>
      <w:r>
        <w:tab/>
        <w:t>[Heading inserted by No. 47 of 2008 s. 50.]</w:t>
      </w:r>
    </w:p>
    <w:p>
      <w:pPr>
        <w:pStyle w:val="Heading5"/>
      </w:pPr>
      <w:bookmarkStart w:id="126" w:name="_Toc378063004"/>
      <w:bookmarkStart w:id="127" w:name="_Toc452540227"/>
      <w:bookmarkStart w:id="128" w:name="_Toc415055520"/>
      <w:r>
        <w:rPr>
          <w:rStyle w:val="CharSectno"/>
        </w:rPr>
        <w:t>24</w:t>
      </w:r>
      <w:r>
        <w:t>.</w:t>
      </w:r>
      <w:r>
        <w:tab/>
        <w:t>WA order: birth registered in WA</w:t>
      </w:r>
      <w:bookmarkEnd w:id="126"/>
      <w:bookmarkEnd w:id="127"/>
      <w:bookmarkEnd w:id="128"/>
    </w:p>
    <w:p>
      <w:pPr>
        <w:pStyle w:val="Subsection"/>
      </w:pPr>
      <w:r>
        <w:tab/>
        <w:t>(1)</w:t>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Subsection"/>
      </w:pPr>
      <w:r>
        <w:tab/>
        <w:t>(2)</w:t>
      </w:r>
      <w:r>
        <w:tab/>
        <w:t xml:space="preserve">On receipt of a notice under section 32(1) of the </w:t>
      </w:r>
      <w:r>
        <w:rPr>
          <w:i/>
          <w:iCs/>
          <w:snapToGrid w:val="0"/>
        </w:rPr>
        <w:t>Surrogacy Act 2008</w:t>
      </w:r>
      <w:r>
        <w:rPr>
          <w:snapToGrid w:val="0"/>
        </w:rPr>
        <w:t xml:space="preserve"> </w:t>
      </w:r>
      <w:r>
        <w:t>in relation to the making or discharge of a parentage order about a child whose birth is registered in this State, the particulars provided in the notice must be registered by the Registrar in relation to the registration of the child’s birth.</w:t>
      </w:r>
    </w:p>
    <w:p>
      <w:pPr>
        <w:pStyle w:val="Footnotesection"/>
      </w:pPr>
      <w:r>
        <w:tab/>
        <w:t>[Section 24 amended by No. 47 of 2008 s. 51.]</w:t>
      </w:r>
    </w:p>
    <w:p>
      <w:pPr>
        <w:pStyle w:val="Heading5"/>
      </w:pPr>
      <w:bookmarkStart w:id="129" w:name="_Toc378063005"/>
      <w:bookmarkStart w:id="130" w:name="_Toc452540228"/>
      <w:bookmarkStart w:id="131" w:name="_Toc415055521"/>
      <w:r>
        <w:rPr>
          <w:rStyle w:val="CharSectno"/>
        </w:rPr>
        <w:t>25</w:t>
      </w:r>
      <w:r>
        <w:t>.</w:t>
      </w:r>
      <w:r>
        <w:tab/>
        <w:t>WA order: birth not registered in WA</w:t>
      </w:r>
      <w:bookmarkEnd w:id="129"/>
      <w:bookmarkEnd w:id="130"/>
      <w:bookmarkEnd w:id="131"/>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(2A)</w:t>
      </w:r>
      <w:r>
        <w:tab/>
        <w:t xml:space="preserve">On receipt of a notice under section 32(1) of the </w:t>
      </w:r>
      <w:r>
        <w:rPr>
          <w:i/>
          <w:iCs/>
          <w:snapToGrid w:val="0"/>
        </w:rPr>
        <w:t>Surrogacy Act 2008</w:t>
      </w:r>
      <w:r>
        <w:rPr>
          <w:snapToGrid w:val="0"/>
        </w:rPr>
        <w:t xml:space="preserve"> </w:t>
      </w:r>
      <w:r>
        <w:t xml:space="preserve">in relation to the making or discharge of a parentage order about a child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child’s birth in accordance with the information provided under section 32 of that Act.</w:t>
      </w:r>
    </w:p>
    <w:p>
      <w:pPr>
        <w:pStyle w:val="Subsection"/>
      </w:pPr>
      <w:r>
        <w:tab/>
        <w:t>(2)</w:t>
      </w:r>
      <w:r>
        <w:tab/>
        <w:t xml:space="preserve">The Registrar is not required to register a birth under subsection (1) or (2A) if — </w:t>
      </w:r>
    </w:p>
    <w:p>
      <w:pPr>
        <w:pStyle w:val="Indenta"/>
      </w:pPr>
      <w:r>
        <w:tab/>
        <w:t>(a)</w:t>
      </w:r>
      <w:r>
        <w:tab/>
        <w:t>the birth is registered under a corresponding law; and</w:t>
      </w:r>
    </w:p>
    <w:p>
      <w:pPr>
        <w:pStyle w:val="Indenta"/>
      </w:pPr>
      <w:r>
        <w:tab/>
        <w:t>(b)</w:t>
      </w:r>
      <w:r>
        <w:tab/>
        <w:t>information about the adoption order or parentage order, or the discharge of the adoption order or parentage order, as is applicable in the case, is registered under a corresponding law.</w:t>
      </w:r>
    </w:p>
    <w:p>
      <w:pPr>
        <w:pStyle w:val="Subsection"/>
      </w:pPr>
      <w:r>
        <w:tab/>
        <w:t>(3)</w:t>
      </w:r>
      <w:r>
        <w:tab/>
        <w:t>If a birth is to be registered under subsection (1) or (2A) but some of the information required to register the birth is not available, the Registrar may endorse the birth registration to the effect that the information was not available when the birth was registered.</w:t>
      </w:r>
    </w:p>
    <w:p>
      <w:pPr>
        <w:pStyle w:val="Footnotesection"/>
      </w:pPr>
      <w:r>
        <w:tab/>
        <w:t>[Section 25 amended by No. 47 of 2008 s. 52.]</w:t>
      </w:r>
    </w:p>
    <w:p>
      <w:pPr>
        <w:pStyle w:val="Heading5"/>
      </w:pPr>
      <w:bookmarkStart w:id="132" w:name="_Toc378063006"/>
      <w:bookmarkStart w:id="133" w:name="_Toc452540229"/>
      <w:bookmarkStart w:id="134" w:name="_Toc415055522"/>
      <w:r>
        <w:rPr>
          <w:rStyle w:val="CharSectno"/>
        </w:rPr>
        <w:t>26</w:t>
      </w:r>
      <w:r>
        <w:t>.</w:t>
      </w:r>
      <w:r>
        <w:tab/>
        <w:t>Order in other State: birth registered in WA</w:t>
      </w:r>
      <w:bookmarkEnd w:id="132"/>
      <w:bookmarkEnd w:id="133"/>
      <w:bookmarkEnd w:id="134"/>
    </w:p>
    <w:p>
      <w:pPr>
        <w:pStyle w:val="Subsection"/>
      </w:pPr>
      <w:r>
        <w:tab/>
        <w:t>(1)</w:t>
      </w:r>
      <w:r>
        <w:tab/>
        <w:t xml:space="preserve">If — </w:t>
      </w:r>
    </w:p>
    <w:p>
      <w:pPr>
        <w:pStyle w:val="Indenta"/>
      </w:pPr>
      <w:r>
        <w:tab/>
        <w:t>(a)</w:t>
      </w:r>
      <w:r>
        <w:tab/>
        <w:t>an adoption order or parentage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Subsection"/>
      </w:pPr>
      <w:r>
        <w:tab/>
        <w:t>(2)</w:t>
      </w:r>
      <w:r>
        <w:tab/>
        <w:t xml:space="preserve">In subsection (1) — </w:t>
      </w:r>
    </w:p>
    <w:p>
      <w:pPr>
        <w:pStyle w:val="Defstart"/>
      </w:pPr>
      <w:r>
        <w:tab/>
      </w:r>
      <w:r>
        <w:rPr>
          <w:rStyle w:val="CharDefText"/>
        </w:rPr>
        <w:t>parentage order</w:t>
      </w:r>
      <w:r>
        <w:t xml:space="preserve"> means an order substantially similar in effect to a parentage order under the </w:t>
      </w:r>
      <w:r>
        <w:rPr>
          <w:i/>
          <w:iCs/>
        </w:rPr>
        <w:t>Surrogacy Act 2008</w:t>
      </w:r>
      <w:r>
        <w:t>.</w:t>
      </w:r>
    </w:p>
    <w:p>
      <w:pPr>
        <w:pStyle w:val="Footnotesection"/>
      </w:pPr>
      <w:r>
        <w:tab/>
        <w:t>[Section 26 amended by No. 47 of 2008 s. 53]</w:t>
      </w:r>
    </w:p>
    <w:p>
      <w:pPr>
        <w:pStyle w:val="Heading5"/>
      </w:pPr>
      <w:bookmarkStart w:id="135" w:name="_Toc378063007"/>
      <w:bookmarkStart w:id="136" w:name="_Toc452540230"/>
      <w:bookmarkStart w:id="137" w:name="_Toc415055523"/>
      <w:r>
        <w:rPr>
          <w:rStyle w:val="CharSectno"/>
        </w:rPr>
        <w:t>27</w:t>
      </w:r>
      <w:r>
        <w:t>.</w:t>
      </w:r>
      <w:r>
        <w:tab/>
        <w:t>Manner and form of adoption information in the Register</w:t>
      </w:r>
      <w:bookmarkEnd w:id="135"/>
      <w:bookmarkEnd w:id="136"/>
      <w:bookmarkEnd w:id="137"/>
    </w:p>
    <w:p>
      <w:pPr>
        <w:pStyle w:val="Subsection"/>
      </w:pPr>
      <w:r>
        <w:tab/>
      </w:r>
      <w:r>
        <w:tab/>
        <w:t>A registration or endorsement required under this Part and any related entry in the Register are to be made in an approved manner and form.</w:t>
      </w:r>
    </w:p>
    <w:p>
      <w:pPr>
        <w:pStyle w:val="Heading5"/>
      </w:pPr>
      <w:bookmarkStart w:id="138" w:name="_Toc378063008"/>
      <w:bookmarkStart w:id="139" w:name="_Toc452540231"/>
      <w:bookmarkStart w:id="140" w:name="_Toc415055524"/>
      <w:r>
        <w:rPr>
          <w:rStyle w:val="CharSectno"/>
        </w:rPr>
        <w:t>28</w:t>
      </w:r>
      <w:r>
        <w:t>.</w:t>
      </w:r>
      <w:r>
        <w:tab/>
        <w:t>Certain certified copies</w:t>
      </w:r>
      <w:bookmarkEnd w:id="138"/>
      <w:bookmarkEnd w:id="139"/>
      <w:bookmarkEnd w:id="140"/>
    </w:p>
    <w:p>
      <w:pPr>
        <w:pStyle w:val="Subsection"/>
      </w:pPr>
      <w:r>
        <w:tab/>
      </w:r>
      <w:r>
        <w:tab/>
        <w:t xml:space="preserve">If the </w:t>
      </w:r>
      <w:r>
        <w:rPr>
          <w:i/>
          <w:iCs/>
        </w:rPr>
        <w:t>Adoption Act 1994</w:t>
      </w:r>
      <w:r>
        <w:t xml:space="preserve"> section 86 or the </w:t>
      </w:r>
      <w:r>
        <w:rPr>
          <w:i/>
          <w:iCs/>
        </w:rPr>
        <w:t>Surrogacy Act 2008</w:t>
      </w:r>
      <w:r>
        <w:t xml:space="preserve"> section 39 requires the Registrar to issue a certified copy of that portion of the registration of a person’s birth that does not refer to — </w:t>
      </w:r>
    </w:p>
    <w:p>
      <w:pPr>
        <w:pStyle w:val="Indenta"/>
      </w:pPr>
      <w:r>
        <w:tab/>
        <w:t>(a)</w:t>
      </w:r>
      <w:r>
        <w:tab/>
        <w:t>the person’s birth parents; or</w:t>
      </w:r>
    </w:p>
    <w:p>
      <w:pPr>
        <w:pStyle w:val="Indenta"/>
      </w:pPr>
      <w:r>
        <w:tab/>
        <w:t>(b)</w:t>
      </w:r>
      <w:r>
        <w:tab/>
        <w:t xml:space="preserve">as the case requires, the person’s adoption or change of parentage under the </w:t>
      </w:r>
      <w:r>
        <w:rPr>
          <w:i/>
          <w:iCs/>
        </w:rPr>
        <w:t>Surrogacy Act 2008</w:t>
      </w:r>
      <w:r>
        <w:t>,</w:t>
      </w:r>
    </w:p>
    <w:p>
      <w:pPr>
        <w:pStyle w:val="Subsection"/>
      </w:pPr>
      <w:r>
        <w:tab/>
      </w:r>
      <w:r>
        <w:tab/>
        <w:t>the certified copy is to be in an approved form.</w:t>
      </w:r>
    </w:p>
    <w:p>
      <w:pPr>
        <w:pStyle w:val="Footnotesection"/>
      </w:pPr>
      <w:r>
        <w:tab/>
        <w:t>[Section 28 inserted by No. 47 of 2008 s. 54.]</w:t>
      </w:r>
    </w:p>
    <w:p>
      <w:pPr>
        <w:pStyle w:val="Heading2"/>
      </w:pPr>
      <w:bookmarkStart w:id="141" w:name="_Toc378063009"/>
      <w:bookmarkStart w:id="142" w:name="_Toc415055428"/>
      <w:bookmarkStart w:id="143" w:name="_Toc415055525"/>
      <w:bookmarkStart w:id="144" w:name="_Toc452373534"/>
      <w:bookmarkStart w:id="145" w:name="_Toc452540232"/>
      <w:r>
        <w:rPr>
          <w:rStyle w:val="CharPartNo"/>
        </w:rPr>
        <w:t>Part 5</w:t>
      </w:r>
      <w:r>
        <w:rPr>
          <w:rStyle w:val="CharDivNo"/>
        </w:rPr>
        <w:t> </w:t>
      </w:r>
      <w:r>
        <w:t>—</w:t>
      </w:r>
      <w:r>
        <w:rPr>
          <w:rStyle w:val="CharDivText"/>
        </w:rPr>
        <w:t> </w:t>
      </w:r>
      <w:r>
        <w:rPr>
          <w:rStyle w:val="CharPartText"/>
        </w:rPr>
        <w:t>Change of name</w:t>
      </w:r>
      <w:bookmarkEnd w:id="141"/>
      <w:bookmarkEnd w:id="142"/>
      <w:bookmarkEnd w:id="143"/>
      <w:bookmarkEnd w:id="144"/>
      <w:bookmarkEnd w:id="145"/>
    </w:p>
    <w:p>
      <w:pPr>
        <w:pStyle w:val="Heading5"/>
      </w:pPr>
      <w:bookmarkStart w:id="146" w:name="_Toc378063010"/>
      <w:bookmarkStart w:id="147" w:name="_Toc452540233"/>
      <w:bookmarkStart w:id="148" w:name="_Toc415055526"/>
      <w:r>
        <w:rPr>
          <w:rStyle w:val="CharSectno"/>
        </w:rPr>
        <w:t>29</w:t>
      </w:r>
      <w:r>
        <w:t>.</w:t>
      </w:r>
      <w:r>
        <w:tab/>
        <w:t>Change of name by registration</w:t>
      </w:r>
      <w:bookmarkEnd w:id="146"/>
      <w:bookmarkEnd w:id="147"/>
      <w:bookmarkEnd w:id="148"/>
    </w:p>
    <w:p>
      <w:pPr>
        <w:pStyle w:val="Subsection"/>
      </w:pPr>
      <w:r>
        <w:tab/>
      </w:r>
      <w:r>
        <w:tab/>
        <w:t>A person’s name may be changed by registration of the change under this Part.</w:t>
      </w:r>
    </w:p>
    <w:p>
      <w:pPr>
        <w:pStyle w:val="Heading5"/>
      </w:pPr>
      <w:bookmarkStart w:id="149" w:name="_Toc378063011"/>
      <w:bookmarkStart w:id="150" w:name="_Toc452540234"/>
      <w:bookmarkStart w:id="151" w:name="_Toc415055527"/>
      <w:r>
        <w:rPr>
          <w:rStyle w:val="CharSectno"/>
        </w:rPr>
        <w:t>30</w:t>
      </w:r>
      <w:r>
        <w:t>.</w:t>
      </w:r>
      <w:r>
        <w:tab/>
        <w:t>Application to register change of adult’s name</w:t>
      </w:r>
      <w:bookmarkEnd w:id="149"/>
      <w:bookmarkEnd w:id="150"/>
      <w:bookmarkEnd w:id="151"/>
    </w:p>
    <w:p>
      <w:pPr>
        <w:pStyle w:val="Subsection"/>
      </w:pPr>
      <w:r>
        <w:tab/>
      </w:r>
      <w:r>
        <w:tab/>
        <w:t xml:space="preserve">An adult person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person’s name.</w:t>
      </w:r>
    </w:p>
    <w:p>
      <w:pPr>
        <w:pStyle w:val="Heading5"/>
      </w:pPr>
      <w:bookmarkStart w:id="152" w:name="_Toc378063012"/>
      <w:bookmarkStart w:id="153" w:name="_Toc452540235"/>
      <w:bookmarkStart w:id="154" w:name="_Toc415055528"/>
      <w:r>
        <w:rPr>
          <w:rStyle w:val="CharSectno"/>
        </w:rPr>
        <w:t>31</w:t>
      </w:r>
      <w:r>
        <w:t>.</w:t>
      </w:r>
      <w:r>
        <w:tab/>
        <w:t>Application to register change of child’s name</w:t>
      </w:r>
      <w:bookmarkEnd w:id="152"/>
      <w:bookmarkEnd w:id="153"/>
      <w:bookmarkEnd w:id="154"/>
    </w:p>
    <w:p>
      <w:pPr>
        <w:pStyle w:val="Subsection"/>
      </w:pPr>
      <w:r>
        <w:tab/>
        <w:t>(1)</w:t>
      </w:r>
      <w:r>
        <w:tab/>
        <w:t xml:space="preserve">The parents of a child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child’s name.</w:t>
      </w:r>
    </w:p>
    <w:p>
      <w:pPr>
        <w:pStyle w:val="Subsection"/>
      </w:pPr>
      <w:r>
        <w:tab/>
        <w:t>(2)</w:t>
      </w:r>
      <w:r>
        <w:tab/>
        <w:t xml:space="preserve">An application for registration of a change of a child’s name may be made by one parent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(3)</w:t>
      </w:r>
      <w:r>
        <w:tab/>
        <w:t>If the parents of a child are dead, cannot be found, or for some other reason cannot exercise their parental responsibilities for a child, the child’s guardian may apply for registration of a change of the child’s name.</w:t>
      </w:r>
    </w:p>
    <w:p>
      <w:pPr>
        <w:pStyle w:val="Heading5"/>
      </w:pPr>
      <w:bookmarkStart w:id="155" w:name="_Toc378063013"/>
      <w:bookmarkStart w:id="156" w:name="_Toc452540236"/>
      <w:bookmarkStart w:id="157" w:name="_Toc415055529"/>
      <w:r>
        <w:rPr>
          <w:rStyle w:val="CharSectno"/>
        </w:rPr>
        <w:t>32</w:t>
      </w:r>
      <w:r>
        <w:t>.</w:t>
      </w:r>
      <w:r>
        <w:tab/>
        <w:t>Child’s consent to change of name</w:t>
      </w:r>
      <w:bookmarkEnd w:id="155"/>
      <w:bookmarkEnd w:id="156"/>
      <w:bookmarkEnd w:id="157"/>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158" w:name="_Toc378063014"/>
      <w:bookmarkStart w:id="159" w:name="_Toc452540237"/>
      <w:bookmarkStart w:id="160" w:name="_Toc415055530"/>
      <w:r>
        <w:rPr>
          <w:rStyle w:val="CharSectno"/>
        </w:rPr>
        <w:t>33</w:t>
      </w:r>
      <w:r>
        <w:t>.</w:t>
      </w:r>
      <w:r>
        <w:tab/>
        <w:t>Application to register change of child’s name approved by Family Court</w:t>
      </w:r>
      <w:bookmarkEnd w:id="158"/>
      <w:bookmarkEnd w:id="159"/>
      <w:bookmarkEnd w:id="160"/>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161" w:name="_Toc378063015"/>
      <w:bookmarkStart w:id="162" w:name="_Toc452540238"/>
      <w:bookmarkStart w:id="163" w:name="_Toc415055531"/>
      <w:r>
        <w:rPr>
          <w:rStyle w:val="CharSectno"/>
        </w:rPr>
        <w:t>34</w:t>
      </w:r>
      <w:r>
        <w:t>.</w:t>
      </w:r>
      <w:r>
        <w:tab/>
        <w:t>Registration of change of name</w:t>
      </w:r>
      <w:bookmarkEnd w:id="161"/>
      <w:bookmarkEnd w:id="162"/>
      <w:bookmarkEnd w:id="163"/>
    </w:p>
    <w:p>
      <w:pPr>
        <w:pStyle w:val="Subsection"/>
      </w:pPr>
      <w:r>
        <w:tab/>
        <w:t>(1)</w:t>
      </w:r>
      <w:r>
        <w:tab/>
        <w:t xml:space="preserve">Before registering a change of name under this Division, the Registrar may require the applicant to provide evidence to establish to the Registrar’s satisfaction — </w:t>
      </w:r>
    </w:p>
    <w:p>
      <w:pPr>
        <w:pStyle w:val="Indenta"/>
      </w:pPr>
      <w:r>
        <w:tab/>
        <w:t>(a)</w:t>
      </w:r>
      <w:r>
        <w:tab/>
        <w:t xml:space="preserve">the identity and age of the person whose name is to be changed; </w:t>
      </w:r>
    </w:p>
    <w:p>
      <w:pPr>
        <w:pStyle w:val="Indenta"/>
      </w:pPr>
      <w:r>
        <w:tab/>
        <w:t>(b)</w:t>
      </w:r>
      <w:r>
        <w:tab/>
        <w:t>that the change of name is not sought for a fraudulent or other improper purpose; and</w:t>
      </w:r>
    </w:p>
    <w:p>
      <w:pPr>
        <w:pStyle w:val="Indenta"/>
      </w:pPr>
      <w:r>
        <w:tab/>
        <w:t>(c)</w:t>
      </w:r>
      <w:r>
        <w:tab/>
        <w:t xml:space="preserve">if the person whose name is to be changed is a child who is 12 years of age or more, that — </w:t>
      </w:r>
    </w:p>
    <w:p>
      <w:pPr>
        <w:pStyle w:val="Indenti"/>
      </w:pPr>
      <w:r>
        <w:tab/>
        <w:t>(i)</w:t>
      </w:r>
      <w:r>
        <w:tab/>
        <w:t xml:space="preserve">the child consents to the change of name; or </w:t>
      </w:r>
    </w:p>
    <w:p>
      <w:pPr>
        <w:pStyle w:val="Indenti"/>
      </w:pPr>
      <w:r>
        <w:tab/>
        <w:t>(ii)</w:t>
      </w:r>
      <w:r>
        <w:tab/>
        <w:t>the child is unable to understand the meaning and implications of the change of name.</w:t>
      </w:r>
    </w:p>
    <w:p>
      <w:pPr>
        <w:pStyle w:val="Subsection"/>
      </w:pPr>
      <w:r>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The Registrar may refuse to register a change of name if, as a result of the change, the name would become a prohibited name.</w:t>
      </w:r>
    </w:p>
    <w:p>
      <w:pPr>
        <w:pStyle w:val="Subsection"/>
      </w:pPr>
      <w:r>
        <w:tab/>
        <w:t>(4)</w:t>
      </w:r>
      <w:r>
        <w:tab/>
        <w:t>This section does not apply to an application under section 33.</w:t>
      </w:r>
    </w:p>
    <w:p>
      <w:pPr>
        <w:pStyle w:val="Heading5"/>
      </w:pPr>
      <w:bookmarkStart w:id="164" w:name="_Toc378063016"/>
      <w:bookmarkStart w:id="165" w:name="_Toc452540239"/>
      <w:bookmarkStart w:id="166" w:name="_Toc415055532"/>
      <w:r>
        <w:rPr>
          <w:rStyle w:val="CharSectno"/>
        </w:rPr>
        <w:t>35</w:t>
      </w:r>
      <w:r>
        <w:t>.</w:t>
      </w:r>
      <w:r>
        <w:tab/>
        <w:t>Entries to be made in the Register</w:t>
      </w:r>
      <w:bookmarkEnd w:id="164"/>
      <w:bookmarkEnd w:id="165"/>
      <w:bookmarkEnd w:id="166"/>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pPr>
      <w:r>
        <w:tab/>
        <w:t>(3)</w:t>
      </w:r>
      <w:r>
        <w:tab/>
        <w:t>If the birth of the person whose name has been changed is registered under a corresponding law, the Registrar may notify the relevant registering authority of the change of name.</w:t>
      </w:r>
    </w:p>
    <w:p>
      <w:pPr>
        <w:pStyle w:val="Subsection"/>
      </w:pPr>
      <w:r>
        <w:tab/>
        <w:t>(4)</w:t>
      </w:r>
      <w:r>
        <w:tab/>
        <w:t>If the change of name is noted in the Register under subsection (2), a birth certificate issued by the Registrar for the person must show the person’s name as changed under this Part.</w:t>
      </w:r>
    </w:p>
    <w:p>
      <w:pPr>
        <w:pStyle w:val="Heading5"/>
      </w:pPr>
      <w:bookmarkStart w:id="167" w:name="_Toc378063017"/>
      <w:bookmarkStart w:id="168" w:name="_Toc452540240"/>
      <w:bookmarkStart w:id="169" w:name="_Toc415055533"/>
      <w:r>
        <w:rPr>
          <w:rStyle w:val="CharSectno"/>
        </w:rPr>
        <w:t>36</w:t>
      </w:r>
      <w:r>
        <w:t>.</w:t>
      </w:r>
      <w:r>
        <w:tab/>
        <w:t>Change of name may be established by repute or usage</w:t>
      </w:r>
      <w:bookmarkEnd w:id="167"/>
      <w:bookmarkEnd w:id="168"/>
      <w:bookmarkEnd w:id="169"/>
    </w:p>
    <w:p>
      <w:pPr>
        <w:pStyle w:val="Subsection"/>
      </w:pPr>
      <w:r>
        <w:tab/>
      </w:r>
      <w:r>
        <w:tab/>
        <w:t>This Part does not prevent a change of name by repute or usage if the change is made after the commencement of this Act.</w:t>
      </w:r>
    </w:p>
    <w:p>
      <w:pPr>
        <w:pStyle w:val="Heading2"/>
      </w:pPr>
      <w:bookmarkStart w:id="170" w:name="_Toc378063018"/>
      <w:bookmarkStart w:id="171" w:name="_Toc415055437"/>
      <w:bookmarkStart w:id="172" w:name="_Toc415055534"/>
      <w:bookmarkStart w:id="173" w:name="_Toc452373543"/>
      <w:bookmarkStart w:id="174" w:name="_Toc452540241"/>
      <w:r>
        <w:rPr>
          <w:rStyle w:val="CharPartNo"/>
        </w:rPr>
        <w:t>Part 6</w:t>
      </w:r>
      <w:r>
        <w:rPr>
          <w:rStyle w:val="CharDivNo"/>
        </w:rPr>
        <w:t> </w:t>
      </w:r>
      <w:r>
        <w:t>—</w:t>
      </w:r>
      <w:r>
        <w:rPr>
          <w:rStyle w:val="CharDivText"/>
        </w:rPr>
        <w:t> </w:t>
      </w:r>
      <w:r>
        <w:rPr>
          <w:rStyle w:val="CharPartText"/>
        </w:rPr>
        <w:t>Registration of marriages</w:t>
      </w:r>
      <w:bookmarkEnd w:id="170"/>
      <w:bookmarkEnd w:id="171"/>
      <w:bookmarkEnd w:id="172"/>
      <w:bookmarkEnd w:id="173"/>
      <w:bookmarkEnd w:id="174"/>
    </w:p>
    <w:p>
      <w:pPr>
        <w:pStyle w:val="Heading5"/>
      </w:pPr>
      <w:bookmarkStart w:id="175" w:name="_Toc378063019"/>
      <w:bookmarkStart w:id="176" w:name="_Toc452540242"/>
      <w:bookmarkStart w:id="177" w:name="_Toc415055535"/>
      <w:r>
        <w:rPr>
          <w:rStyle w:val="CharSectno"/>
        </w:rPr>
        <w:t>37</w:t>
      </w:r>
      <w:r>
        <w:t>.</w:t>
      </w:r>
      <w:r>
        <w:tab/>
        <w:t>Marriages in the State to be registered</w:t>
      </w:r>
      <w:bookmarkEnd w:id="175"/>
      <w:bookmarkEnd w:id="176"/>
      <w:bookmarkEnd w:id="177"/>
    </w:p>
    <w:p>
      <w:pPr>
        <w:pStyle w:val="Subsection"/>
      </w:pPr>
      <w:r>
        <w:tab/>
      </w:r>
      <w:r>
        <w:tab/>
        <w:t>If a marriage is solemnized in the State, the marriage must be registered under this Act.</w:t>
      </w:r>
    </w:p>
    <w:p>
      <w:pPr>
        <w:pStyle w:val="Heading5"/>
      </w:pPr>
      <w:bookmarkStart w:id="178" w:name="_Toc378063020"/>
      <w:bookmarkStart w:id="179" w:name="_Toc452540243"/>
      <w:bookmarkStart w:id="180" w:name="_Toc415055536"/>
      <w:r>
        <w:rPr>
          <w:rStyle w:val="CharSectno"/>
        </w:rPr>
        <w:t>38</w:t>
      </w:r>
      <w:r>
        <w:t>.</w:t>
      </w:r>
      <w:r>
        <w:tab/>
        <w:t>How to have marriage registered</w:t>
      </w:r>
      <w:bookmarkEnd w:id="178"/>
      <w:bookmarkEnd w:id="179"/>
      <w:bookmarkEnd w:id="180"/>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PermNoteHeading"/>
      </w:pPr>
      <w:r>
        <w:tab/>
        <w:t>Note:</w:t>
      </w:r>
    </w:p>
    <w:p>
      <w:pPr>
        <w:pStyle w:val="PermNoteText"/>
      </w:pPr>
      <w:r>
        <w:tab/>
      </w:r>
      <w:r>
        <w:tab/>
        <w:t xml:space="preserve">Under section 50(4) of the </w:t>
      </w:r>
      <w:r>
        <w:rPr>
          <w:i/>
        </w:rPr>
        <w:t>Marriage Act 1961</w:t>
      </w:r>
      <w:r>
        <w:t xml:space="preserve"> of the Commonwealth the authorised celebrant is responsible for lodging the certificate of marriage with the Registrar.</w:t>
      </w:r>
    </w:p>
    <w:p>
      <w:pPr>
        <w:pStyle w:val="Heading5"/>
      </w:pPr>
      <w:bookmarkStart w:id="181" w:name="_Toc378063021"/>
      <w:bookmarkStart w:id="182" w:name="_Toc452540244"/>
      <w:bookmarkStart w:id="183" w:name="_Toc415055537"/>
      <w:r>
        <w:rPr>
          <w:rStyle w:val="CharSectno"/>
        </w:rPr>
        <w:t>39</w:t>
      </w:r>
      <w:r>
        <w:t>.</w:t>
      </w:r>
      <w:r>
        <w:tab/>
        <w:t>Registration of marriage</w:t>
      </w:r>
      <w:bookmarkEnd w:id="181"/>
      <w:bookmarkEnd w:id="182"/>
      <w:bookmarkEnd w:id="183"/>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184" w:name="_Toc378063022"/>
      <w:bookmarkStart w:id="185" w:name="_Toc415055441"/>
      <w:bookmarkStart w:id="186" w:name="_Toc415055538"/>
      <w:bookmarkStart w:id="187" w:name="_Toc452373547"/>
      <w:bookmarkStart w:id="188" w:name="_Toc452540245"/>
      <w:r>
        <w:rPr>
          <w:rStyle w:val="CharPartNo"/>
        </w:rPr>
        <w:t>Part 7</w:t>
      </w:r>
      <w:r>
        <w:t> — </w:t>
      </w:r>
      <w:r>
        <w:rPr>
          <w:rStyle w:val="CharPartText"/>
        </w:rPr>
        <w:t>Registration of deaths</w:t>
      </w:r>
      <w:bookmarkEnd w:id="184"/>
      <w:bookmarkEnd w:id="185"/>
      <w:bookmarkEnd w:id="186"/>
      <w:bookmarkEnd w:id="187"/>
      <w:bookmarkEnd w:id="188"/>
    </w:p>
    <w:p>
      <w:pPr>
        <w:pStyle w:val="Heading3"/>
      </w:pPr>
      <w:bookmarkStart w:id="189" w:name="_Toc378063023"/>
      <w:bookmarkStart w:id="190" w:name="_Toc415055442"/>
      <w:bookmarkStart w:id="191" w:name="_Toc415055539"/>
      <w:bookmarkStart w:id="192" w:name="_Toc452373548"/>
      <w:bookmarkStart w:id="193" w:name="_Toc452540246"/>
      <w:r>
        <w:rPr>
          <w:rStyle w:val="CharDivNo"/>
        </w:rPr>
        <w:t>Division 1</w:t>
      </w:r>
      <w:r>
        <w:t> — </w:t>
      </w:r>
      <w:r>
        <w:rPr>
          <w:rStyle w:val="CharDivText"/>
        </w:rPr>
        <w:t>Cases where registration of death is required or authorised</w:t>
      </w:r>
      <w:bookmarkEnd w:id="189"/>
      <w:bookmarkEnd w:id="190"/>
      <w:bookmarkEnd w:id="191"/>
      <w:bookmarkEnd w:id="192"/>
      <w:bookmarkEnd w:id="193"/>
    </w:p>
    <w:p>
      <w:pPr>
        <w:pStyle w:val="Heading5"/>
      </w:pPr>
      <w:bookmarkStart w:id="194" w:name="_Toc378063024"/>
      <w:bookmarkStart w:id="195" w:name="_Toc452540247"/>
      <w:bookmarkStart w:id="196" w:name="_Toc415055540"/>
      <w:r>
        <w:rPr>
          <w:rStyle w:val="CharSectno"/>
        </w:rPr>
        <w:t>40</w:t>
      </w:r>
      <w:r>
        <w:t>.</w:t>
      </w:r>
      <w:r>
        <w:tab/>
        <w:t>Deaths to be registered under this Act</w:t>
      </w:r>
      <w:bookmarkEnd w:id="194"/>
      <w:bookmarkEnd w:id="195"/>
      <w:bookmarkEnd w:id="196"/>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197" w:name="_Toc378063025"/>
      <w:bookmarkStart w:id="198" w:name="_Toc452540248"/>
      <w:bookmarkStart w:id="199" w:name="_Toc415055541"/>
      <w:r>
        <w:rPr>
          <w:rStyle w:val="CharSectno"/>
        </w:rPr>
        <w:t>41</w:t>
      </w:r>
      <w:r>
        <w:t>.</w:t>
      </w:r>
      <w:r>
        <w:tab/>
        <w:t>Powers of State courts and coroners and registration of death etc. after court findings</w:t>
      </w:r>
      <w:bookmarkEnd w:id="197"/>
      <w:bookmarkEnd w:id="198"/>
      <w:bookmarkEnd w:id="199"/>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200" w:name="_Toc378063026"/>
      <w:bookmarkStart w:id="201" w:name="_Toc415055445"/>
      <w:bookmarkStart w:id="202" w:name="_Toc415055542"/>
      <w:bookmarkStart w:id="203" w:name="_Toc452373551"/>
      <w:bookmarkStart w:id="204" w:name="_Toc452540249"/>
      <w:r>
        <w:rPr>
          <w:rStyle w:val="CharDivNo"/>
        </w:rPr>
        <w:t>Division 2</w:t>
      </w:r>
      <w:r>
        <w:t> — </w:t>
      </w:r>
      <w:r>
        <w:rPr>
          <w:rStyle w:val="CharDivText"/>
        </w:rPr>
        <w:t>Notification of death</w:t>
      </w:r>
      <w:bookmarkEnd w:id="200"/>
      <w:bookmarkEnd w:id="201"/>
      <w:bookmarkEnd w:id="202"/>
      <w:bookmarkEnd w:id="203"/>
      <w:bookmarkEnd w:id="204"/>
    </w:p>
    <w:p>
      <w:pPr>
        <w:pStyle w:val="Heading5"/>
      </w:pPr>
      <w:bookmarkStart w:id="205" w:name="_Toc378063027"/>
      <w:bookmarkStart w:id="206" w:name="_Toc452540250"/>
      <w:bookmarkStart w:id="207" w:name="_Toc415055543"/>
      <w:r>
        <w:rPr>
          <w:rStyle w:val="CharSectno"/>
        </w:rPr>
        <w:t>42</w:t>
      </w:r>
      <w:r>
        <w:t>.</w:t>
      </w:r>
      <w:r>
        <w:tab/>
        <w:t>Person responsible for notification of death</w:t>
      </w:r>
      <w:bookmarkEnd w:id="205"/>
      <w:bookmarkEnd w:id="206"/>
      <w:bookmarkEnd w:id="207"/>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keepNext/>
      </w:pPr>
      <w:r>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208" w:name="_Toc378063028"/>
      <w:bookmarkStart w:id="209" w:name="_Toc452540251"/>
      <w:bookmarkStart w:id="210" w:name="_Toc415055544"/>
      <w:r>
        <w:rPr>
          <w:rStyle w:val="CharSectno"/>
        </w:rPr>
        <w:t>43</w:t>
      </w:r>
      <w:r>
        <w:t>.</w:t>
      </w:r>
      <w:r>
        <w:tab/>
        <w:t>Notification of suspected death</w:t>
      </w:r>
      <w:bookmarkEnd w:id="208"/>
      <w:bookmarkEnd w:id="209"/>
      <w:bookmarkEnd w:id="210"/>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211" w:name="_Toc378063029"/>
      <w:bookmarkStart w:id="212" w:name="_Toc415055448"/>
      <w:bookmarkStart w:id="213" w:name="_Toc415055545"/>
      <w:bookmarkStart w:id="214" w:name="_Toc452373554"/>
      <w:bookmarkStart w:id="215" w:name="_Toc452540252"/>
      <w:r>
        <w:rPr>
          <w:rStyle w:val="CharDivNo"/>
        </w:rPr>
        <w:t>Division 3</w:t>
      </w:r>
      <w:r>
        <w:t> — </w:t>
      </w:r>
      <w:r>
        <w:rPr>
          <w:rStyle w:val="CharDivText"/>
        </w:rPr>
        <w:t>Certificates of cause of death</w:t>
      </w:r>
      <w:bookmarkEnd w:id="211"/>
      <w:bookmarkEnd w:id="212"/>
      <w:bookmarkEnd w:id="213"/>
      <w:bookmarkEnd w:id="214"/>
      <w:bookmarkEnd w:id="215"/>
    </w:p>
    <w:p>
      <w:pPr>
        <w:pStyle w:val="Heading5"/>
      </w:pPr>
      <w:bookmarkStart w:id="216" w:name="_Toc378063030"/>
      <w:bookmarkStart w:id="217" w:name="_Toc452540253"/>
      <w:bookmarkStart w:id="218" w:name="_Toc415055546"/>
      <w:r>
        <w:rPr>
          <w:rStyle w:val="CharSectno"/>
        </w:rPr>
        <w:t>44</w:t>
      </w:r>
      <w:r>
        <w:t>.</w:t>
      </w:r>
      <w:r>
        <w:tab/>
        <w:t>Doctor to provide certificate of cause of death unless the death is reportable to a coroner</w:t>
      </w:r>
      <w:bookmarkEnd w:id="216"/>
      <w:bookmarkEnd w:id="217"/>
      <w:bookmarkEnd w:id="218"/>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keepNext/>
      </w:pPr>
      <w:r>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219" w:name="_Toc378063031"/>
      <w:bookmarkStart w:id="220" w:name="_Toc415055450"/>
      <w:bookmarkStart w:id="221" w:name="_Toc415055547"/>
      <w:bookmarkStart w:id="222" w:name="_Toc452373556"/>
      <w:bookmarkStart w:id="223" w:name="_Toc452540254"/>
      <w:r>
        <w:rPr>
          <w:rStyle w:val="CharDivNo"/>
        </w:rPr>
        <w:t>Division 4</w:t>
      </w:r>
      <w:r>
        <w:t> — </w:t>
      </w:r>
      <w:r>
        <w:rPr>
          <w:rStyle w:val="CharDivText"/>
        </w:rPr>
        <w:t>Disposal of human remains</w:t>
      </w:r>
      <w:bookmarkEnd w:id="219"/>
      <w:bookmarkEnd w:id="220"/>
      <w:bookmarkEnd w:id="221"/>
      <w:bookmarkEnd w:id="222"/>
      <w:bookmarkEnd w:id="223"/>
    </w:p>
    <w:p>
      <w:pPr>
        <w:pStyle w:val="Heading5"/>
      </w:pPr>
      <w:bookmarkStart w:id="224" w:name="_Toc378063032"/>
      <w:bookmarkStart w:id="225" w:name="_Toc452540255"/>
      <w:bookmarkStart w:id="226" w:name="_Toc415055548"/>
      <w:r>
        <w:rPr>
          <w:rStyle w:val="CharSectno"/>
        </w:rPr>
        <w:t>45</w:t>
      </w:r>
      <w:r>
        <w:t>.</w:t>
      </w:r>
      <w:r>
        <w:tab/>
        <w:t>Notification of disposal of human remains in the State</w:t>
      </w:r>
      <w:bookmarkEnd w:id="224"/>
      <w:bookmarkEnd w:id="225"/>
      <w:bookmarkEnd w:id="226"/>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227" w:name="_Toc378063033"/>
      <w:bookmarkStart w:id="228" w:name="_Toc452540256"/>
      <w:bookmarkStart w:id="229" w:name="_Toc415055549"/>
      <w:r>
        <w:rPr>
          <w:rStyle w:val="CharSectno"/>
        </w:rPr>
        <w:t>46</w:t>
      </w:r>
      <w:r>
        <w:t>.</w:t>
      </w:r>
      <w:r>
        <w:tab/>
        <w:t>Notification of disposal of human remains out of the State</w:t>
      </w:r>
      <w:bookmarkEnd w:id="227"/>
      <w:bookmarkEnd w:id="228"/>
      <w:bookmarkEnd w:id="229"/>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230" w:name="_Toc378063034"/>
      <w:bookmarkStart w:id="231" w:name="_Toc452540257"/>
      <w:bookmarkStart w:id="232" w:name="_Toc415055550"/>
      <w:r>
        <w:rPr>
          <w:rStyle w:val="CharSectno"/>
        </w:rPr>
        <w:t>47</w:t>
      </w:r>
      <w:r>
        <w:t>.</w:t>
      </w:r>
      <w:r>
        <w:tab/>
        <w:t>Notification if disposal has not occurred within 30 days</w:t>
      </w:r>
      <w:bookmarkEnd w:id="230"/>
      <w:bookmarkEnd w:id="231"/>
      <w:bookmarkEnd w:id="232"/>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233" w:name="_Toc378063035"/>
      <w:bookmarkStart w:id="234" w:name="_Toc415055454"/>
      <w:bookmarkStart w:id="235" w:name="_Toc415055551"/>
      <w:bookmarkStart w:id="236" w:name="_Toc452373560"/>
      <w:bookmarkStart w:id="237" w:name="_Toc452540258"/>
      <w:r>
        <w:rPr>
          <w:rStyle w:val="CharDivNo"/>
        </w:rPr>
        <w:t>Division 5</w:t>
      </w:r>
      <w:r>
        <w:t> — </w:t>
      </w:r>
      <w:r>
        <w:rPr>
          <w:rStyle w:val="CharDivText"/>
        </w:rPr>
        <w:t>Registration of death</w:t>
      </w:r>
      <w:bookmarkEnd w:id="233"/>
      <w:bookmarkEnd w:id="234"/>
      <w:bookmarkEnd w:id="235"/>
      <w:bookmarkEnd w:id="236"/>
      <w:bookmarkEnd w:id="237"/>
    </w:p>
    <w:p>
      <w:pPr>
        <w:pStyle w:val="Heading5"/>
      </w:pPr>
      <w:bookmarkStart w:id="238" w:name="_Toc378063036"/>
      <w:bookmarkStart w:id="239" w:name="_Toc452540259"/>
      <w:bookmarkStart w:id="240" w:name="_Toc415055552"/>
      <w:r>
        <w:rPr>
          <w:rStyle w:val="CharSectno"/>
        </w:rPr>
        <w:t>48</w:t>
      </w:r>
      <w:r>
        <w:t>.</w:t>
      </w:r>
      <w:r>
        <w:tab/>
        <w:t>Registration of death</w:t>
      </w:r>
      <w:bookmarkEnd w:id="238"/>
      <w:bookmarkEnd w:id="239"/>
      <w:bookmarkEnd w:id="240"/>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241" w:name="_Toc378063037"/>
      <w:bookmarkStart w:id="242" w:name="_Toc415055456"/>
      <w:bookmarkStart w:id="243" w:name="_Toc415055553"/>
      <w:bookmarkStart w:id="244" w:name="_Toc452373562"/>
      <w:bookmarkStart w:id="245" w:name="_Toc452540260"/>
      <w:r>
        <w:rPr>
          <w:rStyle w:val="CharPartNo"/>
        </w:rPr>
        <w:t>Part 8</w:t>
      </w:r>
      <w:r>
        <w:t> — </w:t>
      </w:r>
      <w:r>
        <w:rPr>
          <w:rStyle w:val="CharPartText"/>
        </w:rPr>
        <w:t>The Register</w:t>
      </w:r>
      <w:bookmarkEnd w:id="241"/>
      <w:bookmarkEnd w:id="242"/>
      <w:bookmarkEnd w:id="243"/>
      <w:bookmarkEnd w:id="244"/>
      <w:bookmarkEnd w:id="245"/>
    </w:p>
    <w:p>
      <w:pPr>
        <w:pStyle w:val="Heading3"/>
      </w:pPr>
      <w:bookmarkStart w:id="246" w:name="_Toc378063038"/>
      <w:bookmarkStart w:id="247" w:name="_Toc415055457"/>
      <w:bookmarkStart w:id="248" w:name="_Toc415055554"/>
      <w:bookmarkStart w:id="249" w:name="_Toc452373563"/>
      <w:bookmarkStart w:id="250" w:name="_Toc452540261"/>
      <w:r>
        <w:rPr>
          <w:rStyle w:val="CharDivNo"/>
        </w:rPr>
        <w:t>Division 1</w:t>
      </w:r>
      <w:r>
        <w:t> — </w:t>
      </w:r>
      <w:r>
        <w:rPr>
          <w:rStyle w:val="CharDivText"/>
        </w:rPr>
        <w:t>Keeping the Register</w:t>
      </w:r>
      <w:bookmarkEnd w:id="246"/>
      <w:bookmarkEnd w:id="247"/>
      <w:bookmarkEnd w:id="248"/>
      <w:bookmarkEnd w:id="249"/>
      <w:bookmarkEnd w:id="250"/>
    </w:p>
    <w:p>
      <w:pPr>
        <w:pStyle w:val="Heading5"/>
      </w:pPr>
      <w:bookmarkStart w:id="251" w:name="_Toc378063039"/>
      <w:bookmarkStart w:id="252" w:name="_Toc452540262"/>
      <w:bookmarkStart w:id="253" w:name="_Toc415055555"/>
      <w:r>
        <w:rPr>
          <w:rStyle w:val="CharSectno"/>
        </w:rPr>
        <w:t>49</w:t>
      </w:r>
      <w:r>
        <w:t>.</w:t>
      </w:r>
      <w:r>
        <w:tab/>
        <w:t>The Register</w:t>
      </w:r>
      <w:bookmarkEnd w:id="251"/>
      <w:bookmarkEnd w:id="252"/>
      <w:bookmarkEnd w:id="253"/>
    </w:p>
    <w:p>
      <w:pPr>
        <w:pStyle w:val="Subsection"/>
      </w:pPr>
      <w:r>
        <w:tab/>
        <w:t>(1)</w:t>
      </w:r>
      <w:r>
        <w:tab/>
        <w:t xml:space="preserve">The Registrar must maintain a register or registers of registrable events (the </w:t>
      </w:r>
      <w:r>
        <w:rPr>
          <w:b/>
          <w:i/>
          <w:iCs/>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254" w:name="_Toc378063040"/>
      <w:bookmarkStart w:id="255" w:name="_Toc415055459"/>
      <w:bookmarkStart w:id="256" w:name="_Toc415055556"/>
      <w:bookmarkStart w:id="257" w:name="_Toc452373565"/>
      <w:bookmarkStart w:id="258" w:name="_Toc452540263"/>
      <w:r>
        <w:rPr>
          <w:rStyle w:val="CharDivNo"/>
        </w:rPr>
        <w:t>Division 2</w:t>
      </w:r>
      <w:r>
        <w:t> — </w:t>
      </w:r>
      <w:r>
        <w:rPr>
          <w:rStyle w:val="CharDivText"/>
        </w:rPr>
        <w:t>Registrar’s powers of inquiry</w:t>
      </w:r>
      <w:bookmarkEnd w:id="254"/>
      <w:bookmarkEnd w:id="255"/>
      <w:bookmarkEnd w:id="256"/>
      <w:bookmarkEnd w:id="257"/>
      <w:bookmarkEnd w:id="258"/>
    </w:p>
    <w:p>
      <w:pPr>
        <w:pStyle w:val="Heading5"/>
      </w:pPr>
      <w:bookmarkStart w:id="259" w:name="_Toc378063041"/>
      <w:bookmarkStart w:id="260" w:name="_Toc452540264"/>
      <w:bookmarkStart w:id="261" w:name="_Toc415055557"/>
      <w:r>
        <w:rPr>
          <w:rStyle w:val="CharSectno"/>
        </w:rPr>
        <w:t>50</w:t>
      </w:r>
      <w:r>
        <w:t>.</w:t>
      </w:r>
      <w:r>
        <w:tab/>
        <w:t>Registrar’s powers of inquiry</w:t>
      </w:r>
      <w:bookmarkEnd w:id="259"/>
      <w:bookmarkEnd w:id="260"/>
      <w:bookmarkEnd w:id="261"/>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The Registrar may, by notice given to a person who may be able to provide information relevant to an inquiry under this section, require the person to answer specified questions or to provide 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262" w:name="_Toc378063042"/>
      <w:bookmarkStart w:id="263" w:name="_Toc415055461"/>
      <w:bookmarkStart w:id="264" w:name="_Toc415055558"/>
      <w:bookmarkStart w:id="265" w:name="_Toc452373567"/>
      <w:bookmarkStart w:id="266" w:name="_Toc452540265"/>
      <w:r>
        <w:rPr>
          <w:rStyle w:val="CharDivNo"/>
        </w:rPr>
        <w:t>Division 3</w:t>
      </w:r>
      <w:r>
        <w:t> — </w:t>
      </w:r>
      <w:r>
        <w:rPr>
          <w:rStyle w:val="CharDivText"/>
        </w:rPr>
        <w:t>Correction and amendment of Register</w:t>
      </w:r>
      <w:bookmarkEnd w:id="262"/>
      <w:bookmarkEnd w:id="263"/>
      <w:bookmarkEnd w:id="264"/>
      <w:bookmarkEnd w:id="265"/>
      <w:bookmarkEnd w:id="266"/>
    </w:p>
    <w:p>
      <w:pPr>
        <w:pStyle w:val="Heading5"/>
      </w:pPr>
      <w:bookmarkStart w:id="267" w:name="_Toc378063043"/>
      <w:bookmarkStart w:id="268" w:name="_Toc452540266"/>
      <w:bookmarkStart w:id="269" w:name="_Toc415055559"/>
      <w:r>
        <w:rPr>
          <w:rStyle w:val="CharSectno"/>
        </w:rPr>
        <w:t>51</w:t>
      </w:r>
      <w:r>
        <w:t>.</w:t>
      </w:r>
      <w:r>
        <w:tab/>
        <w:t>Correction of Register</w:t>
      </w:r>
      <w:bookmarkEnd w:id="267"/>
      <w:bookmarkEnd w:id="268"/>
      <w:bookmarkEnd w:id="269"/>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270" w:name="_Toc378063044"/>
      <w:bookmarkStart w:id="271" w:name="_Toc452540267"/>
      <w:bookmarkStart w:id="272" w:name="_Toc415055560"/>
      <w:r>
        <w:rPr>
          <w:rStyle w:val="CharSectno"/>
        </w:rPr>
        <w:t>52</w:t>
      </w:r>
      <w:r>
        <w:t>.</w:t>
      </w:r>
      <w:r>
        <w:tab/>
        <w:t>Amendment of Register</w:t>
      </w:r>
      <w:bookmarkEnd w:id="270"/>
      <w:bookmarkEnd w:id="271"/>
      <w:bookmarkEnd w:id="272"/>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273" w:name="_Toc378063045"/>
      <w:bookmarkStart w:id="274" w:name="_Toc452540268"/>
      <w:bookmarkStart w:id="275" w:name="_Toc415055561"/>
      <w:r>
        <w:rPr>
          <w:rStyle w:val="CharSectno"/>
        </w:rPr>
        <w:t>53</w:t>
      </w:r>
      <w:r>
        <w:t>.</w:t>
      </w:r>
      <w:r>
        <w:tab/>
        <w:t>Registrar’s functions under other Acts</w:t>
      </w:r>
      <w:bookmarkEnd w:id="273"/>
      <w:bookmarkEnd w:id="274"/>
      <w:bookmarkEnd w:id="275"/>
    </w:p>
    <w:p>
      <w:pPr>
        <w:pStyle w:val="Subsection"/>
      </w:pPr>
      <w:r>
        <w:tab/>
      </w:r>
      <w:r>
        <w:tab/>
        <w:t>Nothing in this Division affects a requirement in another written law for the Registrar to correct or amend the Register for the purposes of that law.</w:t>
      </w:r>
    </w:p>
    <w:p>
      <w:pPr>
        <w:pStyle w:val="Heading3"/>
      </w:pPr>
      <w:bookmarkStart w:id="276" w:name="_Toc378063046"/>
      <w:bookmarkStart w:id="277" w:name="_Toc415055465"/>
      <w:bookmarkStart w:id="278" w:name="_Toc415055562"/>
      <w:bookmarkStart w:id="279" w:name="_Toc452373571"/>
      <w:bookmarkStart w:id="280" w:name="_Toc452540269"/>
      <w:r>
        <w:rPr>
          <w:rStyle w:val="CharDivNo"/>
        </w:rPr>
        <w:t>Division 4</w:t>
      </w:r>
      <w:r>
        <w:t> — </w:t>
      </w:r>
      <w:r>
        <w:rPr>
          <w:rStyle w:val="CharDivText"/>
        </w:rPr>
        <w:t>Access to, and certification of, Register entries</w:t>
      </w:r>
      <w:bookmarkEnd w:id="276"/>
      <w:bookmarkEnd w:id="277"/>
      <w:bookmarkEnd w:id="278"/>
      <w:bookmarkEnd w:id="279"/>
      <w:bookmarkEnd w:id="280"/>
    </w:p>
    <w:p>
      <w:pPr>
        <w:pStyle w:val="Heading5"/>
      </w:pPr>
      <w:bookmarkStart w:id="281" w:name="_Toc378063047"/>
      <w:bookmarkStart w:id="282" w:name="_Toc452540270"/>
      <w:bookmarkStart w:id="283" w:name="_Toc415055563"/>
      <w:r>
        <w:rPr>
          <w:rStyle w:val="CharSectno"/>
        </w:rPr>
        <w:t>54</w:t>
      </w:r>
      <w:r>
        <w:t>.</w:t>
      </w:r>
      <w:r>
        <w:tab/>
        <w:t>Access to Register</w:t>
      </w:r>
      <w:bookmarkEnd w:id="281"/>
      <w:bookmarkEnd w:id="282"/>
      <w:bookmarkEnd w:id="283"/>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p>
    <w:p>
      <w:pPr>
        <w:pStyle w:val="Subsection"/>
      </w:pPr>
      <w:r>
        <w:tab/>
        <w:t>(2)</w:t>
      </w:r>
      <w:r>
        <w:tab/>
        <w:t xml:space="preserve">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on which access to the Register, or information extracted from the Register, is to be given under this section, the Registrar must, as far as practicable, protect the persons to whom the entries in the Register relate from unjustified intrusion on their privacy.</w:t>
      </w:r>
    </w:p>
    <w:p>
      <w:pPr>
        <w:pStyle w:val="Heading5"/>
      </w:pPr>
      <w:bookmarkStart w:id="284" w:name="_Toc378063048"/>
      <w:bookmarkStart w:id="285" w:name="_Toc452540271"/>
      <w:bookmarkStart w:id="286" w:name="_Toc415055564"/>
      <w:r>
        <w:rPr>
          <w:rStyle w:val="CharSectno"/>
        </w:rPr>
        <w:t>55</w:t>
      </w:r>
      <w:r>
        <w:t>.</w:t>
      </w:r>
      <w:r>
        <w:tab/>
        <w:t>Search of Register</w:t>
      </w:r>
      <w:bookmarkEnd w:id="284"/>
      <w:bookmarkEnd w:id="285"/>
      <w:bookmarkEnd w:id="286"/>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287" w:name="_Toc378063049"/>
      <w:bookmarkStart w:id="288" w:name="_Toc452540272"/>
      <w:bookmarkStart w:id="289" w:name="_Toc415055565"/>
      <w:r>
        <w:rPr>
          <w:rStyle w:val="CharSectno"/>
        </w:rPr>
        <w:t>56</w:t>
      </w:r>
      <w:r>
        <w:t>.</w:t>
      </w:r>
      <w:r>
        <w:tab/>
        <w:t>Protection of privacy</w:t>
      </w:r>
      <w:bookmarkEnd w:id="287"/>
      <w:bookmarkEnd w:id="288"/>
      <w:bookmarkEnd w:id="289"/>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290" w:name="_Toc378063050"/>
      <w:bookmarkStart w:id="291" w:name="_Toc452540273"/>
      <w:bookmarkStart w:id="292" w:name="_Toc415055566"/>
      <w:r>
        <w:rPr>
          <w:rStyle w:val="CharSectno"/>
        </w:rPr>
        <w:t>57</w:t>
      </w:r>
      <w:r>
        <w:t>.</w:t>
      </w:r>
      <w:r>
        <w:tab/>
        <w:t>Issue of certificate</w:t>
      </w:r>
      <w:bookmarkEnd w:id="290"/>
      <w:bookmarkEnd w:id="291"/>
      <w:bookmarkEnd w:id="292"/>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293" w:name="_Toc378063051"/>
      <w:bookmarkStart w:id="294" w:name="_Toc452540274"/>
      <w:bookmarkStart w:id="295" w:name="_Toc415055567"/>
      <w:r>
        <w:rPr>
          <w:rStyle w:val="CharSectno"/>
        </w:rPr>
        <w:t>58</w:t>
      </w:r>
      <w:r>
        <w:t>.</w:t>
      </w:r>
      <w:r>
        <w:tab/>
        <w:t>Access policies</w:t>
      </w:r>
      <w:bookmarkEnd w:id="293"/>
      <w:bookmarkEnd w:id="294"/>
      <w:bookmarkEnd w:id="295"/>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296" w:name="_Toc378063052"/>
      <w:bookmarkStart w:id="297" w:name="_Toc415055471"/>
      <w:bookmarkStart w:id="298" w:name="_Toc415055568"/>
      <w:bookmarkStart w:id="299" w:name="_Toc452373577"/>
      <w:bookmarkStart w:id="300" w:name="_Toc452540275"/>
      <w:r>
        <w:rPr>
          <w:rStyle w:val="CharPartNo"/>
        </w:rPr>
        <w:t>Part 9</w:t>
      </w:r>
      <w:r>
        <w:rPr>
          <w:rStyle w:val="CharDivNo"/>
        </w:rPr>
        <w:t> </w:t>
      </w:r>
      <w:r>
        <w:t>—</w:t>
      </w:r>
      <w:r>
        <w:rPr>
          <w:rStyle w:val="CharDivText"/>
        </w:rPr>
        <w:t> </w:t>
      </w:r>
      <w:r>
        <w:rPr>
          <w:rStyle w:val="CharPartText"/>
        </w:rPr>
        <w:t>Miscellaneous</w:t>
      </w:r>
      <w:bookmarkEnd w:id="296"/>
      <w:bookmarkEnd w:id="297"/>
      <w:bookmarkEnd w:id="298"/>
      <w:bookmarkEnd w:id="299"/>
      <w:bookmarkEnd w:id="300"/>
    </w:p>
    <w:p>
      <w:pPr>
        <w:pStyle w:val="Heading5"/>
      </w:pPr>
      <w:bookmarkStart w:id="301" w:name="_Toc378063053"/>
      <w:bookmarkStart w:id="302" w:name="_Toc452540276"/>
      <w:bookmarkStart w:id="303" w:name="_Toc415055569"/>
      <w:r>
        <w:rPr>
          <w:rStyle w:val="CharSectno"/>
        </w:rPr>
        <w:t>59</w:t>
      </w:r>
      <w:r>
        <w:t>.</w:t>
      </w:r>
      <w:r>
        <w:tab/>
        <w:t>False representation</w:t>
      </w:r>
      <w:bookmarkEnd w:id="301"/>
      <w:bookmarkEnd w:id="302"/>
      <w:bookmarkEnd w:id="303"/>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304" w:name="_Toc378063054"/>
      <w:bookmarkStart w:id="305" w:name="_Toc452540277"/>
      <w:bookmarkStart w:id="306" w:name="_Toc415055570"/>
      <w:r>
        <w:rPr>
          <w:rStyle w:val="CharSectno"/>
        </w:rPr>
        <w:t>60</w:t>
      </w:r>
      <w:r>
        <w:t>.</w:t>
      </w:r>
      <w:r>
        <w:tab/>
        <w:t>Unauthorised access to or interference with Register</w:t>
      </w:r>
      <w:bookmarkEnd w:id="304"/>
      <w:bookmarkEnd w:id="305"/>
      <w:bookmarkEnd w:id="306"/>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307" w:name="_Toc378063055"/>
      <w:bookmarkStart w:id="308" w:name="_Toc452540278"/>
      <w:bookmarkStart w:id="309" w:name="_Toc415055571"/>
      <w:r>
        <w:rPr>
          <w:rStyle w:val="CharSectno"/>
        </w:rPr>
        <w:t>61</w:t>
      </w:r>
      <w:r>
        <w:t>.</w:t>
      </w:r>
      <w:r>
        <w:tab/>
        <w:t>Falsification of certificate etc.</w:t>
      </w:r>
      <w:bookmarkEnd w:id="307"/>
      <w:bookmarkEnd w:id="308"/>
      <w:bookmarkEnd w:id="309"/>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310" w:name="_Toc378063056"/>
      <w:bookmarkStart w:id="311" w:name="_Toc452540279"/>
      <w:bookmarkStart w:id="312" w:name="_Toc415055572"/>
      <w:r>
        <w:rPr>
          <w:rStyle w:val="CharSectno"/>
        </w:rPr>
        <w:t>62</w:t>
      </w:r>
      <w:r>
        <w:t>.</w:t>
      </w:r>
      <w:r>
        <w:tab/>
        <w:t>Revocation of registration of registrable events obtained by fraud</w:t>
      </w:r>
      <w:bookmarkEnd w:id="310"/>
      <w:bookmarkEnd w:id="311"/>
      <w:bookmarkEnd w:id="312"/>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313" w:name="_Toc378063057"/>
      <w:bookmarkStart w:id="314" w:name="_Toc452540280"/>
      <w:bookmarkStart w:id="315" w:name="_Toc415055573"/>
      <w:r>
        <w:rPr>
          <w:rStyle w:val="CharSectno"/>
        </w:rPr>
        <w:t>63</w:t>
      </w:r>
      <w:r>
        <w:t>.</w:t>
      </w:r>
      <w:r>
        <w:tab/>
        <w:t>Unauthorised disclosure of information</w:t>
      </w:r>
      <w:bookmarkEnd w:id="313"/>
      <w:bookmarkEnd w:id="314"/>
      <w:bookmarkEnd w:id="315"/>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tab/>
        <w:t>(e)</w:t>
      </w:r>
      <w:r>
        <w:tab/>
        <w:t>authorised by the Registrar.</w:t>
      </w:r>
    </w:p>
    <w:p>
      <w:pPr>
        <w:pStyle w:val="Penstart"/>
      </w:pPr>
      <w:r>
        <w:tab/>
        <w:t>Penalty: $5 000 or imprisonment for one year.</w:t>
      </w:r>
    </w:p>
    <w:p>
      <w:pPr>
        <w:pStyle w:val="Heading5"/>
      </w:pPr>
      <w:bookmarkStart w:id="316" w:name="_Toc378063058"/>
      <w:bookmarkStart w:id="317" w:name="_Toc452540281"/>
      <w:bookmarkStart w:id="318" w:name="_Toc415055574"/>
      <w:r>
        <w:rPr>
          <w:rStyle w:val="CharSectno"/>
        </w:rPr>
        <w:t>64</w:t>
      </w:r>
      <w:r>
        <w:t>.</w:t>
      </w:r>
      <w:r>
        <w:tab/>
        <w:t>Power to require and take statutory declarations</w:t>
      </w:r>
      <w:bookmarkEnd w:id="316"/>
      <w:bookmarkEnd w:id="317"/>
      <w:bookmarkEnd w:id="318"/>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319" w:name="_Toc378063059"/>
      <w:bookmarkStart w:id="320" w:name="_Toc452540282"/>
      <w:bookmarkStart w:id="321" w:name="_Toc415055575"/>
      <w:r>
        <w:rPr>
          <w:rStyle w:val="CharSectno"/>
        </w:rPr>
        <w:t>65</w:t>
      </w:r>
      <w:r>
        <w:t>.</w:t>
      </w:r>
      <w:r>
        <w:tab/>
        <w:t>Evidentiary</w:t>
      </w:r>
      <w:bookmarkEnd w:id="319"/>
      <w:bookmarkEnd w:id="320"/>
      <w:bookmarkEnd w:id="321"/>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322" w:name="_Toc378063060"/>
      <w:bookmarkStart w:id="323" w:name="_Toc452540283"/>
      <w:bookmarkStart w:id="324" w:name="_Toc415055576"/>
      <w:r>
        <w:rPr>
          <w:rStyle w:val="CharSectno"/>
        </w:rPr>
        <w:t>66</w:t>
      </w:r>
      <w:r>
        <w:t>.</w:t>
      </w:r>
      <w:r>
        <w:tab/>
        <w:t>Protection from liability</w:t>
      </w:r>
      <w:bookmarkEnd w:id="322"/>
      <w:bookmarkEnd w:id="323"/>
      <w:bookmarkEnd w:id="324"/>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keepLines/>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325" w:name="_Toc378063061"/>
      <w:bookmarkStart w:id="326" w:name="_Toc452540284"/>
      <w:bookmarkStart w:id="327" w:name="_Toc415055577"/>
      <w:r>
        <w:rPr>
          <w:rStyle w:val="CharSectno"/>
        </w:rPr>
        <w:t>67</w:t>
      </w:r>
      <w:r>
        <w:t>.</w:t>
      </w:r>
      <w:r>
        <w:tab/>
        <w:t>Review</w:t>
      </w:r>
      <w:bookmarkEnd w:id="325"/>
      <w:bookmarkEnd w:id="326"/>
      <w:bookmarkEnd w:id="327"/>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r>
        <w:tab/>
        <w:t>[(2)</w:t>
      </w:r>
      <w:r>
        <w:tab/>
        <w:t>deleted]</w:t>
      </w:r>
    </w:p>
    <w:p>
      <w:pPr>
        <w:pStyle w:val="Footnotesection"/>
      </w:pPr>
      <w:r>
        <w:tab/>
        <w:t>[Section 67 amended by No. 55 of 2004 s. 68.]</w:t>
      </w:r>
    </w:p>
    <w:p>
      <w:pPr>
        <w:pStyle w:val="Heading5"/>
      </w:pPr>
      <w:bookmarkStart w:id="328" w:name="_Toc378063062"/>
      <w:bookmarkStart w:id="329" w:name="_Toc452540285"/>
      <w:bookmarkStart w:id="330" w:name="_Toc415055578"/>
      <w:r>
        <w:rPr>
          <w:rStyle w:val="CharSectno"/>
        </w:rPr>
        <w:t>68</w:t>
      </w:r>
      <w:r>
        <w:t>.</w:t>
      </w:r>
      <w:r>
        <w:tab/>
      </w:r>
      <w:r>
        <w:rPr>
          <w:iCs/>
        </w:rPr>
        <w:t xml:space="preserve">Some effects of </w:t>
      </w:r>
      <w:r>
        <w:rPr>
          <w:i/>
        </w:rPr>
        <w:t>Adoption Act 1994</w:t>
      </w:r>
      <w:r>
        <w:rPr>
          <w:iCs/>
        </w:rPr>
        <w:t xml:space="preserve"> and </w:t>
      </w:r>
      <w:r>
        <w:rPr>
          <w:i/>
        </w:rPr>
        <w:t>Surrogacy Act 2008</w:t>
      </w:r>
      <w:bookmarkEnd w:id="328"/>
      <w:bookmarkEnd w:id="329"/>
      <w:bookmarkEnd w:id="330"/>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r>
        <w:tab/>
        <w:t>(2A)</w:t>
      </w:r>
      <w:r>
        <w:tab/>
        <w:t xml:space="preserve">Nothing in this Act prevents a birth parent of a child whose parentage was transferred under the </w:t>
      </w:r>
      <w:r>
        <w:rPr>
          <w:i/>
          <w:snapToGrid w:val="0"/>
        </w:rPr>
        <w:t>Surrogacy Act 2008</w:t>
      </w:r>
      <w:r>
        <w:t xml:space="preserve"> from applying under section 19 or 52 (other than with a request under section 19(2)(c)) to add additional registrable information about the child’s birth registration if, but for the transfer of parentage, the information could have been included in the Register.</w:t>
      </w:r>
    </w:p>
    <w:p>
      <w:pPr>
        <w:pStyle w:val="Subsection"/>
      </w:pPr>
      <w:r>
        <w:tab/>
        <w:t>(2)</w:t>
      </w:r>
      <w:r>
        <w:tab/>
        <w:t xml:space="preserve">To the extent that — </w:t>
      </w:r>
    </w:p>
    <w:p>
      <w:pPr>
        <w:pStyle w:val="Indenta"/>
      </w:pPr>
      <w:r>
        <w:tab/>
        <w:t>(a)</w:t>
      </w:r>
      <w:r>
        <w:tab/>
        <w:t xml:space="preserve">a provision of the </w:t>
      </w:r>
      <w:r>
        <w:rPr>
          <w:i/>
          <w:iCs/>
        </w:rPr>
        <w:t>Adoption Act 1994</w:t>
      </w:r>
      <w:r>
        <w:t xml:space="preserve"> relating to access to adoption information in the Register; or</w:t>
      </w:r>
    </w:p>
    <w:p>
      <w:pPr>
        <w:pStyle w:val="Indenta"/>
        <w:keepNext/>
      </w:pPr>
      <w:r>
        <w:tab/>
        <w:t>(b)</w:t>
      </w:r>
      <w:r>
        <w:tab/>
        <w:t xml:space="preserve">a provision of the </w:t>
      </w:r>
      <w:r>
        <w:rPr>
          <w:i/>
          <w:snapToGrid w:val="0"/>
        </w:rPr>
        <w:t>Surrogacy Act 2008</w:t>
      </w:r>
      <w:r>
        <w:t xml:space="preserve"> relating to access to information in the Register about the transfer of parentage under that Act,</w:t>
      </w:r>
    </w:p>
    <w:p>
      <w:pPr>
        <w:pStyle w:val="Subsection"/>
      </w:pPr>
      <w:r>
        <w:tab/>
      </w:r>
      <w:r>
        <w:tab/>
        <w:t>is inconsistent with this Act, that Act prevails.</w:t>
      </w:r>
    </w:p>
    <w:p>
      <w:pPr>
        <w:pStyle w:val="Footnotesection"/>
      </w:pPr>
      <w:r>
        <w:tab/>
        <w:t>[Section 68 amended by No. 47 of 2008 s. 55.]</w:t>
      </w:r>
    </w:p>
    <w:p>
      <w:pPr>
        <w:pStyle w:val="Heading5"/>
      </w:pPr>
      <w:bookmarkStart w:id="331" w:name="_Toc378063063"/>
      <w:bookmarkStart w:id="332" w:name="_Toc452540286"/>
      <w:bookmarkStart w:id="333" w:name="_Toc415055579"/>
      <w:r>
        <w:rPr>
          <w:rStyle w:val="CharSectno"/>
        </w:rPr>
        <w:t>69</w:t>
      </w:r>
      <w:r>
        <w:t>.</w:t>
      </w:r>
      <w:r>
        <w:tab/>
        <w:t>Regulations</w:t>
      </w:r>
      <w:bookmarkEnd w:id="331"/>
      <w:bookmarkEnd w:id="332"/>
      <w:bookmarkEnd w:id="33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334" w:name="_Toc378063064"/>
      <w:bookmarkStart w:id="335" w:name="_Toc452540287"/>
      <w:bookmarkStart w:id="336" w:name="_Toc415055580"/>
      <w:r>
        <w:rPr>
          <w:rStyle w:val="CharSectno"/>
        </w:rPr>
        <w:t>70</w:t>
      </w:r>
      <w:r>
        <w:t>.</w:t>
      </w:r>
      <w:r>
        <w:tab/>
        <w:t>Power to remit fees</w:t>
      </w:r>
      <w:bookmarkEnd w:id="334"/>
      <w:bookmarkEnd w:id="335"/>
      <w:bookmarkEnd w:id="336"/>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spacing w:before="480"/>
      </w:pPr>
      <w:r>
        <w:t>[Schedule 1 omitted under the Reprints Act 1984 s. 7(4)(g).]</w:t>
      </w:r>
    </w:p>
    <w:p/>
    <w:p>
      <w:pPr>
        <w:pStyle w:val="CentredBaseLine"/>
        <w:jc w:val="center"/>
      </w:pPr>
      <w:r>
        <w:rPr>
          <w:noProof/>
        </w:rPr>
        <w:drawing>
          <wp:inline distT="0" distB="0" distL="0" distR="0">
            <wp:extent cx="932180" cy="172085"/>
            <wp:effectExtent l="0" t="0" r="127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37" w:name="_Toc378063065"/>
      <w:bookmarkStart w:id="338" w:name="_Toc415055484"/>
      <w:bookmarkStart w:id="339" w:name="_Toc415055581"/>
      <w:bookmarkStart w:id="340" w:name="_Toc452373590"/>
      <w:bookmarkStart w:id="341" w:name="_Toc452540288"/>
      <w:r>
        <w:t>Notes</w:t>
      </w:r>
      <w:bookmarkEnd w:id="337"/>
      <w:bookmarkEnd w:id="338"/>
      <w:bookmarkEnd w:id="339"/>
      <w:bookmarkEnd w:id="340"/>
      <w:bookmarkEnd w:id="341"/>
    </w:p>
    <w:p>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Act 1998</w:t>
      </w:r>
      <w:r>
        <w:rPr>
          <w:snapToGrid w:val="0"/>
        </w:rPr>
        <w:t xml:space="preserve"> and includes the amendments made by the other written laws referred to in the following table</w:t>
      </w:r>
      <w:ins w:id="342" w:author="svcMRProcess" w:date="2018-08-20T19:28:00Z">
        <w:r>
          <w:rPr>
            <w:snapToGrid w:val="0"/>
            <w:vertAlign w:val="superscript"/>
          </w:rPr>
          <w:t> 1a</w:t>
        </w:r>
      </w:ins>
      <w:r>
        <w:rPr>
          <w:snapToGrid w:val="0"/>
        </w:rPr>
        <w:t>.  The table also contains information about any reprint.</w:t>
      </w:r>
    </w:p>
    <w:p>
      <w:pPr>
        <w:pStyle w:val="nHeading3"/>
        <w:rPr>
          <w:snapToGrid w:val="0"/>
        </w:rPr>
      </w:pPr>
      <w:bookmarkStart w:id="343" w:name="_Toc378063066"/>
      <w:bookmarkStart w:id="344" w:name="_Toc452540289"/>
      <w:bookmarkStart w:id="345" w:name="_Toc415055582"/>
      <w:r>
        <w:t>Compilation table</w:t>
      </w:r>
      <w:bookmarkEnd w:id="343"/>
      <w:bookmarkEnd w:id="344"/>
      <w:bookmarkEnd w:id="3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Births, Deaths and Marriages Registration Act 1998</w:t>
            </w:r>
          </w:p>
        </w:tc>
        <w:tc>
          <w:tcPr>
            <w:tcW w:w="1134" w:type="dxa"/>
            <w:tcBorders>
              <w:top w:val="single" w:sz="8" w:space="0" w:color="auto"/>
            </w:tcBorders>
          </w:tcPr>
          <w:p>
            <w:pPr>
              <w:pStyle w:val="nTable"/>
              <w:spacing w:after="40"/>
            </w:pPr>
            <w:r>
              <w:t>39 of 1998</w:t>
            </w:r>
          </w:p>
        </w:tc>
        <w:tc>
          <w:tcPr>
            <w:tcW w:w="1134" w:type="dxa"/>
            <w:tcBorders>
              <w:top w:val="single" w:sz="8" w:space="0" w:color="auto"/>
            </w:tcBorders>
          </w:tcPr>
          <w:p>
            <w:pPr>
              <w:pStyle w:val="nTable"/>
              <w:spacing w:after="40"/>
            </w:pPr>
            <w:r>
              <w:t>30 Oct 1998</w:t>
            </w:r>
          </w:p>
        </w:tc>
        <w:tc>
          <w:tcPr>
            <w:tcW w:w="2552" w:type="dxa"/>
            <w:tcBorders>
              <w:top w:val="single" w:sz="8" w:space="0" w:color="auto"/>
            </w:tcBorders>
          </w:tcPr>
          <w:p>
            <w:pPr>
              <w:pStyle w:val="nTable"/>
              <w:spacing w:after="40"/>
            </w:pPr>
            <w:r>
              <w:t xml:space="preserve">s. 1 and 2: 30 Oct 1998; </w:t>
            </w:r>
            <w:r>
              <w:br/>
              <w:t xml:space="preserve">Act other than s. 1 and 2: 14 Apr 1999 (see s. 2 and </w:t>
            </w:r>
            <w:r>
              <w:rPr>
                <w:i/>
              </w:rPr>
              <w:t>Gazette</w:t>
            </w:r>
            <w:r>
              <w:t xml:space="preserve"> 9 Apr 1999 p. 1433)</w:t>
            </w:r>
          </w:p>
        </w:tc>
      </w:tr>
      <w:tr>
        <w:trPr>
          <w:cantSplit/>
        </w:trPr>
        <w:tc>
          <w:tcPr>
            <w:tcW w:w="2268" w:type="dxa"/>
          </w:tcPr>
          <w:p>
            <w:pPr>
              <w:pStyle w:val="nTable"/>
              <w:spacing w:after="40"/>
              <w:rPr>
                <w:i/>
              </w:rPr>
            </w:pPr>
            <w:r>
              <w:rPr>
                <w:i/>
              </w:rPr>
              <w:t xml:space="preserve">Acts Amendment (Lesbian and Gay Law Reform) Act 2002 </w:t>
            </w:r>
            <w:r>
              <w:t>Pt. 5</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7088" w:type="dxa"/>
            <w:gridSpan w:val="4"/>
          </w:tcPr>
          <w:p>
            <w:pPr>
              <w:pStyle w:val="nTable"/>
              <w:spacing w:after="40"/>
              <w:rPr>
                <w:b/>
              </w:rPr>
            </w:pPr>
            <w:r>
              <w:rPr>
                <w:b/>
              </w:rPr>
              <w:t xml:space="preserve">Reprint 1: The </w:t>
            </w:r>
            <w:r>
              <w:rPr>
                <w:b/>
                <w:i/>
              </w:rPr>
              <w:t>Births, Deaths and Marriages Registration Act 1998</w:t>
            </w:r>
            <w:r>
              <w:rPr>
                <w:b/>
              </w:rPr>
              <w:t xml:space="preserve"> as at 11 Jun 2004 </w:t>
            </w:r>
            <w:r>
              <w:t>(includes amendments listed above)</w:t>
            </w:r>
          </w:p>
        </w:tc>
      </w:tr>
      <w:tr>
        <w:trPr>
          <w:cantSplit/>
        </w:trPr>
        <w:tc>
          <w:tcPr>
            <w:tcW w:w="2268" w:type="dxa"/>
          </w:tcPr>
          <w:p>
            <w:pPr>
              <w:pStyle w:val="nTable"/>
              <w:spacing w:after="40"/>
              <w:rPr>
                <w:i/>
              </w:rPr>
            </w:pPr>
            <w:r>
              <w:rPr>
                <w:i/>
              </w:rPr>
              <w:t>State Administrative Tribunal (Conferral of Jurisdiction) Amendment and Repeal Act 2004</w:t>
            </w:r>
            <w:r>
              <w:t xml:space="preserve"> Pt. 2 Div. 12</w:t>
            </w:r>
            <w:r>
              <w:rPr>
                <w:vertAlign w:val="superscript"/>
              </w:rPr>
              <w:t> 2</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5</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Surrogacy Act 2008 </w:t>
            </w:r>
            <w:r>
              <w:rPr>
                <w:snapToGrid w:val="0"/>
              </w:rPr>
              <w:t>Pt. 4 Div. 1</w:t>
            </w:r>
            <w:r>
              <w:rPr>
                <w:snapToGrid w:val="0"/>
                <w:vertAlign w:val="superscript"/>
              </w:rPr>
              <w:t> </w:t>
            </w:r>
          </w:p>
        </w:tc>
        <w:tc>
          <w:tcPr>
            <w:tcW w:w="1134" w:type="dxa"/>
            <w:tcBorders>
              <w:top w:val="nil"/>
              <w:bottom w:val="nil"/>
            </w:tcBorders>
          </w:tcPr>
          <w:p>
            <w:pPr>
              <w:pStyle w:val="nTable"/>
              <w:spacing w:after="40"/>
            </w:pPr>
            <w:r>
              <w:t>47 of 2008</w:t>
            </w:r>
          </w:p>
        </w:tc>
        <w:tc>
          <w:tcPr>
            <w:tcW w:w="1134" w:type="dxa"/>
            <w:tcBorders>
              <w:top w:val="nil"/>
              <w:bottom w:val="nil"/>
            </w:tcBorders>
          </w:tcPr>
          <w:p>
            <w:pPr>
              <w:pStyle w:val="nTable"/>
              <w:spacing w:after="40"/>
            </w:pPr>
            <w:r>
              <w:t>10 Dec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512)</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pacing w:val="-2"/>
              </w:rPr>
            </w:pPr>
            <w:r>
              <w:rPr>
                <w:b/>
                <w:bCs/>
                <w:snapToGrid w:val="0"/>
                <w:spacing w:val="-2"/>
              </w:rPr>
              <w:t xml:space="preserve">Reprint 2:  The </w:t>
            </w:r>
            <w:r>
              <w:rPr>
                <w:b/>
                <w:bCs/>
                <w:i/>
              </w:rPr>
              <w:t xml:space="preserve">Births, Deaths and Marriages Registration Act 1998 </w:t>
            </w:r>
            <w:r>
              <w:rPr>
                <w:b/>
                <w:bCs/>
                <w:snapToGrid w:val="0"/>
                <w:spacing w:val="-2"/>
              </w:rPr>
              <w:t xml:space="preserve">as at 24 Jul 2009 </w:t>
            </w:r>
            <w:r>
              <w:rPr>
                <w:snapToGrid w:val="0"/>
                <w:spacing w:val="-2"/>
              </w:rPr>
              <w:t>(includes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tcPr>
          <w:p>
            <w:pPr>
              <w:pStyle w:val="nTable"/>
              <w:spacing w:after="40"/>
              <w:rPr>
                <w:i/>
                <w:snapToGrid w:val="0"/>
              </w:rPr>
            </w:pPr>
            <w:r>
              <w:rPr>
                <w:i/>
                <w:snapToGrid w:val="0"/>
              </w:rPr>
              <w:t xml:space="preserve">Health Practitioner Regulation National Law (WA) Act 2010 </w:t>
            </w:r>
            <w:r>
              <w:rPr>
                <w:iCs/>
                <w:snapToGrid w:val="0"/>
              </w:rPr>
              <w:t>Pt. 5 Div. 6</w:t>
            </w:r>
          </w:p>
        </w:tc>
        <w:tc>
          <w:tcPr>
            <w:tcW w:w="1134" w:type="dxa"/>
            <w:tcBorders>
              <w:top w:val="nil"/>
              <w:bottom w:val="single" w:sz="8" w:space="0" w:color="auto"/>
            </w:tcBorders>
          </w:tcPr>
          <w:p>
            <w:pPr>
              <w:pStyle w:val="nTable"/>
              <w:spacing w:after="40"/>
            </w:pPr>
            <w:r>
              <w:rPr>
                <w:snapToGrid w:val="0"/>
              </w:rPr>
              <w:t>35 of 2010</w:t>
            </w:r>
          </w:p>
        </w:tc>
        <w:tc>
          <w:tcPr>
            <w:tcW w:w="1134" w:type="dxa"/>
            <w:tcBorders>
              <w:top w:val="nil"/>
              <w:bottom w:val="single" w:sz="8" w:space="0" w:color="auto"/>
            </w:tcBorders>
          </w:tcPr>
          <w:p>
            <w:pPr>
              <w:pStyle w:val="nTable"/>
              <w:spacing w:after="40"/>
            </w:pPr>
            <w:r>
              <w:rPr>
                <w:snapToGrid w:val="0"/>
              </w:rPr>
              <w:t>30 Aug 2010</w:t>
            </w:r>
          </w:p>
        </w:tc>
        <w:tc>
          <w:tcPr>
            <w:tcW w:w="2552" w:type="dxa"/>
            <w:tcBorders>
              <w:top w:val="nil"/>
              <w:bottom w:val="single" w:sz="8" w:space="0" w:color="auto"/>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bl>
    <w:p>
      <w:pPr>
        <w:pStyle w:val="nSubsection"/>
        <w:spacing w:before="360"/>
        <w:ind w:left="482" w:hanging="482"/>
        <w:rPr>
          <w:ins w:id="346" w:author="svcMRProcess" w:date="2018-08-20T19:28:00Z"/>
        </w:rPr>
      </w:pPr>
      <w:ins w:id="347" w:author="svcMRProcess" w:date="2018-08-20T19:28: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8" w:author="svcMRProcess" w:date="2018-08-20T19:28:00Z"/>
          <w:snapToGrid w:val="0"/>
        </w:rPr>
      </w:pPr>
      <w:bookmarkStart w:id="349" w:name="_Toc402966387"/>
      <w:bookmarkStart w:id="350" w:name="_Toc436042042"/>
      <w:bookmarkStart w:id="351" w:name="_Toc452540290"/>
      <w:ins w:id="352" w:author="svcMRProcess" w:date="2018-08-20T19:28:00Z">
        <w:r>
          <w:rPr>
            <w:snapToGrid w:val="0"/>
          </w:rPr>
          <w:t>Provisions that have not come into operation</w:t>
        </w:r>
        <w:bookmarkEnd w:id="349"/>
        <w:bookmarkEnd w:id="350"/>
        <w:bookmarkEnd w:id="351"/>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353" w:author="svcMRProcess" w:date="2018-08-20T19:28:00Z"/>
        </w:trPr>
        <w:tc>
          <w:tcPr>
            <w:tcW w:w="2267" w:type="dxa"/>
            <w:tcBorders>
              <w:top w:val="single" w:sz="8" w:space="0" w:color="auto"/>
              <w:bottom w:val="single" w:sz="8" w:space="0" w:color="auto"/>
            </w:tcBorders>
          </w:tcPr>
          <w:p>
            <w:pPr>
              <w:pStyle w:val="nTable"/>
              <w:keepNext/>
              <w:spacing w:after="40"/>
              <w:ind w:right="113"/>
              <w:rPr>
                <w:ins w:id="354" w:author="svcMRProcess" w:date="2018-08-20T19:28:00Z"/>
                <w:b/>
              </w:rPr>
            </w:pPr>
            <w:ins w:id="355" w:author="svcMRProcess" w:date="2018-08-20T19:28:00Z">
              <w:r>
                <w:rPr>
                  <w:b/>
                </w:rPr>
                <w:t>Short title</w:t>
              </w:r>
            </w:ins>
          </w:p>
        </w:tc>
        <w:tc>
          <w:tcPr>
            <w:tcW w:w="1134" w:type="dxa"/>
            <w:tcBorders>
              <w:top w:val="single" w:sz="8" w:space="0" w:color="auto"/>
              <w:bottom w:val="single" w:sz="8" w:space="0" w:color="auto"/>
            </w:tcBorders>
          </w:tcPr>
          <w:p>
            <w:pPr>
              <w:pStyle w:val="nTable"/>
              <w:keepNext/>
              <w:spacing w:after="40"/>
              <w:rPr>
                <w:ins w:id="356" w:author="svcMRProcess" w:date="2018-08-20T19:28:00Z"/>
                <w:b/>
              </w:rPr>
            </w:pPr>
            <w:ins w:id="357" w:author="svcMRProcess" w:date="2018-08-20T19:28:00Z">
              <w:r>
                <w:rPr>
                  <w:b/>
                </w:rPr>
                <w:t>Number and year</w:t>
              </w:r>
            </w:ins>
          </w:p>
        </w:tc>
        <w:tc>
          <w:tcPr>
            <w:tcW w:w="1135" w:type="dxa"/>
            <w:tcBorders>
              <w:top w:val="single" w:sz="8" w:space="0" w:color="auto"/>
              <w:bottom w:val="single" w:sz="8" w:space="0" w:color="auto"/>
            </w:tcBorders>
          </w:tcPr>
          <w:p>
            <w:pPr>
              <w:pStyle w:val="nTable"/>
              <w:keepNext/>
              <w:spacing w:after="40"/>
              <w:rPr>
                <w:ins w:id="358" w:author="svcMRProcess" w:date="2018-08-20T19:28:00Z"/>
                <w:b/>
              </w:rPr>
            </w:pPr>
            <w:ins w:id="359" w:author="svcMRProcess" w:date="2018-08-20T19:28:00Z">
              <w:r>
                <w:rPr>
                  <w:b/>
                </w:rPr>
                <w:t>Assent</w:t>
              </w:r>
            </w:ins>
          </w:p>
        </w:tc>
        <w:tc>
          <w:tcPr>
            <w:tcW w:w="2659" w:type="dxa"/>
            <w:tcBorders>
              <w:top w:val="single" w:sz="8" w:space="0" w:color="auto"/>
              <w:bottom w:val="single" w:sz="8" w:space="0" w:color="auto"/>
            </w:tcBorders>
          </w:tcPr>
          <w:p>
            <w:pPr>
              <w:pStyle w:val="nTable"/>
              <w:keepNext/>
              <w:spacing w:after="40"/>
              <w:rPr>
                <w:ins w:id="360" w:author="svcMRProcess" w:date="2018-08-20T19:28:00Z"/>
                <w:b/>
              </w:rPr>
            </w:pPr>
            <w:ins w:id="361" w:author="svcMRProcess" w:date="2018-08-20T19:28:00Z">
              <w:r>
                <w:rPr>
                  <w:b/>
                </w:rPr>
                <w:t>Commencement</w:t>
              </w:r>
            </w:ins>
          </w:p>
        </w:tc>
      </w:tr>
      <w:tr>
        <w:trPr>
          <w:cantSplit/>
          <w:ins w:id="362" w:author="svcMRProcess" w:date="2018-08-20T19:28:00Z"/>
        </w:trPr>
        <w:tc>
          <w:tcPr>
            <w:tcW w:w="2267" w:type="dxa"/>
            <w:tcBorders>
              <w:bottom w:val="single" w:sz="4" w:space="0" w:color="auto"/>
            </w:tcBorders>
          </w:tcPr>
          <w:p>
            <w:pPr>
              <w:pStyle w:val="nTable"/>
              <w:spacing w:after="40"/>
              <w:rPr>
                <w:ins w:id="363" w:author="svcMRProcess" w:date="2018-08-20T19:28:00Z"/>
                <w:snapToGrid w:val="0"/>
              </w:rPr>
            </w:pPr>
            <w:ins w:id="364" w:author="svcMRProcess" w:date="2018-08-20T19:28:00Z">
              <w:r>
                <w:rPr>
                  <w:i/>
                  <w:snapToGrid w:val="0"/>
                </w:rPr>
                <w:t>Health Services Act 2016</w:t>
              </w:r>
              <w:r>
                <w:rPr>
                  <w:snapToGrid w:val="0"/>
                </w:rPr>
                <w:t xml:space="preserve"> s. 284</w:t>
              </w:r>
              <w:r>
                <w:rPr>
                  <w:snapToGrid w:val="0"/>
                  <w:vertAlign w:val="superscript"/>
                </w:rPr>
                <w:t> 3</w:t>
              </w:r>
            </w:ins>
          </w:p>
        </w:tc>
        <w:tc>
          <w:tcPr>
            <w:tcW w:w="1134" w:type="dxa"/>
            <w:tcBorders>
              <w:bottom w:val="single" w:sz="4" w:space="0" w:color="auto"/>
            </w:tcBorders>
          </w:tcPr>
          <w:p>
            <w:pPr>
              <w:pStyle w:val="nTable"/>
              <w:keepNext/>
              <w:spacing w:after="40"/>
              <w:rPr>
                <w:ins w:id="365" w:author="svcMRProcess" w:date="2018-08-20T19:28:00Z"/>
              </w:rPr>
            </w:pPr>
            <w:ins w:id="366" w:author="svcMRProcess" w:date="2018-08-20T19:28:00Z">
              <w:r>
                <w:t>11 of 2016</w:t>
              </w:r>
            </w:ins>
          </w:p>
        </w:tc>
        <w:tc>
          <w:tcPr>
            <w:tcW w:w="1135" w:type="dxa"/>
            <w:tcBorders>
              <w:bottom w:val="single" w:sz="4" w:space="0" w:color="auto"/>
            </w:tcBorders>
          </w:tcPr>
          <w:p>
            <w:pPr>
              <w:pStyle w:val="nTable"/>
              <w:keepNext/>
              <w:spacing w:after="40"/>
              <w:rPr>
                <w:ins w:id="367" w:author="svcMRProcess" w:date="2018-08-20T19:28:00Z"/>
              </w:rPr>
            </w:pPr>
            <w:ins w:id="368" w:author="svcMRProcess" w:date="2018-08-20T19:28:00Z">
              <w:r>
                <w:t>26 May 2016</w:t>
              </w:r>
            </w:ins>
          </w:p>
        </w:tc>
        <w:tc>
          <w:tcPr>
            <w:tcW w:w="2659" w:type="dxa"/>
            <w:tcBorders>
              <w:bottom w:val="single" w:sz="4" w:space="0" w:color="auto"/>
            </w:tcBorders>
          </w:tcPr>
          <w:p>
            <w:pPr>
              <w:pStyle w:val="nTable"/>
              <w:keepNext/>
              <w:spacing w:after="40"/>
              <w:rPr>
                <w:ins w:id="369" w:author="svcMRProcess" w:date="2018-08-20T19:28:00Z"/>
              </w:rPr>
            </w:pPr>
            <w:ins w:id="370" w:author="svcMRProcess" w:date="2018-08-20T19:28:00Z">
              <w:r>
                <w:t>To be proclaimed (see s. 2(b))</w:t>
              </w:r>
            </w:ins>
          </w:p>
        </w:tc>
      </w:tr>
    </w:tbl>
    <w:p>
      <w:pPr>
        <w:pStyle w:val="nSubsection"/>
        <w:spacing w:before="160"/>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371" w:author="svcMRProcess" w:date="2018-08-20T19:28:00Z"/>
        </w:rPr>
      </w:pPr>
      <w:ins w:id="372" w:author="svcMRProcess" w:date="2018-08-20T19:28:00Z">
        <w:r>
          <w:rPr>
            <w:snapToGrid w:val="0"/>
            <w:vertAlign w:val="superscript"/>
          </w:rPr>
          <w:t>3</w:t>
        </w:r>
        <w:r>
          <w:rPr>
            <w:snapToGrid w:val="0"/>
          </w:rPr>
          <w:tab/>
          <w:t xml:space="preserve">On the date as at which this compilation was prepared, the </w:t>
        </w:r>
        <w:r>
          <w:rPr>
            <w:i/>
            <w:snapToGrid w:val="0"/>
          </w:rPr>
          <w:t xml:space="preserve">Health Services Act 2016 </w:t>
        </w:r>
        <w:r>
          <w:rPr>
            <w:snapToGrid w:val="0"/>
          </w:rPr>
          <w:t>s. 284 had not come into operation.  It reads as follows:</w:t>
        </w:r>
      </w:ins>
    </w:p>
    <w:p>
      <w:pPr>
        <w:pStyle w:val="BlankOpen"/>
        <w:rPr>
          <w:ins w:id="373" w:author="svcMRProcess" w:date="2018-08-20T19:28:00Z"/>
        </w:rPr>
      </w:pPr>
    </w:p>
    <w:p>
      <w:pPr>
        <w:pStyle w:val="nzHeading5"/>
        <w:rPr>
          <w:ins w:id="374" w:author="svcMRProcess" w:date="2018-08-20T19:28:00Z"/>
        </w:rPr>
      </w:pPr>
      <w:bookmarkStart w:id="375" w:name="_Toc451509694"/>
      <w:ins w:id="376" w:author="svcMRProcess" w:date="2018-08-20T19:28:00Z">
        <w:r>
          <w:rPr>
            <w:rStyle w:val="CharSectno"/>
          </w:rPr>
          <w:t>284</w:t>
        </w:r>
        <w:r>
          <w:t>.</w:t>
        </w:r>
        <w:r>
          <w:tab/>
        </w:r>
        <w:r>
          <w:rPr>
            <w:i/>
          </w:rPr>
          <w:t>Births, Deaths and Marriages Registration Act 1998</w:t>
        </w:r>
        <w:r>
          <w:t xml:space="preserve"> amended</w:t>
        </w:r>
        <w:bookmarkEnd w:id="375"/>
      </w:ins>
    </w:p>
    <w:p>
      <w:pPr>
        <w:pStyle w:val="nzSubsection"/>
        <w:rPr>
          <w:ins w:id="377" w:author="svcMRProcess" w:date="2018-08-20T19:28:00Z"/>
        </w:rPr>
      </w:pPr>
      <w:ins w:id="378" w:author="svcMRProcess" w:date="2018-08-20T19:28:00Z">
        <w:r>
          <w:tab/>
          <w:t>(1)</w:t>
        </w:r>
        <w:r>
          <w:tab/>
          <w:t xml:space="preserve">This section amends the </w:t>
        </w:r>
        <w:r>
          <w:rPr>
            <w:i/>
          </w:rPr>
          <w:t>Births, Deaths and Marriages Registration Act 1998</w:t>
        </w:r>
        <w:r>
          <w:t>.</w:t>
        </w:r>
      </w:ins>
    </w:p>
    <w:p>
      <w:pPr>
        <w:pStyle w:val="nzSubsection"/>
        <w:rPr>
          <w:ins w:id="379" w:author="svcMRProcess" w:date="2018-08-20T19:28:00Z"/>
        </w:rPr>
      </w:pPr>
      <w:ins w:id="380" w:author="svcMRProcess" w:date="2018-08-20T19:28:00Z">
        <w:r>
          <w:tab/>
          <w:t>(2)</w:t>
        </w:r>
        <w:r>
          <w:tab/>
          <w:t xml:space="preserve">In section 12(1) in the definition of </w:t>
        </w:r>
        <w:r>
          <w:rPr>
            <w:b/>
            <w:i/>
          </w:rPr>
          <w:t>responsible person</w:t>
        </w:r>
        <w:r>
          <w:t xml:space="preserve"> paragraph (a) delete “means the chief executive officer or general manager of the hospital; or” and insert:</w:t>
        </w:r>
      </w:ins>
    </w:p>
    <w:p>
      <w:pPr>
        <w:pStyle w:val="BlankOpen"/>
        <w:rPr>
          <w:ins w:id="381" w:author="svcMRProcess" w:date="2018-08-20T19:28:00Z"/>
        </w:rPr>
      </w:pPr>
    </w:p>
    <w:p>
      <w:pPr>
        <w:pStyle w:val="nzDefpara"/>
        <w:rPr>
          <w:ins w:id="382" w:author="svcMRProcess" w:date="2018-08-20T19:28:00Z"/>
        </w:rPr>
      </w:pPr>
      <w:ins w:id="383" w:author="svcMRProcess" w:date="2018-08-20T19:28:00Z">
        <w:r>
          <w:tab/>
        </w:r>
        <w:r>
          <w:tab/>
          <w:t xml:space="preserve">means — </w:t>
        </w:r>
      </w:ins>
    </w:p>
    <w:p>
      <w:pPr>
        <w:pStyle w:val="nzDefsubpara"/>
        <w:rPr>
          <w:ins w:id="384" w:author="svcMRProcess" w:date="2018-08-20T19:28:00Z"/>
        </w:rPr>
      </w:pPr>
      <w:ins w:id="385" w:author="svcMRProcess" w:date="2018-08-20T19:28:00Z">
        <w:r>
          <w:tab/>
          <w:t>(i)</w:t>
        </w:r>
        <w:r>
          <w:tab/>
          <w:t xml:space="preserve">in the case of a public hospital as defined in the </w:t>
        </w:r>
        <w:r>
          <w:rPr>
            <w:i/>
          </w:rPr>
          <w:t>Health Services Act 2016</w:t>
        </w:r>
        <w:r>
          <w:t xml:space="preserve"> section 6 — the chief executive of the health service provider for that hospital; or</w:t>
        </w:r>
      </w:ins>
    </w:p>
    <w:p>
      <w:pPr>
        <w:pStyle w:val="nzDefsubpara"/>
        <w:rPr>
          <w:ins w:id="386" w:author="svcMRProcess" w:date="2018-08-20T19:28:00Z"/>
        </w:rPr>
      </w:pPr>
      <w:ins w:id="387" w:author="svcMRProcess" w:date="2018-08-20T19:28:00Z">
        <w:r>
          <w:tab/>
          <w:t>(ii)</w:t>
        </w:r>
        <w:r>
          <w:tab/>
          <w:t xml:space="preserve">in the case of a private hospital as defined in the </w:t>
        </w:r>
        <w:r>
          <w:rPr>
            <w:i/>
          </w:rPr>
          <w:t>Private Hospitals and Health Services Act 1927</w:t>
        </w:r>
        <w:r>
          <w:t xml:space="preserve"> section 2(1) — the chief executive officer or general manager of the hospital;</w:t>
        </w:r>
      </w:ins>
    </w:p>
    <w:p>
      <w:pPr>
        <w:pStyle w:val="nzDefstart"/>
        <w:rPr>
          <w:ins w:id="388" w:author="svcMRProcess" w:date="2018-08-20T19:28:00Z"/>
        </w:rPr>
      </w:pPr>
      <w:ins w:id="389" w:author="svcMRProcess" w:date="2018-08-20T19:28:00Z">
        <w:r>
          <w:tab/>
        </w:r>
        <w:r>
          <w:tab/>
          <w:t>or</w:t>
        </w:r>
      </w:ins>
    </w:p>
    <w:p>
      <w:pPr>
        <w:pStyle w:val="BlankClose"/>
        <w:rPr>
          <w:ins w:id="390" w:author="svcMRProcess" w:date="2018-08-20T19:28:00Z"/>
        </w:rPr>
      </w:pPr>
    </w:p>
    <w:p>
      <w:pPr>
        <w:pStyle w:val="BlankClose"/>
        <w:rPr>
          <w:ins w:id="391" w:author="svcMRProcess" w:date="2018-08-20T19:28:00Z"/>
        </w:rPr>
      </w:pP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pgMar w:top="1134" w:right="2407" w:bottom="3798" w:left="2550"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3" w:name="Coversheet"/>
    <w:bookmarkEnd w:id="3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bookmarkStart w:id="392" w:name="Compilation"/>
    <w:bookmarkEnd w:id="39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819"/>
    <w:docVar w:name="WAFER_20140121093024" w:val="RemoveTocBookmarks,RemoveUnusedBookmarks,RemoveLanguageTags,UsedStyles,ResetPageSize,UpdateArrangement"/>
    <w:docVar w:name="WAFER_20140121093024_GUID" w:val="dd93a62a-c0aa-4d48-9d55-1edeea2183ee"/>
    <w:docVar w:name="WAFER_20140121101717" w:val="RemoveTocBookmarks,RunningHeaders"/>
    <w:docVar w:name="WAFER_20140121101717_GUID" w:val="661099c4-b674-47bd-b935-3f5b76e91924"/>
    <w:docVar w:name="WAFER_20150325123045" w:val="ResetPageSize,UpdateArrangement,UpdateNTable"/>
    <w:docVar w:name="WAFER_20150325123045_GUID" w:val="43adae51-5efd-4517-92c1-99b367f2bd58"/>
    <w:docVar w:name="WAFER_20151102113634" w:val="UpdateStyles"/>
    <w:docVar w:name="WAFER_20151102113634_GUID" w:val="a14020dc-58ad-44b0-a37d-12ccacd7a7b3"/>
    <w:docVar w:name="WAFER_20151102115212" w:val="UsedStyles"/>
    <w:docVar w:name="WAFER_20151102115212_GUID" w:val="98911cf2-a276-4c91-8936-a9bd7af7d447"/>
    <w:docVar w:name="WAFER_20151130160819" w:val="RemoveTrackChanges"/>
    <w:docVar w:name="WAFER_20151130160819_GUID" w:val="4c36626f-7ef1-48ef-95b9-6336dee82f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8968</Words>
  <Characters>42959</Characters>
  <Application>Microsoft Office Word</Application>
  <DocSecurity>0</DocSecurity>
  <Lines>1161</Lines>
  <Paragraphs>701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51226</CharactersWithSpaces>
  <SharedDoc>false</SharedDoc>
  <HLinks>
    <vt:vector size="12" baseType="variant">
      <vt:variant>
        <vt:i4>5439608</vt:i4>
      </vt:variant>
      <vt:variant>
        <vt:i4>56222</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02-d0-05 - 02-e0-00</dc:title>
  <dc:subject/>
  <dc:creator/>
  <cp:keywords/>
  <dc:description/>
  <cp:lastModifiedBy>svcMRProcess</cp:lastModifiedBy>
  <cp:revision>2</cp:revision>
  <cp:lastPrinted>2015-11-02T03:22:00Z</cp:lastPrinted>
  <dcterms:created xsi:type="dcterms:W3CDTF">2018-08-20T11:28:00Z</dcterms:created>
  <dcterms:modified xsi:type="dcterms:W3CDTF">2018-08-20T11:28:00Z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DocumentType">
    <vt:lpwstr>Act</vt:lpwstr>
  </property>
  <property fmtid="{D5CDD505-2E9C-101B-9397-08002B2CF9AE}" pid="4" name="OwlsUID">
    <vt:i4>1897</vt:i4>
  </property>
  <property fmtid="{D5CDD505-2E9C-101B-9397-08002B2CF9AE}" pid="5" name="ReprintedAsAt">
    <vt:filetime>2009-07-23T16:00:00Z</vt:filetime>
  </property>
  <property fmtid="{D5CDD505-2E9C-101B-9397-08002B2CF9AE}" pid="6" name="ReprintNo">
    <vt:lpwstr>2</vt:lpwstr>
  </property>
  <property fmtid="{D5CDD505-2E9C-101B-9397-08002B2CF9AE}" pid="7" name="CommencementDate">
    <vt:lpwstr>20160526</vt:lpwstr>
  </property>
  <property fmtid="{D5CDD505-2E9C-101B-9397-08002B2CF9AE}" pid="8" name="FromSuffix">
    <vt:lpwstr>02-d0-05</vt:lpwstr>
  </property>
  <property fmtid="{D5CDD505-2E9C-101B-9397-08002B2CF9AE}" pid="9" name="FromAsAtDate">
    <vt:lpwstr>18 Oct 2010</vt:lpwstr>
  </property>
  <property fmtid="{D5CDD505-2E9C-101B-9397-08002B2CF9AE}" pid="10" name="ToSuffix">
    <vt:lpwstr>02-e0-00</vt:lpwstr>
  </property>
  <property fmtid="{D5CDD505-2E9C-101B-9397-08002B2CF9AE}" pid="11" name="ToAsAtDate">
    <vt:lpwstr>26 May 2016</vt:lpwstr>
  </property>
</Properties>
</file>