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2012</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6-06-01T15:23:00Z"/>
        </w:trPr>
        <w:tc>
          <w:tcPr>
            <w:tcW w:w="2434" w:type="dxa"/>
            <w:vMerge w:val="restart"/>
          </w:tcPr>
          <w:p>
            <w:pPr>
              <w:rPr>
                <w:del w:id="2" w:author="svcMRProcess" w:date="2016-06-01T15:23:00Z"/>
              </w:rPr>
            </w:pPr>
          </w:p>
        </w:tc>
        <w:tc>
          <w:tcPr>
            <w:tcW w:w="2434" w:type="dxa"/>
            <w:vMerge w:val="restart"/>
          </w:tcPr>
          <w:p>
            <w:pPr>
              <w:jc w:val="center"/>
              <w:rPr>
                <w:del w:id="3" w:author="svcMRProcess" w:date="2016-06-01T15:23:00Z"/>
              </w:rPr>
            </w:pPr>
            <w:del w:id="4" w:author="svcMRProcess" w:date="2016-06-01T15:23: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6-06-01T15:23:00Z"/>
              </w:rPr>
            </w:pPr>
            <w:del w:id="6" w:author="svcMRProcess" w:date="2016-06-01T15:2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6-06-01T15:23:00Z"/>
        </w:trPr>
        <w:tc>
          <w:tcPr>
            <w:tcW w:w="2434" w:type="dxa"/>
            <w:vMerge/>
          </w:tcPr>
          <w:p>
            <w:pPr>
              <w:rPr>
                <w:del w:id="8" w:author="svcMRProcess" w:date="2016-06-01T15:23:00Z"/>
              </w:rPr>
            </w:pPr>
          </w:p>
        </w:tc>
        <w:tc>
          <w:tcPr>
            <w:tcW w:w="2434" w:type="dxa"/>
            <w:vMerge/>
          </w:tcPr>
          <w:p>
            <w:pPr>
              <w:jc w:val="center"/>
              <w:rPr>
                <w:del w:id="9" w:author="svcMRProcess" w:date="2016-06-01T15:23:00Z"/>
              </w:rPr>
            </w:pPr>
          </w:p>
        </w:tc>
        <w:tc>
          <w:tcPr>
            <w:tcW w:w="2434" w:type="dxa"/>
          </w:tcPr>
          <w:p>
            <w:pPr>
              <w:keepNext/>
              <w:rPr>
                <w:del w:id="10" w:author="svcMRProcess" w:date="2016-06-01T15:23:00Z"/>
                <w:b/>
                <w:sz w:val="22"/>
              </w:rPr>
            </w:pPr>
            <w:del w:id="11" w:author="svcMRProcess" w:date="2016-06-01T15:23:00Z">
              <w:r>
                <w:rPr>
                  <w:b/>
                  <w:sz w:val="22"/>
                </w:rPr>
                <w:delText>at 21 September 2012</w:delText>
              </w:r>
            </w:del>
          </w:p>
        </w:tc>
      </w:tr>
    </w:tbl>
    <w:p>
      <w:pPr>
        <w:pStyle w:val="WA"/>
        <w:spacing w:before="12"/>
      </w:pPr>
      <w:r>
        <w:t>Western Australia</w:t>
      </w:r>
    </w:p>
    <w:p>
      <w:pPr>
        <w:pStyle w:val="NameofActReg"/>
        <w:spacing w:before="720" w:after="840"/>
      </w:pPr>
      <w:r>
        <w:t>Blood Donation (Limitation of Liability) Act 1985</w:t>
      </w:r>
    </w:p>
    <w:p>
      <w:pPr>
        <w:pStyle w:val="LongTitle"/>
        <w:rPr>
          <w:snapToGrid w:val="0"/>
        </w:rPr>
      </w:pPr>
      <w:r>
        <w:rPr>
          <w:snapToGrid w:val="0"/>
        </w:rPr>
        <w:t>A</w:t>
      </w:r>
      <w:bookmarkStart w:id="12" w:name="_GoBack"/>
      <w:bookmarkEnd w:id="12"/>
      <w:r>
        <w:rPr>
          <w:snapToGrid w:val="0"/>
        </w:rPr>
        <w:t>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13" w:name="_Toc378063667"/>
      <w:bookmarkStart w:id="14" w:name="_Toc415055632"/>
      <w:bookmarkStart w:id="15" w:name="_Toc415055665"/>
      <w:bookmarkStart w:id="16" w:name="_Toc452540821"/>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378063668"/>
      <w:bookmarkStart w:id="18" w:name="_Toc452540822"/>
      <w:bookmarkStart w:id="19" w:name="_Toc415055666"/>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20" w:name="_Toc378063669"/>
      <w:bookmarkStart w:id="21" w:name="_Toc452540823"/>
      <w:bookmarkStart w:id="22" w:name="_Toc415055667"/>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23" w:name="_Toc378063670"/>
      <w:bookmarkStart w:id="24" w:name="_Toc452540824"/>
      <w:bookmarkStart w:id="25" w:name="_Toc415055668"/>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Executive Director, Public Health</w:t>
      </w:r>
      <w:r>
        <w:t>, means the person holding or acting in the office of the Executive Director, Public Health and Scientific Support Services, in the Department;</w:t>
      </w:r>
    </w:p>
    <w:p>
      <w:pPr>
        <w:pStyle w:val="Defstart"/>
      </w:pPr>
      <w:r>
        <w:rPr>
          <w:b/>
        </w:rPr>
        <w:tab/>
      </w:r>
      <w:r>
        <w:rPr>
          <w:rStyle w:val="CharDefText"/>
        </w:rPr>
        <w:t>hospital</w:t>
      </w:r>
      <w:r>
        <w:t>, in relation to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rPr>
          <w:b/>
        </w:rPr>
        <w:tab/>
      </w:r>
      <w:r>
        <w:rPr>
          <w:rStyle w:val="CharDefText"/>
        </w:rPr>
        <w:t>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w:t>
      </w:r>
      <w:r>
        <w:rPr>
          <w:iCs/>
          <w:szCs w:val="24"/>
        </w:rPr>
        <w:t>Sch. 3 cl. 6</w:t>
      </w:r>
      <w:r>
        <w:t>; No. 35 of 2010 s. 36.]</w:t>
      </w:r>
    </w:p>
    <w:p>
      <w:pPr>
        <w:pStyle w:val="Heading5"/>
        <w:rPr>
          <w:snapToGrid w:val="0"/>
        </w:rPr>
      </w:pPr>
      <w:bookmarkStart w:id="26" w:name="_Toc378063671"/>
      <w:bookmarkStart w:id="27" w:name="_Toc452540825"/>
      <w:bookmarkStart w:id="28" w:name="_Toc415055669"/>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26"/>
      <w:bookmarkEnd w:id="27"/>
      <w:bookmarkEnd w:id="28"/>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w:t>
      </w:r>
    </w:p>
    <w:p>
      <w:pPr>
        <w:pStyle w:val="Heading2"/>
      </w:pPr>
      <w:bookmarkStart w:id="29" w:name="_Toc378063672"/>
      <w:bookmarkStart w:id="30" w:name="_Toc415055637"/>
      <w:bookmarkStart w:id="31" w:name="_Toc415055670"/>
      <w:bookmarkStart w:id="32" w:name="_Toc452540826"/>
      <w:r>
        <w:rPr>
          <w:rStyle w:val="CharPartNo"/>
        </w:rPr>
        <w:t>Part II</w:t>
      </w:r>
      <w:r>
        <w:rPr>
          <w:rStyle w:val="CharDivNo"/>
        </w:rPr>
        <w:t> </w:t>
      </w:r>
      <w:r>
        <w:t>—</w:t>
      </w:r>
      <w:r>
        <w:rPr>
          <w:rStyle w:val="CharDivText"/>
        </w:rPr>
        <w:t> </w:t>
      </w:r>
      <w:r>
        <w:rPr>
          <w:rStyle w:val="CharPartText"/>
        </w:rPr>
        <w:t>Initial limitation of liability</w:t>
      </w:r>
      <w:bookmarkEnd w:id="29"/>
      <w:bookmarkEnd w:id="30"/>
      <w:bookmarkEnd w:id="31"/>
      <w:bookmarkEnd w:id="32"/>
    </w:p>
    <w:p>
      <w:pPr>
        <w:pStyle w:val="Heading5"/>
        <w:rPr>
          <w:snapToGrid w:val="0"/>
        </w:rPr>
      </w:pPr>
      <w:bookmarkStart w:id="33" w:name="_Toc378063673"/>
      <w:bookmarkStart w:id="34" w:name="_Toc452540827"/>
      <w:bookmarkStart w:id="35" w:name="_Toc415055671"/>
      <w:r>
        <w:rPr>
          <w:rStyle w:val="CharSectno"/>
        </w:rPr>
        <w:t>4</w:t>
      </w:r>
      <w:r>
        <w:rPr>
          <w:snapToGrid w:val="0"/>
        </w:rPr>
        <w:t>.</w:t>
      </w:r>
      <w:r>
        <w:rPr>
          <w:snapToGrid w:val="0"/>
        </w:rPr>
        <w:tab/>
        <w:t>AIDS related actions to which this Part applies</w:t>
      </w:r>
      <w:bookmarkEnd w:id="33"/>
      <w:bookmarkEnd w:id="34"/>
      <w:bookmarkEnd w:id="35"/>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6" w:name="_Toc378063674"/>
      <w:bookmarkStart w:id="37" w:name="_Toc452540828"/>
      <w:bookmarkStart w:id="38" w:name="_Toc415055672"/>
      <w:r>
        <w:rPr>
          <w:rStyle w:val="CharSectno"/>
        </w:rPr>
        <w:t>5</w:t>
      </w:r>
      <w:r>
        <w:rPr>
          <w:snapToGrid w:val="0"/>
        </w:rPr>
        <w:t>.</w:t>
      </w:r>
      <w:r>
        <w:rPr>
          <w:snapToGrid w:val="0"/>
        </w:rPr>
        <w:tab/>
        <w:t>AIDS related actions against Society, hospitals etc., defences to</w:t>
      </w:r>
      <w:bookmarkEnd w:id="36"/>
      <w:bookmarkEnd w:id="37"/>
      <w:bookmarkEnd w:id="38"/>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39" w:name="_Toc378063675"/>
      <w:bookmarkStart w:id="40" w:name="_Toc452540829"/>
      <w:bookmarkStart w:id="41" w:name="_Toc415055673"/>
      <w:r>
        <w:rPr>
          <w:rStyle w:val="CharSectno"/>
        </w:rPr>
        <w:t>6</w:t>
      </w:r>
      <w:r>
        <w:rPr>
          <w:snapToGrid w:val="0"/>
        </w:rPr>
        <w:t>.</w:t>
      </w:r>
      <w:r>
        <w:rPr>
          <w:snapToGrid w:val="0"/>
        </w:rPr>
        <w:tab/>
        <w:t>AIDS related actions against people administering blood, defences to</w:t>
      </w:r>
      <w:bookmarkEnd w:id="39"/>
      <w:bookmarkEnd w:id="40"/>
      <w:bookmarkEnd w:id="41"/>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2" w:name="_Toc378063676"/>
      <w:bookmarkStart w:id="43" w:name="_Toc452540830"/>
      <w:bookmarkStart w:id="44" w:name="_Toc415055674"/>
      <w:r>
        <w:rPr>
          <w:rStyle w:val="CharSectno"/>
        </w:rPr>
        <w:t>7</w:t>
      </w:r>
      <w:r>
        <w:rPr>
          <w:snapToGrid w:val="0"/>
        </w:rPr>
        <w:t>.</w:t>
      </w:r>
      <w:r>
        <w:rPr>
          <w:snapToGrid w:val="0"/>
        </w:rPr>
        <w:tab/>
        <w:t>Donors, liability of</w:t>
      </w:r>
      <w:bookmarkEnd w:id="42"/>
      <w:bookmarkEnd w:id="43"/>
      <w:bookmarkEnd w:id="44"/>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5" w:name="_Toc378063677"/>
      <w:bookmarkStart w:id="46" w:name="_Toc415055642"/>
      <w:bookmarkStart w:id="47" w:name="_Toc415055675"/>
      <w:bookmarkStart w:id="48" w:name="_Toc452540831"/>
      <w:r>
        <w:rPr>
          <w:rStyle w:val="CharPartNo"/>
        </w:rPr>
        <w:t>Part III</w:t>
      </w:r>
      <w:r>
        <w:rPr>
          <w:rStyle w:val="CharDivNo"/>
        </w:rPr>
        <w:t> </w:t>
      </w:r>
      <w:r>
        <w:t>—</w:t>
      </w:r>
      <w:r>
        <w:rPr>
          <w:rStyle w:val="CharDivText"/>
        </w:rPr>
        <w:t> </w:t>
      </w:r>
      <w:r>
        <w:rPr>
          <w:rStyle w:val="CharPartText"/>
        </w:rPr>
        <w:t>Subsequent limitation of liability</w:t>
      </w:r>
      <w:bookmarkEnd w:id="45"/>
      <w:bookmarkEnd w:id="46"/>
      <w:bookmarkEnd w:id="47"/>
      <w:bookmarkEnd w:id="48"/>
    </w:p>
    <w:p>
      <w:pPr>
        <w:pStyle w:val="Heading5"/>
        <w:rPr>
          <w:snapToGrid w:val="0"/>
        </w:rPr>
      </w:pPr>
      <w:bookmarkStart w:id="49" w:name="_Toc378063678"/>
      <w:bookmarkStart w:id="50" w:name="_Toc452540832"/>
      <w:bookmarkStart w:id="51" w:name="_Toc415055676"/>
      <w:r>
        <w:rPr>
          <w:rStyle w:val="CharSectno"/>
        </w:rPr>
        <w:t>8</w:t>
      </w:r>
      <w:r>
        <w:rPr>
          <w:snapToGrid w:val="0"/>
        </w:rPr>
        <w:t>.</w:t>
      </w:r>
      <w:r>
        <w:rPr>
          <w:snapToGrid w:val="0"/>
        </w:rPr>
        <w:tab/>
        <w:t>AIDS related actions to which this Part applies</w:t>
      </w:r>
      <w:bookmarkEnd w:id="49"/>
      <w:bookmarkEnd w:id="50"/>
      <w:bookmarkEnd w:id="51"/>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52" w:name="_Toc378063679"/>
      <w:bookmarkStart w:id="53" w:name="_Toc452540833"/>
      <w:bookmarkStart w:id="54" w:name="_Toc415055677"/>
      <w:r>
        <w:rPr>
          <w:rStyle w:val="CharSectno"/>
        </w:rPr>
        <w:t>9</w:t>
      </w:r>
      <w:r>
        <w:rPr>
          <w:snapToGrid w:val="0"/>
        </w:rPr>
        <w:t>.</w:t>
      </w:r>
      <w:r>
        <w:rPr>
          <w:snapToGrid w:val="0"/>
        </w:rPr>
        <w:tab/>
        <w:t>AIDS related actions against Society, hospitals etc., defences to</w:t>
      </w:r>
      <w:bookmarkEnd w:id="52"/>
      <w:bookmarkEnd w:id="53"/>
      <w:bookmarkEnd w:id="54"/>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55" w:name="_Toc378063680"/>
      <w:bookmarkStart w:id="56" w:name="_Toc452540834"/>
      <w:bookmarkStart w:id="57" w:name="_Toc415055678"/>
      <w:r>
        <w:rPr>
          <w:rStyle w:val="CharSectno"/>
        </w:rPr>
        <w:t>10</w:t>
      </w:r>
      <w:r>
        <w:rPr>
          <w:snapToGrid w:val="0"/>
        </w:rPr>
        <w:t>.</w:t>
      </w:r>
      <w:r>
        <w:rPr>
          <w:snapToGrid w:val="0"/>
        </w:rPr>
        <w:tab/>
        <w:t>AIDS related actions against people administering blood, defences to</w:t>
      </w:r>
      <w:bookmarkEnd w:id="55"/>
      <w:bookmarkEnd w:id="56"/>
      <w:bookmarkEnd w:id="57"/>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58" w:name="_Toc378063681"/>
      <w:bookmarkStart w:id="59" w:name="_Toc452540835"/>
      <w:bookmarkStart w:id="60" w:name="_Toc415055679"/>
      <w:r>
        <w:rPr>
          <w:rStyle w:val="CharSectno"/>
        </w:rPr>
        <w:t>11</w:t>
      </w:r>
      <w:r>
        <w:rPr>
          <w:snapToGrid w:val="0"/>
        </w:rPr>
        <w:t>.</w:t>
      </w:r>
      <w:r>
        <w:rPr>
          <w:snapToGrid w:val="0"/>
        </w:rPr>
        <w:tab/>
        <w:t>Donor declarations, before whom to be made</w:t>
      </w:r>
      <w:bookmarkEnd w:id="58"/>
      <w:bookmarkEnd w:id="59"/>
      <w:bookmarkEnd w:id="60"/>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61" w:name="_Toc378063682"/>
      <w:bookmarkStart w:id="62" w:name="_Toc452540836"/>
      <w:bookmarkStart w:id="63" w:name="_Toc415055680"/>
      <w:r>
        <w:rPr>
          <w:rStyle w:val="CharSectno"/>
        </w:rPr>
        <w:t>12</w:t>
      </w:r>
      <w:r>
        <w:rPr>
          <w:snapToGrid w:val="0"/>
        </w:rPr>
        <w:t>.</w:t>
      </w:r>
      <w:r>
        <w:rPr>
          <w:snapToGrid w:val="0"/>
        </w:rPr>
        <w:tab/>
        <w:t>Donors, liability of</w:t>
      </w:r>
      <w:bookmarkEnd w:id="61"/>
      <w:bookmarkEnd w:id="62"/>
      <w:bookmarkEnd w:id="63"/>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64" w:name="_Toc378063683"/>
      <w:bookmarkStart w:id="65" w:name="_Toc452540837"/>
      <w:bookmarkStart w:id="66" w:name="_Toc415055681"/>
      <w:r>
        <w:rPr>
          <w:rStyle w:val="CharSectno"/>
        </w:rPr>
        <w:t>13</w:t>
      </w:r>
      <w:r>
        <w:rPr>
          <w:snapToGrid w:val="0"/>
        </w:rPr>
        <w:t>.</w:t>
      </w:r>
      <w:r>
        <w:rPr>
          <w:snapToGrid w:val="0"/>
        </w:rPr>
        <w:tab/>
        <w:t>Evidentiary provisions for certain AIDS related actions</w:t>
      </w:r>
      <w:bookmarkEnd w:id="64"/>
      <w:bookmarkEnd w:id="65"/>
      <w:bookmarkEnd w:id="66"/>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67" w:name="_Toc378063684"/>
      <w:bookmarkStart w:id="68" w:name="_Toc452540838"/>
      <w:bookmarkStart w:id="69" w:name="_Toc415055682"/>
      <w:r>
        <w:rPr>
          <w:rStyle w:val="CharSectno"/>
        </w:rPr>
        <w:t>14</w:t>
      </w:r>
      <w:r>
        <w:rPr>
          <w:snapToGrid w:val="0"/>
        </w:rPr>
        <w:t>.</w:t>
      </w:r>
      <w:r>
        <w:rPr>
          <w:snapToGrid w:val="0"/>
        </w:rPr>
        <w:tab/>
        <w:t>Regulations</w:t>
      </w:r>
      <w:bookmarkEnd w:id="67"/>
      <w:bookmarkEnd w:id="68"/>
      <w:bookmarkEnd w:id="6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70" w:name="_Toc378063685"/>
      <w:bookmarkStart w:id="71" w:name="_Toc415055650"/>
      <w:bookmarkStart w:id="72" w:name="_Toc415055683"/>
      <w:bookmarkStart w:id="73" w:name="_Toc452540839"/>
      <w:r>
        <w:t>Notes</w:t>
      </w:r>
      <w:bookmarkEnd w:id="70"/>
      <w:bookmarkEnd w:id="71"/>
      <w:bookmarkEnd w:id="72"/>
      <w:bookmarkEnd w:id="73"/>
    </w:p>
    <w:p>
      <w:pPr>
        <w:pStyle w:val="nSubsection"/>
        <w:rPr>
          <w:snapToGrid w:val="0"/>
        </w:rPr>
      </w:pPr>
      <w:r>
        <w:rPr>
          <w:snapToGrid w:val="0"/>
          <w:vertAlign w:val="superscript"/>
        </w:rPr>
        <w:t>1</w:t>
      </w:r>
      <w:r>
        <w:rPr>
          <w:snapToGrid w:val="0"/>
        </w:rPr>
        <w:tab/>
        <w:t xml:space="preserve">This </w:t>
      </w:r>
      <w:del w:id="74" w:author="svcMRProcess" w:date="2016-06-01T15:23:00Z">
        <w:r>
          <w:rPr>
            <w:snapToGrid w:val="0"/>
          </w:rPr>
          <w:delText xml:space="preserve">reprint </w:delText>
        </w:r>
      </w:del>
      <w:r>
        <w:rPr>
          <w:snapToGrid w:val="0"/>
        </w:rPr>
        <w:t>is a compilation</w:t>
      </w:r>
      <w:del w:id="75" w:author="svcMRProcess" w:date="2016-06-01T15:23:00Z">
        <w:r>
          <w:rPr>
            <w:snapToGrid w:val="0"/>
          </w:rPr>
          <w:delText xml:space="preserve"> as at 21 September 2012</w:delText>
        </w:r>
      </w:del>
      <w:r>
        <w:rPr>
          <w:snapToGrid w:val="0"/>
        </w:rPr>
        <w:t xml:space="preserve"> of the </w:t>
      </w:r>
      <w:r>
        <w:rPr>
          <w:i/>
          <w:noProof/>
          <w:snapToGrid w:val="0"/>
        </w:rPr>
        <w:t>Blood Donation (Limitation of Liability) Act 1985</w:t>
      </w:r>
      <w:r>
        <w:rPr>
          <w:snapToGrid w:val="0"/>
        </w:rPr>
        <w:t xml:space="preserve"> and includes the amendments made by the other written laws referred to in the following table</w:t>
      </w:r>
      <w:ins w:id="76" w:author="svcMRProcess" w:date="2016-06-01T15:2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7" w:name="_Toc378063686"/>
      <w:bookmarkStart w:id="78" w:name="_Toc452540840"/>
      <w:bookmarkStart w:id="79" w:name="_Toc415055684"/>
      <w:r>
        <w:rPr>
          <w:snapToGrid w:val="0"/>
        </w:rPr>
        <w:t>Compilation table</w:t>
      </w:r>
      <w:bookmarkEnd w:id="77"/>
      <w:bookmarkEnd w:id="78"/>
      <w:bookmarkEnd w:id="79"/>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single" w:sz="8" w:space="0" w:color="auto"/>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bl>
    <w:p>
      <w:pPr>
        <w:pStyle w:val="nSubsection"/>
        <w:spacing w:before="360"/>
        <w:ind w:left="482" w:hanging="482"/>
        <w:rPr>
          <w:ins w:id="80" w:author="svcMRProcess" w:date="2016-06-01T15:23:00Z"/>
        </w:rPr>
      </w:pPr>
      <w:ins w:id="81" w:author="svcMRProcess" w:date="2016-06-01T15:2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 w:author="svcMRProcess" w:date="2016-06-01T15:23:00Z"/>
          <w:snapToGrid w:val="0"/>
        </w:rPr>
      </w:pPr>
      <w:bookmarkStart w:id="83" w:name="_Toc402966387"/>
      <w:bookmarkStart w:id="84" w:name="_Toc436042042"/>
      <w:bookmarkStart w:id="85" w:name="_Toc452373592"/>
      <w:bookmarkStart w:id="86" w:name="_Toc452540841"/>
      <w:ins w:id="87" w:author="svcMRProcess" w:date="2016-06-01T15:23:00Z">
        <w:r>
          <w:rPr>
            <w:snapToGrid w:val="0"/>
          </w:rPr>
          <w:t>Provisions that have not come into operation</w:t>
        </w:r>
        <w:bookmarkEnd w:id="83"/>
        <w:bookmarkEnd w:id="84"/>
        <w:bookmarkEnd w:id="85"/>
        <w:bookmarkEnd w:id="86"/>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88" w:author="svcMRProcess" w:date="2016-06-01T15:23:00Z"/>
        </w:trPr>
        <w:tc>
          <w:tcPr>
            <w:tcW w:w="2267" w:type="dxa"/>
            <w:tcBorders>
              <w:top w:val="single" w:sz="8" w:space="0" w:color="auto"/>
              <w:bottom w:val="single" w:sz="8" w:space="0" w:color="auto"/>
            </w:tcBorders>
          </w:tcPr>
          <w:p>
            <w:pPr>
              <w:pStyle w:val="nTable"/>
              <w:keepNext/>
              <w:spacing w:after="40"/>
              <w:ind w:right="113"/>
              <w:rPr>
                <w:ins w:id="89" w:author="svcMRProcess" w:date="2016-06-01T15:23:00Z"/>
                <w:b/>
              </w:rPr>
            </w:pPr>
            <w:ins w:id="90" w:author="svcMRProcess" w:date="2016-06-01T15:23:00Z">
              <w:r>
                <w:rPr>
                  <w:b/>
                </w:rPr>
                <w:t>Short title</w:t>
              </w:r>
            </w:ins>
          </w:p>
        </w:tc>
        <w:tc>
          <w:tcPr>
            <w:tcW w:w="1134" w:type="dxa"/>
            <w:tcBorders>
              <w:top w:val="single" w:sz="8" w:space="0" w:color="auto"/>
              <w:bottom w:val="single" w:sz="8" w:space="0" w:color="auto"/>
            </w:tcBorders>
          </w:tcPr>
          <w:p>
            <w:pPr>
              <w:pStyle w:val="nTable"/>
              <w:keepNext/>
              <w:spacing w:after="40"/>
              <w:rPr>
                <w:ins w:id="91" w:author="svcMRProcess" w:date="2016-06-01T15:23:00Z"/>
                <w:b/>
              </w:rPr>
            </w:pPr>
            <w:ins w:id="92" w:author="svcMRProcess" w:date="2016-06-01T15:23:00Z">
              <w:r>
                <w:rPr>
                  <w:b/>
                </w:rPr>
                <w:t>Number and year</w:t>
              </w:r>
            </w:ins>
          </w:p>
        </w:tc>
        <w:tc>
          <w:tcPr>
            <w:tcW w:w="1135" w:type="dxa"/>
            <w:tcBorders>
              <w:top w:val="single" w:sz="8" w:space="0" w:color="auto"/>
              <w:bottom w:val="single" w:sz="8" w:space="0" w:color="auto"/>
            </w:tcBorders>
          </w:tcPr>
          <w:p>
            <w:pPr>
              <w:pStyle w:val="nTable"/>
              <w:keepNext/>
              <w:spacing w:after="40"/>
              <w:rPr>
                <w:ins w:id="93" w:author="svcMRProcess" w:date="2016-06-01T15:23:00Z"/>
                <w:b/>
              </w:rPr>
            </w:pPr>
            <w:ins w:id="94" w:author="svcMRProcess" w:date="2016-06-01T15:23:00Z">
              <w:r>
                <w:rPr>
                  <w:b/>
                </w:rPr>
                <w:t>Assent</w:t>
              </w:r>
            </w:ins>
          </w:p>
        </w:tc>
        <w:tc>
          <w:tcPr>
            <w:tcW w:w="2659" w:type="dxa"/>
            <w:tcBorders>
              <w:top w:val="single" w:sz="8" w:space="0" w:color="auto"/>
              <w:bottom w:val="single" w:sz="8" w:space="0" w:color="auto"/>
            </w:tcBorders>
          </w:tcPr>
          <w:p>
            <w:pPr>
              <w:pStyle w:val="nTable"/>
              <w:keepNext/>
              <w:spacing w:after="40"/>
              <w:rPr>
                <w:ins w:id="95" w:author="svcMRProcess" w:date="2016-06-01T15:23:00Z"/>
                <w:b/>
              </w:rPr>
            </w:pPr>
            <w:ins w:id="96" w:author="svcMRProcess" w:date="2016-06-01T15:23:00Z">
              <w:r>
                <w:rPr>
                  <w:b/>
                </w:rPr>
                <w:t>Commencement</w:t>
              </w:r>
            </w:ins>
          </w:p>
        </w:tc>
      </w:tr>
      <w:tr>
        <w:trPr>
          <w:cantSplit/>
          <w:tblHeader/>
          <w:ins w:id="97" w:author="svcMRProcess" w:date="2016-06-01T15:23:00Z"/>
        </w:trPr>
        <w:tc>
          <w:tcPr>
            <w:tcW w:w="2267" w:type="dxa"/>
            <w:tcBorders>
              <w:top w:val="single" w:sz="8" w:space="0" w:color="auto"/>
              <w:bottom w:val="single" w:sz="4" w:space="0" w:color="auto"/>
            </w:tcBorders>
          </w:tcPr>
          <w:p>
            <w:pPr>
              <w:pStyle w:val="nTable"/>
              <w:spacing w:after="40"/>
              <w:rPr>
                <w:ins w:id="98" w:author="svcMRProcess" w:date="2016-06-01T15:23:00Z"/>
                <w:snapToGrid w:val="0"/>
              </w:rPr>
            </w:pPr>
            <w:ins w:id="99" w:author="svcMRProcess" w:date="2016-06-01T15:23:00Z">
              <w:r>
                <w:rPr>
                  <w:i/>
                  <w:snapToGrid w:val="0"/>
                </w:rPr>
                <w:t>Health Services Act 2016</w:t>
              </w:r>
              <w:r>
                <w:rPr>
                  <w:snapToGrid w:val="0"/>
                </w:rPr>
                <w:t xml:space="preserve"> s. 285</w:t>
              </w:r>
              <w:r>
                <w:rPr>
                  <w:snapToGrid w:val="0"/>
                  <w:vertAlign w:val="superscript"/>
                </w:rPr>
                <w:t> 3</w:t>
              </w:r>
            </w:ins>
          </w:p>
        </w:tc>
        <w:tc>
          <w:tcPr>
            <w:tcW w:w="1134" w:type="dxa"/>
            <w:tcBorders>
              <w:top w:val="single" w:sz="8" w:space="0" w:color="auto"/>
              <w:bottom w:val="single" w:sz="4" w:space="0" w:color="auto"/>
            </w:tcBorders>
          </w:tcPr>
          <w:p>
            <w:pPr>
              <w:pStyle w:val="nTable"/>
              <w:keepNext/>
              <w:spacing w:after="40"/>
              <w:rPr>
                <w:ins w:id="100" w:author="svcMRProcess" w:date="2016-06-01T15:23:00Z"/>
              </w:rPr>
            </w:pPr>
            <w:ins w:id="101" w:author="svcMRProcess" w:date="2016-06-01T15:23:00Z">
              <w:r>
                <w:t>11 of 2016</w:t>
              </w:r>
            </w:ins>
          </w:p>
        </w:tc>
        <w:tc>
          <w:tcPr>
            <w:tcW w:w="1135" w:type="dxa"/>
            <w:tcBorders>
              <w:top w:val="single" w:sz="8" w:space="0" w:color="auto"/>
              <w:bottom w:val="single" w:sz="4" w:space="0" w:color="auto"/>
            </w:tcBorders>
          </w:tcPr>
          <w:p>
            <w:pPr>
              <w:pStyle w:val="nTable"/>
              <w:keepNext/>
              <w:spacing w:after="40"/>
              <w:rPr>
                <w:ins w:id="102" w:author="svcMRProcess" w:date="2016-06-01T15:23:00Z"/>
              </w:rPr>
            </w:pPr>
            <w:ins w:id="103" w:author="svcMRProcess" w:date="2016-06-01T15:23:00Z">
              <w:r>
                <w:t>26 May 2016</w:t>
              </w:r>
            </w:ins>
          </w:p>
        </w:tc>
        <w:tc>
          <w:tcPr>
            <w:tcW w:w="2659" w:type="dxa"/>
            <w:tcBorders>
              <w:top w:val="single" w:sz="8" w:space="0" w:color="auto"/>
              <w:bottom w:val="single" w:sz="4" w:space="0" w:color="auto"/>
            </w:tcBorders>
          </w:tcPr>
          <w:p>
            <w:pPr>
              <w:pStyle w:val="nTable"/>
              <w:keepNext/>
              <w:spacing w:after="40"/>
              <w:rPr>
                <w:ins w:id="104" w:author="svcMRProcess" w:date="2016-06-01T15:23:00Z"/>
              </w:rPr>
            </w:pPr>
            <w:ins w:id="105" w:author="svcMRProcess" w:date="2016-06-01T15:23:00Z">
              <w:r>
                <w:t>To be proclaimed (see s. 2(b))</w:t>
              </w:r>
            </w:ins>
          </w:p>
        </w:tc>
      </w:tr>
    </w:tbl>
    <w:p>
      <w:pPr>
        <w:pStyle w:val="nSubsection"/>
      </w:pPr>
      <w:r>
        <w:rPr>
          <w:vertAlign w:val="superscript"/>
        </w:rPr>
        <w:t>2</w:t>
      </w:r>
      <w:r>
        <w:tab/>
        <w:t xml:space="preserve">Day fixed is 15 September 1986 (see </w:t>
      </w:r>
      <w:r>
        <w:rPr>
          <w:i/>
        </w:rPr>
        <w:t>Gazette</w:t>
      </w:r>
      <w:r>
        <w:t xml:space="preserve"> 12 Sep 1986 p. 3343).</w:t>
      </w:r>
    </w:p>
    <w:p>
      <w:pPr>
        <w:pStyle w:val="nSubsection"/>
        <w:rPr>
          <w:ins w:id="106" w:author="svcMRProcess" w:date="2016-06-01T15:23:00Z"/>
        </w:rPr>
      </w:pPr>
      <w:ins w:id="107" w:author="svcMRProcess" w:date="2016-06-01T15:23:00Z">
        <w:r>
          <w:rPr>
            <w:snapToGrid w:val="0"/>
            <w:vertAlign w:val="superscript"/>
          </w:rPr>
          <w:t>3</w:t>
        </w:r>
        <w:r>
          <w:rPr>
            <w:snapToGrid w:val="0"/>
          </w:rPr>
          <w:tab/>
          <w:t xml:space="preserve">On the date as at which this compilation was prepared, the </w:t>
        </w:r>
        <w:r>
          <w:rPr>
            <w:i/>
            <w:snapToGrid w:val="0"/>
          </w:rPr>
          <w:t xml:space="preserve">Health Services Act 2016 </w:t>
        </w:r>
        <w:r>
          <w:rPr>
            <w:snapToGrid w:val="0"/>
          </w:rPr>
          <w:t>s. 285 had not come into operation.  It reads as follows:</w:t>
        </w:r>
      </w:ins>
    </w:p>
    <w:p>
      <w:pPr>
        <w:pStyle w:val="BlankOpen"/>
        <w:rPr>
          <w:ins w:id="108" w:author="svcMRProcess" w:date="2016-06-01T15:23:00Z"/>
        </w:rPr>
      </w:pPr>
    </w:p>
    <w:p>
      <w:pPr>
        <w:pStyle w:val="nzHeading5"/>
        <w:rPr>
          <w:ins w:id="109" w:author="svcMRProcess" w:date="2016-06-01T15:23:00Z"/>
        </w:rPr>
      </w:pPr>
      <w:bookmarkStart w:id="110" w:name="_Toc451509695"/>
      <w:ins w:id="111" w:author="svcMRProcess" w:date="2016-06-01T15:23:00Z">
        <w:r>
          <w:rPr>
            <w:rStyle w:val="CharSectno"/>
          </w:rPr>
          <w:t>285</w:t>
        </w:r>
        <w:r>
          <w:t>.</w:t>
        </w:r>
        <w:r>
          <w:tab/>
        </w:r>
        <w:r>
          <w:rPr>
            <w:i/>
          </w:rPr>
          <w:t>Blood Donation (Limitation of Liability) Act 1985</w:t>
        </w:r>
        <w:r>
          <w:t xml:space="preserve"> amended</w:t>
        </w:r>
        <w:bookmarkEnd w:id="110"/>
      </w:ins>
    </w:p>
    <w:p>
      <w:pPr>
        <w:pStyle w:val="nzSubsection"/>
        <w:rPr>
          <w:ins w:id="112" w:author="svcMRProcess" w:date="2016-06-01T15:23:00Z"/>
        </w:rPr>
      </w:pPr>
      <w:ins w:id="113" w:author="svcMRProcess" w:date="2016-06-01T15:23:00Z">
        <w:r>
          <w:tab/>
          <w:t>(1)</w:t>
        </w:r>
        <w:r>
          <w:tab/>
          <w:t xml:space="preserve">This section amends the </w:t>
        </w:r>
        <w:r>
          <w:rPr>
            <w:i/>
          </w:rPr>
          <w:t>Blood Donation (Limitation of Liability) Act 1985</w:t>
        </w:r>
        <w:r>
          <w:t>.</w:t>
        </w:r>
      </w:ins>
    </w:p>
    <w:p>
      <w:pPr>
        <w:pStyle w:val="nzSubsection"/>
        <w:rPr>
          <w:ins w:id="114" w:author="svcMRProcess" w:date="2016-06-01T15:23:00Z"/>
        </w:rPr>
      </w:pPr>
      <w:ins w:id="115" w:author="svcMRProcess" w:date="2016-06-01T15:23:00Z">
        <w:r>
          <w:tab/>
          <w:t>(2)</w:t>
        </w:r>
        <w:r>
          <w:tab/>
          <w:t xml:space="preserve">In section 3 in the definition of </w:t>
        </w:r>
        <w:r>
          <w:rPr>
            <w:rStyle w:val="CharDefText"/>
          </w:rPr>
          <w:t>hospital</w:t>
        </w:r>
        <w:r>
          <w:t xml:space="preserve"> delete paragraph (a) and insert:</w:t>
        </w:r>
      </w:ins>
    </w:p>
    <w:p>
      <w:pPr>
        <w:pStyle w:val="BlankOpen"/>
        <w:keepNext w:val="0"/>
        <w:rPr>
          <w:ins w:id="116" w:author="svcMRProcess" w:date="2016-06-01T15:23:00Z"/>
        </w:rPr>
      </w:pPr>
    </w:p>
    <w:p>
      <w:pPr>
        <w:pStyle w:val="nzDefpara"/>
        <w:rPr>
          <w:ins w:id="117" w:author="svcMRProcess" w:date="2016-06-01T15:23:00Z"/>
        </w:rPr>
      </w:pPr>
      <w:ins w:id="118" w:author="svcMRProcess" w:date="2016-06-01T15:23:00Z">
        <w:r>
          <w:tab/>
          <w:t>(a)</w:t>
        </w:r>
        <w:r>
          <w:tab/>
          <w:t xml:space="preserve">a public hospital as defined in the </w:t>
        </w:r>
        <w:r>
          <w:rPr>
            <w:i/>
          </w:rPr>
          <w:t>Health Services Act 2016</w:t>
        </w:r>
        <w:r>
          <w:t xml:space="preserve"> section 6, means the health service provider for that hospital;</w:t>
        </w:r>
      </w:ins>
    </w:p>
    <w:p>
      <w:pPr>
        <w:pStyle w:val="BlankClose"/>
        <w:rPr>
          <w:ins w:id="119" w:author="svcMRProcess" w:date="2016-06-01T15:23:00Z"/>
        </w:rPr>
      </w:pPr>
    </w:p>
    <w:p>
      <w:pPr>
        <w:pStyle w:val="nzSubsection"/>
        <w:rPr>
          <w:ins w:id="120" w:author="svcMRProcess" w:date="2016-06-01T15:23:00Z"/>
        </w:rPr>
      </w:pPr>
      <w:ins w:id="121" w:author="svcMRProcess" w:date="2016-06-01T15:23:00Z">
        <w:r>
          <w:tab/>
          <w:t>(3)</w:t>
        </w:r>
        <w:r>
          <w:tab/>
          <w:t>In section 3A(1) after “employed by” insert:</w:t>
        </w:r>
      </w:ins>
    </w:p>
    <w:p>
      <w:pPr>
        <w:pStyle w:val="BlankOpen"/>
        <w:rPr>
          <w:ins w:id="122" w:author="svcMRProcess" w:date="2016-06-01T15:23:00Z"/>
        </w:rPr>
      </w:pPr>
    </w:p>
    <w:p>
      <w:pPr>
        <w:pStyle w:val="nzSubsection"/>
        <w:rPr>
          <w:ins w:id="123" w:author="svcMRProcess" w:date="2016-06-01T15:23:00Z"/>
        </w:rPr>
      </w:pPr>
      <w:ins w:id="124" w:author="svcMRProcess" w:date="2016-06-01T15:23:00Z">
        <w:r>
          <w:tab/>
        </w:r>
        <w:r>
          <w:tab/>
          <w:t>or in</w:t>
        </w:r>
      </w:ins>
    </w:p>
    <w:p>
      <w:pPr>
        <w:pStyle w:val="BlankClose"/>
        <w:rPr>
          <w:ins w:id="125" w:author="svcMRProcess" w:date="2016-06-01T15:23:00Z"/>
        </w:rPr>
      </w:pPr>
    </w:p>
    <w:p>
      <w:pPr>
        <w:pStyle w:val="nzSubsection"/>
        <w:rPr>
          <w:ins w:id="126" w:author="svcMRProcess" w:date="2016-06-01T15:23:00Z"/>
        </w:rPr>
      </w:pPr>
      <w:ins w:id="127" w:author="svcMRProcess" w:date="2016-06-01T15:23:00Z">
        <w:r>
          <w:tab/>
          <w:t>(4)</w:t>
        </w:r>
        <w:r>
          <w:tab/>
          <w:t>In section 9(1)(a)(ii) delete “employee of,” and insert:</w:t>
        </w:r>
      </w:ins>
    </w:p>
    <w:p>
      <w:pPr>
        <w:pStyle w:val="BlankOpen"/>
        <w:rPr>
          <w:ins w:id="128" w:author="svcMRProcess" w:date="2016-06-01T15:23:00Z"/>
        </w:rPr>
      </w:pPr>
    </w:p>
    <w:p>
      <w:pPr>
        <w:pStyle w:val="nzSubsection"/>
        <w:rPr>
          <w:ins w:id="129" w:author="svcMRProcess" w:date="2016-06-01T15:23:00Z"/>
        </w:rPr>
      </w:pPr>
      <w:ins w:id="130" w:author="svcMRProcess" w:date="2016-06-01T15:23:00Z">
        <w:r>
          <w:tab/>
        </w:r>
        <w:r>
          <w:tab/>
          <w:t>employee of or in,</w:t>
        </w:r>
      </w:ins>
    </w:p>
    <w:p>
      <w:pPr>
        <w:pStyle w:val="BlankClose"/>
        <w:rPr>
          <w:ins w:id="131" w:author="svcMRProcess" w:date="2016-06-01T15:23:00Z"/>
        </w:rPr>
      </w:pPr>
    </w:p>
    <w:p>
      <w:pPr>
        <w:pStyle w:val="BlankClose"/>
        <w:rPr>
          <w:ins w:id="132" w:author="svcMRProcess" w:date="2016-06-01T15:23:00Z"/>
        </w:rPr>
      </w:pPr>
    </w:p>
    <w:p>
      <w:pPr>
        <w:rPr>
          <w:ins w:id="133" w:author="svcMRProcess" w:date="2016-06-01T15:23:00Z"/>
          <w:u w:val="words"/>
        </w:rPr>
      </w:pPr>
    </w:p>
    <w:p>
      <w:pPr>
        <w:rPr>
          <w:u w:val="words"/>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22"/>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5037</Words>
  <Characters>24233</Characters>
  <Application>Microsoft Office Word</Application>
  <DocSecurity>0</DocSecurity>
  <Lines>712</Lines>
  <Paragraphs>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02-a0-04 - 02-b0-00</dc:title>
  <dc:subject/>
  <dc:creator/>
  <cp:keywords/>
  <dc:description/>
  <cp:lastModifiedBy>svcMRProcess</cp:lastModifiedBy>
  <cp:revision>2</cp:revision>
  <cp:lastPrinted>2012-09-28T01:42:00Z</cp:lastPrinted>
  <dcterms:created xsi:type="dcterms:W3CDTF">2016-06-01T07:23:00Z</dcterms:created>
  <dcterms:modified xsi:type="dcterms:W3CDTF">2016-06-01T07:23:00Z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CommencementDate">
    <vt:lpwstr>20160526</vt:lpwstr>
  </property>
  <property fmtid="{D5CDD505-2E9C-101B-9397-08002B2CF9AE}" pid="8" name="FromSuffix">
    <vt:lpwstr>02-a0-04</vt:lpwstr>
  </property>
  <property fmtid="{D5CDD505-2E9C-101B-9397-08002B2CF9AE}" pid="9" name="FromAsAtDate">
    <vt:lpwstr>21 Sep 2012</vt:lpwstr>
  </property>
  <property fmtid="{D5CDD505-2E9C-101B-9397-08002B2CF9AE}" pid="10" name="ToSuffix">
    <vt:lpwstr>02-b0-00</vt:lpwstr>
  </property>
  <property fmtid="{D5CDD505-2E9C-101B-9397-08002B2CF9AE}" pid="11" name="ToAsAtDate">
    <vt:lpwstr>26 May 2016</vt:lpwstr>
  </property>
</Properties>
</file>