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A</w:t>
      </w:r>
      <w:bookmarkStart w:id="1" w:name="_GoBack"/>
      <w:bookmarkEnd w:id="1"/>
      <w:r>
        <w:rPr>
          <w:snapToGrid w:val="0"/>
        </w:rPr>
        <w:t xml:space="preserve">n Act relating to the administration of certain Acts and to facilitate the provision of health services to the people of the State. </w:t>
      </w:r>
    </w:p>
    <w:p>
      <w:pPr>
        <w:pStyle w:val="Heading5"/>
        <w:rPr>
          <w:snapToGrid w:val="0"/>
        </w:rPr>
      </w:pPr>
      <w:bookmarkStart w:id="2" w:name="_Toc452546880"/>
      <w:bookmarkStart w:id="3" w:name="_Toc436059622"/>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4" w:name="_Toc452546881"/>
      <w:bookmarkStart w:id="5" w:name="_Toc43605962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6" w:name="_Toc452546882"/>
      <w:bookmarkStart w:id="7" w:name="_Toc436059624"/>
      <w:r>
        <w:rPr>
          <w:rStyle w:val="CharSectno"/>
        </w:rPr>
        <w:t>3</w:t>
      </w:r>
      <w:r>
        <w:rPr>
          <w:snapToGrid w:val="0"/>
        </w:rPr>
        <w:t>.</w:t>
      </w:r>
      <w:r>
        <w:rPr>
          <w:snapToGrid w:val="0"/>
        </w:rPr>
        <w:tab/>
        <w:t>Terms used</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or (c)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 No. 25 of 2014 s. 66.]</w:t>
      </w:r>
    </w:p>
    <w:p>
      <w:pPr>
        <w:pStyle w:val="Heading5"/>
        <w:rPr>
          <w:snapToGrid w:val="0"/>
        </w:rPr>
      </w:pPr>
      <w:bookmarkStart w:id="8" w:name="_Toc452546883"/>
      <w:bookmarkStart w:id="9" w:name="_Toc436059625"/>
      <w:r>
        <w:rPr>
          <w:rStyle w:val="CharSectno"/>
        </w:rPr>
        <w:t>4</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0" w:name="_Toc452546884"/>
      <w:bookmarkStart w:id="11" w:name="_Toc436059626"/>
      <w:r>
        <w:rPr>
          <w:rStyle w:val="CharSectno"/>
        </w:rPr>
        <w:t>5</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12" w:name="_Toc452546885"/>
      <w:bookmarkStart w:id="13" w:name="_Toc436059627"/>
      <w:r>
        <w:rPr>
          <w:rStyle w:val="CharSectno"/>
        </w:rPr>
        <w:t>6</w:t>
      </w:r>
      <w:r>
        <w:rPr>
          <w:snapToGrid w:val="0"/>
        </w:rPr>
        <w:t>.</w:t>
      </w:r>
      <w:r>
        <w:rPr>
          <w:snapToGrid w:val="0"/>
        </w:rPr>
        <w:tab/>
        <w:t>Officers and employees, appointment of etc.</w:t>
      </w:r>
      <w:bookmarkEnd w:id="12"/>
      <w:bookmarkEnd w:id="13"/>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p>
    <w:p>
      <w:pPr>
        <w:pStyle w:val="Ednotepara"/>
        <w:rPr>
          <w:snapToGrid w:val="0"/>
        </w:rPr>
      </w:pPr>
      <w:r>
        <w:rPr>
          <w:snapToGrid w:val="0"/>
        </w:rPr>
        <w:tab/>
        <w:t>[(d)</w:t>
      </w:r>
      <w:r>
        <w:rPr>
          <w:snapToGrid w:val="0"/>
        </w:rPr>
        <w:tab/>
        <w:t>deleted]</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pPr>
      <w:r>
        <w:tab/>
        <w:t>(4)</w:t>
      </w:r>
      <w:r>
        <w:tab/>
        <w:t xml:space="preserve">A person cannot be appointed to hold or act in an office referred to in subsection (1)(b) or (c) unless the person is registered under the </w:t>
      </w:r>
      <w:r>
        <w:rPr>
          <w:i/>
        </w:rPr>
        <w:t>Health Practitioner Regulation National Law (Western Australia)</w:t>
      </w:r>
      <w:r>
        <w:t xml:space="preserve"> in the medical profession.</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No. 25 of 2014 s. 67.] </w:t>
      </w:r>
    </w:p>
    <w:p>
      <w:pPr>
        <w:pStyle w:val="Heading5"/>
        <w:rPr>
          <w:snapToGrid w:val="0"/>
        </w:rPr>
      </w:pPr>
      <w:bookmarkStart w:id="14" w:name="_Toc452546886"/>
      <w:bookmarkStart w:id="15" w:name="_Toc436059628"/>
      <w:r>
        <w:rPr>
          <w:rStyle w:val="CharSectno"/>
        </w:rPr>
        <w:t>7</w:t>
      </w:r>
      <w:r>
        <w:rPr>
          <w:snapToGrid w:val="0"/>
        </w:rPr>
        <w:t>.</w:t>
      </w:r>
      <w:r>
        <w:rPr>
          <w:snapToGrid w:val="0"/>
        </w:rPr>
        <w:tab/>
        <w:t>Certain officers, designating persons as</w:t>
      </w:r>
      <w:bookmarkEnd w:id="14"/>
      <w:bookmarkEnd w:id="15"/>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6" w:name="_Toc452546887"/>
      <w:bookmarkStart w:id="17" w:name="_Toc436059629"/>
      <w:r>
        <w:rPr>
          <w:rStyle w:val="CharSectno"/>
        </w:rPr>
        <w:t>8</w:t>
      </w:r>
      <w:r>
        <w:rPr>
          <w:snapToGrid w:val="0"/>
        </w:rPr>
        <w:t>.</w:t>
      </w:r>
      <w:r>
        <w:rPr>
          <w:snapToGrid w:val="0"/>
        </w:rPr>
        <w:tab/>
        <w:t>Appointment or designation under s. 6 or 7, effect of</w:t>
      </w:r>
      <w:bookmarkEnd w:id="16"/>
      <w:bookmarkEnd w:id="17"/>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8" w:name="_Toc452546888"/>
      <w:bookmarkStart w:id="19" w:name="_Toc436059630"/>
      <w:r>
        <w:rPr>
          <w:rStyle w:val="CharSectno"/>
        </w:rPr>
        <w:t>9</w:t>
      </w:r>
      <w:r>
        <w:rPr>
          <w:snapToGrid w:val="0"/>
        </w:rPr>
        <w:t>.</w:t>
      </w:r>
      <w:r>
        <w:rPr>
          <w:snapToGrid w:val="0"/>
        </w:rPr>
        <w:tab/>
        <w:t>Delegation by Minister, CEO etc.</w:t>
      </w:r>
      <w:bookmarkEnd w:id="18"/>
      <w:bookmarkEnd w:id="19"/>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20" w:name="_Toc452546889"/>
      <w:bookmarkStart w:id="21" w:name="_Toc436059631"/>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
      <w:bookmarkEnd w:id="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22" w:name="_Toc452546890"/>
      <w:bookmarkStart w:id="23" w:name="_Toc436059632"/>
      <w:r>
        <w:rPr>
          <w:rStyle w:val="CharSectno"/>
        </w:rPr>
        <w:t>11</w:t>
      </w:r>
      <w:r>
        <w:rPr>
          <w:snapToGrid w:val="0"/>
        </w:rPr>
        <w:t>.</w:t>
      </w:r>
      <w:r>
        <w:rPr>
          <w:snapToGrid w:val="0"/>
        </w:rPr>
        <w:tab/>
        <w:t>Advisory groups, committees, councils and panels, establishment of</w:t>
      </w:r>
      <w:bookmarkEnd w:id="22"/>
      <w:bookmarkEnd w:id="23"/>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24" w:name="_Toc452546891"/>
      <w:bookmarkStart w:id="25" w:name="_Toc436059633"/>
      <w:r>
        <w:rPr>
          <w:rStyle w:val="CharSectno"/>
        </w:rPr>
        <w:t>12</w:t>
      </w:r>
      <w:r>
        <w:rPr>
          <w:snapToGrid w:val="0"/>
        </w:rPr>
        <w:t>.</w:t>
      </w:r>
      <w:r>
        <w:rPr>
          <w:snapToGrid w:val="0"/>
        </w:rPr>
        <w:tab/>
        <w:t>Regulations</w:t>
      </w:r>
      <w:bookmarkEnd w:id="24"/>
      <w:bookmarkEnd w:id="25"/>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26" w:name="_Toc435773560"/>
      <w:bookmarkStart w:id="27" w:name="_Toc435773658"/>
      <w:bookmarkStart w:id="28" w:name="_Toc436059634"/>
      <w:bookmarkStart w:id="29" w:name="_Toc452545457"/>
      <w:bookmarkStart w:id="30" w:name="_Toc452545536"/>
      <w:bookmarkStart w:id="31" w:name="_Toc452546892"/>
      <w:r>
        <w:t>Notes</w:t>
      </w:r>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w:t>
      </w:r>
      <w:ins w:id="32" w:author="svcMRProcess" w:date="2016-06-01T15:35:00Z">
        <w:r>
          <w:rPr>
            <w:snapToGrid w:val="0"/>
            <w:vertAlign w:val="superscript"/>
          </w:rPr>
          <w:t> 1a</w:t>
        </w:r>
      </w:ins>
      <w:r>
        <w:rPr>
          <w:snapToGrid w:val="0"/>
        </w:rPr>
        <w:t>.  The table also contains information about any reprint.</w:t>
      </w:r>
    </w:p>
    <w:p>
      <w:pPr>
        <w:pStyle w:val="nHeading3"/>
        <w:rPr>
          <w:snapToGrid w:val="0"/>
        </w:rPr>
      </w:pPr>
      <w:bookmarkStart w:id="33" w:name="_Toc452546893"/>
      <w:bookmarkStart w:id="34" w:name="_Toc436059635"/>
      <w:r>
        <w:rPr>
          <w:snapToGrid w:val="0"/>
        </w:rPr>
        <w:t>Compilation table</w:t>
      </w:r>
      <w:bookmarkEnd w:id="33"/>
      <w:bookmarkEnd w:id="34"/>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14"/>
        <w:gridCol w:w="14"/>
        <w:gridCol w:w="1106"/>
        <w:gridCol w:w="28"/>
        <w:gridCol w:w="7"/>
        <w:gridCol w:w="1099"/>
        <w:gridCol w:w="28"/>
        <w:gridCol w:w="7"/>
        <w:gridCol w:w="2517"/>
        <w:gridCol w:w="28"/>
        <w:gridCol w:w="7"/>
      </w:tblGrid>
      <w:tr>
        <w:trPr>
          <w:gridAfter w:val="2"/>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gridSpan w:val="3"/>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gridAfter w:val="2"/>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3"/>
            <w:tcBorders>
              <w:top w:val="single" w:sz="8" w:space="0" w:color="auto"/>
            </w:tcBorders>
          </w:tcPr>
          <w:p>
            <w:pPr>
              <w:pStyle w:val="nTable"/>
              <w:spacing w:after="40"/>
            </w:pPr>
            <w:r>
              <w:t>27 of 1984</w:t>
            </w:r>
          </w:p>
        </w:tc>
        <w:tc>
          <w:tcPr>
            <w:tcW w:w="1134" w:type="dxa"/>
            <w:gridSpan w:val="3"/>
            <w:tcBorders>
              <w:top w:val="single" w:sz="8" w:space="0" w:color="auto"/>
            </w:tcBorders>
          </w:tcPr>
          <w:p>
            <w:pPr>
              <w:pStyle w:val="nTable"/>
              <w:spacing w:after="40"/>
            </w:pPr>
            <w:r>
              <w:t>31 May 1984</w:t>
            </w:r>
          </w:p>
        </w:tc>
        <w:tc>
          <w:tcPr>
            <w:tcW w:w="2552" w:type="dxa"/>
            <w:gridSpan w:val="3"/>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2"/>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gridSpan w:val="3"/>
          </w:tcPr>
          <w:p>
            <w:pPr>
              <w:pStyle w:val="nTable"/>
              <w:spacing w:after="40"/>
            </w:pPr>
            <w:r>
              <w:t>4 Dec 1985</w:t>
            </w:r>
          </w:p>
        </w:tc>
        <w:tc>
          <w:tcPr>
            <w:tcW w:w="2552" w:type="dxa"/>
            <w:gridSpan w:val="3"/>
          </w:tcPr>
          <w:p>
            <w:pPr>
              <w:pStyle w:val="nTable"/>
              <w:spacing w:after="40"/>
            </w:pPr>
            <w:r>
              <w:t xml:space="preserve">1 Jul 1986 (see s. 2 and </w:t>
            </w:r>
            <w:r>
              <w:rPr>
                <w:i/>
              </w:rPr>
              <w:t>Gazette</w:t>
            </w:r>
            <w:r>
              <w:t xml:space="preserve"> 30 Jun 1986 p. 2255)</w:t>
            </w:r>
          </w:p>
        </w:tc>
      </w:tr>
      <w:tr>
        <w:trPr>
          <w:gridAfter w:val="2"/>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gridSpan w:val="3"/>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gridAfter w:val="2"/>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3"/>
          </w:tcPr>
          <w:p>
            <w:pPr>
              <w:pStyle w:val="nTable"/>
              <w:spacing w:after="40"/>
            </w:pPr>
            <w:r>
              <w:t>103 of 1994</w:t>
            </w:r>
          </w:p>
        </w:tc>
        <w:tc>
          <w:tcPr>
            <w:tcW w:w="1134" w:type="dxa"/>
            <w:gridSpan w:val="3"/>
          </w:tcPr>
          <w:p>
            <w:pPr>
              <w:pStyle w:val="nTable"/>
              <w:spacing w:after="40"/>
            </w:pPr>
            <w:r>
              <w:t>11 Jan 1995</w:t>
            </w:r>
          </w:p>
        </w:tc>
        <w:tc>
          <w:tcPr>
            <w:tcW w:w="2552" w:type="dxa"/>
            <w:gridSpan w:val="3"/>
          </w:tcPr>
          <w:p>
            <w:pPr>
              <w:pStyle w:val="nTable"/>
              <w:spacing w:after="40"/>
            </w:pPr>
            <w:r>
              <w:t xml:space="preserve">3 Feb 1995 (see s. 2 and </w:t>
            </w:r>
            <w:r>
              <w:rPr>
                <w:i/>
              </w:rPr>
              <w:t>Gazette</w:t>
            </w:r>
            <w:r>
              <w:t xml:space="preserve"> 3 Feb 1995 p. 333)</w:t>
            </w:r>
          </w:p>
        </w:tc>
      </w:tr>
      <w:tr>
        <w:trPr>
          <w:gridAfter w:val="2"/>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3"/>
          </w:tcPr>
          <w:p>
            <w:pPr>
              <w:pStyle w:val="nTable"/>
              <w:spacing w:after="40"/>
            </w:pPr>
            <w:r>
              <w:t>69 of 1996</w:t>
            </w:r>
          </w:p>
        </w:tc>
        <w:tc>
          <w:tcPr>
            <w:tcW w:w="1134" w:type="dxa"/>
            <w:gridSpan w:val="3"/>
          </w:tcPr>
          <w:p>
            <w:pPr>
              <w:pStyle w:val="nTable"/>
              <w:spacing w:after="40"/>
            </w:pPr>
            <w:r>
              <w:t>13 Nov 1996</w:t>
            </w:r>
          </w:p>
        </w:tc>
        <w:tc>
          <w:tcPr>
            <w:tcW w:w="2552" w:type="dxa"/>
            <w:gridSpan w:val="3"/>
          </w:tcPr>
          <w:p>
            <w:pPr>
              <w:pStyle w:val="nTable"/>
              <w:spacing w:after="40"/>
            </w:pPr>
            <w:r>
              <w:t>13 Nov 1997 (see s. 2)</w:t>
            </w:r>
          </w:p>
        </w:tc>
      </w:tr>
      <w:tr>
        <w:trPr>
          <w:gridAfter w:val="2"/>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35" w:type="dxa"/>
          <w:cantSplit/>
        </w:trPr>
        <w:tc>
          <w:tcPr>
            <w:tcW w:w="7088" w:type="dxa"/>
            <w:gridSpan w:val="11"/>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gridAfter w:val="1"/>
          <w:wBefore w:w="28" w:type="dxa"/>
          <w:wAfter w:w="7"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2" w:type="dxa"/>
            <w:gridSpan w:val="3"/>
          </w:tcPr>
          <w:p>
            <w:pPr>
              <w:pStyle w:val="nTable"/>
              <w:spacing w:after="40"/>
            </w:pPr>
            <w:r>
              <w:t xml:space="preserve">1 Jul 2006 (see s. 2 and </w:t>
            </w:r>
            <w:r>
              <w:rPr>
                <w:i/>
                <w:iCs/>
              </w:rPr>
              <w:t>Gazette</w:t>
            </w:r>
            <w:r>
              <w:t xml:space="preserve">  27 Jun 2006 p. 2347)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2"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3"/>
          </w:tcPr>
          <w:p>
            <w:pPr>
              <w:pStyle w:val="nTable"/>
              <w:spacing w:after="40"/>
              <w:rPr>
                <w:snapToGrid w:val="0"/>
              </w:rPr>
            </w:pPr>
            <w:r>
              <w:t>27 May 2008</w:t>
            </w:r>
          </w:p>
        </w:tc>
        <w:tc>
          <w:tcPr>
            <w:tcW w:w="2552" w:type="dxa"/>
            <w:gridSpan w:val="3"/>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gridAfter w:val="1"/>
          <w:wBefore w:w="28" w:type="dxa"/>
          <w:wAfter w:w="7" w:type="dxa"/>
          <w:cantSplit/>
        </w:trPr>
        <w:tc>
          <w:tcPr>
            <w:tcW w:w="2268" w:type="dxa"/>
            <w:gridSpan w:val="3"/>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3"/>
          </w:tcPr>
          <w:p>
            <w:pPr>
              <w:pStyle w:val="nTable"/>
              <w:spacing w:after="40"/>
            </w:pPr>
            <w:r>
              <w:rPr>
                <w:snapToGrid w:val="0"/>
              </w:rPr>
              <w:t>30 Aug 2010</w:t>
            </w:r>
          </w:p>
        </w:tc>
        <w:tc>
          <w:tcPr>
            <w:tcW w:w="2552"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28" w:type="dxa"/>
          <w:wAfter w:w="7" w:type="dxa"/>
          <w:cantSplit/>
        </w:trPr>
        <w:tc>
          <w:tcPr>
            <w:tcW w:w="2268" w:type="dxa"/>
            <w:gridSpan w:val="3"/>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3"/>
          </w:tcPr>
          <w:p>
            <w:pPr>
              <w:pStyle w:val="nTable"/>
              <w:spacing w:after="40"/>
              <w:rPr>
                <w:snapToGrid w:val="0"/>
              </w:rPr>
            </w:pPr>
            <w:r>
              <w:rPr>
                <w:snapToGrid w:val="0"/>
              </w:rPr>
              <w:t>1 Oct 2010</w:t>
            </w:r>
          </w:p>
        </w:tc>
        <w:tc>
          <w:tcPr>
            <w:tcW w:w="2552"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28" w:type="dxa"/>
          <w:wAfter w:w="7" w:type="dxa"/>
          <w:cantSplit/>
        </w:trPr>
        <w:tc>
          <w:tcPr>
            <w:tcW w:w="7088" w:type="dxa"/>
            <w:gridSpan w:val="11"/>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28" w:type="dxa"/>
        </w:trPr>
        <w:tc>
          <w:tcPr>
            <w:tcW w:w="2254" w:type="dxa"/>
            <w:gridSpan w:val="2"/>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14</w:t>
            </w:r>
          </w:p>
        </w:tc>
        <w:tc>
          <w:tcPr>
            <w:tcW w:w="1155" w:type="dxa"/>
            <w:gridSpan w:val="4"/>
            <w:tcBorders>
              <w:top w:val="nil"/>
              <w:bottom w:val="single" w:sz="4" w:space="0" w:color="auto"/>
            </w:tcBorders>
          </w:tcPr>
          <w:p>
            <w:pPr>
              <w:pStyle w:val="nTable"/>
              <w:spacing w:after="40"/>
              <w:rPr>
                <w:snapToGrid w:val="0"/>
              </w:rPr>
            </w:pPr>
            <w:r>
              <w:rPr>
                <w:snapToGrid w:val="0"/>
              </w:rPr>
              <w:t>25 of 2014</w:t>
            </w:r>
          </w:p>
        </w:tc>
        <w:tc>
          <w:tcPr>
            <w:tcW w:w="1134" w:type="dxa"/>
            <w:gridSpan w:val="3"/>
            <w:tcBorders>
              <w:top w:val="nil"/>
              <w:bottom w:val="single" w:sz="4" w:space="0" w:color="auto"/>
            </w:tcBorders>
          </w:tcPr>
          <w:p>
            <w:pPr>
              <w:pStyle w:val="nTable"/>
              <w:spacing w:after="40"/>
              <w:rPr>
                <w:snapToGrid w:val="0"/>
              </w:rPr>
            </w:pPr>
            <w:r>
              <w:t>3 Nov 2014</w:t>
            </w:r>
          </w:p>
        </w:tc>
        <w:tc>
          <w:tcPr>
            <w:tcW w:w="2552" w:type="dxa"/>
            <w:gridSpan w:val="3"/>
            <w:tcBorders>
              <w:top w:val="nil"/>
              <w:bottom w:val="single" w:sz="4" w:space="0" w:color="auto"/>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spacing w:before="360"/>
        <w:ind w:left="482" w:hanging="482"/>
        <w:rPr>
          <w:ins w:id="35" w:author="svcMRProcess" w:date="2016-06-01T15:35:00Z"/>
        </w:rPr>
      </w:pPr>
      <w:ins w:id="36" w:author="svcMRProcess" w:date="2016-06-01T15:35: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6-06-01T15:35:00Z"/>
          <w:snapToGrid w:val="0"/>
        </w:rPr>
      </w:pPr>
      <w:bookmarkStart w:id="38" w:name="_Toc402966387"/>
      <w:bookmarkStart w:id="39" w:name="_Toc436042042"/>
      <w:bookmarkStart w:id="40" w:name="_Toc452373592"/>
      <w:bookmarkStart w:id="41" w:name="_Toc452546894"/>
      <w:ins w:id="42" w:author="svcMRProcess" w:date="2016-06-01T15:35:00Z">
        <w:r>
          <w:rPr>
            <w:snapToGrid w:val="0"/>
          </w:rPr>
          <w:t>Provisions that have not come into operation</w:t>
        </w:r>
        <w:bookmarkEnd w:id="38"/>
        <w:bookmarkEnd w:id="39"/>
        <w:bookmarkEnd w:id="40"/>
        <w:bookmarkEnd w:id="41"/>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43" w:author="svcMRProcess" w:date="2016-06-01T15:35:00Z"/>
        </w:trPr>
        <w:tc>
          <w:tcPr>
            <w:tcW w:w="2267" w:type="dxa"/>
            <w:tcBorders>
              <w:top w:val="single" w:sz="8" w:space="0" w:color="auto"/>
              <w:bottom w:val="single" w:sz="8" w:space="0" w:color="auto"/>
            </w:tcBorders>
          </w:tcPr>
          <w:p>
            <w:pPr>
              <w:pStyle w:val="nTable"/>
              <w:keepNext/>
              <w:spacing w:after="40"/>
              <w:ind w:right="113"/>
              <w:rPr>
                <w:ins w:id="44" w:author="svcMRProcess" w:date="2016-06-01T15:35:00Z"/>
                <w:b/>
              </w:rPr>
            </w:pPr>
            <w:ins w:id="45" w:author="svcMRProcess" w:date="2016-06-01T15:35:00Z">
              <w:r>
                <w:rPr>
                  <w:b/>
                </w:rPr>
                <w:t>Short title</w:t>
              </w:r>
            </w:ins>
          </w:p>
        </w:tc>
        <w:tc>
          <w:tcPr>
            <w:tcW w:w="1134" w:type="dxa"/>
            <w:tcBorders>
              <w:top w:val="single" w:sz="8" w:space="0" w:color="auto"/>
              <w:bottom w:val="single" w:sz="8" w:space="0" w:color="auto"/>
            </w:tcBorders>
          </w:tcPr>
          <w:p>
            <w:pPr>
              <w:pStyle w:val="nTable"/>
              <w:keepNext/>
              <w:spacing w:after="40"/>
              <w:rPr>
                <w:ins w:id="46" w:author="svcMRProcess" w:date="2016-06-01T15:35:00Z"/>
                <w:b/>
              </w:rPr>
            </w:pPr>
            <w:ins w:id="47" w:author="svcMRProcess" w:date="2016-06-01T15:35:00Z">
              <w:r>
                <w:rPr>
                  <w:b/>
                </w:rPr>
                <w:t>Number and year</w:t>
              </w:r>
            </w:ins>
          </w:p>
        </w:tc>
        <w:tc>
          <w:tcPr>
            <w:tcW w:w="1135" w:type="dxa"/>
            <w:tcBorders>
              <w:top w:val="single" w:sz="8" w:space="0" w:color="auto"/>
              <w:bottom w:val="single" w:sz="8" w:space="0" w:color="auto"/>
            </w:tcBorders>
          </w:tcPr>
          <w:p>
            <w:pPr>
              <w:pStyle w:val="nTable"/>
              <w:keepNext/>
              <w:spacing w:after="40"/>
              <w:rPr>
                <w:ins w:id="48" w:author="svcMRProcess" w:date="2016-06-01T15:35:00Z"/>
                <w:b/>
              </w:rPr>
            </w:pPr>
            <w:ins w:id="49" w:author="svcMRProcess" w:date="2016-06-01T15:35:00Z">
              <w:r>
                <w:rPr>
                  <w:b/>
                </w:rPr>
                <w:t>Assent</w:t>
              </w:r>
            </w:ins>
          </w:p>
        </w:tc>
        <w:tc>
          <w:tcPr>
            <w:tcW w:w="2659" w:type="dxa"/>
            <w:tcBorders>
              <w:top w:val="single" w:sz="8" w:space="0" w:color="auto"/>
              <w:bottom w:val="single" w:sz="8" w:space="0" w:color="auto"/>
            </w:tcBorders>
          </w:tcPr>
          <w:p>
            <w:pPr>
              <w:pStyle w:val="nTable"/>
              <w:keepNext/>
              <w:spacing w:after="40"/>
              <w:rPr>
                <w:ins w:id="50" w:author="svcMRProcess" w:date="2016-06-01T15:35:00Z"/>
                <w:b/>
              </w:rPr>
            </w:pPr>
            <w:ins w:id="51" w:author="svcMRProcess" w:date="2016-06-01T15:35:00Z">
              <w:r>
                <w:rPr>
                  <w:b/>
                </w:rPr>
                <w:t>Commencement</w:t>
              </w:r>
            </w:ins>
          </w:p>
        </w:tc>
      </w:tr>
      <w:tr>
        <w:trPr>
          <w:cantSplit/>
          <w:ins w:id="52" w:author="svcMRProcess" w:date="2016-06-01T15:35:00Z"/>
        </w:trPr>
        <w:tc>
          <w:tcPr>
            <w:tcW w:w="2267" w:type="dxa"/>
            <w:tcBorders>
              <w:bottom w:val="single" w:sz="4" w:space="0" w:color="auto"/>
            </w:tcBorders>
          </w:tcPr>
          <w:p>
            <w:pPr>
              <w:pStyle w:val="nTable"/>
              <w:spacing w:after="40"/>
              <w:rPr>
                <w:ins w:id="53" w:author="svcMRProcess" w:date="2016-06-01T15:35:00Z"/>
                <w:snapToGrid w:val="0"/>
              </w:rPr>
            </w:pPr>
            <w:ins w:id="54" w:author="svcMRProcess" w:date="2016-06-01T15:35:00Z">
              <w:r>
                <w:rPr>
                  <w:i/>
                  <w:snapToGrid w:val="0"/>
                </w:rPr>
                <w:t>Health Services Act 2016</w:t>
              </w:r>
              <w:r>
                <w:rPr>
                  <w:snapToGrid w:val="0"/>
                </w:rPr>
                <w:t xml:space="preserve"> s. 293</w:t>
              </w:r>
              <w:r>
                <w:rPr>
                  <w:snapToGrid w:val="0"/>
                  <w:vertAlign w:val="superscript"/>
                </w:rPr>
                <w:t> 7</w:t>
              </w:r>
            </w:ins>
          </w:p>
        </w:tc>
        <w:tc>
          <w:tcPr>
            <w:tcW w:w="1134" w:type="dxa"/>
            <w:tcBorders>
              <w:bottom w:val="single" w:sz="4" w:space="0" w:color="auto"/>
            </w:tcBorders>
          </w:tcPr>
          <w:p>
            <w:pPr>
              <w:pStyle w:val="nTable"/>
              <w:keepNext/>
              <w:spacing w:after="40"/>
              <w:rPr>
                <w:ins w:id="55" w:author="svcMRProcess" w:date="2016-06-01T15:35:00Z"/>
              </w:rPr>
            </w:pPr>
            <w:ins w:id="56" w:author="svcMRProcess" w:date="2016-06-01T15:35:00Z">
              <w:r>
                <w:t>11 of 2016</w:t>
              </w:r>
            </w:ins>
          </w:p>
        </w:tc>
        <w:tc>
          <w:tcPr>
            <w:tcW w:w="1135" w:type="dxa"/>
            <w:tcBorders>
              <w:bottom w:val="single" w:sz="4" w:space="0" w:color="auto"/>
            </w:tcBorders>
          </w:tcPr>
          <w:p>
            <w:pPr>
              <w:pStyle w:val="nTable"/>
              <w:keepNext/>
              <w:spacing w:after="40"/>
              <w:rPr>
                <w:ins w:id="57" w:author="svcMRProcess" w:date="2016-06-01T15:35:00Z"/>
              </w:rPr>
            </w:pPr>
            <w:ins w:id="58" w:author="svcMRProcess" w:date="2016-06-01T15:35:00Z">
              <w:r>
                <w:t>26 May 2016</w:t>
              </w:r>
            </w:ins>
          </w:p>
        </w:tc>
        <w:tc>
          <w:tcPr>
            <w:tcW w:w="2659" w:type="dxa"/>
            <w:tcBorders>
              <w:bottom w:val="single" w:sz="4" w:space="0" w:color="auto"/>
            </w:tcBorders>
          </w:tcPr>
          <w:p>
            <w:pPr>
              <w:pStyle w:val="nTable"/>
              <w:keepNext/>
              <w:spacing w:after="40"/>
              <w:rPr>
                <w:ins w:id="59" w:author="svcMRProcess" w:date="2016-06-01T15:35:00Z"/>
              </w:rPr>
            </w:pPr>
            <w:ins w:id="60" w:author="svcMRProcess" w:date="2016-06-01T15:35:00Z">
              <w:r>
                <w:t>To be proclaimed (see s. 2(b))</w:t>
              </w:r>
            </w:ins>
          </w:p>
        </w:tc>
      </w:tr>
    </w:tbl>
    <w:p>
      <w:pPr>
        <w:pStyle w:val="nSubsection"/>
        <w:spacing w:before="60"/>
        <w:rPr>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Pr>
        <w:pStyle w:val="nSubsection"/>
        <w:rPr>
          <w:ins w:id="61" w:author="svcMRProcess" w:date="2016-06-01T15:35:00Z"/>
        </w:rPr>
      </w:pPr>
      <w:ins w:id="62" w:author="svcMRProcess" w:date="2016-06-01T15:35:00Z">
        <w:r>
          <w:rPr>
            <w:snapToGrid w:val="0"/>
            <w:vertAlign w:val="superscript"/>
          </w:rPr>
          <w:t>7</w:t>
        </w:r>
        <w:r>
          <w:rPr>
            <w:snapToGrid w:val="0"/>
          </w:rPr>
          <w:tab/>
          <w:t xml:space="preserve">On the date as at which this compilation was prepared, the </w:t>
        </w:r>
        <w:r>
          <w:rPr>
            <w:i/>
            <w:snapToGrid w:val="0"/>
          </w:rPr>
          <w:t xml:space="preserve">Health Services Act 2016 </w:t>
        </w:r>
        <w:r>
          <w:rPr>
            <w:snapToGrid w:val="0"/>
          </w:rPr>
          <w:t>s. 293 had not come into operation.  It reads as follows:</w:t>
        </w:r>
      </w:ins>
    </w:p>
    <w:p>
      <w:pPr>
        <w:pStyle w:val="BlankOpen"/>
        <w:rPr>
          <w:ins w:id="63" w:author="svcMRProcess" w:date="2016-06-01T15:35:00Z"/>
        </w:rPr>
      </w:pPr>
    </w:p>
    <w:p>
      <w:pPr>
        <w:pStyle w:val="nzHeading5"/>
        <w:rPr>
          <w:ins w:id="64" w:author="svcMRProcess" w:date="2016-06-01T15:35:00Z"/>
        </w:rPr>
      </w:pPr>
      <w:bookmarkStart w:id="65" w:name="_Toc451509703"/>
      <w:ins w:id="66" w:author="svcMRProcess" w:date="2016-06-01T15:35:00Z">
        <w:r>
          <w:rPr>
            <w:rStyle w:val="CharSectno"/>
          </w:rPr>
          <w:t>293</w:t>
        </w:r>
        <w:r>
          <w:t>.</w:t>
        </w:r>
        <w:r>
          <w:tab/>
        </w:r>
        <w:r>
          <w:rPr>
            <w:i/>
          </w:rPr>
          <w:t>Health Legislation Administration Act 1984</w:t>
        </w:r>
        <w:r>
          <w:t xml:space="preserve"> amended</w:t>
        </w:r>
        <w:bookmarkEnd w:id="65"/>
      </w:ins>
    </w:p>
    <w:p>
      <w:pPr>
        <w:pStyle w:val="nzSubsection"/>
        <w:rPr>
          <w:ins w:id="67" w:author="svcMRProcess" w:date="2016-06-01T15:35:00Z"/>
        </w:rPr>
      </w:pPr>
      <w:ins w:id="68" w:author="svcMRProcess" w:date="2016-06-01T15:35:00Z">
        <w:r>
          <w:tab/>
          <w:t>(1)</w:t>
        </w:r>
        <w:r>
          <w:tab/>
          <w:t xml:space="preserve">This section amends the </w:t>
        </w:r>
        <w:r>
          <w:rPr>
            <w:i/>
          </w:rPr>
          <w:t>Health Legislation Administration Act 1984</w:t>
        </w:r>
        <w:r>
          <w:t>.</w:t>
        </w:r>
      </w:ins>
    </w:p>
    <w:p>
      <w:pPr>
        <w:pStyle w:val="nzSubsection"/>
        <w:rPr>
          <w:ins w:id="69" w:author="svcMRProcess" w:date="2016-06-01T15:35:00Z"/>
        </w:rPr>
      </w:pPr>
      <w:ins w:id="70" w:author="svcMRProcess" w:date="2016-06-01T15:35:00Z">
        <w:r>
          <w:tab/>
          <w:t>(2)</w:t>
        </w:r>
        <w:r>
          <w:tab/>
          <w:t>Delete section 6(2) and insert:</w:t>
        </w:r>
      </w:ins>
    </w:p>
    <w:p>
      <w:pPr>
        <w:pStyle w:val="BlankOpen"/>
        <w:rPr>
          <w:ins w:id="71" w:author="svcMRProcess" w:date="2016-06-01T15:35:00Z"/>
        </w:rPr>
      </w:pPr>
    </w:p>
    <w:p>
      <w:pPr>
        <w:pStyle w:val="nzSubsection"/>
        <w:rPr>
          <w:ins w:id="72" w:author="svcMRProcess" w:date="2016-06-01T15:35:00Z"/>
        </w:rPr>
      </w:pPr>
      <w:ins w:id="73" w:author="svcMRProcess" w:date="2016-06-01T15:35:00Z">
        <w:r>
          <w:tab/>
          <w:t>(2)</w:t>
        </w:r>
        <w:r>
          <w:tab/>
          <w:t xml:space="preserve">The Minister may for the purposes of the Acts to which this Act applies, other than the </w:t>
        </w:r>
        <w:r>
          <w:rPr>
            <w:i/>
            <w:szCs w:val="24"/>
          </w:rPr>
          <w:t>Health Services Act 2016</w:t>
        </w:r>
        <w:r>
          <w:rPr>
            <w:szCs w:val="24"/>
          </w:rPr>
          <w:t xml:space="preserve"> — </w:t>
        </w:r>
      </w:ins>
    </w:p>
    <w:p>
      <w:pPr>
        <w:pStyle w:val="nzIndenta"/>
        <w:rPr>
          <w:ins w:id="74" w:author="svcMRProcess" w:date="2016-06-01T15:35:00Z"/>
        </w:rPr>
      </w:pPr>
      <w:ins w:id="75" w:author="svcMRProcess" w:date="2016-06-01T15:35:00Z">
        <w:r>
          <w:tab/>
          <w:t>(a)</w:t>
        </w:r>
        <w:r>
          <w:tab/>
          <w:t>appoint persons, other than public service officers, as employees on a full</w:t>
        </w:r>
        <w:r>
          <w:noBreakHyphen/>
          <w:t>time, part</w:t>
        </w:r>
        <w:r>
          <w:noBreakHyphen/>
          <w:t>time or casual basis or for a specified period; and</w:t>
        </w:r>
      </w:ins>
    </w:p>
    <w:p>
      <w:pPr>
        <w:pStyle w:val="nzIndenta"/>
        <w:rPr>
          <w:ins w:id="76" w:author="svcMRProcess" w:date="2016-06-01T15:35:00Z"/>
        </w:rPr>
      </w:pPr>
      <w:ins w:id="77" w:author="svcMRProcess" w:date="2016-06-01T15:35:00Z">
        <w:r>
          <w:tab/>
          <w:t>(b)</w:t>
        </w:r>
        <w:r>
          <w:tab/>
          <w:t>engage persons, other than public service officers, under contract for services.</w:t>
        </w:r>
      </w:ins>
    </w:p>
    <w:p>
      <w:pPr>
        <w:pStyle w:val="BlankClose"/>
        <w:rPr>
          <w:ins w:id="78" w:author="svcMRProcess" w:date="2016-06-01T15:35:00Z"/>
        </w:rPr>
      </w:pPr>
    </w:p>
    <w:p>
      <w:pPr>
        <w:pStyle w:val="BlankClose"/>
        <w:rPr>
          <w:ins w:id="79" w:author="svcMRProcess" w:date="2016-06-01T15:35: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08514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2256</Words>
  <Characters>10537</Characters>
  <Application>Microsoft Office Word</Application>
  <DocSecurity>0</DocSecurity>
  <Lines>329</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02-c0-01 - 02-d0-00</dc:title>
  <dc:subject/>
  <dc:creator/>
  <cp:keywords/>
  <dc:description/>
  <cp:lastModifiedBy>svcMRProcess</cp:lastModifiedBy>
  <cp:revision>2</cp:revision>
  <cp:lastPrinted>2011-03-30T08:10:00Z</cp:lastPrinted>
  <dcterms:created xsi:type="dcterms:W3CDTF">2016-06-01T07:35:00Z</dcterms:created>
  <dcterms:modified xsi:type="dcterms:W3CDTF">2016-06-01T07:35:00Z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CommencementDate">
    <vt:lpwstr>20160526</vt:lpwstr>
  </property>
  <property fmtid="{D5CDD505-2E9C-101B-9397-08002B2CF9AE}" pid="8" name="FromSuffix">
    <vt:lpwstr>02-c0-01</vt:lpwstr>
  </property>
  <property fmtid="{D5CDD505-2E9C-101B-9397-08002B2CF9AE}" pid="9" name="FromAsAtDate">
    <vt:lpwstr>30 Nov 2015</vt:lpwstr>
  </property>
  <property fmtid="{D5CDD505-2E9C-101B-9397-08002B2CF9AE}" pid="10" name="ToSuffix">
    <vt:lpwstr>02-d0-00</vt:lpwstr>
  </property>
  <property fmtid="{D5CDD505-2E9C-101B-9397-08002B2CF9AE}" pid="11" name="ToAsAtDate">
    <vt:lpwstr>26 May 2016</vt:lpwstr>
  </property>
</Properties>
</file>