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2016</w:t>
      </w:r>
      <w:r>
        <w:fldChar w:fldCharType="end"/>
      </w:r>
      <w:r>
        <w:t xml:space="preserve">, </w:t>
      </w:r>
      <w:r>
        <w:fldChar w:fldCharType="begin"/>
      </w:r>
      <w:r>
        <w:instrText xml:space="preserve"> DocProperty FromSuffix </w:instrText>
      </w:r>
      <w:r>
        <w:fldChar w:fldCharType="separate"/>
      </w:r>
      <w:r>
        <w:t>00-ac0-00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1" w:name="_Toc401564299"/>
      <w:bookmarkStart w:id="2" w:name="_Toc42334024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5" w:name="_Toc401564300"/>
      <w:bookmarkStart w:id="6" w:name="_Toc423340242"/>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7" w:name="_Toc401564301"/>
      <w:bookmarkStart w:id="8" w:name="_Toc423340243"/>
      <w:r>
        <w:rPr>
          <w:rStyle w:val="CharSectno"/>
        </w:rPr>
        <w:t>3</w:t>
      </w:r>
      <w:r>
        <w:t>.</w:t>
      </w:r>
      <w:r>
        <w:tab/>
        <w:t>Interpretation</w:t>
      </w:r>
      <w:bookmarkEnd w:id="7"/>
      <w:bookmarkEnd w:id="8"/>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9" w:name="_Toc401564302"/>
      <w:bookmarkStart w:id="10" w:name="_Toc423340244"/>
      <w:r>
        <w:rPr>
          <w:rStyle w:val="CharSectno"/>
        </w:rPr>
        <w:t>4</w:t>
      </w:r>
      <w:r>
        <w:t>.</w:t>
      </w:r>
      <w:r>
        <w:tab/>
        <w:t>Charges payable in respect of compensable patients</w:t>
      </w:r>
      <w:bookmarkEnd w:id="9"/>
      <w:bookmarkEnd w:id="10"/>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1" w:name="_Toc401564303"/>
      <w:bookmarkStart w:id="12" w:name="_Toc423340245"/>
      <w:r>
        <w:rPr>
          <w:rStyle w:val="CharSectno"/>
        </w:rPr>
        <w:t>5</w:t>
      </w:r>
      <w:r>
        <w:t>.</w:t>
      </w:r>
      <w:r>
        <w:tab/>
        <w:t>Revocation</w:t>
      </w:r>
      <w:bookmarkEnd w:id="11"/>
      <w:bookmarkEnd w:id="12"/>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 w:name="_Toc401564304"/>
      <w:bookmarkStart w:id="14" w:name="_Toc419467571"/>
      <w:bookmarkStart w:id="15" w:name="_Toc421019766"/>
      <w:bookmarkStart w:id="16" w:name="_Toc423340246"/>
      <w:r>
        <w:rPr>
          <w:rStyle w:val="CharSchNo"/>
        </w:rPr>
        <w:t>Schedule 1</w:t>
      </w:r>
      <w:r>
        <w:t> — </w:t>
      </w:r>
      <w:r>
        <w:rPr>
          <w:rStyle w:val="CharSchText"/>
        </w:rPr>
        <w:t>Services charges for compensable patients</w:t>
      </w:r>
      <w:bookmarkEnd w:id="13"/>
      <w:bookmarkEnd w:id="14"/>
      <w:bookmarkEnd w:id="15"/>
      <w:bookmarkEnd w:id="16"/>
    </w:p>
    <w:p>
      <w:pPr>
        <w:pStyle w:val="yShoulderClause"/>
      </w:pPr>
      <w:r>
        <w:t>[cl. 4]</w:t>
      </w:r>
    </w:p>
    <w:p>
      <w:pPr>
        <w:pStyle w:val="yFootnoteheading"/>
      </w:pPr>
      <w:r>
        <w:tab/>
        <w:t>[Heading inserted in Gazette 10 Jun 2008 p. 2490.]</w:t>
      </w:r>
    </w:p>
    <w:p>
      <w:pPr>
        <w:pStyle w:val="yHeading3"/>
      </w:pPr>
      <w:bookmarkStart w:id="17" w:name="_Toc401564305"/>
      <w:bookmarkStart w:id="18" w:name="_Toc419467572"/>
      <w:bookmarkStart w:id="19" w:name="_Toc421019767"/>
      <w:bookmarkStart w:id="20" w:name="_Toc423340247"/>
      <w:r>
        <w:rPr>
          <w:rStyle w:val="CharSDivNo"/>
        </w:rPr>
        <w:t>Division 1</w:t>
      </w:r>
      <w:r>
        <w:rPr>
          <w:b w:val="0"/>
        </w:rPr>
        <w:t> — </w:t>
      </w:r>
      <w:r>
        <w:rPr>
          <w:rStyle w:val="CharSDivText"/>
        </w:rPr>
        <w:t>Compensable in</w:t>
      </w:r>
      <w:r>
        <w:rPr>
          <w:rStyle w:val="CharSDivText"/>
        </w:rPr>
        <w:noBreakHyphen/>
        <w:t>patients</w:t>
      </w:r>
      <w:bookmarkEnd w:id="17"/>
      <w:bookmarkEnd w:id="18"/>
      <w:bookmarkEnd w:id="19"/>
      <w:bookmarkEnd w:id="20"/>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r>
            <w:r>
              <w:rPr>
                <w:szCs w:val="22"/>
              </w:rPr>
              <w:t xml:space="preserve">$2 070 </w:t>
            </w:r>
            <w:r>
              <w:t>per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 xml:space="preserve">$1 598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 xml:space="preserve">$2 219 </w:t>
            </w:r>
            <w:r>
              <w:t xml:space="preserve">per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r>
            <w:r>
              <w:rPr>
                <w:szCs w:val="22"/>
              </w:rPr>
              <w:t xml:space="preserve">$279 </w:t>
            </w:r>
            <w:r>
              <w:t>per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r>
            <w:r>
              <w:rPr>
                <w:szCs w:val="22"/>
              </w:rPr>
              <w:t xml:space="preserve">$5 467 </w:t>
            </w:r>
            <w:r>
              <w:t>per day</w:t>
            </w:r>
          </w:p>
        </w:tc>
      </w:tr>
    </w:tbl>
    <w:p>
      <w:pPr>
        <w:pStyle w:val="yFootnotesection"/>
      </w:pPr>
      <w:r>
        <w:tab/>
        <w:t>[Division 1 inserted in Gazette 10 Jun 2008 p. 2490; amended in Gazette 23 Jun 2009 p. 2465; 30 Jun 2010 p. 3101</w:t>
      </w:r>
      <w:r>
        <w:noBreakHyphen/>
        <w:t xml:space="preserve">2; 3 Jun 2011 p. 1979; 15 Jun 2012 p. 2519; 28 Jun 2013 p. 2754; </w:t>
      </w:r>
      <w:r>
        <w:rPr>
          <w:sz w:val="24"/>
        </w:rPr>
        <w:t>13 Jun 2014 p. </w:t>
      </w:r>
      <w:r>
        <w:t>1896; 21 Oct 2014 p. 4075; 2 Jun 2015 p. 1942.]</w:t>
      </w:r>
    </w:p>
    <w:p>
      <w:pPr>
        <w:pStyle w:val="yHeading3"/>
      </w:pPr>
      <w:bookmarkStart w:id="21" w:name="_Toc401564306"/>
      <w:bookmarkStart w:id="22" w:name="_Toc419467573"/>
      <w:bookmarkStart w:id="23" w:name="_Toc421019768"/>
      <w:bookmarkStart w:id="24" w:name="_Toc423340248"/>
      <w:r>
        <w:rPr>
          <w:rStyle w:val="CharSDivNo"/>
        </w:rPr>
        <w:t>Division 2</w:t>
      </w:r>
      <w:r>
        <w:rPr>
          <w:b w:val="0"/>
        </w:rPr>
        <w:t> — </w:t>
      </w:r>
      <w:r>
        <w:rPr>
          <w:rStyle w:val="CharSDivText"/>
        </w:rPr>
        <w:t>Compensable out</w:t>
      </w:r>
      <w:r>
        <w:rPr>
          <w:rStyle w:val="CharSDivText"/>
        </w:rPr>
        <w:noBreakHyphen/>
        <w:t>patients</w:t>
      </w:r>
      <w:bookmarkEnd w:id="21"/>
      <w:bookmarkEnd w:id="22"/>
      <w:bookmarkEnd w:id="23"/>
      <w:bookmarkEnd w:id="24"/>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r>
            <w:r>
              <w:rPr>
                <w:szCs w:val="22"/>
              </w:rPr>
              <w:t>$245</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r>
            <w:r>
              <w:rPr>
                <w:szCs w:val="22"/>
              </w:rPr>
              <w:t>$38.30</w:t>
            </w:r>
          </w:p>
          <w:p>
            <w:pPr>
              <w:pStyle w:val="yTableNAm"/>
            </w:pPr>
            <w:r>
              <w:rPr>
                <w:szCs w:val="22"/>
              </w:rPr>
              <w:t>$30.60</w:t>
            </w:r>
          </w:p>
          <w:p>
            <w:pPr>
              <w:pStyle w:val="yTableNAm"/>
            </w:pPr>
            <w:r>
              <w:br/>
            </w:r>
            <w:r>
              <w:rPr>
                <w:szCs w:val="22"/>
              </w:rPr>
              <w:t>$30.60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r>
            <w:r>
              <w:rPr>
                <w:szCs w:val="22"/>
              </w:rPr>
              <w:t>$245</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xml:space="preserve">; 3 Jun 2011 p. 1979; 30 Dec 2011 p. 5577; 24 Feb 2012 p. 810; 15 Jun 2012 p. 2519; 4 Jan 2013 p. 5; 28 Jun 2013 p. 2754; 28 Jan 2014 p. 181; </w:t>
      </w:r>
      <w:r>
        <w:rPr>
          <w:sz w:val="24"/>
        </w:rPr>
        <w:t>13 Jun 2014 p. </w:t>
      </w:r>
      <w:r>
        <w:t>1896; 23 Jan 2015 p. 409; 2 Jun 2015 p. 1942; 12 Jan 2016 p. 44.]</w:t>
      </w:r>
    </w:p>
    <w:p>
      <w:pPr>
        <w:pStyle w:val="yHeading3"/>
      </w:pPr>
      <w:bookmarkStart w:id="25" w:name="_Toc401564307"/>
      <w:bookmarkStart w:id="26" w:name="_Toc419467574"/>
      <w:bookmarkStart w:id="27" w:name="_Toc421019769"/>
      <w:bookmarkStart w:id="28" w:name="_Toc423340249"/>
      <w:r>
        <w:rPr>
          <w:rStyle w:val="CharSDivNo"/>
        </w:rPr>
        <w:t>Division 3</w:t>
      </w:r>
      <w:r>
        <w:rPr>
          <w:b w:val="0"/>
        </w:rPr>
        <w:t> — </w:t>
      </w:r>
      <w:r>
        <w:rPr>
          <w:rStyle w:val="CharSDivText"/>
        </w:rPr>
        <w:t>Compensable same day patients</w:t>
      </w:r>
      <w:bookmarkEnd w:id="25"/>
      <w:bookmarkEnd w:id="26"/>
      <w:bookmarkEnd w:id="27"/>
      <w:bookmarkEnd w:id="28"/>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r>
            <w:r>
              <w:rPr>
                <w:szCs w:val="22"/>
              </w:rPr>
              <w:t xml:space="preserve">$1 652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r>
            <w:r>
              <w:rPr>
                <w:szCs w:val="22"/>
              </w:rPr>
              <w:t xml:space="preserve">$2 294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rPr>
                <w:szCs w:val="22"/>
              </w:rPr>
              <w:t xml:space="preserve">$2 140 </w:t>
            </w:r>
            <w:r>
              <w:t>per day</w:t>
            </w:r>
          </w:p>
        </w:tc>
      </w:tr>
    </w:tbl>
    <w:p>
      <w:pPr>
        <w:pStyle w:val="yFootnotesection"/>
      </w:pPr>
      <w:r>
        <w:tab/>
        <w:t>[Division 3 inserted in Gazette 10 Jun 2008 p. 2491; amended in Gazette 23 Jun 2009 p. 2465; 30 Jun 2010 p. 3101</w:t>
      </w:r>
      <w:r>
        <w:noBreakHyphen/>
        <w:t xml:space="preserve">2; 3 Jun 2011 p. 1979; 15 Jun 2012 p. 2519; 28 Jun 2013 p. 2754-5; </w:t>
      </w:r>
      <w:r>
        <w:rPr>
          <w:sz w:val="24"/>
        </w:rPr>
        <w:t>13 Jun 2014 p. </w:t>
      </w:r>
      <w:r>
        <w:t>1896; 21 Oct 2014 p. 4075; 2 Jun 2015 p. 1942.]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30" w:name="_Toc401564308"/>
      <w:bookmarkStart w:id="31" w:name="_Toc419467575"/>
      <w:bookmarkStart w:id="32" w:name="_Toc421019770"/>
      <w:bookmarkStart w:id="33" w:name="_Toc423340250"/>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ins w:id="34" w:author="Master Repository Process" w:date="2021-08-28T17:58:00Z">
        <w:r>
          <w:rPr>
            <w:snapToGrid w:val="0"/>
          </w:rPr>
          <w:t xml:space="preserve"> </w:t>
        </w:r>
        <w:r>
          <w:rPr>
            <w:vertAlign w:val="superscript"/>
          </w:rPr>
          <w:t>1a</w:t>
        </w:r>
      </w:ins>
      <w:r>
        <w:rPr>
          <w:snapToGrid w:val="0"/>
        </w:rPr>
        <w:t>.</w:t>
      </w:r>
    </w:p>
    <w:p>
      <w:pPr>
        <w:pStyle w:val="nHeading3"/>
      </w:pPr>
      <w:bookmarkStart w:id="35" w:name="_Toc401564309"/>
      <w:bookmarkStart w:id="36" w:name="_Toc423340251"/>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rPr>
              <w:t>Hospitals (Services Charges for Compensable Patients) Determination 2005</w:t>
            </w:r>
          </w:p>
        </w:tc>
        <w:tc>
          <w:tcPr>
            <w:tcW w:w="1276" w:type="dxa"/>
            <w:tcBorders>
              <w:top w:val="single" w:sz="4" w:space="0" w:color="auto"/>
            </w:tcBorders>
          </w:tcPr>
          <w:p>
            <w:pPr>
              <w:pStyle w:val="nTable"/>
            </w:pPr>
            <w:r>
              <w:t>28 Jun 2005 p. 2922-4</w:t>
            </w:r>
          </w:p>
        </w:tc>
        <w:tc>
          <w:tcPr>
            <w:tcW w:w="2693" w:type="dxa"/>
            <w:tcBorders>
              <w:top w:val="single" w:sz="4" w:space="0" w:color="auto"/>
            </w:tcBorders>
          </w:tcPr>
          <w:p>
            <w:pPr>
              <w:pStyle w:val="nTable"/>
            </w:pPr>
            <w: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pPr>
            <w:r>
              <w:t>28 Feb 2006 p. 912-13</w:t>
            </w:r>
          </w:p>
        </w:tc>
        <w:tc>
          <w:tcPr>
            <w:tcW w:w="2693" w:type="dxa"/>
          </w:tcPr>
          <w:p>
            <w:pPr>
              <w:pStyle w:val="nTable"/>
            </w:pPr>
            <w: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pPr>
            <w:r>
              <w:t>13 Jun 2006 p. 2063-4</w:t>
            </w:r>
          </w:p>
        </w:tc>
        <w:tc>
          <w:tcPr>
            <w:tcW w:w="2693" w:type="dxa"/>
          </w:tcPr>
          <w:p>
            <w:pPr>
              <w:pStyle w:val="nTable"/>
            </w:pPr>
            <w: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pPr>
            <w:r>
              <w:t>23 Jan 2007 p. 182</w:t>
            </w:r>
            <w:r>
              <w:noBreakHyphen/>
              <w:t>3</w:t>
            </w:r>
          </w:p>
        </w:tc>
        <w:tc>
          <w:tcPr>
            <w:tcW w:w="2693" w:type="dxa"/>
          </w:tcPr>
          <w:p>
            <w:pPr>
              <w:pStyle w:val="nTable"/>
            </w:pPr>
            <w: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pPr>
            <w:r>
              <w:t>10 Jul 2007 p. 3420-1</w:t>
            </w:r>
          </w:p>
        </w:tc>
        <w:tc>
          <w:tcPr>
            <w:tcW w:w="2693" w:type="dxa"/>
          </w:tcPr>
          <w:p>
            <w:pPr>
              <w:pStyle w:val="nTable"/>
            </w:pPr>
            <w:r>
              <w:t>cl. 1 and 2: 10 Jul 2007 (see cl. 2(a));</w:t>
            </w:r>
          </w:p>
          <w:p>
            <w:pPr>
              <w:pStyle w:val="nTable"/>
            </w:pPr>
            <w:r>
              <w:t>Determination other than cl. 1 and 2: 11 Jul 2007 (see cl. 2(b))</w:t>
            </w:r>
          </w:p>
        </w:tc>
      </w:tr>
      <w:tr>
        <w:tc>
          <w:tcPr>
            <w:tcW w:w="3118" w:type="dxa"/>
          </w:tcPr>
          <w:p>
            <w:pPr>
              <w:pStyle w:val="nTable"/>
              <w:rPr>
                <w:i/>
              </w:rPr>
            </w:pPr>
            <w:r>
              <w:rPr>
                <w:i/>
              </w:rPr>
              <w:t>Hospitals (Services Charges for Compensable Patients) Amendment Determination 2008</w:t>
            </w:r>
          </w:p>
        </w:tc>
        <w:tc>
          <w:tcPr>
            <w:tcW w:w="1276" w:type="dxa"/>
          </w:tcPr>
          <w:p>
            <w:pPr>
              <w:pStyle w:val="nTable"/>
            </w:pPr>
            <w:r>
              <w:t>25 Jan 2008 p. 214</w:t>
            </w:r>
            <w:r>
              <w:noBreakHyphen/>
              <w:t>15</w:t>
            </w:r>
          </w:p>
        </w:tc>
        <w:tc>
          <w:tcPr>
            <w:tcW w:w="2693" w:type="dxa"/>
          </w:tcPr>
          <w:p>
            <w:pPr>
              <w:pStyle w:val="nTable"/>
            </w:pPr>
            <w:r>
              <w:rPr>
                <w:snapToGrid w:val="0"/>
              </w:rPr>
              <w:t>cl. 1 and 2: 25 Jan 2008 (see cl. 2(a));</w:t>
            </w:r>
            <w:r>
              <w:rPr>
                <w:snapToGrid w:val="0"/>
              </w:rPr>
              <w:br/>
              <w:t>Determination other than cl. 1 and 2: 26 Jan 2008 (see cl. 2(b))</w:t>
            </w:r>
          </w:p>
        </w:tc>
      </w:tr>
      <w:tr>
        <w:tc>
          <w:tcPr>
            <w:tcW w:w="3118" w:type="dxa"/>
          </w:tcPr>
          <w:p>
            <w:pPr>
              <w:pStyle w:val="nTable"/>
              <w:rPr>
                <w:i/>
              </w:rPr>
            </w:pPr>
            <w:r>
              <w:rPr>
                <w:i/>
              </w:rPr>
              <w:t>Hospitals (Services Charges for Compensable Patients) Amendment Determination (No. 2) 2008</w:t>
            </w:r>
            <w:r>
              <w:t xml:space="preserve"> </w:t>
            </w:r>
          </w:p>
        </w:tc>
        <w:tc>
          <w:tcPr>
            <w:tcW w:w="1276" w:type="dxa"/>
          </w:tcPr>
          <w:p>
            <w:pPr>
              <w:pStyle w:val="nTable"/>
            </w:pPr>
            <w:r>
              <w:t>10 Jun 2008 p. 2489-91</w:t>
            </w:r>
          </w:p>
        </w:tc>
        <w:tc>
          <w:tcPr>
            <w:tcW w:w="2693" w:type="dxa"/>
          </w:tcPr>
          <w:p>
            <w:pPr>
              <w:pStyle w:val="nTable"/>
              <w:rPr>
                <w:snapToGrid w:val="0"/>
              </w:rPr>
            </w:pPr>
            <w:r>
              <w:t>cl. 1 and 2: 10 Jun 2008 (see cl. 2(a));</w:t>
            </w:r>
            <w:r>
              <w:br/>
            </w:r>
            <w:r>
              <w:rPr>
                <w:snapToGrid w:val="0"/>
              </w:rPr>
              <w:t>Determination</w:t>
            </w:r>
            <w:r>
              <w:t xml:space="preserve"> other than cl. 1 and 2: 1 Jul 2008 (see cl. 2(b)) </w:t>
            </w:r>
          </w:p>
        </w:tc>
      </w:tr>
      <w:tr>
        <w:tc>
          <w:tcPr>
            <w:tcW w:w="3118" w:type="dxa"/>
          </w:tcPr>
          <w:p>
            <w:pPr>
              <w:pStyle w:val="nTable"/>
              <w:rPr>
                <w:i/>
              </w:rPr>
            </w:pPr>
            <w:r>
              <w:rPr>
                <w:i/>
              </w:rPr>
              <w:t>Hospitals (Services Charges for Compensable Patients) Amendment Determination 2009</w:t>
            </w:r>
          </w:p>
        </w:tc>
        <w:tc>
          <w:tcPr>
            <w:tcW w:w="1276" w:type="dxa"/>
          </w:tcPr>
          <w:p>
            <w:pPr>
              <w:pStyle w:val="nTable"/>
            </w:pPr>
            <w:r>
              <w:t>10 Feb 2009 p. 274-5</w:t>
            </w:r>
          </w:p>
        </w:tc>
        <w:tc>
          <w:tcPr>
            <w:tcW w:w="2693" w:type="dxa"/>
          </w:tcPr>
          <w:p>
            <w:pPr>
              <w:pStyle w:val="nTable"/>
            </w:pPr>
            <w:r>
              <w:t>cl. 1 and 2: 10 Feb 2009 (see cl. 2(a));</w:t>
            </w:r>
            <w:r>
              <w:br/>
            </w:r>
            <w:r>
              <w:rPr>
                <w:snapToGrid w:val="0"/>
              </w:rPr>
              <w:t>Determination other than cl. 1 and 2</w:t>
            </w:r>
            <w:r>
              <w:t>: 11 Feb 2009 (see cl. 2(b))</w:t>
            </w:r>
          </w:p>
        </w:tc>
      </w:tr>
      <w:tr>
        <w:tc>
          <w:tcPr>
            <w:tcW w:w="3118" w:type="dxa"/>
          </w:tcPr>
          <w:p>
            <w:pPr>
              <w:pStyle w:val="nTable"/>
              <w:rPr>
                <w:i/>
              </w:rPr>
            </w:pPr>
            <w:r>
              <w:rPr>
                <w:i/>
              </w:rPr>
              <w:t>Hospitals (Services Charges for Compensable Patients) Amendment Determination (No. 2) 2009</w:t>
            </w:r>
          </w:p>
        </w:tc>
        <w:tc>
          <w:tcPr>
            <w:tcW w:w="1276" w:type="dxa"/>
          </w:tcPr>
          <w:p>
            <w:pPr>
              <w:pStyle w:val="nTable"/>
            </w:pPr>
            <w:r>
              <w:t>23 Jun 2009 p. 2464</w:t>
            </w:r>
            <w:r>
              <w:noBreakHyphen/>
              <w:t>5</w:t>
            </w:r>
          </w:p>
        </w:tc>
        <w:tc>
          <w:tcPr>
            <w:tcW w:w="2693" w:type="dxa"/>
          </w:tcPr>
          <w:p>
            <w:pPr>
              <w:pStyle w:val="nTable"/>
            </w:pPr>
            <w:r>
              <w:rPr>
                <w:snapToGrid w:val="0"/>
              </w:rPr>
              <w:t>cl. 1 and 2: 23 Jun 2009 (see cl. 2(a));</w:t>
            </w:r>
            <w:r>
              <w:rPr>
                <w:snapToGrid w:val="0"/>
              </w:rPr>
              <w:br/>
              <w:t>Determination other than cl. 1 and 2: 1 Jul 2009 (see cl. 2(b))</w:t>
            </w:r>
          </w:p>
        </w:tc>
      </w:tr>
      <w:tr>
        <w:tc>
          <w:tcPr>
            <w:tcW w:w="3118" w:type="dxa"/>
          </w:tcPr>
          <w:p>
            <w:pPr>
              <w:pStyle w:val="nTable"/>
              <w:rPr>
                <w:i/>
              </w:rPr>
            </w:pPr>
            <w:r>
              <w:rPr>
                <w:i/>
              </w:rPr>
              <w:t>Hospitals (Services Charges for Compensable Patients) Amendment Determination (No. 3) 2009</w:t>
            </w:r>
          </w:p>
        </w:tc>
        <w:tc>
          <w:tcPr>
            <w:tcW w:w="1276" w:type="dxa"/>
          </w:tcPr>
          <w:p>
            <w:pPr>
              <w:pStyle w:val="nTable"/>
            </w:pPr>
            <w:r>
              <w:t>19 Jan 2010 p. 149-50</w:t>
            </w:r>
          </w:p>
        </w:tc>
        <w:tc>
          <w:tcPr>
            <w:tcW w:w="2693" w:type="dxa"/>
          </w:tcPr>
          <w:p>
            <w:pPr>
              <w:pStyle w:val="nTable"/>
              <w:rPr>
                <w:snapToGrid w:val="0"/>
              </w:rPr>
            </w:pPr>
            <w:r>
              <w:rPr>
                <w:snapToGrid w:val="0"/>
              </w:rPr>
              <w:t>cl. 1 and 2: 19 Jan 2010 (see cl. 2(a));</w:t>
            </w:r>
            <w:r>
              <w:rPr>
                <w:snapToGrid w:val="0"/>
              </w:rPr>
              <w:br/>
              <w:t>Determination other than cl. 1 and 2: 20 Jan 2010 (see cl. 2(b))</w:t>
            </w:r>
          </w:p>
        </w:tc>
      </w:tr>
      <w:tr>
        <w:tc>
          <w:tcPr>
            <w:tcW w:w="3118" w:type="dxa"/>
          </w:tcPr>
          <w:p>
            <w:pPr>
              <w:pStyle w:val="nTable"/>
              <w:rPr>
                <w:i/>
              </w:rPr>
            </w:pPr>
            <w:r>
              <w:rPr>
                <w:i/>
              </w:rPr>
              <w:t>Hospitals (Services Charges for Compensable Patients) Amendment Determination 2010</w:t>
            </w:r>
          </w:p>
        </w:tc>
        <w:tc>
          <w:tcPr>
            <w:tcW w:w="1276" w:type="dxa"/>
          </w:tcPr>
          <w:p>
            <w:pPr>
              <w:pStyle w:val="nTable"/>
            </w:pPr>
            <w:r>
              <w:t>30 Jun 2010 p. 3101</w:t>
            </w:r>
            <w:r>
              <w:noBreakHyphen/>
              <w:t>2</w:t>
            </w:r>
          </w:p>
        </w:tc>
        <w:tc>
          <w:tcPr>
            <w:tcW w:w="2693" w:type="dxa"/>
          </w:tcPr>
          <w:p>
            <w:pPr>
              <w:pStyle w:val="nTable"/>
              <w:rPr>
                <w:snapToGrid w:val="0"/>
              </w:rPr>
            </w:pPr>
            <w:r>
              <w:rPr>
                <w:snapToGrid w:val="0"/>
              </w:rPr>
              <w:t>cl. 1 and 2: 30 Jun 2010 (see cl. 2(a));</w:t>
            </w:r>
            <w:r>
              <w:rPr>
                <w:snapToGrid w:val="0"/>
              </w:rPr>
              <w:br/>
              <w:t>Determination other than cl. 1 and 2: 1 Jul 2010 (see cl. 2(b))</w:t>
            </w:r>
          </w:p>
        </w:tc>
      </w:tr>
      <w:tr>
        <w:tc>
          <w:tcPr>
            <w:tcW w:w="3118" w:type="dxa"/>
          </w:tcPr>
          <w:p>
            <w:pPr>
              <w:pStyle w:val="nTable"/>
              <w:rPr>
                <w:i/>
              </w:rPr>
            </w:pPr>
            <w:r>
              <w:rPr>
                <w:i/>
              </w:rPr>
              <w:t>Hospitals (Services Charges for Compensable Patients) Amendment Determination 2011</w:t>
            </w:r>
          </w:p>
        </w:tc>
        <w:tc>
          <w:tcPr>
            <w:tcW w:w="1276" w:type="dxa"/>
          </w:tcPr>
          <w:p>
            <w:pPr>
              <w:pStyle w:val="nTable"/>
            </w:pPr>
            <w:r>
              <w:t>11 Feb 2011 p. 481</w:t>
            </w:r>
          </w:p>
        </w:tc>
        <w:tc>
          <w:tcPr>
            <w:tcW w:w="2693" w:type="dxa"/>
          </w:tcPr>
          <w:p>
            <w:pPr>
              <w:pStyle w:val="nTable"/>
              <w:rPr>
                <w:snapToGrid w:val="0"/>
              </w:rPr>
            </w:pPr>
            <w:r>
              <w:rPr>
                <w:snapToGrid w:val="0"/>
              </w:rPr>
              <w:t>cl. 1 and 2: 11 Feb 2011 (see cl. 2(a));</w:t>
            </w:r>
            <w:r>
              <w:rPr>
                <w:snapToGrid w:val="0"/>
              </w:rPr>
              <w:br/>
              <w:t>Determination other than cl. 1 and 2: 12 Feb 2011 (see cl. 2(b))</w:t>
            </w:r>
          </w:p>
        </w:tc>
      </w:tr>
      <w:tr>
        <w:tc>
          <w:tcPr>
            <w:tcW w:w="3118" w:type="dxa"/>
          </w:tcPr>
          <w:p>
            <w:pPr>
              <w:pStyle w:val="nTable"/>
              <w:rPr>
                <w:i/>
              </w:rPr>
            </w:pPr>
            <w:r>
              <w:rPr>
                <w:i/>
              </w:rPr>
              <w:t>Hospitals (Services Charges for Compensable Patients) Determination Amendment Notice (No. 2) 2011</w:t>
            </w:r>
            <w:r>
              <w:t xml:space="preserve"> </w:t>
            </w:r>
          </w:p>
        </w:tc>
        <w:tc>
          <w:tcPr>
            <w:tcW w:w="1276" w:type="dxa"/>
          </w:tcPr>
          <w:p>
            <w:pPr>
              <w:pStyle w:val="nTable"/>
            </w:pPr>
            <w:r>
              <w:t>3 Jun 2011 p. 1978-9</w:t>
            </w:r>
          </w:p>
        </w:tc>
        <w:tc>
          <w:tcPr>
            <w:tcW w:w="2693" w:type="dxa"/>
          </w:tcPr>
          <w:p>
            <w:pPr>
              <w:pStyle w:val="nTable"/>
              <w:rPr>
                <w:snapToGrid w:val="0"/>
              </w:rPr>
            </w:pPr>
            <w:r>
              <w:t>cl. 1 and 2: 3 Jun 2011 (see cl. 2(a));</w:t>
            </w:r>
            <w:r>
              <w:br/>
              <w:t>Notice other than cl. 1 and 2: 1 Jul 2011 (see cl. 2(b))</w:t>
            </w:r>
          </w:p>
        </w:tc>
      </w:tr>
      <w:tr>
        <w:tc>
          <w:tcPr>
            <w:tcW w:w="3118" w:type="dxa"/>
          </w:tcPr>
          <w:p>
            <w:pPr>
              <w:pStyle w:val="nTable"/>
              <w:rPr>
                <w:i/>
              </w:rPr>
            </w:pPr>
            <w:r>
              <w:rPr>
                <w:i/>
              </w:rPr>
              <w:t>Hospitals (Services Charges for Compensable Patients) Determination Amendment Notice (No. 4) 2011</w:t>
            </w:r>
          </w:p>
        </w:tc>
        <w:tc>
          <w:tcPr>
            <w:tcW w:w="1276" w:type="dxa"/>
          </w:tcPr>
          <w:p>
            <w:pPr>
              <w:pStyle w:val="nTable"/>
            </w:pPr>
            <w:r>
              <w:t>30 Dec 2011 p. 5576-7</w:t>
            </w:r>
          </w:p>
        </w:tc>
        <w:tc>
          <w:tcPr>
            <w:tcW w:w="2693" w:type="dxa"/>
          </w:tcPr>
          <w:p>
            <w:pPr>
              <w:pStyle w:val="nTable"/>
            </w:pPr>
            <w:r>
              <w:t>cl. 1 and 2: 30 Dec 2011 (see cl. 2(a));</w:t>
            </w:r>
            <w:r>
              <w:br/>
              <w:t>Notice other than cl. 1 and 2: 1 Jan 2012 (see cl. 2(b))</w:t>
            </w:r>
          </w:p>
        </w:tc>
      </w:tr>
      <w:tr>
        <w:tc>
          <w:tcPr>
            <w:tcW w:w="3118" w:type="dxa"/>
          </w:tcPr>
          <w:p>
            <w:pPr>
              <w:pStyle w:val="nTable"/>
              <w:rPr>
                <w:i/>
              </w:rPr>
            </w:pPr>
            <w:r>
              <w:rPr>
                <w:i/>
              </w:rPr>
              <w:t>Hospitals (Services Charges for Compensable Patients) Determination Amendment Notice 2012</w:t>
            </w:r>
          </w:p>
        </w:tc>
        <w:tc>
          <w:tcPr>
            <w:tcW w:w="1276" w:type="dxa"/>
          </w:tcPr>
          <w:p>
            <w:pPr>
              <w:pStyle w:val="nTable"/>
            </w:pPr>
            <w:r>
              <w:t>24 Feb 2012 p. 810</w:t>
            </w:r>
          </w:p>
        </w:tc>
        <w:tc>
          <w:tcPr>
            <w:tcW w:w="2693" w:type="dxa"/>
          </w:tcPr>
          <w:p>
            <w:pPr>
              <w:pStyle w:val="nTable"/>
            </w:pPr>
            <w:r>
              <w:t>cl. 1 and 2: 24 Feb 2012 (see cl. 2(a));</w:t>
            </w:r>
            <w:r>
              <w:br/>
              <w:t>Notice other than cl. 1 and 2: 25 Feb 2012 (see cl. 2(b))</w:t>
            </w:r>
          </w:p>
        </w:tc>
      </w:tr>
      <w:tr>
        <w:tc>
          <w:tcPr>
            <w:tcW w:w="3118" w:type="dxa"/>
          </w:tcPr>
          <w:p>
            <w:pPr>
              <w:pStyle w:val="nTable"/>
              <w:rPr>
                <w:i/>
              </w:rPr>
            </w:pPr>
            <w:r>
              <w:rPr>
                <w:i/>
              </w:rPr>
              <w:t>Hospitals (Services Charges for Compensable Patients) Amendment Determination 2012</w:t>
            </w:r>
          </w:p>
        </w:tc>
        <w:tc>
          <w:tcPr>
            <w:tcW w:w="1276" w:type="dxa"/>
          </w:tcPr>
          <w:p>
            <w:pPr>
              <w:pStyle w:val="nTable"/>
            </w:pPr>
            <w:r>
              <w:t>15 Jun 2012 p. 2518-19</w:t>
            </w:r>
          </w:p>
        </w:tc>
        <w:tc>
          <w:tcPr>
            <w:tcW w:w="2693" w:type="dxa"/>
          </w:tcPr>
          <w:p>
            <w:pPr>
              <w:pStyle w:val="nTable"/>
            </w:pPr>
            <w:r>
              <w:rPr>
                <w:snapToGrid w:val="0"/>
              </w:rPr>
              <w:t>cl. 1 and 2: 15 Jun 2012 (see cl. 2(a));</w:t>
            </w:r>
            <w:r>
              <w:rPr>
                <w:snapToGrid w:val="0"/>
              </w:rPr>
              <w:br/>
              <w:t>Determination other than cl. 1 and 2: 1 Jul 2012 (see cl. 2(b))</w:t>
            </w:r>
          </w:p>
        </w:tc>
      </w:tr>
      <w:tr>
        <w:tc>
          <w:tcPr>
            <w:tcW w:w="3118" w:type="dxa"/>
          </w:tcPr>
          <w:p>
            <w:pPr>
              <w:pStyle w:val="nTable"/>
              <w:rPr>
                <w:i/>
              </w:rPr>
            </w:pPr>
            <w:r>
              <w:rPr>
                <w:i/>
              </w:rPr>
              <w:t>Hospitals (Services Charges for Compensable Patients) Amendment Determination (No. 2) 2012</w:t>
            </w:r>
          </w:p>
        </w:tc>
        <w:tc>
          <w:tcPr>
            <w:tcW w:w="1276" w:type="dxa"/>
          </w:tcPr>
          <w:p>
            <w:pPr>
              <w:pStyle w:val="nTable"/>
            </w:pPr>
            <w:r>
              <w:t>4 Jan 2013 p. 5</w:t>
            </w:r>
          </w:p>
        </w:tc>
        <w:tc>
          <w:tcPr>
            <w:tcW w:w="2693" w:type="dxa"/>
          </w:tcPr>
          <w:p>
            <w:pPr>
              <w:pStyle w:val="nTable"/>
              <w:rPr>
                <w:snapToGrid w:val="0"/>
              </w:rPr>
            </w:pPr>
            <w:r>
              <w:rPr>
                <w:snapToGrid w:val="0"/>
              </w:rPr>
              <w:t>cl. 1 and 2: 4 Jan 2013 (see cl. 2(a));</w:t>
            </w:r>
            <w:r>
              <w:rPr>
                <w:snapToGrid w:val="0"/>
              </w:rPr>
              <w:br/>
              <w:t>Determination other than cl. 1 and 2: 5 Jan 2013 (see cl. 2(b))</w:t>
            </w:r>
          </w:p>
        </w:tc>
      </w:tr>
      <w:tr>
        <w:tc>
          <w:tcPr>
            <w:tcW w:w="3118" w:type="dxa"/>
          </w:tcPr>
          <w:p>
            <w:pPr>
              <w:pStyle w:val="nTable"/>
              <w:rPr>
                <w:i/>
              </w:rPr>
            </w:pPr>
            <w:r>
              <w:rPr>
                <w:i/>
              </w:rPr>
              <w:t>Hospitals (Services Charges for Compensable Patients) Amendment Determination 2013</w:t>
            </w:r>
          </w:p>
        </w:tc>
        <w:tc>
          <w:tcPr>
            <w:tcW w:w="1276" w:type="dxa"/>
          </w:tcPr>
          <w:p>
            <w:pPr>
              <w:pStyle w:val="nTable"/>
            </w:pPr>
            <w:r>
              <w:t>28 Jun 2013 p. 2754-5</w:t>
            </w:r>
          </w:p>
        </w:tc>
        <w:tc>
          <w:tcPr>
            <w:tcW w:w="2693" w:type="dxa"/>
          </w:tcPr>
          <w:p>
            <w:pPr>
              <w:pStyle w:val="nTable"/>
              <w:rPr>
                <w:snapToGrid w:val="0"/>
              </w:rPr>
            </w:pPr>
            <w:r>
              <w:rPr>
                <w:snapToGrid w:val="0"/>
              </w:rPr>
              <w:t>cl. 1 and 2: 28 Jun 2013 (see cl. 2(a));</w:t>
            </w:r>
            <w:r>
              <w:rPr>
                <w:snapToGrid w:val="0"/>
              </w:rPr>
              <w:br/>
              <w:t>Determination other than cl. 1 and 2: 1 Jul 2013 (see cl. 2(b))</w:t>
            </w:r>
          </w:p>
        </w:tc>
      </w:tr>
      <w:tr>
        <w:tc>
          <w:tcPr>
            <w:tcW w:w="3118" w:type="dxa"/>
          </w:tcPr>
          <w:p>
            <w:pPr>
              <w:pStyle w:val="nTable"/>
              <w:rPr>
                <w:i/>
              </w:rPr>
            </w:pPr>
            <w:r>
              <w:rPr>
                <w:i/>
              </w:rPr>
              <w:t>Hospitals (Services Charges for Compensable Patients) Amendment Determination 2014</w:t>
            </w:r>
          </w:p>
        </w:tc>
        <w:tc>
          <w:tcPr>
            <w:tcW w:w="1276" w:type="dxa"/>
          </w:tcPr>
          <w:p>
            <w:pPr>
              <w:pStyle w:val="nTable"/>
            </w:pPr>
            <w:r>
              <w:t>28 Jan 2014 p. 180</w:t>
            </w:r>
            <w:r>
              <w:noBreakHyphen/>
              <w:t>1</w:t>
            </w:r>
          </w:p>
        </w:tc>
        <w:tc>
          <w:tcPr>
            <w:tcW w:w="2693" w:type="dxa"/>
          </w:tcPr>
          <w:p>
            <w:pPr>
              <w:pStyle w:val="nTable"/>
              <w:rPr>
                <w:snapToGrid w:val="0"/>
              </w:rPr>
            </w:pPr>
            <w:r>
              <w:rPr>
                <w:rFonts w:ascii="Times" w:hAnsi="Times"/>
                <w:bCs/>
                <w:snapToGrid w:val="0"/>
                <w:spacing w:val="-2"/>
              </w:rPr>
              <w:t>cl. 1 and 2: 28 Jan 2014 (see cl. 2(a));</w:t>
            </w:r>
            <w:r>
              <w:rPr>
                <w:rFonts w:ascii="Times" w:hAnsi="Times"/>
                <w:bCs/>
                <w:snapToGrid w:val="0"/>
                <w:spacing w:val="-2"/>
              </w:rPr>
              <w:br/>
              <w:t>Determination other than cl. 1 and 2: 29 Jan 2014 (see cl. 2(b))</w:t>
            </w:r>
          </w:p>
        </w:tc>
      </w:tr>
      <w:tr>
        <w:tc>
          <w:tcPr>
            <w:tcW w:w="3118" w:type="dxa"/>
          </w:tcPr>
          <w:p>
            <w:pPr>
              <w:pStyle w:val="nTable"/>
            </w:pPr>
            <w:r>
              <w:rPr>
                <w:i/>
              </w:rPr>
              <w:t>Hospitals (Services Charges for Compensable Patients) Amendment Determination (No. 2) 2014</w:t>
            </w:r>
          </w:p>
        </w:tc>
        <w:tc>
          <w:tcPr>
            <w:tcW w:w="1276" w:type="dxa"/>
          </w:tcPr>
          <w:p>
            <w:pPr>
              <w:pStyle w:val="nTable"/>
            </w:pPr>
            <w:r>
              <w:t>13 Jun 2014 p. 1896</w:t>
            </w:r>
          </w:p>
        </w:tc>
        <w:tc>
          <w:tcPr>
            <w:tcW w:w="2693" w:type="dxa"/>
          </w:tcPr>
          <w:p>
            <w:pPr>
              <w:pStyle w:val="nTable"/>
              <w:rPr>
                <w:rFonts w:ascii="Times" w:hAnsi="Times"/>
                <w:bCs/>
                <w:snapToGrid w:val="0"/>
                <w:spacing w:val="-2"/>
              </w:rPr>
            </w:pPr>
            <w:r>
              <w:rPr>
                <w:rFonts w:ascii="Times" w:hAnsi="Times"/>
                <w:bCs/>
                <w:snapToGrid w:val="0"/>
                <w:spacing w:val="-2"/>
              </w:rPr>
              <w:t>cl. 1 and 2: 13 Jun 2014 (see cl. 2(a));</w:t>
            </w:r>
            <w:r>
              <w:rPr>
                <w:rFonts w:ascii="Times" w:hAnsi="Times"/>
                <w:bCs/>
                <w:snapToGrid w:val="0"/>
                <w:spacing w:val="-2"/>
              </w:rPr>
              <w:br/>
              <w:t xml:space="preserve">Determination other than cl. 1 and 2: </w:t>
            </w:r>
            <w:r>
              <w:t>1 Jul 2014 (see cl. 2(b))</w:t>
            </w:r>
          </w:p>
        </w:tc>
      </w:tr>
      <w:tr>
        <w:tc>
          <w:tcPr>
            <w:tcW w:w="3118" w:type="dxa"/>
          </w:tcPr>
          <w:p>
            <w:pPr>
              <w:pStyle w:val="nTable"/>
              <w:keepNext/>
              <w:rPr>
                <w:i/>
              </w:rPr>
            </w:pPr>
            <w:r>
              <w:rPr>
                <w:i/>
              </w:rPr>
              <w:t>Hospitals (Services Charges for Compensable Patients) Amendment Determination (No. 3) 2014</w:t>
            </w:r>
          </w:p>
        </w:tc>
        <w:tc>
          <w:tcPr>
            <w:tcW w:w="1276" w:type="dxa"/>
          </w:tcPr>
          <w:p>
            <w:pPr>
              <w:pStyle w:val="nTable"/>
              <w:keepNext/>
            </w:pPr>
            <w:r>
              <w:t>21 Oct 2014 p. 4075</w:t>
            </w:r>
          </w:p>
        </w:tc>
        <w:tc>
          <w:tcPr>
            <w:tcW w:w="2693" w:type="dxa"/>
          </w:tcPr>
          <w:p>
            <w:pPr>
              <w:pStyle w:val="nTable"/>
              <w:keepNext/>
              <w:rPr>
                <w:rFonts w:ascii="Times" w:hAnsi="Times"/>
                <w:bCs/>
                <w:snapToGrid w:val="0"/>
                <w:spacing w:val="-2"/>
              </w:rPr>
            </w:pPr>
            <w:r>
              <w:rPr>
                <w:rFonts w:ascii="Times" w:hAnsi="Times"/>
                <w:bCs/>
                <w:snapToGrid w:val="0"/>
                <w:spacing w:val="-2"/>
              </w:rPr>
              <w:t>cl. 1 and 2: 21 Oct 2014 (see cl. 2(a));</w:t>
            </w:r>
            <w:r>
              <w:rPr>
                <w:rFonts w:ascii="Times" w:hAnsi="Times"/>
                <w:bCs/>
                <w:snapToGrid w:val="0"/>
                <w:spacing w:val="-2"/>
              </w:rPr>
              <w:br/>
              <w:t>Determination other than cl. 1 and 2: 22</w:t>
            </w:r>
            <w:r>
              <w:t xml:space="preserve"> Oct 2014 (see cl. 2(b))</w:t>
            </w:r>
          </w:p>
        </w:tc>
      </w:tr>
      <w:tr>
        <w:tc>
          <w:tcPr>
            <w:tcW w:w="3118" w:type="dxa"/>
          </w:tcPr>
          <w:p>
            <w:pPr>
              <w:pStyle w:val="nTable"/>
              <w:rPr>
                <w:i/>
              </w:rPr>
            </w:pPr>
            <w:r>
              <w:rPr>
                <w:i/>
              </w:rPr>
              <w:t>Hospitals (Services Charges for Compensable Patients) Amendment Determination 2015</w:t>
            </w:r>
          </w:p>
        </w:tc>
        <w:tc>
          <w:tcPr>
            <w:tcW w:w="1276" w:type="dxa"/>
          </w:tcPr>
          <w:p>
            <w:pPr>
              <w:pStyle w:val="nTable"/>
              <w:keepNext/>
            </w:pPr>
            <w:r>
              <w:t>23 Jan 2015 p. 409</w:t>
            </w:r>
          </w:p>
        </w:tc>
        <w:tc>
          <w:tcPr>
            <w:tcW w:w="2693" w:type="dxa"/>
          </w:tcPr>
          <w:p>
            <w:pPr>
              <w:pStyle w:val="nTable"/>
              <w:keepNext/>
              <w:rPr>
                <w:rFonts w:ascii="Times" w:hAnsi="Times"/>
                <w:bCs/>
                <w:snapToGrid w:val="0"/>
                <w:spacing w:val="-2"/>
              </w:rPr>
            </w:pPr>
            <w:r>
              <w:rPr>
                <w:rFonts w:ascii="Times" w:hAnsi="Times"/>
                <w:bCs/>
                <w:snapToGrid w:val="0"/>
                <w:spacing w:val="-2"/>
              </w:rPr>
              <w:t>cl. 1 and 2: 23 Jan 2015 (see cl. 2(a));</w:t>
            </w:r>
            <w:r>
              <w:rPr>
                <w:rFonts w:ascii="Times" w:hAnsi="Times"/>
                <w:bCs/>
                <w:snapToGrid w:val="0"/>
                <w:spacing w:val="-2"/>
              </w:rPr>
              <w:br/>
              <w:t>Determination other than cl. 1 and 2: 24</w:t>
            </w:r>
            <w:r>
              <w:t xml:space="preserve"> Jan 2015 (see cl. 2(b))</w:t>
            </w:r>
          </w:p>
        </w:tc>
      </w:tr>
      <w:tr>
        <w:tc>
          <w:tcPr>
            <w:tcW w:w="3118" w:type="dxa"/>
          </w:tcPr>
          <w:p>
            <w:pPr>
              <w:pStyle w:val="nTable"/>
              <w:rPr>
                <w:i/>
              </w:rPr>
            </w:pPr>
            <w:r>
              <w:rPr>
                <w:i/>
              </w:rPr>
              <w:t>Hospitals (Services Charges for Compensable Patients) Amendment Determination (No. 2) 2015</w:t>
            </w:r>
          </w:p>
        </w:tc>
        <w:tc>
          <w:tcPr>
            <w:tcW w:w="1276" w:type="dxa"/>
          </w:tcPr>
          <w:p>
            <w:pPr>
              <w:pStyle w:val="nTable"/>
              <w:keepNext/>
            </w:pPr>
            <w:r>
              <w:t>2 Jun 2015 p. 1941</w:t>
            </w:r>
            <w:r>
              <w:noBreakHyphen/>
              <w:t>2</w:t>
            </w:r>
          </w:p>
        </w:tc>
        <w:tc>
          <w:tcPr>
            <w:tcW w:w="2693" w:type="dxa"/>
          </w:tcPr>
          <w:p>
            <w:pPr>
              <w:pStyle w:val="nTable"/>
              <w:keepNext/>
              <w:rPr>
                <w:rFonts w:ascii="Times" w:hAnsi="Times"/>
                <w:bCs/>
                <w:snapToGrid w:val="0"/>
                <w:spacing w:val="-2"/>
              </w:rPr>
            </w:pPr>
            <w:r>
              <w:rPr>
                <w:rFonts w:ascii="Times" w:hAnsi="Times"/>
                <w:bCs/>
                <w:snapToGrid w:val="0"/>
                <w:spacing w:val="-2"/>
              </w:rPr>
              <w:t xml:space="preserve">cl. 1 and 2: </w:t>
            </w:r>
            <w:r>
              <w:t>2 Jun 2015</w:t>
            </w:r>
            <w:r>
              <w:rPr>
                <w:rFonts w:ascii="Times" w:hAnsi="Times"/>
                <w:bCs/>
                <w:snapToGrid w:val="0"/>
                <w:spacing w:val="-2"/>
              </w:rPr>
              <w:t xml:space="preserve"> (see cl. 2(a));</w:t>
            </w:r>
            <w:r>
              <w:rPr>
                <w:rFonts w:ascii="Times" w:hAnsi="Times"/>
                <w:bCs/>
                <w:snapToGrid w:val="0"/>
                <w:spacing w:val="-2"/>
              </w:rPr>
              <w:br/>
              <w:t xml:space="preserve">Determination other than cl. 1 and 2: </w:t>
            </w:r>
            <w:r>
              <w:t>1 Jul 2015 (see cl. 2(b))</w:t>
            </w:r>
          </w:p>
        </w:tc>
      </w:tr>
      <w:tr>
        <w:tc>
          <w:tcPr>
            <w:tcW w:w="3118" w:type="dxa"/>
            <w:tcBorders>
              <w:bottom w:val="single" w:sz="4" w:space="0" w:color="auto"/>
            </w:tcBorders>
          </w:tcPr>
          <w:p>
            <w:pPr>
              <w:pStyle w:val="nTable"/>
              <w:rPr>
                <w:i/>
              </w:rPr>
            </w:pPr>
            <w:r>
              <w:rPr>
                <w:i/>
              </w:rPr>
              <w:t>Hospitals (Services Charges for Compensable Patients) Amendment Determination (No. 3) 2015</w:t>
            </w:r>
          </w:p>
        </w:tc>
        <w:tc>
          <w:tcPr>
            <w:tcW w:w="1276" w:type="dxa"/>
            <w:tcBorders>
              <w:bottom w:val="single" w:sz="4" w:space="0" w:color="auto"/>
            </w:tcBorders>
          </w:tcPr>
          <w:p>
            <w:pPr>
              <w:pStyle w:val="nTable"/>
              <w:keepNext/>
            </w:pPr>
            <w:r>
              <w:t>12 Jan 2016 p. 44</w:t>
            </w:r>
          </w:p>
        </w:tc>
        <w:tc>
          <w:tcPr>
            <w:tcW w:w="2693" w:type="dxa"/>
            <w:tcBorders>
              <w:bottom w:val="single" w:sz="4" w:space="0" w:color="auto"/>
            </w:tcBorders>
          </w:tcPr>
          <w:p>
            <w:pPr>
              <w:pStyle w:val="nTable"/>
              <w:keepNext/>
              <w:rPr>
                <w:rFonts w:ascii="Times" w:hAnsi="Times"/>
                <w:bCs/>
                <w:snapToGrid w:val="0"/>
                <w:spacing w:val="-2"/>
              </w:rPr>
            </w:pPr>
            <w:r>
              <w:rPr>
                <w:rFonts w:ascii="Times" w:hAnsi="Times"/>
                <w:bCs/>
                <w:snapToGrid w:val="0"/>
                <w:spacing w:val="-2"/>
              </w:rPr>
              <w:t>cl. 1 and 2: 1</w:t>
            </w:r>
            <w:r>
              <w:t>2 Jan 2016</w:t>
            </w:r>
            <w:r>
              <w:rPr>
                <w:rFonts w:ascii="Times" w:hAnsi="Times"/>
                <w:bCs/>
                <w:snapToGrid w:val="0"/>
                <w:spacing w:val="-2"/>
              </w:rPr>
              <w:t xml:space="preserve"> (see cl. 2(a));</w:t>
            </w:r>
            <w:r>
              <w:rPr>
                <w:rFonts w:ascii="Times" w:hAnsi="Times"/>
                <w:bCs/>
                <w:snapToGrid w:val="0"/>
                <w:spacing w:val="-2"/>
              </w:rPr>
              <w:br/>
              <w:t xml:space="preserve">Determination other than cl. 1 and 2: </w:t>
            </w:r>
            <w:r>
              <w:t>13 Jan 2016 (see cl. 2(b))</w:t>
            </w:r>
          </w:p>
        </w:tc>
      </w:tr>
    </w:tbl>
    <w:p>
      <w:pPr>
        <w:pStyle w:val="nSubsection"/>
        <w:spacing w:before="360"/>
        <w:ind w:left="482" w:hanging="482"/>
        <w:rPr>
          <w:ins w:id="37" w:author="Master Repository Process" w:date="2021-08-28T17:58:00Z"/>
        </w:rPr>
      </w:pPr>
      <w:ins w:id="38" w:author="Master Repository Process" w:date="2021-08-28T17:58: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Master Repository Process" w:date="2021-08-28T17:58:00Z"/>
          <w:snapToGrid w:val="0"/>
        </w:rPr>
      </w:pPr>
      <w:bookmarkStart w:id="40" w:name="_Toc402966387"/>
      <w:bookmarkStart w:id="41" w:name="_Toc436042042"/>
      <w:bookmarkStart w:id="42" w:name="_Toc452373592"/>
      <w:ins w:id="43" w:author="Master Repository Process" w:date="2021-08-28T17:58:00Z">
        <w:r>
          <w:rPr>
            <w:snapToGrid w:val="0"/>
          </w:rPr>
          <w:t>Provisions that have not come into operation</w:t>
        </w:r>
        <w:bookmarkEnd w:id="40"/>
        <w:bookmarkEnd w:id="41"/>
        <w:bookmarkEnd w:id="42"/>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44" w:author="Master Repository Process" w:date="2021-08-28T17:58:00Z"/>
        </w:trPr>
        <w:tc>
          <w:tcPr>
            <w:tcW w:w="2267" w:type="dxa"/>
            <w:tcBorders>
              <w:top w:val="single" w:sz="8" w:space="0" w:color="auto"/>
              <w:bottom w:val="single" w:sz="8" w:space="0" w:color="auto"/>
            </w:tcBorders>
          </w:tcPr>
          <w:p>
            <w:pPr>
              <w:pStyle w:val="nTable"/>
              <w:keepNext/>
              <w:spacing w:after="40"/>
              <w:ind w:right="113"/>
              <w:rPr>
                <w:ins w:id="45" w:author="Master Repository Process" w:date="2021-08-28T17:58:00Z"/>
                <w:b/>
              </w:rPr>
            </w:pPr>
            <w:ins w:id="46" w:author="Master Repository Process" w:date="2021-08-28T17:58:00Z">
              <w:r>
                <w:rPr>
                  <w:b/>
                </w:rPr>
                <w:t>Short title</w:t>
              </w:r>
            </w:ins>
          </w:p>
        </w:tc>
        <w:tc>
          <w:tcPr>
            <w:tcW w:w="1134" w:type="dxa"/>
            <w:tcBorders>
              <w:top w:val="single" w:sz="8" w:space="0" w:color="auto"/>
              <w:bottom w:val="single" w:sz="8" w:space="0" w:color="auto"/>
            </w:tcBorders>
          </w:tcPr>
          <w:p>
            <w:pPr>
              <w:pStyle w:val="nTable"/>
              <w:keepNext/>
              <w:spacing w:after="40"/>
              <w:rPr>
                <w:ins w:id="47" w:author="Master Repository Process" w:date="2021-08-28T17:58:00Z"/>
                <w:b/>
              </w:rPr>
            </w:pPr>
            <w:ins w:id="48" w:author="Master Repository Process" w:date="2021-08-28T17:58:00Z">
              <w:r>
                <w:rPr>
                  <w:b/>
                </w:rPr>
                <w:t>Number and year</w:t>
              </w:r>
            </w:ins>
          </w:p>
        </w:tc>
        <w:tc>
          <w:tcPr>
            <w:tcW w:w="1135" w:type="dxa"/>
            <w:tcBorders>
              <w:top w:val="single" w:sz="8" w:space="0" w:color="auto"/>
              <w:bottom w:val="single" w:sz="8" w:space="0" w:color="auto"/>
            </w:tcBorders>
          </w:tcPr>
          <w:p>
            <w:pPr>
              <w:pStyle w:val="nTable"/>
              <w:keepNext/>
              <w:spacing w:after="40"/>
              <w:rPr>
                <w:ins w:id="49" w:author="Master Repository Process" w:date="2021-08-28T17:58:00Z"/>
                <w:b/>
              </w:rPr>
            </w:pPr>
            <w:ins w:id="50" w:author="Master Repository Process" w:date="2021-08-28T17:58:00Z">
              <w:r>
                <w:rPr>
                  <w:b/>
                </w:rPr>
                <w:t>Assent</w:t>
              </w:r>
            </w:ins>
          </w:p>
        </w:tc>
        <w:tc>
          <w:tcPr>
            <w:tcW w:w="2659" w:type="dxa"/>
            <w:tcBorders>
              <w:top w:val="single" w:sz="8" w:space="0" w:color="auto"/>
              <w:bottom w:val="single" w:sz="8" w:space="0" w:color="auto"/>
            </w:tcBorders>
          </w:tcPr>
          <w:p>
            <w:pPr>
              <w:pStyle w:val="nTable"/>
              <w:keepNext/>
              <w:spacing w:after="40"/>
              <w:rPr>
                <w:ins w:id="51" w:author="Master Repository Process" w:date="2021-08-28T17:58:00Z"/>
                <w:b/>
              </w:rPr>
            </w:pPr>
            <w:ins w:id="52" w:author="Master Repository Process" w:date="2021-08-28T17:58:00Z">
              <w:r>
                <w:rPr>
                  <w:b/>
                </w:rPr>
                <w:t>Commencement</w:t>
              </w:r>
            </w:ins>
          </w:p>
        </w:tc>
      </w:tr>
      <w:tr>
        <w:trPr>
          <w:cantSplit/>
          <w:ins w:id="53" w:author="Master Repository Process" w:date="2021-08-28T17:58:00Z"/>
        </w:trPr>
        <w:tc>
          <w:tcPr>
            <w:tcW w:w="2267" w:type="dxa"/>
            <w:tcBorders>
              <w:bottom w:val="single" w:sz="4" w:space="0" w:color="auto"/>
            </w:tcBorders>
          </w:tcPr>
          <w:p>
            <w:pPr>
              <w:pStyle w:val="nTable"/>
              <w:spacing w:after="40"/>
              <w:rPr>
                <w:ins w:id="54" w:author="Master Repository Process" w:date="2021-08-28T17:58:00Z"/>
                <w:snapToGrid w:val="0"/>
              </w:rPr>
            </w:pPr>
            <w:ins w:id="55" w:author="Master Repository Process" w:date="2021-08-28T17:58:00Z">
              <w:r>
                <w:rPr>
                  <w:i/>
                  <w:snapToGrid w:val="0"/>
                </w:rPr>
                <w:t>Health Services Act 2016</w:t>
              </w:r>
              <w:r>
                <w:rPr>
                  <w:snapToGrid w:val="0"/>
                </w:rPr>
                <w:t xml:space="preserve"> s. 308(c)</w:t>
              </w:r>
              <w:r>
                <w:rPr>
                  <w:snapToGrid w:val="0"/>
                  <w:vertAlign w:val="superscript"/>
                </w:rPr>
                <w:t> 2</w:t>
              </w:r>
            </w:ins>
          </w:p>
        </w:tc>
        <w:tc>
          <w:tcPr>
            <w:tcW w:w="1134" w:type="dxa"/>
            <w:tcBorders>
              <w:bottom w:val="single" w:sz="4" w:space="0" w:color="auto"/>
            </w:tcBorders>
          </w:tcPr>
          <w:p>
            <w:pPr>
              <w:pStyle w:val="nTable"/>
              <w:keepNext/>
              <w:spacing w:after="40"/>
              <w:rPr>
                <w:ins w:id="56" w:author="Master Repository Process" w:date="2021-08-28T17:58:00Z"/>
              </w:rPr>
            </w:pPr>
            <w:ins w:id="57" w:author="Master Repository Process" w:date="2021-08-28T17:58:00Z">
              <w:r>
                <w:t>11 of 2016</w:t>
              </w:r>
            </w:ins>
          </w:p>
        </w:tc>
        <w:tc>
          <w:tcPr>
            <w:tcW w:w="1135" w:type="dxa"/>
            <w:tcBorders>
              <w:bottom w:val="single" w:sz="4" w:space="0" w:color="auto"/>
            </w:tcBorders>
          </w:tcPr>
          <w:p>
            <w:pPr>
              <w:pStyle w:val="nTable"/>
              <w:keepNext/>
              <w:spacing w:after="40"/>
              <w:rPr>
                <w:ins w:id="58" w:author="Master Repository Process" w:date="2021-08-28T17:58:00Z"/>
              </w:rPr>
            </w:pPr>
            <w:ins w:id="59" w:author="Master Repository Process" w:date="2021-08-28T17:58:00Z">
              <w:r>
                <w:t>26 May 2016</w:t>
              </w:r>
            </w:ins>
          </w:p>
        </w:tc>
        <w:tc>
          <w:tcPr>
            <w:tcW w:w="2659" w:type="dxa"/>
            <w:tcBorders>
              <w:bottom w:val="single" w:sz="4" w:space="0" w:color="auto"/>
            </w:tcBorders>
          </w:tcPr>
          <w:p>
            <w:pPr>
              <w:pStyle w:val="nTable"/>
              <w:keepNext/>
              <w:spacing w:after="40"/>
              <w:rPr>
                <w:ins w:id="60" w:author="Master Repository Process" w:date="2021-08-28T17:58:00Z"/>
              </w:rPr>
            </w:pPr>
            <w:ins w:id="61" w:author="Master Repository Process" w:date="2021-08-28T17:58:00Z">
              <w:r>
                <w:t>To be proclaimed (see s. 2(b))</w:t>
              </w:r>
            </w:ins>
          </w:p>
        </w:tc>
      </w:tr>
    </w:tbl>
    <w:p>
      <w:pPr>
        <w:pStyle w:val="nSubsection"/>
        <w:spacing w:before="200"/>
        <w:rPr>
          <w:ins w:id="62" w:author="Master Repository Process" w:date="2021-08-28T17:58:00Z"/>
          <w:snapToGrid w:val="0"/>
        </w:rPr>
      </w:pPr>
      <w:ins w:id="63" w:author="Master Repository Process" w:date="2021-08-28T17:58: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308(c)</w:t>
        </w:r>
        <w:r>
          <w:rPr>
            <w:i/>
          </w:rPr>
          <w:t xml:space="preserve"> </w:t>
        </w:r>
        <w:r>
          <w:rPr>
            <w:snapToGrid w:val="0"/>
          </w:rPr>
          <w:t>had not come into operation.  It reads as follows:</w:t>
        </w:r>
      </w:ins>
    </w:p>
    <w:p>
      <w:pPr>
        <w:pStyle w:val="BlankOpen"/>
        <w:rPr>
          <w:ins w:id="64" w:author="Master Repository Process" w:date="2021-08-28T17:58:00Z"/>
        </w:rPr>
      </w:pPr>
    </w:p>
    <w:p>
      <w:pPr>
        <w:pStyle w:val="nzHeading5"/>
        <w:rPr>
          <w:ins w:id="65" w:author="Master Repository Process" w:date="2021-08-28T17:58:00Z"/>
        </w:rPr>
      </w:pPr>
      <w:bookmarkStart w:id="66" w:name="_Toc451509719"/>
      <w:ins w:id="67" w:author="Master Repository Process" w:date="2021-08-28T17:58:00Z">
        <w:r>
          <w:rPr>
            <w:rStyle w:val="CharSectno"/>
          </w:rPr>
          <w:t>308</w:t>
        </w:r>
        <w:r>
          <w:t>.</w:t>
        </w:r>
        <w:r>
          <w:tab/>
          <w:t>Determinations revoked</w:t>
        </w:r>
        <w:bookmarkEnd w:id="66"/>
      </w:ins>
    </w:p>
    <w:p>
      <w:pPr>
        <w:pStyle w:val="nzSubsection"/>
        <w:rPr>
          <w:ins w:id="68" w:author="Master Repository Process" w:date="2021-08-28T17:58:00Z"/>
        </w:rPr>
      </w:pPr>
      <w:ins w:id="69" w:author="Master Repository Process" w:date="2021-08-28T17:58:00Z">
        <w:r>
          <w:tab/>
        </w:r>
        <w:r>
          <w:tab/>
          <w:t>These determinations are revoked:</w:t>
        </w:r>
      </w:ins>
    </w:p>
    <w:p>
      <w:pPr>
        <w:pStyle w:val="nzIndenta"/>
        <w:rPr>
          <w:ins w:id="70" w:author="Master Repository Process" w:date="2021-08-28T17:58:00Z"/>
        </w:rPr>
      </w:pPr>
      <w:ins w:id="71" w:author="Master Repository Process" w:date="2021-08-28T17:58:00Z">
        <w:r>
          <w:tab/>
          <w:t>(c)</w:t>
        </w:r>
        <w:r>
          <w:tab/>
        </w:r>
        <w:r>
          <w:rPr>
            <w:i/>
          </w:rPr>
          <w:t>Hospitals (Services Charges for Compensable Patients) Determination 2005</w:t>
        </w:r>
        <w:r>
          <w:t>;</w:t>
        </w:r>
      </w:ins>
    </w:p>
    <w:p>
      <w:pPr>
        <w:pStyle w:val="BlankClose"/>
        <w:rPr>
          <w:ins w:id="72" w:author="Master Repository Process" w:date="2021-08-28T17:58:00Z"/>
          <w:snapToGrid w:val="0"/>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jc w:val="right"/>
          </w:pPr>
          <w:r>
            <w:fldChar w:fldCharType="begin"/>
          </w:r>
          <w:r>
            <w:instrText xml:space="preserve"> styleref CharSchno </w:instrText>
          </w:r>
          <w:r>
            <w:fldChar w:fldCharType="end"/>
          </w:r>
        </w:p>
      </w:tc>
      <w:tc>
        <w:tcPr>
          <w:tcW w:w="5715" w:type="dxa"/>
        </w:tcPr>
        <w:p>
          <w:pPr>
            <w:pStyle w:val="Header"/>
            <w:spacing w:before="40"/>
            <w:ind w:right="17"/>
            <w:jc w:val="right"/>
          </w:pPr>
          <w:r>
            <w:rPr>
              <w:b/>
            </w:rPr>
            <w:fldChar w:fldCharType="begin"/>
          </w:r>
          <w:r>
            <w:rPr>
              <w:b/>
            </w:rPr>
            <w:instrText xml:space="preserve"> styleref CharSchText </w:instrText>
          </w:r>
          <w:r>
            <w:rPr>
              <w:b/>
            </w:rPr>
            <w:fldChar w:fldCharType="end"/>
          </w:r>
        </w:p>
      </w:tc>
    </w:tr>
    <w:tr>
      <w:tc>
        <w:tcPr>
          <w:tcW w:w="1548" w:type="dxa"/>
        </w:tcPr>
        <w:p>
          <w:pPr>
            <w:pStyle w:val="Header"/>
            <w:spacing w:before="40"/>
            <w:jc w:val="right"/>
          </w:pPr>
          <w:r>
            <w:fldChar w:fldCharType="begin"/>
          </w:r>
          <w:r>
            <w:instrText xml:space="preserve"> STYLEREF CharSDivNo \* charformat</w:instrText>
          </w:r>
          <w:r>
            <w:fldChar w:fldCharType="end"/>
          </w:r>
        </w:p>
      </w:tc>
      <w:tc>
        <w:tcPr>
          <w:tcW w:w="5715" w:type="dxa"/>
        </w:tcPr>
        <w:p>
          <w:pPr>
            <w:pStyle w:val="Header"/>
            <w:spacing w:before="40"/>
            <w:ind w:right="17"/>
            <w:jc w:val="right"/>
          </w:pPr>
          <w:r>
            <w:rPr>
              <w:b/>
            </w:rPr>
            <w:fldChar w:fldCharType="begin"/>
          </w:r>
          <w:r>
            <w:rPr>
              <w:b/>
            </w:rPr>
            <w:instrText xml:space="preserve"> styleref CharSDivText </w:instrText>
          </w:r>
          <w:r>
            <w:rPr>
              <w:b/>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4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4AFE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62F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FE48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44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88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C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24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22B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FB231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746"/>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 w:name="WAFER_20140618144815" w:val="RemoveTocBookmarks,RemoveUnusedBookmarks,RemoveLanguageTags,UsedStyles,ResetPageSize,UpdateArrangement"/>
    <w:docVar w:name="WAFER_20140618144815_GUID" w:val="d436b9a5-14f1-48cb-9435-f17f05bbd513"/>
    <w:docVar w:name="WAFER_20140630171257" w:val="RemoveTocBookmarks,RunningHeaders"/>
    <w:docVar w:name="WAFER_20140630171257_GUID" w:val="44cfe34d-fc10-47e2-85d1-6a3b0d61172d"/>
    <w:docVar w:name="WAFER_20141020102900" w:val="RemoveTocBookmarks,RunningHeaders"/>
    <w:docVar w:name="WAFER_20141020102900_GUID" w:val="dd272742-b980-4259-b584-a0e4e91ff607"/>
    <w:docVar w:name="WAFER_20150515153113" w:val="ResetPageSize,UpdateArrangement,UpdateNTable"/>
    <w:docVar w:name="WAFER_20150515153113_GUID" w:val="65e54300-bcf5-440a-a77d-298536bdf76f"/>
    <w:docVar w:name="WAFER_20151106085746" w:val="UpdateStyles,UsedStyles"/>
    <w:docVar w:name="WAFER_20151106085746_GUID" w:val="54f5dd6d-f351-457f-be6e-0e7afb501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E9B44660-BF11-4503-A133-5D1A68C6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9278</Characters>
  <Application>Microsoft Office Word</Application>
  <DocSecurity>0</DocSecurity>
  <Lines>441</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00-ac0-00 - 00-ad0-00</dc:title>
  <dc:subject/>
  <dc:creator/>
  <cp:keywords/>
  <dc:description/>
  <cp:lastModifiedBy>Master Repository Process</cp:lastModifiedBy>
  <cp:revision>2</cp:revision>
  <cp:lastPrinted>2009-06-24T04:28:00Z</cp:lastPrinted>
  <dcterms:created xsi:type="dcterms:W3CDTF">2021-08-28T09:58:00Z</dcterms:created>
  <dcterms:modified xsi:type="dcterms:W3CDTF">2021-08-28T09:58:00Z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OwlsUID">
    <vt:i4>37644</vt:i4>
  </property>
  <property fmtid="{D5CDD505-2E9C-101B-9397-08002B2CF9AE}" pid="4" name="DocumentType">
    <vt:lpwstr>Reg</vt:lpwstr>
  </property>
  <property fmtid="{D5CDD505-2E9C-101B-9397-08002B2CF9AE}" pid="5" name="CommencementDate">
    <vt:lpwstr>20160526</vt:lpwstr>
  </property>
  <property fmtid="{D5CDD505-2E9C-101B-9397-08002B2CF9AE}" pid="6" name="FromSuffix">
    <vt:lpwstr>00-ac0-00</vt:lpwstr>
  </property>
  <property fmtid="{D5CDD505-2E9C-101B-9397-08002B2CF9AE}" pid="7" name="FromAsAtDate">
    <vt:lpwstr>13 Jan 2016</vt:lpwstr>
  </property>
  <property fmtid="{D5CDD505-2E9C-101B-9397-08002B2CF9AE}" pid="8" name="ToSuffix">
    <vt:lpwstr>00-ad0-00</vt:lpwstr>
  </property>
  <property fmtid="{D5CDD505-2E9C-101B-9397-08002B2CF9AE}" pid="9" name="ToAsAtDate">
    <vt:lpwstr>26 May 2016</vt:lpwstr>
  </property>
</Properties>
</file>