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after="960"/>
      </w:pPr>
      <w:r>
        <w:t>Carers Recognition Act 2004</w:t>
      </w:r>
    </w:p>
    <w:p>
      <w:pPr>
        <w:pStyle w:val="LongTitle"/>
        <w:suppressLineNumbers/>
        <w:spacing w:before="240"/>
        <w:rPr>
          <w:snapToGrid w:val="0"/>
        </w:rPr>
      </w:pPr>
      <w:r>
        <w:rPr>
          <w:snapToGrid w:val="0"/>
        </w:rPr>
        <w:t>A</w:t>
      </w:r>
      <w:bookmarkStart w:id="1" w:name="_GoBack"/>
      <w:bookmarkEnd w:id="1"/>
      <w:r>
        <w:rPr>
          <w:snapToGrid w:val="0"/>
        </w:rPr>
        <w:t>n Act to provide for the recognition of carers by certain persons and bodies, and for related purposes.</w:t>
      </w:r>
    </w:p>
    <w:p>
      <w:pPr>
        <w:pStyle w:val="Footnotelongtitle"/>
      </w:pPr>
      <w:r>
        <w:tab/>
        <w:t>[Long title amended</w:t>
      </w:r>
      <w:del w:id="2" w:author="svcMRProcess" w:date="2019-01-18T15:01:00Z">
        <w:r>
          <w:delText xml:space="preserve"> by</w:delText>
        </w:r>
      </w:del>
      <w:ins w:id="3" w:author="svcMRProcess" w:date="2019-01-18T15:01:00Z">
        <w:r>
          <w:t>:</w:t>
        </w:r>
      </w:ins>
      <w:r>
        <w:t xml:space="preserve"> No. 33 of 2010 s. 53(2).]</w:t>
      </w:r>
    </w:p>
    <w:p>
      <w:pPr>
        <w:pStyle w:val="Heading2"/>
      </w:pPr>
      <w:bookmarkStart w:id="4" w:name="_Toc402968298"/>
      <w:bookmarkStart w:id="5" w:name="_Toc415151061"/>
      <w:bookmarkStart w:id="6" w:name="_Toc415151096"/>
      <w:bookmarkStart w:id="7" w:name="_Toc435708636"/>
      <w:bookmarkStart w:id="8" w:name="_Toc436053969"/>
      <w:bookmarkStart w:id="9" w:name="_Toc436132251"/>
      <w:bookmarkStart w:id="10" w:name="_Toc45539940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rPr>
          <w:snapToGrid w:val="0"/>
        </w:rPr>
      </w:pPr>
      <w:bookmarkStart w:id="11" w:name="_Toc402968299"/>
      <w:bookmarkStart w:id="12" w:name="_Toc455399407"/>
      <w:bookmarkStart w:id="13" w:name="_Toc436132252"/>
      <w:r>
        <w:rPr>
          <w:rStyle w:val="CharSectno"/>
        </w:rPr>
        <w:t>1</w:t>
      </w:r>
      <w:r>
        <w:rPr>
          <w:snapToGrid w:val="0"/>
        </w:rPr>
        <w:t>.</w:t>
      </w:r>
      <w:r>
        <w:rPr>
          <w:snapToGrid w:val="0"/>
        </w:rPr>
        <w:tab/>
        <w:t>Short title</w:t>
      </w:r>
      <w:bookmarkEnd w:id="11"/>
      <w:bookmarkEnd w:id="12"/>
      <w:bookmarkEnd w:id="13"/>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 </w:t>
      </w:r>
      <w:r>
        <w:rPr>
          <w:iCs/>
          <w:snapToGrid w:val="0"/>
          <w:vertAlign w:val="superscript"/>
        </w:rPr>
        <w:t>1</w:t>
      </w:r>
      <w:r>
        <w:rPr>
          <w:snapToGrid w:val="0"/>
        </w:rPr>
        <w:t xml:space="preserve">. </w:t>
      </w:r>
    </w:p>
    <w:p>
      <w:pPr>
        <w:pStyle w:val="Heading5"/>
      </w:pPr>
      <w:bookmarkStart w:id="14" w:name="_Toc402968300"/>
      <w:bookmarkStart w:id="15" w:name="_Toc455399408"/>
      <w:bookmarkStart w:id="16" w:name="_Toc436132253"/>
      <w:r>
        <w:rPr>
          <w:rStyle w:val="CharSectno"/>
        </w:rPr>
        <w:t>2</w:t>
      </w:r>
      <w:r>
        <w:t>.</w:t>
      </w:r>
      <w:r>
        <w:tab/>
        <w:t>Commencement</w:t>
      </w:r>
      <w:bookmarkEnd w:id="14"/>
      <w:bookmarkEnd w:id="15"/>
      <w:bookmarkEnd w:id="16"/>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7" w:name="_Toc402968301"/>
      <w:bookmarkStart w:id="18" w:name="_Toc455399409"/>
      <w:bookmarkStart w:id="19" w:name="_Toc436132254"/>
      <w:r>
        <w:rPr>
          <w:rStyle w:val="CharSectno"/>
        </w:rPr>
        <w:t>3</w:t>
      </w:r>
      <w:r>
        <w:t>.</w:t>
      </w:r>
      <w:r>
        <w:tab/>
        <w:t>Object of Act</w:t>
      </w:r>
      <w:bookmarkEnd w:id="17"/>
      <w:bookmarkEnd w:id="18"/>
      <w:bookmarkEnd w:id="19"/>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20" w:name="_Toc402968302"/>
      <w:bookmarkStart w:id="21" w:name="_Toc455399410"/>
      <w:bookmarkStart w:id="22" w:name="_Toc436132255"/>
      <w:r>
        <w:rPr>
          <w:rStyle w:val="CharSectno"/>
        </w:rPr>
        <w:t>4</w:t>
      </w:r>
      <w:r>
        <w:t>.</w:t>
      </w:r>
      <w:r>
        <w:tab/>
        <w:t>Terms used</w:t>
      </w:r>
      <w:bookmarkEnd w:id="20"/>
      <w:bookmarkEnd w:id="21"/>
      <w:bookmarkEnd w:id="22"/>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23" w:name="_Toc402968303"/>
      <w:bookmarkStart w:id="24" w:name="_Toc455399411"/>
      <w:bookmarkStart w:id="25" w:name="_Toc436132256"/>
      <w:r>
        <w:rPr>
          <w:rStyle w:val="CharSectno"/>
        </w:rPr>
        <w:lastRenderedPageBreak/>
        <w:t>5</w:t>
      </w:r>
      <w:r>
        <w:t>.</w:t>
      </w:r>
      <w:r>
        <w:tab/>
        <w:t>Term used: carer</w:t>
      </w:r>
      <w:bookmarkEnd w:id="23"/>
      <w:bookmarkEnd w:id="24"/>
      <w:bookmarkEnd w:id="25"/>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 or</w:t>
      </w:r>
    </w:p>
    <w:p>
      <w:pPr>
        <w:pStyle w:val="Indenta"/>
      </w:pPr>
      <w:r>
        <w:tab/>
        <w:t>(b)</w:t>
      </w:r>
      <w:r>
        <w:tab/>
        <w:t xml:space="preserve">a person who has a chronic illness, including a mental illness as defined in the </w:t>
      </w:r>
      <w:r>
        <w:rPr>
          <w:i/>
          <w:iCs/>
        </w:rPr>
        <w:t>Mental Health Act 2014</w:t>
      </w:r>
      <w:r>
        <w:rPr>
          <w:iCs/>
        </w:rPr>
        <w:t xml:space="preserve"> </w:t>
      </w:r>
      <w:r>
        <w:t>section 4</w:t>
      </w:r>
      <w:r>
        <w:rPr>
          <w:iCs/>
        </w:rPr>
        <w:t>; or</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rPr>
          <w:iCs/>
          <w:vertAlign w:val="superscript"/>
        </w:rPr>
        <w:t xml:space="preserve"> 2 </w:t>
      </w:r>
      <w:r>
        <w:t>in the administration of that Act.</w:t>
      </w:r>
    </w:p>
    <w:p>
      <w:pPr>
        <w:pStyle w:val="Footnotesection"/>
      </w:pPr>
      <w:r>
        <w:tab/>
        <w:t>[Section 5 amended</w:t>
      </w:r>
      <w:del w:id="26" w:author="svcMRProcess" w:date="2019-01-18T15:01:00Z">
        <w:r>
          <w:delText xml:space="preserve"> by</w:delText>
        </w:r>
      </w:del>
      <w:ins w:id="27" w:author="svcMRProcess" w:date="2019-01-18T15:01:00Z">
        <w:r>
          <w:t>:</w:t>
        </w:r>
      </w:ins>
      <w:r>
        <w:t xml:space="preserve"> No. 53 of 2006 s. 12(1); No. 25 of 2014 s. 37.]</w:t>
      </w:r>
    </w:p>
    <w:p>
      <w:pPr>
        <w:pStyle w:val="Heading2"/>
      </w:pPr>
      <w:bookmarkStart w:id="28" w:name="_Toc402968304"/>
      <w:bookmarkStart w:id="29" w:name="_Toc415151067"/>
      <w:bookmarkStart w:id="30" w:name="_Toc415151102"/>
      <w:bookmarkStart w:id="31" w:name="_Toc435708642"/>
      <w:bookmarkStart w:id="32" w:name="_Toc436053975"/>
      <w:bookmarkStart w:id="33" w:name="_Toc436132257"/>
      <w:bookmarkStart w:id="34" w:name="_Toc455399412"/>
      <w:r>
        <w:rPr>
          <w:rStyle w:val="CharPartNo"/>
        </w:rPr>
        <w:t>Part 2</w:t>
      </w:r>
      <w:r>
        <w:rPr>
          <w:rStyle w:val="CharDivNo"/>
        </w:rPr>
        <w:t> </w:t>
      </w:r>
      <w:r>
        <w:t>—</w:t>
      </w:r>
      <w:r>
        <w:rPr>
          <w:rStyle w:val="CharDivText"/>
        </w:rPr>
        <w:t> </w:t>
      </w:r>
      <w:r>
        <w:rPr>
          <w:rStyle w:val="CharPartText"/>
        </w:rPr>
        <w:t>Compliance with the Carers Charter</w:t>
      </w:r>
      <w:bookmarkEnd w:id="28"/>
      <w:bookmarkEnd w:id="29"/>
      <w:bookmarkEnd w:id="30"/>
      <w:bookmarkEnd w:id="31"/>
      <w:bookmarkEnd w:id="32"/>
      <w:bookmarkEnd w:id="33"/>
      <w:bookmarkEnd w:id="34"/>
    </w:p>
    <w:p>
      <w:pPr>
        <w:pStyle w:val="Heading5"/>
      </w:pPr>
      <w:bookmarkStart w:id="35" w:name="_Toc402968305"/>
      <w:bookmarkStart w:id="36" w:name="_Toc455399413"/>
      <w:bookmarkStart w:id="37" w:name="_Toc436132258"/>
      <w:r>
        <w:rPr>
          <w:rStyle w:val="CharSectno"/>
        </w:rPr>
        <w:t>6</w:t>
      </w:r>
      <w:r>
        <w:t>.</w:t>
      </w:r>
      <w:r>
        <w:tab/>
        <w:t>Applicable organisations to ensure compliance with Carers Charter</w:t>
      </w:r>
      <w:bookmarkEnd w:id="35"/>
      <w:bookmarkEnd w:id="36"/>
      <w:bookmarkEnd w:id="37"/>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38" w:name="_Toc402968306"/>
      <w:bookmarkStart w:id="39" w:name="_Toc455399414"/>
      <w:bookmarkStart w:id="40" w:name="_Toc436132259"/>
      <w:r>
        <w:rPr>
          <w:rStyle w:val="CharSectno"/>
        </w:rPr>
        <w:t>7</w:t>
      </w:r>
      <w:r>
        <w:t>.</w:t>
      </w:r>
      <w:r>
        <w:tab/>
        <w:t>Reports to Council</w:t>
      </w:r>
      <w:bookmarkEnd w:id="38"/>
      <w:bookmarkEnd w:id="39"/>
      <w:bookmarkEnd w:id="40"/>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 and</w:t>
      </w:r>
    </w:p>
    <w:p>
      <w:pPr>
        <w:pStyle w:val="Indenta"/>
      </w:pPr>
      <w:r>
        <w:tab/>
        <w:t>(b)</w:t>
      </w:r>
      <w:r>
        <w:tab/>
        <w:t>the organisation’s compliance or non</w:t>
      </w:r>
      <w:r>
        <w:noBreakHyphen/>
        <w:t>compliance with this Act; and</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41" w:name="_Toc402968307"/>
      <w:bookmarkStart w:id="42" w:name="_Toc415151070"/>
      <w:bookmarkStart w:id="43" w:name="_Toc415151105"/>
      <w:bookmarkStart w:id="44" w:name="_Toc435708645"/>
      <w:bookmarkStart w:id="45" w:name="_Toc436053978"/>
      <w:bookmarkStart w:id="46" w:name="_Toc436132260"/>
      <w:bookmarkStart w:id="47" w:name="_Toc455399415"/>
      <w:r>
        <w:rPr>
          <w:rStyle w:val="CharPartNo"/>
        </w:rPr>
        <w:t>Part 3</w:t>
      </w:r>
      <w:r>
        <w:t> — </w:t>
      </w:r>
      <w:r>
        <w:rPr>
          <w:rStyle w:val="CharPartText"/>
        </w:rPr>
        <w:t>Carers Advisory Council</w:t>
      </w:r>
      <w:bookmarkEnd w:id="41"/>
      <w:bookmarkEnd w:id="42"/>
      <w:bookmarkEnd w:id="43"/>
      <w:bookmarkEnd w:id="44"/>
      <w:bookmarkEnd w:id="45"/>
      <w:bookmarkEnd w:id="46"/>
      <w:bookmarkEnd w:id="47"/>
    </w:p>
    <w:p>
      <w:pPr>
        <w:pStyle w:val="Heading3"/>
      </w:pPr>
      <w:bookmarkStart w:id="48" w:name="_Toc402968308"/>
      <w:bookmarkStart w:id="49" w:name="_Toc415151071"/>
      <w:bookmarkStart w:id="50" w:name="_Toc415151106"/>
      <w:bookmarkStart w:id="51" w:name="_Toc435708646"/>
      <w:bookmarkStart w:id="52" w:name="_Toc436053979"/>
      <w:bookmarkStart w:id="53" w:name="_Toc436132261"/>
      <w:bookmarkStart w:id="54" w:name="_Toc455399416"/>
      <w:r>
        <w:rPr>
          <w:rStyle w:val="CharDivNo"/>
        </w:rPr>
        <w:t>Division 1</w:t>
      </w:r>
      <w:r>
        <w:t> — </w:t>
      </w:r>
      <w:r>
        <w:rPr>
          <w:rStyle w:val="CharDivText"/>
        </w:rPr>
        <w:t>Establishment and functions</w:t>
      </w:r>
      <w:bookmarkEnd w:id="48"/>
      <w:bookmarkEnd w:id="49"/>
      <w:bookmarkEnd w:id="50"/>
      <w:bookmarkEnd w:id="51"/>
      <w:bookmarkEnd w:id="52"/>
      <w:bookmarkEnd w:id="53"/>
      <w:bookmarkEnd w:id="54"/>
    </w:p>
    <w:p>
      <w:pPr>
        <w:pStyle w:val="Heading5"/>
      </w:pPr>
      <w:bookmarkStart w:id="55" w:name="_Toc402968309"/>
      <w:bookmarkStart w:id="56" w:name="_Toc455399417"/>
      <w:bookmarkStart w:id="57" w:name="_Toc436132262"/>
      <w:r>
        <w:rPr>
          <w:rStyle w:val="CharSectno"/>
        </w:rPr>
        <w:t>8</w:t>
      </w:r>
      <w:r>
        <w:t>.</w:t>
      </w:r>
      <w:r>
        <w:tab/>
        <w:t>Carers Advisory Council established</w:t>
      </w:r>
      <w:bookmarkEnd w:id="55"/>
      <w:bookmarkEnd w:id="56"/>
      <w:bookmarkEnd w:id="57"/>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the Minister administering the</w:t>
      </w:r>
      <w:r>
        <w:rPr>
          <w:i/>
        </w:rPr>
        <w:t xml:space="preserve"> </w:t>
      </w:r>
      <w:del w:id="58" w:author="svcMRProcess" w:date="2019-01-18T15:01:00Z">
        <w:r>
          <w:rPr>
            <w:i/>
          </w:rPr>
          <w:delText xml:space="preserve">Hospitals and </w:delText>
        </w:r>
      </w:del>
      <w:r>
        <w:rPr>
          <w:i/>
        </w:rPr>
        <w:t>Health Services Act </w:t>
      </w:r>
      <w:del w:id="59" w:author="svcMRProcess" w:date="2019-01-18T15:01:00Z">
        <w:r>
          <w:rPr>
            <w:i/>
          </w:rPr>
          <w:delText>1927</w:delText>
        </w:r>
      </w:del>
      <w:ins w:id="60" w:author="svcMRProcess" w:date="2019-01-18T15:01:00Z">
        <w:r>
          <w:rPr>
            <w:i/>
          </w:rPr>
          <w:t>2016</w:t>
        </w:r>
      </w:ins>
      <w:r>
        <w:t>.</w:t>
      </w:r>
    </w:p>
    <w:p>
      <w:pPr>
        <w:pStyle w:val="Footnotesection"/>
        <w:rPr>
          <w:ins w:id="61" w:author="svcMRProcess" w:date="2019-01-18T15:01:00Z"/>
        </w:rPr>
      </w:pPr>
      <w:bookmarkStart w:id="62" w:name="_Toc402968310"/>
      <w:ins w:id="63" w:author="svcMRProcess" w:date="2019-01-18T15:01:00Z">
        <w:r>
          <w:tab/>
          <w:t>[Section 8 amended: No. 11 of 2016 s. 286(2).]</w:t>
        </w:r>
      </w:ins>
    </w:p>
    <w:p>
      <w:pPr>
        <w:pStyle w:val="Heading5"/>
        <w:rPr>
          <w:snapToGrid w:val="0"/>
        </w:rPr>
      </w:pPr>
      <w:bookmarkStart w:id="64" w:name="_Toc455399418"/>
      <w:bookmarkStart w:id="65" w:name="_Toc436132263"/>
      <w:r>
        <w:rPr>
          <w:rStyle w:val="CharSectno"/>
        </w:rPr>
        <w:t>9</w:t>
      </w:r>
      <w:r>
        <w:t>.</w:t>
      </w:r>
      <w:r>
        <w:tab/>
      </w:r>
      <w:r>
        <w:rPr>
          <w:snapToGrid w:val="0"/>
        </w:rPr>
        <w:t>Functions of Council</w:t>
      </w:r>
      <w:bookmarkEnd w:id="62"/>
      <w:bookmarkEnd w:id="64"/>
      <w:bookmarkEnd w:id="65"/>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 and</w:t>
      </w:r>
    </w:p>
    <w:p>
      <w:pPr>
        <w:pStyle w:val="Indenta"/>
      </w:pPr>
      <w:r>
        <w:tab/>
        <w:t>(b)</w:t>
      </w:r>
      <w:r>
        <w:tab/>
        <w:t>to make recommendations to the Minister on fostering compliance by applicable organisations with the Carers Charter; and</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66" w:name="_Toc402968311"/>
      <w:bookmarkStart w:id="67" w:name="_Toc455399419"/>
      <w:bookmarkStart w:id="68" w:name="_Toc436132264"/>
      <w:r>
        <w:rPr>
          <w:rStyle w:val="CharSectno"/>
        </w:rPr>
        <w:t>10</w:t>
      </w:r>
      <w:r>
        <w:t>.</w:t>
      </w:r>
      <w:r>
        <w:tab/>
        <w:t>Reports to Minister</w:t>
      </w:r>
      <w:bookmarkEnd w:id="66"/>
      <w:bookmarkEnd w:id="67"/>
      <w:bookmarkEnd w:id="68"/>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 and</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69" w:name="_Toc402968312"/>
      <w:bookmarkStart w:id="70" w:name="_Toc455399420"/>
      <w:bookmarkStart w:id="71" w:name="_Toc436132265"/>
      <w:r>
        <w:rPr>
          <w:rStyle w:val="CharSectno"/>
        </w:rPr>
        <w:t>11</w:t>
      </w:r>
      <w:r>
        <w:t>.</w:t>
      </w:r>
      <w:r>
        <w:tab/>
        <w:t>Powers, generally</w:t>
      </w:r>
      <w:bookmarkEnd w:id="69"/>
      <w:bookmarkEnd w:id="70"/>
      <w:bookmarkEnd w:id="71"/>
    </w:p>
    <w:p>
      <w:pPr>
        <w:pStyle w:val="Subsection"/>
      </w:pPr>
      <w:r>
        <w:tab/>
      </w:r>
      <w:r>
        <w:tab/>
        <w:t>The Council has all the powers it needs to perform its functions.</w:t>
      </w:r>
    </w:p>
    <w:p>
      <w:pPr>
        <w:pStyle w:val="Heading5"/>
      </w:pPr>
      <w:bookmarkStart w:id="72" w:name="_Toc402968313"/>
      <w:bookmarkStart w:id="73" w:name="_Toc455399421"/>
      <w:bookmarkStart w:id="74" w:name="_Toc436132266"/>
      <w:r>
        <w:rPr>
          <w:rStyle w:val="CharSectno"/>
        </w:rPr>
        <w:t>12</w:t>
      </w:r>
      <w:r>
        <w:t>.</w:t>
      </w:r>
      <w:r>
        <w:tab/>
        <w:t>Minister may give directions</w:t>
      </w:r>
      <w:bookmarkEnd w:id="72"/>
      <w:bookmarkEnd w:id="73"/>
      <w:bookmarkEnd w:id="74"/>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w:t>
      </w:r>
      <w:del w:id="75" w:author="svcMRProcess" w:date="2019-01-18T15:01:00Z">
        <w:r>
          <w:delText xml:space="preserve"> by</w:delText>
        </w:r>
      </w:del>
      <w:ins w:id="76" w:author="svcMRProcess" w:date="2019-01-18T15:01:00Z">
        <w:r>
          <w:t>:</w:t>
        </w:r>
      </w:ins>
      <w:r>
        <w:t xml:space="preserve"> No. 5 of 2005 s. 36; No. 77 of 2006 Sch. 1 cl. 18.]</w:t>
      </w:r>
    </w:p>
    <w:p>
      <w:pPr>
        <w:pStyle w:val="Heading5"/>
      </w:pPr>
      <w:bookmarkStart w:id="77" w:name="_Toc402968314"/>
      <w:bookmarkStart w:id="78" w:name="_Toc455399422"/>
      <w:bookmarkStart w:id="79" w:name="_Toc436132267"/>
      <w:r>
        <w:rPr>
          <w:rStyle w:val="CharSectno"/>
        </w:rPr>
        <w:t>13</w:t>
      </w:r>
      <w:r>
        <w:t>.</w:t>
      </w:r>
      <w:r>
        <w:tab/>
        <w:t>Minister to have access to information</w:t>
      </w:r>
      <w:bookmarkEnd w:id="77"/>
      <w:bookmarkEnd w:id="78"/>
      <w:bookmarkEnd w:id="79"/>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80" w:name="_Toc402968315"/>
      <w:bookmarkStart w:id="81" w:name="_Toc415151078"/>
      <w:bookmarkStart w:id="82" w:name="_Toc415151113"/>
      <w:bookmarkStart w:id="83" w:name="_Toc435708653"/>
      <w:bookmarkStart w:id="84" w:name="_Toc436053986"/>
      <w:bookmarkStart w:id="85" w:name="_Toc436132268"/>
      <w:bookmarkStart w:id="86" w:name="_Toc455399423"/>
      <w:r>
        <w:rPr>
          <w:rStyle w:val="CharDivNo"/>
        </w:rPr>
        <w:t>Division 2</w:t>
      </w:r>
      <w:r>
        <w:t> — </w:t>
      </w:r>
      <w:r>
        <w:rPr>
          <w:rStyle w:val="CharDivText"/>
        </w:rPr>
        <w:t>Ancillary and procedural matters</w:t>
      </w:r>
      <w:bookmarkEnd w:id="80"/>
      <w:bookmarkEnd w:id="81"/>
      <w:bookmarkEnd w:id="82"/>
      <w:bookmarkEnd w:id="83"/>
      <w:bookmarkEnd w:id="84"/>
      <w:bookmarkEnd w:id="85"/>
      <w:bookmarkEnd w:id="86"/>
    </w:p>
    <w:p>
      <w:pPr>
        <w:pStyle w:val="Heading5"/>
        <w:rPr>
          <w:sz w:val="22"/>
        </w:rPr>
      </w:pPr>
      <w:bookmarkStart w:id="87" w:name="_Toc402968316"/>
      <w:bookmarkStart w:id="88" w:name="_Toc455399424"/>
      <w:bookmarkStart w:id="89" w:name="_Toc436132269"/>
      <w:r>
        <w:rPr>
          <w:rStyle w:val="CharSectno"/>
        </w:rPr>
        <w:t>14</w:t>
      </w:r>
      <w:r>
        <w:t>.</w:t>
      </w:r>
      <w:r>
        <w:tab/>
        <w:t>Term of office</w:t>
      </w:r>
      <w:bookmarkEnd w:id="87"/>
      <w:bookmarkEnd w:id="88"/>
      <w:bookmarkEnd w:id="89"/>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90" w:name="_Toc402968317"/>
      <w:bookmarkStart w:id="91" w:name="_Toc455399425"/>
      <w:bookmarkStart w:id="92" w:name="_Toc436132270"/>
      <w:r>
        <w:rPr>
          <w:rStyle w:val="CharSectno"/>
        </w:rPr>
        <w:t>15</w:t>
      </w:r>
      <w:r>
        <w:t>.</w:t>
      </w:r>
      <w:r>
        <w:tab/>
        <w:t>Casual vacancy</w:t>
      </w:r>
      <w:bookmarkEnd w:id="90"/>
      <w:bookmarkEnd w:id="91"/>
      <w:bookmarkEnd w:id="9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 or</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 or</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93" w:name="_Toc402968318"/>
      <w:bookmarkStart w:id="94" w:name="_Toc455399426"/>
      <w:bookmarkStart w:id="95" w:name="_Toc436132271"/>
      <w:r>
        <w:rPr>
          <w:rStyle w:val="CharSectno"/>
        </w:rPr>
        <w:t>16</w:t>
      </w:r>
      <w:r>
        <w:t>.</w:t>
      </w:r>
      <w:r>
        <w:tab/>
        <w:t>Chairman</w:t>
      </w:r>
      <w:bookmarkEnd w:id="93"/>
      <w:bookmarkEnd w:id="94"/>
      <w:bookmarkEnd w:id="95"/>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96" w:name="_Toc402968319"/>
      <w:bookmarkStart w:id="97" w:name="_Toc455399427"/>
      <w:bookmarkStart w:id="98" w:name="_Toc436132272"/>
      <w:r>
        <w:rPr>
          <w:rStyle w:val="CharSectno"/>
        </w:rPr>
        <w:t>17</w:t>
      </w:r>
      <w:r>
        <w:t>.</w:t>
      </w:r>
      <w:r>
        <w:tab/>
        <w:t>Remuneration and allowances</w:t>
      </w:r>
      <w:bookmarkEnd w:id="96"/>
      <w:bookmarkEnd w:id="97"/>
      <w:bookmarkEnd w:id="98"/>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w:t>
      </w:r>
      <w:del w:id="99" w:author="svcMRProcess" w:date="2019-01-18T15:01:00Z">
        <w:r>
          <w:delText xml:space="preserve"> by</w:delText>
        </w:r>
      </w:del>
      <w:ins w:id="100" w:author="svcMRProcess" w:date="2019-01-18T15:01:00Z">
        <w:r>
          <w:t>:</w:t>
        </w:r>
      </w:ins>
      <w:r>
        <w:t xml:space="preserve"> No. 39 of 2010 s. 89.]</w:t>
      </w:r>
    </w:p>
    <w:p>
      <w:pPr>
        <w:pStyle w:val="Heading5"/>
      </w:pPr>
      <w:bookmarkStart w:id="101" w:name="_Toc402968320"/>
      <w:bookmarkStart w:id="102" w:name="_Toc455399428"/>
      <w:bookmarkStart w:id="103" w:name="_Toc436132273"/>
      <w:r>
        <w:rPr>
          <w:rStyle w:val="CharSectno"/>
        </w:rPr>
        <w:t>18</w:t>
      </w:r>
      <w:r>
        <w:t>.</w:t>
      </w:r>
      <w:r>
        <w:tab/>
        <w:t>Who presides at meetings</w:t>
      </w:r>
      <w:bookmarkEnd w:id="101"/>
      <w:bookmarkEnd w:id="102"/>
      <w:bookmarkEnd w:id="10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04" w:name="_Toc402968321"/>
      <w:bookmarkStart w:id="105" w:name="_Toc455399429"/>
      <w:bookmarkStart w:id="106" w:name="_Toc436132274"/>
      <w:r>
        <w:rPr>
          <w:rStyle w:val="CharSectno"/>
        </w:rPr>
        <w:t>19</w:t>
      </w:r>
      <w:r>
        <w:t>.</w:t>
      </w:r>
      <w:r>
        <w:tab/>
        <w:t>Procedure at meetings</w:t>
      </w:r>
      <w:bookmarkEnd w:id="104"/>
      <w:bookmarkEnd w:id="105"/>
      <w:bookmarkEnd w:id="106"/>
    </w:p>
    <w:p>
      <w:pPr>
        <w:pStyle w:val="Subsection"/>
      </w:pPr>
      <w:r>
        <w:tab/>
      </w:r>
      <w:r>
        <w:tab/>
        <w:t>Except as otherwise stated in this Act, the Council is to determine its own meeting procedures.</w:t>
      </w:r>
    </w:p>
    <w:p>
      <w:pPr>
        <w:pStyle w:val="Heading5"/>
      </w:pPr>
      <w:bookmarkStart w:id="107" w:name="_Toc402968322"/>
      <w:bookmarkStart w:id="108" w:name="_Toc455399430"/>
      <w:bookmarkStart w:id="109" w:name="_Toc436132275"/>
      <w:r>
        <w:rPr>
          <w:rStyle w:val="CharSectno"/>
        </w:rPr>
        <w:t>20</w:t>
      </w:r>
      <w:r>
        <w:t>.</w:t>
      </w:r>
      <w:r>
        <w:tab/>
        <w:t>Minutes</w:t>
      </w:r>
      <w:bookmarkEnd w:id="107"/>
      <w:bookmarkEnd w:id="108"/>
      <w:bookmarkEnd w:id="109"/>
    </w:p>
    <w:p>
      <w:pPr>
        <w:pStyle w:val="Subsection"/>
      </w:pPr>
      <w:r>
        <w:tab/>
      </w:r>
      <w:r>
        <w:tab/>
        <w:t>The Council is to cause accurate minutes to be kept of the proceedings at its meetings.</w:t>
      </w:r>
    </w:p>
    <w:p>
      <w:pPr>
        <w:pStyle w:val="Heading2"/>
      </w:pPr>
      <w:bookmarkStart w:id="110" w:name="_Toc402968323"/>
      <w:bookmarkStart w:id="111" w:name="_Toc415151086"/>
      <w:bookmarkStart w:id="112" w:name="_Toc415151121"/>
      <w:bookmarkStart w:id="113" w:name="_Toc435708661"/>
      <w:bookmarkStart w:id="114" w:name="_Toc436053994"/>
      <w:bookmarkStart w:id="115" w:name="_Toc436132276"/>
      <w:bookmarkStart w:id="116" w:name="_Toc455399431"/>
      <w:r>
        <w:rPr>
          <w:rStyle w:val="CharPartNo"/>
        </w:rPr>
        <w:t>Part 4</w:t>
      </w:r>
      <w:r>
        <w:rPr>
          <w:rStyle w:val="CharDivNo"/>
        </w:rPr>
        <w:t> </w:t>
      </w:r>
      <w:r>
        <w:t>—</w:t>
      </w:r>
      <w:r>
        <w:rPr>
          <w:rStyle w:val="CharDivText"/>
        </w:rPr>
        <w:t> </w:t>
      </w:r>
      <w:r>
        <w:rPr>
          <w:rStyle w:val="CharPartText"/>
        </w:rPr>
        <w:t>Miscellaneous</w:t>
      </w:r>
      <w:bookmarkEnd w:id="110"/>
      <w:bookmarkEnd w:id="111"/>
      <w:bookmarkEnd w:id="112"/>
      <w:bookmarkEnd w:id="113"/>
      <w:bookmarkEnd w:id="114"/>
      <w:bookmarkEnd w:id="115"/>
      <w:bookmarkEnd w:id="116"/>
    </w:p>
    <w:p>
      <w:pPr>
        <w:pStyle w:val="Heading5"/>
      </w:pPr>
      <w:bookmarkStart w:id="117" w:name="_Toc402968324"/>
      <w:bookmarkStart w:id="118" w:name="_Toc455399432"/>
      <w:bookmarkStart w:id="119" w:name="_Toc436132277"/>
      <w:r>
        <w:rPr>
          <w:rStyle w:val="CharSectno"/>
        </w:rPr>
        <w:t>21</w:t>
      </w:r>
      <w:r>
        <w:t>.</w:t>
      </w:r>
      <w:r>
        <w:tab/>
        <w:t>Regulations</w:t>
      </w:r>
      <w:bookmarkEnd w:id="117"/>
      <w:bookmarkEnd w:id="118"/>
      <w:bookmarkEnd w:id="11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0" w:name="_Toc402968325"/>
      <w:bookmarkStart w:id="121" w:name="_Toc455399433"/>
      <w:bookmarkStart w:id="122" w:name="_Toc436132278"/>
      <w:r>
        <w:rPr>
          <w:rStyle w:val="CharSectno"/>
        </w:rPr>
        <w:t>22</w:t>
      </w:r>
      <w:r>
        <w:t>.</w:t>
      </w:r>
      <w:r>
        <w:tab/>
        <w:t>Review of Act</w:t>
      </w:r>
      <w:bookmarkEnd w:id="120"/>
      <w:bookmarkEnd w:id="121"/>
      <w:bookmarkEnd w:id="122"/>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 and</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w:t>
      </w:r>
      <w:r>
        <w:noBreakHyphen/>
        <w:t>34) deleted</w:t>
      </w:r>
      <w:del w:id="123" w:author="svcMRProcess" w:date="2019-01-18T15:01:00Z">
        <w:r>
          <w:delText xml:space="preserve"> by</w:delText>
        </w:r>
      </w:del>
      <w:ins w:id="124" w:author="svcMRProcess" w:date="2019-01-18T15:01:00Z">
        <w:r>
          <w:t>:</w:t>
        </w:r>
      </w:ins>
      <w:r>
        <w:t xml:space="preserve"> No. 33 of 2010 s. 53(3).]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5" w:name="_Toc402968326"/>
      <w:bookmarkStart w:id="126" w:name="_Toc415151089"/>
      <w:bookmarkStart w:id="127" w:name="_Toc415151124"/>
      <w:bookmarkStart w:id="128" w:name="_Toc435708664"/>
      <w:bookmarkStart w:id="129" w:name="_Toc436053997"/>
      <w:bookmarkStart w:id="130" w:name="_Toc436132279"/>
      <w:bookmarkStart w:id="131" w:name="_Toc455399434"/>
      <w:r>
        <w:rPr>
          <w:rStyle w:val="CharSchNo"/>
        </w:rPr>
        <w:t>Schedule 1</w:t>
      </w:r>
      <w:r>
        <w:t xml:space="preserve"> — </w:t>
      </w:r>
      <w:r>
        <w:rPr>
          <w:rStyle w:val="CharSchText"/>
        </w:rPr>
        <w:t>The Western Australian Carers Charter</w:t>
      </w:r>
      <w:bookmarkEnd w:id="125"/>
      <w:bookmarkEnd w:id="126"/>
      <w:bookmarkEnd w:id="127"/>
      <w:bookmarkEnd w:id="128"/>
      <w:bookmarkEnd w:id="129"/>
      <w:bookmarkEnd w:id="130"/>
      <w:bookmarkEnd w:id="13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132" w:name="_Toc402968327"/>
      <w:bookmarkStart w:id="133" w:name="_Toc415151090"/>
      <w:bookmarkStart w:id="134" w:name="_Toc415151125"/>
      <w:bookmarkStart w:id="135" w:name="_Toc435708665"/>
      <w:bookmarkStart w:id="136" w:name="_Toc436053998"/>
      <w:bookmarkStart w:id="137" w:name="_Toc436132280"/>
      <w:bookmarkStart w:id="138" w:name="_Toc455399435"/>
      <w:r>
        <w:rPr>
          <w:rStyle w:val="CharSchNo"/>
        </w:rPr>
        <w:t>Schedule 2</w:t>
      </w:r>
      <w:r>
        <w:t> — </w:t>
      </w:r>
      <w:r>
        <w:rPr>
          <w:rStyle w:val="CharSchText"/>
        </w:rPr>
        <w:t>Applicable organisations</w:t>
      </w:r>
      <w:bookmarkEnd w:id="132"/>
      <w:bookmarkEnd w:id="133"/>
      <w:bookmarkEnd w:id="134"/>
      <w:bookmarkEnd w:id="135"/>
      <w:bookmarkEnd w:id="136"/>
      <w:bookmarkEnd w:id="137"/>
      <w:bookmarkEnd w:id="138"/>
    </w:p>
    <w:p>
      <w:pPr>
        <w:pStyle w:val="yShoulderClause"/>
      </w:pPr>
      <w:r>
        <w:t>[s. 4]</w:t>
      </w:r>
    </w:p>
    <w:p>
      <w:pPr>
        <w:pStyle w:val="yHeading3"/>
        <w:rPr>
          <w:rStyle w:val="CharDivNo"/>
        </w:rPr>
      </w:pPr>
      <w:bookmarkStart w:id="139" w:name="_Toc402968328"/>
      <w:bookmarkStart w:id="140" w:name="_Toc415151091"/>
      <w:bookmarkStart w:id="141" w:name="_Toc415151126"/>
      <w:bookmarkStart w:id="142" w:name="_Toc435708666"/>
      <w:bookmarkStart w:id="143" w:name="_Toc436053999"/>
      <w:bookmarkStart w:id="144" w:name="_Toc436132281"/>
      <w:bookmarkStart w:id="145" w:name="_Toc455399436"/>
      <w:r>
        <w:rPr>
          <w:rStyle w:val="CharSDivNo"/>
        </w:rPr>
        <w:t>Division 1</w:t>
      </w:r>
      <w:r>
        <w:rPr>
          <w:rStyle w:val="CharDivNo"/>
        </w:rPr>
        <w:t> — </w:t>
      </w:r>
      <w:r>
        <w:rPr>
          <w:rStyle w:val="CharSDivText"/>
        </w:rPr>
        <w:t>Reporting organisations</w:t>
      </w:r>
      <w:bookmarkEnd w:id="139"/>
      <w:bookmarkEnd w:id="140"/>
      <w:bookmarkEnd w:id="141"/>
      <w:bookmarkEnd w:id="142"/>
      <w:bookmarkEnd w:id="143"/>
      <w:bookmarkEnd w:id="144"/>
      <w:bookmarkEnd w:id="145"/>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rPr>
          <w:ins w:id="146" w:author="svcMRProcess" w:date="2019-01-18T15:01:00Z"/>
        </w:rPr>
      </w:pPr>
      <w:r>
        <w:t>3.</w:t>
      </w:r>
      <w:r>
        <w:tab/>
        <w:t xml:space="preserve">A </w:t>
      </w:r>
      <w:del w:id="147" w:author="svcMRProcess" w:date="2019-01-18T15:01:00Z">
        <w:r>
          <w:delText xml:space="preserve">hospital board constituted under the </w:delText>
        </w:r>
        <w:r>
          <w:rPr>
            <w:i/>
          </w:rPr>
          <w:delText xml:space="preserve">Hospitals and </w:delText>
        </w:r>
      </w:del>
      <w:ins w:id="148" w:author="svcMRProcess" w:date="2019-01-18T15:01:00Z">
        <w:r>
          <w:t xml:space="preserve">health service provider as defined in the </w:t>
        </w:r>
      </w:ins>
      <w:r>
        <w:rPr>
          <w:i/>
        </w:rPr>
        <w:t>Health Services Act </w:t>
      </w:r>
      <w:del w:id="149" w:author="svcMRProcess" w:date="2019-01-18T15:01:00Z">
        <w:r>
          <w:rPr>
            <w:i/>
          </w:rPr>
          <w:delText>1927</w:delText>
        </w:r>
      </w:del>
      <w:ins w:id="150" w:author="svcMRProcess" w:date="2019-01-18T15:01:00Z">
        <w:r>
          <w:rPr>
            <w:i/>
          </w:rPr>
          <w:t>2016</w:t>
        </w:r>
      </w:ins>
      <w:r>
        <w:t xml:space="preserve"> section </w:t>
      </w:r>
      <w:del w:id="151" w:author="svcMRProcess" w:date="2019-01-18T15:01:00Z">
        <w:r>
          <w:delText>15, or</w:delText>
        </w:r>
      </w:del>
      <w:ins w:id="152" w:author="svcMRProcess" w:date="2019-01-18T15:01:00Z">
        <w:r>
          <w:t>6.</w:t>
        </w:r>
      </w:ins>
    </w:p>
    <w:p>
      <w:pPr>
        <w:pStyle w:val="yNumberedItem"/>
      </w:pPr>
      <w:ins w:id="153" w:author="svcMRProcess" w:date="2019-01-18T15:01:00Z">
        <w:r>
          <w:t>3A.</w:t>
        </w:r>
        <w:r>
          <w:tab/>
          <w:t>The chief executive officer of</w:t>
        </w:r>
      </w:ins>
      <w:r>
        <w:t xml:space="preserve"> the </w:t>
      </w:r>
      <w:del w:id="154" w:author="svcMRProcess" w:date="2019-01-18T15:01:00Z">
        <w:r>
          <w:delText>Minister in relation to any public hospital controlled by the Minister under</w:delText>
        </w:r>
      </w:del>
      <w:ins w:id="155" w:author="svcMRProcess" w:date="2019-01-18T15:01:00Z">
        <w:r>
          <w:t>department principally assisting in the administration of</w:t>
        </w:r>
      </w:ins>
      <w:r>
        <w:t xml:space="preserve"> the </w:t>
      </w:r>
      <w:del w:id="156" w:author="svcMRProcess" w:date="2019-01-18T15:01:00Z">
        <w:r>
          <w:rPr>
            <w:i/>
          </w:rPr>
          <w:delText xml:space="preserve">Hospitals and </w:delText>
        </w:r>
      </w:del>
      <w:r>
        <w:rPr>
          <w:i/>
        </w:rPr>
        <w:t>Health Services Act </w:t>
      </w:r>
      <w:del w:id="157" w:author="svcMRProcess" w:date="2019-01-18T15:01:00Z">
        <w:r>
          <w:rPr>
            <w:i/>
          </w:rPr>
          <w:delText>1927</w:delText>
        </w:r>
        <w:r>
          <w:delText xml:space="preserve"> section 7</w:delText>
        </w:r>
      </w:del>
      <w:ins w:id="158" w:author="svcMRProcess" w:date="2019-01-18T15:01:00Z">
        <w:r>
          <w:rPr>
            <w:i/>
          </w:rPr>
          <w:t>2016</w:t>
        </w:r>
        <w:r>
          <w:t xml:space="preserve"> in relation to any health services provided by the chief executive officer under the </w:t>
        </w:r>
        <w:r>
          <w:rPr>
            <w:i/>
          </w:rPr>
          <w:t>Health Services Act 2016</w:t>
        </w:r>
      </w:ins>
      <w:r>
        <w:t>.</w:t>
      </w:r>
    </w:p>
    <w:p>
      <w:pPr>
        <w:pStyle w:val="yNumberedItem"/>
      </w:pPr>
      <w:r>
        <w:t>4.</w:t>
      </w:r>
      <w:r>
        <w:tab/>
        <w:t>Any other person or body prescribed for the purposes of this Division.</w:t>
      </w:r>
    </w:p>
    <w:p>
      <w:pPr>
        <w:pStyle w:val="yFootnotesection"/>
      </w:pPr>
      <w:r>
        <w:tab/>
        <w:t>[Division 1 amended</w:t>
      </w:r>
      <w:del w:id="159" w:author="svcMRProcess" w:date="2019-01-18T15:01:00Z">
        <w:r>
          <w:delText xml:space="preserve"> by</w:delText>
        </w:r>
      </w:del>
      <w:ins w:id="160" w:author="svcMRProcess" w:date="2019-01-18T15:01:00Z">
        <w:r>
          <w:t>:</w:t>
        </w:r>
      </w:ins>
      <w:r>
        <w:t xml:space="preserve"> No. 33 of 2010 s. 53(4</w:t>
      </w:r>
      <w:ins w:id="161" w:author="svcMRProcess" w:date="2019-01-18T15:01:00Z">
        <w:r>
          <w:t>); No. 11 of 2016 s. 286(3</w:t>
        </w:r>
      </w:ins>
      <w:r>
        <w:t>).]</w:t>
      </w:r>
    </w:p>
    <w:p>
      <w:pPr>
        <w:pStyle w:val="yHeading3"/>
      </w:pPr>
      <w:bookmarkStart w:id="162" w:name="_Toc402968329"/>
      <w:bookmarkStart w:id="163" w:name="_Toc415151092"/>
      <w:bookmarkStart w:id="164" w:name="_Toc415151127"/>
      <w:bookmarkStart w:id="165" w:name="_Toc435708667"/>
      <w:bookmarkStart w:id="166" w:name="_Toc436054000"/>
      <w:bookmarkStart w:id="167" w:name="_Toc436132282"/>
      <w:bookmarkStart w:id="168" w:name="_Toc455399437"/>
      <w:r>
        <w:t>Division 2</w:t>
      </w:r>
      <w:r>
        <w:rPr>
          <w:b w:val="0"/>
        </w:rPr>
        <w:t> — </w:t>
      </w:r>
      <w:r>
        <w:t>Other organisations</w:t>
      </w:r>
      <w:bookmarkEnd w:id="162"/>
      <w:bookmarkEnd w:id="163"/>
      <w:bookmarkEnd w:id="164"/>
      <w:bookmarkEnd w:id="165"/>
      <w:bookmarkEnd w:id="166"/>
      <w:bookmarkEnd w:id="167"/>
      <w:bookmarkEnd w:id="168"/>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
      <w:pPr>
        <w:pStyle w:val="CentredBaseLine"/>
        <w:jc w:val="center"/>
      </w:pPr>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170" w:name="_Toc402968330"/>
      <w:bookmarkStart w:id="171" w:name="_Toc415151093"/>
      <w:bookmarkStart w:id="172" w:name="_Toc415151128"/>
      <w:bookmarkStart w:id="173" w:name="_Toc435708668"/>
      <w:bookmarkStart w:id="174" w:name="_Toc436054001"/>
      <w:bookmarkStart w:id="175" w:name="_Toc436132283"/>
      <w:bookmarkStart w:id="176" w:name="_Toc455399438"/>
      <w:r>
        <w:t>Notes</w:t>
      </w:r>
      <w:bookmarkEnd w:id="170"/>
      <w:bookmarkEnd w:id="171"/>
      <w:bookmarkEnd w:id="172"/>
      <w:bookmarkEnd w:id="173"/>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Carers Recognition Act 2004 </w:t>
      </w:r>
      <w:r>
        <w:rPr>
          <w:snapToGrid w:val="0"/>
        </w:rPr>
        <w:t>and includes the amendments made by the other written laws referred to in the following table</w:t>
      </w:r>
      <w:del w:id="177" w:author="svcMRProcess" w:date="2019-01-18T15:01:00Z">
        <w:r>
          <w:rPr>
            <w:snapToGrid w:val="0"/>
            <w:vertAlign w:val="superscript"/>
          </w:rPr>
          <w:delText> 1a</w:delText>
        </w:r>
      </w:del>
      <w:r>
        <w:rPr>
          <w:snapToGrid w:val="0"/>
        </w:rPr>
        <w:t>.  The table also contains information about any reprint.</w:t>
      </w:r>
    </w:p>
    <w:p>
      <w:pPr>
        <w:pStyle w:val="nHeading3"/>
        <w:rPr>
          <w:snapToGrid w:val="0"/>
        </w:rPr>
      </w:pPr>
      <w:bookmarkStart w:id="178" w:name="_Toc402968331"/>
      <w:bookmarkStart w:id="179" w:name="_Toc455399439"/>
      <w:bookmarkStart w:id="180" w:name="_Toc436132284"/>
      <w:r>
        <w:rPr>
          <w:snapToGrid w:val="0"/>
        </w:rPr>
        <w:t>Compilation table</w:t>
      </w:r>
      <w:bookmarkEnd w:id="178"/>
      <w:bookmarkEnd w:id="179"/>
      <w:bookmarkEnd w:id="1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Carers Recognition Act 2004</w:t>
            </w:r>
          </w:p>
        </w:tc>
        <w:tc>
          <w:tcPr>
            <w:tcW w:w="1134" w:type="dxa"/>
            <w:tcBorders>
              <w:top w:val="single" w:sz="4" w:space="0" w:color="auto"/>
            </w:tcBorders>
          </w:tcPr>
          <w:p>
            <w:pPr>
              <w:pStyle w:val="nTable"/>
              <w:spacing w:after="40"/>
              <w:ind w:left="64"/>
            </w:pPr>
            <w:r>
              <w:t>37 of 2004</w:t>
            </w:r>
          </w:p>
        </w:tc>
        <w:tc>
          <w:tcPr>
            <w:tcW w:w="1134" w:type="dxa"/>
            <w:tcBorders>
              <w:top w:val="single" w:sz="4" w:space="0" w:color="auto"/>
            </w:tcBorders>
          </w:tcPr>
          <w:p>
            <w:pPr>
              <w:pStyle w:val="nTable"/>
              <w:spacing w:after="40"/>
              <w:ind w:left="64"/>
            </w:pPr>
            <w:r>
              <w:t>28 Oct 2004</w:t>
            </w:r>
          </w:p>
        </w:tc>
        <w:tc>
          <w:tcPr>
            <w:tcW w:w="2552" w:type="dxa"/>
            <w:tcBorders>
              <w:top w:val="single" w:sz="4" w:space="0" w:color="auto"/>
            </w:tcBorders>
          </w:tcPr>
          <w:p>
            <w:pPr>
              <w:pStyle w:val="nTable"/>
              <w:spacing w:after="40"/>
              <w:ind w:left="64"/>
            </w:pPr>
            <w:r>
              <w:t>s. 1 and 2: 28 Oct 2004;</w:t>
            </w:r>
            <w:r>
              <w:br/>
              <w:t xml:space="preserve">Act other than s. 1 and 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36</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2(1)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Cs/>
                <w:snapToGrid w:val="0"/>
                <w:vertAlign w:val="superscript"/>
              </w:rPr>
            </w:pPr>
            <w:r>
              <w:rPr>
                <w:i/>
                <w:snapToGrid w:val="0"/>
              </w:rPr>
              <w:t>Volunteers (Protection from Liability) Amendment Act 2006</w:t>
            </w:r>
            <w:r>
              <w:rPr>
                <w:iCs/>
                <w:snapToGrid w:val="0"/>
              </w:rPr>
              <w:t xml:space="preserve"> s. 12(1)</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Sch. 1 cl. 18</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53</w:t>
            </w:r>
          </w:p>
        </w:tc>
        <w:tc>
          <w:tcPr>
            <w:tcW w:w="1134" w:type="dxa"/>
          </w:tcPr>
          <w:p>
            <w:pPr>
              <w:pStyle w:val="nTable"/>
              <w:keepNext/>
              <w:spacing w:after="40"/>
              <w:rPr>
                <w:snapToGrid w:val="0"/>
              </w:rPr>
            </w:pPr>
            <w:r>
              <w:rPr>
                <w:snapToGrid w:val="0"/>
              </w:rPr>
              <w:t>33 of 2010</w:t>
            </w:r>
          </w:p>
        </w:tc>
        <w:tc>
          <w:tcPr>
            <w:tcW w:w="1134" w:type="dxa"/>
          </w:tcPr>
          <w:p>
            <w:pPr>
              <w:pStyle w:val="nTable"/>
              <w:keepNext/>
              <w:spacing w:after="40"/>
              <w:rPr>
                <w:snapToGrid w:val="0"/>
              </w:rPr>
            </w:pPr>
            <w:r>
              <w:rPr>
                <w:snapToGrid w:val="0"/>
              </w:rPr>
              <w:t>30 Aug 2010</w:t>
            </w:r>
          </w:p>
        </w:tc>
        <w:tc>
          <w:tcPr>
            <w:tcW w:w="2552" w:type="dxa"/>
          </w:tcPr>
          <w:p>
            <w:pPr>
              <w:pStyle w:val="nTable"/>
              <w:keepNext/>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keepNext/>
              <w:spacing w:after="40"/>
              <w:rPr>
                <w:snapToGrid w:val="0"/>
              </w:rPr>
            </w:pPr>
            <w:r>
              <w:rPr>
                <w:snapToGrid w:val="0"/>
              </w:rPr>
              <w:t>39 of 2010</w:t>
            </w:r>
          </w:p>
        </w:tc>
        <w:tc>
          <w:tcPr>
            <w:tcW w:w="1134" w:type="dxa"/>
          </w:tcPr>
          <w:p>
            <w:pPr>
              <w:pStyle w:val="nTable"/>
              <w:keepNext/>
              <w:spacing w:after="40"/>
              <w:rPr>
                <w:snapToGrid w:val="0"/>
              </w:rPr>
            </w:pPr>
            <w:r>
              <w:t>1 Oct 2010</w:t>
            </w:r>
          </w:p>
        </w:tc>
        <w:tc>
          <w:tcPr>
            <w:tcW w:w="2552" w:type="dxa"/>
          </w:tcPr>
          <w:p>
            <w:pPr>
              <w:pStyle w:val="nTable"/>
              <w:keepNext/>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bCs/>
                <w:snapToGrid w:val="0"/>
              </w:rPr>
              <w:t xml:space="preserve">Reprint 1: The </w:t>
            </w:r>
            <w:r>
              <w:rPr>
                <w:b/>
                <w:bCs/>
                <w:i/>
                <w:iCs/>
                <w:snapToGrid w:val="0"/>
              </w:rPr>
              <w:t>Carers Recognition Act 2004</w:t>
            </w:r>
            <w:r>
              <w:rPr>
                <w:b/>
                <w:bCs/>
                <w:snapToGrid w:val="0"/>
              </w:rPr>
              <w:t xml:space="preserve"> as at 4 Mar 2011</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tcBorders>
          </w:tcPr>
          <w:p>
            <w:pPr>
              <w:pStyle w:val="nTable"/>
              <w:keepNext/>
              <w:keepLines/>
              <w:spacing w:after="40"/>
              <w:rPr>
                <w:vertAlign w:val="superscript"/>
              </w:rPr>
            </w:pPr>
            <w:r>
              <w:rPr>
                <w:i/>
              </w:rPr>
              <w:t>Mental Health Legislation Amendment Act 2014</w:t>
            </w:r>
            <w:r>
              <w:t xml:space="preserve"> Pt. 4 Div. 4 Subdiv. 3</w:t>
            </w:r>
          </w:p>
        </w:tc>
        <w:tc>
          <w:tcPr>
            <w:tcW w:w="1134" w:type="dxa"/>
            <w:tcBorders>
              <w:top w:val="nil"/>
              <w:bottom w:val="nil"/>
            </w:tcBorders>
          </w:tcPr>
          <w:p>
            <w:pPr>
              <w:pStyle w:val="nTable"/>
              <w:keepNext/>
              <w:keepLines/>
              <w:spacing w:after="40"/>
              <w:rPr>
                <w:snapToGrid w:val="0"/>
                <w:lang w:val="en-US"/>
              </w:rPr>
            </w:pPr>
            <w:r>
              <w:rPr>
                <w:snapToGrid w:val="0"/>
                <w:lang w:val="en-US"/>
              </w:rPr>
              <w:t>25 of 2014</w:t>
            </w:r>
          </w:p>
        </w:tc>
        <w:tc>
          <w:tcPr>
            <w:tcW w:w="1134" w:type="dxa"/>
            <w:tcBorders>
              <w:top w:val="nil"/>
              <w:bottom w:val="nil"/>
            </w:tcBorders>
          </w:tcPr>
          <w:p>
            <w:pPr>
              <w:pStyle w:val="nTable"/>
              <w:keepNext/>
              <w:keepLines/>
              <w:spacing w:after="40"/>
              <w:rPr>
                <w:snapToGrid w:val="0"/>
                <w:lang w:val="en-US"/>
              </w:rPr>
            </w:pPr>
            <w:r>
              <w:t>3 Nov 2014</w:t>
            </w:r>
          </w:p>
        </w:tc>
        <w:tc>
          <w:tcPr>
            <w:tcW w:w="2552" w:type="dxa"/>
            <w:tcBorders>
              <w:top w:val="nil"/>
              <w:bottom w:val="nil"/>
            </w:tcBorders>
          </w:tcPr>
          <w:p>
            <w:pPr>
              <w:pStyle w:val="nTable"/>
              <w:keepNext/>
              <w:keepLines/>
              <w:spacing w:after="40"/>
              <w:rPr>
                <w:snapToGrid w:val="0"/>
                <w:lang w:val="en-US"/>
              </w:rPr>
            </w:pPr>
            <w:r>
              <w:rPr>
                <w:snapToGrid w:val="0"/>
                <w:lang w:val="en-US"/>
              </w:rPr>
              <w:t>30 Nov 2015 (see s. 2(b)</w:t>
            </w:r>
            <w:r>
              <w:rPr>
                <w:snapToGrid w:val="0"/>
              </w:rPr>
              <w:t xml:space="preserve"> and </w:t>
            </w:r>
            <w:r>
              <w:rPr>
                <w:i/>
                <w:iCs/>
                <w:snapToGrid w:val="0"/>
              </w:rPr>
              <w:t>Gazette</w:t>
            </w:r>
            <w:r>
              <w:rPr>
                <w:snapToGrid w:val="0"/>
              </w:rPr>
              <w:t xml:space="preserve"> 13 Nov 2015 p. 4632</w:t>
            </w:r>
            <w:r>
              <w:rPr>
                <w:snapToGrid w:val="0"/>
                <w:lang w:val="en-US"/>
              </w:rPr>
              <w:t>)</w:t>
            </w:r>
          </w:p>
        </w:tc>
      </w:tr>
    </w:tbl>
    <w:p>
      <w:pPr>
        <w:pStyle w:val="nSubsection"/>
        <w:spacing w:before="360"/>
        <w:ind w:left="482" w:hanging="482"/>
        <w:rPr>
          <w:del w:id="181" w:author="svcMRProcess" w:date="2019-01-18T15:01:00Z"/>
        </w:rPr>
      </w:pPr>
      <w:del w:id="182" w:author="svcMRProcess" w:date="2019-01-18T15:0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3" w:author="svcMRProcess" w:date="2019-01-18T15:01:00Z"/>
          <w:snapToGrid w:val="0"/>
        </w:rPr>
      </w:pPr>
      <w:bookmarkStart w:id="184" w:name="_Toc402966387"/>
      <w:bookmarkStart w:id="185" w:name="_Toc436042042"/>
      <w:bookmarkStart w:id="186" w:name="_Toc452373592"/>
      <w:del w:id="187" w:author="svcMRProcess" w:date="2019-01-18T15:01:00Z">
        <w:r>
          <w:rPr>
            <w:snapToGrid w:val="0"/>
          </w:rPr>
          <w:delText>Provisions that have not come into operation</w:delText>
        </w:r>
        <w:bookmarkEnd w:id="184"/>
        <w:bookmarkEnd w:id="185"/>
        <w:bookmarkEnd w:id="186"/>
      </w:del>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del w:id="188" w:author="svcMRProcess" w:date="2019-01-18T15:01:00Z"/>
        </w:trPr>
        <w:tc>
          <w:tcPr>
            <w:tcW w:w="2267" w:type="dxa"/>
            <w:tcBorders>
              <w:top w:val="single" w:sz="8" w:space="0" w:color="auto"/>
              <w:bottom w:val="single" w:sz="8" w:space="0" w:color="auto"/>
            </w:tcBorders>
          </w:tcPr>
          <w:p>
            <w:pPr>
              <w:pStyle w:val="nTable"/>
              <w:keepNext/>
              <w:spacing w:after="40"/>
              <w:ind w:right="113"/>
              <w:rPr>
                <w:del w:id="189" w:author="svcMRProcess" w:date="2019-01-18T15:01:00Z"/>
                <w:b/>
              </w:rPr>
            </w:pPr>
            <w:del w:id="190" w:author="svcMRProcess" w:date="2019-01-18T15:01:00Z">
              <w:r>
                <w:rPr>
                  <w:b/>
                </w:rPr>
                <w:delText>Short title</w:delText>
              </w:r>
            </w:del>
          </w:p>
        </w:tc>
        <w:tc>
          <w:tcPr>
            <w:tcW w:w="1134" w:type="dxa"/>
            <w:tcBorders>
              <w:top w:val="single" w:sz="8" w:space="0" w:color="auto"/>
              <w:bottom w:val="single" w:sz="8" w:space="0" w:color="auto"/>
            </w:tcBorders>
          </w:tcPr>
          <w:p>
            <w:pPr>
              <w:pStyle w:val="nTable"/>
              <w:keepNext/>
              <w:spacing w:after="40"/>
              <w:rPr>
                <w:del w:id="191" w:author="svcMRProcess" w:date="2019-01-18T15:01:00Z"/>
                <w:b/>
              </w:rPr>
            </w:pPr>
            <w:del w:id="192" w:author="svcMRProcess" w:date="2019-01-18T15:01:00Z">
              <w:r>
                <w:rPr>
                  <w:b/>
                </w:rPr>
                <w:delText>Number and year</w:delText>
              </w:r>
            </w:del>
          </w:p>
        </w:tc>
        <w:tc>
          <w:tcPr>
            <w:tcW w:w="1135" w:type="dxa"/>
            <w:tcBorders>
              <w:top w:val="single" w:sz="8" w:space="0" w:color="auto"/>
              <w:bottom w:val="single" w:sz="8" w:space="0" w:color="auto"/>
            </w:tcBorders>
          </w:tcPr>
          <w:p>
            <w:pPr>
              <w:pStyle w:val="nTable"/>
              <w:keepNext/>
              <w:spacing w:after="40"/>
              <w:rPr>
                <w:del w:id="193" w:author="svcMRProcess" w:date="2019-01-18T15:01:00Z"/>
                <w:b/>
              </w:rPr>
            </w:pPr>
            <w:del w:id="194" w:author="svcMRProcess" w:date="2019-01-18T15:01:00Z">
              <w:r>
                <w:rPr>
                  <w:b/>
                </w:rPr>
                <w:delText>Assent</w:delText>
              </w:r>
            </w:del>
          </w:p>
        </w:tc>
        <w:tc>
          <w:tcPr>
            <w:tcW w:w="2659" w:type="dxa"/>
            <w:tcBorders>
              <w:top w:val="single" w:sz="8" w:space="0" w:color="auto"/>
              <w:bottom w:val="single" w:sz="8" w:space="0" w:color="auto"/>
            </w:tcBorders>
          </w:tcPr>
          <w:p>
            <w:pPr>
              <w:pStyle w:val="nTable"/>
              <w:keepNext/>
              <w:spacing w:after="40"/>
              <w:rPr>
                <w:del w:id="195" w:author="svcMRProcess" w:date="2019-01-18T15:01:00Z"/>
                <w:b/>
              </w:rPr>
            </w:pPr>
            <w:del w:id="196" w:author="svcMRProcess" w:date="2019-01-18T15:01:00Z">
              <w:r>
                <w:rPr>
                  <w:b/>
                </w:rPr>
                <w:delText>Commencement</w:delText>
              </w:r>
            </w:del>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4" w:space="0" w:color="auto"/>
            </w:tcBorders>
          </w:tcPr>
          <w:p>
            <w:pPr>
              <w:pStyle w:val="nTable"/>
              <w:keepNext/>
              <w:keepLines/>
              <w:spacing w:after="40"/>
              <w:rPr>
                <w:i/>
              </w:rPr>
            </w:pPr>
            <w:r>
              <w:rPr>
                <w:i/>
                <w:snapToGrid w:val="0"/>
              </w:rPr>
              <w:t>Health Services Act 2016</w:t>
            </w:r>
            <w:r>
              <w:rPr>
                <w:snapToGrid w:val="0"/>
              </w:rPr>
              <w:t xml:space="preserve"> s. 286</w:t>
            </w:r>
            <w:del w:id="197" w:author="svcMRProcess" w:date="2019-01-18T15:01:00Z">
              <w:r>
                <w:rPr>
                  <w:snapToGrid w:val="0"/>
                  <w:vertAlign w:val="superscript"/>
                </w:rPr>
                <w:delText> 3</w:delText>
              </w:r>
            </w:del>
          </w:p>
        </w:tc>
        <w:tc>
          <w:tcPr>
            <w:tcW w:w="1134" w:type="dxa"/>
            <w:tcBorders>
              <w:top w:val="nil"/>
              <w:bottom w:val="single" w:sz="4" w:space="0" w:color="auto"/>
            </w:tcBorders>
          </w:tcPr>
          <w:p>
            <w:pPr>
              <w:pStyle w:val="nTable"/>
              <w:keepNext/>
              <w:keepLines/>
              <w:spacing w:after="40"/>
              <w:rPr>
                <w:snapToGrid w:val="0"/>
                <w:lang w:val="en-US"/>
              </w:rPr>
            </w:pPr>
            <w:r>
              <w:t>11 of 2016</w:t>
            </w:r>
          </w:p>
        </w:tc>
        <w:tc>
          <w:tcPr>
            <w:tcW w:w="1134" w:type="dxa"/>
            <w:tcBorders>
              <w:top w:val="nil"/>
              <w:bottom w:val="single" w:sz="4" w:space="0" w:color="auto"/>
            </w:tcBorders>
          </w:tcPr>
          <w:p>
            <w:pPr>
              <w:pStyle w:val="nTable"/>
              <w:keepNext/>
              <w:keepLines/>
              <w:spacing w:after="40"/>
            </w:pPr>
            <w:r>
              <w:t>26 May 2016</w:t>
            </w:r>
          </w:p>
        </w:tc>
        <w:tc>
          <w:tcPr>
            <w:tcW w:w="2552" w:type="dxa"/>
            <w:tcBorders>
              <w:top w:val="nil"/>
              <w:bottom w:val="single" w:sz="4" w:space="0" w:color="auto"/>
            </w:tcBorders>
          </w:tcPr>
          <w:p>
            <w:pPr>
              <w:pStyle w:val="nTable"/>
              <w:keepNext/>
              <w:keepLines/>
              <w:spacing w:after="40"/>
              <w:rPr>
                <w:snapToGrid w:val="0"/>
                <w:lang w:val="en-US"/>
              </w:rPr>
            </w:pPr>
            <w:del w:id="198" w:author="svcMRProcess" w:date="2019-01-18T15:01:00Z">
              <w:r>
                <w:delText>To be proclaimed</w:delText>
              </w:r>
            </w:del>
            <w:ins w:id="199" w:author="svcMRProcess" w:date="2019-01-18T15:01:00Z">
              <w:r>
                <w:rPr>
                  <w:snapToGrid w:val="0"/>
                  <w:lang w:val="en-US"/>
                </w:rPr>
                <w:t>1 Jul 2016</w:t>
              </w:r>
            </w:ins>
            <w:r>
              <w:rPr>
                <w:snapToGrid w:val="0"/>
                <w:lang w:val="en-US"/>
              </w:rPr>
              <w:t xml:space="preserve"> (see s. 2(b</w:t>
            </w:r>
            <w:del w:id="200" w:author="svcMRProcess" w:date="2019-01-18T15:01:00Z">
              <w:r>
                <w:delText>))</w:delText>
              </w:r>
            </w:del>
            <w:ins w:id="201" w:author="svcMRProcess" w:date="2019-01-18T15:01:00Z">
              <w:r>
                <w:rPr>
                  <w:snapToGrid w:val="0"/>
                  <w:lang w:val="en-US"/>
                </w:rPr>
                <w:t xml:space="preserve">) and </w:t>
              </w:r>
              <w:r>
                <w:rPr>
                  <w:i/>
                  <w:snapToGrid w:val="0"/>
                  <w:lang w:val="en-US"/>
                </w:rPr>
                <w:t>Gazette</w:t>
              </w:r>
              <w:r>
                <w:rPr>
                  <w:snapToGrid w:val="0"/>
                  <w:lang w:val="en-US"/>
                </w:rPr>
                <w:t xml:space="preserve"> 24 Jun 2016 p. 2291)</w:t>
              </w:r>
            </w:ins>
          </w:p>
        </w:tc>
      </w:tr>
    </w:tbl>
    <w:p>
      <w:pPr>
        <w:pStyle w:val="nSubsection"/>
        <w:spacing w:before="160"/>
      </w:pPr>
      <w:r>
        <w:rPr>
          <w:vertAlign w:val="superscript"/>
        </w:rPr>
        <w:t>2</w:t>
      </w:r>
      <w:r>
        <w:tab/>
        <w:t xml:space="preserve">Repealed by the </w:t>
      </w:r>
      <w:r>
        <w:rPr>
          <w:i/>
          <w:iCs/>
        </w:rPr>
        <w:t>Children and Community Services Act 2004</w:t>
      </w:r>
      <w:r>
        <w:t xml:space="preserve"> s. 250(1)(a).</w:t>
      </w:r>
    </w:p>
    <w:p>
      <w:pPr>
        <w:pStyle w:val="nSubsection"/>
        <w:rPr>
          <w:del w:id="202" w:author="svcMRProcess" w:date="2019-01-18T15:01:00Z"/>
        </w:rPr>
      </w:pPr>
      <w:del w:id="203" w:author="svcMRProcess" w:date="2019-01-18T15:01:00Z">
        <w:r>
          <w:rPr>
            <w:snapToGrid w:val="0"/>
            <w:vertAlign w:val="superscript"/>
          </w:rPr>
          <w:delText>3</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286 had not come into operation.  It reads as follows:</w:delText>
        </w:r>
      </w:del>
    </w:p>
    <w:p>
      <w:pPr>
        <w:pStyle w:val="BlankOpen"/>
        <w:rPr>
          <w:del w:id="204" w:author="svcMRProcess" w:date="2019-01-18T15:01:00Z"/>
        </w:rPr>
      </w:pPr>
    </w:p>
    <w:p>
      <w:pPr>
        <w:pStyle w:val="nzHeading5"/>
        <w:rPr>
          <w:del w:id="205" w:author="svcMRProcess" w:date="2019-01-18T15:01:00Z"/>
        </w:rPr>
      </w:pPr>
      <w:bookmarkStart w:id="206" w:name="_Toc451509696"/>
      <w:del w:id="207" w:author="svcMRProcess" w:date="2019-01-18T15:01:00Z">
        <w:r>
          <w:rPr>
            <w:rStyle w:val="CharSectno"/>
          </w:rPr>
          <w:delText>286</w:delText>
        </w:r>
        <w:r>
          <w:delText>.</w:delText>
        </w:r>
        <w:r>
          <w:tab/>
        </w:r>
        <w:r>
          <w:rPr>
            <w:i/>
          </w:rPr>
          <w:delText>Carers Recognition Act 2004</w:delText>
        </w:r>
        <w:r>
          <w:delText xml:space="preserve"> amended</w:delText>
        </w:r>
        <w:bookmarkEnd w:id="206"/>
      </w:del>
    </w:p>
    <w:p>
      <w:pPr>
        <w:pStyle w:val="nzSubsection"/>
        <w:rPr>
          <w:del w:id="208" w:author="svcMRProcess" w:date="2019-01-18T15:01:00Z"/>
        </w:rPr>
      </w:pPr>
      <w:del w:id="209" w:author="svcMRProcess" w:date="2019-01-18T15:01:00Z">
        <w:r>
          <w:tab/>
          <w:delText>(1)</w:delText>
        </w:r>
        <w:r>
          <w:tab/>
          <w:delText xml:space="preserve">This section amends the </w:delText>
        </w:r>
        <w:r>
          <w:rPr>
            <w:i/>
          </w:rPr>
          <w:delText>Carers Recognition Act 2004</w:delText>
        </w:r>
        <w:r>
          <w:delText>.</w:delText>
        </w:r>
      </w:del>
    </w:p>
    <w:p>
      <w:pPr>
        <w:pStyle w:val="nzSubsection"/>
        <w:rPr>
          <w:del w:id="210" w:author="svcMRProcess" w:date="2019-01-18T15:01:00Z"/>
        </w:rPr>
      </w:pPr>
      <w:del w:id="211" w:author="svcMRProcess" w:date="2019-01-18T15:01:00Z">
        <w:r>
          <w:tab/>
          <w:delText>(2)</w:delText>
        </w:r>
        <w:r>
          <w:tab/>
          <w:delText>In section 8(3)(b) delete “</w:delText>
        </w:r>
        <w:r>
          <w:rPr>
            <w:i/>
          </w:rPr>
          <w:delText>Hospitals and Health Services Act 1927</w:delText>
        </w:r>
        <w:r>
          <w:delText>.” and insert:</w:delText>
        </w:r>
      </w:del>
    </w:p>
    <w:p>
      <w:pPr>
        <w:pStyle w:val="BlankOpen"/>
        <w:rPr>
          <w:del w:id="212" w:author="svcMRProcess" w:date="2019-01-18T15:01:00Z"/>
        </w:rPr>
      </w:pPr>
    </w:p>
    <w:p>
      <w:pPr>
        <w:pStyle w:val="nzSubsection"/>
        <w:rPr>
          <w:del w:id="213" w:author="svcMRProcess" w:date="2019-01-18T15:01:00Z"/>
        </w:rPr>
      </w:pPr>
      <w:del w:id="214" w:author="svcMRProcess" w:date="2019-01-18T15:01:00Z">
        <w:r>
          <w:tab/>
        </w:r>
        <w:r>
          <w:tab/>
        </w:r>
        <w:r>
          <w:rPr>
            <w:i/>
          </w:rPr>
          <w:delText>Health Services Act 2016</w:delText>
        </w:r>
        <w:r>
          <w:delText>.</w:delText>
        </w:r>
      </w:del>
    </w:p>
    <w:p>
      <w:pPr>
        <w:pStyle w:val="BlankClose"/>
        <w:rPr>
          <w:del w:id="215" w:author="svcMRProcess" w:date="2019-01-18T15:01:00Z"/>
        </w:rPr>
      </w:pPr>
    </w:p>
    <w:p>
      <w:pPr>
        <w:pStyle w:val="nzSubsection"/>
        <w:rPr>
          <w:del w:id="216" w:author="svcMRProcess" w:date="2019-01-18T15:01:00Z"/>
        </w:rPr>
      </w:pPr>
      <w:del w:id="217" w:author="svcMRProcess" w:date="2019-01-18T15:01:00Z">
        <w:r>
          <w:tab/>
          <w:delText>(3)</w:delText>
        </w:r>
        <w:r>
          <w:tab/>
          <w:delText>Delete Schedule 2 Division 1 item 3 and insert:</w:delText>
        </w:r>
      </w:del>
    </w:p>
    <w:p>
      <w:pPr>
        <w:pStyle w:val="BlankOpen"/>
        <w:rPr>
          <w:del w:id="218" w:author="svcMRProcess" w:date="2019-01-18T15:01:00Z"/>
        </w:rPr>
      </w:pPr>
    </w:p>
    <w:p>
      <w:pPr>
        <w:pStyle w:val="nzNumberedItem"/>
        <w:rPr>
          <w:del w:id="219" w:author="svcMRProcess" w:date="2019-01-18T15:01:00Z"/>
        </w:rPr>
      </w:pPr>
      <w:del w:id="220" w:author="svcMRProcess" w:date="2019-01-18T15:01:00Z">
        <w:r>
          <w:delText>3.</w:delText>
        </w:r>
        <w:r>
          <w:tab/>
          <w:delText xml:space="preserve">A health service provider as defined in the </w:delText>
        </w:r>
        <w:r>
          <w:rPr>
            <w:i/>
          </w:rPr>
          <w:delText>Health Services Act 2016</w:delText>
        </w:r>
        <w:r>
          <w:delText xml:space="preserve"> section 6.</w:delText>
        </w:r>
      </w:del>
    </w:p>
    <w:p>
      <w:pPr>
        <w:pStyle w:val="nzNumberedItem"/>
        <w:rPr>
          <w:del w:id="221" w:author="svcMRProcess" w:date="2019-01-18T15:01:00Z"/>
        </w:rPr>
      </w:pPr>
      <w:del w:id="222" w:author="svcMRProcess" w:date="2019-01-18T15:01:00Z">
        <w:r>
          <w:delText>3A.</w:delText>
        </w:r>
        <w:r>
          <w:tab/>
          <w:delText xml:space="preserve">The chief executive officer of the department principally assisting in the administration of the </w:delText>
        </w:r>
        <w:r>
          <w:rPr>
            <w:i/>
          </w:rPr>
          <w:delText>Health Services Act 2016</w:delText>
        </w:r>
        <w:r>
          <w:delText xml:space="preserve"> in relation to any health services provided by the chief executive officer under the </w:delText>
        </w:r>
        <w:r>
          <w:rPr>
            <w:i/>
          </w:rPr>
          <w:delText>Health Services Act 2016</w:delText>
        </w:r>
        <w:r>
          <w:delText>.</w:delText>
        </w:r>
      </w:del>
    </w:p>
    <w:p>
      <w:pPr>
        <w:pStyle w:val="BlankClose"/>
        <w:rPr>
          <w:del w:id="223" w:author="svcMRProcess" w:date="2019-01-18T15:01:00Z"/>
        </w:rPr>
      </w:pPr>
    </w:p>
    <w:p>
      <w:pPr>
        <w:pStyle w:val="BlankClose"/>
        <w:rPr>
          <w:del w:id="224" w:author="svcMRProcess" w:date="2019-01-18T15:01: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9" w:name="Schedule"/>
    <w:bookmarkEnd w:id="1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lvlText w:val="%1."/>
      <w:lvlJc w:val="left"/>
      <w:pPr>
        <w:tabs>
          <w:tab w:val="num" w:pos="1800"/>
        </w:tabs>
        <w:ind w:left="1800" w:hanging="360"/>
      </w:pPr>
    </w:lvl>
  </w:abstractNum>
  <w:abstractNum w:abstractNumId="1">
    <w:nsid w:val="FFFFFF7D"/>
    <w:multiLevelType w:val="singleLevel"/>
    <w:tmpl w:val="884C5F6C"/>
    <w:lvl w:ilvl="0">
      <w:start w:val="1"/>
      <w:numFmt w:val="decimal"/>
      <w:lvlText w:val="%1."/>
      <w:lvlJc w:val="left"/>
      <w:pPr>
        <w:tabs>
          <w:tab w:val="num" w:pos="1440"/>
        </w:tabs>
        <w:ind w:left="1440" w:hanging="360"/>
      </w:pPr>
    </w:lvl>
  </w:abstractNum>
  <w:abstractNum w:abstractNumId="2">
    <w:nsid w:val="FFFFFF7E"/>
    <w:multiLevelType w:val="singleLevel"/>
    <w:tmpl w:val="C6AE9A3C"/>
    <w:lvl w:ilvl="0">
      <w:start w:val="1"/>
      <w:numFmt w:val="decimal"/>
      <w:lvlText w:val="%1."/>
      <w:lvlJc w:val="left"/>
      <w:pPr>
        <w:tabs>
          <w:tab w:val="num" w:pos="1080"/>
        </w:tabs>
        <w:ind w:left="1080" w:hanging="360"/>
      </w:pPr>
    </w:lvl>
  </w:abstractNum>
  <w:abstractNum w:abstractNumId="3">
    <w:nsid w:val="FFFFFF7F"/>
    <w:multiLevelType w:val="singleLevel"/>
    <w:tmpl w:val="A48C42C4"/>
    <w:lvl w:ilvl="0">
      <w:start w:val="1"/>
      <w:numFmt w:val="decimal"/>
      <w:lvlText w:val="%1."/>
      <w:lvlJc w:val="left"/>
      <w:pPr>
        <w:tabs>
          <w:tab w:val="num" w:pos="720"/>
        </w:tabs>
        <w:ind w:left="720" w:hanging="360"/>
      </w:pPr>
    </w:lvl>
  </w:abstractNum>
  <w:abstractNum w:abstractNumId="4">
    <w:nsid w:val="FFFFFF80"/>
    <w:multiLevelType w:val="singleLevel"/>
    <w:tmpl w:val="E5E62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lvlText w:val="%1."/>
      <w:lvlJc w:val="left"/>
      <w:pPr>
        <w:tabs>
          <w:tab w:val="num" w:pos="360"/>
        </w:tabs>
        <w:ind w:left="360" w:hanging="360"/>
      </w:pPr>
    </w:lvl>
  </w:abstractNum>
  <w:abstractNum w:abstractNumId="9">
    <w:nsid w:val="FFFFFF89"/>
    <w:multiLevelType w:val="singleLevel"/>
    <w:tmpl w:val="3DDA3D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1459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524"/>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 w:name="WAFER_20141104172947" w:val="RemoveTocBookmarks,RemoveUnusedBookmarks,RemoveLanguageTags,UsedStyles,ResetPageSize"/>
    <w:docVar w:name="WAFER_20141104172947_GUID" w:val="fd4a7d25-7116-4d95-9449-abac55508635"/>
    <w:docVar w:name="WAFER_20150326161205" w:val="ResetPageSize,UpdateArrangement,UpdateNTable"/>
    <w:docVar w:name="WAFER_20150326161205_GUID" w:val="7baa08f0-474e-437e-bbc2-07246903f553"/>
    <w:docVar w:name="WAFER_20151102142524" w:val="UpdateStyles,UsedStyles"/>
    <w:docVar w:name="WAFER_20151102142524_GUID" w:val="2355a103-5b66-491c-a4f8-a26bf8992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3101</Words>
  <Characters>14671</Characters>
  <Application>Microsoft Office Word</Application>
  <DocSecurity>0</DocSecurity>
  <Lines>444</Lines>
  <Paragraphs>269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01-d0-00 - 01-e0-01</dc:title>
  <dc:subject/>
  <dc:creator/>
  <cp:keywords/>
  <dc:description/>
  <cp:lastModifiedBy>svcMRProcess</cp:lastModifiedBy>
  <cp:revision>2</cp:revision>
  <cp:lastPrinted>2011-03-08T07:54:00Z</cp:lastPrinted>
  <dcterms:created xsi:type="dcterms:W3CDTF">2019-01-18T07:00:00Z</dcterms:created>
  <dcterms:modified xsi:type="dcterms:W3CDTF">2019-01-18T07:01:00Z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DocumentType">
    <vt:lpwstr>Act</vt:lpwstr>
  </property>
  <property fmtid="{D5CDD505-2E9C-101B-9397-08002B2CF9AE}" pid="4" name="OwlsUID">
    <vt:i4>9247</vt:i4>
  </property>
  <property fmtid="{D5CDD505-2E9C-101B-9397-08002B2CF9AE}" pid="5" name="ReprintNo">
    <vt:lpwstr>1</vt:lpwstr>
  </property>
  <property fmtid="{D5CDD505-2E9C-101B-9397-08002B2CF9AE}" pid="6" name="ReprintedAsAt">
    <vt:filetime>2011-03-03T16:00:00Z</vt:filetime>
  </property>
  <property fmtid="{D5CDD505-2E9C-101B-9397-08002B2CF9AE}" pid="7" name="CommencementDate">
    <vt:lpwstr>20160701</vt:lpwstr>
  </property>
  <property fmtid="{D5CDD505-2E9C-101B-9397-08002B2CF9AE}" pid="8" name="FromSuffix">
    <vt:lpwstr>01-d0-00</vt:lpwstr>
  </property>
  <property fmtid="{D5CDD505-2E9C-101B-9397-08002B2CF9AE}" pid="9" name="FromAsAtDate">
    <vt:lpwstr>26 May 2016</vt:lpwstr>
  </property>
  <property fmtid="{D5CDD505-2E9C-101B-9397-08002B2CF9AE}" pid="10" name="ToSuffix">
    <vt:lpwstr>01-e0-01</vt:lpwstr>
  </property>
  <property fmtid="{D5CDD505-2E9C-101B-9397-08002B2CF9AE}" pid="11" name="ToAsAtDate">
    <vt:lpwstr>01 Jul 2016</vt:lpwstr>
  </property>
</Properties>
</file>