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2016</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pPr>
      <w:bookmarkStart w:id="1" w:name="_Toc424824452"/>
      <w:bookmarkStart w:id="2" w:name="_Toc424825041"/>
      <w:bookmarkStart w:id="3" w:name="_Toc424825111"/>
      <w:bookmarkStart w:id="4" w:name="_Toc424833391"/>
      <w:bookmarkStart w:id="5" w:name="_Toc453577802"/>
      <w:bookmarkStart w:id="6" w:name="_Toc453588337"/>
      <w:bookmarkStart w:id="7" w:name="_Toc453588407"/>
      <w:bookmarkStart w:id="8" w:name="_Toc455389732"/>
      <w:r>
        <w:rPr>
          <w:rStyle w:val="CharPartNo"/>
        </w:rPr>
        <w:lastRenderedPageBreak/>
        <w:t>P</w:t>
      </w:r>
      <w:bookmarkStart w:id="9" w:name="_GoBack"/>
      <w:bookmarkEnd w:id="9"/>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p>
    <w:p>
      <w:pPr>
        <w:pStyle w:val="Footnoteheading"/>
      </w:pPr>
      <w:r>
        <w:tab/>
        <w:t>[Heading inserted in Gazette 30 Jun 2014 p. 2394.]</w:t>
      </w:r>
    </w:p>
    <w:p>
      <w:pPr>
        <w:pStyle w:val="Heading5"/>
      </w:pPr>
      <w:bookmarkStart w:id="10" w:name="_Toc455389733"/>
      <w:bookmarkStart w:id="11" w:name="_Toc453588408"/>
      <w:r>
        <w:rPr>
          <w:rStyle w:val="CharSectno"/>
        </w:rPr>
        <w:t>1</w:t>
      </w:r>
      <w:r>
        <w:t>.</w:t>
      </w:r>
      <w:r>
        <w:tab/>
        <w:t>Citation</w:t>
      </w:r>
      <w:bookmarkEnd w:id="10"/>
      <w:bookmarkEnd w:id="1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2" w:name="_Toc455389734"/>
      <w:bookmarkStart w:id="13" w:name="_Toc453588409"/>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4" w:name="_Toc455389735"/>
      <w:bookmarkStart w:id="15" w:name="_Toc453588410"/>
      <w:r>
        <w:rPr>
          <w:rStyle w:val="CharSectno"/>
        </w:rPr>
        <w:t>3</w:t>
      </w:r>
      <w:r>
        <w:t>.</w:t>
      </w:r>
      <w:r>
        <w:tab/>
        <w:t>Nominations for Board membership (s. 7)</w:t>
      </w:r>
      <w:bookmarkEnd w:id="14"/>
      <w:bookmarkEnd w:id="15"/>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6" w:name="_Toc455389736"/>
      <w:bookmarkStart w:id="17" w:name="_Toc453588411"/>
      <w:r>
        <w:rPr>
          <w:rStyle w:val="CharSectno"/>
        </w:rPr>
        <w:t>4A</w:t>
      </w:r>
      <w:r>
        <w:t>.</w:t>
      </w:r>
      <w:r>
        <w:tab/>
        <w:t>Disability Service Standards (s. 12)</w:t>
      </w:r>
      <w:bookmarkEnd w:id="16"/>
      <w:bookmarkEnd w:id="17"/>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8" w:name="_Toc455389737"/>
      <w:bookmarkStart w:id="19" w:name="_Toc453588412"/>
      <w:r>
        <w:rPr>
          <w:rStyle w:val="CharSectno"/>
        </w:rPr>
        <w:t>4</w:t>
      </w:r>
      <w:r>
        <w:t>.</w:t>
      </w:r>
      <w:r>
        <w:tab/>
        <w:t>Nominations for Council membership (s. 22)</w:t>
      </w:r>
      <w:bookmarkEnd w:id="18"/>
      <w:bookmarkEnd w:id="19"/>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0" w:name="_Toc455389738"/>
      <w:bookmarkStart w:id="21" w:name="_Toc453588413"/>
      <w:r>
        <w:rPr>
          <w:rStyle w:val="CharSectno"/>
        </w:rPr>
        <w:t>5</w:t>
      </w:r>
      <w:r>
        <w:t>.</w:t>
      </w:r>
      <w:r>
        <w:tab/>
        <w:t>Procedure for public consultation by Council (s. 23)</w:t>
      </w:r>
      <w:bookmarkEnd w:id="20"/>
      <w:bookmarkEnd w:id="21"/>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2" w:name="_Toc455389739"/>
      <w:bookmarkStart w:id="23" w:name="_Toc453588414"/>
      <w:r>
        <w:rPr>
          <w:rStyle w:val="CharSectno"/>
        </w:rPr>
        <w:t>6</w:t>
      </w:r>
      <w:r>
        <w:t>.</w:t>
      </w:r>
      <w:r>
        <w:tab/>
        <w:t>Public authorities to which Part 5 does not apply (s. 27)</w:t>
      </w:r>
      <w:bookmarkEnd w:id="22"/>
      <w:bookmarkEnd w:id="23"/>
    </w:p>
    <w:p>
      <w:pPr>
        <w:pStyle w:val="Subsection"/>
      </w:pPr>
      <w:r>
        <w:tab/>
      </w:r>
      <w:r>
        <w:tab/>
        <w:t>Part 5 of the Act does not apply to any public authority except to a public authority specified in Schedule 1.</w:t>
      </w:r>
    </w:p>
    <w:p>
      <w:pPr>
        <w:pStyle w:val="Heading5"/>
      </w:pPr>
      <w:bookmarkStart w:id="24" w:name="_Toc455389740"/>
      <w:bookmarkStart w:id="25" w:name="_Toc453588415"/>
      <w:r>
        <w:rPr>
          <w:rStyle w:val="CharSectno"/>
        </w:rPr>
        <w:t>7</w:t>
      </w:r>
      <w:r>
        <w:t>.</w:t>
      </w:r>
      <w:r>
        <w:tab/>
        <w:t>Standards for disability access and inclusion plans (s. 28)</w:t>
      </w:r>
      <w:bookmarkEnd w:id="24"/>
      <w:bookmarkEnd w:id="25"/>
    </w:p>
    <w:p>
      <w:pPr>
        <w:pStyle w:val="Subsection"/>
      </w:pPr>
      <w:r>
        <w:tab/>
      </w:r>
      <w:r>
        <w:tab/>
        <w:t>For the purposes of section 28(5) of the Act, the standards that a disability access and inclusion plan must meet are those specified in Schedule 2.</w:t>
      </w:r>
    </w:p>
    <w:p>
      <w:pPr>
        <w:pStyle w:val="Heading5"/>
      </w:pPr>
      <w:bookmarkStart w:id="26" w:name="_Toc455389741"/>
      <w:bookmarkStart w:id="27" w:name="_Toc453588416"/>
      <w:r>
        <w:rPr>
          <w:rStyle w:val="CharSectno"/>
        </w:rPr>
        <w:t>8</w:t>
      </w:r>
      <w:r>
        <w:t>.</w:t>
      </w:r>
      <w:r>
        <w:tab/>
        <w:t>Information in reports about disability access and inclusion plans (s. 29)</w:t>
      </w:r>
      <w:bookmarkEnd w:id="26"/>
      <w:bookmarkEnd w:id="27"/>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8" w:name="_Toc455389742"/>
      <w:bookmarkStart w:id="29" w:name="_Toc453588417"/>
      <w:r>
        <w:rPr>
          <w:rStyle w:val="CharSectno"/>
        </w:rPr>
        <w:t>9</w:t>
      </w:r>
      <w:r>
        <w:t>.</w:t>
      </w:r>
      <w:r>
        <w:tab/>
        <w:t>Publication of disability access and inclusion plans (s. 29A)</w:t>
      </w:r>
      <w:bookmarkEnd w:id="28"/>
      <w:bookmarkEnd w:id="29"/>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0" w:name="_Toc455389743"/>
      <w:bookmarkStart w:id="31" w:name="_Toc453588418"/>
      <w:r>
        <w:rPr>
          <w:rStyle w:val="CharSectno"/>
        </w:rPr>
        <w:t>10</w:t>
      </w:r>
      <w:r>
        <w:t>.</w:t>
      </w:r>
      <w:r>
        <w:tab/>
        <w:t>Procedure for public consultation by authorities (s. 28)</w:t>
      </w:r>
      <w:bookmarkEnd w:id="30"/>
      <w:bookmarkEnd w:id="3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32" w:name="_Toc424824464"/>
      <w:bookmarkStart w:id="33" w:name="_Toc424825053"/>
      <w:bookmarkStart w:id="34" w:name="_Toc424825123"/>
      <w:bookmarkStart w:id="35" w:name="_Toc424833403"/>
      <w:bookmarkStart w:id="36" w:name="_Toc453577814"/>
      <w:bookmarkStart w:id="37" w:name="_Toc453588349"/>
      <w:bookmarkStart w:id="38" w:name="_Toc453588419"/>
      <w:bookmarkStart w:id="39" w:name="_Toc455389744"/>
      <w:r>
        <w:rPr>
          <w:rStyle w:val="CharPartNo"/>
        </w:rPr>
        <w:t>Part 2</w:t>
      </w:r>
      <w:r>
        <w:rPr>
          <w:b w:val="0"/>
        </w:rPr>
        <w:t> </w:t>
      </w:r>
      <w:r>
        <w:t>—</w:t>
      </w:r>
      <w:r>
        <w:rPr>
          <w:b w:val="0"/>
        </w:rPr>
        <w:t> </w:t>
      </w:r>
      <w:r>
        <w:rPr>
          <w:rStyle w:val="CharPartText"/>
        </w:rPr>
        <w:t>Trial of disability services model</w:t>
      </w:r>
      <w:bookmarkEnd w:id="32"/>
      <w:bookmarkEnd w:id="33"/>
      <w:bookmarkEnd w:id="34"/>
      <w:bookmarkEnd w:id="35"/>
      <w:bookmarkEnd w:id="36"/>
      <w:bookmarkEnd w:id="37"/>
      <w:bookmarkEnd w:id="38"/>
      <w:bookmarkEnd w:id="39"/>
    </w:p>
    <w:p>
      <w:pPr>
        <w:pStyle w:val="Footnoteheading"/>
      </w:pPr>
      <w:r>
        <w:tab/>
        <w:t>[Heading inserted in Gazette 30 Jun 2014 p. 2395.]</w:t>
      </w:r>
    </w:p>
    <w:p>
      <w:pPr>
        <w:pStyle w:val="Heading3"/>
      </w:pPr>
      <w:bookmarkStart w:id="40" w:name="_Toc424824465"/>
      <w:bookmarkStart w:id="41" w:name="_Toc424825054"/>
      <w:bookmarkStart w:id="42" w:name="_Toc424825124"/>
      <w:bookmarkStart w:id="43" w:name="_Toc424833404"/>
      <w:bookmarkStart w:id="44" w:name="_Toc453577815"/>
      <w:bookmarkStart w:id="45" w:name="_Toc453588350"/>
      <w:bookmarkStart w:id="46" w:name="_Toc453588420"/>
      <w:bookmarkStart w:id="47" w:name="_Toc455389745"/>
      <w:r>
        <w:rPr>
          <w:rStyle w:val="CharDivNo"/>
        </w:rPr>
        <w:t>Division 1</w:t>
      </w:r>
      <w:r>
        <w:t> — </w:t>
      </w:r>
      <w:r>
        <w:rPr>
          <w:rStyle w:val="CharDivText"/>
        </w:rPr>
        <w:t>General</w:t>
      </w:r>
      <w:bookmarkEnd w:id="40"/>
      <w:bookmarkEnd w:id="41"/>
      <w:bookmarkEnd w:id="42"/>
      <w:bookmarkEnd w:id="43"/>
      <w:bookmarkEnd w:id="44"/>
      <w:bookmarkEnd w:id="45"/>
      <w:bookmarkEnd w:id="46"/>
      <w:bookmarkEnd w:id="47"/>
    </w:p>
    <w:p>
      <w:pPr>
        <w:pStyle w:val="Footnoteheading"/>
      </w:pPr>
      <w:r>
        <w:tab/>
        <w:t>[Heading inserted in Gazette 30 Jun 2014 p. 2395.]</w:t>
      </w:r>
    </w:p>
    <w:p>
      <w:pPr>
        <w:pStyle w:val="Heading5"/>
      </w:pPr>
      <w:bookmarkStart w:id="48" w:name="_Toc455389746"/>
      <w:bookmarkStart w:id="49" w:name="_Toc453588421"/>
      <w:r>
        <w:rPr>
          <w:rStyle w:val="CharSectno"/>
        </w:rPr>
        <w:t>11</w:t>
      </w:r>
      <w:r>
        <w:t>.</w:t>
      </w:r>
      <w:r>
        <w:tab/>
        <w:t>Terms used</w:t>
      </w:r>
      <w:bookmarkEnd w:id="48"/>
      <w:bookmarkEnd w:id="49"/>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w:t>
      </w:r>
    </w:p>
    <w:p>
      <w:pPr>
        <w:pStyle w:val="Heading5"/>
      </w:pPr>
      <w:bookmarkStart w:id="50" w:name="_Toc455389747"/>
      <w:bookmarkStart w:id="51" w:name="_Toc453588422"/>
      <w:r>
        <w:rPr>
          <w:rStyle w:val="CharSectno"/>
        </w:rPr>
        <w:t>12</w:t>
      </w:r>
      <w:r>
        <w:t>.</w:t>
      </w:r>
      <w:r>
        <w:tab/>
        <w:t>Trial areas and periods (s. 26G)</w:t>
      </w:r>
      <w:bookmarkEnd w:id="50"/>
      <w:bookmarkEnd w:id="51"/>
    </w:p>
    <w:p>
      <w:pPr>
        <w:pStyle w:val="Subsection"/>
      </w:pPr>
      <w:r>
        <w:tab/>
        <w:t>(1)</w:t>
      </w:r>
      <w:r>
        <w:tab/>
        <w:t>For the purposes of section 26G(1) of the Act, the Lower South West area, the Cockburn</w:t>
      </w:r>
      <w:r>
        <w:noBreakHyphen/>
        <w:t>Kwinana area and the Ranges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Footnotesection"/>
      </w:pPr>
      <w:r>
        <w:tab/>
        <w:t>[Regulation 12 inserted in Gazette 30 Jun 2014 p. 2396; amended in Gazette 14 Jun 2016 p. 1821.]</w:t>
      </w:r>
    </w:p>
    <w:p>
      <w:pPr>
        <w:pStyle w:val="Heading5"/>
      </w:pPr>
      <w:bookmarkStart w:id="52" w:name="_Toc455389748"/>
      <w:bookmarkStart w:id="53" w:name="_Toc453588423"/>
      <w:r>
        <w:rPr>
          <w:rStyle w:val="CharSectno"/>
        </w:rPr>
        <w:t>13</w:t>
      </w:r>
      <w:r>
        <w:t>.</w:t>
      </w:r>
      <w:r>
        <w:tab/>
        <w:t>Disclosure of information (s. 52)</w:t>
      </w:r>
      <w:bookmarkEnd w:id="52"/>
      <w:bookmarkEnd w:id="53"/>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54" w:name="_Toc424824469"/>
      <w:bookmarkStart w:id="55" w:name="_Toc424825058"/>
      <w:bookmarkStart w:id="56" w:name="_Toc424825128"/>
      <w:bookmarkStart w:id="57" w:name="_Toc424833408"/>
      <w:bookmarkStart w:id="58" w:name="_Toc453577819"/>
      <w:bookmarkStart w:id="59" w:name="_Toc453588354"/>
      <w:bookmarkStart w:id="60" w:name="_Toc453588424"/>
      <w:bookmarkStart w:id="61" w:name="_Toc455389749"/>
      <w:r>
        <w:rPr>
          <w:rStyle w:val="CharDivNo"/>
        </w:rPr>
        <w:t>Division 2</w:t>
      </w:r>
      <w:r>
        <w:t> — </w:t>
      </w:r>
      <w:r>
        <w:rPr>
          <w:rStyle w:val="CharDivText"/>
        </w:rPr>
        <w:t>Becoming a participant</w:t>
      </w:r>
      <w:bookmarkEnd w:id="54"/>
      <w:bookmarkEnd w:id="55"/>
      <w:bookmarkEnd w:id="56"/>
      <w:bookmarkEnd w:id="57"/>
      <w:bookmarkEnd w:id="58"/>
      <w:bookmarkEnd w:id="59"/>
      <w:bookmarkEnd w:id="60"/>
      <w:bookmarkEnd w:id="61"/>
      <w:r>
        <w:t xml:space="preserve"> </w:t>
      </w:r>
    </w:p>
    <w:p>
      <w:pPr>
        <w:pStyle w:val="Footnoteheading"/>
      </w:pPr>
      <w:r>
        <w:tab/>
        <w:t>[Heading inserted in Gazette 30 Jun 2014 p. 2396.]</w:t>
      </w:r>
    </w:p>
    <w:p>
      <w:pPr>
        <w:pStyle w:val="Heading4"/>
      </w:pPr>
      <w:bookmarkStart w:id="62" w:name="_Toc424824470"/>
      <w:bookmarkStart w:id="63" w:name="_Toc424825059"/>
      <w:bookmarkStart w:id="64" w:name="_Toc424825129"/>
      <w:bookmarkStart w:id="65" w:name="_Toc424833409"/>
      <w:bookmarkStart w:id="66" w:name="_Toc453577820"/>
      <w:bookmarkStart w:id="67" w:name="_Toc453588355"/>
      <w:bookmarkStart w:id="68" w:name="_Toc453588425"/>
      <w:bookmarkStart w:id="69" w:name="_Toc455389750"/>
      <w:r>
        <w:t>Subdivision 1 — General</w:t>
      </w:r>
      <w:bookmarkEnd w:id="62"/>
      <w:bookmarkEnd w:id="63"/>
      <w:bookmarkEnd w:id="64"/>
      <w:bookmarkEnd w:id="65"/>
      <w:bookmarkEnd w:id="66"/>
      <w:bookmarkEnd w:id="67"/>
      <w:bookmarkEnd w:id="68"/>
      <w:bookmarkEnd w:id="69"/>
    </w:p>
    <w:p>
      <w:pPr>
        <w:pStyle w:val="Footnoteheading"/>
      </w:pPr>
      <w:r>
        <w:tab/>
        <w:t>[Heading inserted in Gazette 30 Jun 2014 p. 2396.]</w:t>
      </w:r>
    </w:p>
    <w:p>
      <w:pPr>
        <w:pStyle w:val="Heading5"/>
      </w:pPr>
      <w:bookmarkStart w:id="70" w:name="_Toc455389751"/>
      <w:bookmarkStart w:id="71" w:name="_Toc453588426"/>
      <w:r>
        <w:rPr>
          <w:rStyle w:val="CharSectno"/>
        </w:rPr>
        <w:t>14</w:t>
      </w:r>
      <w:r>
        <w:t>.</w:t>
      </w:r>
      <w:r>
        <w:tab/>
        <w:t>References in regulation headings to comparable Commonwealth rules</w:t>
      </w:r>
      <w:bookmarkEnd w:id="70"/>
      <w:bookmarkEnd w:id="71"/>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72" w:name="_Toc424824472"/>
      <w:bookmarkStart w:id="73" w:name="_Toc424825061"/>
      <w:bookmarkStart w:id="74" w:name="_Toc424825131"/>
      <w:bookmarkStart w:id="75" w:name="_Toc424833411"/>
      <w:bookmarkStart w:id="76" w:name="_Toc453577822"/>
      <w:bookmarkStart w:id="77" w:name="_Toc453588357"/>
      <w:bookmarkStart w:id="78" w:name="_Toc453588427"/>
      <w:bookmarkStart w:id="79" w:name="_Toc455389752"/>
      <w:r>
        <w:t>Subdivision 2 — Residence requirements</w:t>
      </w:r>
      <w:bookmarkEnd w:id="72"/>
      <w:bookmarkEnd w:id="73"/>
      <w:bookmarkEnd w:id="74"/>
      <w:bookmarkEnd w:id="75"/>
      <w:bookmarkEnd w:id="76"/>
      <w:bookmarkEnd w:id="77"/>
      <w:bookmarkEnd w:id="78"/>
      <w:bookmarkEnd w:id="79"/>
    </w:p>
    <w:p>
      <w:pPr>
        <w:pStyle w:val="Footnoteheading"/>
        <w:keepNext/>
      </w:pPr>
      <w:r>
        <w:tab/>
        <w:t>[Heading inserted in Gazette 30 Jun 2014 p. 2397.]</w:t>
      </w:r>
    </w:p>
    <w:p>
      <w:pPr>
        <w:pStyle w:val="Heading5"/>
      </w:pPr>
      <w:bookmarkStart w:id="80" w:name="_Toc455389753"/>
      <w:bookmarkStart w:id="81" w:name="_Toc453588428"/>
      <w:r>
        <w:rPr>
          <w:rStyle w:val="CharSectno"/>
        </w:rPr>
        <w:t>15</w:t>
      </w:r>
      <w:r>
        <w:t>.</w:t>
      </w:r>
      <w:r>
        <w:tab/>
        <w:t>Qualifying residence requirement to be met (additional residence requirement NDIS rule 4.1(c))</w:t>
      </w:r>
      <w:bookmarkEnd w:id="80"/>
      <w:bookmarkEnd w:id="81"/>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82" w:name="_Toc455389754"/>
      <w:bookmarkStart w:id="83" w:name="_Toc453588429"/>
      <w:r>
        <w:rPr>
          <w:rStyle w:val="CharSectno"/>
        </w:rPr>
        <w:t>16</w:t>
      </w:r>
      <w:r>
        <w:t>.</w:t>
      </w:r>
      <w:r>
        <w:tab/>
        <w:t xml:space="preserve">Qualifying residence requirement (additional residence requirement NDIS rules 4.6 </w:t>
      </w:r>
      <w:r>
        <w:noBreakHyphen/>
        <w:t xml:space="preserve"> 4.8)</w:t>
      </w:r>
      <w:bookmarkEnd w:id="82"/>
      <w:bookmarkEnd w:id="83"/>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 14 Jun 2016 p. 1821</w:t>
      </w:r>
      <w:r>
        <w:noBreakHyphen/>
        <w:t>2 and 1823.]</w:t>
      </w:r>
    </w:p>
    <w:p>
      <w:pPr>
        <w:pStyle w:val="Heading5"/>
      </w:pPr>
      <w:bookmarkStart w:id="84" w:name="_Toc455389755"/>
      <w:bookmarkStart w:id="85" w:name="_Toc453588430"/>
      <w:r>
        <w:rPr>
          <w:rStyle w:val="CharSectno"/>
        </w:rPr>
        <w:t>17</w:t>
      </w:r>
      <w:r>
        <w:t>.</w:t>
      </w:r>
      <w:r>
        <w:tab/>
        <w:t>Ongoing residence requirement to be met (additional residence requirement NDIS rule 4.1(c))</w:t>
      </w:r>
      <w:bookmarkEnd w:id="84"/>
      <w:bookmarkEnd w:id="85"/>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86" w:name="_Toc455389756"/>
      <w:bookmarkStart w:id="87" w:name="_Toc453588431"/>
      <w:r>
        <w:rPr>
          <w:rStyle w:val="CharSectno"/>
        </w:rPr>
        <w:t>18</w:t>
      </w:r>
      <w:r>
        <w:t>.</w:t>
      </w:r>
      <w:r>
        <w:tab/>
        <w:t xml:space="preserve">Ongoing residence requirement (additional residence requirement NDIS rules 4.9 </w:t>
      </w:r>
      <w:r>
        <w:noBreakHyphen/>
        <w:t xml:space="preserve"> 4.11)</w:t>
      </w:r>
      <w:bookmarkEnd w:id="86"/>
      <w:bookmarkEnd w:id="87"/>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88" w:name="_Toc424824477"/>
      <w:bookmarkStart w:id="89" w:name="_Toc424825066"/>
      <w:bookmarkStart w:id="90" w:name="_Toc424825136"/>
      <w:bookmarkStart w:id="91" w:name="_Toc424833416"/>
      <w:bookmarkStart w:id="92" w:name="_Toc453577827"/>
      <w:bookmarkStart w:id="93" w:name="_Toc453588362"/>
      <w:bookmarkStart w:id="94" w:name="_Toc453588432"/>
      <w:bookmarkStart w:id="95" w:name="_Toc455389757"/>
      <w:r>
        <w:t>Subdivision 3 — Disability requirements</w:t>
      </w:r>
      <w:bookmarkEnd w:id="88"/>
      <w:bookmarkEnd w:id="89"/>
      <w:bookmarkEnd w:id="90"/>
      <w:bookmarkEnd w:id="91"/>
      <w:bookmarkEnd w:id="92"/>
      <w:bookmarkEnd w:id="93"/>
      <w:bookmarkEnd w:id="94"/>
      <w:bookmarkEnd w:id="95"/>
    </w:p>
    <w:p>
      <w:pPr>
        <w:pStyle w:val="Footnoteheading"/>
      </w:pPr>
      <w:r>
        <w:tab/>
        <w:t>[Heading inserted in Gazette 30 Jun 2014 p. 2400.]</w:t>
      </w:r>
    </w:p>
    <w:p>
      <w:pPr>
        <w:pStyle w:val="Heading5"/>
      </w:pPr>
      <w:bookmarkStart w:id="96" w:name="_Toc455389758"/>
      <w:bookmarkStart w:id="97" w:name="_Toc453588433"/>
      <w:r>
        <w:rPr>
          <w:rStyle w:val="CharSectno"/>
        </w:rPr>
        <w:t>19</w:t>
      </w:r>
      <w:r>
        <w:t>.</w:t>
      </w:r>
      <w:r>
        <w:tab/>
        <w:t xml:space="preserve">Disability requirement — permanent impairment (NDIS rules 5.4 </w:t>
      </w:r>
      <w:r>
        <w:noBreakHyphen/>
        <w:t xml:space="preserve"> 5.7)</w:t>
      </w:r>
      <w:bookmarkEnd w:id="96"/>
      <w:bookmarkEnd w:id="97"/>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98" w:name="_Toc455389759"/>
      <w:bookmarkStart w:id="99" w:name="_Toc453588434"/>
      <w:r>
        <w:rPr>
          <w:rStyle w:val="CharSectno"/>
        </w:rPr>
        <w:t>20</w:t>
      </w:r>
      <w:r>
        <w:t>.</w:t>
      </w:r>
      <w:r>
        <w:tab/>
        <w:t>Disability requirement — substantially reduced functional capacity (NDIS rule 5.8)</w:t>
      </w:r>
      <w:bookmarkEnd w:id="98"/>
      <w:bookmarkEnd w:id="99"/>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00" w:name="_Toc424824480"/>
      <w:bookmarkStart w:id="101" w:name="_Toc424825069"/>
      <w:bookmarkStart w:id="102" w:name="_Toc424825139"/>
      <w:bookmarkStart w:id="103" w:name="_Toc424833419"/>
      <w:bookmarkStart w:id="104" w:name="_Toc453577830"/>
      <w:bookmarkStart w:id="105" w:name="_Toc453588365"/>
      <w:bookmarkStart w:id="106" w:name="_Toc453588435"/>
      <w:bookmarkStart w:id="107" w:name="_Toc455389760"/>
      <w:r>
        <w:t>Subdivision 4 — Early intervention requirements</w:t>
      </w:r>
      <w:bookmarkEnd w:id="100"/>
      <w:bookmarkEnd w:id="101"/>
      <w:bookmarkEnd w:id="102"/>
      <w:bookmarkEnd w:id="103"/>
      <w:bookmarkEnd w:id="104"/>
      <w:bookmarkEnd w:id="105"/>
      <w:bookmarkEnd w:id="106"/>
      <w:bookmarkEnd w:id="107"/>
    </w:p>
    <w:p>
      <w:pPr>
        <w:pStyle w:val="Footnoteheading"/>
      </w:pPr>
      <w:r>
        <w:tab/>
        <w:t>[Heading inserted in Gazette 30 Jun 2014 p. 2402.]</w:t>
      </w:r>
    </w:p>
    <w:p>
      <w:pPr>
        <w:pStyle w:val="Heading5"/>
      </w:pPr>
      <w:bookmarkStart w:id="108" w:name="_Toc455389761"/>
      <w:bookmarkStart w:id="109" w:name="_Toc453588436"/>
      <w:r>
        <w:rPr>
          <w:rStyle w:val="CharSectno"/>
        </w:rPr>
        <w:t>21</w:t>
      </w:r>
      <w:r>
        <w:t>.</w:t>
      </w:r>
      <w:r>
        <w:tab/>
        <w:t xml:space="preserve">Early intervention requirement — permanent impairment (NDIS rules 6.4 </w:t>
      </w:r>
      <w:r>
        <w:noBreakHyphen/>
        <w:t xml:space="preserve"> 6.7)</w:t>
      </w:r>
      <w:bookmarkEnd w:id="108"/>
      <w:bookmarkEnd w:id="109"/>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10" w:name="_Toc455389762"/>
      <w:bookmarkStart w:id="111" w:name="_Toc453588437"/>
      <w:r>
        <w:rPr>
          <w:rStyle w:val="CharSectno"/>
        </w:rPr>
        <w:t>22</w:t>
      </w:r>
      <w:r>
        <w:t>.</w:t>
      </w:r>
      <w:r>
        <w:tab/>
        <w:t>Early intervention requirement — supports to benefit person (NDIS rules 6.9 and 6.10)</w:t>
      </w:r>
      <w:bookmarkEnd w:id="110"/>
      <w:bookmarkEnd w:id="111"/>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12" w:name="_Toc424824483"/>
      <w:bookmarkStart w:id="113" w:name="_Toc424825072"/>
      <w:bookmarkStart w:id="114" w:name="_Toc424825142"/>
      <w:bookmarkStart w:id="115" w:name="_Toc424833422"/>
      <w:bookmarkStart w:id="116" w:name="_Toc453577833"/>
      <w:bookmarkStart w:id="117" w:name="_Toc453588368"/>
      <w:bookmarkStart w:id="118" w:name="_Toc453588438"/>
      <w:bookmarkStart w:id="119" w:name="_Toc455389763"/>
      <w:r>
        <w:t>Subdivision 5 — Assessment tools</w:t>
      </w:r>
      <w:bookmarkEnd w:id="112"/>
      <w:bookmarkEnd w:id="113"/>
      <w:bookmarkEnd w:id="114"/>
      <w:bookmarkEnd w:id="115"/>
      <w:bookmarkEnd w:id="116"/>
      <w:bookmarkEnd w:id="117"/>
      <w:bookmarkEnd w:id="118"/>
      <w:bookmarkEnd w:id="119"/>
    </w:p>
    <w:p>
      <w:pPr>
        <w:pStyle w:val="Footnoteheading"/>
      </w:pPr>
      <w:r>
        <w:tab/>
        <w:t>[Heading inserted in Gazette 30 Jun 2014 p. 2404.]</w:t>
      </w:r>
    </w:p>
    <w:p>
      <w:pPr>
        <w:pStyle w:val="Heading5"/>
      </w:pPr>
      <w:bookmarkStart w:id="120" w:name="_Toc455389764"/>
      <w:bookmarkStart w:id="121" w:name="_Toc453588439"/>
      <w:r>
        <w:rPr>
          <w:rStyle w:val="CharSectno"/>
        </w:rPr>
        <w:t>23</w:t>
      </w:r>
      <w:r>
        <w:t>.</w:t>
      </w:r>
      <w:r>
        <w:tab/>
        <w:t>Assessment tools may be used (NDIS rule 7.1)</w:t>
      </w:r>
      <w:bookmarkEnd w:id="120"/>
      <w:bookmarkEnd w:id="121"/>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22" w:name="_Toc424824485"/>
      <w:bookmarkStart w:id="123" w:name="_Toc424825074"/>
      <w:bookmarkStart w:id="124" w:name="_Toc424825144"/>
      <w:bookmarkStart w:id="125" w:name="_Toc424833424"/>
      <w:bookmarkStart w:id="126" w:name="_Toc453577835"/>
      <w:bookmarkStart w:id="127" w:name="_Toc453588370"/>
      <w:bookmarkStart w:id="128" w:name="_Toc453588440"/>
      <w:bookmarkStart w:id="129" w:name="_Toc455389765"/>
      <w:r>
        <w:rPr>
          <w:rStyle w:val="CharDivNo"/>
        </w:rPr>
        <w:t>Division 3</w:t>
      </w:r>
      <w:r>
        <w:t> — </w:t>
      </w:r>
      <w:r>
        <w:rPr>
          <w:rStyle w:val="CharDivText"/>
        </w:rPr>
        <w:t>Supports for participants</w:t>
      </w:r>
      <w:bookmarkEnd w:id="122"/>
      <w:bookmarkEnd w:id="123"/>
      <w:bookmarkEnd w:id="124"/>
      <w:bookmarkEnd w:id="125"/>
      <w:bookmarkEnd w:id="126"/>
      <w:bookmarkEnd w:id="127"/>
      <w:bookmarkEnd w:id="128"/>
      <w:bookmarkEnd w:id="129"/>
    </w:p>
    <w:p>
      <w:pPr>
        <w:pStyle w:val="Footnoteheading"/>
        <w:keepNext/>
      </w:pPr>
      <w:r>
        <w:tab/>
        <w:t>[Heading inserted in Gazette 30 Jun 2014 p. 2404.]</w:t>
      </w:r>
    </w:p>
    <w:p>
      <w:pPr>
        <w:pStyle w:val="Heading4"/>
      </w:pPr>
      <w:bookmarkStart w:id="130" w:name="_Toc424824486"/>
      <w:bookmarkStart w:id="131" w:name="_Toc424825075"/>
      <w:bookmarkStart w:id="132" w:name="_Toc424825145"/>
      <w:bookmarkStart w:id="133" w:name="_Toc424833425"/>
      <w:bookmarkStart w:id="134" w:name="_Toc453577836"/>
      <w:bookmarkStart w:id="135" w:name="_Toc453588371"/>
      <w:bookmarkStart w:id="136" w:name="_Toc453588441"/>
      <w:bookmarkStart w:id="137" w:name="_Toc455389766"/>
      <w:r>
        <w:t>Subdivision 1 — General</w:t>
      </w:r>
      <w:bookmarkEnd w:id="130"/>
      <w:bookmarkEnd w:id="131"/>
      <w:bookmarkEnd w:id="132"/>
      <w:bookmarkEnd w:id="133"/>
      <w:bookmarkEnd w:id="134"/>
      <w:bookmarkEnd w:id="135"/>
      <w:bookmarkEnd w:id="136"/>
      <w:bookmarkEnd w:id="137"/>
    </w:p>
    <w:p>
      <w:pPr>
        <w:pStyle w:val="Footnoteheading"/>
        <w:keepNext/>
      </w:pPr>
      <w:r>
        <w:tab/>
        <w:t>[Heading inserted in Gazette 30 Jun 2014 p. 2404.]</w:t>
      </w:r>
    </w:p>
    <w:p>
      <w:pPr>
        <w:pStyle w:val="Heading5"/>
      </w:pPr>
      <w:bookmarkStart w:id="138" w:name="_Toc455389767"/>
      <w:bookmarkStart w:id="139" w:name="_Toc453588442"/>
      <w:r>
        <w:rPr>
          <w:rStyle w:val="CharSectno"/>
        </w:rPr>
        <w:t>24</w:t>
      </w:r>
      <w:r>
        <w:t>.</w:t>
      </w:r>
      <w:r>
        <w:tab/>
        <w:t>References in regulation headings to comparable Commonwealth rules</w:t>
      </w:r>
      <w:bookmarkEnd w:id="138"/>
      <w:bookmarkEnd w:id="139"/>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40" w:name="_Toc424824488"/>
      <w:bookmarkStart w:id="141" w:name="_Toc424825077"/>
      <w:bookmarkStart w:id="142" w:name="_Toc424825147"/>
      <w:bookmarkStart w:id="143" w:name="_Toc424833427"/>
      <w:bookmarkStart w:id="144" w:name="_Toc453577838"/>
      <w:bookmarkStart w:id="145" w:name="_Toc453588373"/>
      <w:bookmarkStart w:id="146" w:name="_Toc453588443"/>
      <w:bookmarkStart w:id="147" w:name="_Toc455389768"/>
      <w:r>
        <w:t>Subdivision 2 — Assessing proposed supports</w:t>
      </w:r>
      <w:bookmarkEnd w:id="140"/>
      <w:bookmarkEnd w:id="141"/>
      <w:bookmarkEnd w:id="142"/>
      <w:bookmarkEnd w:id="143"/>
      <w:bookmarkEnd w:id="144"/>
      <w:bookmarkEnd w:id="145"/>
      <w:bookmarkEnd w:id="146"/>
      <w:bookmarkEnd w:id="147"/>
    </w:p>
    <w:p>
      <w:pPr>
        <w:pStyle w:val="Footnoteheading"/>
      </w:pPr>
      <w:r>
        <w:tab/>
        <w:t>[Heading inserted in Gazette 30 Jun 2014 p. 2405.]</w:t>
      </w:r>
    </w:p>
    <w:p>
      <w:pPr>
        <w:pStyle w:val="Heading5"/>
      </w:pPr>
      <w:bookmarkStart w:id="148" w:name="_Toc455389769"/>
      <w:bookmarkStart w:id="149" w:name="_Toc453588444"/>
      <w:r>
        <w:rPr>
          <w:rStyle w:val="CharSectno"/>
        </w:rPr>
        <w:t>25</w:t>
      </w:r>
      <w:r>
        <w:t>.</w:t>
      </w:r>
      <w:r>
        <w:tab/>
        <w:t>Value for money (NDIS rule 3.1)</w:t>
      </w:r>
      <w:bookmarkEnd w:id="148"/>
      <w:bookmarkEnd w:id="149"/>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50" w:name="_Toc455389770"/>
      <w:bookmarkStart w:id="151" w:name="_Toc453588445"/>
      <w:r>
        <w:rPr>
          <w:rStyle w:val="CharSectno"/>
        </w:rPr>
        <w:t>26</w:t>
      </w:r>
      <w:r>
        <w:t>.</w:t>
      </w:r>
      <w:r>
        <w:tab/>
        <w:t>Effective and beneficial and current good practice (NDIS rules 3.2 and 3.3)</w:t>
      </w:r>
      <w:bookmarkEnd w:id="150"/>
      <w:bookmarkEnd w:id="151"/>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52" w:name="_Toc455389771"/>
      <w:bookmarkStart w:id="153" w:name="_Toc453588446"/>
      <w:r>
        <w:rPr>
          <w:rStyle w:val="CharSectno"/>
        </w:rPr>
        <w:t>27</w:t>
      </w:r>
      <w:r>
        <w:t>.</w:t>
      </w:r>
      <w:r>
        <w:tab/>
        <w:t>Reasonable family, carer and other support (NDIS rule 3.4)</w:t>
      </w:r>
      <w:bookmarkEnd w:id="152"/>
      <w:bookmarkEnd w:id="153"/>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54" w:name="_Toc424824492"/>
      <w:bookmarkStart w:id="155" w:name="_Toc424825081"/>
      <w:bookmarkStart w:id="156" w:name="_Toc424825151"/>
      <w:bookmarkStart w:id="157" w:name="_Toc424833431"/>
      <w:bookmarkStart w:id="158" w:name="_Toc453577842"/>
      <w:bookmarkStart w:id="159" w:name="_Toc453588377"/>
      <w:bookmarkStart w:id="160" w:name="_Toc453588447"/>
      <w:bookmarkStart w:id="161" w:name="_Toc455389772"/>
      <w:r>
        <w:t>Subdivision 3 — Criteria for supports</w:t>
      </w:r>
      <w:bookmarkEnd w:id="154"/>
      <w:bookmarkEnd w:id="155"/>
      <w:bookmarkEnd w:id="156"/>
      <w:bookmarkEnd w:id="157"/>
      <w:bookmarkEnd w:id="158"/>
      <w:bookmarkEnd w:id="159"/>
      <w:bookmarkEnd w:id="160"/>
      <w:bookmarkEnd w:id="161"/>
    </w:p>
    <w:p>
      <w:pPr>
        <w:pStyle w:val="Footnoteheading"/>
      </w:pPr>
      <w:r>
        <w:tab/>
        <w:t>[Heading inserted in Gazette 30 Jun 2014 p. 2408.]</w:t>
      </w:r>
    </w:p>
    <w:p>
      <w:pPr>
        <w:pStyle w:val="Heading5"/>
      </w:pPr>
      <w:bookmarkStart w:id="162" w:name="_Toc455389773"/>
      <w:bookmarkStart w:id="163" w:name="_Toc453588448"/>
      <w:r>
        <w:rPr>
          <w:rStyle w:val="CharSectno"/>
        </w:rPr>
        <w:t>28</w:t>
      </w:r>
      <w:r>
        <w:t>.</w:t>
      </w:r>
      <w:r>
        <w:tab/>
        <w:t xml:space="preserve">General criteria for supports (NDIS rules 5.1 </w:t>
      </w:r>
      <w:r>
        <w:noBreakHyphen/>
        <w:t xml:space="preserve"> 5.3)</w:t>
      </w:r>
      <w:bookmarkEnd w:id="162"/>
      <w:bookmarkEnd w:id="163"/>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64" w:name="_Toc424824494"/>
      <w:bookmarkStart w:id="165" w:name="_Toc424825083"/>
      <w:bookmarkStart w:id="166" w:name="_Toc424825153"/>
      <w:bookmarkStart w:id="167" w:name="_Toc424833433"/>
      <w:bookmarkStart w:id="168" w:name="_Toc453577844"/>
      <w:bookmarkStart w:id="169" w:name="_Toc453588379"/>
      <w:bookmarkStart w:id="170" w:name="_Toc453588449"/>
      <w:bookmarkStart w:id="171" w:name="_Toc455389774"/>
      <w:r>
        <w:rPr>
          <w:rStyle w:val="CharDivNo"/>
        </w:rPr>
        <w:t>Division 4</w:t>
      </w:r>
      <w:r>
        <w:t> — </w:t>
      </w:r>
      <w:r>
        <w:rPr>
          <w:rStyle w:val="CharDivText"/>
        </w:rPr>
        <w:t>Supports for participants — accounting for compensation</w:t>
      </w:r>
      <w:bookmarkEnd w:id="164"/>
      <w:bookmarkEnd w:id="165"/>
      <w:bookmarkEnd w:id="166"/>
      <w:bookmarkEnd w:id="167"/>
      <w:bookmarkEnd w:id="168"/>
      <w:bookmarkEnd w:id="169"/>
      <w:bookmarkEnd w:id="170"/>
      <w:bookmarkEnd w:id="171"/>
    </w:p>
    <w:p>
      <w:pPr>
        <w:pStyle w:val="Footnoteheading"/>
      </w:pPr>
      <w:r>
        <w:tab/>
        <w:t>[Heading inserted in Gazette 30 Jun 2014 p. 2409.]</w:t>
      </w:r>
    </w:p>
    <w:p>
      <w:pPr>
        <w:pStyle w:val="Heading4"/>
      </w:pPr>
      <w:bookmarkStart w:id="172" w:name="_Toc424824495"/>
      <w:bookmarkStart w:id="173" w:name="_Toc424825084"/>
      <w:bookmarkStart w:id="174" w:name="_Toc424825154"/>
      <w:bookmarkStart w:id="175" w:name="_Toc424833434"/>
      <w:bookmarkStart w:id="176" w:name="_Toc453577845"/>
      <w:bookmarkStart w:id="177" w:name="_Toc453588380"/>
      <w:bookmarkStart w:id="178" w:name="_Toc453588450"/>
      <w:bookmarkStart w:id="179" w:name="_Toc455389775"/>
      <w:r>
        <w:t>Subdivision 1 — General</w:t>
      </w:r>
      <w:bookmarkEnd w:id="172"/>
      <w:bookmarkEnd w:id="173"/>
      <w:bookmarkEnd w:id="174"/>
      <w:bookmarkEnd w:id="175"/>
      <w:bookmarkEnd w:id="176"/>
      <w:bookmarkEnd w:id="177"/>
      <w:bookmarkEnd w:id="178"/>
      <w:bookmarkEnd w:id="179"/>
    </w:p>
    <w:p>
      <w:pPr>
        <w:pStyle w:val="Footnoteheading"/>
      </w:pPr>
      <w:r>
        <w:tab/>
        <w:t>[Heading inserted in Gazette 30 Jun 2014 p. 2409.]</w:t>
      </w:r>
    </w:p>
    <w:p>
      <w:pPr>
        <w:pStyle w:val="Heading5"/>
      </w:pPr>
      <w:bookmarkStart w:id="180" w:name="_Toc455389776"/>
      <w:bookmarkStart w:id="181" w:name="_Toc453588451"/>
      <w:r>
        <w:rPr>
          <w:rStyle w:val="CharSectno"/>
        </w:rPr>
        <w:t>29</w:t>
      </w:r>
      <w:r>
        <w:t>.</w:t>
      </w:r>
      <w:r>
        <w:tab/>
        <w:t>Terms used</w:t>
      </w:r>
      <w:bookmarkEnd w:id="180"/>
      <w:bookmarkEnd w:id="181"/>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82" w:name="_Toc455389777"/>
      <w:bookmarkStart w:id="183" w:name="_Toc453588452"/>
      <w:r>
        <w:rPr>
          <w:rStyle w:val="CharSectno"/>
        </w:rPr>
        <w:t>30</w:t>
      </w:r>
      <w:r>
        <w:t>.</w:t>
      </w:r>
      <w:r>
        <w:tab/>
        <w:t>References in regulation headings to comparable Commonwealth rules</w:t>
      </w:r>
      <w:bookmarkEnd w:id="182"/>
      <w:bookmarkEnd w:id="183"/>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84" w:name="_Toc424824498"/>
      <w:bookmarkStart w:id="185" w:name="_Toc424825087"/>
      <w:bookmarkStart w:id="186" w:name="_Toc424825157"/>
      <w:bookmarkStart w:id="187" w:name="_Toc424833437"/>
      <w:bookmarkStart w:id="188" w:name="_Toc453577848"/>
      <w:bookmarkStart w:id="189" w:name="_Toc453588383"/>
      <w:bookmarkStart w:id="190" w:name="_Toc453588453"/>
      <w:bookmarkStart w:id="191" w:name="_Toc455389778"/>
      <w:r>
        <w:t>Subdivision 2 — Compensation</w:t>
      </w:r>
      <w:bookmarkEnd w:id="184"/>
      <w:bookmarkEnd w:id="185"/>
      <w:bookmarkEnd w:id="186"/>
      <w:bookmarkEnd w:id="187"/>
      <w:bookmarkEnd w:id="188"/>
      <w:bookmarkEnd w:id="189"/>
      <w:bookmarkEnd w:id="190"/>
      <w:bookmarkEnd w:id="191"/>
    </w:p>
    <w:p>
      <w:pPr>
        <w:pStyle w:val="Footnoteheading"/>
      </w:pPr>
      <w:r>
        <w:tab/>
        <w:t>[Heading inserted in Gazette 30 Jun 2014 p. 2410.]</w:t>
      </w:r>
    </w:p>
    <w:p>
      <w:pPr>
        <w:pStyle w:val="Heading5"/>
      </w:pPr>
      <w:bookmarkStart w:id="192" w:name="_Toc455389779"/>
      <w:bookmarkStart w:id="193" w:name="_Toc453588454"/>
      <w:r>
        <w:rPr>
          <w:rStyle w:val="CharSectno"/>
        </w:rPr>
        <w:t>31</w:t>
      </w:r>
      <w:r>
        <w:t>.</w:t>
      </w:r>
      <w:r>
        <w:tab/>
        <w:t>Application of Division (NDIS rules 3.1 and 3.2)</w:t>
      </w:r>
      <w:bookmarkEnd w:id="192"/>
      <w:bookmarkEnd w:id="193"/>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194" w:name="_Toc455389780"/>
      <w:bookmarkStart w:id="195" w:name="_Toc453588455"/>
      <w:r>
        <w:rPr>
          <w:rStyle w:val="CharSectno"/>
        </w:rPr>
        <w:t>32</w:t>
      </w:r>
      <w:r>
        <w:t>.</w:t>
      </w:r>
      <w:r>
        <w:tab/>
        <w:t>Periodic payments (NDIS rule 3.3)</w:t>
      </w:r>
      <w:bookmarkEnd w:id="194"/>
      <w:bookmarkEnd w:id="195"/>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96" w:name="_Toc424824501"/>
      <w:bookmarkStart w:id="197" w:name="_Toc424825090"/>
      <w:bookmarkStart w:id="198" w:name="_Toc424825160"/>
      <w:bookmarkStart w:id="199" w:name="_Toc424833440"/>
      <w:bookmarkStart w:id="200" w:name="_Toc453577851"/>
      <w:bookmarkStart w:id="201" w:name="_Toc453588386"/>
      <w:bookmarkStart w:id="202" w:name="_Toc453588456"/>
      <w:bookmarkStart w:id="203" w:name="_Toc455389781"/>
      <w:r>
        <w:t>Subdivision 3 — Compensation, or foregone compensation, to be taken into account</w:t>
      </w:r>
      <w:bookmarkEnd w:id="196"/>
      <w:bookmarkEnd w:id="197"/>
      <w:bookmarkEnd w:id="198"/>
      <w:bookmarkEnd w:id="199"/>
      <w:bookmarkEnd w:id="200"/>
      <w:bookmarkEnd w:id="201"/>
      <w:bookmarkEnd w:id="202"/>
      <w:bookmarkEnd w:id="203"/>
    </w:p>
    <w:p>
      <w:pPr>
        <w:pStyle w:val="Footnoteheading"/>
      </w:pPr>
      <w:r>
        <w:tab/>
        <w:t>[Heading inserted in Gazette 30 Jun 2014 p. 2413.]</w:t>
      </w:r>
    </w:p>
    <w:p>
      <w:pPr>
        <w:pStyle w:val="Heading5"/>
      </w:pPr>
      <w:bookmarkStart w:id="204" w:name="_Toc455389782"/>
      <w:bookmarkStart w:id="205" w:name="_Toc453588457"/>
      <w:r>
        <w:rPr>
          <w:rStyle w:val="CharSectno"/>
        </w:rPr>
        <w:t>33</w:t>
      </w:r>
      <w:r>
        <w:t>.</w:t>
      </w:r>
      <w:r>
        <w:tab/>
        <w:t>Funding to be reduced by compensation reduction amount (NDIS rules 3.5 and 3.6)</w:t>
      </w:r>
      <w:bookmarkEnd w:id="204"/>
      <w:bookmarkEnd w:id="205"/>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06" w:name="_Toc455389783"/>
      <w:bookmarkStart w:id="207" w:name="_Toc453588458"/>
      <w:r>
        <w:rPr>
          <w:rStyle w:val="CharSectno"/>
        </w:rPr>
        <w:t>34</w:t>
      </w:r>
      <w:r>
        <w:t>.</w:t>
      </w:r>
      <w:r>
        <w:tab/>
        <w:t>Reduction may be amortised (NDIS rule 3.7)</w:t>
      </w:r>
      <w:bookmarkEnd w:id="206"/>
      <w:bookmarkEnd w:id="207"/>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08" w:name="_Toc455389784"/>
      <w:bookmarkStart w:id="209" w:name="_Toc453588459"/>
      <w:r>
        <w:rPr>
          <w:rStyle w:val="CharSectno"/>
        </w:rPr>
        <w:t>35</w:t>
      </w:r>
      <w:r>
        <w:t>.</w:t>
      </w:r>
      <w:r>
        <w:tab/>
        <w:t>Commission may advise person as to likely compensation reduction amount (NDIS rule 3.8)</w:t>
      </w:r>
      <w:bookmarkEnd w:id="208"/>
      <w:bookmarkEnd w:id="209"/>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10" w:name="_Toc455389785"/>
      <w:bookmarkStart w:id="211" w:name="_Toc453588460"/>
      <w:r>
        <w:rPr>
          <w:rStyle w:val="CharSectno"/>
        </w:rPr>
        <w:t>36</w:t>
      </w:r>
      <w:r>
        <w:t>.</w:t>
      </w:r>
      <w:r>
        <w:tab/>
        <w:t>Special circumstances (NDIS rule 3.10)</w:t>
      </w:r>
      <w:bookmarkEnd w:id="210"/>
      <w:bookmarkEnd w:id="211"/>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12" w:name="_Toc424824506"/>
      <w:bookmarkStart w:id="213" w:name="_Toc424825095"/>
      <w:bookmarkStart w:id="214" w:name="_Toc424825165"/>
      <w:bookmarkStart w:id="215" w:name="_Toc424833445"/>
      <w:bookmarkStart w:id="216" w:name="_Toc453577856"/>
      <w:bookmarkStart w:id="217" w:name="_Toc453588391"/>
      <w:bookmarkStart w:id="218" w:name="_Toc453588461"/>
      <w:bookmarkStart w:id="219" w:name="_Toc455389786"/>
      <w:r>
        <w:t>Subdivision 4 — Compensation reduction amount</w:t>
      </w:r>
      <w:bookmarkEnd w:id="212"/>
      <w:bookmarkEnd w:id="213"/>
      <w:bookmarkEnd w:id="214"/>
      <w:bookmarkEnd w:id="215"/>
      <w:bookmarkEnd w:id="216"/>
      <w:bookmarkEnd w:id="217"/>
      <w:bookmarkEnd w:id="218"/>
      <w:bookmarkEnd w:id="219"/>
    </w:p>
    <w:p>
      <w:pPr>
        <w:pStyle w:val="Footnoteheading"/>
      </w:pPr>
      <w:r>
        <w:tab/>
        <w:t>[Heading inserted in Gazette 30 Jun 2014 p. 2415.]</w:t>
      </w:r>
    </w:p>
    <w:p>
      <w:pPr>
        <w:pStyle w:val="Heading5"/>
      </w:pPr>
      <w:bookmarkStart w:id="220" w:name="_Toc455389787"/>
      <w:bookmarkStart w:id="221" w:name="_Toc453588462"/>
      <w:r>
        <w:rPr>
          <w:rStyle w:val="CharSectno"/>
        </w:rPr>
        <w:t>37</w:t>
      </w:r>
      <w:r>
        <w:t>.</w:t>
      </w:r>
      <w:r>
        <w:tab/>
        <w:t>Compensation reduction amount — support component objectively identified (NDIS rules 3.11 and 3.12)</w:t>
      </w:r>
      <w:bookmarkEnd w:id="220"/>
      <w:bookmarkEnd w:id="221"/>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22" w:name="_Toc455389788"/>
      <w:bookmarkStart w:id="223" w:name="_Toc453588463"/>
      <w:r>
        <w:rPr>
          <w:rStyle w:val="CharSectno"/>
        </w:rPr>
        <w:t>38</w:t>
      </w:r>
      <w:r>
        <w:t>.</w:t>
      </w:r>
      <w:r>
        <w:tab/>
        <w:t xml:space="preserve">Compensation reduction amount — other circumstances (NDIS rules 3.13 </w:t>
      </w:r>
      <w:r>
        <w:noBreakHyphen/>
        <w:t xml:space="preserve"> 3.16)</w:t>
      </w:r>
      <w:bookmarkEnd w:id="222"/>
      <w:bookmarkEnd w:id="223"/>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224" w:name="_Toc455389789"/>
      <w:bookmarkStart w:id="225" w:name="_Toc453588464"/>
      <w:r>
        <w:rPr>
          <w:rStyle w:val="CharSectno"/>
        </w:rPr>
        <w:t>39</w:t>
      </w:r>
      <w:r>
        <w:t>.</w:t>
      </w:r>
      <w:r>
        <w:tab/>
        <w:t>Compensation reduction amount — participant in a Commonwealth, State or Territory statutory insurance scheme (NDIS rules 3.17 and 3.18)</w:t>
      </w:r>
      <w:bookmarkEnd w:id="224"/>
      <w:bookmarkEnd w:id="225"/>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226" w:name="_Toc455389790"/>
      <w:bookmarkStart w:id="227" w:name="_Toc453588465"/>
      <w:r>
        <w:rPr>
          <w:rStyle w:val="CharSectno"/>
        </w:rPr>
        <w:t>40</w:t>
      </w:r>
      <w:r>
        <w:t>.</w:t>
      </w:r>
      <w:r>
        <w:tab/>
        <w:t xml:space="preserve">Compensation reduction amount — agreement to give up compensation (NDIS rules 3.19 </w:t>
      </w:r>
      <w:r>
        <w:noBreakHyphen/>
        <w:t xml:space="preserve"> 3.21)</w:t>
      </w:r>
      <w:bookmarkEnd w:id="226"/>
      <w:bookmarkEnd w:id="227"/>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228" w:name="_Toc424824511"/>
      <w:bookmarkStart w:id="229" w:name="_Toc424825100"/>
      <w:bookmarkStart w:id="230" w:name="_Toc424825170"/>
      <w:bookmarkStart w:id="231" w:name="_Toc424833450"/>
      <w:bookmarkStart w:id="232" w:name="_Toc453577861"/>
      <w:bookmarkStart w:id="233" w:name="_Toc453588396"/>
      <w:bookmarkStart w:id="234" w:name="_Toc453588466"/>
      <w:bookmarkStart w:id="235" w:name="_Toc455389791"/>
      <w:r>
        <w:rPr>
          <w:rStyle w:val="CharPartNo"/>
        </w:rPr>
        <w:t>Part 3</w:t>
      </w:r>
      <w:r>
        <w:rPr>
          <w:rStyle w:val="CharDivNo"/>
        </w:rPr>
        <w:t> </w:t>
      </w:r>
      <w:r>
        <w:t>—</w:t>
      </w:r>
      <w:r>
        <w:rPr>
          <w:rStyle w:val="CharDivText"/>
        </w:rPr>
        <w:t> </w:t>
      </w:r>
      <w:r>
        <w:rPr>
          <w:rStyle w:val="CharPartText"/>
        </w:rPr>
        <w:t>Complaints</w:t>
      </w:r>
      <w:bookmarkEnd w:id="228"/>
      <w:bookmarkEnd w:id="229"/>
      <w:bookmarkEnd w:id="230"/>
      <w:bookmarkEnd w:id="231"/>
      <w:bookmarkEnd w:id="232"/>
      <w:bookmarkEnd w:id="233"/>
      <w:bookmarkEnd w:id="234"/>
      <w:bookmarkEnd w:id="235"/>
    </w:p>
    <w:p>
      <w:pPr>
        <w:pStyle w:val="Footnoteheading"/>
      </w:pPr>
      <w:r>
        <w:tab/>
        <w:t>[Heading inserted in Gazette 17 Jul 2015 p. 2915.]</w:t>
      </w:r>
    </w:p>
    <w:p>
      <w:pPr>
        <w:pStyle w:val="Heading5"/>
      </w:pPr>
      <w:bookmarkStart w:id="236" w:name="_Toc455389792"/>
      <w:bookmarkStart w:id="237" w:name="_Toc453588467"/>
      <w:r>
        <w:rPr>
          <w:rStyle w:val="CharSectno"/>
        </w:rPr>
        <w:t>41</w:t>
      </w:r>
      <w:r>
        <w:t>.</w:t>
      </w:r>
      <w:r>
        <w:tab/>
        <w:t>Return of complaints received (s. 48A)</w:t>
      </w:r>
      <w:bookmarkEnd w:id="236"/>
      <w:bookmarkEnd w:id="237"/>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8" w:name="_Toc424824513"/>
      <w:bookmarkStart w:id="239" w:name="_Toc424825102"/>
      <w:bookmarkStart w:id="240" w:name="_Toc424825172"/>
      <w:bookmarkStart w:id="241" w:name="_Toc424833452"/>
      <w:bookmarkStart w:id="242" w:name="_Toc453577863"/>
      <w:bookmarkStart w:id="243" w:name="_Toc453588398"/>
      <w:bookmarkStart w:id="244" w:name="_Toc453588468"/>
      <w:bookmarkStart w:id="245" w:name="_Toc455389793"/>
      <w:r>
        <w:rPr>
          <w:rStyle w:val="CharSchNo"/>
        </w:rPr>
        <w:t>Schedule 1</w:t>
      </w:r>
      <w:r>
        <w:t> — </w:t>
      </w:r>
      <w:r>
        <w:rPr>
          <w:rStyle w:val="CharSchText"/>
        </w:rPr>
        <w:t>Public authorities to which Part 5 applies</w:t>
      </w:r>
      <w:bookmarkEnd w:id="238"/>
      <w:bookmarkEnd w:id="239"/>
      <w:bookmarkEnd w:id="240"/>
      <w:bookmarkEnd w:id="241"/>
      <w:bookmarkEnd w:id="242"/>
      <w:bookmarkEnd w:id="243"/>
      <w:bookmarkEnd w:id="244"/>
      <w:bookmarkEnd w:id="245"/>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rPr>
          <w:ins w:id="246" w:author="Master Repository Process" w:date="2021-08-01T03:37:00Z"/>
        </w:rPr>
      </w:pPr>
      <w:ins w:id="247" w:author="Master Repository Process" w:date="2021-08-01T03:37:00Z">
        <w:r>
          <w:t>4A.</w:t>
        </w:r>
        <w:r>
          <w:tab/>
          <w:t xml:space="preserve">A health service provider established by order under the </w:t>
        </w:r>
        <w:r>
          <w:rPr>
            <w:i/>
          </w:rPr>
          <w:t xml:space="preserve">Health Services Act 2016 </w:t>
        </w:r>
        <w:r>
          <w:t>section 32(1).</w:t>
        </w:r>
      </w:ins>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rPr>
          <w:del w:id="248" w:author="Master Repository Process" w:date="2021-08-01T03:37:00Z"/>
        </w:rPr>
      </w:pPr>
      <w:del w:id="249" w:author="Master Repository Process" w:date="2021-08-01T03:37:00Z">
        <w:r>
          <w:delText>11.</w:delText>
        </w:r>
        <w:r>
          <w:tab/>
          <w:delText xml:space="preserve">Fremantle Hospital established under the </w:delText>
        </w:r>
        <w:r>
          <w:rPr>
            <w:i/>
          </w:rPr>
          <w:delText>Hospitals and Health Services Act 1927</w:delText>
        </w:r>
        <w:r>
          <w:delText>.</w:delText>
        </w:r>
      </w:del>
    </w:p>
    <w:p>
      <w:pPr>
        <w:pStyle w:val="yEdnoteitem"/>
        <w:tabs>
          <w:tab w:val="clear" w:pos="2765"/>
          <w:tab w:val="clear" w:pos="3053"/>
          <w:tab w:val="left" w:pos="851"/>
        </w:tabs>
        <w:rPr>
          <w:ins w:id="250" w:author="Master Repository Process" w:date="2021-08-01T03:37:00Z"/>
        </w:rPr>
      </w:pPr>
      <w:ins w:id="251" w:author="Master Repository Process" w:date="2021-08-01T03:37:00Z">
        <w:r>
          <w:t>[11.</w:t>
        </w:r>
        <w:r>
          <w:tab/>
          <w:t>Deleted]</w:t>
        </w:r>
      </w:ins>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rPr>
          <w:del w:id="252" w:author="Master Repository Process" w:date="2021-08-01T03:37:00Z"/>
        </w:rPr>
      </w:pPr>
      <w:del w:id="253" w:author="Master Repository Process" w:date="2021-08-01T03:37:00Z">
        <w:r>
          <w:delText>14.</w:delText>
        </w:r>
        <w:r>
          <w:tab/>
          <w:delText xml:space="preserve">King Edward Memorial Hospital for Women established under the </w:delText>
        </w:r>
        <w:r>
          <w:rPr>
            <w:i/>
          </w:rPr>
          <w:delText>Hospitals and Health Services Act 1927</w:delText>
        </w:r>
        <w:r>
          <w:delText>.</w:delText>
        </w:r>
      </w:del>
    </w:p>
    <w:p>
      <w:pPr>
        <w:pStyle w:val="yEdnoteitem"/>
        <w:tabs>
          <w:tab w:val="clear" w:pos="2765"/>
          <w:tab w:val="clear" w:pos="3053"/>
          <w:tab w:val="left" w:pos="851"/>
        </w:tabs>
        <w:rPr>
          <w:ins w:id="254" w:author="Master Repository Process" w:date="2021-08-01T03:37:00Z"/>
        </w:rPr>
      </w:pPr>
      <w:ins w:id="255" w:author="Master Repository Process" w:date="2021-08-01T03:37:00Z">
        <w:r>
          <w:t>[14.</w:t>
        </w:r>
        <w:r>
          <w:tab/>
          <w:t>Deleted]</w:t>
        </w:r>
      </w:ins>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rPr>
          <w:del w:id="256" w:author="Master Repository Process" w:date="2021-08-01T03:37:00Z"/>
        </w:rPr>
      </w:pPr>
      <w:del w:id="257" w:author="Master Repository Process" w:date="2021-08-01T03:37:00Z">
        <w:r>
          <w:delText>18.</w:delText>
        </w:r>
        <w:r>
          <w:tab/>
          <w:delText xml:space="preserve">Princess Margaret Hospital for Children established under the </w:delText>
        </w:r>
        <w:r>
          <w:rPr>
            <w:i/>
          </w:rPr>
          <w:delText>Hospitals and Health Services Act 1927</w:delText>
        </w:r>
        <w:r>
          <w:delText>.</w:delText>
        </w:r>
      </w:del>
    </w:p>
    <w:p>
      <w:pPr>
        <w:pStyle w:val="yEdnoteitem"/>
        <w:tabs>
          <w:tab w:val="clear" w:pos="2765"/>
          <w:tab w:val="clear" w:pos="3053"/>
          <w:tab w:val="left" w:pos="851"/>
        </w:tabs>
        <w:rPr>
          <w:ins w:id="258" w:author="Master Repository Process" w:date="2021-08-01T03:37:00Z"/>
        </w:rPr>
      </w:pPr>
      <w:ins w:id="259" w:author="Master Repository Process" w:date="2021-08-01T03:37:00Z">
        <w:r>
          <w:t>[18.</w:t>
        </w:r>
        <w:r>
          <w:tab/>
          <w:t>Deleted]</w:t>
        </w:r>
      </w:ins>
    </w:p>
    <w:p>
      <w:pPr>
        <w:pStyle w:val="yNumberedItem"/>
      </w:pPr>
      <w:r>
        <w:t>19.</w:t>
      </w:r>
      <w:r>
        <w:tab/>
        <w:t xml:space="preserve">Regional Power Corporation established by the </w:t>
      </w:r>
      <w:r>
        <w:rPr>
          <w:i/>
        </w:rPr>
        <w:t>Electricity Corporations Act 2005</w:t>
      </w:r>
      <w:r>
        <w:t>.</w:t>
      </w:r>
    </w:p>
    <w:p>
      <w:pPr>
        <w:pStyle w:val="yNumberedItem"/>
        <w:rPr>
          <w:del w:id="260" w:author="Master Repository Process" w:date="2021-08-01T03:37:00Z"/>
        </w:rPr>
      </w:pPr>
      <w:del w:id="261" w:author="Master Repository Process" w:date="2021-08-01T03:37:00Z">
        <w:r>
          <w:delText>20.</w:delText>
        </w:r>
        <w:r>
          <w:tab/>
          <w:delText xml:space="preserve">Royal Perth Hospital established under the </w:delText>
        </w:r>
        <w:r>
          <w:rPr>
            <w:i/>
          </w:rPr>
          <w:delText>Hospitals and Health Services Act 1927</w:delText>
        </w:r>
        <w:r>
          <w:delText>.</w:delText>
        </w:r>
      </w:del>
    </w:p>
    <w:p>
      <w:pPr>
        <w:pStyle w:val="yNumberedItem"/>
        <w:rPr>
          <w:del w:id="262" w:author="Master Repository Process" w:date="2021-08-01T03:37:00Z"/>
        </w:rPr>
      </w:pPr>
      <w:del w:id="263" w:author="Master Repository Process" w:date="2021-08-01T03:37:00Z">
        <w:r>
          <w:delText>21.</w:delText>
        </w:r>
        <w:r>
          <w:tab/>
          <w:delText xml:space="preserve">Sir Charles Gairdner Hospital established under the </w:delText>
        </w:r>
        <w:r>
          <w:rPr>
            <w:i/>
          </w:rPr>
          <w:delText>Hospitals and Health Services Act 1927</w:delText>
        </w:r>
        <w:r>
          <w:delText>.</w:delText>
        </w:r>
      </w:del>
    </w:p>
    <w:p>
      <w:pPr>
        <w:pStyle w:val="yEdnoteitem"/>
        <w:tabs>
          <w:tab w:val="clear" w:pos="2765"/>
          <w:tab w:val="clear" w:pos="3053"/>
          <w:tab w:val="left" w:pos="851"/>
        </w:tabs>
        <w:rPr>
          <w:ins w:id="264" w:author="Master Repository Process" w:date="2021-08-01T03:37:00Z"/>
        </w:rPr>
      </w:pPr>
      <w:ins w:id="265" w:author="Master Repository Process" w:date="2021-08-01T03:37:00Z">
        <w:r>
          <w:t>[20-21.</w:t>
        </w:r>
        <w:r>
          <w:tab/>
          <w:t>Deleted]</w:t>
        </w:r>
      </w:ins>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ins w:id="266" w:author="Master Repository Process" w:date="2021-08-01T03:37:00Z">
        <w:r>
          <w:t>; 24 Jun 2016 p. 2311</w:t>
        </w:r>
      </w:ins>
      <w:r>
        <w:t>.]</w:t>
      </w:r>
    </w:p>
    <w:p>
      <w:pPr>
        <w:pStyle w:val="yScheduleHeading"/>
      </w:pPr>
      <w:bookmarkStart w:id="267" w:name="_Toc424824514"/>
      <w:bookmarkStart w:id="268" w:name="_Toc424825103"/>
      <w:bookmarkStart w:id="269" w:name="_Toc424825173"/>
      <w:bookmarkStart w:id="270" w:name="_Toc424833453"/>
      <w:bookmarkStart w:id="271" w:name="_Toc453577864"/>
      <w:bookmarkStart w:id="272" w:name="_Toc453588399"/>
      <w:bookmarkStart w:id="273" w:name="_Toc453588469"/>
      <w:bookmarkStart w:id="274" w:name="_Toc455389794"/>
      <w:r>
        <w:rPr>
          <w:rStyle w:val="CharSchNo"/>
        </w:rPr>
        <w:t>Schedule 2</w:t>
      </w:r>
      <w:r>
        <w:t> — </w:t>
      </w:r>
      <w:r>
        <w:rPr>
          <w:rStyle w:val="CharSchText"/>
        </w:rPr>
        <w:t>Standards for disability access and inclusion plans</w:t>
      </w:r>
      <w:bookmarkEnd w:id="267"/>
      <w:bookmarkEnd w:id="268"/>
      <w:bookmarkEnd w:id="269"/>
      <w:bookmarkEnd w:id="270"/>
      <w:bookmarkEnd w:id="271"/>
      <w:bookmarkEnd w:id="272"/>
      <w:bookmarkEnd w:id="273"/>
      <w:bookmarkEnd w:id="274"/>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75" w:name="_Toc424824515"/>
      <w:bookmarkStart w:id="276" w:name="_Toc424825104"/>
      <w:bookmarkStart w:id="277" w:name="_Toc424825174"/>
      <w:bookmarkStart w:id="278" w:name="_Toc424833454"/>
      <w:bookmarkStart w:id="279" w:name="_Toc453577865"/>
      <w:bookmarkStart w:id="280" w:name="_Toc453588400"/>
      <w:bookmarkStart w:id="281" w:name="_Toc453588470"/>
      <w:bookmarkStart w:id="282" w:name="_Toc455389795"/>
      <w:r>
        <w:rPr>
          <w:rStyle w:val="CharSchNo"/>
        </w:rPr>
        <w:t>Schedule 3</w:t>
      </w:r>
      <w:r>
        <w:t> — </w:t>
      </w:r>
      <w:r>
        <w:rPr>
          <w:rStyle w:val="CharSchText"/>
        </w:rPr>
        <w:t>Desired outcomes of disability access and inclusion plans</w:t>
      </w:r>
      <w:bookmarkEnd w:id="275"/>
      <w:bookmarkEnd w:id="276"/>
      <w:bookmarkEnd w:id="277"/>
      <w:bookmarkEnd w:id="278"/>
      <w:bookmarkEnd w:id="279"/>
      <w:bookmarkEnd w:id="280"/>
      <w:bookmarkEnd w:id="281"/>
      <w:bookmarkEnd w:id="282"/>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283" w:name="_Toc424824516"/>
      <w:bookmarkStart w:id="284" w:name="_Toc424825105"/>
      <w:bookmarkStart w:id="285" w:name="_Toc424825175"/>
      <w:bookmarkStart w:id="286" w:name="_Toc424833455"/>
      <w:bookmarkStart w:id="287" w:name="_Toc453577866"/>
      <w:bookmarkStart w:id="288" w:name="_Toc453588401"/>
      <w:bookmarkStart w:id="289" w:name="_Toc453588471"/>
      <w:bookmarkStart w:id="290" w:name="_Toc455389796"/>
      <w:r>
        <w:rPr>
          <w:rStyle w:val="CharSchNo"/>
        </w:rPr>
        <w:t>Schedule 4</w:t>
      </w:r>
      <w:r>
        <w:t> — </w:t>
      </w:r>
      <w:r>
        <w:rPr>
          <w:rStyle w:val="CharSchText"/>
        </w:rPr>
        <w:t>Prescribed service providers and complaint returns</w:t>
      </w:r>
      <w:bookmarkEnd w:id="283"/>
      <w:bookmarkEnd w:id="284"/>
      <w:bookmarkEnd w:id="285"/>
      <w:bookmarkEnd w:id="286"/>
      <w:bookmarkEnd w:id="287"/>
      <w:bookmarkEnd w:id="288"/>
      <w:bookmarkEnd w:id="289"/>
      <w:bookmarkEnd w:id="290"/>
    </w:p>
    <w:p>
      <w:pPr>
        <w:pStyle w:val="yShoulderClause"/>
      </w:pPr>
      <w:r>
        <w:t>[r. 41(2) and (3)]</w:t>
      </w:r>
    </w:p>
    <w:p>
      <w:pPr>
        <w:pStyle w:val="yFootnoteheading"/>
      </w:pPr>
      <w:r>
        <w:tab/>
        <w:t>[Heading inserted in Gazette 17 Jul 2015 p. 2916.]</w:t>
      </w:r>
    </w:p>
    <w:p>
      <w:pPr>
        <w:pStyle w:val="yHeading3"/>
      </w:pPr>
      <w:bookmarkStart w:id="291" w:name="_Toc424824517"/>
      <w:bookmarkStart w:id="292" w:name="_Toc424825106"/>
      <w:bookmarkStart w:id="293" w:name="_Toc424825176"/>
      <w:bookmarkStart w:id="294" w:name="_Toc424833456"/>
      <w:bookmarkStart w:id="295" w:name="_Toc453577867"/>
      <w:bookmarkStart w:id="296" w:name="_Toc453588402"/>
      <w:bookmarkStart w:id="297" w:name="_Toc453588472"/>
      <w:bookmarkStart w:id="298" w:name="_Toc455389797"/>
      <w:r>
        <w:rPr>
          <w:rStyle w:val="CharSDivNo"/>
        </w:rPr>
        <w:t>Division 1</w:t>
      </w:r>
      <w:r>
        <w:t> — </w:t>
      </w:r>
      <w:r>
        <w:rPr>
          <w:rStyle w:val="CharSDivText"/>
        </w:rPr>
        <w:t>Service providers</w:t>
      </w:r>
      <w:bookmarkEnd w:id="291"/>
      <w:bookmarkEnd w:id="292"/>
      <w:bookmarkEnd w:id="293"/>
      <w:bookmarkEnd w:id="294"/>
      <w:bookmarkEnd w:id="295"/>
      <w:bookmarkEnd w:id="296"/>
      <w:bookmarkEnd w:id="297"/>
      <w:bookmarkEnd w:id="298"/>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299" w:name="_Toc424824518"/>
      <w:bookmarkStart w:id="300" w:name="_Toc424825107"/>
      <w:bookmarkStart w:id="301" w:name="_Toc424825177"/>
      <w:bookmarkStart w:id="302" w:name="_Toc424833457"/>
      <w:bookmarkStart w:id="303" w:name="_Toc453577868"/>
      <w:bookmarkStart w:id="304" w:name="_Toc453588403"/>
      <w:bookmarkStart w:id="305" w:name="_Toc453588473"/>
      <w:bookmarkStart w:id="306" w:name="_Toc455389798"/>
      <w:r>
        <w:rPr>
          <w:rStyle w:val="CharSDivNo"/>
        </w:rPr>
        <w:t>Division 2</w:t>
      </w:r>
      <w:r>
        <w:t> — </w:t>
      </w:r>
      <w:r>
        <w:rPr>
          <w:rStyle w:val="CharSDivText"/>
        </w:rPr>
        <w:t>Form of complaint return</w:t>
      </w:r>
      <w:bookmarkEnd w:id="299"/>
      <w:bookmarkEnd w:id="300"/>
      <w:bookmarkEnd w:id="301"/>
      <w:bookmarkEnd w:id="302"/>
      <w:bookmarkEnd w:id="303"/>
      <w:bookmarkEnd w:id="304"/>
      <w:bookmarkEnd w:id="305"/>
      <w:bookmarkEnd w:id="306"/>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308" w:name="_Toc424824519"/>
      <w:bookmarkStart w:id="309" w:name="_Toc424825108"/>
      <w:bookmarkStart w:id="310" w:name="_Toc424825178"/>
      <w:bookmarkStart w:id="311" w:name="_Toc424833458"/>
      <w:bookmarkStart w:id="312" w:name="_Toc453577869"/>
      <w:bookmarkStart w:id="313" w:name="_Toc453588404"/>
      <w:bookmarkStart w:id="314" w:name="_Toc453588474"/>
      <w:bookmarkStart w:id="315" w:name="_Toc455389799"/>
      <w:r>
        <w:t>Notes</w:t>
      </w:r>
      <w:bookmarkEnd w:id="308"/>
      <w:bookmarkEnd w:id="309"/>
      <w:bookmarkEnd w:id="310"/>
      <w:bookmarkEnd w:id="311"/>
      <w:bookmarkEnd w:id="312"/>
      <w:bookmarkEnd w:id="313"/>
      <w:bookmarkEnd w:id="314"/>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6" w:name="_Toc455389800"/>
      <w:bookmarkStart w:id="317" w:name="_Toc453588475"/>
      <w:r>
        <w:rPr>
          <w:snapToGrid w:val="0"/>
        </w:rP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shd w:val="clear" w:color="auto" w:fill="auto"/>
          </w:tcPr>
          <w:p>
            <w:pPr>
              <w:pStyle w:val="nTable"/>
              <w:spacing w:before="60" w:after="60"/>
              <w:rPr>
                <w:i/>
              </w:rPr>
            </w:pPr>
            <w:r>
              <w:rPr>
                <w:i/>
              </w:rPr>
              <w:t>Disability Services Amendment Regulations (No. 2) 2016</w:t>
            </w:r>
          </w:p>
        </w:tc>
        <w:tc>
          <w:tcPr>
            <w:tcW w:w="1276" w:type="dxa"/>
            <w:shd w:val="clear" w:color="auto" w:fill="auto"/>
          </w:tcPr>
          <w:p>
            <w:pPr>
              <w:pStyle w:val="nTable"/>
              <w:spacing w:before="60" w:after="60"/>
            </w:pPr>
            <w:r>
              <w:t>14 Jun 2016 p. 1820</w:t>
            </w:r>
            <w:r>
              <w:noBreakHyphen/>
              <w:t>3</w:t>
            </w:r>
          </w:p>
        </w:tc>
        <w:tc>
          <w:tcPr>
            <w:tcW w:w="2693" w:type="dxa"/>
            <w:shd w:val="clear" w:color="auto" w:fill="auto"/>
          </w:tcPr>
          <w:p>
            <w:pPr>
              <w:pStyle w:val="nTable"/>
              <w:spacing w:before="60" w:after="60"/>
            </w:pPr>
            <w:r>
              <w:t>r. 1 and 2: 14 Jun 2016 (see r. 2(a));</w:t>
            </w:r>
            <w:r>
              <w:br/>
              <w:t>Regulations other than r. 1 and 2: 15 Jun 2016 (see r. 2(b))</w:t>
            </w:r>
          </w:p>
        </w:tc>
      </w:tr>
      <w:tr>
        <w:trPr>
          <w:ins w:id="318" w:author="Master Repository Process" w:date="2021-08-01T03:37:00Z"/>
        </w:trPr>
        <w:tc>
          <w:tcPr>
            <w:tcW w:w="3119" w:type="dxa"/>
            <w:tcBorders>
              <w:bottom w:val="single" w:sz="4" w:space="0" w:color="auto"/>
            </w:tcBorders>
            <w:shd w:val="clear" w:color="auto" w:fill="auto"/>
          </w:tcPr>
          <w:p>
            <w:pPr>
              <w:pStyle w:val="nTable"/>
              <w:spacing w:before="60" w:after="60"/>
              <w:rPr>
                <w:ins w:id="319" w:author="Master Repository Process" w:date="2021-08-01T03:37:00Z"/>
                <w:i/>
              </w:rPr>
            </w:pPr>
            <w:ins w:id="320" w:author="Master Repository Process" w:date="2021-08-01T03:37:00Z">
              <w:r>
                <w:rPr>
                  <w:i/>
                </w:rPr>
                <w:t>Disability Services Amendment Regulations (No. 3) 2016</w:t>
              </w:r>
            </w:ins>
          </w:p>
        </w:tc>
        <w:tc>
          <w:tcPr>
            <w:tcW w:w="1276" w:type="dxa"/>
            <w:tcBorders>
              <w:bottom w:val="single" w:sz="4" w:space="0" w:color="auto"/>
            </w:tcBorders>
            <w:shd w:val="clear" w:color="auto" w:fill="auto"/>
          </w:tcPr>
          <w:p>
            <w:pPr>
              <w:pStyle w:val="nTable"/>
              <w:spacing w:before="60" w:after="60"/>
              <w:rPr>
                <w:ins w:id="321" w:author="Master Repository Process" w:date="2021-08-01T03:37:00Z"/>
              </w:rPr>
            </w:pPr>
            <w:ins w:id="322" w:author="Master Repository Process" w:date="2021-08-01T03:37:00Z">
              <w:r>
                <w:t>24 Jun 2016 p. 2311</w:t>
              </w:r>
            </w:ins>
          </w:p>
        </w:tc>
        <w:tc>
          <w:tcPr>
            <w:tcW w:w="2693" w:type="dxa"/>
            <w:tcBorders>
              <w:bottom w:val="single" w:sz="4" w:space="0" w:color="auto"/>
            </w:tcBorders>
            <w:shd w:val="clear" w:color="auto" w:fill="auto"/>
          </w:tcPr>
          <w:p>
            <w:pPr>
              <w:pStyle w:val="nTable"/>
              <w:spacing w:before="60" w:after="60"/>
              <w:rPr>
                <w:ins w:id="323" w:author="Master Repository Process" w:date="2021-08-01T03:37:00Z"/>
              </w:rPr>
            </w:pPr>
            <w:ins w:id="324" w:author="Master Repository Process" w:date="2021-08-01T03:37:00Z">
              <w:r>
                <w:t>r. 1 and 2: 24 Jun 2016 (see r. 2(a));</w:t>
              </w:r>
              <w:r>
                <w:br/>
                <w:t xml:space="preserve">Regulations other than r. 1 and 2: 1 Jul 2016 (see r. 2(b) and </w:t>
              </w:r>
              <w:r>
                <w:rPr>
                  <w:i/>
                </w:rPr>
                <w:t>Gazette</w:t>
              </w:r>
              <w:r>
                <w:t xml:space="preserve"> 24 Jun 2016 p. 2291)</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38C89FD-3C5A-42BC-B4BB-B33AD2A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10794</Words>
  <Characters>57534</Characters>
  <Application>Microsoft Office Word</Application>
  <DocSecurity>0</DocSecurity>
  <Lines>1797</Lines>
  <Paragraphs>1019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01-f0-00 - 01-g0-00</dc:title>
  <dc:subject/>
  <dc:creator/>
  <cp:keywords/>
  <dc:description/>
  <cp:lastModifiedBy>Master Repository Process</cp:lastModifiedBy>
  <cp:revision>2</cp:revision>
  <cp:lastPrinted>2013-08-16T05:01:00Z</cp:lastPrinted>
  <dcterms:created xsi:type="dcterms:W3CDTF">2021-07-31T19:37:00Z</dcterms:created>
  <dcterms:modified xsi:type="dcterms:W3CDTF">2021-07-31T19:37:00Z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CommencementDate">
    <vt:lpwstr>20160701</vt:lpwstr>
  </property>
  <property fmtid="{D5CDD505-2E9C-101B-9397-08002B2CF9AE}" pid="8" name="FromSuffix">
    <vt:lpwstr>01-f0-00</vt:lpwstr>
  </property>
  <property fmtid="{D5CDD505-2E9C-101B-9397-08002B2CF9AE}" pid="9" name="FromAsAtDate">
    <vt:lpwstr>15 Jun 2016</vt:lpwstr>
  </property>
  <property fmtid="{D5CDD505-2E9C-101B-9397-08002B2CF9AE}" pid="10" name="ToSuffix">
    <vt:lpwstr>01-g0-00</vt:lpwstr>
  </property>
  <property fmtid="{D5CDD505-2E9C-101B-9397-08002B2CF9AE}" pid="11" name="ToAsAtDate">
    <vt:lpwstr>01 Jul 2016</vt:lpwstr>
  </property>
</Properties>
</file>