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2" w:name="_Toc379271239"/>
      <w:bookmarkStart w:id="3" w:name="_Toc424566856"/>
      <w:bookmarkStart w:id="4" w:name="_Toc455399655"/>
      <w:r>
        <w:rPr>
          <w:rStyle w:val="CharPartNo"/>
        </w:rPr>
        <w:t>Part 1</w:t>
      </w:r>
      <w:r>
        <w:rPr>
          <w:b w:val="0"/>
        </w:rPr>
        <w:t> </w:t>
      </w:r>
      <w:r>
        <w:t>—</w:t>
      </w:r>
      <w:r>
        <w:rPr>
          <w:b w:val="0"/>
        </w:rPr>
        <w:t> </w:t>
      </w:r>
      <w:r>
        <w:rPr>
          <w:rStyle w:val="CharPartText"/>
        </w:rPr>
        <w:t>Preliminary</w:t>
      </w:r>
      <w:bookmarkEnd w:id="2"/>
      <w:bookmarkEnd w:id="3"/>
      <w:bookmarkEnd w:id="4"/>
    </w:p>
    <w:p>
      <w:pPr>
        <w:pStyle w:val="Footnoteheading"/>
      </w:pPr>
      <w:r>
        <w:tab/>
        <w:t>[Heading inserted by No. 53 of 2006 s. 5.]</w:t>
      </w:r>
    </w:p>
    <w:p>
      <w:pPr>
        <w:pStyle w:val="Heading5"/>
        <w:suppressLineNumbers/>
        <w:rPr>
          <w:snapToGrid w:val="0"/>
        </w:rPr>
      </w:pPr>
      <w:bookmarkStart w:id="5" w:name="_Toc379271240"/>
      <w:bookmarkStart w:id="6" w:name="_Toc455399656"/>
      <w:bookmarkStart w:id="7" w:name="_Toc424566857"/>
      <w:r>
        <w:rPr>
          <w:rStyle w:val="CharSectno"/>
        </w:rPr>
        <w:t>1</w:t>
      </w:r>
      <w:r>
        <w:rPr>
          <w:snapToGrid w:val="0"/>
        </w:rPr>
        <w:t>.</w:t>
      </w:r>
      <w:r>
        <w:rPr>
          <w:snapToGrid w:val="0"/>
        </w:rPr>
        <w:tab/>
        <w:t>Short title</w:t>
      </w:r>
      <w:bookmarkEnd w:id="5"/>
      <w:bookmarkEnd w:id="6"/>
      <w:bookmarkEnd w:id="7"/>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8" w:name="_Toc379271241"/>
      <w:bookmarkStart w:id="9" w:name="_Toc455399657"/>
      <w:bookmarkStart w:id="10" w:name="_Toc424566858"/>
      <w:r>
        <w:rPr>
          <w:rStyle w:val="CharSectno"/>
        </w:rPr>
        <w:t>2</w:t>
      </w:r>
      <w:r>
        <w:rPr>
          <w:snapToGrid w:val="0"/>
        </w:rPr>
        <w:t>.</w:t>
      </w:r>
      <w:r>
        <w:rPr>
          <w:snapToGrid w:val="0"/>
        </w:rPr>
        <w:tab/>
        <w:t>Commencement</w:t>
      </w:r>
      <w:bookmarkEnd w:id="8"/>
      <w:bookmarkEnd w:id="9"/>
      <w:bookmarkEnd w:id="10"/>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11" w:name="_Toc379271242"/>
      <w:bookmarkStart w:id="12" w:name="_Toc455399658"/>
      <w:bookmarkStart w:id="13" w:name="_Toc424566859"/>
      <w:r>
        <w:rPr>
          <w:rStyle w:val="CharSectno"/>
        </w:rPr>
        <w:t>3</w:t>
      </w:r>
      <w:r>
        <w:t>.</w:t>
      </w:r>
      <w:r>
        <w:tab/>
        <w:t>Terms used in this Act</w:t>
      </w:r>
      <w:bookmarkEnd w:id="11"/>
      <w:bookmarkEnd w:id="12"/>
      <w:bookmarkEnd w:id="13"/>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w:t>
      </w:r>
      <w:del w:id="14" w:author="svcMRProcess" w:date="2016-07-04T14:27:00Z">
        <w:r>
          <w:rPr>
            <w:i/>
          </w:rPr>
          <w:delText>1987</w:delText>
        </w:r>
      </w:del>
      <w:ins w:id="15" w:author="svcMRProcess" w:date="2016-07-04T14:27:00Z">
        <w:r>
          <w:rPr>
            <w:i/>
          </w:rPr>
          <w:t>2015</w:t>
        </w:r>
      </w:ins>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ins w:id="16" w:author="svcMRProcess" w:date="2016-07-04T14:27:00Z">
        <w:r>
          <w:t xml:space="preserve"> or</w:t>
        </w:r>
      </w:ins>
    </w:p>
    <w:p>
      <w:pPr>
        <w:pStyle w:val="Defpara"/>
      </w:pPr>
      <w:r>
        <w:tab/>
        <w:t>(b)</w:t>
      </w:r>
      <w:r>
        <w:tab/>
        <w:t>for the purpose of promoting or encouraging literature, science or the arts;</w:t>
      </w:r>
      <w:ins w:id="17" w:author="svcMRProcess" w:date="2016-07-04T14:27:00Z">
        <w:r>
          <w:t xml:space="preserve"> or</w:t>
        </w:r>
      </w:ins>
    </w:p>
    <w:p>
      <w:pPr>
        <w:pStyle w:val="Defpara"/>
      </w:pPr>
      <w:r>
        <w:tab/>
        <w:t>(c)</w:t>
      </w:r>
      <w:r>
        <w:tab/>
        <w:t>for the purpose of sport, recreation or amusement;</w:t>
      </w:r>
      <w:ins w:id="18" w:author="svcMRProcess" w:date="2016-07-04T14:27:00Z">
        <w:r>
          <w:t xml:space="preserve"> or</w:t>
        </w:r>
      </w:ins>
    </w:p>
    <w:p>
      <w:pPr>
        <w:pStyle w:val="Defpara"/>
      </w:pPr>
      <w:r>
        <w:tab/>
        <w:t>(d)</w:t>
      </w:r>
      <w:r>
        <w:tab/>
        <w:t>for the purpose of caring for, treating or otherwise assisting people who need assistance because of a physical or mental disability or condition;</w:t>
      </w:r>
      <w:ins w:id="19" w:author="svcMRProcess" w:date="2016-07-04T14:27:00Z">
        <w:r>
          <w:t xml:space="preserve"> or</w:t>
        </w:r>
      </w:ins>
    </w:p>
    <w:p>
      <w:pPr>
        <w:pStyle w:val="Defpara"/>
      </w:pPr>
      <w:r>
        <w:tab/>
        <w:t>(e)</w:t>
      </w:r>
      <w:r>
        <w:tab/>
        <w:t>for the purpose of conserving or protecting the environment;</w:t>
      </w:r>
      <w:ins w:id="20" w:author="svcMRProcess" w:date="2016-07-04T14:27:00Z">
        <w:r>
          <w:t xml:space="preserve"> or</w:t>
        </w:r>
      </w:ins>
    </w:p>
    <w:p>
      <w:pPr>
        <w:pStyle w:val="Defpara"/>
      </w:pPr>
      <w:r>
        <w:tab/>
        <w:t>(f)</w:t>
      </w:r>
      <w:r>
        <w:tab/>
        <w:t>for the purpose of promoting or preserving historical or cultural heritage;</w:t>
      </w:r>
      <w:ins w:id="21" w:author="svcMRProcess" w:date="2016-07-04T14:27:00Z">
        <w:r>
          <w:t xml:space="preserve"> or</w:t>
        </w:r>
      </w:ins>
    </w:p>
    <w:p>
      <w:pPr>
        <w:pStyle w:val="Defpara"/>
      </w:pPr>
      <w:r>
        <w:tab/>
        <w:t>(g)</w:t>
      </w:r>
      <w:r>
        <w:tab/>
        <w:t>for the purpose of establishing, carrying on, or improving a community, social or cultural centre;</w:t>
      </w:r>
      <w:ins w:id="22" w:author="svcMRProcess" w:date="2016-07-04T14:27:00Z">
        <w:r>
          <w:t xml:space="preserve"> or</w:t>
        </w:r>
      </w:ins>
    </w:p>
    <w:p>
      <w:pPr>
        <w:pStyle w:val="Defpara"/>
      </w:pPr>
      <w:r>
        <w:tab/>
        <w:t>(h)</w:t>
      </w:r>
      <w:r>
        <w:tab/>
        <w:t>for the purpose of promoting the interests of a local community;</w:t>
      </w:r>
      <w:ins w:id="23" w:author="svcMRProcess" w:date="2016-07-04T14:27:00Z">
        <w:r>
          <w:t xml:space="preserve"> or</w:t>
        </w:r>
      </w:ins>
    </w:p>
    <w:p>
      <w:pPr>
        <w:pStyle w:val="Defpara"/>
      </w:pPr>
      <w:r>
        <w:tab/>
        <w:t>(i)</w:t>
      </w:r>
      <w:r>
        <w:tab/>
        <w:t>for a political purpose;</w:t>
      </w:r>
      <w:ins w:id="24" w:author="svcMRProcess" w:date="2016-07-04T14:27:00Z">
        <w:r>
          <w:t xml:space="preserve"> or</w:t>
        </w:r>
      </w:ins>
    </w:p>
    <w:p>
      <w:pPr>
        <w:pStyle w:val="Defpara"/>
        <w:keepNext/>
        <w:keepLines/>
        <w:rPr>
          <w:del w:id="25" w:author="svcMRProcess" w:date="2016-07-04T14:27:00Z"/>
        </w:rPr>
      </w:pPr>
      <w:del w:id="26" w:author="svcMRProcess" w:date="2016-07-04T14:27:00Z">
        <w:r>
          <w:tab/>
          <w:delText>(j)</w:delText>
        </w:r>
        <w:r>
          <w:tab/>
          <w:delText xml:space="preserve">for any other purpose approved under section 4(1)(f) of the </w:delText>
        </w:r>
        <w:r>
          <w:rPr>
            <w:i/>
          </w:rPr>
          <w:delText>Associations Incorporation Act 1987</w:delText>
        </w:r>
        <w:r>
          <w:delText>; or</w:delText>
        </w:r>
      </w:del>
    </w:p>
    <w:p>
      <w:pPr>
        <w:pStyle w:val="Ednotedefpara"/>
        <w:rPr>
          <w:ins w:id="27" w:author="svcMRProcess" w:date="2016-07-04T14:27:00Z"/>
        </w:rPr>
      </w:pPr>
      <w:ins w:id="28" w:author="svcMRProcess" w:date="2016-07-04T14:27:00Z">
        <w:r>
          <w:tab/>
          <w:t>[(j)</w:t>
        </w:r>
        <w:r>
          <w:tab/>
          <w:t>deleted]</w:t>
        </w:r>
      </w:ins>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 by No. 53 of 2006 s. 7; No. 43 of 2008 s. </w:t>
      </w:r>
      <w:del w:id="29" w:author="svcMRProcess" w:date="2016-07-04T14:27:00Z">
        <w:r>
          <w:delText>149</w:delText>
        </w:r>
      </w:del>
      <w:ins w:id="30" w:author="svcMRProcess" w:date="2016-07-04T14:27:00Z">
        <w:r>
          <w:t>149; No. 30 of 2015 s. 230 and 232</w:t>
        </w:r>
      </w:ins>
      <w:r>
        <w:t>.]</w:t>
      </w:r>
    </w:p>
    <w:p>
      <w:pPr>
        <w:pStyle w:val="Heading5"/>
      </w:pPr>
      <w:bookmarkStart w:id="31" w:name="_Toc379271243"/>
      <w:bookmarkStart w:id="32" w:name="_Toc455399659"/>
      <w:bookmarkStart w:id="33" w:name="_Toc424566860"/>
      <w:r>
        <w:rPr>
          <w:rStyle w:val="CharSectno"/>
        </w:rPr>
        <w:t>4</w:t>
      </w:r>
      <w:r>
        <w:t>.</w:t>
      </w:r>
      <w:r>
        <w:tab/>
        <w:t>“Volunteer”, meaning of</w:t>
      </w:r>
      <w:bookmarkEnd w:id="31"/>
      <w:bookmarkEnd w:id="32"/>
      <w:bookmarkEnd w:id="33"/>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 by No. 22 of 2012 s. 145.]</w:t>
      </w:r>
    </w:p>
    <w:p>
      <w:pPr>
        <w:pStyle w:val="Heading5"/>
      </w:pPr>
      <w:bookmarkStart w:id="34" w:name="_Toc379271244"/>
      <w:bookmarkStart w:id="35" w:name="_Toc455399660"/>
      <w:bookmarkStart w:id="36" w:name="_Toc424566861"/>
      <w:r>
        <w:rPr>
          <w:rStyle w:val="CharSectno"/>
        </w:rPr>
        <w:t>5</w:t>
      </w:r>
      <w:r>
        <w:t>.</w:t>
      </w:r>
      <w:r>
        <w:tab/>
        <w:t>Application</w:t>
      </w:r>
      <w:bookmarkEnd w:id="34"/>
      <w:bookmarkEnd w:id="35"/>
      <w:bookmarkEnd w:id="36"/>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r>
        <w:tab/>
        <w:t>[Section 5 amended by No. 53 of 2006 s. 8.]</w:t>
      </w:r>
    </w:p>
    <w:p>
      <w:pPr>
        <w:pStyle w:val="Heading2"/>
      </w:pPr>
      <w:bookmarkStart w:id="37" w:name="_Toc379271245"/>
      <w:bookmarkStart w:id="38" w:name="_Toc424566862"/>
      <w:bookmarkStart w:id="39" w:name="_Toc455399661"/>
      <w:r>
        <w:rPr>
          <w:rStyle w:val="CharPartNo"/>
        </w:rPr>
        <w:t>Part 2</w:t>
      </w:r>
      <w:r>
        <w:rPr>
          <w:b w:val="0"/>
        </w:rPr>
        <w:t> </w:t>
      </w:r>
      <w:r>
        <w:t>—</w:t>
      </w:r>
      <w:r>
        <w:rPr>
          <w:b w:val="0"/>
        </w:rPr>
        <w:t> </w:t>
      </w:r>
      <w:r>
        <w:rPr>
          <w:rStyle w:val="CharPartText"/>
        </w:rPr>
        <w:t>Protection of volunteers from liability</w:t>
      </w:r>
      <w:bookmarkEnd w:id="37"/>
      <w:bookmarkEnd w:id="38"/>
      <w:bookmarkEnd w:id="39"/>
    </w:p>
    <w:p>
      <w:pPr>
        <w:pStyle w:val="Footnoteheading"/>
      </w:pPr>
      <w:r>
        <w:tab/>
        <w:t>[Heading inserted by No. 53 of 2006 s. 9.]</w:t>
      </w:r>
    </w:p>
    <w:p>
      <w:pPr>
        <w:pStyle w:val="Heading5"/>
      </w:pPr>
      <w:bookmarkStart w:id="40" w:name="_Toc379271246"/>
      <w:bookmarkStart w:id="41" w:name="_Toc455399662"/>
      <w:bookmarkStart w:id="42" w:name="_Toc424566863"/>
      <w:r>
        <w:rPr>
          <w:rStyle w:val="CharSectno"/>
        </w:rPr>
        <w:t>6</w:t>
      </w:r>
      <w:r>
        <w:t>.</w:t>
      </w:r>
      <w:r>
        <w:tab/>
        <w:t>Protection of volunteers from liability</w:t>
      </w:r>
      <w:bookmarkEnd w:id="40"/>
      <w:bookmarkEnd w:id="41"/>
      <w:bookmarkEnd w:id="42"/>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43" w:name="_Toc379271247"/>
      <w:bookmarkStart w:id="44" w:name="_Toc455399663"/>
      <w:bookmarkStart w:id="45" w:name="_Toc424566864"/>
      <w:r>
        <w:rPr>
          <w:rStyle w:val="CharSectno"/>
        </w:rPr>
        <w:t>7</w:t>
      </w:r>
      <w:r>
        <w:t>.</w:t>
      </w:r>
      <w:r>
        <w:tab/>
        <w:t>Liability of community organisations</w:t>
      </w:r>
      <w:bookmarkEnd w:id="43"/>
      <w:bookmarkEnd w:id="44"/>
      <w:bookmarkEnd w:id="45"/>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46" w:name="_Toc379271248"/>
      <w:bookmarkStart w:id="47" w:name="_Toc455399664"/>
      <w:bookmarkStart w:id="48" w:name="_Toc424566865"/>
      <w:r>
        <w:rPr>
          <w:rStyle w:val="CharSectno"/>
        </w:rPr>
        <w:t>8</w:t>
      </w:r>
      <w:r>
        <w:t>.</w:t>
      </w:r>
      <w:r>
        <w:tab/>
        <w:t>Certain volunteers’ indemnities etc. have no effect</w:t>
      </w:r>
      <w:bookmarkEnd w:id="46"/>
      <w:bookmarkEnd w:id="47"/>
      <w:bookmarkEnd w:id="48"/>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49" w:name="_Toc379271249"/>
      <w:bookmarkStart w:id="50" w:name="_Toc424566866"/>
      <w:bookmarkStart w:id="51" w:name="_Toc455399665"/>
      <w:r>
        <w:rPr>
          <w:rStyle w:val="CharPartNo"/>
        </w:rPr>
        <w:t>Part 3</w:t>
      </w:r>
      <w:r>
        <w:rPr>
          <w:b w:val="0"/>
        </w:rPr>
        <w:t> </w:t>
      </w:r>
      <w:r>
        <w:t>—</w:t>
      </w:r>
      <w:r>
        <w:rPr>
          <w:b w:val="0"/>
        </w:rPr>
        <w:t> </w:t>
      </w:r>
      <w:r>
        <w:rPr>
          <w:rStyle w:val="CharPartText"/>
        </w:rPr>
        <w:t>Protection of food donors and grocery product donors from liability</w:t>
      </w:r>
      <w:bookmarkEnd w:id="49"/>
      <w:bookmarkEnd w:id="50"/>
      <w:bookmarkEnd w:id="51"/>
    </w:p>
    <w:p>
      <w:pPr>
        <w:pStyle w:val="Footnoteheading"/>
      </w:pPr>
      <w:r>
        <w:tab/>
        <w:t>[Heading inserted by No. 53 of 2006 s. 10.]</w:t>
      </w:r>
    </w:p>
    <w:p>
      <w:pPr>
        <w:pStyle w:val="Heading5"/>
      </w:pPr>
      <w:bookmarkStart w:id="52" w:name="_Toc379271250"/>
      <w:bookmarkStart w:id="53" w:name="_Toc455399666"/>
      <w:bookmarkStart w:id="54" w:name="_Toc424566867"/>
      <w:r>
        <w:rPr>
          <w:rStyle w:val="CharSectno"/>
        </w:rPr>
        <w:t>8A</w:t>
      </w:r>
      <w:r>
        <w:t>.</w:t>
      </w:r>
      <w:r>
        <w:tab/>
        <w:t>Protection of donors of food and grocery products from liability</w:t>
      </w:r>
      <w:bookmarkEnd w:id="52"/>
      <w:bookmarkEnd w:id="53"/>
      <w:bookmarkEnd w:id="54"/>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55" w:name="_Toc379271251"/>
      <w:bookmarkStart w:id="56" w:name="_Toc424566868"/>
      <w:bookmarkStart w:id="57" w:name="_Toc455399667"/>
      <w:r>
        <w:rPr>
          <w:rStyle w:val="CharPartNo"/>
        </w:rPr>
        <w:t>Part 4</w:t>
      </w:r>
      <w:r>
        <w:rPr>
          <w:b w:val="0"/>
        </w:rPr>
        <w:t> </w:t>
      </w:r>
      <w:r>
        <w:t>—</w:t>
      </w:r>
      <w:r>
        <w:rPr>
          <w:b w:val="0"/>
        </w:rPr>
        <w:t> </w:t>
      </w:r>
      <w:r>
        <w:rPr>
          <w:rStyle w:val="CharPartText"/>
        </w:rPr>
        <w:t>Regulations</w:t>
      </w:r>
      <w:bookmarkEnd w:id="55"/>
      <w:bookmarkEnd w:id="56"/>
      <w:bookmarkEnd w:id="57"/>
    </w:p>
    <w:p>
      <w:pPr>
        <w:pStyle w:val="Footnoteheading"/>
      </w:pPr>
      <w:r>
        <w:tab/>
        <w:t>[Heading inserted by No. 53 of 2006 s. 11.]</w:t>
      </w:r>
    </w:p>
    <w:p>
      <w:pPr>
        <w:pStyle w:val="Heading5"/>
      </w:pPr>
      <w:bookmarkStart w:id="58" w:name="_Toc379271252"/>
      <w:bookmarkStart w:id="59" w:name="_Toc455399668"/>
      <w:bookmarkStart w:id="60" w:name="_Toc424566869"/>
      <w:r>
        <w:rPr>
          <w:rStyle w:val="CharSectno"/>
        </w:rPr>
        <w:t>9</w:t>
      </w:r>
      <w:r>
        <w:t>.</w:t>
      </w:r>
      <w:r>
        <w:tab/>
        <w:t>Regulations</w:t>
      </w:r>
      <w:bookmarkEnd w:id="58"/>
      <w:bookmarkEnd w:id="59"/>
      <w:bookmarkEnd w:id="6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1" w:name="_Toc379271253"/>
      <w:bookmarkStart w:id="62" w:name="_Toc424566870"/>
      <w:bookmarkStart w:id="63" w:name="_Toc455399669"/>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del w:id="64" w:author="svcMRProcess" w:date="2016-07-04T14:2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5" w:name="_Toc379271254"/>
      <w:bookmarkStart w:id="66" w:name="_Toc455399670"/>
      <w:bookmarkStart w:id="67" w:name="_Toc424566871"/>
      <w:r>
        <w:rPr>
          <w:snapToGrid w:val="0"/>
        </w:rPr>
        <w:t>Compilation table</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 xml:space="preserve">Volunteers (Protection from Liability) Act 2002 </w:t>
            </w:r>
            <w:r>
              <w:rPr>
                <w:rFonts w:ascii="Times New Roman" w:hAnsi="Times New Roman"/>
                <w:snapToGrid w:val="0"/>
                <w:vertAlign w:val="superscript"/>
              </w:rPr>
              <w:t>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32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Nov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 xml:space="preserve">1 Jan 2003 (see s. 2 and </w:t>
            </w:r>
            <w:r>
              <w:rPr>
                <w:rFonts w:ascii="Times New Roman" w:hAnsi="Times New Roman"/>
                <w:i/>
              </w:rPr>
              <w:t>Gazette</w:t>
            </w:r>
            <w:r>
              <w:rPr>
                <w:rFonts w:ascii="Times New Roman" w:hAnsi="Times New Roman"/>
              </w:rPr>
              <w:t xml:space="preserve"> 17 Dec 2002 p. 5905)</w:t>
            </w:r>
          </w:p>
        </w:tc>
      </w:tr>
      <w:tr>
        <w:tc>
          <w:tcPr>
            <w:tcW w:w="2268" w:type="dxa"/>
          </w:tcPr>
          <w:p>
            <w:pPr>
              <w:pStyle w:val="nTable"/>
              <w:spacing w:after="40"/>
              <w:ind w:right="113"/>
              <w:rPr>
                <w:rFonts w:ascii="Times New Roman" w:hAnsi="Times New Roman"/>
                <w:snapToGrid w:val="0"/>
                <w:vertAlign w:val="superscript"/>
              </w:rPr>
            </w:pPr>
            <w:r>
              <w:rPr>
                <w:rFonts w:ascii="Times New Roman" w:hAnsi="Times New Roman"/>
                <w:i/>
                <w:snapToGrid w:val="0"/>
              </w:rPr>
              <w:t>Volunteers (Protection from Liability) Amendment Act 2006</w:t>
            </w:r>
          </w:p>
        </w:tc>
        <w:tc>
          <w:tcPr>
            <w:tcW w:w="1134" w:type="dxa"/>
          </w:tcPr>
          <w:p>
            <w:pPr>
              <w:pStyle w:val="nTable"/>
              <w:keepNext/>
              <w:spacing w:after="40"/>
              <w:rPr>
                <w:rFonts w:ascii="Times New Roman" w:hAnsi="Times New Roman"/>
              </w:rPr>
            </w:pPr>
            <w:r>
              <w:rPr>
                <w:rFonts w:ascii="Times New Roman" w:hAnsi="Times New Roman"/>
              </w:rPr>
              <w:t>53 of 2006</w:t>
            </w:r>
          </w:p>
        </w:tc>
        <w:tc>
          <w:tcPr>
            <w:tcW w:w="1134" w:type="dxa"/>
          </w:tcPr>
          <w:p>
            <w:pPr>
              <w:pStyle w:val="nTable"/>
              <w:keepNext/>
              <w:spacing w:after="40"/>
              <w:rPr>
                <w:rFonts w:ascii="Times New Roman" w:hAnsi="Times New Roman"/>
              </w:rPr>
            </w:pPr>
            <w:r>
              <w:rPr>
                <w:rFonts w:ascii="Times New Roman" w:hAnsi="Times New Roman"/>
              </w:rPr>
              <w:t>26 Oct 2006</w:t>
            </w:r>
          </w:p>
        </w:tc>
        <w:tc>
          <w:tcPr>
            <w:tcW w:w="2552" w:type="dxa"/>
          </w:tcPr>
          <w:p>
            <w:pPr>
              <w:pStyle w:val="nTable"/>
              <w:keepNext/>
              <w:spacing w:after="40"/>
              <w:rPr>
                <w:rFonts w:ascii="Times New Roman" w:hAnsi="Times New Roman"/>
              </w:rPr>
            </w:pPr>
            <w:r>
              <w:rPr>
                <w:rFonts w:ascii="Times New Roman" w:hAnsi="Times New Roman"/>
              </w:rPr>
              <w:t xml:space="preserve">2 Dec 2006 (see s. 2 and </w:t>
            </w:r>
            <w:r>
              <w:rPr>
                <w:rFonts w:ascii="Times New Roman" w:hAnsi="Times New Roman"/>
                <w:i/>
              </w:rPr>
              <w:t>Gazette</w:t>
            </w:r>
            <w:r>
              <w:rPr>
                <w:rFonts w:ascii="Times New Roman" w:hAnsi="Times New Roman"/>
              </w:rPr>
              <w:t xml:space="preserve"> 1 Dec 2006 p. 5297)</w:t>
            </w:r>
          </w:p>
        </w:tc>
      </w:tr>
      <w:tr>
        <w:trPr>
          <w:cantSplit/>
        </w:trPr>
        <w:tc>
          <w:tcPr>
            <w:tcW w:w="7088" w:type="dxa"/>
            <w:gridSpan w:val="4"/>
          </w:tcPr>
          <w:p>
            <w:pPr>
              <w:pStyle w:val="nTable"/>
              <w:keepNext/>
              <w:spacing w:after="40"/>
              <w:rPr>
                <w:rFonts w:ascii="Times New Roman" w:hAnsi="Times New Roman"/>
              </w:rPr>
            </w:pPr>
            <w:r>
              <w:rPr>
                <w:rFonts w:ascii="Times New Roman" w:hAnsi="Times New Roman"/>
                <w:b/>
              </w:rPr>
              <w:t xml:space="preserve">Reprint 1: The </w:t>
            </w:r>
            <w:r>
              <w:rPr>
                <w:rFonts w:ascii="Times New Roman" w:hAnsi="Times New Roman"/>
                <w:b/>
                <w:i/>
                <w:snapToGrid w:val="0"/>
              </w:rPr>
              <w:t>Volunteers</w:t>
            </w:r>
            <w:r>
              <w:rPr>
                <w:rFonts w:ascii="Times New Roman" w:hAnsi="Times New Roman"/>
                <w:b/>
                <w:i/>
              </w:rPr>
              <w:t xml:space="preserve"> and Food and Other Donors</w:t>
            </w:r>
            <w:r>
              <w:rPr>
                <w:rFonts w:ascii="Times New Roman" w:hAnsi="Times New Roman"/>
                <w:b/>
                <w:i/>
                <w:snapToGrid w:val="0"/>
              </w:rPr>
              <w:t xml:space="preserve"> (Protection from Liability) Act 2002</w:t>
            </w:r>
            <w:r>
              <w:rPr>
                <w:rFonts w:ascii="Times New Roman" w:hAnsi="Times New Roman"/>
                <w:b/>
              </w:rPr>
              <w:t xml:space="preserve"> as at 19 Jan 2007 </w:t>
            </w:r>
            <w:r>
              <w:rPr>
                <w:rFonts w:ascii="Times New Roman" w:hAnsi="Times New Roman"/>
              </w:rPr>
              <w:t>(includes amendments listed above)</w:t>
            </w:r>
          </w:p>
        </w:tc>
      </w:tr>
      <w:tr>
        <w:trPr>
          <w:cantSplit/>
        </w:trPr>
        <w:tc>
          <w:tcPr>
            <w:tcW w:w="2268" w:type="dxa"/>
          </w:tcPr>
          <w:p>
            <w:pPr>
              <w:pStyle w:val="nTable"/>
              <w:spacing w:after="40"/>
              <w:rPr>
                <w:rFonts w:ascii="Times New Roman" w:hAnsi="Times New Roman"/>
                <w:iCs/>
                <w:vertAlign w:val="superscript"/>
              </w:rPr>
            </w:pPr>
            <w:r>
              <w:rPr>
                <w:rFonts w:ascii="Times New Roman" w:hAnsi="Times New Roman"/>
                <w:i/>
                <w:noProof/>
                <w:snapToGrid w:val="0"/>
              </w:rPr>
              <w:t>Food Act 2008</w:t>
            </w:r>
            <w:r>
              <w:rPr>
                <w:rFonts w:ascii="Times New Roman" w:hAnsi="Times New Roman"/>
                <w:iCs/>
                <w:noProof/>
                <w:snapToGrid w:val="0"/>
              </w:rPr>
              <w:t xml:space="preserve"> s. 149 </w:t>
            </w:r>
          </w:p>
        </w:tc>
        <w:tc>
          <w:tcPr>
            <w:tcW w:w="1134" w:type="dxa"/>
          </w:tcPr>
          <w:p>
            <w:pPr>
              <w:pStyle w:val="nTable"/>
              <w:spacing w:after="40"/>
              <w:rPr>
                <w:rFonts w:ascii="Times New Roman" w:hAnsi="Times New Roman"/>
              </w:rPr>
            </w:pPr>
            <w:r>
              <w:rPr>
                <w:rFonts w:ascii="Times New Roman" w:hAnsi="Times New Roman"/>
              </w:rPr>
              <w:t>43 of 2008</w:t>
            </w:r>
          </w:p>
        </w:tc>
        <w:tc>
          <w:tcPr>
            <w:tcW w:w="1134" w:type="dxa"/>
          </w:tcPr>
          <w:p>
            <w:pPr>
              <w:pStyle w:val="nTable"/>
              <w:spacing w:after="40"/>
              <w:rPr>
                <w:rFonts w:ascii="Times New Roman" w:hAnsi="Times New Roman"/>
              </w:rPr>
            </w:pPr>
            <w:r>
              <w:rPr>
                <w:rFonts w:ascii="Times New Roman" w:hAnsi="Times New Roman"/>
              </w:rPr>
              <w:t>8 Jul 2008</w:t>
            </w:r>
          </w:p>
        </w:tc>
        <w:tc>
          <w:tcPr>
            <w:tcW w:w="2552" w:type="dxa"/>
          </w:tcPr>
          <w:p>
            <w:pPr>
              <w:pStyle w:val="nTable"/>
              <w:spacing w:after="40"/>
              <w:rPr>
                <w:rFonts w:ascii="Times New Roman" w:hAnsi="Times New Roman"/>
              </w:rPr>
            </w:pPr>
            <w:r>
              <w:rPr>
                <w:rFonts w:ascii="Times New Roman" w:hAnsi="Times New Roman"/>
              </w:rPr>
              <w:t xml:space="preserve">24 Oct 2009 (see s. 2(1)(b) and (2) and </w:t>
            </w:r>
            <w:r>
              <w:rPr>
                <w:rFonts w:ascii="Times New Roman" w:hAnsi="Times New Roman"/>
                <w:i/>
                <w:iCs/>
              </w:rPr>
              <w:t>Gazette</w:t>
            </w:r>
            <w:r>
              <w:rPr>
                <w:rFonts w:ascii="Times New Roman" w:hAnsi="Times New Roman"/>
              </w:rPr>
              <w:t xml:space="preserve"> 23 Oct 2009 p. 4157)</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16</w:t>
            </w:r>
          </w:p>
        </w:tc>
        <w:tc>
          <w:tcPr>
            <w:tcW w:w="1134" w:type="dxa"/>
          </w:tcPr>
          <w:p>
            <w:pPr>
              <w:pStyle w:val="nTable"/>
              <w:spacing w:after="40"/>
              <w:rPr>
                <w:rFonts w:ascii="Times New Roman" w:hAnsi="Times New Roman"/>
              </w:rPr>
            </w:pPr>
            <w:r>
              <w:rPr>
                <w:rFonts w:ascii="Times New Roman" w:hAnsi="Times New Roman"/>
              </w:rPr>
              <w:t>22 of 2012</w:t>
            </w:r>
          </w:p>
        </w:tc>
        <w:tc>
          <w:tcPr>
            <w:tcW w:w="1134" w:type="dxa"/>
          </w:tcPr>
          <w:p>
            <w:pPr>
              <w:pStyle w:val="nTable"/>
              <w:spacing w:after="40"/>
              <w:rPr>
                <w:rFonts w:ascii="Times New Roman" w:hAnsi="Times New Roman"/>
              </w:rPr>
            </w:pPr>
            <w:r>
              <w:rPr>
                <w:rFonts w:ascii="Times New Roman" w:hAnsi="Times New Roman"/>
              </w:rPr>
              <w:t>29 Aug 2012</w:t>
            </w:r>
          </w:p>
        </w:tc>
        <w:tc>
          <w:tcPr>
            <w:tcW w:w="2552" w:type="dxa"/>
          </w:tcPr>
          <w:p>
            <w:pPr>
              <w:pStyle w:val="nTable"/>
              <w:spacing w:after="40"/>
              <w:rPr>
                <w:rFonts w:ascii="Times New Roman" w:hAnsi="Times New Roman"/>
              </w:rPr>
            </w:pPr>
            <w:r>
              <w:rPr>
                <w:rFonts w:ascii="Times New Roman" w:hAnsi="Times New Roman"/>
              </w:rPr>
              <w:t xml:space="preserve">1 Nov 2012 (see s. 2(b) and </w:t>
            </w:r>
            <w:r>
              <w:rPr>
                <w:rFonts w:ascii="Times New Roman" w:hAnsi="Times New Roman"/>
                <w:i/>
              </w:rPr>
              <w:t>Gazette</w:t>
            </w:r>
            <w:r>
              <w:rPr>
                <w:rFonts w:ascii="Times New Roman" w:hAnsi="Times New Roman"/>
              </w:rPr>
              <w:t xml:space="preserve"> 31 Oct 2012 p. 5255)</w:t>
            </w:r>
          </w:p>
        </w:tc>
      </w:tr>
    </w:tbl>
    <w:p>
      <w:pPr>
        <w:pStyle w:val="nSubsection"/>
        <w:spacing w:before="360"/>
        <w:rPr>
          <w:del w:id="68" w:author="svcMRProcess" w:date="2016-07-04T14:27:00Z"/>
        </w:rPr>
      </w:pPr>
      <w:del w:id="69" w:author="svcMRProcess" w:date="2016-07-04T14: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 w:author="svcMRProcess" w:date="2016-07-04T14:27:00Z"/>
        </w:rPr>
      </w:pPr>
      <w:del w:id="71" w:author="svcMRProcess" w:date="2016-07-04T14:27:00Z">
        <w:r>
          <w:delText>Provisions that have not come into operation</w:delText>
        </w:r>
      </w:del>
    </w:p>
    <w:tbl>
      <w:tblPr>
        <w:tblW w:w="0" w:type="auto"/>
        <w:tblInd w:w="28" w:type="dxa"/>
        <w:tblLayout w:type="fixed"/>
        <w:tblCellMar>
          <w:left w:w="56" w:type="dxa"/>
          <w:right w:w="56" w:type="dxa"/>
        </w:tblCellMar>
        <w:tblLook w:val="04A0" w:firstRow="1" w:lastRow="0" w:firstColumn="1" w:lastColumn="0" w:noHBand="0" w:noVBand="1"/>
      </w:tblPr>
      <w:tblGrid>
        <w:gridCol w:w="2268"/>
        <w:gridCol w:w="1134"/>
        <w:gridCol w:w="1134"/>
        <w:gridCol w:w="2552"/>
      </w:tblGrid>
      <w:tr>
        <w:trPr>
          <w:cantSplit/>
          <w:tblHeader/>
          <w:del w:id="72" w:author="svcMRProcess" w:date="2016-07-04T14:27:00Z"/>
        </w:trPr>
        <w:tc>
          <w:tcPr>
            <w:tcW w:w="2247" w:type="dxa"/>
            <w:tcBorders>
              <w:top w:val="single" w:sz="8" w:space="0" w:color="auto"/>
              <w:left w:val="nil"/>
              <w:bottom w:val="single" w:sz="8" w:space="0" w:color="auto"/>
              <w:right w:val="nil"/>
            </w:tcBorders>
            <w:hideMark/>
          </w:tcPr>
          <w:p>
            <w:pPr>
              <w:pStyle w:val="nTable"/>
              <w:spacing w:before="50" w:after="50"/>
              <w:ind w:right="113"/>
              <w:rPr>
                <w:del w:id="73" w:author="svcMRProcess" w:date="2016-07-04T14:27:00Z"/>
                <w:b/>
              </w:rPr>
            </w:pPr>
            <w:del w:id="74" w:author="svcMRProcess" w:date="2016-07-04T14:27:00Z">
              <w:r>
                <w:rPr>
                  <w:b/>
                </w:rPr>
                <w:delText>Short title</w:delText>
              </w:r>
            </w:del>
          </w:p>
        </w:tc>
        <w:tc>
          <w:tcPr>
            <w:tcW w:w="1134" w:type="dxa"/>
            <w:tcBorders>
              <w:top w:val="single" w:sz="8" w:space="0" w:color="auto"/>
              <w:left w:val="nil"/>
              <w:bottom w:val="single" w:sz="8" w:space="0" w:color="auto"/>
              <w:right w:val="nil"/>
            </w:tcBorders>
            <w:hideMark/>
          </w:tcPr>
          <w:p>
            <w:pPr>
              <w:pStyle w:val="nTable"/>
              <w:spacing w:before="50" w:after="50"/>
              <w:rPr>
                <w:del w:id="75" w:author="svcMRProcess" w:date="2016-07-04T14:27:00Z"/>
                <w:b/>
              </w:rPr>
            </w:pPr>
            <w:del w:id="76" w:author="svcMRProcess" w:date="2016-07-04T14:27:00Z">
              <w:r>
                <w:rPr>
                  <w:b/>
                </w:rPr>
                <w:delText>Number and year</w:delText>
              </w:r>
            </w:del>
          </w:p>
        </w:tc>
        <w:tc>
          <w:tcPr>
            <w:tcW w:w="1134" w:type="dxa"/>
            <w:tcBorders>
              <w:top w:val="single" w:sz="8" w:space="0" w:color="auto"/>
              <w:left w:val="nil"/>
              <w:bottom w:val="single" w:sz="8" w:space="0" w:color="auto"/>
              <w:right w:val="nil"/>
            </w:tcBorders>
            <w:hideMark/>
          </w:tcPr>
          <w:p>
            <w:pPr>
              <w:pStyle w:val="nTable"/>
              <w:spacing w:before="50" w:after="50"/>
              <w:rPr>
                <w:del w:id="77" w:author="svcMRProcess" w:date="2016-07-04T14:27:00Z"/>
                <w:b/>
              </w:rPr>
            </w:pPr>
            <w:del w:id="78" w:author="svcMRProcess" w:date="2016-07-04T14:27:00Z">
              <w:r>
                <w:rPr>
                  <w:b/>
                </w:rPr>
                <w:delText>Assent</w:delText>
              </w:r>
            </w:del>
          </w:p>
        </w:tc>
        <w:tc>
          <w:tcPr>
            <w:tcW w:w="2547" w:type="dxa"/>
            <w:tcBorders>
              <w:top w:val="single" w:sz="8" w:space="0" w:color="auto"/>
              <w:left w:val="nil"/>
              <w:bottom w:val="single" w:sz="8" w:space="0" w:color="auto"/>
              <w:right w:val="nil"/>
            </w:tcBorders>
            <w:hideMark/>
          </w:tcPr>
          <w:p>
            <w:pPr>
              <w:pStyle w:val="nTable"/>
              <w:spacing w:before="50" w:after="50"/>
              <w:rPr>
                <w:del w:id="79" w:author="svcMRProcess" w:date="2016-07-04T14:27:00Z"/>
                <w:b/>
              </w:rPr>
            </w:pPr>
            <w:del w:id="80" w:author="svcMRProcess" w:date="2016-07-04T14:27:00Z">
              <w:r>
                <w:rPr>
                  <w:b/>
                </w:rPr>
                <w:delText>Commencement</w:delText>
              </w:r>
            </w:del>
          </w:p>
        </w:tc>
      </w:tr>
      <w:tr>
        <w:tblPrEx>
          <w:tblLook w:val="0000" w:firstRow="0" w:lastRow="0" w:firstColumn="0" w:lastColumn="0" w:noHBand="0" w:noVBand="0"/>
        </w:tblPrEx>
        <w:trPr>
          <w:cantSplit/>
        </w:trPr>
        <w:tc>
          <w:tcPr>
            <w:tcW w:w="2268" w:type="dxa"/>
            <w:tcBorders>
              <w:bottom w:val="single" w:sz="8" w:space="0" w:color="auto"/>
            </w:tcBorders>
          </w:tcPr>
          <w:p>
            <w:pPr>
              <w:pStyle w:val="nTable"/>
              <w:spacing w:after="40"/>
              <w:rPr>
                <w:rFonts w:ascii="Times New Roman" w:hAnsi="Times New Roman"/>
                <w:i/>
                <w:snapToGrid w:val="0"/>
              </w:rPr>
            </w:pPr>
            <w:r>
              <w:rPr>
                <w:rFonts w:ascii="Times New Roman" w:hAnsi="Times New Roman"/>
                <w:i/>
                <w:noProof/>
              </w:rPr>
              <w:t xml:space="preserve">Associations Incorporation Act 2015 </w:t>
            </w:r>
            <w:r>
              <w:rPr>
                <w:rFonts w:ascii="Times New Roman" w:hAnsi="Times New Roman"/>
                <w:noProof/>
              </w:rPr>
              <w:t>s. 230 and 232</w:t>
            </w:r>
            <w:del w:id="81" w:author="svcMRProcess" w:date="2016-07-04T14:27:00Z">
              <w:r>
                <w:rPr>
                  <w:noProof/>
                </w:rPr>
                <w:delText> </w:delText>
              </w:r>
              <w:r>
                <w:rPr>
                  <w:noProof/>
                  <w:vertAlign w:val="superscript"/>
                </w:rPr>
                <w:delText>3</w:delText>
              </w:r>
            </w:del>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30 of 2015</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2 Nov 2015</w:t>
            </w:r>
          </w:p>
        </w:tc>
        <w:tc>
          <w:tcPr>
            <w:tcW w:w="2552" w:type="dxa"/>
            <w:tcBorders>
              <w:bottom w:val="single" w:sz="8" w:space="0" w:color="auto"/>
            </w:tcBorders>
          </w:tcPr>
          <w:p>
            <w:pPr>
              <w:pStyle w:val="nTable"/>
              <w:spacing w:after="40"/>
              <w:rPr>
                <w:rFonts w:ascii="Times New Roman" w:hAnsi="Times New Roman"/>
              </w:rPr>
            </w:pPr>
            <w:del w:id="82" w:author="svcMRProcess" w:date="2016-07-04T14:27:00Z">
              <w:r>
                <w:delText>To be proclaimed</w:delText>
              </w:r>
            </w:del>
            <w:ins w:id="83" w:author="svcMRProcess" w:date="2016-07-04T14:27:00Z">
              <w:r>
                <w:rPr>
                  <w:rFonts w:ascii="Times New Roman" w:hAnsi="Times New Roman"/>
                </w:rPr>
                <w:t>1 Jul 2016</w:t>
              </w:r>
            </w:ins>
            <w:r>
              <w:rPr>
                <w:rFonts w:ascii="Times New Roman" w:hAnsi="Times New Roman"/>
              </w:rPr>
              <w:t xml:space="preserve"> (see s.</w:t>
            </w:r>
            <w:del w:id="84" w:author="svcMRProcess" w:date="2016-07-04T14:27:00Z">
              <w:r>
                <w:delText xml:space="preserve"> </w:delText>
              </w:r>
            </w:del>
            <w:ins w:id="85" w:author="svcMRProcess" w:date="2016-07-04T14:27:00Z">
              <w:r>
                <w:rPr>
                  <w:rFonts w:ascii="Times New Roman" w:hAnsi="Times New Roman"/>
                </w:rPr>
                <w:t> </w:t>
              </w:r>
            </w:ins>
            <w:r>
              <w:rPr>
                <w:rFonts w:ascii="Times New Roman" w:hAnsi="Times New Roman"/>
              </w:rPr>
              <w:t>2(b</w:t>
            </w:r>
            <w:del w:id="86" w:author="svcMRProcess" w:date="2016-07-04T14:27:00Z">
              <w:r>
                <w:delText>))</w:delText>
              </w:r>
            </w:del>
            <w:ins w:id="87" w:author="svcMRProcess" w:date="2016-07-04T14:27:00Z">
              <w:r>
                <w:rPr>
                  <w:rFonts w:ascii="Times New Roman" w:hAnsi="Times New Roman"/>
                </w:rPr>
                <w:t xml:space="preserve">) and </w:t>
              </w:r>
              <w:r>
                <w:rPr>
                  <w:rFonts w:ascii="Times New Roman" w:hAnsi="Times New Roman"/>
                  <w:i/>
                </w:rPr>
                <w:t>Gazette</w:t>
              </w:r>
              <w:r>
                <w:rPr>
                  <w:rFonts w:ascii="Times New Roman" w:hAnsi="Times New Roman"/>
                </w:rPr>
                <w:t xml:space="preserve"> 24 Jun 2016 p. 2291-2)</w:t>
              </w:r>
            </w:ins>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spacing w:before="200"/>
        <w:rPr>
          <w:del w:id="88" w:author="svcMRProcess" w:date="2016-07-04T14:27:00Z"/>
          <w:snapToGrid w:val="0"/>
        </w:rPr>
      </w:pPr>
      <w:del w:id="89" w:author="svcMRProcess" w:date="2016-07-04T14:27: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230 and 232 </w:delText>
        </w:r>
        <w:r>
          <w:rPr>
            <w:snapToGrid w:val="0"/>
          </w:rPr>
          <w:delText>had not come into operation.  They read as follows:</w:delText>
        </w:r>
      </w:del>
    </w:p>
    <w:p>
      <w:pPr>
        <w:pStyle w:val="BlankOpen"/>
        <w:rPr>
          <w:del w:id="90" w:author="svcMRProcess" w:date="2016-07-04T14:27:00Z"/>
        </w:rPr>
      </w:pPr>
    </w:p>
    <w:p>
      <w:pPr>
        <w:pStyle w:val="nzHeading5"/>
        <w:rPr>
          <w:del w:id="91" w:author="svcMRProcess" w:date="2016-07-04T14:27:00Z"/>
        </w:rPr>
      </w:pPr>
      <w:bookmarkStart w:id="92" w:name="_Toc433273733"/>
      <w:bookmarkStart w:id="93" w:name="_Toc434319295"/>
      <w:bookmarkStart w:id="94" w:name="_Toc434321347"/>
      <w:del w:id="95" w:author="svcMRProcess" w:date="2016-07-04T14:27:00Z">
        <w:r>
          <w:rPr>
            <w:rStyle w:val="CharSectno"/>
          </w:rPr>
          <w:delText>230</w:delText>
        </w:r>
        <w:r>
          <w:delText>.</w:delText>
        </w:r>
        <w:r>
          <w:tab/>
        </w:r>
        <w:r>
          <w:rPr>
            <w:i/>
          </w:rPr>
          <w:delText>Volunteers and Food and Other Donors (Protection from Liability) Act 2002</w:delText>
        </w:r>
        <w:r>
          <w:delText xml:space="preserve"> amended</w:delText>
        </w:r>
        <w:bookmarkEnd w:id="92"/>
        <w:bookmarkEnd w:id="93"/>
        <w:bookmarkEnd w:id="94"/>
      </w:del>
    </w:p>
    <w:p>
      <w:pPr>
        <w:pStyle w:val="nzSubsection"/>
        <w:rPr>
          <w:del w:id="96" w:author="svcMRProcess" w:date="2016-07-04T14:27:00Z"/>
        </w:rPr>
      </w:pPr>
      <w:del w:id="97" w:author="svcMRProcess" w:date="2016-07-04T14:27:00Z">
        <w:r>
          <w:tab/>
          <w:delText>(1)</w:delText>
        </w:r>
        <w:r>
          <w:tab/>
          <w:delText xml:space="preserve">This section amends the </w:delText>
        </w:r>
        <w:r>
          <w:rPr>
            <w:i/>
          </w:rPr>
          <w:delText>Volunteers and Food and Other Donors (Protection from Liability) Act 2002</w:delText>
        </w:r>
        <w:r>
          <w:delText>.</w:delText>
        </w:r>
      </w:del>
    </w:p>
    <w:p>
      <w:pPr>
        <w:pStyle w:val="nzSubsection"/>
        <w:keepNext/>
        <w:rPr>
          <w:del w:id="98" w:author="svcMRProcess" w:date="2016-07-04T14:27:00Z"/>
        </w:rPr>
      </w:pPr>
      <w:del w:id="99" w:author="svcMRProcess" w:date="2016-07-04T14:27:00Z">
        <w:r>
          <w:tab/>
          <w:delText>(2)</w:delText>
        </w:r>
        <w:r>
          <w:tab/>
          <w:delText xml:space="preserve">In section 3(1) in the definition of </w:delText>
        </w:r>
        <w:r>
          <w:rPr>
            <w:b/>
            <w:i/>
          </w:rPr>
          <w:delText>community work</w:delText>
        </w:r>
        <w:r>
          <w:delText>:</w:delText>
        </w:r>
      </w:del>
    </w:p>
    <w:p>
      <w:pPr>
        <w:pStyle w:val="nzIndenta"/>
        <w:rPr>
          <w:del w:id="100" w:author="svcMRProcess" w:date="2016-07-04T14:27:00Z"/>
        </w:rPr>
      </w:pPr>
      <w:del w:id="101" w:author="svcMRProcess" w:date="2016-07-04T14:27:00Z">
        <w:r>
          <w:tab/>
          <w:delText>(a)</w:delText>
        </w:r>
        <w:r>
          <w:tab/>
          <w:delText>delete paragraph (j);</w:delText>
        </w:r>
      </w:del>
    </w:p>
    <w:p>
      <w:pPr>
        <w:pStyle w:val="nzIndenta"/>
        <w:rPr>
          <w:del w:id="102" w:author="svcMRProcess" w:date="2016-07-04T14:27:00Z"/>
        </w:rPr>
      </w:pPr>
      <w:del w:id="103" w:author="svcMRProcess" w:date="2016-07-04T14:27:00Z">
        <w:r>
          <w:tab/>
          <w:delText>(b)</w:delText>
        </w:r>
        <w:r>
          <w:tab/>
          <w:delText>after each of paragraphs (a) to (i) insert:</w:delText>
        </w:r>
      </w:del>
    </w:p>
    <w:p>
      <w:pPr>
        <w:pStyle w:val="BlankOpen"/>
        <w:rPr>
          <w:del w:id="104" w:author="svcMRProcess" w:date="2016-07-04T14:27:00Z"/>
        </w:rPr>
      </w:pPr>
    </w:p>
    <w:p>
      <w:pPr>
        <w:pStyle w:val="nzIndenta"/>
        <w:rPr>
          <w:del w:id="105" w:author="svcMRProcess" w:date="2016-07-04T14:27:00Z"/>
        </w:rPr>
      </w:pPr>
      <w:del w:id="106" w:author="svcMRProcess" w:date="2016-07-04T14:27:00Z">
        <w:r>
          <w:tab/>
        </w:r>
        <w:r>
          <w:tab/>
          <w:delText>or</w:delText>
        </w:r>
      </w:del>
    </w:p>
    <w:p>
      <w:pPr>
        <w:pStyle w:val="BlankClose"/>
        <w:rPr>
          <w:del w:id="107" w:author="svcMRProcess" w:date="2016-07-04T14:27:00Z"/>
        </w:rPr>
      </w:pPr>
    </w:p>
    <w:p>
      <w:pPr>
        <w:pStyle w:val="nzHeading5"/>
        <w:rPr>
          <w:del w:id="108" w:author="svcMRProcess" w:date="2016-07-04T14:27:00Z"/>
        </w:rPr>
      </w:pPr>
      <w:bookmarkStart w:id="109" w:name="_Toc433273735"/>
      <w:bookmarkStart w:id="110" w:name="_Toc434319297"/>
      <w:bookmarkStart w:id="111" w:name="_Toc434321349"/>
      <w:del w:id="112" w:author="svcMRProcess" w:date="2016-07-04T14:27: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bookmarkEnd w:id="109"/>
        <w:bookmarkEnd w:id="110"/>
        <w:bookmarkEnd w:id="111"/>
      </w:del>
    </w:p>
    <w:p>
      <w:pPr>
        <w:pStyle w:val="nzSubsection"/>
        <w:rPr>
          <w:del w:id="113" w:author="svcMRProcess" w:date="2016-07-04T14:27:00Z"/>
        </w:rPr>
      </w:pPr>
      <w:del w:id="114" w:author="svcMRProcess" w:date="2016-07-04T14:27:00Z">
        <w:r>
          <w:tab/>
          <w:delText>(1)</w:delText>
        </w:r>
        <w:r>
          <w:tab/>
          <w:delText>This section amends the Acts listed in the Table.</w:delText>
        </w:r>
      </w:del>
    </w:p>
    <w:p>
      <w:pPr>
        <w:pStyle w:val="nzSubsection"/>
        <w:rPr>
          <w:del w:id="115" w:author="svcMRProcess" w:date="2016-07-04T14:27:00Z"/>
        </w:rPr>
      </w:pPr>
      <w:del w:id="116" w:author="svcMRProcess" w:date="2016-07-04T14:27:00Z">
        <w:r>
          <w:tab/>
          <w:delText>(2)</w:delText>
        </w:r>
        <w:r>
          <w:tab/>
          <w:delText>In the provisions listed in the Table delete “</w:delText>
        </w:r>
        <w:r>
          <w:rPr>
            <w:i/>
          </w:rPr>
          <w:delText>1987</w:delText>
        </w:r>
        <w:r>
          <w:delText>” and insert:</w:delText>
        </w:r>
      </w:del>
    </w:p>
    <w:p>
      <w:pPr>
        <w:pStyle w:val="BlankOpen"/>
        <w:rPr>
          <w:del w:id="117" w:author="svcMRProcess" w:date="2016-07-04T14:27:00Z"/>
        </w:rPr>
      </w:pPr>
    </w:p>
    <w:p>
      <w:pPr>
        <w:pStyle w:val="nzSubsection"/>
        <w:rPr>
          <w:del w:id="118" w:author="svcMRProcess" w:date="2016-07-04T14:27:00Z"/>
        </w:rPr>
      </w:pPr>
      <w:del w:id="119" w:author="svcMRProcess" w:date="2016-07-04T14:27:00Z">
        <w:r>
          <w:tab/>
        </w:r>
        <w:r>
          <w:tab/>
        </w:r>
        <w:r>
          <w:rPr>
            <w:i/>
          </w:rPr>
          <w:delText>2015</w:delText>
        </w:r>
      </w:del>
    </w:p>
    <w:p>
      <w:pPr>
        <w:pStyle w:val="BlankClose"/>
        <w:rPr>
          <w:del w:id="120" w:author="svcMRProcess" w:date="2016-07-04T14:27:00Z"/>
        </w:rPr>
      </w:pPr>
    </w:p>
    <w:p>
      <w:pPr>
        <w:pStyle w:val="THeading"/>
        <w:rPr>
          <w:del w:id="121" w:author="svcMRProcess" w:date="2016-07-04T14:27:00Z"/>
        </w:rPr>
      </w:pPr>
      <w:del w:id="122" w:author="svcMRProcess" w:date="2016-07-04T14: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23" w:author="svcMRProcess" w:date="2016-07-04T14:27:00Z"/>
        </w:trPr>
        <w:tc>
          <w:tcPr>
            <w:tcW w:w="3402" w:type="dxa"/>
          </w:tcPr>
          <w:p>
            <w:pPr>
              <w:pStyle w:val="TableAm"/>
              <w:keepNext/>
              <w:rPr>
                <w:del w:id="124" w:author="svcMRProcess" w:date="2016-07-04T14:27:00Z"/>
                <w:iCs/>
                <w:sz w:val="20"/>
                <w:highlight w:val="green"/>
              </w:rPr>
            </w:pPr>
            <w:del w:id="125" w:author="svcMRProcess" w:date="2016-07-04T14:27:00Z">
              <w:r>
                <w:rPr>
                  <w:i/>
                  <w:iCs/>
                  <w:sz w:val="20"/>
                </w:rPr>
                <w:delText>Volunteers and Food and Other Donors (Protection from Liability) Act 2002</w:delText>
              </w:r>
            </w:del>
          </w:p>
        </w:tc>
        <w:tc>
          <w:tcPr>
            <w:tcW w:w="3402" w:type="dxa"/>
          </w:tcPr>
          <w:p>
            <w:pPr>
              <w:pStyle w:val="TableAm"/>
              <w:keepNext/>
              <w:rPr>
                <w:del w:id="126" w:author="svcMRProcess" w:date="2016-07-04T14:27:00Z"/>
                <w:sz w:val="20"/>
              </w:rPr>
            </w:pPr>
            <w:del w:id="127" w:author="svcMRProcess" w:date="2016-07-04T14:27:00Z">
              <w:r>
                <w:rPr>
                  <w:sz w:val="20"/>
                </w:rPr>
                <w:delText xml:space="preserve">s. 3(1) def. of </w:delText>
              </w:r>
              <w:r>
                <w:rPr>
                  <w:b/>
                  <w:i/>
                  <w:sz w:val="20"/>
                </w:rPr>
                <w:delText>community organisation</w:delText>
              </w:r>
              <w:r>
                <w:rPr>
                  <w:sz w:val="20"/>
                </w:rPr>
                <w:delText xml:space="preserve"> par. (b)</w:delText>
              </w:r>
            </w:del>
          </w:p>
        </w:tc>
      </w:tr>
    </w:tbl>
    <w:p>
      <w:pPr>
        <w:pStyle w:val="BlankOpen"/>
        <w:rPr>
          <w:del w:id="128" w:author="svcMRProcess" w:date="2016-07-04T14:27:00Z"/>
        </w:rPr>
      </w:pPr>
    </w:p>
    <w:p>
      <w:pPr>
        <w:pStyle w:val="nSubsection"/>
        <w:rPr>
          <w:del w:id="129" w:author="svcMRProcess" w:date="2016-07-04T14:27:00Z"/>
          <w:vertAlign w:val="superscript"/>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lvlText w:val="%1."/>
      <w:lvlJc w:val="left"/>
      <w:pPr>
        <w:tabs>
          <w:tab w:val="num" w:pos="1800"/>
        </w:tabs>
        <w:ind w:left="1800" w:hanging="360"/>
      </w:pPr>
    </w:lvl>
  </w:abstractNum>
  <w:abstractNum w:abstractNumId="1">
    <w:nsid w:val="FFFFFF7D"/>
    <w:multiLevelType w:val="singleLevel"/>
    <w:tmpl w:val="4C025DEA"/>
    <w:lvl w:ilvl="0">
      <w:start w:val="1"/>
      <w:numFmt w:val="decimal"/>
      <w:lvlText w:val="%1."/>
      <w:lvlJc w:val="left"/>
      <w:pPr>
        <w:tabs>
          <w:tab w:val="num" w:pos="1440"/>
        </w:tabs>
        <w:ind w:left="1440" w:hanging="360"/>
      </w:pPr>
    </w:lvl>
  </w:abstractNum>
  <w:abstractNum w:abstractNumId="2">
    <w:nsid w:val="FFFFFF7E"/>
    <w:multiLevelType w:val="singleLevel"/>
    <w:tmpl w:val="38D80760"/>
    <w:lvl w:ilvl="0">
      <w:start w:val="1"/>
      <w:numFmt w:val="decimal"/>
      <w:lvlText w:val="%1."/>
      <w:lvlJc w:val="left"/>
      <w:pPr>
        <w:tabs>
          <w:tab w:val="num" w:pos="1080"/>
        </w:tabs>
        <w:ind w:left="1080" w:hanging="360"/>
      </w:pPr>
    </w:lvl>
  </w:abstractNum>
  <w:abstractNum w:abstractNumId="3">
    <w:nsid w:val="FFFFFF7F"/>
    <w:multiLevelType w:val="singleLevel"/>
    <w:tmpl w:val="D512D300"/>
    <w:lvl w:ilvl="0">
      <w:start w:val="1"/>
      <w:numFmt w:val="decimal"/>
      <w:lvlText w:val="%1."/>
      <w:lvlJc w:val="left"/>
      <w:pPr>
        <w:tabs>
          <w:tab w:val="num" w:pos="720"/>
        </w:tabs>
        <w:ind w:left="720" w:hanging="360"/>
      </w:pPr>
    </w:lvl>
  </w:abstractNum>
  <w:abstractNum w:abstractNumId="4">
    <w:nsid w:val="FFFFFF80"/>
    <w:multiLevelType w:val="singleLevel"/>
    <w:tmpl w:val="2FA65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lvlText w:val="%1."/>
      <w:lvlJc w:val="left"/>
      <w:pPr>
        <w:tabs>
          <w:tab w:val="num" w:pos="360"/>
        </w:tabs>
        <w:ind w:left="360" w:hanging="360"/>
      </w:pPr>
    </w:lvl>
  </w:abstractNum>
  <w:abstractNum w:abstractNumId="9">
    <w:nsid w:val="FFFFFF89"/>
    <w:multiLevelType w:val="singleLevel"/>
    <w:tmpl w:val="B93A7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587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08"/>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104143108" w:val="UpdateStyles,UsedStyles"/>
    <w:docVar w:name="WAFER_20151104143108_GUID" w:val="a5a9f681-1099-47c6-b5ff-e4f03f037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0639">
      <w:bodyDiv w:val="1"/>
      <w:marLeft w:val="0"/>
      <w:marRight w:val="0"/>
      <w:marTop w:val="0"/>
      <w:marBottom w:val="0"/>
      <w:divBdr>
        <w:top w:val="none" w:sz="0" w:space="0" w:color="auto"/>
        <w:left w:val="none" w:sz="0" w:space="0" w:color="auto"/>
        <w:bottom w:val="none" w:sz="0" w:space="0" w:color="auto"/>
        <w:right w:val="none" w:sz="0" w:space="0" w:color="auto"/>
      </w:divBdr>
    </w:div>
    <w:div w:id="2057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2319</Words>
  <Characters>11067</Characters>
  <Application>Microsoft Office Word</Application>
  <DocSecurity>0</DocSecurity>
  <Lines>345</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01-f0-01 - 01-g0-00</dc:title>
  <dc:subject/>
  <dc:creator/>
  <cp:keywords/>
  <dc:description/>
  <cp:lastModifiedBy>svcMRProcess</cp:lastModifiedBy>
  <cp:revision>2</cp:revision>
  <cp:lastPrinted>2007-01-18T00:00:00Z</cp:lastPrinted>
  <dcterms:created xsi:type="dcterms:W3CDTF">2016-07-04T06:27:00Z</dcterms:created>
  <dcterms:modified xsi:type="dcterms:W3CDTF">2016-07-04T06:27:00Z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DocumentType">
    <vt:lpwstr>Act</vt:lpwstr>
  </property>
  <property fmtid="{D5CDD505-2E9C-101B-9397-08002B2CF9AE}" pid="4" name="OwlsUID">
    <vt:i4>4339</vt:i4>
  </property>
  <property fmtid="{D5CDD505-2E9C-101B-9397-08002B2CF9AE}" pid="5" name="ReprintNo">
    <vt:lpwstr>1</vt:lpwstr>
  </property>
  <property fmtid="{D5CDD505-2E9C-101B-9397-08002B2CF9AE}" pid="6" name="CommencementDate">
    <vt:lpwstr>20160701</vt:lpwstr>
  </property>
  <property fmtid="{D5CDD505-2E9C-101B-9397-08002B2CF9AE}" pid="7" name="FromSuffix">
    <vt:lpwstr>01-f0-01</vt:lpwstr>
  </property>
  <property fmtid="{D5CDD505-2E9C-101B-9397-08002B2CF9AE}" pid="8" name="FromAsAtDate">
    <vt:lpwstr>02 Nov 2015</vt:lpwstr>
  </property>
  <property fmtid="{D5CDD505-2E9C-101B-9397-08002B2CF9AE}" pid="9" name="ToSuffix">
    <vt:lpwstr>01-g0-00</vt:lpwstr>
  </property>
  <property fmtid="{D5CDD505-2E9C-101B-9397-08002B2CF9AE}" pid="10" name="ToAsAtDate">
    <vt:lpwstr>01 Jul 2016</vt:lpwstr>
  </property>
</Properties>
</file>