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 w:name="_GoBack"/>
      <w:bookmarkEnd w:id="1"/>
      <w:r>
        <w:rPr>
          <w:snapToGrid w:val="0"/>
        </w:rPr>
        <w:t>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2" w:name="_Toc471913235"/>
      <w:bookmarkStart w:id="3" w:name="_Toc472066475"/>
      <w:bookmarkStart w:id="4" w:name="_Toc472086136"/>
      <w:bookmarkStart w:id="5" w:name="_Toc378063667"/>
      <w:bookmarkStart w:id="6" w:name="_Toc415055632"/>
      <w:bookmarkStart w:id="7" w:name="_Toc415055665"/>
      <w:bookmarkStart w:id="8" w:name="_Toc452540821"/>
      <w:bookmarkStart w:id="9" w:name="_Toc455399051"/>
      <w:bookmarkStart w:id="10" w:name="_Toc45539917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2086137"/>
      <w:bookmarkStart w:id="12" w:name="_Toc378063668"/>
      <w:bookmarkStart w:id="13" w:name="_Toc455399173"/>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4" w:name="_Toc472086138"/>
      <w:bookmarkStart w:id="15" w:name="_Toc378063669"/>
      <w:bookmarkStart w:id="16" w:name="_Toc455399174"/>
      <w:r>
        <w:rPr>
          <w:rStyle w:val="CharSectno"/>
        </w:rPr>
        <w:t>2</w:t>
      </w:r>
      <w:r>
        <w:rPr>
          <w:snapToGrid w:val="0"/>
        </w:rPr>
        <w:t>.</w:t>
      </w:r>
      <w:r>
        <w:rPr>
          <w:snapToGrid w:val="0"/>
        </w:rPr>
        <w:tab/>
        <w:t>Commencement</w:t>
      </w:r>
      <w:bookmarkEnd w:id="14"/>
      <w:bookmarkEnd w:id="15"/>
      <w:bookmarkEnd w:id="16"/>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7" w:name="_Toc472086139"/>
      <w:bookmarkStart w:id="18" w:name="_Toc378063670"/>
      <w:bookmarkStart w:id="19" w:name="_Toc455399175"/>
      <w:r>
        <w:rPr>
          <w:rStyle w:val="CharSectno"/>
        </w:rPr>
        <w:t>3</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36; No. 11 of 2016 s. 285(2).]</w:t>
      </w:r>
    </w:p>
    <w:p>
      <w:pPr>
        <w:pStyle w:val="Heading5"/>
        <w:rPr>
          <w:snapToGrid w:val="0"/>
        </w:rPr>
      </w:pPr>
      <w:bookmarkStart w:id="20" w:name="_Toc472086140"/>
      <w:bookmarkStart w:id="21" w:name="_Toc378063671"/>
      <w:bookmarkStart w:id="22" w:name="_Toc455399176"/>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20"/>
      <w:bookmarkEnd w:id="21"/>
      <w:bookmarkEnd w:id="22"/>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 No. 11 of 2016 s. 285(3).]</w:t>
      </w:r>
    </w:p>
    <w:p>
      <w:pPr>
        <w:pStyle w:val="Heading2"/>
      </w:pPr>
      <w:bookmarkStart w:id="23" w:name="_Toc471913240"/>
      <w:bookmarkStart w:id="24" w:name="_Toc472066480"/>
      <w:bookmarkStart w:id="25" w:name="_Toc472086141"/>
      <w:bookmarkStart w:id="26" w:name="_Toc378063672"/>
      <w:bookmarkStart w:id="27" w:name="_Toc415055637"/>
      <w:bookmarkStart w:id="28" w:name="_Toc415055670"/>
      <w:bookmarkStart w:id="29" w:name="_Toc452540826"/>
      <w:bookmarkStart w:id="30" w:name="_Toc455399056"/>
      <w:bookmarkStart w:id="31" w:name="_Toc455399177"/>
      <w:r>
        <w:rPr>
          <w:rStyle w:val="CharPartNo"/>
        </w:rPr>
        <w:t>Part II</w:t>
      </w:r>
      <w:r>
        <w:rPr>
          <w:rStyle w:val="CharDivNo"/>
        </w:rPr>
        <w:t> </w:t>
      </w:r>
      <w:r>
        <w:t>—</w:t>
      </w:r>
      <w:r>
        <w:rPr>
          <w:rStyle w:val="CharDivText"/>
        </w:rPr>
        <w:t> </w:t>
      </w:r>
      <w:r>
        <w:rPr>
          <w:rStyle w:val="CharPartText"/>
        </w:rPr>
        <w:t>Initial limitation of liability</w:t>
      </w:r>
      <w:bookmarkEnd w:id="23"/>
      <w:bookmarkEnd w:id="24"/>
      <w:bookmarkEnd w:id="25"/>
      <w:bookmarkEnd w:id="26"/>
      <w:bookmarkEnd w:id="27"/>
      <w:bookmarkEnd w:id="28"/>
      <w:bookmarkEnd w:id="29"/>
      <w:bookmarkEnd w:id="30"/>
      <w:bookmarkEnd w:id="31"/>
    </w:p>
    <w:p>
      <w:pPr>
        <w:pStyle w:val="Heading5"/>
        <w:rPr>
          <w:snapToGrid w:val="0"/>
        </w:rPr>
      </w:pPr>
      <w:bookmarkStart w:id="32" w:name="_Toc472086142"/>
      <w:bookmarkStart w:id="33" w:name="_Toc378063673"/>
      <w:bookmarkStart w:id="34" w:name="_Toc455399178"/>
      <w:r>
        <w:rPr>
          <w:rStyle w:val="CharSectno"/>
        </w:rPr>
        <w:t>4</w:t>
      </w:r>
      <w:r>
        <w:rPr>
          <w:snapToGrid w:val="0"/>
        </w:rPr>
        <w:t>.</w:t>
      </w:r>
      <w:r>
        <w:rPr>
          <w:snapToGrid w:val="0"/>
        </w:rPr>
        <w:tab/>
        <w:t>AIDS related actions to which this Part applies</w:t>
      </w:r>
      <w:bookmarkEnd w:id="32"/>
      <w:bookmarkEnd w:id="33"/>
      <w:bookmarkEnd w:id="34"/>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5" w:name="_Toc472086143"/>
      <w:bookmarkStart w:id="36" w:name="_Toc378063674"/>
      <w:bookmarkStart w:id="37" w:name="_Toc455399179"/>
      <w:r>
        <w:rPr>
          <w:rStyle w:val="CharSectno"/>
        </w:rPr>
        <w:t>5</w:t>
      </w:r>
      <w:r>
        <w:rPr>
          <w:snapToGrid w:val="0"/>
        </w:rPr>
        <w:t>.</w:t>
      </w:r>
      <w:r>
        <w:rPr>
          <w:snapToGrid w:val="0"/>
        </w:rPr>
        <w:tab/>
        <w:t>AIDS related actions against Society, hospitals etc., defences to</w:t>
      </w:r>
      <w:bookmarkEnd w:id="35"/>
      <w:bookmarkEnd w:id="36"/>
      <w:bookmarkEnd w:id="37"/>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8" w:name="_Toc472086144"/>
      <w:bookmarkStart w:id="39" w:name="_Toc378063675"/>
      <w:bookmarkStart w:id="40" w:name="_Toc455399180"/>
      <w:r>
        <w:rPr>
          <w:rStyle w:val="CharSectno"/>
        </w:rPr>
        <w:t>6</w:t>
      </w:r>
      <w:r>
        <w:rPr>
          <w:snapToGrid w:val="0"/>
        </w:rPr>
        <w:t>.</w:t>
      </w:r>
      <w:r>
        <w:rPr>
          <w:snapToGrid w:val="0"/>
        </w:rPr>
        <w:tab/>
        <w:t>AIDS related actions against people administering blood, defences to</w:t>
      </w:r>
      <w:bookmarkEnd w:id="38"/>
      <w:bookmarkEnd w:id="39"/>
      <w:bookmarkEnd w:id="40"/>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1" w:name="_Toc472086145"/>
      <w:bookmarkStart w:id="42" w:name="_Toc378063676"/>
      <w:bookmarkStart w:id="43" w:name="_Toc455399181"/>
      <w:r>
        <w:rPr>
          <w:rStyle w:val="CharSectno"/>
        </w:rPr>
        <w:t>7</w:t>
      </w:r>
      <w:r>
        <w:rPr>
          <w:snapToGrid w:val="0"/>
        </w:rPr>
        <w:t>.</w:t>
      </w:r>
      <w:r>
        <w:rPr>
          <w:snapToGrid w:val="0"/>
        </w:rPr>
        <w:tab/>
        <w:t>Donors, liability of</w:t>
      </w:r>
      <w:bookmarkEnd w:id="41"/>
      <w:bookmarkEnd w:id="42"/>
      <w:bookmarkEnd w:id="43"/>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4" w:name="_Toc471913245"/>
      <w:bookmarkStart w:id="45" w:name="_Toc472066485"/>
      <w:bookmarkStart w:id="46" w:name="_Toc472086146"/>
      <w:bookmarkStart w:id="47" w:name="_Toc378063677"/>
      <w:bookmarkStart w:id="48" w:name="_Toc415055642"/>
      <w:bookmarkStart w:id="49" w:name="_Toc415055675"/>
      <w:bookmarkStart w:id="50" w:name="_Toc452540831"/>
      <w:bookmarkStart w:id="51" w:name="_Toc455399061"/>
      <w:bookmarkStart w:id="52" w:name="_Toc455399182"/>
      <w:r>
        <w:rPr>
          <w:rStyle w:val="CharPartNo"/>
        </w:rPr>
        <w:t>Part III</w:t>
      </w:r>
      <w:r>
        <w:rPr>
          <w:rStyle w:val="CharDivNo"/>
        </w:rPr>
        <w:t> </w:t>
      </w:r>
      <w:r>
        <w:t>—</w:t>
      </w:r>
      <w:r>
        <w:rPr>
          <w:rStyle w:val="CharDivText"/>
        </w:rPr>
        <w:t> </w:t>
      </w:r>
      <w:r>
        <w:rPr>
          <w:rStyle w:val="CharPartText"/>
        </w:rPr>
        <w:t>Subsequent limitation of liability</w:t>
      </w:r>
      <w:bookmarkEnd w:id="44"/>
      <w:bookmarkEnd w:id="45"/>
      <w:bookmarkEnd w:id="46"/>
      <w:bookmarkEnd w:id="47"/>
      <w:bookmarkEnd w:id="48"/>
      <w:bookmarkEnd w:id="49"/>
      <w:bookmarkEnd w:id="50"/>
      <w:bookmarkEnd w:id="51"/>
      <w:bookmarkEnd w:id="52"/>
    </w:p>
    <w:p>
      <w:pPr>
        <w:pStyle w:val="Heading5"/>
        <w:rPr>
          <w:snapToGrid w:val="0"/>
        </w:rPr>
      </w:pPr>
      <w:bookmarkStart w:id="53" w:name="_Toc472086147"/>
      <w:bookmarkStart w:id="54" w:name="_Toc378063678"/>
      <w:bookmarkStart w:id="55" w:name="_Toc455399183"/>
      <w:r>
        <w:rPr>
          <w:rStyle w:val="CharSectno"/>
        </w:rPr>
        <w:t>8</w:t>
      </w:r>
      <w:r>
        <w:rPr>
          <w:snapToGrid w:val="0"/>
        </w:rPr>
        <w:t>.</w:t>
      </w:r>
      <w:r>
        <w:rPr>
          <w:snapToGrid w:val="0"/>
        </w:rPr>
        <w:tab/>
        <w:t>AIDS related actions to which this Part applies</w:t>
      </w:r>
      <w:bookmarkEnd w:id="53"/>
      <w:bookmarkEnd w:id="54"/>
      <w:bookmarkEnd w:id="55"/>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56" w:name="_Toc472086148"/>
      <w:bookmarkStart w:id="57" w:name="_Toc378063679"/>
      <w:bookmarkStart w:id="58" w:name="_Toc455399184"/>
      <w:r>
        <w:rPr>
          <w:rStyle w:val="CharSectno"/>
        </w:rPr>
        <w:t>9</w:t>
      </w:r>
      <w:r>
        <w:rPr>
          <w:snapToGrid w:val="0"/>
        </w:rPr>
        <w:t>.</w:t>
      </w:r>
      <w:r>
        <w:rPr>
          <w:snapToGrid w:val="0"/>
        </w:rPr>
        <w:tab/>
        <w:t>AIDS related actions against Society, hospitals etc., defences to</w:t>
      </w:r>
      <w:bookmarkEnd w:id="56"/>
      <w:bookmarkEnd w:id="57"/>
      <w:bookmarkEnd w:id="58"/>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bookmarkStart w:id="59" w:name="_Toc378063680"/>
      <w:r>
        <w:tab/>
        <w:t>[Section 9 amended by No. 11 of 2016 s. 285(4).]</w:t>
      </w:r>
    </w:p>
    <w:p>
      <w:pPr>
        <w:pStyle w:val="Heading5"/>
        <w:rPr>
          <w:snapToGrid w:val="0"/>
        </w:rPr>
      </w:pPr>
      <w:bookmarkStart w:id="60" w:name="_Toc472086149"/>
      <w:bookmarkStart w:id="61" w:name="_Toc455399185"/>
      <w:r>
        <w:rPr>
          <w:rStyle w:val="CharSectno"/>
        </w:rPr>
        <w:t>10</w:t>
      </w:r>
      <w:r>
        <w:rPr>
          <w:snapToGrid w:val="0"/>
        </w:rPr>
        <w:t>.</w:t>
      </w:r>
      <w:r>
        <w:rPr>
          <w:snapToGrid w:val="0"/>
        </w:rPr>
        <w:tab/>
        <w:t>AIDS related actions against people administering blood, defences to</w:t>
      </w:r>
      <w:bookmarkEnd w:id="60"/>
      <w:bookmarkEnd w:id="59"/>
      <w:bookmarkEnd w:id="6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2" w:name="_Toc472086150"/>
      <w:bookmarkStart w:id="63" w:name="_Toc378063681"/>
      <w:bookmarkStart w:id="64" w:name="_Toc455399186"/>
      <w:r>
        <w:rPr>
          <w:rStyle w:val="CharSectno"/>
        </w:rPr>
        <w:t>11</w:t>
      </w:r>
      <w:r>
        <w:rPr>
          <w:snapToGrid w:val="0"/>
        </w:rPr>
        <w:t>.</w:t>
      </w:r>
      <w:r>
        <w:rPr>
          <w:snapToGrid w:val="0"/>
        </w:rPr>
        <w:tab/>
        <w:t>Donor declarations, before whom to be made</w:t>
      </w:r>
      <w:bookmarkEnd w:id="62"/>
      <w:bookmarkEnd w:id="63"/>
      <w:bookmarkEnd w:id="64"/>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65" w:name="_Toc472086151"/>
      <w:bookmarkStart w:id="66" w:name="_Toc378063682"/>
      <w:bookmarkStart w:id="67" w:name="_Toc455399187"/>
      <w:r>
        <w:rPr>
          <w:rStyle w:val="CharSectno"/>
        </w:rPr>
        <w:t>12</w:t>
      </w:r>
      <w:r>
        <w:rPr>
          <w:snapToGrid w:val="0"/>
        </w:rPr>
        <w:t>.</w:t>
      </w:r>
      <w:r>
        <w:rPr>
          <w:snapToGrid w:val="0"/>
        </w:rPr>
        <w:tab/>
        <w:t>Donors, liability of</w:t>
      </w:r>
      <w:bookmarkEnd w:id="65"/>
      <w:bookmarkEnd w:id="66"/>
      <w:bookmarkEnd w:id="67"/>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68" w:name="_Toc472086152"/>
      <w:bookmarkStart w:id="69" w:name="_Toc378063683"/>
      <w:bookmarkStart w:id="70" w:name="_Toc455399188"/>
      <w:r>
        <w:rPr>
          <w:rStyle w:val="CharSectno"/>
        </w:rPr>
        <w:t>13</w:t>
      </w:r>
      <w:r>
        <w:rPr>
          <w:snapToGrid w:val="0"/>
        </w:rPr>
        <w:t>.</w:t>
      </w:r>
      <w:r>
        <w:rPr>
          <w:snapToGrid w:val="0"/>
        </w:rPr>
        <w:tab/>
        <w:t>Evidentiary provisions for certain AIDS related actions</w:t>
      </w:r>
      <w:bookmarkEnd w:id="68"/>
      <w:bookmarkEnd w:id="69"/>
      <w:bookmarkEnd w:id="70"/>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1" w:name="_Toc472086153"/>
      <w:bookmarkStart w:id="72" w:name="_Toc378063684"/>
      <w:bookmarkStart w:id="73" w:name="_Toc455399189"/>
      <w:r>
        <w:rPr>
          <w:rStyle w:val="CharSectno"/>
        </w:rPr>
        <w:t>14</w:t>
      </w:r>
      <w:r>
        <w:rPr>
          <w:snapToGrid w:val="0"/>
        </w:rPr>
        <w:t>.</w:t>
      </w:r>
      <w:r>
        <w:rPr>
          <w:snapToGrid w:val="0"/>
        </w:rPr>
        <w:tab/>
        <w:t>Regulations</w:t>
      </w:r>
      <w:bookmarkEnd w:id="71"/>
      <w:bookmarkEnd w:id="72"/>
      <w:bookmarkEnd w:id="7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74" w:name="_Toc471913253"/>
      <w:bookmarkStart w:id="75" w:name="_Toc472066493"/>
      <w:bookmarkStart w:id="76" w:name="_Toc472086154"/>
      <w:bookmarkStart w:id="77" w:name="_Toc378063685"/>
      <w:bookmarkStart w:id="78" w:name="_Toc415055650"/>
      <w:bookmarkStart w:id="79" w:name="_Toc415055683"/>
      <w:bookmarkStart w:id="80" w:name="_Toc452540839"/>
      <w:bookmarkStart w:id="81" w:name="_Toc455399069"/>
      <w:bookmarkStart w:id="82" w:name="_Toc455399190"/>
      <w:r>
        <w:t>Notes</w:t>
      </w:r>
      <w:bookmarkEnd w:id="74"/>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ins w:id="83" w:author="svcMRProcess" w:date="2017-01-13T15:5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4" w:name="_Toc472086155"/>
      <w:bookmarkStart w:id="85" w:name="_Toc378063686"/>
      <w:bookmarkStart w:id="86" w:name="_Toc455399191"/>
      <w:r>
        <w:rPr>
          <w:snapToGrid w:val="0"/>
        </w:rPr>
        <w:t>Compilation table</w:t>
      </w:r>
      <w:bookmarkEnd w:id="84"/>
      <w:bookmarkEnd w:id="85"/>
      <w:bookmarkEnd w:id="86"/>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single" w:sz="4" w:space="0" w:color="auto"/>
            </w:tcBorders>
            <w:shd w:val="clear" w:color="auto" w:fill="auto"/>
          </w:tcPr>
          <w:p>
            <w:pPr>
              <w:pStyle w:val="nTable"/>
              <w:spacing w:after="40"/>
              <w:rPr>
                <w:snapToGrid w:val="0"/>
              </w:rPr>
            </w:pPr>
            <w:r>
              <w:t>11 of 2016</w:t>
            </w:r>
          </w:p>
        </w:tc>
        <w:tc>
          <w:tcPr>
            <w:tcW w:w="1133" w:type="dxa"/>
            <w:tcBorders>
              <w:top w:val="nil"/>
              <w:bottom w:val="single" w:sz="4" w:space="0" w:color="auto"/>
            </w:tcBorders>
            <w:shd w:val="clear" w:color="auto" w:fill="auto"/>
          </w:tcPr>
          <w:p>
            <w:pPr>
              <w:pStyle w:val="nTable"/>
              <w:spacing w:after="40"/>
            </w:pPr>
            <w:r>
              <w:t>26 May 2016</w:t>
            </w:r>
          </w:p>
        </w:tc>
        <w:tc>
          <w:tcPr>
            <w:tcW w:w="2556" w:type="dxa"/>
            <w:tcBorders>
              <w:top w:val="nil"/>
              <w:bottom w:val="single" w:sz="4" w:space="0" w:color="auto"/>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rPr>
          <w:ins w:id="87" w:author="svcMRProcess" w:date="2017-01-13T15:55:00Z"/>
        </w:rPr>
      </w:pPr>
      <w:ins w:id="88" w:author="svcMRProcess" w:date="2017-01-13T15: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 w:author="svcMRProcess" w:date="2017-01-13T15:55:00Z"/>
        </w:rPr>
      </w:pPr>
      <w:bookmarkStart w:id="90" w:name="_Toc472086156"/>
      <w:ins w:id="91" w:author="svcMRProcess" w:date="2017-01-13T15:55:00Z">
        <w:r>
          <w:t>Provisions that have not come into operation</w:t>
        </w:r>
        <w:bookmarkEnd w:id="9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6"/>
      </w:tblGrid>
      <w:tr>
        <w:trPr>
          <w:tblHeader/>
          <w:ins w:id="92" w:author="svcMRProcess" w:date="2017-01-13T15:55:00Z"/>
        </w:trPr>
        <w:tc>
          <w:tcPr>
            <w:tcW w:w="2273" w:type="dxa"/>
          </w:tcPr>
          <w:p>
            <w:pPr>
              <w:pStyle w:val="nTable"/>
              <w:spacing w:after="40"/>
              <w:rPr>
                <w:ins w:id="93" w:author="svcMRProcess" w:date="2017-01-13T15:55:00Z"/>
                <w:b/>
              </w:rPr>
            </w:pPr>
            <w:ins w:id="94" w:author="svcMRProcess" w:date="2017-01-13T15:55:00Z">
              <w:r>
                <w:rPr>
                  <w:b/>
                </w:rPr>
                <w:t>Short title</w:t>
              </w:r>
            </w:ins>
          </w:p>
        </w:tc>
        <w:tc>
          <w:tcPr>
            <w:tcW w:w="1134" w:type="dxa"/>
          </w:tcPr>
          <w:p>
            <w:pPr>
              <w:pStyle w:val="nTable"/>
              <w:spacing w:after="40"/>
              <w:rPr>
                <w:ins w:id="95" w:author="svcMRProcess" w:date="2017-01-13T15:55:00Z"/>
                <w:b/>
              </w:rPr>
            </w:pPr>
            <w:ins w:id="96" w:author="svcMRProcess" w:date="2017-01-13T15:55:00Z">
              <w:r>
                <w:rPr>
                  <w:b/>
                </w:rPr>
                <w:t>Number and year</w:t>
              </w:r>
            </w:ins>
          </w:p>
        </w:tc>
        <w:tc>
          <w:tcPr>
            <w:tcW w:w="1134" w:type="dxa"/>
          </w:tcPr>
          <w:p>
            <w:pPr>
              <w:pStyle w:val="nTable"/>
              <w:spacing w:after="40"/>
              <w:rPr>
                <w:ins w:id="97" w:author="svcMRProcess" w:date="2017-01-13T15:55:00Z"/>
                <w:b/>
              </w:rPr>
            </w:pPr>
            <w:ins w:id="98" w:author="svcMRProcess" w:date="2017-01-13T15:55:00Z">
              <w:r>
                <w:rPr>
                  <w:b/>
                </w:rPr>
                <w:t>Assent</w:t>
              </w:r>
            </w:ins>
          </w:p>
        </w:tc>
        <w:tc>
          <w:tcPr>
            <w:tcW w:w="2552" w:type="dxa"/>
          </w:tcPr>
          <w:p>
            <w:pPr>
              <w:pStyle w:val="nTable"/>
              <w:spacing w:after="40"/>
              <w:rPr>
                <w:ins w:id="99" w:author="svcMRProcess" w:date="2017-01-13T15:55:00Z"/>
                <w:b/>
              </w:rPr>
            </w:pPr>
            <w:ins w:id="100" w:author="svcMRProcess" w:date="2017-01-13T15:55:00Z">
              <w:r>
                <w:rPr>
                  <w:b/>
                </w:rPr>
                <w:t>Commencement</w:t>
              </w:r>
            </w:ins>
          </w:p>
        </w:tc>
      </w:tr>
      <w:tr>
        <w:tblPrEx>
          <w:tblCellMar>
            <w:left w:w="57" w:type="dxa"/>
            <w:right w:w="57" w:type="dxa"/>
          </w:tblCellMar>
        </w:tblPrEx>
        <w:trPr>
          <w:ins w:id="101" w:author="svcMRProcess" w:date="2017-01-13T15:55:00Z"/>
        </w:trPr>
        <w:tc>
          <w:tcPr>
            <w:tcW w:w="2273" w:type="dxa"/>
            <w:tcBorders>
              <w:top w:val="nil"/>
              <w:bottom w:val="single" w:sz="4" w:space="0" w:color="auto"/>
            </w:tcBorders>
          </w:tcPr>
          <w:p>
            <w:pPr>
              <w:pStyle w:val="nTable"/>
              <w:spacing w:after="40"/>
              <w:rPr>
                <w:ins w:id="102" w:author="svcMRProcess" w:date="2017-01-13T15:55:00Z"/>
                <w:noProof/>
                <w:snapToGrid w:val="0"/>
                <w:vertAlign w:val="superscript"/>
              </w:rPr>
            </w:pPr>
            <w:ins w:id="103" w:author="svcMRProcess" w:date="2017-01-13T15:55:00Z">
              <w:r>
                <w:rPr>
                  <w:i/>
                  <w:snapToGrid w:val="0"/>
                </w:rPr>
                <w:t xml:space="preserve">Public Health (Consequential Provisions) Act 2016 </w:t>
              </w:r>
              <w:r>
                <w:rPr>
                  <w:snapToGrid w:val="0"/>
                </w:rPr>
                <w:t>Pt. 3 Div. 5 and Pt. 5 Div. 2</w:t>
              </w:r>
              <w:r>
                <w:rPr>
                  <w:snapToGrid w:val="0"/>
                  <w:vertAlign w:val="superscript"/>
                </w:rPr>
                <w:t> 3</w:t>
              </w:r>
            </w:ins>
          </w:p>
        </w:tc>
        <w:tc>
          <w:tcPr>
            <w:tcW w:w="1134" w:type="dxa"/>
            <w:tcBorders>
              <w:top w:val="nil"/>
              <w:bottom w:val="single" w:sz="4" w:space="0" w:color="auto"/>
            </w:tcBorders>
          </w:tcPr>
          <w:p>
            <w:pPr>
              <w:pStyle w:val="nTable"/>
              <w:spacing w:after="40"/>
              <w:rPr>
                <w:ins w:id="104" w:author="svcMRProcess" w:date="2017-01-13T15:55:00Z"/>
              </w:rPr>
            </w:pPr>
            <w:ins w:id="105" w:author="svcMRProcess" w:date="2017-01-13T15:55:00Z">
              <w:r>
                <w:t>19 of 2016</w:t>
              </w:r>
            </w:ins>
          </w:p>
        </w:tc>
        <w:tc>
          <w:tcPr>
            <w:tcW w:w="1134" w:type="dxa"/>
            <w:tcBorders>
              <w:top w:val="nil"/>
              <w:bottom w:val="single" w:sz="4" w:space="0" w:color="auto"/>
            </w:tcBorders>
          </w:tcPr>
          <w:p>
            <w:pPr>
              <w:pStyle w:val="nTable"/>
              <w:spacing w:after="40"/>
              <w:rPr>
                <w:ins w:id="106" w:author="svcMRProcess" w:date="2017-01-13T15:55:00Z"/>
              </w:rPr>
            </w:pPr>
            <w:ins w:id="107" w:author="svcMRProcess" w:date="2017-01-13T15:55:00Z">
              <w:r>
                <w:t>25 Jul 2016</w:t>
              </w:r>
            </w:ins>
          </w:p>
        </w:tc>
        <w:tc>
          <w:tcPr>
            <w:tcW w:w="2556" w:type="dxa"/>
            <w:tcBorders>
              <w:top w:val="nil"/>
              <w:bottom w:val="single" w:sz="4" w:space="0" w:color="auto"/>
            </w:tcBorders>
          </w:tcPr>
          <w:p>
            <w:pPr>
              <w:pStyle w:val="nTable"/>
              <w:spacing w:after="40"/>
              <w:rPr>
                <w:ins w:id="108" w:author="svcMRProcess" w:date="2017-01-13T15:55:00Z"/>
                <w:snapToGrid w:val="0"/>
              </w:rPr>
            </w:pPr>
            <w:ins w:id="109" w:author="svcMRProcess" w:date="2017-01-13T15:55:00Z">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2: </w:t>
              </w:r>
              <w:r>
                <w:rPr>
                  <w:snapToGrid w:val="0"/>
                </w:rPr>
                <w:t>to be proclaimed (see s. 2(1)(c))</w:t>
              </w:r>
            </w:ins>
          </w:p>
        </w:tc>
      </w:tr>
    </w:tbl>
    <w:p>
      <w:pPr>
        <w:pStyle w:val="nSubsection"/>
        <w:rPr>
          <w:ins w:id="110" w:author="svcMRProcess" w:date="2017-01-13T15:55:00Z"/>
          <w:vertAlign w:val="superscript"/>
        </w:rPr>
      </w:pPr>
    </w:p>
    <w:p>
      <w:pPr>
        <w:pStyle w:val="nSubsection"/>
      </w:pPr>
      <w:r>
        <w:rPr>
          <w:vertAlign w:val="superscript"/>
        </w:rPr>
        <w:t>2</w:t>
      </w:r>
      <w:r>
        <w:tab/>
        <w:t xml:space="preserve">Day fixed is 15 September 1986 (see </w:t>
      </w:r>
      <w:r>
        <w:rPr>
          <w:i/>
        </w:rPr>
        <w:t>Gazette</w:t>
      </w:r>
      <w:r>
        <w:t xml:space="preserve"> 12 Sep 1986 p. 3343).</w:t>
      </w:r>
    </w:p>
    <w:p>
      <w:pPr>
        <w:pStyle w:val="nSubsection"/>
        <w:keepNext/>
        <w:keepLines/>
        <w:spacing w:before="120"/>
        <w:rPr>
          <w:ins w:id="111" w:author="svcMRProcess" w:date="2017-01-13T15:55:00Z"/>
        </w:rPr>
      </w:pPr>
      <w:ins w:id="112" w:author="svcMRProcess" w:date="2017-01-13T15:55:00Z">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5</w:t>
        </w:r>
        <w:r>
          <w:t xml:space="preserve"> and Pt. 5 Div. 2</w:t>
        </w:r>
        <w:r>
          <w:rPr>
            <w:snapToGrid w:val="0"/>
          </w:rPr>
          <w:t xml:space="preserve"> had not come into operation. They read as follows:</w:t>
        </w:r>
      </w:ins>
    </w:p>
    <w:p>
      <w:pPr>
        <w:pStyle w:val="BlankOpen"/>
        <w:rPr>
          <w:ins w:id="113" w:author="svcMRProcess" w:date="2017-01-13T15:55:00Z"/>
        </w:rPr>
      </w:pPr>
    </w:p>
    <w:p>
      <w:pPr>
        <w:pStyle w:val="nzHeading2"/>
        <w:rPr>
          <w:ins w:id="114" w:author="svcMRProcess" w:date="2017-01-13T15:55:00Z"/>
        </w:rPr>
      </w:pPr>
      <w:ins w:id="115" w:author="svcMRProcess" w:date="2017-01-13T15:55:00Z">
        <w:r>
          <w:rPr>
            <w:rStyle w:val="CharPartNo"/>
          </w:rPr>
          <w:t>Part 3</w:t>
        </w:r>
        <w:r>
          <w:t> — </w:t>
        </w:r>
        <w:r>
          <w:rPr>
            <w:rStyle w:val="CharPartText"/>
          </w:rPr>
          <w:t>Amendments to other Acts and repeals</w:t>
        </w:r>
      </w:ins>
    </w:p>
    <w:p>
      <w:pPr>
        <w:pStyle w:val="nzHeading3"/>
        <w:rPr>
          <w:ins w:id="116" w:author="svcMRProcess" w:date="2017-01-13T15:55:00Z"/>
        </w:rPr>
      </w:pPr>
      <w:ins w:id="117" w:author="svcMRProcess" w:date="2017-01-13T15:55:00Z">
        <w:r>
          <w:rPr>
            <w:rStyle w:val="CharDivNo"/>
          </w:rPr>
          <w:t>Division 5</w:t>
        </w:r>
        <w:r>
          <w:t> — </w:t>
        </w:r>
        <w:r>
          <w:rPr>
            <w:rStyle w:val="CharDivText"/>
            <w:i/>
          </w:rPr>
          <w:t>Blood Donation (Limitation of Liability) Act 1985</w:t>
        </w:r>
        <w:r>
          <w:rPr>
            <w:rStyle w:val="CharDivText"/>
          </w:rPr>
          <w:t> amended</w:t>
        </w:r>
      </w:ins>
    </w:p>
    <w:p>
      <w:pPr>
        <w:pStyle w:val="nzHeading5"/>
        <w:rPr>
          <w:ins w:id="118" w:author="svcMRProcess" w:date="2017-01-13T15:55:00Z"/>
        </w:rPr>
      </w:pPr>
      <w:ins w:id="119" w:author="svcMRProcess" w:date="2017-01-13T15:55:00Z">
        <w:r>
          <w:rPr>
            <w:rStyle w:val="CharSectno"/>
          </w:rPr>
          <w:t>109</w:t>
        </w:r>
        <w:r>
          <w:t>.</w:t>
        </w:r>
        <w:r>
          <w:tab/>
        </w:r>
        <w:r>
          <w:rPr>
            <w:iCs/>
          </w:rPr>
          <w:t>Act amended</w:t>
        </w:r>
      </w:ins>
    </w:p>
    <w:p>
      <w:pPr>
        <w:pStyle w:val="nzSubsection"/>
        <w:rPr>
          <w:ins w:id="120" w:author="svcMRProcess" w:date="2017-01-13T15:55:00Z"/>
        </w:rPr>
      </w:pPr>
      <w:ins w:id="121" w:author="svcMRProcess" w:date="2017-01-13T15:55:00Z">
        <w:r>
          <w:tab/>
        </w:r>
        <w:r>
          <w:tab/>
          <w:t xml:space="preserve">This Division amends the </w:t>
        </w:r>
        <w:r>
          <w:rPr>
            <w:i/>
          </w:rPr>
          <w:t>Blood Donation (Limitation of Liability) Act 1985</w:t>
        </w:r>
        <w:r>
          <w:t>.</w:t>
        </w:r>
      </w:ins>
    </w:p>
    <w:p>
      <w:pPr>
        <w:pStyle w:val="nzHeading5"/>
        <w:rPr>
          <w:ins w:id="122" w:author="svcMRProcess" w:date="2017-01-13T15:55:00Z"/>
        </w:rPr>
      </w:pPr>
      <w:ins w:id="123" w:author="svcMRProcess" w:date="2017-01-13T15:55:00Z">
        <w:r>
          <w:rPr>
            <w:rStyle w:val="CharSectno"/>
          </w:rPr>
          <w:t>110</w:t>
        </w:r>
        <w:r>
          <w:t>.</w:t>
        </w:r>
        <w:r>
          <w:tab/>
          <w:t>Section 3 amended</w:t>
        </w:r>
      </w:ins>
    </w:p>
    <w:p>
      <w:pPr>
        <w:pStyle w:val="nzSubsection"/>
        <w:rPr>
          <w:ins w:id="124" w:author="svcMRProcess" w:date="2017-01-13T15:55:00Z"/>
        </w:rPr>
      </w:pPr>
      <w:ins w:id="125" w:author="svcMRProcess" w:date="2017-01-13T15:55:00Z">
        <w:r>
          <w:tab/>
          <w:t>(1)</w:t>
        </w:r>
        <w:r>
          <w:tab/>
          <w:t>In section 3 delete the definitions of:</w:t>
        </w:r>
      </w:ins>
    </w:p>
    <w:p>
      <w:pPr>
        <w:pStyle w:val="DeleteListSub"/>
        <w:rPr>
          <w:ins w:id="126" w:author="svcMRProcess" w:date="2017-01-13T15:55:00Z"/>
          <w:sz w:val="20"/>
        </w:rPr>
      </w:pPr>
      <w:ins w:id="127" w:author="svcMRProcess" w:date="2017-01-13T15:55:00Z">
        <w:r>
          <w:rPr>
            <w:b/>
            <w:i/>
            <w:sz w:val="20"/>
          </w:rPr>
          <w:t>Executive Director, Public Health</w:t>
        </w:r>
      </w:ins>
    </w:p>
    <w:p>
      <w:pPr>
        <w:pStyle w:val="DeleteListSub"/>
        <w:rPr>
          <w:ins w:id="128" w:author="svcMRProcess" w:date="2017-01-13T15:55:00Z"/>
          <w:sz w:val="20"/>
        </w:rPr>
      </w:pPr>
      <w:ins w:id="129" w:author="svcMRProcess" w:date="2017-01-13T15:55:00Z">
        <w:r>
          <w:rPr>
            <w:b/>
            <w:i/>
            <w:sz w:val="20"/>
          </w:rPr>
          <w:t>Transmissible Diseases Regulations</w:t>
        </w:r>
      </w:ins>
    </w:p>
    <w:p>
      <w:pPr>
        <w:pStyle w:val="nzSubsection"/>
        <w:rPr>
          <w:ins w:id="130" w:author="svcMRProcess" w:date="2017-01-13T15:55:00Z"/>
        </w:rPr>
      </w:pPr>
      <w:ins w:id="131" w:author="svcMRProcess" w:date="2017-01-13T15:55:00Z">
        <w:r>
          <w:tab/>
          <w:t>(2)</w:t>
        </w:r>
        <w:r>
          <w:tab/>
          <w:t>In section 3 insert in alphabetical order:</w:t>
        </w:r>
      </w:ins>
    </w:p>
    <w:p>
      <w:pPr>
        <w:pStyle w:val="BlankOpen"/>
        <w:rPr>
          <w:ins w:id="132" w:author="svcMRProcess" w:date="2017-01-13T15:55:00Z"/>
        </w:rPr>
      </w:pPr>
    </w:p>
    <w:p>
      <w:pPr>
        <w:pStyle w:val="nzDefstart"/>
        <w:rPr>
          <w:ins w:id="133" w:author="svcMRProcess" w:date="2017-01-13T15:55:00Z"/>
        </w:rPr>
      </w:pPr>
      <w:ins w:id="134" w:author="svcMRProcess" w:date="2017-01-13T15:55:00Z">
        <w:r>
          <w:rPr>
            <w:b/>
          </w:rPr>
          <w:tab/>
        </w:r>
        <w:r>
          <w:rPr>
            <w:rStyle w:val="CharDefText"/>
          </w:rPr>
          <w:t>Chief Health Officer</w:t>
        </w:r>
        <w:r>
          <w:t xml:space="preserve"> has the meaning given in the </w:t>
        </w:r>
        <w:r>
          <w:rPr>
            <w:i/>
          </w:rPr>
          <w:t>Public Health Act 2016</w:t>
        </w:r>
        <w:r>
          <w:t xml:space="preserve"> section 4(1);</w:t>
        </w:r>
      </w:ins>
    </w:p>
    <w:p>
      <w:pPr>
        <w:pStyle w:val="nzDefstart"/>
        <w:rPr>
          <w:ins w:id="135" w:author="svcMRProcess" w:date="2017-01-13T15:55:00Z"/>
        </w:rPr>
      </w:pPr>
      <w:ins w:id="136" w:author="svcMRProcess" w:date="2017-01-13T15:55:00Z">
        <w:r>
          <w:tab/>
        </w:r>
        <w:r>
          <w:rPr>
            <w:rStyle w:val="CharDefText"/>
          </w:rPr>
          <w:t>Transmissible Diseases Regulations</w:t>
        </w:r>
        <w:r>
          <w:t xml:space="preserve"> means regulations that — </w:t>
        </w:r>
      </w:ins>
    </w:p>
    <w:p>
      <w:pPr>
        <w:pStyle w:val="nzDefpara"/>
        <w:rPr>
          <w:ins w:id="137" w:author="svcMRProcess" w:date="2017-01-13T15:55:00Z"/>
        </w:rPr>
      </w:pPr>
      <w:ins w:id="138" w:author="svcMRProcess" w:date="2017-01-13T15:55:00Z">
        <w:r>
          <w:tab/>
          <w:t>(a)</w:t>
        </w:r>
        <w:r>
          <w:tab/>
          <w:t xml:space="preserve">are made under the </w:t>
        </w:r>
        <w:r>
          <w:rPr>
            <w:i/>
          </w:rPr>
          <w:t>Health (Miscellaneous Provisions) Act 1911</w:t>
        </w:r>
        <w:r>
          <w:t>; and</w:t>
        </w:r>
      </w:ins>
    </w:p>
    <w:p>
      <w:pPr>
        <w:pStyle w:val="nzDefpara"/>
        <w:rPr>
          <w:ins w:id="139" w:author="svcMRProcess" w:date="2017-01-13T15:55:00Z"/>
          <w:snapToGrid/>
          <w:szCs w:val="24"/>
        </w:rPr>
      </w:pPr>
      <w:ins w:id="140" w:author="svcMRProcess" w:date="2017-01-13T15:55:00Z">
        <w:r>
          <w:tab/>
          <w:t>(b)</w:t>
        </w:r>
        <w:r>
          <w:tab/>
          <w:t>consist of or include provisions that provide for or require a person donating blood to make a declaration.</w:t>
        </w:r>
      </w:ins>
    </w:p>
    <w:p>
      <w:pPr>
        <w:pStyle w:val="BlankClose"/>
        <w:rPr>
          <w:ins w:id="141" w:author="svcMRProcess" w:date="2017-01-13T15:55:00Z"/>
        </w:rPr>
      </w:pPr>
    </w:p>
    <w:p>
      <w:pPr>
        <w:pStyle w:val="nzSubsection"/>
        <w:rPr>
          <w:ins w:id="142" w:author="svcMRProcess" w:date="2017-01-13T15:55:00Z"/>
        </w:rPr>
      </w:pPr>
      <w:ins w:id="143" w:author="svcMRProcess" w:date="2017-01-13T15:55:00Z">
        <w:r>
          <w:tab/>
          <w:t>(3)</w:t>
        </w:r>
        <w:r>
          <w:tab/>
          <w:t xml:space="preserve">In section 3 in the definition of </w:t>
        </w:r>
        <w:r>
          <w:rPr>
            <w:b/>
            <w:bCs/>
            <w:i/>
            <w:iCs/>
          </w:rPr>
          <w:t>approved</w:t>
        </w:r>
        <w:r>
          <w:t xml:space="preserve"> delete “Executive Director, Public Health,” and insert:</w:t>
        </w:r>
      </w:ins>
    </w:p>
    <w:p>
      <w:pPr>
        <w:pStyle w:val="BlankOpen"/>
        <w:rPr>
          <w:ins w:id="144" w:author="svcMRProcess" w:date="2017-01-13T15:55:00Z"/>
        </w:rPr>
      </w:pPr>
    </w:p>
    <w:p>
      <w:pPr>
        <w:pStyle w:val="nzSubsection"/>
        <w:rPr>
          <w:ins w:id="145" w:author="svcMRProcess" w:date="2017-01-13T15:55:00Z"/>
        </w:rPr>
      </w:pPr>
      <w:ins w:id="146" w:author="svcMRProcess" w:date="2017-01-13T15:55:00Z">
        <w:r>
          <w:tab/>
        </w:r>
        <w:r>
          <w:tab/>
          <w:t>Chief Health Officer</w:t>
        </w:r>
      </w:ins>
    </w:p>
    <w:p>
      <w:pPr>
        <w:pStyle w:val="nzHeading2"/>
        <w:rPr>
          <w:ins w:id="147" w:author="svcMRProcess" w:date="2017-01-13T15:55:00Z"/>
        </w:rPr>
      </w:pPr>
      <w:ins w:id="148" w:author="svcMRProcess" w:date="2017-01-13T15:55:00Z">
        <w:r>
          <w:rPr>
            <w:rStyle w:val="CharPartNo"/>
          </w:rPr>
          <w:t>Part 5</w:t>
        </w:r>
        <w:r>
          <w:t> — </w:t>
        </w:r>
        <w:r>
          <w:rPr>
            <w:rStyle w:val="CharPartText"/>
          </w:rPr>
          <w:t>Other Acts amended</w:t>
        </w:r>
      </w:ins>
    </w:p>
    <w:p>
      <w:pPr>
        <w:pStyle w:val="nzHeading3"/>
        <w:rPr>
          <w:ins w:id="149" w:author="svcMRProcess" w:date="2017-01-13T15:55:00Z"/>
        </w:rPr>
      </w:pPr>
      <w:ins w:id="150" w:author="svcMRProcess" w:date="2017-01-13T15:55:00Z">
        <w:r>
          <w:rPr>
            <w:rStyle w:val="CharDivNo"/>
          </w:rPr>
          <w:t>Division 2</w:t>
        </w:r>
        <w:r>
          <w:t> — </w:t>
        </w:r>
        <w:r>
          <w:rPr>
            <w:rStyle w:val="CharDivText"/>
            <w:i/>
          </w:rPr>
          <w:t>Blood Donation (Limitation of Liability) Act 1985 </w:t>
        </w:r>
        <w:r>
          <w:rPr>
            <w:rStyle w:val="CharDivText"/>
          </w:rPr>
          <w:t>amended</w:t>
        </w:r>
      </w:ins>
    </w:p>
    <w:p>
      <w:pPr>
        <w:pStyle w:val="nzHeading5"/>
        <w:rPr>
          <w:ins w:id="151" w:author="svcMRProcess" w:date="2017-01-13T15:55:00Z"/>
        </w:rPr>
      </w:pPr>
      <w:ins w:id="152" w:author="svcMRProcess" w:date="2017-01-13T15:55:00Z">
        <w:r>
          <w:rPr>
            <w:rStyle w:val="CharSectno"/>
          </w:rPr>
          <w:t>280</w:t>
        </w:r>
        <w:r>
          <w:t>.</w:t>
        </w:r>
        <w:r>
          <w:tab/>
          <w:t xml:space="preserve">Act </w:t>
        </w:r>
        <w:r>
          <w:rPr>
            <w:iCs/>
          </w:rPr>
          <w:t>amended</w:t>
        </w:r>
      </w:ins>
    </w:p>
    <w:p>
      <w:pPr>
        <w:pStyle w:val="nzSubsection"/>
        <w:rPr>
          <w:ins w:id="153" w:author="svcMRProcess" w:date="2017-01-13T15:55:00Z"/>
        </w:rPr>
      </w:pPr>
      <w:ins w:id="154" w:author="svcMRProcess" w:date="2017-01-13T15:55:00Z">
        <w:r>
          <w:tab/>
        </w:r>
        <w:r>
          <w:tab/>
          <w:t xml:space="preserve">This Division amends the </w:t>
        </w:r>
        <w:r>
          <w:rPr>
            <w:i/>
          </w:rPr>
          <w:t>Blood Donation (Limitation of Liability) Act 1985</w:t>
        </w:r>
        <w:r>
          <w:t>.</w:t>
        </w:r>
      </w:ins>
    </w:p>
    <w:p>
      <w:pPr>
        <w:pStyle w:val="nzHeading5"/>
        <w:rPr>
          <w:ins w:id="155" w:author="svcMRProcess" w:date="2017-01-13T15:55:00Z"/>
        </w:rPr>
      </w:pPr>
      <w:ins w:id="156" w:author="svcMRProcess" w:date="2017-01-13T15:55:00Z">
        <w:r>
          <w:rPr>
            <w:rStyle w:val="CharSectno"/>
          </w:rPr>
          <w:t>281</w:t>
        </w:r>
        <w:r>
          <w:t>.</w:t>
        </w:r>
        <w:r>
          <w:tab/>
          <w:t>Section 3 amended</w:t>
        </w:r>
      </w:ins>
    </w:p>
    <w:p>
      <w:pPr>
        <w:pStyle w:val="nzSubsection"/>
        <w:rPr>
          <w:ins w:id="157" w:author="svcMRProcess" w:date="2017-01-13T15:55:00Z"/>
        </w:rPr>
      </w:pPr>
      <w:ins w:id="158" w:author="svcMRProcess" w:date="2017-01-13T15:55:00Z">
        <w:r>
          <w:tab/>
        </w:r>
        <w:r>
          <w:tab/>
          <w:t xml:space="preserve">In section 3 in the definition of </w:t>
        </w:r>
        <w:r>
          <w:rPr>
            <w:b/>
            <w:i/>
          </w:rPr>
          <w:t>Transmissible Diseases Regulations</w:t>
        </w:r>
        <w:r>
          <w:t xml:space="preserve"> paragraph (a) delete “</w:t>
        </w:r>
        <w:r>
          <w:rPr>
            <w:i/>
          </w:rPr>
          <w:t>1911</w:t>
        </w:r>
        <w:r>
          <w:t>; and” and insert:</w:t>
        </w:r>
      </w:ins>
    </w:p>
    <w:p>
      <w:pPr>
        <w:pStyle w:val="BlankOpen"/>
        <w:rPr>
          <w:ins w:id="159" w:author="svcMRProcess" w:date="2017-01-13T15:55:00Z"/>
        </w:rPr>
      </w:pPr>
    </w:p>
    <w:p>
      <w:pPr>
        <w:pStyle w:val="nzSubsection"/>
        <w:rPr>
          <w:ins w:id="160" w:author="svcMRProcess" w:date="2017-01-13T15:55:00Z"/>
        </w:rPr>
      </w:pPr>
      <w:ins w:id="161" w:author="svcMRProcess" w:date="2017-01-13T15:55:00Z">
        <w:r>
          <w:rPr>
            <w:i/>
          </w:rPr>
          <w:tab/>
        </w:r>
        <w:r>
          <w:rPr>
            <w:i/>
          </w:rPr>
          <w:tab/>
          <w:t xml:space="preserve">1911 </w:t>
        </w:r>
        <w:r>
          <w:t xml:space="preserve">or the </w:t>
        </w:r>
        <w:r>
          <w:rPr>
            <w:i/>
          </w:rPr>
          <w:t>Public Health Act 2016</w:t>
        </w:r>
        <w:r>
          <w:t>; and</w:t>
        </w:r>
      </w:ins>
    </w:p>
    <w:p>
      <w:pPr>
        <w:pStyle w:val="BlankClose"/>
        <w:rPr>
          <w:ins w:id="162" w:author="svcMRProcess" w:date="2017-01-13T15:55:00Z"/>
        </w:rPr>
      </w:pPr>
    </w:p>
    <w:p>
      <w:pPr>
        <w:pStyle w:val="BlankClose"/>
        <w:rPr>
          <w:ins w:id="163" w:author="svcMRProcess" w:date="2017-01-13T15:55:00Z"/>
        </w:rPr>
      </w:pPr>
    </w:p>
    <w:p>
      <w:pPr>
        <w:rPr>
          <w:u w:val="words"/>
        </w:rPr>
      </w:pPr>
    </w:p>
    <w:p>
      <w:pPr>
        <w:rPr>
          <w:u w:val="words"/>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5" w:name="Coversheet"/>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617"/>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0EA0-5C6B-4674-A9CB-9604349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5220</Words>
  <Characters>25111</Characters>
  <Application>Microsoft Office Word</Application>
  <DocSecurity>0</DocSecurity>
  <Lines>738</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02-c0-00 - 02-d0-01</dc:title>
  <dc:subject/>
  <dc:creator/>
  <cp:keywords/>
  <dc:description/>
  <cp:lastModifiedBy>svcMRProcess</cp:lastModifiedBy>
  <cp:revision>2</cp:revision>
  <cp:lastPrinted>2012-09-28T01:42:00Z</cp:lastPrinted>
  <dcterms:created xsi:type="dcterms:W3CDTF">2017-01-13T07:55:00Z</dcterms:created>
  <dcterms:modified xsi:type="dcterms:W3CDTF">2017-01-13T07:55:00Z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CommencementDate">
    <vt:lpwstr>20160725</vt:lpwstr>
  </property>
  <property fmtid="{D5CDD505-2E9C-101B-9397-08002B2CF9AE}" pid="8" name="FromSuffix">
    <vt:lpwstr>02-c0-00</vt:lpwstr>
  </property>
  <property fmtid="{D5CDD505-2E9C-101B-9397-08002B2CF9AE}" pid="9" name="FromAsAtDate">
    <vt:lpwstr>01 Jul 2016</vt:lpwstr>
  </property>
  <property fmtid="{D5CDD505-2E9C-101B-9397-08002B2CF9AE}" pid="10" name="ToSuffix">
    <vt:lpwstr>02-d0-01</vt:lpwstr>
  </property>
  <property fmtid="{D5CDD505-2E9C-101B-9397-08002B2CF9AE}" pid="11" name="ToAsAtDate">
    <vt:lpwstr>25 Jul 2016</vt:lpwstr>
  </property>
</Properties>
</file>