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Arbitration and Review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03-j0-04</w:t>
      </w:r>
      <w:r>
        <w:fldChar w:fldCharType="end"/>
      </w:r>
      <w:r>
        <w:t>] and [</w:t>
      </w:r>
      <w:r>
        <w:fldChar w:fldCharType="begin"/>
      </w:r>
      <w:r>
        <w:instrText xml:space="preserve"> DocProperty ToAsAtDate</w:instrText>
      </w:r>
      <w:r>
        <w:fldChar w:fldCharType="separate"/>
      </w:r>
      <w:r>
        <w:t>19 Aug 2016</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Energy Arbitration and Review Act 1998</w:t>
      </w:r>
    </w:p>
    <w:p>
      <w:pPr>
        <w:pStyle w:val="LongTitle"/>
      </w:pPr>
      <w:r>
        <w:t>A</w:t>
      </w:r>
      <w:bookmarkStart w:id="1" w:name="_GoBack"/>
      <w:bookmarkEnd w:id="1"/>
      <w:r>
        <w:t>n Act to provide for a review board and for an official who may arbitrate certain disputes, and for related purposes.</w:t>
      </w:r>
    </w:p>
    <w:p>
      <w:pPr>
        <w:pStyle w:val="Footnotelongtitle"/>
      </w:pPr>
      <w:r>
        <w:tab/>
        <w:t>[Long title inserted</w:t>
      </w:r>
      <w:del w:id="2" w:author="svcMRProcess" w:date="2019-02-07T13:05:00Z">
        <w:r>
          <w:delText xml:space="preserve"> by</w:delText>
        </w:r>
      </w:del>
      <w:ins w:id="3" w:author="svcMRProcess" w:date="2019-02-07T13:05:00Z">
        <w:r>
          <w:t>:</w:t>
        </w:r>
      </w:ins>
      <w:r>
        <w:t xml:space="preserve"> No. 16 of 2009 s. 24.]</w:t>
      </w:r>
    </w:p>
    <w:p>
      <w:pPr>
        <w:pStyle w:val="Ednotedivision"/>
      </w:pPr>
      <w:r>
        <w:t>[Preamble deleted</w:t>
      </w:r>
      <w:del w:id="4" w:author="svcMRProcess" w:date="2019-02-07T13:05:00Z">
        <w:r>
          <w:delText xml:space="preserve"> by</w:delText>
        </w:r>
      </w:del>
      <w:ins w:id="5" w:author="svcMRProcess" w:date="2019-02-07T13:05:00Z">
        <w:r>
          <w:t>:</w:t>
        </w:r>
      </w:ins>
      <w:r>
        <w:t xml:space="preserve"> No. 16 of 2009 s. 25.]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20" w:footer="3380" w:gutter="0"/>
          <w:pgNumType w:start="1"/>
          <w:cols w:space="720"/>
          <w:noEndnote/>
          <w:titlePg/>
          <w:docGrid w:linePitch="326"/>
        </w:sectPr>
      </w:pPr>
    </w:p>
    <w:p>
      <w:pPr>
        <w:pStyle w:val="Heading2"/>
      </w:pPr>
      <w:bookmarkStart w:id="6" w:name="_Toc459714453"/>
      <w:bookmarkStart w:id="7" w:name="_Toc460315249"/>
      <w:bookmarkStart w:id="8" w:name="_Toc376260641"/>
      <w:bookmarkStart w:id="9" w:name="_Toc416795250"/>
      <w:bookmarkStart w:id="10" w:name="_Toc416795307"/>
      <w:r>
        <w:rPr>
          <w:rStyle w:val="CharPartNo"/>
        </w:rPr>
        <w:lastRenderedPageBreak/>
        <w:t>Part 1</w:t>
      </w:r>
      <w:r>
        <w:t xml:space="preserve"> — </w:t>
      </w:r>
      <w:r>
        <w:rPr>
          <w:rStyle w:val="CharPartText"/>
        </w:rPr>
        <w:t>Preliminary</w:t>
      </w:r>
      <w:bookmarkEnd w:id="6"/>
      <w:bookmarkEnd w:id="7"/>
      <w:bookmarkEnd w:id="8"/>
      <w:bookmarkEnd w:id="9"/>
      <w:bookmarkEnd w:id="10"/>
    </w:p>
    <w:p>
      <w:pPr>
        <w:pStyle w:val="Heading5"/>
        <w:rPr>
          <w:snapToGrid w:val="0"/>
        </w:rPr>
      </w:pPr>
      <w:bookmarkStart w:id="11" w:name="_Toc460315250"/>
      <w:bookmarkStart w:id="12" w:name="_Toc376260642"/>
      <w:bookmarkStart w:id="13" w:name="_Toc416795308"/>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iCs/>
        </w:rPr>
        <w:t>Energy Arbitration and Review Act 1998</w:t>
      </w:r>
      <w:r>
        <w:rPr>
          <w:snapToGrid w:val="0"/>
          <w:vertAlign w:val="superscript"/>
        </w:rPr>
        <w:t xml:space="preserve"> 1</w:t>
      </w:r>
      <w:r>
        <w:rPr>
          <w:snapToGrid w:val="0"/>
        </w:rPr>
        <w:t>.</w:t>
      </w:r>
    </w:p>
    <w:p>
      <w:pPr>
        <w:pStyle w:val="Footnotesection"/>
      </w:pPr>
      <w:r>
        <w:tab/>
        <w:t>[Section 1 amended</w:t>
      </w:r>
      <w:del w:id="14" w:author="svcMRProcess" w:date="2019-02-07T13:05:00Z">
        <w:r>
          <w:delText xml:space="preserve"> by</w:delText>
        </w:r>
      </w:del>
      <w:ins w:id="15" w:author="svcMRProcess" w:date="2019-02-07T13:05:00Z">
        <w:r>
          <w:t>:</w:t>
        </w:r>
      </w:ins>
      <w:r>
        <w:t xml:space="preserve"> No. 16 of 2009 s. 26.]</w:t>
      </w:r>
    </w:p>
    <w:p>
      <w:pPr>
        <w:pStyle w:val="Ednotesection"/>
      </w:pPr>
      <w:r>
        <w:t>[</w:t>
      </w:r>
      <w:r>
        <w:rPr>
          <w:b/>
          <w:bCs/>
        </w:rPr>
        <w:t>2</w:t>
      </w:r>
      <w:r>
        <w:rPr>
          <w:b/>
          <w:bCs/>
        </w:rPr>
        <w:noBreakHyphen/>
        <w:t>4.</w:t>
      </w:r>
      <w:r>
        <w:tab/>
        <w:t>Deleted</w:t>
      </w:r>
      <w:del w:id="16" w:author="svcMRProcess" w:date="2019-02-07T13:05:00Z">
        <w:r>
          <w:delText xml:space="preserve"> by</w:delText>
        </w:r>
      </w:del>
      <w:ins w:id="17" w:author="svcMRProcess" w:date="2019-02-07T13:05:00Z">
        <w:r>
          <w:t>:</w:t>
        </w:r>
      </w:ins>
      <w:r>
        <w:t xml:space="preserve"> No. 16 of 2009 s. 27.]</w:t>
      </w:r>
    </w:p>
    <w:p>
      <w:pPr>
        <w:pStyle w:val="Heading5"/>
        <w:rPr>
          <w:snapToGrid w:val="0"/>
        </w:rPr>
      </w:pPr>
      <w:bookmarkStart w:id="18" w:name="_Toc460315251"/>
      <w:bookmarkStart w:id="19" w:name="_Toc376260643"/>
      <w:bookmarkStart w:id="20" w:name="_Toc416795309"/>
      <w:r>
        <w:rPr>
          <w:rStyle w:val="CharSectno"/>
        </w:rPr>
        <w:t>5</w:t>
      </w:r>
      <w:r>
        <w:rPr>
          <w:snapToGrid w:val="0"/>
        </w:rPr>
        <w:t>.</w:t>
      </w:r>
      <w:r>
        <w:rPr>
          <w:snapToGrid w:val="0"/>
        </w:rPr>
        <w:tab/>
        <w:t>Crown to be bound</w:t>
      </w:r>
      <w:bookmarkEnd w:id="18"/>
      <w:bookmarkEnd w:id="19"/>
      <w:bookmarkEnd w:id="20"/>
      <w:r>
        <w:rPr>
          <w:snapToGrid w:val="0"/>
        </w:rPr>
        <w:t xml:space="preserve"> </w:t>
      </w:r>
    </w:p>
    <w:p>
      <w:pPr>
        <w:pStyle w:val="Subsection"/>
        <w:rPr>
          <w:snapToGrid w:val="0"/>
        </w:rPr>
      </w:pPr>
      <w:r>
        <w:rPr>
          <w:snapToGrid w:val="0"/>
        </w:rPr>
        <w:tab/>
      </w:r>
      <w:r>
        <w:rPr>
          <w:snapToGrid w:val="0"/>
        </w:rPr>
        <w:tab/>
      </w:r>
      <w:r>
        <w:t>This Act binds</w:t>
      </w:r>
      <w:r>
        <w:rPr>
          <w:snapToGrid w:val="0"/>
        </w:rPr>
        <w:t xml:space="preserve"> the Crown, not only in the right of </w:t>
      </w:r>
      <w:smartTag w:uri="urn:schemas-microsoft-com:office:smarttags" w:element="place">
        <w:smartTag w:uri="urn:schemas-microsoft-com:office:smarttags" w:element="State">
          <w:r>
            <w:rPr>
              <w:snapToGrid w:val="0"/>
            </w:rPr>
            <w:t>Western Australia</w:t>
          </w:r>
        </w:smartTag>
      </w:smartTag>
      <w:r>
        <w:rPr>
          <w:snapToGrid w:val="0"/>
        </w:rPr>
        <w:t xml:space="preserve"> but also, so far as the legislative power of the Parliament permits, the Crown in all its other capacities.</w:t>
      </w:r>
    </w:p>
    <w:p>
      <w:pPr>
        <w:pStyle w:val="Footnotesection"/>
      </w:pPr>
      <w:r>
        <w:tab/>
        <w:t>[Section 5 amended</w:t>
      </w:r>
      <w:del w:id="21" w:author="svcMRProcess" w:date="2019-02-07T13:05:00Z">
        <w:r>
          <w:delText xml:space="preserve"> by</w:delText>
        </w:r>
      </w:del>
      <w:ins w:id="22" w:author="svcMRProcess" w:date="2019-02-07T13:05:00Z">
        <w:r>
          <w:t>:</w:t>
        </w:r>
      </w:ins>
      <w:r>
        <w:t xml:space="preserve"> No. 16 of 2009 s. 28.]</w:t>
      </w:r>
    </w:p>
    <w:p>
      <w:pPr>
        <w:pStyle w:val="Ednotesection"/>
      </w:pPr>
      <w:r>
        <w:t>[</w:t>
      </w:r>
      <w:r>
        <w:rPr>
          <w:b/>
          <w:bCs/>
        </w:rPr>
        <w:t>6</w:t>
      </w:r>
      <w:r>
        <w:rPr>
          <w:b/>
          <w:bCs/>
        </w:rPr>
        <w:noBreakHyphen/>
        <w:t>8.</w:t>
      </w:r>
      <w:r>
        <w:tab/>
        <w:t>Deleted</w:t>
      </w:r>
      <w:del w:id="23" w:author="svcMRProcess" w:date="2019-02-07T13:05:00Z">
        <w:r>
          <w:delText xml:space="preserve"> by</w:delText>
        </w:r>
      </w:del>
      <w:ins w:id="24" w:author="svcMRProcess" w:date="2019-02-07T13:05:00Z">
        <w:r>
          <w:t>:</w:t>
        </w:r>
      </w:ins>
      <w:r>
        <w:t xml:space="preserve"> No. 16 of 2009 s. 29.]</w:t>
      </w:r>
    </w:p>
    <w:p>
      <w:pPr>
        <w:pStyle w:val="Ednotepart"/>
      </w:pPr>
      <w:r>
        <w:t>[Part 2-3 (s. 9</w:t>
      </w:r>
      <w:r>
        <w:noBreakHyphen/>
        <w:t>14) deleted</w:t>
      </w:r>
      <w:del w:id="25" w:author="svcMRProcess" w:date="2019-02-07T13:05:00Z">
        <w:r>
          <w:delText xml:space="preserve"> by</w:delText>
        </w:r>
      </w:del>
      <w:ins w:id="26" w:author="svcMRProcess" w:date="2019-02-07T13:05:00Z">
        <w:r>
          <w:t>:</w:t>
        </w:r>
      </w:ins>
      <w:r>
        <w:t xml:space="preserve"> No. 16 of 2009 s. 30.]</w:t>
      </w:r>
    </w:p>
    <w:p>
      <w:pPr>
        <w:pStyle w:val="Ednotepart"/>
      </w:pPr>
      <w:r>
        <w:t>[Part 4 Div. 1 (s. 15</w:t>
      </w:r>
      <w:r>
        <w:noBreakHyphen/>
        <w:t>19) deleted</w:t>
      </w:r>
      <w:del w:id="27" w:author="svcMRProcess" w:date="2019-02-07T13:05:00Z">
        <w:r>
          <w:delText xml:space="preserve"> by</w:delText>
        </w:r>
      </w:del>
      <w:ins w:id="28" w:author="svcMRProcess" w:date="2019-02-07T13:05:00Z">
        <w:r>
          <w:t>:</w:t>
        </w:r>
      </w:ins>
      <w:r>
        <w:t xml:space="preserve"> No. 16 of 2009 s. 30.]</w:t>
      </w:r>
    </w:p>
    <w:p>
      <w:pPr>
        <w:pStyle w:val="Ednotepart"/>
      </w:pPr>
      <w:r>
        <w:t>[Part 4 Div. 2 and 3 (s. 20-22) deleted</w:t>
      </w:r>
      <w:del w:id="29" w:author="svcMRProcess" w:date="2019-02-07T13:05:00Z">
        <w:r>
          <w:delText xml:space="preserve"> by</w:delText>
        </w:r>
      </w:del>
      <w:ins w:id="30" w:author="svcMRProcess" w:date="2019-02-07T13:05:00Z">
        <w:r>
          <w:t>:</w:t>
        </w:r>
      </w:ins>
      <w:r>
        <w:t xml:space="preserve"> No. 32 of 2001 s. 18.]</w:t>
      </w:r>
    </w:p>
    <w:p>
      <w:pPr>
        <w:pStyle w:val="Ednotepart"/>
      </w:pPr>
      <w:r>
        <w:t>[Part 5 (s. 23</w:t>
      </w:r>
      <w:r>
        <w:noBreakHyphen/>
        <w:t>25) deleted</w:t>
      </w:r>
      <w:del w:id="31" w:author="svcMRProcess" w:date="2019-02-07T13:05:00Z">
        <w:r>
          <w:delText xml:space="preserve"> by</w:delText>
        </w:r>
      </w:del>
      <w:ins w:id="32" w:author="svcMRProcess" w:date="2019-02-07T13:05:00Z">
        <w:r>
          <w:t>:</w:t>
        </w:r>
      </w:ins>
      <w:r>
        <w:t xml:space="preserve"> No. 16 of 2009 s. 30.]</w:t>
      </w:r>
    </w:p>
    <w:p>
      <w:pPr>
        <w:pStyle w:val="Heading2"/>
      </w:pPr>
      <w:bookmarkStart w:id="33" w:name="_Toc459714456"/>
      <w:bookmarkStart w:id="34" w:name="_Toc460315252"/>
      <w:bookmarkStart w:id="35" w:name="_Toc376260644"/>
      <w:bookmarkStart w:id="36" w:name="_Toc416795253"/>
      <w:bookmarkStart w:id="37" w:name="_Toc416795310"/>
      <w:r>
        <w:rPr>
          <w:rStyle w:val="CharPartNo"/>
        </w:rPr>
        <w:lastRenderedPageBreak/>
        <w:t>Part 6</w:t>
      </w:r>
      <w:r>
        <w:rPr>
          <w:rStyle w:val="CharDivNo"/>
        </w:rPr>
        <w:t> </w:t>
      </w:r>
      <w:r>
        <w:t>—</w:t>
      </w:r>
      <w:r>
        <w:rPr>
          <w:rStyle w:val="CharDivText"/>
        </w:rPr>
        <w:t> </w:t>
      </w:r>
      <w:r>
        <w:rPr>
          <w:rStyle w:val="CharPartText"/>
        </w:rPr>
        <w:t>Review board and arbitrator</w:t>
      </w:r>
      <w:bookmarkEnd w:id="33"/>
      <w:bookmarkEnd w:id="34"/>
      <w:bookmarkEnd w:id="35"/>
      <w:bookmarkEnd w:id="36"/>
      <w:bookmarkEnd w:id="37"/>
    </w:p>
    <w:p>
      <w:pPr>
        <w:pStyle w:val="Footnoteheading"/>
      </w:pPr>
      <w:r>
        <w:tab/>
        <w:t>[Heading inserted</w:t>
      </w:r>
      <w:del w:id="38" w:author="svcMRProcess" w:date="2019-02-07T13:05:00Z">
        <w:r>
          <w:delText xml:space="preserve"> by</w:delText>
        </w:r>
      </w:del>
      <w:ins w:id="39" w:author="svcMRProcess" w:date="2019-02-07T13:05:00Z">
        <w:r>
          <w:t>:</w:t>
        </w:r>
      </w:ins>
      <w:r>
        <w:t xml:space="preserve"> No. 16 of 2009 s. 31.]</w:t>
      </w:r>
    </w:p>
    <w:p>
      <w:pPr>
        <w:pStyle w:val="Ednotesubdivision"/>
        <w:ind w:left="1484" w:hanging="1484"/>
      </w:pPr>
      <w:r>
        <w:t>[Division 1:</w:t>
      </w:r>
      <w:r>
        <w:tab/>
        <w:t>Subdivision 1 heading deleted</w:t>
      </w:r>
      <w:del w:id="40" w:author="svcMRProcess" w:date="2019-02-07T13:05:00Z">
        <w:r>
          <w:delText xml:space="preserve"> by</w:delText>
        </w:r>
      </w:del>
      <w:ins w:id="41" w:author="svcMRProcess" w:date="2019-02-07T13:05:00Z">
        <w:r>
          <w:t>:</w:t>
        </w:r>
      </w:ins>
      <w:r>
        <w:t xml:space="preserve"> No. 67 of 2003 Sch. 2 cl. 35;</w:t>
      </w:r>
      <w:r>
        <w:br/>
        <w:t>s. 26 deleted</w:t>
      </w:r>
      <w:del w:id="42" w:author="svcMRProcess" w:date="2019-02-07T13:05:00Z">
        <w:r>
          <w:delText xml:space="preserve"> by</w:delText>
        </w:r>
      </w:del>
      <w:ins w:id="43" w:author="svcMRProcess" w:date="2019-02-07T13:05:00Z">
        <w:r>
          <w:t>:</w:t>
        </w:r>
      </w:ins>
      <w:r>
        <w:t xml:space="preserve"> No. 16 of 2009 s. 32;</w:t>
      </w:r>
      <w:r>
        <w:br/>
        <w:t>Subdivision 2 (s. 27</w:t>
      </w:r>
      <w:r>
        <w:noBreakHyphen/>
        <w:t>35) deleted</w:t>
      </w:r>
      <w:del w:id="44" w:author="svcMRProcess" w:date="2019-02-07T13:05:00Z">
        <w:r>
          <w:delText xml:space="preserve"> by</w:delText>
        </w:r>
      </w:del>
      <w:ins w:id="45" w:author="svcMRProcess" w:date="2019-02-07T13:05:00Z">
        <w:r>
          <w:t>:</w:t>
        </w:r>
      </w:ins>
      <w:r>
        <w:t xml:space="preserve"> No. 67 of 2003 Sch. 2 cl. 37;</w:t>
      </w:r>
      <w:r>
        <w:br/>
        <w:t>Subdivision 3 heading deleted</w:t>
      </w:r>
      <w:del w:id="46" w:author="svcMRProcess" w:date="2019-02-07T13:05:00Z">
        <w:r>
          <w:delText xml:space="preserve"> by</w:delText>
        </w:r>
      </w:del>
      <w:ins w:id="47" w:author="svcMRProcess" w:date="2019-02-07T13:05:00Z">
        <w:r>
          <w:t>:</w:t>
        </w:r>
      </w:ins>
      <w:r>
        <w:t xml:space="preserve"> No. 67 of 2003 Sch. 2 cl. 38;</w:t>
      </w:r>
      <w:r>
        <w:br/>
        <w:t>s. 36 deleted</w:t>
      </w:r>
      <w:del w:id="48" w:author="svcMRProcess" w:date="2019-02-07T13:05:00Z">
        <w:r>
          <w:delText xml:space="preserve"> by</w:delText>
        </w:r>
      </w:del>
      <w:ins w:id="49" w:author="svcMRProcess" w:date="2019-02-07T13:05:00Z">
        <w:r>
          <w:t>:</w:t>
        </w:r>
      </w:ins>
      <w:r>
        <w:t xml:space="preserve"> No. 16 of 2009 s. 32;</w:t>
      </w:r>
      <w:r>
        <w:br/>
        <w:t>s. </w:t>
      </w:r>
      <w:r>
        <w:rPr>
          <w:bCs/>
        </w:rPr>
        <w:t>37 d</w:t>
      </w:r>
      <w:r>
        <w:t>eleted</w:t>
      </w:r>
      <w:del w:id="50" w:author="svcMRProcess" w:date="2019-02-07T13:05:00Z">
        <w:r>
          <w:delText xml:space="preserve"> by</w:delText>
        </w:r>
      </w:del>
      <w:ins w:id="51" w:author="svcMRProcess" w:date="2019-02-07T13:05:00Z">
        <w:r>
          <w:t>:</w:t>
        </w:r>
      </w:ins>
      <w:r>
        <w:t xml:space="preserve"> No. 67 of 2003 Sch. 2 cl. 40;</w:t>
      </w:r>
      <w:r>
        <w:br/>
        <w:t>s. 38 deleted</w:t>
      </w:r>
      <w:del w:id="52" w:author="svcMRProcess" w:date="2019-02-07T13:05:00Z">
        <w:r>
          <w:delText xml:space="preserve"> by</w:delText>
        </w:r>
      </w:del>
      <w:ins w:id="53" w:author="svcMRProcess" w:date="2019-02-07T13:05:00Z">
        <w:r>
          <w:t>:</w:t>
        </w:r>
      </w:ins>
      <w:r>
        <w:t xml:space="preserve"> No. 16 of 2009 s. 32;</w:t>
      </w:r>
      <w:r>
        <w:br/>
        <w:t>s. </w:t>
      </w:r>
      <w:r>
        <w:rPr>
          <w:bCs/>
        </w:rPr>
        <w:t>39</w:t>
      </w:r>
      <w:r>
        <w:rPr>
          <w:bCs/>
        </w:rPr>
        <w:noBreakHyphen/>
        <w:t>41</w:t>
      </w:r>
      <w:r>
        <w:rPr>
          <w:b/>
        </w:rPr>
        <w:t xml:space="preserve"> </w:t>
      </w:r>
      <w:r>
        <w:t>deleted</w:t>
      </w:r>
      <w:del w:id="54" w:author="svcMRProcess" w:date="2019-02-07T13:05:00Z">
        <w:r>
          <w:delText xml:space="preserve"> by</w:delText>
        </w:r>
      </w:del>
      <w:ins w:id="55" w:author="svcMRProcess" w:date="2019-02-07T13:05:00Z">
        <w:r>
          <w:t>:</w:t>
        </w:r>
      </w:ins>
      <w:r>
        <w:t xml:space="preserve"> No. 67 of 2003 Sch. 2 cl. 42;</w:t>
      </w:r>
      <w:r>
        <w:br/>
        <w:t>Subdivision 4</w:t>
      </w:r>
      <w:r>
        <w:noBreakHyphen/>
        <w:t>6 (s. 42</w:t>
      </w:r>
      <w:r>
        <w:noBreakHyphen/>
        <w:t>48) deleted</w:t>
      </w:r>
      <w:del w:id="56" w:author="svcMRProcess" w:date="2019-02-07T13:05:00Z">
        <w:r>
          <w:delText xml:space="preserve"> by</w:delText>
        </w:r>
      </w:del>
      <w:ins w:id="57" w:author="svcMRProcess" w:date="2019-02-07T13:05:00Z">
        <w:r>
          <w:t>:</w:t>
        </w:r>
      </w:ins>
      <w:r>
        <w:t xml:space="preserve"> No. 67 of 2003 Sch. 2 cl. 43.]</w:t>
      </w:r>
    </w:p>
    <w:p>
      <w:pPr>
        <w:pStyle w:val="Heading3"/>
      </w:pPr>
      <w:bookmarkStart w:id="58" w:name="_Toc459714457"/>
      <w:bookmarkStart w:id="59" w:name="_Toc460315253"/>
      <w:bookmarkStart w:id="60" w:name="_Toc376260645"/>
      <w:bookmarkStart w:id="61" w:name="_Toc416795254"/>
      <w:bookmarkStart w:id="62" w:name="_Toc416795311"/>
      <w:r>
        <w:rPr>
          <w:rStyle w:val="CharDivNo"/>
        </w:rPr>
        <w:t>Division 2</w:t>
      </w:r>
      <w:r>
        <w:t> — </w:t>
      </w:r>
      <w:r>
        <w:rPr>
          <w:rStyle w:val="CharDivText"/>
        </w:rPr>
        <w:t>Review board</w:t>
      </w:r>
      <w:bookmarkEnd w:id="58"/>
      <w:bookmarkEnd w:id="59"/>
      <w:bookmarkEnd w:id="60"/>
      <w:bookmarkEnd w:id="61"/>
      <w:bookmarkEnd w:id="62"/>
    </w:p>
    <w:p>
      <w:pPr>
        <w:pStyle w:val="Footnoteheading"/>
      </w:pPr>
      <w:r>
        <w:tab/>
        <w:t>[Heading inserted</w:t>
      </w:r>
      <w:del w:id="63" w:author="svcMRProcess" w:date="2019-02-07T13:05:00Z">
        <w:r>
          <w:delText xml:space="preserve"> by</w:delText>
        </w:r>
      </w:del>
      <w:ins w:id="64" w:author="svcMRProcess" w:date="2019-02-07T13:05:00Z">
        <w:r>
          <w:t>:</w:t>
        </w:r>
      </w:ins>
      <w:r>
        <w:t xml:space="preserve"> No. 16 of 2009 s. 33.]</w:t>
      </w:r>
    </w:p>
    <w:p>
      <w:pPr>
        <w:pStyle w:val="Heading4"/>
        <w:rPr>
          <w:snapToGrid w:val="0"/>
        </w:rPr>
      </w:pPr>
      <w:bookmarkStart w:id="65" w:name="_Toc459714458"/>
      <w:bookmarkStart w:id="66" w:name="_Toc460315254"/>
      <w:bookmarkStart w:id="67" w:name="_Toc376260646"/>
      <w:bookmarkStart w:id="68" w:name="_Toc416795255"/>
      <w:bookmarkStart w:id="69" w:name="_Toc416795312"/>
      <w:r>
        <w:rPr>
          <w:snapToGrid w:val="0"/>
        </w:rPr>
        <w:t>Subdivision 1 — Preliminary</w:t>
      </w:r>
      <w:bookmarkEnd w:id="65"/>
      <w:bookmarkEnd w:id="66"/>
      <w:bookmarkEnd w:id="67"/>
      <w:bookmarkEnd w:id="68"/>
      <w:bookmarkEnd w:id="69"/>
      <w:r>
        <w:rPr>
          <w:snapToGrid w:val="0"/>
        </w:rPr>
        <w:t xml:space="preserve"> </w:t>
      </w:r>
    </w:p>
    <w:p>
      <w:pPr>
        <w:pStyle w:val="Heading5"/>
        <w:spacing w:before="180"/>
        <w:rPr>
          <w:snapToGrid w:val="0"/>
        </w:rPr>
      </w:pPr>
      <w:bookmarkStart w:id="70" w:name="_Toc460315255"/>
      <w:bookmarkStart w:id="71" w:name="_Toc376260647"/>
      <w:bookmarkStart w:id="72" w:name="_Toc416795313"/>
      <w:r>
        <w:rPr>
          <w:rStyle w:val="CharSectno"/>
        </w:rPr>
        <w:t>49</w:t>
      </w:r>
      <w:r>
        <w:rPr>
          <w:snapToGrid w:val="0"/>
        </w:rPr>
        <w:t>.</w:t>
      </w:r>
      <w:r>
        <w:rPr>
          <w:snapToGrid w:val="0"/>
        </w:rPr>
        <w:tab/>
        <w:t>Terms used</w:t>
      </w:r>
      <w:bookmarkEnd w:id="70"/>
      <w:bookmarkEnd w:id="71"/>
      <w:bookmarkEnd w:id="7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Electricity Review Board established by section 50;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49 amended</w:t>
      </w:r>
      <w:del w:id="73" w:author="svcMRProcess" w:date="2019-02-07T13:05:00Z">
        <w:r>
          <w:delText xml:space="preserve"> by</w:delText>
        </w:r>
      </w:del>
      <w:ins w:id="74" w:author="svcMRProcess" w:date="2019-02-07T13:05:00Z">
        <w:r>
          <w:t>:</w:t>
        </w:r>
      </w:ins>
      <w:r>
        <w:t xml:space="preserve"> No. 65 of 2003 s. 38; No. 21 of 2008 s. 665; No. 16 of 2009 s. 34.]</w:t>
      </w:r>
    </w:p>
    <w:p>
      <w:pPr>
        <w:pStyle w:val="Heading4"/>
        <w:keepLines/>
      </w:pPr>
      <w:bookmarkStart w:id="75" w:name="_Toc459714460"/>
      <w:bookmarkStart w:id="76" w:name="_Toc460315256"/>
      <w:bookmarkStart w:id="77" w:name="_Toc376260648"/>
      <w:bookmarkStart w:id="78" w:name="_Toc416795257"/>
      <w:bookmarkStart w:id="79" w:name="_Toc416795314"/>
      <w:r>
        <w:t>Subdivision 2 — Western Australian Electricity Review Board established</w:t>
      </w:r>
      <w:bookmarkEnd w:id="75"/>
      <w:bookmarkEnd w:id="76"/>
      <w:bookmarkEnd w:id="77"/>
      <w:bookmarkEnd w:id="78"/>
      <w:bookmarkEnd w:id="79"/>
    </w:p>
    <w:p>
      <w:pPr>
        <w:pStyle w:val="Footnoteheading"/>
        <w:keepNext/>
        <w:keepLines/>
      </w:pPr>
      <w:r>
        <w:tab/>
        <w:t>[Heading inserted</w:t>
      </w:r>
      <w:del w:id="80" w:author="svcMRProcess" w:date="2019-02-07T13:05:00Z">
        <w:r>
          <w:delText xml:space="preserve"> by</w:delText>
        </w:r>
      </w:del>
      <w:ins w:id="81" w:author="svcMRProcess" w:date="2019-02-07T13:05:00Z">
        <w:r>
          <w:t>:</w:t>
        </w:r>
      </w:ins>
      <w:r>
        <w:t xml:space="preserve"> No. 16 of 2009 s. 35.]</w:t>
      </w:r>
    </w:p>
    <w:p>
      <w:pPr>
        <w:pStyle w:val="Heading5"/>
        <w:rPr>
          <w:snapToGrid w:val="0"/>
        </w:rPr>
      </w:pPr>
      <w:bookmarkStart w:id="82" w:name="_Toc460315257"/>
      <w:bookmarkStart w:id="83" w:name="_Toc376260649"/>
      <w:bookmarkStart w:id="84" w:name="_Toc416795315"/>
      <w:r>
        <w:rPr>
          <w:rStyle w:val="CharSectno"/>
        </w:rPr>
        <w:t>50</w:t>
      </w:r>
      <w:r>
        <w:rPr>
          <w:snapToGrid w:val="0"/>
        </w:rPr>
        <w:t>.</w:t>
      </w:r>
      <w:r>
        <w:rPr>
          <w:snapToGrid w:val="0"/>
        </w:rPr>
        <w:tab/>
      </w:r>
      <w:r>
        <w:t>Western Australian Electricity Review Board</w:t>
      </w:r>
      <w:bookmarkEnd w:id="82"/>
      <w:bookmarkEnd w:id="83"/>
      <w:bookmarkEnd w:id="84"/>
    </w:p>
    <w:p>
      <w:pPr>
        <w:pStyle w:val="Subsection"/>
        <w:spacing w:before="120"/>
        <w:rPr>
          <w:snapToGrid w:val="0"/>
        </w:rPr>
      </w:pPr>
      <w:r>
        <w:rPr>
          <w:snapToGrid w:val="0"/>
        </w:rPr>
        <w:tab/>
        <w:t>(1)</w:t>
      </w:r>
      <w:r>
        <w:rPr>
          <w:snapToGrid w:val="0"/>
        </w:rPr>
        <w:tab/>
        <w:t xml:space="preserve">The </w:t>
      </w:r>
      <w:r>
        <w:t>Western Australian Electricity Review Board</w:t>
      </w:r>
      <w:r>
        <w:rPr>
          <w:snapToGrid w:val="0"/>
        </w:rPr>
        <w:t xml:space="preserve"> is established.</w:t>
      </w:r>
    </w:p>
    <w:p>
      <w:pPr>
        <w:pStyle w:val="Subsection"/>
      </w:pPr>
      <w:r>
        <w:tab/>
        <w:t>(2A)</w:t>
      </w:r>
      <w:r>
        <w:tab/>
        <w:t xml:space="preserve">The Board has the functions conferred on it under the </w:t>
      </w:r>
      <w:r>
        <w:rPr>
          <w:i/>
        </w:rPr>
        <w:t>Electricity Industry Act 2004</w:t>
      </w:r>
      <w:r>
        <w:t xml:space="preserve">, the </w:t>
      </w:r>
      <w:r>
        <w:rPr>
          <w:i/>
        </w:rPr>
        <w:t>Gas Services Information Act 2012</w:t>
      </w:r>
      <w:r>
        <w:t xml:space="preserve"> or any other written law.</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Footnotesection"/>
        <w:ind w:left="890" w:hanging="890"/>
      </w:pPr>
      <w:r>
        <w:tab/>
        <w:t>[Section 50 amended</w:t>
      </w:r>
      <w:del w:id="85" w:author="svcMRProcess" w:date="2019-02-07T13:05:00Z">
        <w:r>
          <w:delText xml:space="preserve"> by</w:delText>
        </w:r>
      </w:del>
      <w:ins w:id="86" w:author="svcMRProcess" w:date="2019-02-07T13:05:00Z">
        <w:r>
          <w:t>:</w:t>
        </w:r>
      </w:ins>
      <w:r>
        <w:t xml:space="preserve"> No. 16 of 2009 s. 36; No. 5 of 2012 s. 16; No. 25 of 2013 s. 40(2).]</w:t>
      </w:r>
    </w:p>
    <w:p>
      <w:pPr>
        <w:pStyle w:val="Heading5"/>
        <w:rPr>
          <w:snapToGrid w:val="0"/>
        </w:rPr>
      </w:pPr>
      <w:bookmarkStart w:id="87" w:name="_Toc460315258"/>
      <w:bookmarkStart w:id="88" w:name="_Toc376260650"/>
      <w:bookmarkStart w:id="89" w:name="_Toc416795316"/>
      <w:r>
        <w:rPr>
          <w:rStyle w:val="CharSectno"/>
        </w:rPr>
        <w:t>51</w:t>
      </w:r>
      <w:r>
        <w:rPr>
          <w:snapToGrid w:val="0"/>
        </w:rPr>
        <w:t>.</w:t>
      </w:r>
      <w:r>
        <w:rPr>
          <w:snapToGrid w:val="0"/>
        </w:rPr>
        <w:tab/>
        <w:t>Constitution of Board</w:t>
      </w:r>
      <w:bookmarkEnd w:id="87"/>
      <w:bookmarkEnd w:id="88"/>
      <w:bookmarkEnd w:id="89"/>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90" w:name="_Toc460315259"/>
      <w:bookmarkStart w:id="91" w:name="_Toc376260651"/>
      <w:bookmarkStart w:id="92" w:name="_Toc416795317"/>
      <w:r>
        <w:rPr>
          <w:rStyle w:val="CharSectno"/>
        </w:rPr>
        <w:t>52</w:t>
      </w:r>
      <w:r>
        <w:rPr>
          <w:snapToGrid w:val="0"/>
        </w:rPr>
        <w:t>.</w:t>
      </w:r>
      <w:r>
        <w:rPr>
          <w:snapToGrid w:val="0"/>
        </w:rPr>
        <w:tab/>
        <w:t>Panels</w:t>
      </w:r>
      <w:bookmarkEnd w:id="90"/>
      <w:bookmarkEnd w:id="91"/>
      <w:bookmarkEnd w:id="92"/>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rPr>
          <w:snapToGrid w:val="0"/>
        </w:rPr>
      </w:pPr>
      <w:r>
        <w:rPr>
          <w:snapToGrid w:val="0"/>
        </w:rPr>
        <w:tab/>
        <w:t>(3)</w:t>
      </w:r>
      <w:r>
        <w:rPr>
          <w:snapToGrid w:val="0"/>
        </w:rPr>
        <w:tab/>
        <w:t>The Governor may from time to time make appointments to a panel.</w:t>
      </w:r>
    </w:p>
    <w:p>
      <w:pPr>
        <w:pStyle w:val="Subsection"/>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240"/>
        <w:rPr>
          <w:snapToGrid w:val="0"/>
        </w:rPr>
      </w:pPr>
      <w:bookmarkStart w:id="93" w:name="_Toc460315260"/>
      <w:bookmarkStart w:id="94" w:name="_Toc376260652"/>
      <w:bookmarkStart w:id="95" w:name="_Toc416795318"/>
      <w:r>
        <w:rPr>
          <w:rStyle w:val="CharSectno"/>
        </w:rPr>
        <w:t>53</w:t>
      </w:r>
      <w:r>
        <w:rPr>
          <w:snapToGrid w:val="0"/>
        </w:rPr>
        <w:t>.</w:t>
      </w:r>
      <w:r>
        <w:rPr>
          <w:snapToGrid w:val="0"/>
        </w:rPr>
        <w:tab/>
        <w:t>Disclosure of interests</w:t>
      </w:r>
      <w:bookmarkEnd w:id="93"/>
      <w:bookmarkEnd w:id="94"/>
      <w:bookmarkEnd w:id="95"/>
      <w:r>
        <w:rPr>
          <w:snapToGrid w:val="0"/>
        </w:rPr>
        <w:t xml:space="preserve"> </w:t>
      </w:r>
    </w:p>
    <w:p>
      <w:pPr>
        <w:pStyle w:val="Subsection"/>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96" w:name="_Toc460315261"/>
      <w:bookmarkStart w:id="97" w:name="_Toc376260653"/>
      <w:bookmarkStart w:id="98" w:name="_Toc416795319"/>
      <w:r>
        <w:rPr>
          <w:rStyle w:val="CharSectno"/>
        </w:rPr>
        <w:t>54</w:t>
      </w:r>
      <w:r>
        <w:rPr>
          <w:snapToGrid w:val="0"/>
        </w:rPr>
        <w:t>.</w:t>
      </w:r>
      <w:r>
        <w:rPr>
          <w:snapToGrid w:val="0"/>
        </w:rPr>
        <w:tab/>
        <w:t>Resignation and removal</w:t>
      </w:r>
      <w:bookmarkEnd w:id="96"/>
      <w:bookmarkEnd w:id="97"/>
      <w:bookmarkEnd w:id="98"/>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ins w:id="99" w:author="svcMRProcess" w:date="2019-02-07T13:05:00Z">
        <w:r>
          <w:rPr>
            <w:snapToGrid w:val="0"/>
          </w:rPr>
          <w:t>or</w:t>
        </w:r>
      </w:ins>
    </w:p>
    <w:p>
      <w:pPr>
        <w:pStyle w:val="Indenti"/>
        <w:rPr>
          <w:snapToGrid w:val="0"/>
        </w:rPr>
      </w:pPr>
      <w:r>
        <w:rPr>
          <w:snapToGrid w:val="0"/>
        </w:rPr>
        <w:tab/>
        <w:t>(ii)</w:t>
      </w:r>
      <w:r>
        <w:rPr>
          <w:snapToGrid w:val="0"/>
        </w:rPr>
        <w:tab/>
        <w:t xml:space="preserve">is incompetent; </w:t>
      </w:r>
      <w:ins w:id="100" w:author="svcMRProcess" w:date="2019-02-07T13:05:00Z">
        <w:r>
          <w:rPr>
            <w:snapToGrid w:val="0"/>
          </w:rPr>
          <w:t>or</w:t>
        </w:r>
      </w:ins>
    </w:p>
    <w:p>
      <w:pPr>
        <w:pStyle w:val="Indenti"/>
        <w:rPr>
          <w:snapToGrid w:val="0"/>
        </w:rPr>
      </w:pPr>
      <w:r>
        <w:rPr>
          <w:snapToGrid w:val="0"/>
        </w:rPr>
        <w:tab/>
        <w:t>(iii)</w:t>
      </w:r>
      <w:r>
        <w:rPr>
          <w:snapToGrid w:val="0"/>
        </w:rPr>
        <w:tab/>
        <w:t xml:space="preserve">has neglected his or her duties; </w:t>
      </w:r>
      <w:ins w:id="101" w:author="svcMRProcess" w:date="2019-02-07T13:05:00Z">
        <w:r>
          <w:rPr>
            <w:snapToGrid w:val="0"/>
          </w:rPr>
          <w:t>or</w:t>
        </w:r>
      </w:ins>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ins w:id="102" w:author="svcMRProcess" w:date="2019-02-07T13:05:00Z"/>
          <w:snapToGrid w:val="0"/>
        </w:rPr>
      </w:pPr>
      <w:ins w:id="103" w:author="svcMRProcess" w:date="2019-02-07T13:05:00Z">
        <w:r>
          <w:rPr>
            <w:snapToGrid w:val="0"/>
          </w:rPr>
          <w:tab/>
        </w:r>
        <w:r>
          <w:rPr>
            <w:snapToGrid w:val="0"/>
          </w:rPr>
          <w:tab/>
          <w:t>or</w:t>
        </w:r>
      </w:ins>
    </w:p>
    <w:p>
      <w:pPr>
        <w:pStyle w:val="Indenta"/>
        <w:rPr>
          <w:snapToGrid w:val="0"/>
        </w:rPr>
      </w:pPr>
      <w:r>
        <w:rPr>
          <w:snapToGrid w:val="0"/>
        </w:rPr>
        <w:tab/>
        <w:t>(b)</w:t>
      </w:r>
      <w:r>
        <w:rPr>
          <w:snapToGrid w:val="0"/>
        </w:rPr>
        <w:tab/>
        <w:t>if the person becomes an officer or employee described in section 52(2);</w:t>
      </w:r>
      <w:ins w:id="104" w:author="svcMRProcess" w:date="2019-02-07T13:05:00Z">
        <w:r>
          <w:rPr>
            <w:snapToGrid w:val="0"/>
          </w:rPr>
          <w:t xml:space="preserve"> or</w:t>
        </w:r>
      </w:ins>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w:t>
      </w:r>
      <w:del w:id="105" w:author="svcMRProcess" w:date="2019-02-07T13:05:00Z">
        <w:r>
          <w:delText xml:space="preserve"> by</w:delText>
        </w:r>
      </w:del>
      <w:ins w:id="106" w:author="svcMRProcess" w:date="2019-02-07T13:05:00Z">
        <w:r>
          <w:t>:</w:t>
        </w:r>
      </w:ins>
      <w:r>
        <w:t xml:space="preserve"> No. 10 of 2001 s. 220.]</w:t>
      </w:r>
    </w:p>
    <w:p>
      <w:pPr>
        <w:pStyle w:val="Heading5"/>
        <w:rPr>
          <w:snapToGrid w:val="0"/>
        </w:rPr>
      </w:pPr>
      <w:bookmarkStart w:id="107" w:name="_Toc460315262"/>
      <w:bookmarkStart w:id="108" w:name="_Toc376260654"/>
      <w:bookmarkStart w:id="109" w:name="_Toc416795320"/>
      <w:r>
        <w:rPr>
          <w:rStyle w:val="CharSectno"/>
        </w:rPr>
        <w:t>55</w:t>
      </w:r>
      <w:r>
        <w:rPr>
          <w:snapToGrid w:val="0"/>
        </w:rPr>
        <w:t>.</w:t>
      </w:r>
      <w:r>
        <w:rPr>
          <w:snapToGrid w:val="0"/>
        </w:rPr>
        <w:tab/>
        <w:t>Remuneration</w:t>
      </w:r>
      <w:bookmarkEnd w:id="107"/>
      <w:bookmarkEnd w:id="108"/>
      <w:bookmarkEnd w:id="109"/>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110" w:name="_Toc460315263"/>
      <w:bookmarkStart w:id="111" w:name="_Toc376260655"/>
      <w:bookmarkStart w:id="112" w:name="_Toc416795321"/>
      <w:r>
        <w:rPr>
          <w:rStyle w:val="CharSectno"/>
        </w:rPr>
        <w:t>56</w:t>
      </w:r>
      <w:r>
        <w:rPr>
          <w:snapToGrid w:val="0"/>
        </w:rPr>
        <w:t>.</w:t>
      </w:r>
      <w:r>
        <w:rPr>
          <w:snapToGrid w:val="0"/>
        </w:rPr>
        <w:tab/>
        <w:t>Administrative support</w:t>
      </w:r>
      <w:bookmarkEnd w:id="110"/>
      <w:bookmarkEnd w:id="111"/>
      <w:bookmarkEnd w:id="112"/>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113" w:name="_Toc459714468"/>
      <w:bookmarkStart w:id="114" w:name="_Toc460315264"/>
      <w:bookmarkStart w:id="115" w:name="_Toc376260656"/>
      <w:bookmarkStart w:id="116" w:name="_Toc416795265"/>
      <w:bookmarkStart w:id="117" w:name="_Toc416795322"/>
      <w:r>
        <w:rPr>
          <w:snapToGrid w:val="0"/>
        </w:rPr>
        <w:t>Subdivision 3 — Proceedings before the Board</w:t>
      </w:r>
      <w:bookmarkEnd w:id="113"/>
      <w:bookmarkEnd w:id="114"/>
      <w:bookmarkEnd w:id="115"/>
      <w:bookmarkEnd w:id="116"/>
      <w:bookmarkEnd w:id="117"/>
      <w:r>
        <w:rPr>
          <w:snapToGrid w:val="0"/>
        </w:rPr>
        <w:t xml:space="preserve"> </w:t>
      </w:r>
    </w:p>
    <w:p>
      <w:pPr>
        <w:pStyle w:val="Heading5"/>
        <w:rPr>
          <w:snapToGrid w:val="0"/>
        </w:rPr>
      </w:pPr>
      <w:bookmarkStart w:id="118" w:name="_Toc460315265"/>
      <w:bookmarkStart w:id="119" w:name="_Toc376260657"/>
      <w:bookmarkStart w:id="120" w:name="_Toc416795323"/>
      <w:r>
        <w:rPr>
          <w:rStyle w:val="CharSectno"/>
        </w:rPr>
        <w:t>57</w:t>
      </w:r>
      <w:r>
        <w:rPr>
          <w:snapToGrid w:val="0"/>
        </w:rPr>
        <w:t>.</w:t>
      </w:r>
      <w:r>
        <w:rPr>
          <w:snapToGrid w:val="0"/>
        </w:rPr>
        <w:tab/>
        <w:t>Principles governing hearings</w:t>
      </w:r>
      <w:bookmarkEnd w:id="118"/>
      <w:bookmarkEnd w:id="119"/>
      <w:bookmarkEnd w:id="120"/>
      <w:r>
        <w:rPr>
          <w:snapToGrid w:val="0"/>
        </w:rPr>
        <w:t xml:space="preserve"> </w:t>
      </w:r>
    </w:p>
    <w:p>
      <w:pPr>
        <w:pStyle w:val="Subsection"/>
        <w:rPr>
          <w:snapToGrid w:val="0"/>
        </w:rPr>
      </w:pPr>
      <w:r>
        <w:rPr>
          <w:snapToGrid w:val="0"/>
        </w:rPr>
        <w:tab/>
        <w:t>(1)</w:t>
      </w:r>
      <w:r>
        <w:rPr>
          <w:snapToGrid w:val="0"/>
        </w:rPr>
        <w:tab/>
        <w:t>Subject to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Footnotesection"/>
      </w:pPr>
      <w:r>
        <w:tab/>
        <w:t>[Section 57 amended</w:t>
      </w:r>
      <w:del w:id="121" w:author="svcMRProcess" w:date="2019-02-07T13:05:00Z">
        <w:r>
          <w:delText xml:space="preserve"> by</w:delText>
        </w:r>
      </w:del>
      <w:ins w:id="122" w:author="svcMRProcess" w:date="2019-02-07T13:05:00Z">
        <w:r>
          <w:t>:</w:t>
        </w:r>
      </w:ins>
      <w:r>
        <w:t xml:space="preserve"> No. 16 of 2009 s. 37.]</w:t>
      </w:r>
    </w:p>
    <w:p>
      <w:pPr>
        <w:pStyle w:val="Heading5"/>
        <w:rPr>
          <w:snapToGrid w:val="0"/>
        </w:rPr>
      </w:pPr>
      <w:bookmarkStart w:id="123" w:name="_Toc460315266"/>
      <w:bookmarkStart w:id="124" w:name="_Toc376260658"/>
      <w:bookmarkStart w:id="125" w:name="_Toc416795324"/>
      <w:r>
        <w:rPr>
          <w:rStyle w:val="CharSectno"/>
        </w:rPr>
        <w:t>58</w:t>
      </w:r>
      <w:r>
        <w:rPr>
          <w:snapToGrid w:val="0"/>
        </w:rPr>
        <w:t>.</w:t>
      </w:r>
      <w:r>
        <w:rPr>
          <w:snapToGrid w:val="0"/>
        </w:rPr>
        <w:tab/>
        <w:t>Powers in respect of evidence and information</w:t>
      </w:r>
      <w:bookmarkEnd w:id="123"/>
      <w:bookmarkEnd w:id="124"/>
      <w:bookmarkEnd w:id="125"/>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ins w:id="126" w:author="svcMRProcess" w:date="2019-02-07T13:05:00Z">
        <w:r>
          <w:rPr>
            <w:snapToGrid w:val="0"/>
          </w:rPr>
          <w:t>or</w:t>
        </w:r>
      </w:ins>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ins w:id="127" w:author="svcMRProcess" w:date="2019-02-07T13:05:00Z">
        <w:r>
          <w:rPr>
            <w:snapToGrid w:val="0"/>
          </w:rPr>
          <w:t>or</w:t>
        </w:r>
      </w:ins>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ins w:id="128" w:author="svcMRProcess" w:date="2019-02-07T13:05:00Z">
        <w:r>
          <w:rPr>
            <w:snapToGrid w:val="0"/>
          </w:rPr>
          <w:t>or</w:t>
        </w:r>
      </w:ins>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ins w:id="129" w:author="svcMRProcess" w:date="2019-02-07T13:05:00Z">
        <w:r>
          <w:rPr>
            <w:snapToGrid w:val="0"/>
          </w:rPr>
          <w:t>or</w:t>
        </w:r>
      </w:ins>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ins w:id="130" w:author="svcMRProcess" w:date="2019-02-07T13:05:00Z">
        <w:r>
          <w:rPr>
            <w:snapToGrid w:val="0"/>
          </w:rPr>
          <w:t>or</w:t>
        </w:r>
      </w:ins>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131" w:name="_Toc460315267"/>
      <w:bookmarkStart w:id="132" w:name="_Toc376260659"/>
      <w:bookmarkStart w:id="133" w:name="_Toc416795325"/>
      <w:r>
        <w:rPr>
          <w:rStyle w:val="CharSectno"/>
        </w:rPr>
        <w:t>59</w:t>
      </w:r>
      <w:r>
        <w:rPr>
          <w:snapToGrid w:val="0"/>
        </w:rPr>
        <w:t>.</w:t>
      </w:r>
      <w:r>
        <w:rPr>
          <w:snapToGrid w:val="0"/>
        </w:rPr>
        <w:tab/>
        <w:t>Practice and procedures</w:t>
      </w:r>
      <w:bookmarkEnd w:id="131"/>
      <w:bookmarkEnd w:id="132"/>
      <w:bookmarkEnd w:id="133"/>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r>
      <w:r>
        <w:t>A party</w:t>
      </w:r>
      <w:r>
        <w:rPr>
          <w:snapToGrid w:val="0"/>
        </w:rPr>
        <w:t xml:space="preserve">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Footnotesection"/>
      </w:pPr>
      <w:r>
        <w:tab/>
        <w:t>[Section 59 amended</w:t>
      </w:r>
      <w:del w:id="134" w:author="svcMRProcess" w:date="2019-02-07T13:05:00Z">
        <w:r>
          <w:delText xml:space="preserve"> by</w:delText>
        </w:r>
      </w:del>
      <w:ins w:id="135" w:author="svcMRProcess" w:date="2019-02-07T13:05:00Z">
        <w:r>
          <w:t>:</w:t>
        </w:r>
      </w:ins>
      <w:r>
        <w:t xml:space="preserve"> No. 16 of 2009 s. 38.]</w:t>
      </w:r>
    </w:p>
    <w:p>
      <w:pPr>
        <w:pStyle w:val="Heading4"/>
        <w:rPr>
          <w:snapToGrid w:val="0"/>
        </w:rPr>
      </w:pPr>
      <w:bookmarkStart w:id="136" w:name="_Toc459714472"/>
      <w:bookmarkStart w:id="137" w:name="_Toc460315268"/>
      <w:bookmarkStart w:id="138" w:name="_Toc376260660"/>
      <w:bookmarkStart w:id="139" w:name="_Toc416795269"/>
      <w:bookmarkStart w:id="140" w:name="_Toc416795326"/>
      <w:r>
        <w:rPr>
          <w:snapToGrid w:val="0"/>
        </w:rPr>
        <w:t>Subdivision 4 — General</w:t>
      </w:r>
      <w:bookmarkEnd w:id="136"/>
      <w:bookmarkEnd w:id="137"/>
      <w:bookmarkEnd w:id="138"/>
      <w:bookmarkEnd w:id="139"/>
      <w:bookmarkEnd w:id="140"/>
      <w:r>
        <w:rPr>
          <w:snapToGrid w:val="0"/>
        </w:rPr>
        <w:t xml:space="preserve"> </w:t>
      </w:r>
    </w:p>
    <w:p>
      <w:pPr>
        <w:pStyle w:val="Heading5"/>
        <w:rPr>
          <w:snapToGrid w:val="0"/>
        </w:rPr>
      </w:pPr>
      <w:bookmarkStart w:id="141" w:name="_Toc460315269"/>
      <w:bookmarkStart w:id="142" w:name="_Toc376260661"/>
      <w:bookmarkStart w:id="143" w:name="_Toc416795327"/>
      <w:r>
        <w:rPr>
          <w:rStyle w:val="CharSectno"/>
        </w:rPr>
        <w:t>60</w:t>
      </w:r>
      <w:r>
        <w:rPr>
          <w:snapToGrid w:val="0"/>
        </w:rPr>
        <w:t>.</w:t>
      </w:r>
      <w:r>
        <w:rPr>
          <w:snapToGrid w:val="0"/>
        </w:rPr>
        <w:tab/>
        <w:t>Immunity</w:t>
      </w:r>
      <w:bookmarkEnd w:id="141"/>
      <w:bookmarkEnd w:id="142"/>
      <w:bookmarkEnd w:id="143"/>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144" w:name="_Toc459714474"/>
      <w:bookmarkStart w:id="145" w:name="_Toc460315270"/>
      <w:bookmarkStart w:id="146" w:name="_Toc376260662"/>
      <w:bookmarkStart w:id="147" w:name="_Toc416795271"/>
      <w:bookmarkStart w:id="148" w:name="_Toc416795328"/>
      <w:r>
        <w:rPr>
          <w:rStyle w:val="CharDivNo"/>
        </w:rPr>
        <w:t>Division 3</w:t>
      </w:r>
      <w:r>
        <w:rPr>
          <w:snapToGrid w:val="0"/>
        </w:rPr>
        <w:t> — </w:t>
      </w:r>
      <w:r>
        <w:rPr>
          <w:rStyle w:val="CharDivText"/>
        </w:rPr>
        <w:t>Arbitrator</w:t>
      </w:r>
      <w:bookmarkEnd w:id="144"/>
      <w:bookmarkEnd w:id="145"/>
      <w:bookmarkEnd w:id="146"/>
      <w:bookmarkEnd w:id="147"/>
      <w:bookmarkEnd w:id="148"/>
      <w:r>
        <w:rPr>
          <w:rStyle w:val="CharDivText"/>
        </w:rPr>
        <w:t xml:space="preserve"> </w:t>
      </w:r>
    </w:p>
    <w:p>
      <w:pPr>
        <w:pStyle w:val="Heading4"/>
        <w:spacing w:before="180"/>
        <w:rPr>
          <w:snapToGrid w:val="0"/>
        </w:rPr>
      </w:pPr>
      <w:bookmarkStart w:id="149" w:name="_Toc459714475"/>
      <w:bookmarkStart w:id="150" w:name="_Toc460315271"/>
      <w:bookmarkStart w:id="151" w:name="_Toc376260663"/>
      <w:bookmarkStart w:id="152" w:name="_Toc416795272"/>
      <w:bookmarkStart w:id="153" w:name="_Toc416795329"/>
      <w:r>
        <w:rPr>
          <w:snapToGrid w:val="0"/>
        </w:rPr>
        <w:t>Subdivision 1 — Preliminary</w:t>
      </w:r>
      <w:bookmarkEnd w:id="149"/>
      <w:bookmarkEnd w:id="150"/>
      <w:bookmarkEnd w:id="151"/>
      <w:bookmarkEnd w:id="152"/>
      <w:bookmarkEnd w:id="153"/>
      <w:r>
        <w:rPr>
          <w:snapToGrid w:val="0"/>
        </w:rPr>
        <w:t xml:space="preserve"> </w:t>
      </w:r>
    </w:p>
    <w:p>
      <w:pPr>
        <w:pStyle w:val="Heading5"/>
        <w:spacing w:before="180"/>
        <w:rPr>
          <w:snapToGrid w:val="0"/>
        </w:rPr>
      </w:pPr>
      <w:bookmarkStart w:id="154" w:name="_Toc460315272"/>
      <w:bookmarkStart w:id="155" w:name="_Toc376260664"/>
      <w:bookmarkStart w:id="156" w:name="_Toc416795330"/>
      <w:r>
        <w:rPr>
          <w:rStyle w:val="CharSectno"/>
        </w:rPr>
        <w:t>61</w:t>
      </w:r>
      <w:r>
        <w:rPr>
          <w:snapToGrid w:val="0"/>
        </w:rPr>
        <w:t>.</w:t>
      </w:r>
      <w:r>
        <w:rPr>
          <w:snapToGrid w:val="0"/>
        </w:rPr>
        <w:tab/>
        <w:t>Term used: arbitrator</w:t>
      </w:r>
      <w:bookmarkEnd w:id="154"/>
      <w:bookmarkEnd w:id="155"/>
      <w:bookmarkEnd w:id="156"/>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Energy Disputes Arbitrator appointed under section 62 and, except in sections 62(2), 65 and 69(1), includes a person acting under section 71.</w:t>
      </w:r>
    </w:p>
    <w:p>
      <w:pPr>
        <w:pStyle w:val="Footnotesection"/>
      </w:pPr>
      <w:r>
        <w:tab/>
        <w:t>[Section 61 amended</w:t>
      </w:r>
      <w:del w:id="157" w:author="svcMRProcess" w:date="2019-02-07T13:05:00Z">
        <w:r>
          <w:delText xml:space="preserve"> by</w:delText>
        </w:r>
      </w:del>
      <w:ins w:id="158" w:author="svcMRProcess" w:date="2019-02-07T13:05:00Z">
        <w:r>
          <w:t>:</w:t>
        </w:r>
      </w:ins>
      <w:r>
        <w:t xml:space="preserve"> No. 16 of 2009 s. 39.]</w:t>
      </w:r>
    </w:p>
    <w:p>
      <w:pPr>
        <w:pStyle w:val="Heading4"/>
        <w:rPr>
          <w:snapToGrid w:val="0"/>
        </w:rPr>
      </w:pPr>
      <w:bookmarkStart w:id="159" w:name="_Toc459714477"/>
      <w:bookmarkStart w:id="160" w:name="_Toc460315273"/>
      <w:bookmarkStart w:id="161" w:name="_Toc376260665"/>
      <w:bookmarkStart w:id="162" w:name="_Toc416795274"/>
      <w:bookmarkStart w:id="163" w:name="_Toc416795331"/>
      <w:r>
        <w:rPr>
          <w:snapToGrid w:val="0"/>
        </w:rPr>
        <w:t>Subdivision 2 — Office of Western Australian Energy Disputes Arbitrator established</w:t>
      </w:r>
      <w:bookmarkEnd w:id="159"/>
      <w:bookmarkEnd w:id="160"/>
      <w:bookmarkEnd w:id="161"/>
      <w:bookmarkEnd w:id="162"/>
      <w:bookmarkEnd w:id="163"/>
      <w:r>
        <w:rPr>
          <w:snapToGrid w:val="0"/>
        </w:rPr>
        <w:t xml:space="preserve"> </w:t>
      </w:r>
    </w:p>
    <w:p>
      <w:pPr>
        <w:pStyle w:val="Footnoteheading"/>
      </w:pPr>
      <w:r>
        <w:tab/>
        <w:t>[Heading amended</w:t>
      </w:r>
      <w:del w:id="164" w:author="svcMRProcess" w:date="2019-02-07T13:05:00Z">
        <w:r>
          <w:delText xml:space="preserve"> by</w:delText>
        </w:r>
      </w:del>
      <w:ins w:id="165" w:author="svcMRProcess" w:date="2019-02-07T13:05:00Z">
        <w:r>
          <w:t>:</w:t>
        </w:r>
      </w:ins>
      <w:r>
        <w:t xml:space="preserve"> No. 16 of 2009 s. 40.]</w:t>
      </w:r>
    </w:p>
    <w:p>
      <w:pPr>
        <w:pStyle w:val="Heading5"/>
        <w:rPr>
          <w:snapToGrid w:val="0"/>
        </w:rPr>
      </w:pPr>
      <w:bookmarkStart w:id="166" w:name="_Toc460315274"/>
      <w:bookmarkStart w:id="167" w:name="_Toc376260666"/>
      <w:bookmarkStart w:id="168" w:name="_Toc416795332"/>
      <w:r>
        <w:rPr>
          <w:rStyle w:val="CharSectno"/>
        </w:rPr>
        <w:t>62</w:t>
      </w:r>
      <w:r>
        <w:rPr>
          <w:snapToGrid w:val="0"/>
        </w:rPr>
        <w:t>.</w:t>
      </w:r>
      <w:r>
        <w:rPr>
          <w:snapToGrid w:val="0"/>
        </w:rPr>
        <w:tab/>
        <w:t>Western Australian Energy Disputes Arbitrator</w:t>
      </w:r>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An office of the Western Australian </w:t>
      </w:r>
      <w:r>
        <w:t>Energy</w:t>
      </w:r>
      <w:r>
        <w:rPr>
          <w:snapToGrid w:val="0"/>
        </w:rPr>
        <w:t xml:space="preserve">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Footnotesection"/>
      </w:pPr>
      <w:r>
        <w:tab/>
        <w:t>[Section 62 amended</w:t>
      </w:r>
      <w:del w:id="169" w:author="svcMRProcess" w:date="2019-02-07T13:05:00Z">
        <w:r>
          <w:delText xml:space="preserve"> by</w:delText>
        </w:r>
      </w:del>
      <w:ins w:id="170" w:author="svcMRProcess" w:date="2019-02-07T13:05:00Z">
        <w:r>
          <w:t>:</w:t>
        </w:r>
      </w:ins>
      <w:r>
        <w:t xml:space="preserve"> No. 16 of 2009 s. 41.]</w:t>
      </w:r>
    </w:p>
    <w:p>
      <w:pPr>
        <w:pStyle w:val="Heading5"/>
        <w:rPr>
          <w:snapToGrid w:val="0"/>
        </w:rPr>
      </w:pPr>
      <w:bookmarkStart w:id="171" w:name="_Toc460315275"/>
      <w:bookmarkStart w:id="172" w:name="_Toc376260667"/>
      <w:bookmarkStart w:id="173" w:name="_Toc416795333"/>
      <w:r>
        <w:rPr>
          <w:rStyle w:val="CharSectno"/>
        </w:rPr>
        <w:t>63</w:t>
      </w:r>
      <w:r>
        <w:rPr>
          <w:snapToGrid w:val="0"/>
        </w:rPr>
        <w:t>.</w:t>
      </w:r>
      <w:r>
        <w:rPr>
          <w:snapToGrid w:val="0"/>
        </w:rPr>
        <w:tab/>
        <w:t>Appointment of arbitrator</w:t>
      </w:r>
      <w:bookmarkEnd w:id="171"/>
      <w:bookmarkEnd w:id="172"/>
      <w:bookmarkEnd w:id="173"/>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(11)</w:t>
      </w:r>
      <w:r>
        <w:rPr>
          <w:snapToGrid w:val="0"/>
        </w:rPr>
        <w:tab/>
        <w:t>In this section — </w:t>
      </w:r>
    </w:p>
    <w:p>
      <w:pPr>
        <w:pStyle w:val="Defstart"/>
      </w:pPr>
      <w:r>
        <w:tab/>
      </w:r>
      <w:r>
        <w:rPr>
          <w:rStyle w:val="CharDefText"/>
        </w:rPr>
        <w:t>Commissioner</w:t>
      </w:r>
      <w:r>
        <w:t xml:space="preserve"> means the Public Sector Commissioner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Footnotesection"/>
      </w:pPr>
      <w:r>
        <w:tab/>
        <w:t>[Section 63 amended</w:t>
      </w:r>
      <w:del w:id="174" w:author="svcMRProcess" w:date="2019-02-07T13:05:00Z">
        <w:r>
          <w:delText xml:space="preserve"> by</w:delText>
        </w:r>
      </w:del>
      <w:ins w:id="175" w:author="svcMRProcess" w:date="2019-02-07T13:05:00Z">
        <w:r>
          <w:t>:</w:t>
        </w:r>
      </w:ins>
      <w:r>
        <w:t xml:space="preserve"> No. 39 of 2010 s. 77.]</w:t>
      </w:r>
    </w:p>
    <w:p>
      <w:pPr>
        <w:pStyle w:val="Heading5"/>
        <w:rPr>
          <w:snapToGrid w:val="0"/>
        </w:rPr>
      </w:pPr>
      <w:bookmarkStart w:id="176" w:name="_Toc460315276"/>
      <w:bookmarkStart w:id="177" w:name="_Toc376260668"/>
      <w:bookmarkStart w:id="178" w:name="_Toc416795334"/>
      <w:r>
        <w:rPr>
          <w:rStyle w:val="CharSectno"/>
        </w:rPr>
        <w:t>64</w:t>
      </w:r>
      <w:r>
        <w:rPr>
          <w:snapToGrid w:val="0"/>
        </w:rPr>
        <w:t>.</w:t>
      </w:r>
      <w:r>
        <w:rPr>
          <w:snapToGrid w:val="0"/>
        </w:rPr>
        <w:tab/>
        <w:t xml:space="preserve">Application of </w:t>
      </w:r>
      <w:r>
        <w:rPr>
          <w:i/>
          <w:snapToGrid w:val="0"/>
        </w:rPr>
        <w:t>Public Sector Management Act 1994</w:t>
      </w:r>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179" w:name="_Toc460315277"/>
      <w:bookmarkStart w:id="180" w:name="_Toc376260669"/>
      <w:bookmarkStart w:id="181" w:name="_Toc416795335"/>
      <w:r>
        <w:rPr>
          <w:rStyle w:val="CharSectno"/>
        </w:rPr>
        <w:t>65</w:t>
      </w:r>
      <w:r>
        <w:rPr>
          <w:snapToGrid w:val="0"/>
        </w:rPr>
        <w:t>.</w:t>
      </w:r>
      <w:r>
        <w:rPr>
          <w:snapToGrid w:val="0"/>
        </w:rPr>
        <w:tab/>
        <w:t>Term of office</w:t>
      </w:r>
      <w:bookmarkEnd w:id="179"/>
      <w:bookmarkEnd w:id="180"/>
      <w:bookmarkEnd w:id="181"/>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182" w:name="_Toc460315278"/>
      <w:bookmarkStart w:id="183" w:name="_Toc376260670"/>
      <w:bookmarkStart w:id="184" w:name="_Toc416795336"/>
      <w:r>
        <w:rPr>
          <w:rStyle w:val="CharSectno"/>
        </w:rPr>
        <w:t>66</w:t>
      </w:r>
      <w:r>
        <w:rPr>
          <w:snapToGrid w:val="0"/>
        </w:rPr>
        <w:t>.</w:t>
      </w:r>
      <w:r>
        <w:rPr>
          <w:snapToGrid w:val="0"/>
        </w:rPr>
        <w:tab/>
        <w:t>Resignation</w:t>
      </w:r>
      <w:bookmarkEnd w:id="182"/>
      <w:bookmarkEnd w:id="183"/>
      <w:bookmarkEnd w:id="184"/>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185" w:name="_Toc460315279"/>
      <w:bookmarkStart w:id="186" w:name="_Toc376260671"/>
      <w:bookmarkStart w:id="187" w:name="_Toc416795337"/>
      <w:r>
        <w:rPr>
          <w:rStyle w:val="CharSectno"/>
        </w:rPr>
        <w:t>67</w:t>
      </w:r>
      <w:r>
        <w:rPr>
          <w:snapToGrid w:val="0"/>
        </w:rPr>
        <w:t>.</w:t>
      </w:r>
      <w:r>
        <w:rPr>
          <w:snapToGrid w:val="0"/>
        </w:rPr>
        <w:tab/>
        <w:t>Suspension of arbitrator</w:t>
      </w:r>
      <w:bookmarkEnd w:id="185"/>
      <w:bookmarkEnd w:id="186"/>
      <w:bookmarkEnd w:id="187"/>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ins w:id="188" w:author="svcMRProcess" w:date="2019-02-07T13:05:00Z">
        <w:r>
          <w:rPr>
            <w:snapToGrid w:val="0"/>
          </w:rPr>
          <w:t xml:space="preserve"> or</w:t>
        </w:r>
      </w:ins>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spacing w:before="240"/>
        <w:rPr>
          <w:snapToGrid w:val="0"/>
        </w:rPr>
      </w:pPr>
      <w:bookmarkStart w:id="189" w:name="_Toc460315280"/>
      <w:bookmarkStart w:id="190" w:name="_Toc376260672"/>
      <w:bookmarkStart w:id="191" w:name="_Toc416795338"/>
      <w:r>
        <w:rPr>
          <w:rStyle w:val="CharSectno"/>
        </w:rPr>
        <w:t>68</w:t>
      </w:r>
      <w:r>
        <w:rPr>
          <w:snapToGrid w:val="0"/>
        </w:rPr>
        <w:t>.</w:t>
      </w:r>
      <w:r>
        <w:rPr>
          <w:snapToGrid w:val="0"/>
        </w:rPr>
        <w:tab/>
        <w:t>Removal of arbitrator</w:t>
      </w:r>
      <w:bookmarkEnd w:id="189"/>
      <w:bookmarkEnd w:id="190"/>
      <w:bookmarkEnd w:id="191"/>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keepLines w:val="0"/>
        <w:spacing w:before="240"/>
        <w:rPr>
          <w:snapToGrid w:val="0"/>
        </w:rPr>
      </w:pPr>
      <w:bookmarkStart w:id="192" w:name="_Toc460315281"/>
      <w:bookmarkStart w:id="193" w:name="_Toc376260673"/>
      <w:bookmarkStart w:id="194" w:name="_Toc416795339"/>
      <w:r>
        <w:rPr>
          <w:rStyle w:val="CharSectno"/>
        </w:rPr>
        <w:t>69</w:t>
      </w:r>
      <w:r>
        <w:rPr>
          <w:snapToGrid w:val="0"/>
        </w:rPr>
        <w:t>.</w:t>
      </w:r>
      <w:r>
        <w:rPr>
          <w:snapToGrid w:val="0"/>
        </w:rPr>
        <w:tab/>
        <w:t>Remuneration and conditions of office</w:t>
      </w:r>
      <w:bookmarkEnd w:id="192"/>
      <w:bookmarkEnd w:id="193"/>
      <w:bookmarkEnd w:id="194"/>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spacing w:before="240"/>
        <w:rPr>
          <w:snapToGrid w:val="0"/>
        </w:rPr>
      </w:pPr>
      <w:bookmarkStart w:id="195" w:name="_Toc460315282"/>
      <w:bookmarkStart w:id="196" w:name="_Toc376260674"/>
      <w:bookmarkStart w:id="197" w:name="_Toc416795340"/>
      <w:r>
        <w:rPr>
          <w:rStyle w:val="CharSectno"/>
        </w:rPr>
        <w:t>70</w:t>
      </w:r>
      <w:r>
        <w:rPr>
          <w:snapToGrid w:val="0"/>
        </w:rPr>
        <w:t>.</w:t>
      </w:r>
      <w:r>
        <w:rPr>
          <w:snapToGrid w:val="0"/>
        </w:rPr>
        <w:tab/>
        <w:t>Oath of office</w:t>
      </w:r>
      <w:bookmarkEnd w:id="195"/>
      <w:bookmarkEnd w:id="196"/>
      <w:bookmarkEnd w:id="197"/>
      <w:r>
        <w:rPr>
          <w:snapToGrid w:val="0"/>
        </w:rPr>
        <w:t xml:space="preserve"> </w:t>
      </w:r>
    </w:p>
    <w:p>
      <w:pPr>
        <w:pStyle w:val="Subsection"/>
        <w:spacing w:before="180"/>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spacing w:before="180"/>
        <w:rPr>
          <w:snapToGrid w:val="0"/>
        </w:rPr>
      </w:pPr>
      <w:r>
        <w:rPr>
          <w:snapToGrid w:val="0"/>
        </w:rPr>
        <w:tab/>
        <w:t>(2)</w:t>
      </w:r>
      <w:r>
        <w:rPr>
          <w:snapToGrid w:val="0"/>
        </w:rPr>
        <w:tab/>
        <w:t>The oath or affirmation is to be administered by a Judge.</w:t>
      </w:r>
    </w:p>
    <w:p>
      <w:pPr>
        <w:pStyle w:val="Heading5"/>
        <w:spacing w:before="240"/>
        <w:rPr>
          <w:snapToGrid w:val="0"/>
        </w:rPr>
      </w:pPr>
      <w:bookmarkStart w:id="198" w:name="_Toc460315283"/>
      <w:bookmarkStart w:id="199" w:name="_Toc376260675"/>
      <w:bookmarkStart w:id="200" w:name="_Toc416795341"/>
      <w:r>
        <w:rPr>
          <w:rStyle w:val="CharSectno"/>
        </w:rPr>
        <w:t>71</w:t>
      </w:r>
      <w:r>
        <w:rPr>
          <w:snapToGrid w:val="0"/>
        </w:rPr>
        <w:t>.</w:t>
      </w:r>
      <w:r>
        <w:rPr>
          <w:snapToGrid w:val="0"/>
        </w:rPr>
        <w:tab/>
        <w:t>Acting arbitrator</w:t>
      </w:r>
      <w:bookmarkEnd w:id="198"/>
      <w:bookmarkEnd w:id="199"/>
      <w:bookmarkEnd w:id="200"/>
      <w:r>
        <w:rPr>
          <w:snapToGrid w:val="0"/>
        </w:rPr>
        <w:t xml:space="preserve"> </w:t>
      </w:r>
    </w:p>
    <w:p>
      <w:pPr>
        <w:pStyle w:val="Subsection"/>
        <w:spacing w:before="180"/>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spacing w:before="180"/>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ins w:id="201" w:author="svcMRProcess" w:date="2019-02-07T13:05:00Z">
        <w:r>
          <w:rPr>
            <w:snapToGrid w:val="0"/>
          </w:rPr>
          <w:t xml:space="preserve"> or</w:t>
        </w:r>
      </w:ins>
    </w:p>
    <w:p>
      <w:pPr>
        <w:pStyle w:val="Indenta"/>
        <w:rPr>
          <w:snapToGrid w:val="0"/>
        </w:rPr>
      </w:pPr>
      <w:r>
        <w:rPr>
          <w:snapToGrid w:val="0"/>
        </w:rPr>
        <w:tab/>
        <w:t>(b)</w:t>
      </w:r>
      <w:r>
        <w:rPr>
          <w:snapToGrid w:val="0"/>
        </w:rPr>
        <w:tab/>
        <w:t>the arbitrator is suspended from office under section 67;</w:t>
      </w:r>
      <w:ins w:id="202" w:author="svcMRProcess" w:date="2019-02-07T13:05:00Z">
        <w:r>
          <w:rPr>
            <w:snapToGrid w:val="0"/>
          </w:rPr>
          <w:t xml:space="preserve"> or</w:t>
        </w:r>
      </w:ins>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keepNext w:val="0"/>
        <w:keepLines w:val="0"/>
        <w:rPr>
          <w:snapToGrid w:val="0"/>
        </w:rPr>
      </w:pPr>
      <w:bookmarkStart w:id="203" w:name="_Toc460315284"/>
      <w:bookmarkStart w:id="204" w:name="_Toc376260676"/>
      <w:bookmarkStart w:id="205" w:name="_Toc416795342"/>
      <w:r>
        <w:rPr>
          <w:rStyle w:val="CharSectno"/>
        </w:rPr>
        <w:t>72</w:t>
      </w:r>
      <w:r>
        <w:rPr>
          <w:snapToGrid w:val="0"/>
        </w:rPr>
        <w:t>.</w:t>
      </w:r>
      <w:r>
        <w:rPr>
          <w:snapToGrid w:val="0"/>
        </w:rPr>
        <w:tab/>
        <w:t>Duties may be performed concurrently</w:t>
      </w:r>
      <w:bookmarkEnd w:id="203"/>
      <w:bookmarkEnd w:id="204"/>
      <w:bookmarkEnd w:id="205"/>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206" w:name="_Toc459714489"/>
      <w:bookmarkStart w:id="207" w:name="_Toc460315285"/>
      <w:bookmarkStart w:id="208" w:name="_Toc376260677"/>
      <w:bookmarkStart w:id="209" w:name="_Toc416795286"/>
      <w:bookmarkStart w:id="210" w:name="_Toc416795343"/>
      <w:r>
        <w:rPr>
          <w:snapToGrid w:val="0"/>
        </w:rPr>
        <w:t>Subdivision 3 — Functions</w:t>
      </w:r>
      <w:bookmarkEnd w:id="206"/>
      <w:bookmarkEnd w:id="207"/>
      <w:bookmarkEnd w:id="208"/>
      <w:bookmarkEnd w:id="209"/>
      <w:bookmarkEnd w:id="210"/>
      <w:r>
        <w:rPr>
          <w:snapToGrid w:val="0"/>
        </w:rPr>
        <w:t xml:space="preserve"> </w:t>
      </w:r>
    </w:p>
    <w:p>
      <w:pPr>
        <w:pStyle w:val="Heading5"/>
        <w:rPr>
          <w:snapToGrid w:val="0"/>
        </w:rPr>
      </w:pPr>
      <w:bookmarkStart w:id="211" w:name="_Toc460315286"/>
      <w:bookmarkStart w:id="212" w:name="_Toc376260678"/>
      <w:bookmarkStart w:id="213" w:name="_Toc416795344"/>
      <w:r>
        <w:rPr>
          <w:rStyle w:val="CharSectno"/>
        </w:rPr>
        <w:t>73</w:t>
      </w:r>
      <w:r>
        <w:rPr>
          <w:snapToGrid w:val="0"/>
        </w:rPr>
        <w:t>.</w:t>
      </w:r>
      <w:r>
        <w:rPr>
          <w:snapToGrid w:val="0"/>
        </w:rPr>
        <w:tab/>
        <w:t>Functions</w:t>
      </w:r>
      <w:bookmarkEnd w:id="211"/>
      <w:bookmarkEnd w:id="212"/>
      <w:bookmarkEnd w:id="213"/>
      <w:r>
        <w:rPr>
          <w:snapToGrid w:val="0"/>
        </w:rPr>
        <w:t xml:space="preserve"> </w:t>
      </w:r>
    </w:p>
    <w:p>
      <w:pPr>
        <w:pStyle w:val="Subsection"/>
        <w:spacing w:before="120"/>
        <w:rPr>
          <w:snapToGrid w:val="0"/>
        </w:rPr>
      </w:pPr>
      <w:r>
        <w:rPr>
          <w:snapToGrid w:val="0"/>
        </w:rPr>
        <w:tab/>
        <w:t>(1)</w:t>
      </w:r>
      <w:r>
        <w:rPr>
          <w:snapToGrid w:val="0"/>
        </w:rPr>
        <w:tab/>
        <w:t>The arbitrator has the functions conferred on the arbitrator — </w:t>
      </w:r>
    </w:p>
    <w:p>
      <w:pPr>
        <w:pStyle w:val="Indenta"/>
      </w:pPr>
      <w:r>
        <w:tab/>
        <w:t>(a)</w:t>
      </w:r>
      <w:r>
        <w:tab/>
        <w:t xml:space="preserve">by or under the </w:t>
      </w:r>
      <w:r>
        <w:rPr>
          <w:i/>
          <w:iCs/>
        </w:rPr>
        <w:t>National Gas Access (WA) Act 2009</w:t>
      </w:r>
      <w:r>
        <w:t>; or</w:t>
      </w:r>
    </w:p>
    <w:p>
      <w:pPr>
        <w:pStyle w:val="Indenta"/>
      </w:pPr>
      <w:r>
        <w:tab/>
        <w:t>(b)</w:t>
      </w:r>
      <w:r>
        <w:tab/>
        <w:t xml:space="preserve">by or under the </w:t>
      </w:r>
      <w:r>
        <w:rPr>
          <w:i/>
          <w:iCs/>
        </w:rPr>
        <w:t>Electricity Industry Act 2004</w:t>
      </w:r>
      <w:r>
        <w:t>; or</w:t>
      </w:r>
    </w:p>
    <w:p>
      <w:pPr>
        <w:pStyle w:val="Ednotepara"/>
        <w:spacing w:before="80"/>
        <w:rPr>
          <w:snapToGrid w:val="0"/>
        </w:rPr>
      </w:pPr>
      <w:r>
        <w:rPr>
          <w:snapToGrid w:val="0"/>
        </w:rPr>
        <w:tab/>
        <w:t>[(c)</w:t>
      </w:r>
      <w:r>
        <w:rPr>
          <w:snapToGrid w:val="0"/>
        </w:rPr>
        <w:tab/>
        <w:t>deleted]</w:t>
      </w:r>
    </w:p>
    <w:p>
      <w:pPr>
        <w:pStyle w:val="Indenta"/>
      </w:pPr>
      <w:r>
        <w:tab/>
        <w:t>(da)</w:t>
      </w:r>
      <w:r>
        <w:tab/>
        <w:t xml:space="preserve">under the </w:t>
      </w:r>
      <w:r>
        <w:rPr>
          <w:i/>
        </w:rPr>
        <w:t>Gas Supply (Gas Quality Specifications) Act 2009</w:t>
      </w:r>
      <w:r>
        <w:rPr>
          <w:iCs/>
        </w:rPr>
        <w:t>; or</w:t>
      </w:r>
    </w:p>
    <w:p>
      <w:pPr>
        <w:pStyle w:val="Indenta"/>
        <w:rPr>
          <w:snapToGrid w:val="0"/>
        </w:rPr>
      </w:pPr>
      <w:r>
        <w:rPr>
          <w:snapToGrid w:val="0"/>
        </w:rPr>
        <w:tab/>
        <w:t>(d)</w:t>
      </w:r>
      <w:r>
        <w:rPr>
          <w:snapToGrid w:val="0"/>
        </w:rPr>
        <w:tab/>
        <w:t>by regulations referred to in section 74 of this Act; or</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spacing w:before="80"/>
        <w:ind w:left="890" w:hanging="890"/>
      </w:pPr>
      <w:r>
        <w:tab/>
        <w:t>[Section 73 amended</w:t>
      </w:r>
      <w:del w:id="214" w:author="svcMRProcess" w:date="2019-02-07T13:05:00Z">
        <w:r>
          <w:delText xml:space="preserve"> by</w:delText>
        </w:r>
      </w:del>
      <w:ins w:id="215" w:author="svcMRProcess" w:date="2019-02-07T13:05:00Z">
        <w:r>
          <w:t>:</w:t>
        </w:r>
      </w:ins>
      <w:r>
        <w:t xml:space="preserve"> No. 53 of 2003 s. 117; No. 16 of 2009 s. 42; No. 35 of 2009 s. 38.]</w:t>
      </w:r>
    </w:p>
    <w:p>
      <w:pPr>
        <w:pStyle w:val="Heading5"/>
        <w:keepLines w:val="0"/>
        <w:rPr>
          <w:snapToGrid w:val="0"/>
        </w:rPr>
      </w:pPr>
      <w:bookmarkStart w:id="216" w:name="_Toc460315287"/>
      <w:bookmarkStart w:id="217" w:name="_Toc376260679"/>
      <w:bookmarkStart w:id="218" w:name="_Toc416795345"/>
      <w:r>
        <w:rPr>
          <w:rStyle w:val="CharSectno"/>
        </w:rPr>
        <w:t>74</w:t>
      </w:r>
      <w:r>
        <w:rPr>
          <w:snapToGrid w:val="0"/>
        </w:rPr>
        <w:t>.</w:t>
      </w:r>
      <w:r>
        <w:rPr>
          <w:snapToGrid w:val="0"/>
        </w:rPr>
        <w:tab/>
        <w:t>Additional functions may be prescribed</w:t>
      </w:r>
      <w:bookmarkEnd w:id="216"/>
      <w:bookmarkEnd w:id="217"/>
      <w:bookmarkEnd w:id="218"/>
      <w:r>
        <w:rPr>
          <w:snapToGrid w:val="0"/>
        </w:rPr>
        <w:t xml:space="preserve"> </w:t>
      </w:r>
    </w:p>
    <w:p>
      <w:pPr>
        <w:pStyle w:val="Subsection"/>
        <w:keepLines/>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Subsection"/>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Footnotesection"/>
      </w:pPr>
      <w:r>
        <w:tab/>
        <w:t>[Section 74 amended</w:t>
      </w:r>
      <w:del w:id="219" w:author="svcMRProcess" w:date="2019-02-07T13:05:00Z">
        <w:r>
          <w:delText xml:space="preserve"> by</w:delText>
        </w:r>
      </w:del>
      <w:ins w:id="220" w:author="svcMRProcess" w:date="2019-02-07T13:05:00Z">
        <w:r>
          <w:t>:</w:t>
        </w:r>
      </w:ins>
      <w:r>
        <w:t xml:space="preserve"> No. 58 of 1999 s. 96; No. 16 of 2009 s. 43.]</w:t>
      </w:r>
    </w:p>
    <w:p>
      <w:pPr>
        <w:pStyle w:val="Heading5"/>
        <w:rPr>
          <w:snapToGrid w:val="0"/>
        </w:rPr>
      </w:pPr>
      <w:bookmarkStart w:id="221" w:name="_Toc460315288"/>
      <w:bookmarkStart w:id="222" w:name="_Toc376260680"/>
      <w:bookmarkStart w:id="223" w:name="_Toc416795346"/>
      <w:r>
        <w:rPr>
          <w:rStyle w:val="CharSectno"/>
        </w:rPr>
        <w:t>75</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arbitrator</w:t>
      </w:r>
      <w:bookmarkEnd w:id="221"/>
      <w:bookmarkEnd w:id="222"/>
      <w:bookmarkEnd w:id="223"/>
      <w:r>
        <w:rPr>
          <w:snapToGrid w:val="0"/>
        </w:rPr>
        <w:t xml:space="preserve"> </w:t>
      </w:r>
    </w:p>
    <w:p>
      <w:pPr>
        <w:pStyle w:val="Subsection"/>
        <w:spacing w:before="180"/>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spacing w:before="180"/>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spacing w:before="180"/>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spacing w:before="180"/>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spacing w:before="180"/>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ind w:left="890" w:hanging="890"/>
      </w:pPr>
      <w:r>
        <w:tab/>
        <w:t>[Section 75 amended</w:t>
      </w:r>
      <w:del w:id="224" w:author="svcMRProcess" w:date="2019-02-07T13:05:00Z">
        <w:r>
          <w:delText xml:space="preserve"> by</w:delText>
        </w:r>
      </w:del>
      <w:ins w:id="225" w:author="svcMRProcess" w:date="2019-02-07T13:05:00Z">
        <w:r>
          <w:t>:</w:t>
        </w:r>
      </w:ins>
      <w:r>
        <w:t xml:space="preserve"> No. 77 of 2006 Sch. 1 cl. 73(1).]</w:t>
      </w:r>
    </w:p>
    <w:p>
      <w:pPr>
        <w:pStyle w:val="Heading5"/>
        <w:spacing w:before="240"/>
        <w:rPr>
          <w:snapToGrid w:val="0"/>
        </w:rPr>
      </w:pPr>
      <w:bookmarkStart w:id="226" w:name="_Toc460315289"/>
      <w:bookmarkStart w:id="227" w:name="_Toc376260681"/>
      <w:bookmarkStart w:id="228" w:name="_Toc416795347"/>
      <w:r>
        <w:rPr>
          <w:rStyle w:val="CharSectno"/>
        </w:rPr>
        <w:t>76</w:t>
      </w:r>
      <w:r>
        <w:rPr>
          <w:snapToGrid w:val="0"/>
        </w:rPr>
        <w:t>.</w:t>
      </w:r>
      <w:r>
        <w:rPr>
          <w:snapToGrid w:val="0"/>
        </w:rPr>
        <w:tab/>
        <w:t xml:space="preserve">Copies of decisions to be given to </w:t>
      </w:r>
      <w:r>
        <w:t>Economic Regulation Authority</w:t>
      </w:r>
      <w:bookmarkEnd w:id="226"/>
      <w:bookmarkEnd w:id="227"/>
      <w:bookmarkEnd w:id="228"/>
    </w:p>
    <w:p>
      <w:pPr>
        <w:pStyle w:val="Subsection"/>
        <w:spacing w:before="180"/>
      </w:pPr>
      <w:r>
        <w:rPr>
          <w:snapToGrid w:val="0"/>
        </w:rPr>
        <w:tab/>
      </w:r>
      <w:r>
        <w:rPr>
          <w:snapToGrid w:val="0"/>
        </w:rPr>
        <w:tab/>
        <w:t xml:space="preserve">Where </w:t>
      </w:r>
      <w:r>
        <w:t xml:space="preserve">in performing functions referred to in section 73(1) </w:t>
      </w:r>
      <w:r>
        <w:rPr>
          <w:snapToGrid w:val="0"/>
        </w:rPr>
        <w:t>the arbitrator is required to give a copy of a draft decision or a final decision to the parties to a dispute, the arbitrator is to also give a copy of the decision to the</w:t>
      </w:r>
      <w:r>
        <w:t xml:space="preserve"> Economic Regulation Authority established by the </w:t>
      </w:r>
      <w:r>
        <w:rPr>
          <w:i/>
          <w:iCs/>
        </w:rPr>
        <w:t>Economic Regulation Authority Act 2003</w:t>
      </w:r>
      <w:r>
        <w:t>.</w:t>
      </w:r>
    </w:p>
    <w:p>
      <w:pPr>
        <w:pStyle w:val="Footnotesection"/>
        <w:spacing w:before="60"/>
        <w:ind w:left="890" w:hanging="890"/>
      </w:pPr>
      <w:r>
        <w:tab/>
        <w:t>[Section 76 amended</w:t>
      </w:r>
      <w:del w:id="229" w:author="svcMRProcess" w:date="2019-02-07T13:05:00Z">
        <w:r>
          <w:delText xml:space="preserve"> by</w:delText>
        </w:r>
      </w:del>
      <w:ins w:id="230" w:author="svcMRProcess" w:date="2019-02-07T13:05:00Z">
        <w:r>
          <w:t>:</w:t>
        </w:r>
      </w:ins>
      <w:r>
        <w:t xml:space="preserve"> No. 67 of 2003 Sch. 2 cl. 44; No. 16 of 2009 s. 44.]</w:t>
      </w:r>
    </w:p>
    <w:p>
      <w:pPr>
        <w:pStyle w:val="Heading5"/>
        <w:rPr>
          <w:snapToGrid w:val="0"/>
        </w:rPr>
      </w:pPr>
      <w:bookmarkStart w:id="231" w:name="_Toc460315290"/>
      <w:bookmarkStart w:id="232" w:name="_Toc376260682"/>
      <w:bookmarkStart w:id="233" w:name="_Toc416795348"/>
      <w:r>
        <w:rPr>
          <w:rStyle w:val="CharSectno"/>
        </w:rPr>
        <w:t>77</w:t>
      </w:r>
      <w:r>
        <w:rPr>
          <w:snapToGrid w:val="0"/>
        </w:rPr>
        <w:t>.</w:t>
      </w:r>
      <w:r>
        <w:rPr>
          <w:snapToGrid w:val="0"/>
        </w:rPr>
        <w:tab/>
      </w:r>
      <w:r>
        <w:rPr>
          <w:i/>
          <w:snapToGrid w:val="0"/>
        </w:rPr>
        <w:t>Commercial Arbitration Act 2012</w:t>
      </w:r>
      <w:r>
        <w:rPr>
          <w:snapToGrid w:val="0"/>
        </w:rPr>
        <w:t xml:space="preserve"> does not apply</w:t>
      </w:r>
      <w:bookmarkEnd w:id="231"/>
      <w:bookmarkEnd w:id="232"/>
      <w:bookmarkEnd w:id="233"/>
    </w:p>
    <w:p>
      <w:pPr>
        <w:pStyle w:val="Subsection"/>
        <w:rPr>
          <w:snapToGrid w:val="0"/>
        </w:rPr>
      </w:pPr>
      <w:r>
        <w:rPr>
          <w:snapToGrid w:val="0"/>
        </w:rPr>
        <w:tab/>
      </w:r>
      <w:r>
        <w:rPr>
          <w:snapToGrid w:val="0"/>
        </w:rPr>
        <w:tab/>
        <w:t xml:space="preserve">The arbitrator is not an arbitrator within the meaning of the </w:t>
      </w:r>
      <w:r>
        <w:rPr>
          <w:i/>
        </w:rPr>
        <w:t>Commercial Arbitration Act 2012</w:t>
      </w:r>
      <w:r>
        <w:rPr>
          <w:snapToGrid w:val="0"/>
        </w:rPr>
        <w:t>, and the dispute resolution processes</w:t>
      </w:r>
      <w:r>
        <w:t xml:space="preserve"> involved in performing the arbitrator’s functions</w:t>
      </w:r>
      <w:r>
        <w:rPr>
          <w:snapToGrid w:val="0"/>
        </w:rPr>
        <w:t xml:space="preserve"> mentioned in section 73(1) are not arbitrations within the meaning of that Act.</w:t>
      </w:r>
    </w:p>
    <w:p>
      <w:pPr>
        <w:pStyle w:val="Footnotesection"/>
      </w:pPr>
      <w:r>
        <w:tab/>
        <w:t>[Section 77 amended</w:t>
      </w:r>
      <w:del w:id="234" w:author="svcMRProcess" w:date="2019-02-07T13:05:00Z">
        <w:r>
          <w:delText xml:space="preserve"> by</w:delText>
        </w:r>
      </w:del>
      <w:ins w:id="235" w:author="svcMRProcess" w:date="2019-02-07T13:05:00Z">
        <w:r>
          <w:t>:</w:t>
        </w:r>
      </w:ins>
      <w:r>
        <w:t xml:space="preserve"> No. 16 of 2009 s. 45; No. 23 of 2012 s. 45.]</w:t>
      </w:r>
    </w:p>
    <w:p>
      <w:pPr>
        <w:pStyle w:val="Heading5"/>
        <w:rPr>
          <w:snapToGrid w:val="0"/>
        </w:rPr>
      </w:pPr>
      <w:bookmarkStart w:id="236" w:name="_Toc460315291"/>
      <w:bookmarkStart w:id="237" w:name="_Toc376260683"/>
      <w:bookmarkStart w:id="238" w:name="_Toc416795349"/>
      <w:r>
        <w:rPr>
          <w:rStyle w:val="CharSectno"/>
        </w:rPr>
        <w:t>78</w:t>
      </w:r>
      <w:r>
        <w:rPr>
          <w:snapToGrid w:val="0"/>
        </w:rPr>
        <w:t>.</w:t>
      </w:r>
      <w:r>
        <w:rPr>
          <w:snapToGrid w:val="0"/>
        </w:rPr>
        <w:tab/>
        <w:t>Delegation</w:t>
      </w:r>
      <w:bookmarkEnd w:id="236"/>
      <w:bookmarkEnd w:id="237"/>
      <w:bookmarkEnd w:id="238"/>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239" w:name="_Toc460315292"/>
      <w:bookmarkStart w:id="240" w:name="_Toc376260684"/>
      <w:bookmarkStart w:id="241" w:name="_Toc416795350"/>
      <w:r>
        <w:rPr>
          <w:rStyle w:val="CharSectno"/>
        </w:rPr>
        <w:t>79</w:t>
      </w:r>
      <w:r>
        <w:rPr>
          <w:snapToGrid w:val="0"/>
        </w:rPr>
        <w:t>.</w:t>
      </w:r>
      <w:r>
        <w:rPr>
          <w:snapToGrid w:val="0"/>
        </w:rPr>
        <w:tab/>
        <w:t>Conflict of interest</w:t>
      </w:r>
      <w:bookmarkEnd w:id="239"/>
      <w:bookmarkEnd w:id="240"/>
      <w:bookmarkEnd w:id="241"/>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 xml:space="preserve">any direct or indirect interest that the arbitrator has or acquires in any business, or in any body corporate carrying on business,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242" w:name="_Toc459714497"/>
      <w:bookmarkStart w:id="243" w:name="_Toc460315293"/>
      <w:bookmarkStart w:id="244" w:name="_Toc376260685"/>
      <w:bookmarkStart w:id="245" w:name="_Toc416795294"/>
      <w:bookmarkStart w:id="246" w:name="_Toc416795351"/>
      <w:r>
        <w:rPr>
          <w:snapToGrid w:val="0"/>
        </w:rPr>
        <w:t>Subdivision 4 — Staff and consultants</w:t>
      </w:r>
      <w:bookmarkEnd w:id="242"/>
      <w:bookmarkEnd w:id="243"/>
      <w:bookmarkEnd w:id="244"/>
      <w:bookmarkEnd w:id="245"/>
      <w:bookmarkEnd w:id="246"/>
      <w:r>
        <w:rPr>
          <w:snapToGrid w:val="0"/>
        </w:rPr>
        <w:t xml:space="preserve"> </w:t>
      </w:r>
    </w:p>
    <w:p>
      <w:pPr>
        <w:pStyle w:val="Heading5"/>
        <w:rPr>
          <w:snapToGrid w:val="0"/>
        </w:rPr>
      </w:pPr>
      <w:bookmarkStart w:id="247" w:name="_Toc460315294"/>
      <w:bookmarkStart w:id="248" w:name="_Toc376260686"/>
      <w:bookmarkStart w:id="249" w:name="_Toc416795352"/>
      <w:r>
        <w:rPr>
          <w:rStyle w:val="CharSectno"/>
        </w:rPr>
        <w:t>80</w:t>
      </w:r>
      <w:r>
        <w:rPr>
          <w:snapToGrid w:val="0"/>
        </w:rPr>
        <w:t>.</w:t>
      </w:r>
      <w:r>
        <w:rPr>
          <w:snapToGrid w:val="0"/>
        </w:rPr>
        <w:tab/>
        <w:t>Use of government staff etc.</w:t>
      </w:r>
      <w:bookmarkEnd w:id="247"/>
      <w:bookmarkEnd w:id="248"/>
      <w:bookmarkEnd w:id="249"/>
      <w:r>
        <w:rPr>
          <w:snapToGrid w:val="0"/>
        </w:rPr>
        <w:t xml:space="preserve"> </w:t>
      </w:r>
    </w:p>
    <w:p>
      <w:pPr>
        <w:pStyle w:val="Subsection"/>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ins w:id="250" w:author="svcMRProcess" w:date="2019-02-07T13:05:00Z">
        <w:r>
          <w:rPr>
            <w:snapToGrid w:val="0"/>
          </w:rPr>
          <w:t>or</w:t>
        </w:r>
      </w:ins>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r>
      <w:r>
        <w:rPr>
          <w:snapToGrid w:val="0"/>
        </w:rPr>
        <w:tab/>
        <w:t>other than an officer or employee of an electricity corporation.</w:t>
      </w:r>
    </w:p>
    <w:p>
      <w:pPr>
        <w:pStyle w:val="Subsection"/>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rPr>
          <w:snapToGrid w:val="0"/>
        </w:rPr>
      </w:pPr>
      <w:r>
        <w:rPr>
          <w:snapToGrid w:val="0"/>
        </w:rPr>
        <w:tab/>
      </w:r>
      <w:r>
        <w:rPr>
          <w:snapToGrid w:val="0"/>
        </w:rPr>
        <w:tab/>
        <w:t>make use of any facilities of the department, agency or instrumentality.</w:t>
      </w:r>
    </w:p>
    <w:p>
      <w:pPr>
        <w:pStyle w:val="Subsection"/>
        <w:keepNext/>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keepNext/>
        <w:keepLines/>
      </w:pPr>
      <w:r>
        <w:tab/>
        <w:t>(5)</w:t>
      </w:r>
      <w:r>
        <w:tab/>
        <w:t xml:space="preserve">In this section — </w:t>
      </w:r>
    </w:p>
    <w:p>
      <w:pPr>
        <w:pStyle w:val="Defstart"/>
      </w:pPr>
      <w:r>
        <w:tab/>
      </w:r>
      <w:r>
        <w:rPr>
          <w:rStyle w:val="CharDefText"/>
        </w:rPr>
        <w:t>electricity corporation</w:t>
      </w:r>
      <w:r>
        <w:t xml:space="preserve"> means a body established by the </w:t>
      </w:r>
      <w:r>
        <w:rPr>
          <w:i/>
        </w:rPr>
        <w:t>Electricity Corporations Act 2005</w:t>
      </w:r>
      <w:r>
        <w:t xml:space="preserve"> section 4(1).</w:t>
      </w:r>
    </w:p>
    <w:p>
      <w:pPr>
        <w:pStyle w:val="Footnotesection"/>
      </w:pPr>
      <w:r>
        <w:tab/>
        <w:t>[Section 80 amended</w:t>
      </w:r>
      <w:del w:id="251" w:author="svcMRProcess" w:date="2019-02-07T13:05:00Z">
        <w:r>
          <w:delText xml:space="preserve"> by</w:delText>
        </w:r>
      </w:del>
      <w:ins w:id="252" w:author="svcMRProcess" w:date="2019-02-07T13:05:00Z">
        <w:r>
          <w:t>:</w:t>
        </w:r>
      </w:ins>
      <w:r>
        <w:t xml:space="preserve"> No. 18 of 2005 s. 139; No. 25 of 2013 s. 40(3).]</w:t>
      </w:r>
    </w:p>
    <w:p>
      <w:pPr>
        <w:pStyle w:val="Heading5"/>
        <w:rPr>
          <w:snapToGrid w:val="0"/>
        </w:rPr>
      </w:pPr>
      <w:bookmarkStart w:id="253" w:name="_Toc460315295"/>
      <w:bookmarkStart w:id="254" w:name="_Toc376260687"/>
      <w:bookmarkStart w:id="255" w:name="_Toc416795353"/>
      <w:r>
        <w:rPr>
          <w:rStyle w:val="CharSectno"/>
        </w:rPr>
        <w:t>81</w:t>
      </w:r>
      <w:r>
        <w:rPr>
          <w:snapToGrid w:val="0"/>
        </w:rPr>
        <w:t>.</w:t>
      </w:r>
      <w:r>
        <w:rPr>
          <w:snapToGrid w:val="0"/>
        </w:rPr>
        <w:tab/>
        <w:t>Consultants</w:t>
      </w:r>
      <w:bookmarkEnd w:id="253"/>
      <w:bookmarkEnd w:id="254"/>
      <w:bookmarkEnd w:id="255"/>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w:t>
      </w:r>
    </w:p>
    <w:p>
      <w:pPr>
        <w:pStyle w:val="Footnotesection"/>
      </w:pPr>
      <w:r>
        <w:tab/>
        <w:t>[Section 81 amended</w:t>
      </w:r>
      <w:del w:id="256" w:author="svcMRProcess" w:date="2019-02-07T13:05:00Z">
        <w:r>
          <w:delText xml:space="preserve"> by</w:delText>
        </w:r>
      </w:del>
      <w:ins w:id="257" w:author="svcMRProcess" w:date="2019-02-07T13:05:00Z">
        <w:r>
          <w:t>:</w:t>
        </w:r>
      </w:ins>
      <w:r>
        <w:t xml:space="preserve"> No. 16 of 2009 s. 46.]</w:t>
      </w:r>
    </w:p>
    <w:p>
      <w:pPr>
        <w:pStyle w:val="Heading4"/>
        <w:rPr>
          <w:snapToGrid w:val="0"/>
        </w:rPr>
      </w:pPr>
      <w:bookmarkStart w:id="258" w:name="_Toc459714500"/>
      <w:bookmarkStart w:id="259" w:name="_Toc460315296"/>
      <w:bookmarkStart w:id="260" w:name="_Toc376260688"/>
      <w:bookmarkStart w:id="261" w:name="_Toc416795297"/>
      <w:bookmarkStart w:id="262" w:name="_Toc416795354"/>
      <w:r>
        <w:rPr>
          <w:snapToGrid w:val="0"/>
        </w:rPr>
        <w:t>Subdivision 5 — Financial provisions</w:t>
      </w:r>
      <w:bookmarkEnd w:id="258"/>
      <w:bookmarkEnd w:id="259"/>
      <w:bookmarkEnd w:id="260"/>
      <w:bookmarkEnd w:id="261"/>
      <w:bookmarkEnd w:id="262"/>
      <w:r>
        <w:rPr>
          <w:snapToGrid w:val="0"/>
        </w:rPr>
        <w:t xml:space="preserve"> </w:t>
      </w:r>
    </w:p>
    <w:p>
      <w:pPr>
        <w:pStyle w:val="Heading5"/>
        <w:rPr>
          <w:snapToGrid w:val="0"/>
        </w:rPr>
      </w:pPr>
      <w:bookmarkStart w:id="263" w:name="_Toc460315297"/>
      <w:bookmarkStart w:id="264" w:name="_Toc376260689"/>
      <w:bookmarkStart w:id="265" w:name="_Toc416795355"/>
      <w:r>
        <w:rPr>
          <w:rStyle w:val="CharSectno"/>
        </w:rPr>
        <w:t>82</w:t>
      </w:r>
      <w:r>
        <w:rPr>
          <w:snapToGrid w:val="0"/>
        </w:rPr>
        <w:t>.</w:t>
      </w:r>
      <w:r>
        <w:rPr>
          <w:snapToGrid w:val="0"/>
        </w:rPr>
        <w:tab/>
        <w:t>Bank account</w:t>
      </w:r>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 xml:space="preserve">The account is to be called </w:t>
      </w:r>
      <w:r>
        <w:t>the “Western Australian Energy Disputes Arbitrator Account”, and it is to be a continuation of the account formerly called</w:t>
      </w:r>
      <w:r>
        <w:rPr>
          <w:snapToGrid w:val="0"/>
        </w:rPr>
        <w:t xml:space="preserve"> the “Western Australian Gas Disputes Arbitrator Account”.</w:t>
      </w:r>
    </w:p>
    <w:p>
      <w:pPr>
        <w:pStyle w:val="Subsection"/>
        <w:keepNext/>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pPr>
      <w:r>
        <w:tab/>
        <w:t>(ii)</w:t>
      </w:r>
      <w:r>
        <w:tab/>
        <w:t>fees and charges payable to the arbitrator or the Board in connection with the performance of the functions of the arbitrator or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Footnotesection"/>
      </w:pPr>
      <w:r>
        <w:tab/>
        <w:t>[Section 82 amended</w:t>
      </w:r>
      <w:del w:id="266" w:author="svcMRProcess" w:date="2019-02-07T13:05:00Z">
        <w:r>
          <w:delText xml:space="preserve"> by</w:delText>
        </w:r>
      </w:del>
      <w:ins w:id="267" w:author="svcMRProcess" w:date="2019-02-07T13:05:00Z">
        <w:r>
          <w:t>:</w:t>
        </w:r>
      </w:ins>
      <w:r>
        <w:t xml:space="preserve"> No. 16 of 2009 s. 47.]</w:t>
      </w:r>
    </w:p>
    <w:p>
      <w:pPr>
        <w:pStyle w:val="Heading5"/>
        <w:rPr>
          <w:snapToGrid w:val="0"/>
        </w:rPr>
      </w:pPr>
      <w:bookmarkStart w:id="268" w:name="_Toc460315298"/>
      <w:bookmarkStart w:id="269" w:name="_Toc376260690"/>
      <w:bookmarkStart w:id="270" w:name="_Toc416795356"/>
      <w:r>
        <w:rPr>
          <w:rStyle w:val="CharSectno"/>
        </w:rPr>
        <w:t>83</w:t>
      </w:r>
      <w:r>
        <w:rPr>
          <w:snapToGrid w:val="0"/>
        </w:rPr>
        <w:t>.</w:t>
      </w:r>
      <w:r>
        <w:rPr>
          <w:snapToGrid w:val="0"/>
        </w:rPr>
        <w:tab/>
        <w:t>Borrowing from Treasurer</w:t>
      </w:r>
      <w:bookmarkEnd w:id="268"/>
      <w:bookmarkEnd w:id="269"/>
      <w:bookmarkEnd w:id="270"/>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271" w:name="_Toc460315299"/>
      <w:bookmarkStart w:id="272" w:name="_Toc376260691"/>
      <w:bookmarkStart w:id="273" w:name="_Toc416795357"/>
      <w:r>
        <w:rPr>
          <w:rStyle w:val="CharSectno"/>
        </w:rPr>
        <w:t>84</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71"/>
      <w:bookmarkEnd w:id="272"/>
      <w:bookmarkEnd w:id="273"/>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spacing w:before="80"/>
        <w:ind w:left="890" w:hanging="890"/>
      </w:pPr>
      <w:r>
        <w:tab/>
        <w:t>[Section 84 amended</w:t>
      </w:r>
      <w:del w:id="274" w:author="svcMRProcess" w:date="2019-02-07T13:05:00Z">
        <w:r>
          <w:delText xml:space="preserve"> by</w:delText>
        </w:r>
      </w:del>
      <w:ins w:id="275" w:author="svcMRProcess" w:date="2019-02-07T13:05:00Z">
        <w:r>
          <w:t>:</w:t>
        </w:r>
      </w:ins>
      <w:r>
        <w:t xml:space="preserve"> No. 77 of 2006 Sch. 1 cl. 73(2) and (3).]</w:t>
      </w:r>
    </w:p>
    <w:p>
      <w:pPr>
        <w:pStyle w:val="Heading4"/>
        <w:keepLines/>
        <w:spacing w:before="180"/>
        <w:rPr>
          <w:snapToGrid w:val="0"/>
        </w:rPr>
      </w:pPr>
      <w:bookmarkStart w:id="276" w:name="_Toc459714504"/>
      <w:bookmarkStart w:id="277" w:name="_Toc460315300"/>
      <w:bookmarkStart w:id="278" w:name="_Toc376260692"/>
      <w:bookmarkStart w:id="279" w:name="_Toc416795301"/>
      <w:bookmarkStart w:id="280" w:name="_Toc416795358"/>
      <w:r>
        <w:rPr>
          <w:snapToGrid w:val="0"/>
        </w:rPr>
        <w:t>Subdivision 6 — General</w:t>
      </w:r>
      <w:bookmarkEnd w:id="276"/>
      <w:bookmarkEnd w:id="277"/>
      <w:bookmarkEnd w:id="278"/>
      <w:bookmarkEnd w:id="279"/>
      <w:bookmarkEnd w:id="280"/>
      <w:r>
        <w:rPr>
          <w:snapToGrid w:val="0"/>
        </w:rPr>
        <w:t xml:space="preserve"> </w:t>
      </w:r>
    </w:p>
    <w:p>
      <w:pPr>
        <w:pStyle w:val="Heading5"/>
        <w:spacing w:before="180"/>
        <w:rPr>
          <w:snapToGrid w:val="0"/>
        </w:rPr>
      </w:pPr>
      <w:bookmarkStart w:id="281" w:name="_Toc460315301"/>
      <w:bookmarkStart w:id="282" w:name="_Toc376260693"/>
      <w:bookmarkStart w:id="283" w:name="_Toc416795359"/>
      <w:r>
        <w:rPr>
          <w:rStyle w:val="CharSectno"/>
        </w:rPr>
        <w:t>85</w:t>
      </w:r>
      <w:r>
        <w:rPr>
          <w:snapToGrid w:val="0"/>
        </w:rPr>
        <w:t>.</w:t>
      </w:r>
      <w:r>
        <w:rPr>
          <w:snapToGrid w:val="0"/>
        </w:rPr>
        <w:tab/>
        <w:t>Immunity</w:t>
      </w:r>
      <w:bookmarkEnd w:id="281"/>
      <w:bookmarkEnd w:id="282"/>
      <w:bookmarkEnd w:id="283"/>
      <w:r>
        <w:rPr>
          <w:snapToGrid w:val="0"/>
        </w:rPr>
        <w:t xml:space="preserve"> </w:t>
      </w:r>
    </w:p>
    <w:p>
      <w:pPr>
        <w:pStyle w:val="Subsection"/>
        <w:keepNext/>
        <w:keepLines/>
        <w:spacing w:before="120"/>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ins w:id="284" w:author="svcMRProcess" w:date="2019-02-07T13:05:00Z">
        <w:r>
          <w:rPr>
            <w:snapToGrid w:val="0"/>
          </w:rPr>
          <w:t>or</w:t>
        </w:r>
      </w:ins>
    </w:p>
    <w:p>
      <w:pPr>
        <w:pStyle w:val="Indenta"/>
        <w:rPr>
          <w:snapToGrid w:val="0"/>
        </w:rPr>
      </w:pPr>
      <w:r>
        <w:rPr>
          <w:snapToGrid w:val="0"/>
        </w:rPr>
        <w:tab/>
        <w:t>(b)</w:t>
      </w:r>
      <w:r>
        <w:rPr>
          <w:snapToGrid w:val="0"/>
        </w:rPr>
        <w:tab/>
        <w:t xml:space="preserve">a person acting under section 71; </w:t>
      </w:r>
      <w:ins w:id="285" w:author="svcMRProcess" w:date="2019-02-07T13:05:00Z">
        <w:r>
          <w:rPr>
            <w:snapToGrid w:val="0"/>
          </w:rPr>
          <w:t>or</w:t>
        </w:r>
      </w:ins>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spacing w:before="120"/>
        <w:rPr>
          <w:snapToGrid w:val="0"/>
        </w:rPr>
      </w:pPr>
      <w:r>
        <w:rPr>
          <w:snapToGrid w:val="0"/>
        </w:rPr>
        <w:tab/>
      </w:r>
      <w:r>
        <w:rPr>
          <w:snapToGrid w:val="0"/>
        </w:rPr>
        <w:tab/>
        <w:t>for an act or omission in good faith in the performance, or purported performance, of official functions.</w:t>
      </w:r>
    </w:p>
    <w:p>
      <w:pPr>
        <w:pStyle w:val="Subsection"/>
        <w:spacing w:before="120"/>
        <w:rPr>
          <w:snapToGrid w:val="0"/>
        </w:rPr>
      </w:pPr>
      <w:r>
        <w:rPr>
          <w:snapToGrid w:val="0"/>
        </w:rPr>
        <w:tab/>
        <w:t>(2)</w:t>
      </w:r>
      <w:r>
        <w:rPr>
          <w:snapToGrid w:val="0"/>
        </w:rPr>
        <w:tab/>
        <w:t>A liability that would, but for subsection (1), lie against a person, lies instead against the Crown.</w:t>
      </w:r>
    </w:p>
    <w:p>
      <w:pPr>
        <w:pStyle w:val="Heading3"/>
        <w:spacing w:before="180"/>
        <w:rPr>
          <w:snapToGrid w:val="0"/>
        </w:rPr>
      </w:pPr>
      <w:bookmarkStart w:id="286" w:name="_Toc459714506"/>
      <w:bookmarkStart w:id="287" w:name="_Toc460315302"/>
      <w:bookmarkStart w:id="288" w:name="_Toc376260694"/>
      <w:bookmarkStart w:id="289" w:name="_Toc416795303"/>
      <w:bookmarkStart w:id="290" w:name="_Toc416795360"/>
      <w:r>
        <w:rPr>
          <w:rStyle w:val="CharDivNo"/>
        </w:rPr>
        <w:t>Division 4</w:t>
      </w:r>
      <w:r>
        <w:rPr>
          <w:snapToGrid w:val="0"/>
        </w:rPr>
        <w:t> — </w:t>
      </w:r>
      <w:r>
        <w:rPr>
          <w:rStyle w:val="CharDivText"/>
        </w:rPr>
        <w:t>Miscellaneous</w:t>
      </w:r>
      <w:bookmarkEnd w:id="286"/>
      <w:bookmarkEnd w:id="287"/>
      <w:bookmarkEnd w:id="288"/>
      <w:bookmarkEnd w:id="289"/>
      <w:bookmarkEnd w:id="290"/>
      <w:r>
        <w:rPr>
          <w:rStyle w:val="CharDivText"/>
        </w:rPr>
        <w:t xml:space="preserve"> </w:t>
      </w:r>
    </w:p>
    <w:p>
      <w:pPr>
        <w:pStyle w:val="Heading5"/>
        <w:spacing w:before="180"/>
        <w:rPr>
          <w:snapToGrid w:val="0"/>
        </w:rPr>
      </w:pPr>
      <w:bookmarkStart w:id="291" w:name="_Toc460315303"/>
      <w:bookmarkStart w:id="292" w:name="_Toc376260695"/>
      <w:bookmarkStart w:id="293" w:name="_Toc416795361"/>
      <w:r>
        <w:rPr>
          <w:rStyle w:val="CharSectno"/>
        </w:rPr>
        <w:t>86</w:t>
      </w:r>
      <w:r>
        <w:rPr>
          <w:snapToGrid w:val="0"/>
        </w:rPr>
        <w:t>.</w:t>
      </w:r>
      <w:r>
        <w:rPr>
          <w:snapToGrid w:val="0"/>
        </w:rPr>
        <w:tab/>
        <w:t>Regulations</w:t>
      </w:r>
      <w:bookmarkEnd w:id="291"/>
      <w:bookmarkEnd w:id="292"/>
      <w:bookmarkEnd w:id="293"/>
      <w:r>
        <w:rPr>
          <w:snapToGrid w:val="0"/>
        </w:rPr>
        <w:t xml:space="preserve"> </w:t>
      </w:r>
    </w:p>
    <w:p>
      <w:pPr>
        <w:pStyle w:val="Subsection"/>
        <w:spacing w:before="120"/>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Ednotesection"/>
        <w:spacing w:before="180"/>
      </w:pPr>
      <w:r>
        <w:t>[</w:t>
      </w:r>
      <w:r>
        <w:rPr>
          <w:b/>
          <w:bCs/>
        </w:rPr>
        <w:t>87.</w:t>
      </w:r>
      <w:r>
        <w:tab/>
        <w:t>Deleted</w:t>
      </w:r>
      <w:del w:id="294" w:author="svcMRProcess" w:date="2019-02-07T13:05:00Z">
        <w:r>
          <w:delText xml:space="preserve"> by</w:delText>
        </w:r>
      </w:del>
      <w:ins w:id="295" w:author="svcMRProcess" w:date="2019-02-07T13:05:00Z">
        <w:r>
          <w:t>:</w:t>
        </w:r>
      </w:ins>
      <w:r>
        <w:t xml:space="preserve"> No. 16 of 2009 s. 48.]</w:t>
      </w:r>
    </w:p>
    <w:p>
      <w:pPr>
        <w:pStyle w:val="Ednotesection"/>
        <w:spacing w:before="180"/>
      </w:pPr>
      <w:r>
        <w:t>[</w:t>
      </w:r>
      <w:r>
        <w:rPr>
          <w:b/>
          <w:bCs/>
        </w:rPr>
        <w:t>88.</w:t>
      </w:r>
      <w:r>
        <w:tab/>
        <w:t>Deleted</w:t>
      </w:r>
      <w:del w:id="296" w:author="svcMRProcess" w:date="2019-02-07T13:05:00Z">
        <w:r>
          <w:delText xml:space="preserve"> by</w:delText>
        </w:r>
      </w:del>
      <w:ins w:id="297" w:author="svcMRProcess" w:date="2019-02-07T13:05:00Z">
        <w:r>
          <w:t>:</w:t>
        </w:r>
      </w:ins>
      <w:r>
        <w:t xml:space="preserve"> No. 16 of 2009 s. 49.]</w:t>
      </w:r>
    </w:p>
    <w:p>
      <w:pPr>
        <w:pStyle w:val="Ednotepart"/>
        <w:spacing w:before="180"/>
      </w:pPr>
      <w:r>
        <w:t>[Parts 7 (s. 89) and 8 (s. 90</w:t>
      </w:r>
      <w:r>
        <w:noBreakHyphen/>
        <w:t>97) deleted</w:t>
      </w:r>
      <w:del w:id="298" w:author="svcMRProcess" w:date="2019-02-07T13:05:00Z">
        <w:r>
          <w:delText xml:space="preserve"> by</w:delText>
        </w:r>
      </w:del>
      <w:ins w:id="299" w:author="svcMRProcess" w:date="2019-02-07T13:05:00Z">
        <w:r>
          <w:t>:</w:t>
        </w:r>
      </w:ins>
      <w:r>
        <w:t xml:space="preserve"> No. 16 of 2009 s. 50.]</w:t>
      </w:r>
    </w:p>
    <w:p>
      <w:pPr>
        <w:pStyle w:val="yEdnoteschedule"/>
        <w:spacing w:before="180"/>
      </w:pPr>
      <w:r>
        <w:rPr>
          <w:sz w:val="24"/>
        </w:rPr>
        <w:t>[Schedules 1</w:t>
      </w:r>
      <w:r>
        <w:rPr>
          <w:sz w:val="24"/>
        </w:rPr>
        <w:noBreakHyphen/>
        <w:t>3 deleted</w:t>
      </w:r>
      <w:del w:id="300" w:author="svcMRProcess" w:date="2019-02-07T13:05:00Z">
        <w:r>
          <w:rPr>
            <w:sz w:val="24"/>
          </w:rPr>
          <w:delText xml:space="preserve"> by</w:delText>
        </w:r>
      </w:del>
      <w:ins w:id="301" w:author="svcMRProcess" w:date="2019-02-07T13:05:00Z">
        <w:r>
          <w:rPr>
            <w:sz w:val="24"/>
          </w:rPr>
          <w:t>:</w:t>
        </w:r>
      </w:ins>
      <w:r>
        <w:rPr>
          <w:sz w:val="24"/>
        </w:rPr>
        <w:t xml:space="preserve"> No. 16 of 2009 s. 51.]</w:t>
      </w:r>
    </w:p>
    <w:p>
      <w:pPr>
        <w:pStyle w:val="CentredBaseLine"/>
        <w:widowControl w:val="0"/>
        <w:spacing w:before="60"/>
        <w:jc w:val="center"/>
      </w:pPr>
      <w:ins w:id="302" w:author="svcMRProcess" w:date="2019-02-07T13:0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pgSz w:w="11907" w:h="16840" w:code="9"/>
          <w:pgMar w:top="2376" w:right="2404" w:bottom="3544" w:left="2404" w:header="720" w:footer="3380" w:gutter="0"/>
          <w:cols w:space="720"/>
          <w:noEndnote/>
          <w:docGrid w:linePitch="326"/>
        </w:sectPr>
      </w:pPr>
    </w:p>
    <w:p>
      <w:pPr>
        <w:pStyle w:val="nHeading2"/>
        <w:outlineLvl w:val="0"/>
      </w:pPr>
      <w:bookmarkStart w:id="303" w:name="_Toc459714508"/>
      <w:bookmarkStart w:id="304" w:name="_Toc460315304"/>
      <w:bookmarkStart w:id="305" w:name="_Toc376260696"/>
      <w:bookmarkStart w:id="306" w:name="_Toc416795305"/>
      <w:bookmarkStart w:id="307" w:name="_Toc416795362"/>
      <w:r>
        <w:t>Notes</w:t>
      </w:r>
      <w:bookmarkEnd w:id="303"/>
      <w:bookmarkEnd w:id="304"/>
      <w:bookmarkEnd w:id="305"/>
      <w:bookmarkEnd w:id="306"/>
      <w:bookmarkEnd w:id="307"/>
    </w:p>
    <w:p>
      <w:pPr>
        <w:pStyle w:val="nSubsection"/>
      </w:pPr>
      <w:r>
        <w:rPr>
          <w:vertAlign w:val="superscript"/>
        </w:rPr>
        <w:t>1</w:t>
      </w:r>
      <w:r>
        <w:tab/>
        <w:t xml:space="preserve">This is a compilation of the </w:t>
      </w:r>
      <w:r>
        <w:rPr>
          <w:i/>
          <w:noProof/>
        </w:rPr>
        <w:t>Energy Arbitration and Review Act 1998</w:t>
      </w:r>
      <w:r>
        <w:t xml:space="preserve"> and includes the amendments made by the other written laws referred to in the following table</w:t>
      </w:r>
      <w:r>
        <w:rPr>
          <w:vertAlign w:val="superscript"/>
        </w:rPr>
        <w:t> 3</w:t>
      </w:r>
      <w:r>
        <w:t>.  The table also contains information about any reprint.</w:t>
      </w:r>
    </w:p>
    <w:p>
      <w:pPr>
        <w:pStyle w:val="nHeading3"/>
        <w:rPr>
          <w:snapToGrid w:val="0"/>
        </w:rPr>
      </w:pPr>
      <w:bookmarkStart w:id="308" w:name="_Toc460315305"/>
      <w:bookmarkStart w:id="309" w:name="_Toc376260697"/>
      <w:bookmarkStart w:id="310" w:name="_Toc416795363"/>
      <w:r>
        <w:rPr>
          <w:snapToGrid w:val="0"/>
        </w:rPr>
        <w:t>Compilation table</w:t>
      </w:r>
      <w:bookmarkEnd w:id="308"/>
      <w:bookmarkEnd w:id="309"/>
      <w:bookmarkEnd w:id="31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iCs/>
              </w:rPr>
            </w:pPr>
            <w:r>
              <w:rPr>
                <w:i/>
              </w:rPr>
              <w:t>Gas Pipelines Access (</w:t>
            </w:r>
            <w:smartTag w:uri="urn:schemas-microsoft-com:office:smarttags" w:element="place">
              <w:smartTag w:uri="urn:schemas-microsoft-com:office:smarttags" w:element="State">
                <w:r>
                  <w:rPr>
                    <w:i/>
                  </w:rPr>
                  <w:t>Western Australia</w:t>
                </w:r>
              </w:smartTag>
            </w:smartTag>
            <w:r>
              <w:rPr>
                <w:i/>
              </w:rPr>
              <w:t>) Act 1998 </w:t>
            </w:r>
            <w:r>
              <w:rPr>
                <w:iCs/>
                <w:vertAlign w:val="superscript"/>
              </w:rPr>
              <w:t>4</w:t>
            </w:r>
          </w:p>
        </w:tc>
        <w:tc>
          <w:tcPr>
            <w:tcW w:w="1134" w:type="dxa"/>
            <w:tcBorders>
              <w:top w:val="single" w:sz="8" w:space="0" w:color="auto"/>
              <w:bottom w:val="nil"/>
            </w:tcBorders>
          </w:tcPr>
          <w:p>
            <w:pPr>
              <w:pStyle w:val="nTable"/>
              <w:spacing w:after="40"/>
            </w:pPr>
            <w:r>
              <w:t>65 of 1998</w:t>
            </w:r>
          </w:p>
        </w:tc>
        <w:tc>
          <w:tcPr>
            <w:tcW w:w="1134" w:type="dxa"/>
            <w:tcBorders>
              <w:top w:val="single" w:sz="8" w:space="0" w:color="auto"/>
              <w:bottom w:val="nil"/>
            </w:tcBorders>
          </w:tcPr>
          <w:p>
            <w:pPr>
              <w:pStyle w:val="nTable"/>
              <w:spacing w:after="40"/>
            </w:pPr>
            <w:r>
              <w:t>15 Jan 1999</w:t>
            </w:r>
          </w:p>
        </w:tc>
        <w:tc>
          <w:tcPr>
            <w:tcW w:w="2551" w:type="dxa"/>
            <w:tcBorders>
              <w:top w:val="single" w:sz="8" w:space="0" w:color="auto"/>
              <w:bottom w:val="nil"/>
            </w:tcBorders>
          </w:tcPr>
          <w:p>
            <w:pPr>
              <w:pStyle w:val="nTable"/>
              <w:spacing w:after="40"/>
            </w:pPr>
            <w:r>
              <w:t>s. 1 and 2: 15 Jan 1999;</w:t>
            </w:r>
            <w:r>
              <w:br/>
              <w:t xml:space="preserve">Act other than s. 1, 2 and Sch. 3 Div. 2 Subdiv. 3 and Div. 7 Subdiv. 3: 9 Feb 1999 (see s. 2 and </w:t>
            </w:r>
            <w:r>
              <w:rPr>
                <w:i/>
              </w:rPr>
              <w:t>Gazette</w:t>
            </w:r>
            <w:r>
              <w:t xml:space="preserve"> 8 Feb 1999 p. 441); </w:t>
            </w:r>
            <w:r>
              <w:br/>
              <w:t xml:space="preserve">Sch. 3 Div. 2 Subdiv. 3 and Div. 7 Subdiv. 3: 1 Jan 2000 (see s. 2(1)) </w:t>
            </w:r>
          </w:p>
        </w:tc>
      </w:tr>
      <w:tr>
        <w:trPr>
          <w:cantSplit/>
        </w:trPr>
        <w:tc>
          <w:tcPr>
            <w:tcW w:w="2268" w:type="dxa"/>
            <w:tcBorders>
              <w:top w:val="nil"/>
              <w:bottom w:val="nil"/>
            </w:tcBorders>
          </w:tcPr>
          <w:p>
            <w:pPr>
              <w:pStyle w:val="nTable"/>
              <w:spacing w:after="40"/>
              <w:ind w:right="113"/>
            </w:pPr>
            <w:r>
              <w:rPr>
                <w:i/>
              </w:rPr>
              <w:t>Energy Coordination Amendment Act 1999</w:t>
            </w:r>
            <w:r>
              <w:t xml:space="preserve"> s. 10(3)</w:t>
            </w:r>
          </w:p>
        </w:tc>
        <w:tc>
          <w:tcPr>
            <w:tcW w:w="1134" w:type="dxa"/>
            <w:tcBorders>
              <w:top w:val="nil"/>
              <w:bottom w:val="nil"/>
            </w:tcBorders>
          </w:tcPr>
          <w:p>
            <w:pPr>
              <w:pStyle w:val="nTable"/>
              <w:spacing w:after="40"/>
            </w:pPr>
            <w:r>
              <w:t>20 of 1999</w:t>
            </w:r>
          </w:p>
        </w:tc>
        <w:tc>
          <w:tcPr>
            <w:tcW w:w="1134" w:type="dxa"/>
            <w:tcBorders>
              <w:top w:val="nil"/>
              <w:bottom w:val="nil"/>
            </w:tcBorders>
          </w:tcPr>
          <w:p>
            <w:pPr>
              <w:pStyle w:val="nTable"/>
              <w:spacing w:after="40"/>
            </w:pPr>
            <w:r>
              <w:t>24 Jun 1999</w:t>
            </w:r>
          </w:p>
        </w:tc>
        <w:tc>
          <w:tcPr>
            <w:tcW w:w="2551" w:type="dxa"/>
            <w:tcBorders>
              <w:top w:val="nil"/>
              <w:bottom w:val="nil"/>
            </w:tcBorders>
          </w:tcPr>
          <w:p>
            <w:pPr>
              <w:pStyle w:val="nTable"/>
              <w:spacing w:after="40"/>
            </w:pPr>
            <w:r>
              <w:t xml:space="preserve">16 Oct 1999 (see s. 2 and </w:t>
            </w:r>
            <w:r>
              <w:rPr>
                <w:i/>
              </w:rPr>
              <w:t>Gazette</w:t>
            </w:r>
            <w: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vertAlign w:val="superscript"/>
              </w:rPr>
            </w:pPr>
            <w:r>
              <w:rPr>
                <w:i/>
              </w:rPr>
              <w:t xml:space="preserve">Gas Corporation (Business Disposal) Act 1999 </w:t>
            </w:r>
            <w:r>
              <w:t>s. 62</w:t>
            </w:r>
            <w:r>
              <w:noBreakHyphen/>
              <w:t>64, 87, 96</w:t>
            </w:r>
            <w:del w:id="311" w:author="svcMRProcess" w:date="2019-02-07T13:05:00Z">
              <w:r>
                <w:rPr>
                  <w:rFonts w:ascii="Times" w:hAnsi="Times"/>
                  <w:vertAlign w:val="superscript"/>
                </w:rPr>
                <w:delText> 5</w:delText>
              </w:r>
            </w:del>
          </w:p>
        </w:tc>
        <w:tc>
          <w:tcPr>
            <w:tcW w:w="1134" w:type="dxa"/>
          </w:tcPr>
          <w:p>
            <w:pPr>
              <w:pStyle w:val="nTable"/>
              <w:spacing w:after="40"/>
            </w:pPr>
            <w:r>
              <w:t>58 of 1999 (as amended by No. 74 of 2003 s. 58(3))</w:t>
            </w:r>
          </w:p>
        </w:tc>
        <w:tc>
          <w:tcPr>
            <w:tcW w:w="1134" w:type="dxa"/>
          </w:tcPr>
          <w:p>
            <w:pPr>
              <w:pStyle w:val="nTable"/>
              <w:spacing w:after="40"/>
            </w:pPr>
            <w:r>
              <w:t>24 Dec 1999</w:t>
            </w:r>
          </w:p>
        </w:tc>
        <w:tc>
          <w:tcPr>
            <w:tcW w:w="2551" w:type="dxa"/>
          </w:tcPr>
          <w:p>
            <w:pPr>
              <w:pStyle w:val="nTable"/>
              <w:spacing w:after="40"/>
            </w:pPr>
            <w:r>
              <w:t>s. 62</w:t>
            </w:r>
            <w:r>
              <w:noBreakHyphen/>
              <w:t xml:space="preserve">64: 24 Dec 1999 (see s. 2(1)); </w:t>
            </w:r>
            <w:r>
              <w:br/>
              <w:t xml:space="preserve">s. 87: 1 Jul 2000 (see s. 2(2) and </w:t>
            </w:r>
            <w:r>
              <w:rPr>
                <w:i/>
              </w:rPr>
              <w:t>Gazette</w:t>
            </w:r>
            <w:r>
              <w:t xml:space="preserve"> 4 Jul 2000 p. 3545); </w:t>
            </w:r>
            <w:r>
              <w:br/>
              <w:t xml:space="preserve">s. 96: 16 Dec 2000 (see s. 2(5)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iCs/>
              </w:rPr>
            </w:pPr>
            <w:r>
              <w:rPr>
                <w:b/>
                <w:bCs/>
              </w:rPr>
              <w:t xml:space="preserve">Reprint of the </w:t>
            </w:r>
            <w:r>
              <w:rPr>
                <w:b/>
                <w:bCs/>
                <w:i/>
              </w:rPr>
              <w:t>Gas Pipelines Access (</w:t>
            </w:r>
            <w:smartTag w:uri="urn:schemas-microsoft-com:office:smarttags" w:element="place">
              <w:smartTag w:uri="urn:schemas-microsoft-com:office:smarttags" w:element="State">
                <w:r>
                  <w:rPr>
                    <w:b/>
                    <w:bCs/>
                    <w:i/>
                  </w:rPr>
                  <w:t>Western Australia</w:t>
                </w:r>
              </w:smartTag>
            </w:smartTag>
            <w:r>
              <w:rPr>
                <w:b/>
                <w:bCs/>
                <w:i/>
              </w:rPr>
              <w:t>) Act 1998</w:t>
            </w:r>
            <w:r>
              <w:rPr>
                <w:b/>
                <w:bCs/>
                <w:iCs/>
              </w:rPr>
              <w:t xml:space="preserve"> as at 11 Aug 2000</w:t>
            </w:r>
            <w:r>
              <w:rPr>
                <w:iCs/>
              </w:rPr>
              <w:t xml:space="preserve"> (includes amendments listed above except those in the </w:t>
            </w:r>
            <w:r>
              <w:rPr>
                <w:i/>
              </w:rPr>
              <w:t xml:space="preserve">Gas Corporation (Business Disposal) Act 1999 </w:t>
            </w:r>
            <w: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(Federal Courts and Tribunals) Act 2001</w:t>
            </w:r>
            <w:r>
              <w:t xml:space="preserve"> Pt. 5</w:t>
            </w:r>
          </w:p>
        </w:tc>
        <w:tc>
          <w:tcPr>
            <w:tcW w:w="1134" w:type="dxa"/>
          </w:tcPr>
          <w:p>
            <w:pPr>
              <w:pStyle w:val="nTable"/>
              <w:spacing w:after="40"/>
            </w:pPr>
            <w:r>
              <w:t>32 of 2001</w:t>
            </w:r>
          </w:p>
        </w:tc>
        <w:tc>
          <w:tcPr>
            <w:tcW w:w="1134" w:type="dxa"/>
          </w:tcPr>
          <w:p>
            <w:pPr>
              <w:pStyle w:val="nTable"/>
              <w:spacing w:after="40"/>
            </w:pPr>
            <w:r>
              <w:t>21 Dec 2001</w:t>
            </w:r>
          </w:p>
        </w:tc>
        <w:tc>
          <w:tcPr>
            <w:tcW w:w="2551" w:type="dxa"/>
          </w:tcPr>
          <w:p>
            <w:pPr>
              <w:pStyle w:val="nTable"/>
              <w:spacing w:after="40"/>
            </w:pPr>
            <w: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Gas Pipelines Access (</w:t>
            </w:r>
            <w:smartTag w:uri="urn:schemas-microsoft-com:office:smarttags" w:element="place">
              <w:smartTag w:uri="urn:schemas-microsoft-com:office:smarttags" w:element="State">
                <w:r>
                  <w:rPr>
                    <w:i/>
                  </w:rPr>
                  <w:t>Western Australia</w:t>
                </w:r>
              </w:smartTag>
            </w:smartTag>
            <w:r>
              <w:rPr>
                <w:i/>
              </w:rPr>
              <w:t>) (Reviews) Amendment Act 2003</w:t>
            </w:r>
          </w:p>
        </w:tc>
        <w:tc>
          <w:tcPr>
            <w:tcW w:w="1134" w:type="dxa"/>
          </w:tcPr>
          <w:p>
            <w:pPr>
              <w:pStyle w:val="nTable"/>
              <w:spacing w:after="40"/>
            </w:pPr>
            <w:r>
              <w:t>42 of 2003</w:t>
            </w:r>
          </w:p>
        </w:tc>
        <w:tc>
          <w:tcPr>
            <w:tcW w:w="1134" w:type="dxa"/>
          </w:tcPr>
          <w:p>
            <w:pPr>
              <w:pStyle w:val="nTable"/>
              <w:spacing w:after="40"/>
            </w:pPr>
            <w:r>
              <w:t>30 Jun 2003</w:t>
            </w:r>
          </w:p>
        </w:tc>
        <w:tc>
          <w:tcPr>
            <w:tcW w:w="2551" w:type="dxa"/>
          </w:tcPr>
          <w:p>
            <w:pPr>
              <w:pStyle w:val="nTable"/>
              <w:spacing w:after="40"/>
            </w:pPr>
            <w:r>
              <w:t>s. 1 and 2: 30 Jun 2003;</w:t>
            </w:r>
            <w:r>
              <w:br/>
              <w:t xml:space="preserve">Act other than s 1 and 2: 12 Jul 2003 (see s. 2 and </w:t>
            </w:r>
            <w:r>
              <w:rPr>
                <w:i/>
              </w:rPr>
              <w:t>Gazette</w:t>
            </w:r>
            <w: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Energy Legislation Amendment Act 2003</w:t>
            </w:r>
            <w:r>
              <w:t xml:space="preserve"> s. 117</w:t>
            </w:r>
          </w:p>
        </w:tc>
        <w:tc>
          <w:tcPr>
            <w:tcW w:w="1134" w:type="dxa"/>
          </w:tcPr>
          <w:p>
            <w:pPr>
              <w:pStyle w:val="nTable"/>
              <w:spacing w:after="40"/>
            </w:pPr>
            <w:r>
              <w:t>53 of 2003</w:t>
            </w:r>
          </w:p>
        </w:tc>
        <w:tc>
          <w:tcPr>
            <w:tcW w:w="1134" w:type="dxa"/>
          </w:tcPr>
          <w:p>
            <w:pPr>
              <w:pStyle w:val="nTable"/>
              <w:spacing w:after="40"/>
            </w:pPr>
            <w:r>
              <w:t>8 Oct 2003</w:t>
            </w:r>
          </w:p>
        </w:tc>
        <w:tc>
          <w:tcPr>
            <w:tcW w:w="2551" w:type="dxa"/>
          </w:tcPr>
          <w:p>
            <w:pPr>
              <w:pStyle w:val="nTable"/>
              <w:spacing w:after="40"/>
            </w:pPr>
            <w: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(Courts and Legal Practice) Act 2003 </w:t>
            </w:r>
            <w:r>
              <w:t>s. 38</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Economic Regulation Authority Act 2003</w:t>
            </w:r>
            <w:r>
              <w:t xml:space="preserve"> Sch. 2 Div 8 </w:t>
            </w:r>
            <w:del w:id="312" w:author="svcMRProcess" w:date="2019-02-07T13:05:00Z">
              <w:r>
                <w:rPr>
                  <w:vertAlign w:val="superscript"/>
                </w:rPr>
                <w:delText>6, 7</w:delText>
              </w:r>
            </w:del>
            <w:ins w:id="313" w:author="svcMRProcess" w:date="2019-02-07T13:05:00Z">
              <w:r>
                <w:rPr>
                  <w:vertAlign w:val="superscript"/>
                </w:rPr>
                <w:t xml:space="preserve"> 5</w:t>
              </w:r>
            </w:ins>
          </w:p>
        </w:tc>
        <w:tc>
          <w:tcPr>
            <w:tcW w:w="1134" w:type="dxa"/>
          </w:tcPr>
          <w:p>
            <w:pPr>
              <w:pStyle w:val="nTable"/>
              <w:spacing w:after="40"/>
            </w:pPr>
            <w:r>
              <w:t>67 of 2003</w:t>
            </w:r>
          </w:p>
        </w:tc>
        <w:tc>
          <w:tcPr>
            <w:tcW w:w="1134" w:type="dxa"/>
          </w:tcPr>
          <w:p>
            <w:pPr>
              <w:pStyle w:val="nTable"/>
              <w:spacing w:after="40"/>
            </w:pPr>
            <w:r>
              <w:t>5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2003</w:t>
            </w:r>
            <w:r>
              <w:t xml:space="preserve"> s. 59</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pacing w:val="-2"/>
              </w:rPr>
            </w:pPr>
            <w:r>
              <w:rPr>
                <w:b/>
                <w:bCs/>
              </w:rPr>
              <w:t xml:space="preserve">Reprint 2: The </w:t>
            </w:r>
            <w:r>
              <w:rPr>
                <w:b/>
                <w:bCs/>
                <w:i/>
              </w:rPr>
              <w:t>Gas Pipelines Access (</w:t>
            </w:r>
            <w:smartTag w:uri="urn:schemas-microsoft-com:office:smarttags" w:element="place">
              <w:smartTag w:uri="urn:schemas-microsoft-com:office:smarttags" w:element="State">
                <w:r>
                  <w:rPr>
                    <w:b/>
                    <w:bCs/>
                    <w:i/>
                  </w:rPr>
                  <w:t>Western Australia</w:t>
                </w:r>
              </w:smartTag>
            </w:smartTag>
            <w:r>
              <w:rPr>
                <w:b/>
                <w:bCs/>
                <w:i/>
              </w:rPr>
              <w:t>) Act 1998</w:t>
            </w:r>
            <w:r>
              <w:rPr>
                <w:b/>
                <w:bCs/>
                <w:iCs/>
              </w:rPr>
              <w:t xml:space="preserve"> as at 8 Oct 2004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Electricity Corporations Act 2005</w:t>
            </w:r>
            <w:r>
              <w:rPr>
                <w:iCs/>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1" w:type="dxa"/>
          </w:tcPr>
          <w:p>
            <w:pPr>
              <w:pStyle w:val="nTable"/>
              <w:spacing w:after="40"/>
            </w:pPr>
            <w:r>
              <w:rPr>
                <w:spacing w:val="-2"/>
              </w:rPr>
              <w:t xml:space="preserve">1 Apr 2006 (see s. 2(2) and </w:t>
            </w:r>
            <w:r>
              <w:rPr>
                <w:i/>
                <w:iCs/>
                <w:spacing w:val="-2"/>
              </w:rPr>
              <w:t>Gazette</w:t>
            </w:r>
            <w:r>
              <w:rPr>
                <w:spacing w:val="-2"/>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Energy Operators (Powers) Amendment Act 2006</w:t>
            </w:r>
            <w:r>
              <w:rPr>
                <w:iCs/>
              </w:rPr>
              <w:t xml:space="preserve"> s. 5</w:t>
            </w:r>
          </w:p>
        </w:tc>
        <w:tc>
          <w:tcPr>
            <w:tcW w:w="1134" w:type="dxa"/>
          </w:tcPr>
          <w:p>
            <w:pPr>
              <w:pStyle w:val="nTable"/>
              <w:spacing w:after="40"/>
            </w:pPr>
            <w:r>
              <w:t>8 of 2006</w:t>
            </w:r>
          </w:p>
        </w:tc>
        <w:tc>
          <w:tcPr>
            <w:tcW w:w="1134" w:type="dxa"/>
          </w:tcPr>
          <w:p>
            <w:pPr>
              <w:pStyle w:val="nTable"/>
              <w:spacing w:after="40"/>
            </w:pPr>
            <w:r>
              <w:t>5 May 2006</w:t>
            </w:r>
          </w:p>
        </w:tc>
        <w:tc>
          <w:tcPr>
            <w:tcW w:w="2551" w:type="dxa"/>
          </w:tcPr>
          <w:p>
            <w:pPr>
              <w:pStyle w:val="nTable"/>
              <w:spacing w:after="40"/>
              <w:rPr>
                <w:spacing w:val="-2"/>
              </w:rPr>
            </w:pPr>
            <w:r>
              <w:rPr>
                <w:spacing w:val="-2"/>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Sch. 1 cl. 73</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vertAlign w:val="superscript"/>
              </w:rPr>
            </w:pPr>
            <w:r>
              <w:rPr>
                <w:i/>
              </w:rPr>
              <w:t>Duties Legislation Amendment Act 2008</w:t>
            </w:r>
            <w:r>
              <w:rPr>
                <w:iCs/>
              </w:rPr>
              <w:t xml:space="preserve"> Sch. 1 cl. 10 </w:t>
            </w:r>
          </w:p>
        </w:tc>
        <w:tc>
          <w:tcPr>
            <w:tcW w:w="1134" w:type="dxa"/>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 xml:space="preserve">s. 665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64</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Pt. 7 Div. 1</w:t>
            </w:r>
          </w:p>
        </w:tc>
        <w:tc>
          <w:tcPr>
            <w:tcW w:w="1134" w:type="dxa"/>
          </w:tcPr>
          <w:p>
            <w:pPr>
              <w:pStyle w:val="nTable"/>
              <w:spacing w:after="40"/>
            </w:pPr>
            <w:r>
              <w:t>16 of 2009</w:t>
            </w:r>
          </w:p>
        </w:tc>
        <w:tc>
          <w:tcPr>
            <w:tcW w:w="1134" w:type="dxa"/>
          </w:tcPr>
          <w:p>
            <w:pPr>
              <w:pStyle w:val="nTable"/>
              <w:spacing w:after="40"/>
            </w:pPr>
            <w:r>
              <w:t>1 Sep 2009</w:t>
            </w:r>
          </w:p>
        </w:tc>
        <w:tc>
          <w:tcPr>
            <w:tcW w:w="2551"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Gas Supply (Gas Quality Specifications) Act 2009</w:t>
            </w:r>
            <w:r>
              <w:rPr>
                <w:iCs/>
                <w:snapToGrid w:val="0"/>
              </w:rPr>
              <w:t xml:space="preserve"> Pt. 7 Div. 2 </w:t>
            </w:r>
          </w:p>
        </w:tc>
        <w:tc>
          <w:tcPr>
            <w:tcW w:w="1134" w:type="dxa"/>
          </w:tcPr>
          <w:p>
            <w:pPr>
              <w:pStyle w:val="nTable"/>
              <w:spacing w:after="40"/>
            </w:pPr>
            <w:r>
              <w:t>35 of 2009</w:t>
            </w:r>
          </w:p>
        </w:tc>
        <w:tc>
          <w:tcPr>
            <w:tcW w:w="1134" w:type="dxa"/>
          </w:tcPr>
          <w:p>
            <w:pPr>
              <w:pStyle w:val="nTable"/>
              <w:spacing w:after="40"/>
            </w:pPr>
            <w:r>
              <w:t>3 Dec 2009</w:t>
            </w:r>
          </w:p>
        </w:tc>
        <w:tc>
          <w:tcPr>
            <w:tcW w:w="2551" w:type="dxa"/>
          </w:tcPr>
          <w:p>
            <w:pPr>
              <w:pStyle w:val="nTable"/>
              <w:spacing w:after="40"/>
            </w:pPr>
            <w:r>
              <w:t xml:space="preserve">27 Mar 2010 (see s. 2(b) and </w:t>
            </w:r>
            <w:r>
              <w:rPr>
                <w:i/>
                <w:iCs/>
              </w:rPr>
              <w:t>Gazette</w:t>
            </w:r>
            <w:r>
              <w:t xml:space="preserve"> 26 Mar 2010 p. 1133)</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pPr>
            <w:r>
              <w:rPr>
                <w:b/>
                <w:bCs/>
              </w:rPr>
              <w:t xml:space="preserve">Reprint 3: The </w:t>
            </w:r>
            <w:r>
              <w:rPr>
                <w:b/>
                <w:bCs/>
                <w:i/>
                <w:iCs/>
              </w:rPr>
              <w:t>Energy Arbitration and Review Act 1998</w:t>
            </w:r>
            <w:r>
              <w:rPr>
                <w:b/>
                <w:bCs/>
                <w:iCs/>
              </w:rPr>
              <w:t xml:space="preserve"> as at 19 Mar 2010 (i</w:t>
            </w:r>
            <w:r>
              <w:rPr>
                <w:iCs/>
              </w:rPr>
              <w:t xml:space="preserve">ncludes amendments listed above except those in the </w:t>
            </w:r>
            <w:r>
              <w:rPr>
                <w:i/>
              </w:rPr>
              <w:t>Gas Supply (Gas Quality Specifications) Act 2009</w:t>
            </w:r>
            <w:r>
              <w:rPr>
                <w:iCs/>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Public Sector Reform Act 2010</w:t>
            </w:r>
            <w:r>
              <w:rPr>
                <w:iCs/>
                <w:snapToGrid w:val="0"/>
              </w:rPr>
              <w:t xml:space="preserve"> s. 77</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snapToGrid w:val="0"/>
              </w:rPr>
            </w:pPr>
            <w:r>
              <w:rPr>
                <w:i/>
                <w:snapToGrid w:val="0"/>
              </w:rPr>
              <w:t>Gas Services Information Act 2012</w:t>
            </w:r>
            <w:r>
              <w:rPr>
                <w:snapToGrid w:val="0"/>
              </w:rPr>
              <w:t xml:space="preserve"> Pt. 3</w:t>
            </w:r>
          </w:p>
        </w:tc>
        <w:tc>
          <w:tcPr>
            <w:tcW w:w="1134" w:type="dxa"/>
            <w:tcBorders>
              <w:top w:val="nil"/>
              <w:bottom w:val="nil"/>
            </w:tcBorders>
          </w:tcPr>
          <w:p>
            <w:pPr>
              <w:pStyle w:val="nTable"/>
              <w:spacing w:after="40"/>
              <w:rPr>
                <w:snapToGrid w:val="0"/>
              </w:rPr>
            </w:pPr>
            <w:r>
              <w:rPr>
                <w:snapToGrid w:val="0"/>
              </w:rPr>
              <w:t>5 of 2012</w:t>
            </w:r>
          </w:p>
        </w:tc>
        <w:tc>
          <w:tcPr>
            <w:tcW w:w="1134" w:type="dxa"/>
            <w:tcBorders>
              <w:top w:val="nil"/>
              <w:bottom w:val="nil"/>
            </w:tcBorders>
          </w:tcPr>
          <w:p>
            <w:pPr>
              <w:pStyle w:val="nTable"/>
              <w:spacing w:after="40"/>
            </w:pPr>
            <w:r>
              <w:t>10 Apr 2012</w:t>
            </w:r>
          </w:p>
        </w:tc>
        <w:tc>
          <w:tcPr>
            <w:tcW w:w="2551" w:type="dxa"/>
            <w:tcBorders>
              <w:top w:val="nil"/>
              <w:bottom w:val="nil"/>
            </w:tcBorders>
          </w:tcPr>
          <w:p>
            <w:pPr>
              <w:pStyle w:val="nTable"/>
              <w:spacing w:after="40"/>
              <w:rPr>
                <w:snapToGrid w:val="0"/>
              </w:rPr>
            </w:pPr>
            <w:r>
              <w:t xml:space="preserve">30 Jun 2012 (see s. 2(b) and </w:t>
            </w:r>
            <w:r>
              <w:rPr>
                <w:i/>
              </w:rPr>
              <w:t>Gazette</w:t>
            </w:r>
            <w:r>
              <w:t xml:space="preserve"> 29 Jun 2012 p. 2929)</w:t>
            </w:r>
          </w:p>
        </w:tc>
      </w:tr>
      <w:tr>
        <w:trPr>
          <w:cantSplit/>
        </w:trPr>
        <w:tc>
          <w:tcPr>
            <w:tcW w:w="2268" w:type="dxa"/>
            <w:tcBorders>
              <w:top w:val="nil"/>
              <w:bottom w:val="nil"/>
            </w:tcBorders>
          </w:tcPr>
          <w:p>
            <w:pPr>
              <w:pStyle w:val="nTable"/>
              <w:spacing w:after="40"/>
              <w:ind w:right="113"/>
              <w:rPr>
                <w:i/>
                <w:snapToGrid w:val="0"/>
              </w:rPr>
            </w:pPr>
            <w:r>
              <w:rPr>
                <w:i/>
                <w:snapToGrid w:val="0"/>
              </w:rPr>
              <w:t>Commercial Arbitration Act 2012</w:t>
            </w:r>
            <w:r>
              <w:rPr>
                <w:snapToGrid w:val="0"/>
              </w:rPr>
              <w:t xml:space="preserve"> s. 45 it. 7</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pPr>
            <w:r>
              <w:rPr>
                <w:snapToGrid w:val="0"/>
              </w:rPr>
              <w:t>29 Aug 2012</w:t>
            </w:r>
          </w:p>
        </w:tc>
        <w:tc>
          <w:tcPr>
            <w:tcW w:w="2551" w:type="dxa"/>
            <w:tcBorders>
              <w:top w:val="nil"/>
              <w:bottom w:val="nil"/>
            </w:tcBorders>
          </w:tcPr>
          <w:p>
            <w:pPr>
              <w:pStyle w:val="nTable"/>
              <w:spacing w:after="40"/>
              <w:rPr>
                <w:i/>
              </w:rPr>
            </w:pPr>
            <w:r>
              <w:t xml:space="preserve">7 Aug 2013 (see s. 1B(b) and </w:t>
            </w:r>
            <w:r>
              <w:rPr>
                <w:i/>
              </w:rPr>
              <w:t xml:space="preserve">Gazette </w:t>
            </w:r>
            <w:r>
              <w:t>6 Aug 2013 p. 3677)</w:t>
            </w:r>
          </w:p>
        </w:tc>
      </w:tr>
      <w:tr>
        <w:trPr>
          <w:cantSplit/>
        </w:trPr>
        <w:tc>
          <w:tcPr>
            <w:tcW w:w="2268" w:type="dxa"/>
            <w:tcBorders>
              <w:top w:val="nil"/>
              <w:bottom w:val="nil"/>
            </w:tcBorders>
          </w:tcPr>
          <w:p>
            <w:pPr>
              <w:pStyle w:val="nTable"/>
              <w:spacing w:after="40"/>
              <w:ind w:right="113"/>
              <w:rPr>
                <w:snapToGrid w:val="0"/>
              </w:rPr>
            </w:pPr>
            <w:r>
              <w:rPr>
                <w:i/>
                <w:snapToGrid w:val="0"/>
              </w:rPr>
              <w:t>Electricity Corporations Amendment Act 2013</w:t>
            </w:r>
            <w:r>
              <w:rPr>
                <w:snapToGrid w:val="0"/>
              </w:rPr>
              <w:t xml:space="preserve"> s. 40</w:t>
            </w:r>
          </w:p>
        </w:tc>
        <w:tc>
          <w:tcPr>
            <w:tcW w:w="1134" w:type="dxa"/>
            <w:tcBorders>
              <w:top w:val="nil"/>
              <w:bottom w:val="nil"/>
            </w:tcBorders>
          </w:tcPr>
          <w:p>
            <w:pPr>
              <w:pStyle w:val="nTable"/>
              <w:spacing w:after="40"/>
              <w:rPr>
                <w:snapToGrid w:val="0"/>
              </w:rPr>
            </w:pPr>
            <w:r>
              <w:rPr>
                <w:snapToGrid w:val="0"/>
              </w:rPr>
              <w:t>25 of 2013</w:t>
            </w:r>
          </w:p>
        </w:tc>
        <w:tc>
          <w:tcPr>
            <w:tcW w:w="1134" w:type="dxa"/>
            <w:tcBorders>
              <w:top w:val="nil"/>
              <w:bottom w:val="nil"/>
            </w:tcBorders>
          </w:tcPr>
          <w:p>
            <w:pPr>
              <w:pStyle w:val="nTable"/>
              <w:spacing w:after="40"/>
              <w:rPr>
                <w:snapToGrid w:val="0"/>
              </w:rPr>
            </w:pPr>
            <w:r>
              <w:rPr>
                <w:snapToGrid w:val="0"/>
              </w:rPr>
              <w:t>18 Dec 2013</w:t>
            </w:r>
          </w:p>
        </w:tc>
        <w:tc>
          <w:tcPr>
            <w:tcW w:w="2551" w:type="dxa"/>
            <w:tcBorders>
              <w:top w:val="nil"/>
              <w:bottom w:val="nil"/>
            </w:tcBorders>
          </w:tcPr>
          <w:p>
            <w:pPr>
              <w:pStyle w:val="nTable"/>
              <w:spacing w:after="40"/>
            </w:pPr>
            <w:r>
              <w:rPr>
                <w:snapToGrid w:val="0"/>
                <w:color w:val="000000"/>
              </w:rPr>
              <w:t xml:space="preserve">1 Jan 2014 (see s. 2(c) and </w:t>
            </w:r>
            <w:r>
              <w:rPr>
                <w:i/>
                <w:snapToGrid w:val="0"/>
                <w:color w:val="000000"/>
              </w:rPr>
              <w:t>Gazette</w:t>
            </w:r>
            <w:r>
              <w:rPr>
                <w:snapToGrid w:val="0"/>
                <w:color w:val="000000"/>
              </w:rPr>
              <w:t xml:space="preserve"> 27 Dec 2013 p. 6465)</w:t>
            </w:r>
          </w:p>
        </w:tc>
      </w:tr>
    </w:tbl>
    <w:p>
      <w:pPr>
        <w:pStyle w:val="nSubsection"/>
        <w:rPr>
          <w:del w:id="314" w:author="svcMRProcess" w:date="2019-02-07T13:05:00Z"/>
          <w:snapToGrid w:val="0"/>
          <w:vertAlign w:val="superscript"/>
        </w:rPr>
      </w:pPr>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087"/>
      </w:tblGrid>
      <w:tr>
        <w:trPr>
          <w:cantSplit/>
          <w:ins w:id="315" w:author="svcMRProcess" w:date="2019-02-07T13:05:00Z"/>
        </w:trPr>
        <w:tc>
          <w:tcPr>
            <w:tcW w:w="7087" w:type="dxa"/>
            <w:tcBorders>
              <w:top w:val="nil"/>
              <w:bottom w:val="single" w:sz="8" w:space="0" w:color="auto"/>
            </w:tcBorders>
            <w:shd w:val="clear" w:color="auto" w:fill="auto"/>
          </w:tcPr>
          <w:p>
            <w:pPr>
              <w:pStyle w:val="nTable"/>
              <w:spacing w:after="40"/>
              <w:rPr>
                <w:ins w:id="316" w:author="svcMRProcess" w:date="2019-02-07T13:05:00Z"/>
                <w:snapToGrid w:val="0"/>
                <w:color w:val="000000"/>
              </w:rPr>
            </w:pPr>
            <w:ins w:id="317" w:author="svcMRProcess" w:date="2019-02-07T13:05:00Z">
              <w:r>
                <w:rPr>
                  <w:b/>
                  <w:snapToGrid w:val="0"/>
                  <w:color w:val="000000"/>
                </w:rPr>
                <w:t xml:space="preserve">Reprint 4: The </w:t>
              </w:r>
              <w:r>
                <w:rPr>
                  <w:b/>
                  <w:i/>
                  <w:noProof/>
                  <w:snapToGrid w:val="0"/>
                  <w:color w:val="000000"/>
                </w:rPr>
                <w:t>Energy Arbitration and Review Act 1998</w:t>
              </w:r>
              <w:r>
                <w:rPr>
                  <w:b/>
                  <w:snapToGrid w:val="0"/>
                  <w:color w:val="000000"/>
                </w:rPr>
                <w:t xml:space="preserve"> as at 19 Aug 2016</w:t>
              </w:r>
              <w:r>
                <w:rPr>
                  <w:snapToGrid w:val="0"/>
                  <w:color w:val="000000"/>
                </w:rPr>
                <w:t xml:space="preserve"> (includes amendments listed above)</w:t>
              </w:r>
            </w:ins>
          </w:p>
        </w:tc>
      </w:tr>
    </w:tbl>
    <w:p>
      <w:pPr>
        <w:pStyle w:val="nSubsection"/>
        <w:spacing w:before="160"/>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bCs/>
          <w:snapToGrid w:val="0"/>
        </w:rPr>
      </w:pPr>
      <w:r>
        <w:rPr>
          <w:snapToGrid w:val="0"/>
          <w:vertAlign w:val="superscript"/>
        </w:rPr>
        <w:t>3</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deleted before the amendment purported to come into operation</w:t>
      </w:r>
      <w:r>
        <w:rPr>
          <w:bCs/>
          <w:snapToGrid w:val="0"/>
        </w:rPr>
        <w:t>.</w:t>
      </w:r>
    </w:p>
    <w:p>
      <w:pPr>
        <w:pStyle w:val="nSubsection"/>
        <w:rPr>
          <w:snapToGrid w:val="0"/>
        </w:rPr>
      </w:pPr>
      <w:r>
        <w:rPr>
          <w:snapToGrid w:val="0"/>
          <w:vertAlign w:val="superscript"/>
        </w:rPr>
        <w:t>4</w:t>
      </w:r>
      <w:r>
        <w:rPr>
          <w:snapToGrid w:val="0"/>
        </w:rPr>
        <w:tab/>
        <w:t xml:space="preserve">Now known as the </w:t>
      </w:r>
      <w:r>
        <w:rPr>
          <w:i/>
          <w:iCs/>
          <w:snapToGrid w:val="0"/>
        </w:rPr>
        <w:t xml:space="preserve">Energy Arbitration and Review Act 1998; </w:t>
      </w:r>
      <w:r>
        <w:rPr>
          <w:snapToGrid w:val="0"/>
        </w:rPr>
        <w:t>short title changed (see note under s. 1).</w:t>
      </w:r>
    </w:p>
    <w:p>
      <w:pPr>
        <w:pStyle w:val="nSubsection"/>
        <w:rPr>
          <w:del w:id="318" w:author="svcMRProcess" w:date="2019-02-07T13:05:00Z"/>
          <w:bCs/>
          <w:snapToGrid w:val="0"/>
        </w:rPr>
      </w:pPr>
      <w:del w:id="319" w:author="svcMRProcess" w:date="2019-02-07T13:05:00Z">
        <w:r>
          <w:rPr>
            <w:snapToGrid w:val="0"/>
            <w:vertAlign w:val="superscript"/>
          </w:rPr>
          <w:delText>5</w:delText>
        </w:r>
        <w:r>
          <w:rPr>
            <w:snapToGrid w:val="0"/>
          </w:rPr>
          <w:tab/>
          <w:delText xml:space="preserve">The amendment in the </w:delText>
        </w:r>
        <w:r>
          <w:rPr>
            <w:i/>
          </w:rPr>
          <w:delText xml:space="preserve">Gas Corporation (Business Disposal) Act 1999 </w:delText>
        </w:r>
        <w:r>
          <w:delText>s. </w:delText>
        </w:r>
        <w:r>
          <w:rPr>
            <w:snapToGrid w:val="0"/>
          </w:rPr>
          <w:delText xml:space="preserve">111 is not included because it was deleted by the </w:delText>
        </w:r>
        <w:r>
          <w:rPr>
            <w:i/>
          </w:rPr>
          <w:delText>Statutes (Repeals and Minor Amendments) Act 2003</w:delText>
        </w:r>
        <w:r>
          <w:delText xml:space="preserve"> s. 58(3) </w:delText>
        </w:r>
        <w:r>
          <w:rPr>
            <w:snapToGrid w:val="0"/>
          </w:rPr>
          <w:delText>before the amendment purported to come into operation</w:delText>
        </w:r>
        <w:r>
          <w:rPr>
            <w:bCs/>
            <w:snapToGrid w:val="0"/>
          </w:rPr>
          <w:delText>.</w:delText>
        </w:r>
      </w:del>
    </w:p>
    <w:p>
      <w:pPr>
        <w:pStyle w:val="nSubsection"/>
      </w:pPr>
      <w:del w:id="320" w:author="svcMRProcess" w:date="2019-02-07T13:05:00Z">
        <w:r>
          <w:rPr>
            <w:vertAlign w:val="superscript"/>
          </w:rPr>
          <w:delText>6</w:delText>
        </w:r>
      </w:del>
      <w:ins w:id="321" w:author="svcMRProcess" w:date="2019-02-07T13:05:00Z">
        <w:r>
          <w:rPr>
            <w:vertAlign w:val="superscript"/>
          </w:rPr>
          <w:t>5</w:t>
        </w:r>
      </w:ins>
      <w:r>
        <w:tab/>
        <w:t xml:space="preserve">The </w:t>
      </w:r>
      <w:r>
        <w:rPr>
          <w:i/>
        </w:rPr>
        <w:t xml:space="preserve">Economic Regulation Authority Act 2003 </w:t>
      </w:r>
      <w:r>
        <w:t>s. 63(1), which gives effect to Sch. 3, reads as follows:</w:t>
      </w:r>
    </w:p>
    <w:p>
      <w:pPr>
        <w:pStyle w:val="BlankOpen"/>
        <w:rPr>
          <w:sz w:val="20"/>
        </w:rPr>
      </w:pP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BlankClose"/>
        <w:rPr>
          <w:sz w:val="20"/>
        </w:rPr>
      </w:pPr>
    </w:p>
    <w:p>
      <w:pPr>
        <w:pStyle w:val="nSubsection"/>
        <w:keepNext/>
        <w:pageBreakBefore/>
        <w:spacing w:before="0"/>
      </w:pPr>
      <w:r>
        <w:tab/>
        <w:t>Schedule 3 reads as follows:</w:t>
      </w:r>
    </w:p>
    <w:p>
      <w:pPr>
        <w:pStyle w:val="BlankOpen"/>
        <w:rPr>
          <w:sz w:val="16"/>
          <w:szCs w:val="16"/>
        </w:rPr>
      </w:pPr>
    </w:p>
    <w:p>
      <w:pPr>
        <w:pStyle w:val="nzHeading3"/>
        <w:spacing w:before="40"/>
      </w:pPr>
      <w:r>
        <w:rPr>
          <w:rStyle w:val="CharSchNo"/>
        </w:rPr>
        <w:t>Schedule 3</w:t>
      </w:r>
      <w:r>
        <w:t> — </w:t>
      </w:r>
      <w:r>
        <w:rPr>
          <w:rStyle w:val="CharSchText"/>
        </w:rPr>
        <w:t>Transitional and saving provisions for amendments in Schedule 2 Divisions 8, 12 and 18</w:t>
      </w:r>
    </w:p>
    <w:p>
      <w:pPr>
        <w:pStyle w:val="yShoulderClause"/>
      </w:pPr>
      <w:r>
        <w:t>[s. 63(1)]</w:t>
      </w:r>
    </w:p>
    <w:p>
      <w:pPr>
        <w:pStyle w:val="nzHeading5"/>
        <w:spacing w:before="60"/>
      </w:pPr>
      <w:r>
        <w:t>1.</w:t>
      </w:r>
      <w:r>
        <w:tab/>
        <w:t>Definitions</w:t>
      </w:r>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r>
        <w:t>2.</w:t>
      </w:r>
      <w:r>
        <w:tab/>
      </w:r>
      <w:r>
        <w:rPr>
          <w:i/>
        </w:rPr>
        <w:t>Interpretation Act 1984</w:t>
      </w:r>
      <w:r>
        <w:t xml:space="preserve"> to apply</w:t>
      </w:r>
    </w:p>
    <w:p>
      <w:pPr>
        <w:pStyle w:val="nzSubsection"/>
      </w:pPr>
      <w:r>
        <w:tab/>
      </w:r>
      <w:r>
        <w:tab/>
        <w:t xml:space="preserve">This Schedule does not limit the operation of the </w:t>
      </w:r>
      <w:r>
        <w:rPr>
          <w:i/>
          <w:iCs/>
        </w:rPr>
        <w:t>Interpretation Act 1984</w:t>
      </w:r>
      <w:r>
        <w:t>.</w:t>
      </w:r>
    </w:p>
    <w:p>
      <w:pPr>
        <w:pStyle w:val="nzHeading5"/>
      </w:pPr>
      <w:r>
        <w:t>3.</w:t>
      </w:r>
      <w:r>
        <w:tab/>
        <w:t>Decisions of Gas Pipelines Access Regulator</w:t>
      </w:r>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r>
        <w:t>4.</w:t>
      </w:r>
      <w:r>
        <w:tab/>
        <w:t>Decisions of Rail Access Regulator</w:t>
      </w:r>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r>
        <w:t>5.</w:t>
      </w:r>
      <w:r>
        <w:tab/>
        <w:t xml:space="preserve">Licences under Part 3 of the </w:t>
      </w:r>
      <w:r>
        <w:rPr>
          <w:i/>
        </w:rPr>
        <w:t>Water Services Coordination Act 1995</w:t>
      </w:r>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keepLines w:val="0"/>
      </w:pPr>
      <w:r>
        <w:t>6.</w:t>
      </w:r>
      <w:r>
        <w:tab/>
        <w:t>Continuing effect of things done</w:t>
      </w:r>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r>
        <w:t>7.</w:t>
      </w:r>
      <w:r>
        <w:tab/>
        <w:t>Completion of things begun</w:t>
      </w:r>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r>
        <w:t>8.</w:t>
      </w:r>
      <w:r>
        <w:tab/>
        <w:t>Proceedings etc.</w:t>
      </w:r>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r>
        <w:t>9.</w:t>
      </w:r>
      <w:r>
        <w:tab/>
        <w:t>Records</w:t>
      </w:r>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r>
        <w:t>10.</w:t>
      </w:r>
      <w:r>
        <w:tab/>
        <w:t>Bank accounts</w:t>
      </w:r>
    </w:p>
    <w:p>
      <w:pPr>
        <w:pStyle w:val="nzSubsection"/>
      </w:pPr>
      <w:r>
        <w:tab/>
        <w:t>(1)</w:t>
      </w:r>
      <w:r>
        <w:tab/>
        <w:t>The moneys standing to the credit of the account referred to in section 45 of the Gas Pipelines Access (Western Australia) Act 1998 immediately before the commencement day are to be transferred to the account referred to in section 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r>
        <w:t>11.</w:t>
      </w:r>
      <w:r>
        <w:tab/>
        <w:t>References to former official in agreements and instruments</w:t>
      </w:r>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keepNext/>
        <w:keepLines/>
      </w:pPr>
      <w:r>
        <w:tab/>
        <w:t>(b)</w:t>
      </w:r>
      <w:r>
        <w:tab/>
        <w:t>which contains a reference to a former official,</w:t>
      </w:r>
    </w:p>
    <w:p>
      <w:pPr>
        <w:pStyle w:val="nzSubsection"/>
        <w:keepNext/>
        <w:keepLines/>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r>
        <w:t>12.</w:t>
      </w:r>
      <w:r>
        <w:tab/>
        <w:t>References to former official in written law</w:t>
      </w:r>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r>
        <w:t>13.</w:t>
      </w:r>
      <w:r>
        <w:tab/>
        <w:t>Immunity to continue</w:t>
      </w:r>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r>
        <w:t>14.</w:t>
      </w:r>
      <w:r>
        <w:tab/>
        <w:t>Saving</w:t>
      </w:r>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Subsection"/>
      </w:pPr>
    </w:p>
    <w:p>
      <w:pPr>
        <w:pStyle w:val="nSubsection"/>
        <w:rPr>
          <w:del w:id="322" w:author="svcMRProcess" w:date="2019-02-07T13:05:00Z"/>
        </w:rPr>
      </w:pPr>
      <w:del w:id="323" w:author="svcMRProcess" w:date="2019-02-07T13:05:00Z">
        <w:r>
          <w:rPr>
            <w:vertAlign w:val="superscript"/>
          </w:rPr>
          <w:delText>7</w:delText>
        </w:r>
        <w:r>
          <w:tab/>
          <w:delText xml:space="preserve">The </w:delText>
        </w:r>
        <w:r>
          <w:rPr>
            <w:i/>
          </w:rPr>
          <w:delText>Economic Regulation Authority Act 2003</w:delText>
        </w:r>
        <w:r>
          <w:delText xml:space="preserve"> Sch. 2 cl. 36, 39 and 41 are not included because the sections it sought to amend had been deleted by the </w:delText>
        </w:r>
        <w:r>
          <w:rPr>
            <w:i/>
          </w:rPr>
          <w:delText>National Gas Access (WA) Act 2009</w:delText>
        </w:r>
        <w:r>
          <w:delText xml:space="preserve"> s. 32 before the amendment purported to come into operation.</w:delText>
        </w:r>
      </w:del>
    </w:p>
    <w:p>
      <w:pPr>
        <w:rPr>
          <w:del w:id="324" w:author="svcMRProcess" w:date="2019-02-07T13:05:00Z"/>
        </w:rPr>
      </w:pPr>
    </w:p>
    <w:p>
      <w:pPr>
        <w:rPr>
          <w:del w:id="325" w:author="svcMRProcess" w:date="2019-02-07T13:05:00Z"/>
        </w:rPr>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26" w:name="Compilation"/>
    <w:bookmarkEnd w:id="326"/>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7" w:name="Coversheet"/>
    <w:bookmarkEnd w:id="3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Energy Arbitration and Review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lvlText w:val="%1."/>
      <w:lvlJc w:val="left"/>
      <w:pPr>
        <w:tabs>
          <w:tab w:val="num" w:pos="1492"/>
        </w:tabs>
        <w:ind w:left="1492" w:hanging="360"/>
      </w:pPr>
    </w:lvl>
  </w:abstractNum>
  <w:abstractNum w:abstractNumId="1">
    <w:nsid w:val="FFFFFF7D"/>
    <w:multiLevelType w:val="singleLevel"/>
    <w:tmpl w:val="99863A26"/>
    <w:lvl w:ilvl="0">
      <w:start w:val="1"/>
      <w:numFmt w:val="decimal"/>
      <w:lvlText w:val="%1."/>
      <w:lvlJc w:val="left"/>
      <w:pPr>
        <w:tabs>
          <w:tab w:val="num" w:pos="1209"/>
        </w:tabs>
        <w:ind w:left="1209" w:hanging="360"/>
      </w:pPr>
    </w:lvl>
  </w:abstractNum>
  <w:abstractNum w:abstractNumId="2">
    <w:nsid w:val="FFFFFF7E"/>
    <w:multiLevelType w:val="singleLevel"/>
    <w:tmpl w:val="656070B0"/>
    <w:lvl w:ilvl="0">
      <w:start w:val="1"/>
      <w:numFmt w:val="decimal"/>
      <w:lvlText w:val="%1."/>
      <w:lvlJc w:val="left"/>
      <w:pPr>
        <w:tabs>
          <w:tab w:val="num" w:pos="926"/>
        </w:tabs>
        <w:ind w:left="926" w:hanging="360"/>
      </w:pPr>
    </w:lvl>
  </w:abstractNum>
  <w:abstractNum w:abstractNumId="3">
    <w:nsid w:val="FFFFFF7F"/>
    <w:multiLevelType w:val="singleLevel"/>
    <w:tmpl w:val="9BD266D4"/>
    <w:lvl w:ilvl="0">
      <w:start w:val="1"/>
      <w:numFmt w:val="decimal"/>
      <w:lvlText w:val="%1."/>
      <w:lvlJc w:val="left"/>
      <w:pPr>
        <w:tabs>
          <w:tab w:val="num" w:pos="643"/>
        </w:tabs>
        <w:ind w:left="643" w:hanging="360"/>
      </w:pPr>
    </w:lvl>
  </w:abstractNum>
  <w:abstractNum w:abstractNumId="4">
    <w:nsid w:val="FFFFFF80"/>
    <w:multiLevelType w:val="singleLevel"/>
    <w:tmpl w:val="55BC8E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lvlText w:val="%1."/>
      <w:lvlJc w:val="left"/>
      <w:pPr>
        <w:tabs>
          <w:tab w:val="num" w:pos="360"/>
        </w:tabs>
        <w:ind w:left="360" w:hanging="360"/>
      </w:pPr>
    </w:lvl>
  </w:abstractNum>
  <w:abstractNum w:abstractNumId="9">
    <w:nsid w:val="FFFFFF89"/>
    <w:multiLevelType w:val="singleLevel"/>
    <w:tmpl w:val="A682363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00BC946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803164518"/>
    <w:docVar w:name="WAFER_20131231111039" w:val="RemoveTocBookmarks,RemoveUnusedBookmarks,RemoveLanguageTags,UsedStyles,ResetPageSize,UpdateArrangement"/>
    <w:docVar w:name="WAFER_20131231111039_GUID" w:val="ef8eaf61-5c1b-46b3-863c-fb47276e7b54"/>
    <w:docVar w:name="WAFER_20131231133834" w:val="RemoveTocBookmarks,RunningHeaders"/>
    <w:docVar w:name="WAFER_20131231133834_GUID" w:val="979a2221-9084-4291-b0c3-9bdc15991591"/>
    <w:docVar w:name="WAFER_20150414165732" w:val="ResetPageSize,UpdateArrangement,UpdateNTable"/>
    <w:docVar w:name="WAFER_20150414165732_GUID" w:val="b42e1a71-6737-47de-aa97-41057b1afcce"/>
    <w:docVar w:name="WAFER_20151105120232" w:val="UpdateStyles,UsedStyles"/>
    <w:docVar w:name="WAFER_20151105120232_GUID" w:val="b99e5ef9-b63d-4f7c-bc47-b651a3747fe7"/>
    <w:docVar w:name="WAFER_20160803164502" w:val="RemoveTocBookmarks,RemoveUnusedBookmarks,RemoveLanguageTags,UsedStyles,RemoveTrackChanges"/>
    <w:docVar w:name="WAFER_20160803164502_GUID" w:val="e08f5d53-c09b-4c93-ae41-855c6024dd71"/>
    <w:docVar w:name="WAFER_20160803164518" w:val="RemoveTocBookmarks,RemoveLanguageTags,RemoveTrackChanges,RunningHeaders"/>
    <w:docVar w:name="WAFER_20160803164518_GUID" w:val="9051679c-855c-46c3-ab26-9d8aeed70d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7060</Words>
  <Characters>33042</Characters>
  <Application>Microsoft Office Word</Application>
  <DocSecurity>0</DocSecurity>
  <Lines>971</Lines>
  <Paragraphs>581</Paragraphs>
  <ScaleCrop>false</ScaleCrop>
  <HeadingPairs>
    <vt:vector size="2" baseType="variant">
      <vt:variant>
        <vt:lpstr>Title</vt:lpstr>
      </vt:variant>
      <vt:variant>
        <vt:i4>1</vt:i4>
      </vt:variant>
    </vt:vector>
  </HeadingPairs>
  <TitlesOfParts>
    <vt:vector size="1" baseType="lpstr">
      <vt:lpstr>Gas Pipelines Access (Western Australia) Act 1998</vt:lpstr>
    </vt:vector>
  </TitlesOfParts>
  <Manager/>
  <Company/>
  <LinksUpToDate>false</LinksUpToDate>
  <CharactersWithSpaces>39521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Arbitration and Review Act 1998 03-j0-04 - 04-a0-02</dc:title>
  <dc:subject/>
  <dc:creator/>
  <cp:keywords/>
  <dc:description/>
  <cp:lastModifiedBy>svcMRProcess</cp:lastModifiedBy>
  <cp:revision>2</cp:revision>
  <cp:lastPrinted>2016-08-23T03:13:00Z</cp:lastPrinted>
  <dcterms:created xsi:type="dcterms:W3CDTF">2019-02-07T05:05:00Z</dcterms:created>
  <dcterms:modified xsi:type="dcterms:W3CDTF">2019-02-07T05:05:00Z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DocumentType">
    <vt:lpwstr>Act</vt:lpwstr>
  </property>
  <property fmtid="{D5CDD505-2E9C-101B-9397-08002B2CF9AE}" pid="4" name="OwlsUID">
    <vt:i4>1923</vt:i4>
  </property>
  <property fmtid="{D5CDD505-2E9C-101B-9397-08002B2CF9AE}" pid="5" name="ReprintedAsAt">
    <vt:filetime>2016-08-18T16:00:00Z</vt:filetime>
  </property>
  <property fmtid="{D5CDD505-2E9C-101B-9397-08002B2CF9AE}" pid="6" name="ReprintNo">
    <vt:lpwstr>4</vt:lpwstr>
  </property>
  <property fmtid="{D5CDD505-2E9C-101B-9397-08002B2CF9AE}" pid="7" name="CommencementDate">
    <vt:lpwstr>20160819</vt:lpwstr>
  </property>
  <property fmtid="{D5CDD505-2E9C-101B-9397-08002B2CF9AE}" pid="8" name="FromSuffix">
    <vt:lpwstr>03-j0-04</vt:lpwstr>
  </property>
  <property fmtid="{D5CDD505-2E9C-101B-9397-08002B2CF9AE}" pid="9" name="FromAsAtDate">
    <vt:lpwstr>01 Jan 2014</vt:lpwstr>
  </property>
  <property fmtid="{D5CDD505-2E9C-101B-9397-08002B2CF9AE}" pid="10" name="ToSuffix">
    <vt:lpwstr>04-a0-02</vt:lpwstr>
  </property>
  <property fmtid="{D5CDD505-2E9C-101B-9397-08002B2CF9AE}" pid="11" name="ToAsAtDate">
    <vt:lpwstr>19 Aug 2016</vt:lpwstr>
  </property>
</Properties>
</file>