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16 Sep 2016</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17T17:05:00Z"/>
        </w:trPr>
        <w:tc>
          <w:tcPr>
            <w:tcW w:w="2434" w:type="dxa"/>
            <w:vMerge w:val="restart"/>
          </w:tcPr>
          <w:p>
            <w:pPr>
              <w:rPr>
                <w:ins w:id="2" w:author="svcMRProcess" w:date="2018-09-17T17:05:00Z"/>
              </w:rPr>
            </w:pPr>
          </w:p>
        </w:tc>
        <w:tc>
          <w:tcPr>
            <w:tcW w:w="2434" w:type="dxa"/>
            <w:vMerge w:val="restart"/>
          </w:tcPr>
          <w:p>
            <w:pPr>
              <w:jc w:val="center"/>
              <w:rPr>
                <w:ins w:id="3" w:author="svcMRProcess" w:date="2018-09-17T17:05:00Z"/>
              </w:rPr>
            </w:pPr>
            <w:ins w:id="4" w:author="svcMRProcess" w:date="2018-09-17T17:0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17T17:05:00Z"/>
              </w:rPr>
            </w:pPr>
            <w:ins w:id="6" w:author="svcMRProcess" w:date="2018-09-17T17:05:00Z">
              <w:r>
                <w:rPr>
                  <w:b/>
                  <w:sz w:val="22"/>
                </w:rPr>
                <w:t xml:space="preserve">Reprinted under the </w:t>
              </w:r>
              <w:r>
                <w:rPr>
                  <w:b/>
                  <w:i/>
                  <w:sz w:val="22"/>
                </w:rPr>
                <w:t>Reprints Act 1984</w:t>
              </w:r>
              <w:r>
                <w:rPr>
                  <w:b/>
                  <w:sz w:val="22"/>
                </w:rPr>
                <w:t xml:space="preserve"> as</w:t>
              </w:r>
            </w:ins>
          </w:p>
        </w:tc>
      </w:tr>
      <w:tr>
        <w:trPr>
          <w:cantSplit/>
          <w:ins w:id="7" w:author="svcMRProcess" w:date="2018-09-17T17:05:00Z"/>
        </w:trPr>
        <w:tc>
          <w:tcPr>
            <w:tcW w:w="2434" w:type="dxa"/>
            <w:vMerge/>
          </w:tcPr>
          <w:p>
            <w:pPr>
              <w:rPr>
                <w:ins w:id="8" w:author="svcMRProcess" w:date="2018-09-17T17:05:00Z"/>
              </w:rPr>
            </w:pPr>
          </w:p>
        </w:tc>
        <w:tc>
          <w:tcPr>
            <w:tcW w:w="2434" w:type="dxa"/>
            <w:vMerge/>
          </w:tcPr>
          <w:p>
            <w:pPr>
              <w:jc w:val="center"/>
              <w:rPr>
                <w:ins w:id="9" w:author="svcMRProcess" w:date="2018-09-17T17:05:00Z"/>
              </w:rPr>
            </w:pPr>
          </w:p>
        </w:tc>
        <w:tc>
          <w:tcPr>
            <w:tcW w:w="2434" w:type="dxa"/>
          </w:tcPr>
          <w:p>
            <w:pPr>
              <w:keepNext/>
              <w:rPr>
                <w:ins w:id="10" w:author="svcMRProcess" w:date="2018-09-17T17:05:00Z"/>
                <w:b/>
                <w:sz w:val="22"/>
              </w:rPr>
            </w:pPr>
            <w:ins w:id="11" w:author="svcMRProcess" w:date="2018-09-17T17:05:00Z">
              <w:r>
                <w:rPr>
                  <w:b/>
                  <w:sz w:val="22"/>
                </w:rPr>
                <w:t>at 16 September 2016</w:t>
              </w:r>
            </w:ins>
          </w:p>
        </w:tc>
      </w:tr>
    </w:tbl>
    <w:p>
      <w:pPr>
        <w:pStyle w:val="WA"/>
        <w:spacing w:before="12"/>
      </w:pPr>
      <w:r>
        <w:t>Western Australia</w:t>
      </w:r>
    </w:p>
    <w:p>
      <w:pPr>
        <w:pStyle w:val="NameofActReg"/>
        <w:suppressLineNumbers/>
        <w:spacing w:before="300"/>
        <w:ind w:right="284" w:firstLine="284"/>
      </w:pPr>
      <w:r>
        <w:t>Waste Avoidance and Resource Recovery Act 2007</w:t>
      </w:r>
    </w:p>
    <w:p>
      <w:pPr>
        <w:pStyle w:val="LongTitle"/>
        <w:suppressLineNumbers/>
        <w:outlineLvl w:val="0"/>
        <w:rPr>
          <w:snapToGrid w:val="0"/>
        </w:rPr>
      </w:pPr>
      <w:bookmarkStart w:id="12" w:name="BillCited"/>
      <w:bookmarkEnd w:id="12"/>
      <w:r>
        <w:rPr>
          <w:snapToGrid w:val="0"/>
        </w:rPr>
        <w:t>A</w:t>
      </w:r>
      <w:bookmarkStart w:id="13" w:name="_GoBack"/>
      <w:bookmarkEnd w:id="13"/>
      <w:r>
        <w:rPr>
          <w:snapToGrid w:val="0"/>
        </w:rPr>
        <w:t xml:space="preserve">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ins w:id="14" w:author="svcMRProcess" w:date="2018-09-17T17:05:00Z">
        <w:r>
          <w:rPr>
            <w:iCs/>
            <w:snapToGrid w:val="0"/>
          </w:rPr>
          <w:t> </w:t>
        </w:r>
        <w:r>
          <w:rPr>
            <w:iCs/>
            <w:snapToGrid w:val="0"/>
            <w:vertAlign w:val="superscript"/>
          </w:rPr>
          <w:t>2</w:t>
        </w:r>
      </w:ins>
      <w:r>
        <w:rPr>
          <w:snapToGrid w:val="0"/>
        </w:rPr>
        <w:t>; and</w:t>
      </w:r>
    </w:p>
    <w:p>
      <w:pPr>
        <w:pStyle w:val="LongTitle"/>
        <w:numPr>
          <w:ilvl w:val="0"/>
          <w:numId w:val="13"/>
        </w:numPr>
        <w:suppressLineNumbers/>
        <w:rPr>
          <w:snapToGrid w:val="0"/>
        </w:rPr>
      </w:pPr>
      <w:r>
        <w:rPr>
          <w:snapToGrid w:val="0"/>
        </w:rPr>
        <w:t>provide for related and consequential matters.</w:t>
      </w:r>
    </w:p>
    <w:p>
      <w:pPr>
        <w:pStyle w:val="Enactment"/>
        <w:rPr>
          <w:del w:id="15" w:author="svcMRProcess" w:date="2018-09-17T17:05:00Z"/>
        </w:rPr>
      </w:pPr>
      <w:bookmarkStart w:id="16" w:name="_Toc460409150"/>
      <w:bookmarkStart w:id="17" w:name="_Toc462127119"/>
      <w:bookmarkStart w:id="18" w:name="_Toc463346918"/>
      <w:bookmarkStart w:id="19" w:name="_Toc472089107"/>
      <w:del w:id="20" w:author="svcMRProcess" w:date="2018-09-17T17:05:00Z">
        <w:r>
          <w:delText>The Parliament of Western Australia enacts as follows:</w:delText>
        </w:r>
      </w:del>
    </w:p>
    <w:p>
      <w:pPr>
        <w:pStyle w:val="Heading2"/>
      </w:pPr>
      <w:bookmarkStart w:id="21" w:name="_Toc379274584"/>
      <w:bookmarkStart w:id="22" w:name="_Toc392162844"/>
      <w:bookmarkStart w:id="23" w:name="_Toc424567380"/>
      <w:bookmarkStart w:id="24" w:name="_Toc434934951"/>
      <w:bookmarkStart w:id="25" w:name="_Toc457400867"/>
      <w:r>
        <w:rPr>
          <w:rStyle w:val="CharPartNo"/>
        </w:rPr>
        <w:lastRenderedPageBreak/>
        <w:t>Part 1</w:t>
      </w:r>
      <w:r>
        <w:rPr>
          <w:rStyle w:val="CharDivNo"/>
        </w:rPr>
        <w:t> </w:t>
      </w:r>
      <w:r>
        <w:t>—</w:t>
      </w:r>
      <w:r>
        <w:rPr>
          <w:rStyle w:val="CharDivText"/>
        </w:rPr>
        <w:t> </w:t>
      </w:r>
      <w:r>
        <w:rPr>
          <w:rStyle w:val="CharPartText"/>
        </w:rPr>
        <w:t>Preliminary</w:t>
      </w:r>
      <w:bookmarkEnd w:id="16"/>
      <w:bookmarkEnd w:id="17"/>
      <w:bookmarkEnd w:id="18"/>
      <w:bookmarkEnd w:id="19"/>
      <w:bookmarkEnd w:id="21"/>
      <w:bookmarkEnd w:id="22"/>
      <w:bookmarkEnd w:id="23"/>
      <w:bookmarkEnd w:id="24"/>
      <w:bookmarkEnd w:id="25"/>
    </w:p>
    <w:p>
      <w:pPr>
        <w:pStyle w:val="Heading5"/>
      </w:pPr>
      <w:bookmarkStart w:id="26" w:name="_Toc472089108"/>
      <w:bookmarkStart w:id="27" w:name="_Toc392162845"/>
      <w:bookmarkStart w:id="28" w:name="_Toc457400868"/>
      <w:r>
        <w:rPr>
          <w:rStyle w:val="CharSectno"/>
        </w:rPr>
        <w:t>1</w:t>
      </w:r>
      <w:r>
        <w:t>.</w:t>
      </w:r>
      <w:r>
        <w:tab/>
      </w:r>
      <w:r>
        <w:rPr>
          <w:snapToGrid w:val="0"/>
        </w:rPr>
        <w:t>Short title</w:t>
      </w:r>
      <w:bookmarkEnd w:id="26"/>
      <w:bookmarkEnd w:id="27"/>
      <w:bookmarkEnd w:id="28"/>
    </w:p>
    <w:p>
      <w:pPr>
        <w:pStyle w:val="Subsection"/>
      </w:pPr>
      <w:r>
        <w:tab/>
      </w:r>
      <w:r>
        <w:tab/>
        <w:t>This</w:t>
      </w:r>
      <w:r>
        <w:rPr>
          <w:snapToGrid w:val="0"/>
        </w:rPr>
        <w:t xml:space="preserve"> is the</w:t>
      </w:r>
      <w:r>
        <w:rPr>
          <w:i/>
          <w:snapToGrid w:val="0"/>
        </w:rPr>
        <w:t xml:space="preserve"> Waste Avoidance and Resource Recovery Act 2007 </w:t>
      </w:r>
      <w:r>
        <w:rPr>
          <w:iCs/>
          <w:snapToGrid w:val="0"/>
          <w:vertAlign w:val="superscript"/>
        </w:rPr>
        <w:t>1</w:t>
      </w:r>
      <w:r>
        <w:rPr>
          <w:snapToGrid w:val="0"/>
        </w:rPr>
        <w:t>.</w:t>
      </w:r>
    </w:p>
    <w:p>
      <w:pPr>
        <w:pStyle w:val="Heading5"/>
        <w:rPr>
          <w:snapToGrid w:val="0"/>
        </w:rPr>
      </w:pPr>
      <w:bookmarkStart w:id="29" w:name="_Toc472089109"/>
      <w:bookmarkStart w:id="30" w:name="_Toc392162846"/>
      <w:bookmarkStart w:id="31" w:name="_Toc457400869"/>
      <w:r>
        <w:rPr>
          <w:rStyle w:val="CharSectno"/>
        </w:rPr>
        <w:t>2</w:t>
      </w:r>
      <w:r>
        <w:rPr>
          <w:snapToGrid w:val="0"/>
        </w:rPr>
        <w:t>.</w:t>
      </w:r>
      <w:r>
        <w:rPr>
          <w:snapToGrid w:val="0"/>
        </w:rPr>
        <w:tab/>
      </w:r>
      <w:r>
        <w:t>Commencement</w:t>
      </w:r>
      <w:bookmarkEnd w:id="29"/>
      <w:bookmarkEnd w:id="30"/>
      <w:bookmarkEnd w:id="31"/>
    </w:p>
    <w:p>
      <w:pPr>
        <w:pStyle w:val="Subsection"/>
      </w:pPr>
      <w:r>
        <w:tab/>
      </w:r>
      <w:r>
        <w:tab/>
        <w:t>This Act comes into operation as follows:</w:t>
      </w:r>
    </w:p>
    <w:p>
      <w:pPr>
        <w:pStyle w:val="Indenta"/>
      </w:pPr>
      <w:r>
        <w:tab/>
        <w:t>(a)</w:t>
      </w:r>
      <w:r>
        <w:tab/>
        <w:t>sections 1 and 2 — on the day on which this Act receives the Royal Assent </w:t>
      </w:r>
      <w:r>
        <w:rPr>
          <w:vertAlign w:val="superscript"/>
        </w:rPr>
        <w:t>1</w:t>
      </w:r>
      <w:r>
        <w:t>;</w:t>
      </w:r>
    </w:p>
    <w:p>
      <w:pPr>
        <w:pStyle w:val="Indenta"/>
      </w:pPr>
      <w:r>
        <w:tab/>
        <w:t>(b)</w:t>
      </w:r>
      <w:r>
        <w:tab/>
        <w:t>the rest of the Act — on a day fixed by proclamation, and different days may be fixed for different provisions </w:t>
      </w:r>
      <w:r>
        <w:rPr>
          <w:vertAlign w:val="superscript"/>
        </w:rPr>
        <w:t>1</w:t>
      </w:r>
      <w:r>
        <w:t>.</w:t>
      </w:r>
    </w:p>
    <w:p>
      <w:pPr>
        <w:pStyle w:val="Heading5"/>
      </w:pPr>
      <w:bookmarkStart w:id="32" w:name="_Toc472089110"/>
      <w:bookmarkStart w:id="33" w:name="_Toc392162847"/>
      <w:bookmarkStart w:id="34" w:name="_Toc457400870"/>
      <w:r>
        <w:rPr>
          <w:rStyle w:val="CharSectno"/>
        </w:rPr>
        <w:t>3</w:t>
      </w:r>
      <w:r>
        <w:t>.</w:t>
      </w:r>
      <w:r>
        <w:tab/>
      </w:r>
      <w:del w:id="35" w:author="svcMRProcess" w:date="2018-09-17T17:05:00Z">
        <w:r>
          <w:delText>Meaning of terms</w:delText>
        </w:r>
      </w:del>
      <w:ins w:id="36" w:author="svcMRProcess" w:date="2018-09-17T17:05:00Z">
        <w:r>
          <w:t>Terms</w:t>
        </w:r>
      </w:ins>
      <w:r>
        <w:t xml:space="preserve"> used</w:t>
      </w:r>
      <w:bookmarkEnd w:id="32"/>
      <w:del w:id="37" w:author="svcMRProcess" w:date="2018-09-17T17:05:00Z">
        <w:r>
          <w:delText xml:space="preserve"> in this Act</w:delText>
        </w:r>
      </w:del>
      <w:bookmarkEnd w:id="33"/>
      <w:bookmarkEnd w:id="34"/>
    </w:p>
    <w:p>
      <w:pPr>
        <w:pStyle w:val="Subsection"/>
        <w:outlineLvl w:val="0"/>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Executive Director, Public Health</w:t>
      </w:r>
      <w:r>
        <w:t xml:space="preserve"> has the meaning given in the </w:t>
      </w:r>
      <w:r>
        <w:rPr>
          <w:i/>
        </w:rPr>
        <w:t xml:space="preserve">Health Act 1911 </w:t>
      </w:r>
      <w:r>
        <w:rPr>
          <w:iCs/>
        </w:rPr>
        <w:t>section 3(1)</w:t>
      </w:r>
      <w:r>
        <w:t>;</w:t>
      </w:r>
    </w:p>
    <w:p>
      <w:pPr>
        <w:pStyle w:val="Defstart"/>
      </w:pPr>
      <w:r>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outlineLvl w:val="0"/>
      </w:pPr>
      <w:r>
        <w:tab/>
        <w:t>(2)</w:t>
      </w:r>
      <w:r>
        <w:tab/>
        <w:t>If a term has a meaning in the EP Act, it has the same meaning in this Act unless the contrary intention appears in this Act.</w:t>
      </w:r>
    </w:p>
    <w:p>
      <w:pPr>
        <w:pStyle w:val="Heading5"/>
      </w:pPr>
      <w:bookmarkStart w:id="38" w:name="_Toc472089111"/>
      <w:bookmarkStart w:id="39" w:name="_Toc392162848"/>
      <w:bookmarkStart w:id="40" w:name="_Toc457400871"/>
      <w:r>
        <w:rPr>
          <w:rStyle w:val="CharSectno"/>
        </w:rPr>
        <w:t>4</w:t>
      </w:r>
      <w:r>
        <w:t>.</w:t>
      </w:r>
      <w:r>
        <w:tab/>
        <w:t>State bound</w:t>
      </w:r>
      <w:bookmarkEnd w:id="38"/>
      <w:bookmarkEnd w:id="39"/>
      <w:bookmarkEnd w:id="40"/>
    </w:p>
    <w:p>
      <w:pPr>
        <w:pStyle w:val="Subsection"/>
      </w:pPr>
      <w:r>
        <w:tab/>
      </w:r>
      <w:r>
        <w:tab/>
        <w:t>This Act binds the State and, so far as the legislative power of Parliament permits, the Crown in all its other capacities.</w:t>
      </w:r>
    </w:p>
    <w:p>
      <w:pPr>
        <w:pStyle w:val="Heading5"/>
      </w:pPr>
      <w:bookmarkStart w:id="41" w:name="_Toc472089112"/>
      <w:bookmarkStart w:id="42" w:name="_Toc392162849"/>
      <w:bookmarkStart w:id="43" w:name="_Toc457400872"/>
      <w:r>
        <w:rPr>
          <w:rStyle w:val="CharSectno"/>
        </w:rPr>
        <w:t>5</w:t>
      </w:r>
      <w:r>
        <w:t>.</w:t>
      </w:r>
      <w:r>
        <w:tab/>
        <w:t>Objects of this Act</w:t>
      </w:r>
      <w:bookmarkEnd w:id="41"/>
      <w:bookmarkEnd w:id="42"/>
      <w:bookmarkEnd w:id="43"/>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44" w:name="_Toc472089113"/>
      <w:bookmarkStart w:id="45" w:name="_Toc392162850"/>
      <w:bookmarkStart w:id="46" w:name="_Toc457400873"/>
      <w:r>
        <w:rPr>
          <w:rStyle w:val="CharSectno"/>
        </w:rPr>
        <w:t>6</w:t>
      </w:r>
      <w:r>
        <w:t>.</w:t>
      </w:r>
      <w:r>
        <w:tab/>
        <w:t>Effect on other laws</w:t>
      </w:r>
      <w:bookmarkEnd w:id="44"/>
      <w:bookmarkEnd w:id="45"/>
      <w:bookmarkEnd w:id="46"/>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47" w:name="_Toc472089114"/>
      <w:bookmarkStart w:id="48" w:name="_Toc392162851"/>
      <w:bookmarkStart w:id="49" w:name="_Toc457400874"/>
      <w:r>
        <w:rPr>
          <w:rStyle w:val="CharSectno"/>
        </w:rPr>
        <w:t>7</w:t>
      </w:r>
      <w:r>
        <w:t>.</w:t>
      </w:r>
      <w:r>
        <w:tab/>
        <w:t>EDPH to be consulted on public health issues</w:t>
      </w:r>
      <w:bookmarkEnd w:id="47"/>
      <w:bookmarkEnd w:id="48"/>
      <w:bookmarkEnd w:id="49"/>
    </w:p>
    <w:p>
      <w:pPr>
        <w:pStyle w:val="Subsection"/>
      </w:pPr>
      <w:r>
        <w:tab/>
        <w:t>(1)</w:t>
      </w:r>
      <w:r>
        <w:tab/>
        <w:t xml:space="preserve">Nothing in this Act limits the functions of the Executive Director, Public Health under the </w:t>
      </w:r>
      <w:r>
        <w:rPr>
          <w:i/>
          <w:iCs/>
        </w:rPr>
        <w:t>Health Act 1911</w:t>
      </w:r>
      <w:r>
        <w:t>.</w:t>
      </w:r>
    </w:p>
    <w:p>
      <w:pPr>
        <w:pStyle w:val="Subsection"/>
      </w:pPr>
      <w:r>
        <w:tab/>
        <w:t>(2)</w:t>
      </w:r>
      <w:r>
        <w:tab/>
        <w:t>The regulations may set out circumstances in which the CEO or the Waste Authority must consult the Executive Director, Public Health with respect to a decision that the CEO or Waste Authority proposes to make under this Act.</w:t>
      </w:r>
    </w:p>
    <w:p>
      <w:pPr>
        <w:pStyle w:val="Heading2"/>
      </w:pPr>
      <w:bookmarkStart w:id="50" w:name="_Toc460409158"/>
      <w:bookmarkStart w:id="51" w:name="_Toc462127127"/>
      <w:bookmarkStart w:id="52" w:name="_Toc463346926"/>
      <w:bookmarkStart w:id="53" w:name="_Toc472089115"/>
      <w:bookmarkStart w:id="54" w:name="_Toc379274592"/>
      <w:bookmarkStart w:id="55" w:name="_Toc392162852"/>
      <w:bookmarkStart w:id="56" w:name="_Toc424567388"/>
      <w:bookmarkStart w:id="57" w:name="_Toc434934959"/>
      <w:bookmarkStart w:id="58" w:name="_Toc457400875"/>
      <w:r>
        <w:rPr>
          <w:rStyle w:val="CharPartNo"/>
        </w:rPr>
        <w:t>Part 2</w:t>
      </w:r>
      <w:r>
        <w:t xml:space="preserve"> — </w:t>
      </w:r>
      <w:r>
        <w:rPr>
          <w:rStyle w:val="CharPartText"/>
        </w:rPr>
        <w:t>Waste Authority</w:t>
      </w:r>
      <w:bookmarkEnd w:id="50"/>
      <w:bookmarkEnd w:id="51"/>
      <w:bookmarkEnd w:id="52"/>
      <w:bookmarkEnd w:id="53"/>
      <w:bookmarkEnd w:id="54"/>
      <w:bookmarkEnd w:id="55"/>
      <w:bookmarkEnd w:id="56"/>
      <w:bookmarkEnd w:id="57"/>
      <w:bookmarkEnd w:id="58"/>
    </w:p>
    <w:p>
      <w:pPr>
        <w:pStyle w:val="Heading5"/>
      </w:pPr>
      <w:bookmarkStart w:id="59" w:name="_Toc472089116"/>
      <w:bookmarkStart w:id="60" w:name="_Toc392162853"/>
      <w:bookmarkStart w:id="61" w:name="_Toc457400876"/>
      <w:r>
        <w:rPr>
          <w:rStyle w:val="CharSectno"/>
        </w:rPr>
        <w:t>8</w:t>
      </w:r>
      <w:r>
        <w:t>.</w:t>
      </w:r>
      <w:r>
        <w:tab/>
        <w:t>Waste Authority established</w:t>
      </w:r>
      <w:bookmarkEnd w:id="59"/>
      <w:bookmarkEnd w:id="60"/>
      <w:bookmarkEnd w:id="61"/>
    </w:p>
    <w:p>
      <w:pPr>
        <w:pStyle w:val="Subsection"/>
        <w:outlineLvl w:val="0"/>
      </w:pPr>
      <w:r>
        <w:tab/>
      </w:r>
      <w:r>
        <w:tab/>
        <w:t>A body called the Waste Authority is established.</w:t>
      </w:r>
    </w:p>
    <w:p>
      <w:pPr>
        <w:pStyle w:val="Heading5"/>
      </w:pPr>
      <w:bookmarkStart w:id="62" w:name="_Toc472089117"/>
      <w:bookmarkStart w:id="63" w:name="_Toc392162854"/>
      <w:bookmarkStart w:id="64" w:name="_Toc457400877"/>
      <w:r>
        <w:rPr>
          <w:rStyle w:val="CharSectno"/>
        </w:rPr>
        <w:t>9</w:t>
      </w:r>
      <w:r>
        <w:t>.</w:t>
      </w:r>
      <w:r>
        <w:tab/>
        <w:t>Status</w:t>
      </w:r>
      <w:bookmarkEnd w:id="62"/>
      <w:bookmarkEnd w:id="63"/>
      <w:bookmarkEnd w:id="64"/>
    </w:p>
    <w:p>
      <w:pPr>
        <w:pStyle w:val="Subsection"/>
      </w:pPr>
      <w:r>
        <w:tab/>
      </w:r>
      <w:r>
        <w:tab/>
        <w:t>The Waste Authority is an agent of the State and has the status, immunities and privileges of the State.</w:t>
      </w:r>
    </w:p>
    <w:p>
      <w:pPr>
        <w:pStyle w:val="Heading5"/>
      </w:pPr>
      <w:bookmarkStart w:id="65" w:name="_Toc472089118"/>
      <w:bookmarkStart w:id="66" w:name="_Toc392162855"/>
      <w:bookmarkStart w:id="67" w:name="_Toc457400878"/>
      <w:r>
        <w:rPr>
          <w:rStyle w:val="CharSectno"/>
        </w:rPr>
        <w:t>10</w:t>
      </w:r>
      <w:r>
        <w:t>.</w:t>
      </w:r>
      <w:r>
        <w:tab/>
        <w:t>Authority may use other names</w:t>
      </w:r>
      <w:bookmarkEnd w:id="65"/>
      <w:bookmarkEnd w:id="66"/>
      <w:bookmarkEnd w:id="67"/>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68" w:name="_Toc472089119"/>
      <w:bookmarkStart w:id="69" w:name="_Toc392162856"/>
      <w:bookmarkStart w:id="70" w:name="_Toc457400879"/>
      <w:r>
        <w:rPr>
          <w:rStyle w:val="CharSectno"/>
        </w:rPr>
        <w:t>11</w:t>
      </w:r>
      <w:r>
        <w:t>.</w:t>
      </w:r>
      <w:r>
        <w:tab/>
        <w:t>Membership</w:t>
      </w:r>
      <w:bookmarkEnd w:id="68"/>
      <w:bookmarkEnd w:id="69"/>
      <w:bookmarkEnd w:id="70"/>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71" w:name="_Toc472089120"/>
      <w:bookmarkStart w:id="72" w:name="_Toc392162857"/>
      <w:bookmarkStart w:id="73" w:name="_Toc457400880"/>
      <w:r>
        <w:rPr>
          <w:rStyle w:val="CharSectno"/>
        </w:rPr>
        <w:t>12</w:t>
      </w:r>
      <w:r>
        <w:t>.</w:t>
      </w:r>
      <w:r>
        <w:tab/>
        <w:t>Chairman and deputy chairman</w:t>
      </w:r>
      <w:bookmarkEnd w:id="71"/>
      <w:bookmarkEnd w:id="72"/>
      <w:bookmarkEnd w:id="73"/>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74" w:name="_Toc472089121"/>
      <w:bookmarkStart w:id="75" w:name="_Toc392162858"/>
      <w:bookmarkStart w:id="76" w:name="_Toc457400881"/>
      <w:r>
        <w:rPr>
          <w:rStyle w:val="CharSectno"/>
        </w:rPr>
        <w:t>13</w:t>
      </w:r>
      <w:r>
        <w:t>.</w:t>
      </w:r>
      <w:r>
        <w:tab/>
        <w:t>CEO may attend meeting</w:t>
      </w:r>
      <w:bookmarkEnd w:id="74"/>
      <w:bookmarkEnd w:id="75"/>
      <w:bookmarkEnd w:id="76"/>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77" w:name="_Toc472089122"/>
      <w:bookmarkStart w:id="78" w:name="_Toc392162859"/>
      <w:bookmarkStart w:id="79" w:name="_Toc457400882"/>
      <w:r>
        <w:rPr>
          <w:rStyle w:val="CharSectno"/>
        </w:rPr>
        <w:t>14</w:t>
      </w:r>
      <w:r>
        <w:t>.</w:t>
      </w:r>
      <w:r>
        <w:tab/>
        <w:t>Constitution and proceedings</w:t>
      </w:r>
      <w:bookmarkEnd w:id="77"/>
      <w:bookmarkEnd w:id="78"/>
      <w:bookmarkEnd w:id="79"/>
      <w:r>
        <w:t xml:space="preserve"> </w:t>
      </w:r>
    </w:p>
    <w:p>
      <w:pPr>
        <w:pStyle w:val="Subsection"/>
      </w:pPr>
      <w:r>
        <w:tab/>
      </w:r>
      <w:r>
        <w:tab/>
        <w:t>Schedule 1 sets out provisions as to the constitution and proceedings of the Waste Authority.</w:t>
      </w:r>
    </w:p>
    <w:p>
      <w:pPr>
        <w:pStyle w:val="Heading5"/>
      </w:pPr>
      <w:bookmarkStart w:id="80" w:name="_Toc472089123"/>
      <w:bookmarkStart w:id="81" w:name="_Toc392162860"/>
      <w:bookmarkStart w:id="82" w:name="_Toc457400883"/>
      <w:r>
        <w:rPr>
          <w:rStyle w:val="CharSectno"/>
        </w:rPr>
        <w:t>15</w:t>
      </w:r>
      <w:r>
        <w:t>.</w:t>
      </w:r>
      <w:r>
        <w:tab/>
        <w:t>Remuneration and conditions of members</w:t>
      </w:r>
      <w:bookmarkEnd w:id="80"/>
      <w:bookmarkEnd w:id="81"/>
      <w:bookmarkEnd w:id="82"/>
    </w:p>
    <w:p>
      <w:pPr>
        <w:pStyle w:val="Subsection"/>
      </w:pPr>
      <w:r>
        <w:tab/>
      </w:r>
      <w:r>
        <w:tab/>
        <w:t>The remuneration and allowances and other conditions of office of a member are to be determined by the Governor on the recommendation of the Public Sector Commissioner.</w:t>
      </w:r>
    </w:p>
    <w:p>
      <w:pPr>
        <w:pStyle w:val="Footnotesection"/>
        <w:rPr>
          <w:i w:val="0"/>
          <w:iCs/>
        </w:rPr>
      </w:pPr>
      <w:r>
        <w:tab/>
        <w:t>[Section 15 amended by No. 39 of 2010 s. 89.]</w:t>
      </w:r>
    </w:p>
    <w:p>
      <w:pPr>
        <w:pStyle w:val="Heading5"/>
      </w:pPr>
      <w:bookmarkStart w:id="83" w:name="_Toc472089124"/>
      <w:bookmarkStart w:id="84" w:name="_Toc392162861"/>
      <w:bookmarkStart w:id="85" w:name="_Toc457400884"/>
      <w:r>
        <w:rPr>
          <w:rStyle w:val="CharSectno"/>
        </w:rPr>
        <w:t>16</w:t>
      </w:r>
      <w:r>
        <w:t>.</w:t>
      </w:r>
      <w:r>
        <w:tab/>
        <w:t>Provision of services and facilities</w:t>
      </w:r>
      <w:bookmarkEnd w:id="83"/>
      <w:bookmarkEnd w:id="84"/>
      <w:bookmarkEnd w:id="85"/>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86" w:name="_Toc472089125"/>
      <w:bookmarkStart w:id="87" w:name="_Toc392162862"/>
      <w:bookmarkStart w:id="88" w:name="_Toc457400885"/>
      <w:r>
        <w:rPr>
          <w:rStyle w:val="CharSectno"/>
        </w:rPr>
        <w:t>17</w:t>
      </w:r>
      <w:r>
        <w:t>.</w:t>
      </w:r>
      <w:r>
        <w:tab/>
        <w:t>Use of staff and facilities of other departments, agencies and instrumentalities</w:t>
      </w:r>
      <w:bookmarkEnd w:id="86"/>
      <w:bookmarkEnd w:id="87"/>
      <w:bookmarkEnd w:id="88"/>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keepNext w:val="0"/>
        <w:keepLines w:val="0"/>
        <w:pageBreakBefore/>
        <w:spacing w:before="0"/>
      </w:pPr>
      <w:bookmarkStart w:id="89" w:name="_Toc472089126"/>
      <w:bookmarkStart w:id="90" w:name="_Toc392162863"/>
      <w:bookmarkStart w:id="91" w:name="_Toc457400886"/>
      <w:r>
        <w:rPr>
          <w:rStyle w:val="CharSectno"/>
        </w:rPr>
        <w:t>18</w:t>
      </w:r>
      <w:r>
        <w:t>.</w:t>
      </w:r>
      <w:r>
        <w:tab/>
        <w:t>Committees</w:t>
      </w:r>
      <w:bookmarkEnd w:id="89"/>
      <w:bookmarkEnd w:id="90"/>
      <w:bookmarkEnd w:id="91"/>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92" w:name="_Toc460409170"/>
      <w:bookmarkStart w:id="93" w:name="_Toc462127139"/>
      <w:bookmarkStart w:id="94" w:name="_Toc463346938"/>
      <w:bookmarkStart w:id="95" w:name="_Toc472089127"/>
      <w:bookmarkStart w:id="96" w:name="_Toc379274604"/>
      <w:bookmarkStart w:id="97" w:name="_Toc392162864"/>
      <w:bookmarkStart w:id="98" w:name="_Toc424567400"/>
      <w:bookmarkStart w:id="99" w:name="_Toc434934971"/>
      <w:bookmarkStart w:id="100" w:name="_Toc457400887"/>
      <w:r>
        <w:rPr>
          <w:rStyle w:val="CharPartNo"/>
        </w:rPr>
        <w:t>Part 3</w:t>
      </w:r>
      <w:r>
        <w:t> — </w:t>
      </w:r>
      <w:r>
        <w:rPr>
          <w:rStyle w:val="CharPartText"/>
        </w:rPr>
        <w:t>Functions of Waste Authority</w:t>
      </w:r>
      <w:bookmarkEnd w:id="92"/>
      <w:bookmarkEnd w:id="93"/>
      <w:bookmarkEnd w:id="94"/>
      <w:bookmarkEnd w:id="95"/>
      <w:bookmarkEnd w:id="96"/>
      <w:bookmarkEnd w:id="97"/>
      <w:bookmarkEnd w:id="98"/>
      <w:bookmarkEnd w:id="99"/>
      <w:bookmarkEnd w:id="100"/>
    </w:p>
    <w:p>
      <w:pPr>
        <w:pStyle w:val="Heading3"/>
      </w:pPr>
      <w:bookmarkStart w:id="101" w:name="_Toc460409171"/>
      <w:bookmarkStart w:id="102" w:name="_Toc462127140"/>
      <w:bookmarkStart w:id="103" w:name="_Toc463346939"/>
      <w:bookmarkStart w:id="104" w:name="_Toc472089128"/>
      <w:bookmarkStart w:id="105" w:name="_Toc379274605"/>
      <w:bookmarkStart w:id="106" w:name="_Toc392162865"/>
      <w:bookmarkStart w:id="107" w:name="_Toc424567401"/>
      <w:bookmarkStart w:id="108" w:name="_Toc434934972"/>
      <w:bookmarkStart w:id="109" w:name="_Toc457400888"/>
      <w:r>
        <w:rPr>
          <w:rStyle w:val="CharDivNo"/>
        </w:rPr>
        <w:t>Division 1</w:t>
      </w:r>
      <w:r>
        <w:t> — </w:t>
      </w:r>
      <w:r>
        <w:rPr>
          <w:rStyle w:val="CharDivText"/>
        </w:rPr>
        <w:t>General</w:t>
      </w:r>
      <w:bookmarkEnd w:id="101"/>
      <w:bookmarkEnd w:id="102"/>
      <w:bookmarkEnd w:id="103"/>
      <w:bookmarkEnd w:id="104"/>
      <w:bookmarkEnd w:id="105"/>
      <w:bookmarkEnd w:id="106"/>
      <w:bookmarkEnd w:id="107"/>
      <w:bookmarkEnd w:id="108"/>
      <w:bookmarkEnd w:id="109"/>
    </w:p>
    <w:p>
      <w:pPr>
        <w:pStyle w:val="Heading5"/>
      </w:pPr>
      <w:bookmarkStart w:id="110" w:name="_Toc472089129"/>
      <w:bookmarkStart w:id="111" w:name="_Toc392162866"/>
      <w:bookmarkStart w:id="112" w:name="_Toc457400889"/>
      <w:r>
        <w:rPr>
          <w:rStyle w:val="CharSectno"/>
        </w:rPr>
        <w:t>19</w:t>
      </w:r>
      <w:r>
        <w:t>.</w:t>
      </w:r>
      <w:r>
        <w:tab/>
        <w:t>Functions of Waste Authority</w:t>
      </w:r>
      <w:bookmarkEnd w:id="110"/>
      <w:bookmarkEnd w:id="111"/>
      <w:bookmarkEnd w:id="112"/>
    </w:p>
    <w:p>
      <w:pPr>
        <w:pStyle w:val="Subsection"/>
        <w:spacing w:before="120"/>
      </w:pPr>
      <w:r>
        <w:tab/>
        <w:t>(1)</w:t>
      </w:r>
      <w:r>
        <w:tab/>
        <w:t>Subject to this Act, the functions of the Waste Authority are those set out in Schedule 2.</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Heading5"/>
      </w:pPr>
      <w:bookmarkStart w:id="113" w:name="_Toc472089130"/>
      <w:bookmarkStart w:id="114" w:name="_Toc392162867"/>
      <w:bookmarkStart w:id="115" w:name="_Toc457400890"/>
      <w:r>
        <w:rPr>
          <w:rStyle w:val="CharSectno"/>
        </w:rPr>
        <w:t>20</w:t>
      </w:r>
      <w:r>
        <w:t>.</w:t>
      </w:r>
      <w:r>
        <w:tab/>
        <w:t>Powers generally</w:t>
      </w:r>
      <w:bookmarkEnd w:id="113"/>
      <w:bookmarkEnd w:id="114"/>
      <w:bookmarkEnd w:id="115"/>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116" w:name="_Toc460409174"/>
      <w:bookmarkStart w:id="117" w:name="_Toc462127143"/>
      <w:bookmarkStart w:id="118" w:name="_Toc463346942"/>
      <w:bookmarkStart w:id="119" w:name="_Toc472089131"/>
      <w:bookmarkStart w:id="120" w:name="_Toc379274608"/>
      <w:bookmarkStart w:id="121" w:name="_Toc392162868"/>
      <w:bookmarkStart w:id="122" w:name="_Toc424567404"/>
      <w:bookmarkStart w:id="123" w:name="_Toc434934975"/>
      <w:bookmarkStart w:id="124" w:name="_Toc457400891"/>
      <w:r>
        <w:rPr>
          <w:rStyle w:val="CharDivNo"/>
        </w:rPr>
        <w:t>Division 2</w:t>
      </w:r>
      <w:r>
        <w:t> — </w:t>
      </w:r>
      <w:r>
        <w:rPr>
          <w:rStyle w:val="CharDivText"/>
        </w:rPr>
        <w:t>Accountability</w:t>
      </w:r>
      <w:bookmarkEnd w:id="116"/>
      <w:bookmarkEnd w:id="117"/>
      <w:bookmarkEnd w:id="118"/>
      <w:bookmarkEnd w:id="119"/>
      <w:bookmarkEnd w:id="120"/>
      <w:bookmarkEnd w:id="121"/>
      <w:bookmarkEnd w:id="122"/>
      <w:bookmarkEnd w:id="123"/>
      <w:bookmarkEnd w:id="124"/>
    </w:p>
    <w:p>
      <w:pPr>
        <w:pStyle w:val="Heading5"/>
      </w:pPr>
      <w:bookmarkStart w:id="125" w:name="_Toc472089132"/>
      <w:bookmarkStart w:id="126" w:name="_Toc392162869"/>
      <w:bookmarkStart w:id="127" w:name="_Toc457400892"/>
      <w:r>
        <w:rPr>
          <w:rStyle w:val="CharSectno"/>
        </w:rPr>
        <w:t>21</w:t>
      </w:r>
      <w:r>
        <w:t>.</w:t>
      </w:r>
      <w:r>
        <w:tab/>
        <w:t>Minister may give directions</w:t>
      </w:r>
      <w:bookmarkEnd w:id="125"/>
      <w:bookmarkEnd w:id="126"/>
      <w:bookmarkEnd w:id="127"/>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128" w:name="_Toc472089133"/>
      <w:bookmarkStart w:id="129" w:name="_Toc392162870"/>
      <w:bookmarkStart w:id="130" w:name="_Toc457400893"/>
      <w:r>
        <w:rPr>
          <w:rStyle w:val="CharSectno"/>
        </w:rPr>
        <w:t>22</w:t>
      </w:r>
      <w:r>
        <w:t>.</w:t>
      </w:r>
      <w:r>
        <w:tab/>
        <w:t>Minister to have access to information</w:t>
      </w:r>
      <w:bookmarkEnd w:id="128"/>
      <w:bookmarkEnd w:id="129"/>
      <w:bookmarkEnd w:id="130"/>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131" w:name="_Toc472089134"/>
      <w:bookmarkStart w:id="132" w:name="_Toc392162871"/>
      <w:bookmarkStart w:id="133" w:name="_Toc457400894"/>
      <w:r>
        <w:rPr>
          <w:rStyle w:val="CharSectno"/>
        </w:rPr>
        <w:t>23</w:t>
      </w:r>
      <w:r>
        <w:t>.</w:t>
      </w:r>
      <w:r>
        <w:tab/>
        <w:t>Annual report of the Waste Authority</w:t>
      </w:r>
      <w:bookmarkEnd w:id="131"/>
      <w:bookmarkEnd w:id="132"/>
      <w:bookmarkEnd w:id="133"/>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134" w:name="_Toc460409178"/>
      <w:bookmarkStart w:id="135" w:name="_Toc462127147"/>
      <w:bookmarkStart w:id="136" w:name="_Toc463346946"/>
      <w:bookmarkStart w:id="137" w:name="_Toc472089135"/>
      <w:bookmarkStart w:id="138" w:name="_Toc379274612"/>
      <w:bookmarkStart w:id="139" w:name="_Toc392162872"/>
      <w:bookmarkStart w:id="140" w:name="_Toc424567408"/>
      <w:bookmarkStart w:id="141" w:name="_Toc434934979"/>
      <w:bookmarkStart w:id="142" w:name="_Toc457400895"/>
      <w:r>
        <w:rPr>
          <w:rStyle w:val="CharPartNo"/>
        </w:rPr>
        <w:t>Part 4</w:t>
      </w:r>
      <w:r>
        <w:t> — </w:t>
      </w:r>
      <w:r>
        <w:rPr>
          <w:rStyle w:val="CharPartText"/>
        </w:rPr>
        <w:t>Management documents</w:t>
      </w:r>
      <w:bookmarkEnd w:id="134"/>
      <w:bookmarkEnd w:id="135"/>
      <w:bookmarkEnd w:id="136"/>
      <w:bookmarkEnd w:id="137"/>
      <w:bookmarkEnd w:id="138"/>
      <w:bookmarkEnd w:id="139"/>
      <w:bookmarkEnd w:id="140"/>
      <w:bookmarkEnd w:id="141"/>
      <w:bookmarkEnd w:id="142"/>
    </w:p>
    <w:p>
      <w:pPr>
        <w:pStyle w:val="Heading3"/>
      </w:pPr>
      <w:bookmarkStart w:id="143" w:name="_Toc460409179"/>
      <w:bookmarkStart w:id="144" w:name="_Toc462127148"/>
      <w:bookmarkStart w:id="145" w:name="_Toc463346947"/>
      <w:bookmarkStart w:id="146" w:name="_Toc472089136"/>
      <w:bookmarkStart w:id="147" w:name="_Toc379274613"/>
      <w:bookmarkStart w:id="148" w:name="_Toc392162873"/>
      <w:bookmarkStart w:id="149" w:name="_Toc424567409"/>
      <w:bookmarkStart w:id="150" w:name="_Toc434934980"/>
      <w:bookmarkStart w:id="151" w:name="_Toc457400896"/>
      <w:r>
        <w:rPr>
          <w:rStyle w:val="CharDivNo"/>
        </w:rPr>
        <w:t>Division 1</w:t>
      </w:r>
      <w:r>
        <w:t> — </w:t>
      </w:r>
      <w:r>
        <w:rPr>
          <w:rStyle w:val="CharDivText"/>
        </w:rPr>
        <w:t>Waste strategy</w:t>
      </w:r>
      <w:bookmarkEnd w:id="143"/>
      <w:bookmarkEnd w:id="144"/>
      <w:bookmarkEnd w:id="145"/>
      <w:bookmarkEnd w:id="146"/>
      <w:bookmarkEnd w:id="147"/>
      <w:bookmarkEnd w:id="148"/>
      <w:bookmarkEnd w:id="149"/>
      <w:bookmarkEnd w:id="150"/>
      <w:bookmarkEnd w:id="151"/>
    </w:p>
    <w:p>
      <w:pPr>
        <w:pStyle w:val="Heading5"/>
      </w:pPr>
      <w:bookmarkStart w:id="152" w:name="_Toc472089137"/>
      <w:bookmarkStart w:id="153" w:name="_Toc392162874"/>
      <w:bookmarkStart w:id="154" w:name="_Toc457400897"/>
      <w:r>
        <w:rPr>
          <w:rStyle w:val="CharSectno"/>
        </w:rPr>
        <w:t>24</w:t>
      </w:r>
      <w:r>
        <w:t>.</w:t>
      </w:r>
      <w:r>
        <w:tab/>
        <w:t>Purpose of waste strategy</w:t>
      </w:r>
      <w:bookmarkEnd w:id="152"/>
      <w:bookmarkEnd w:id="153"/>
      <w:bookmarkEnd w:id="154"/>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155" w:name="_Toc472089138"/>
      <w:bookmarkStart w:id="156" w:name="_Toc392162875"/>
      <w:bookmarkStart w:id="157" w:name="_Toc457400898"/>
      <w:r>
        <w:rPr>
          <w:rStyle w:val="CharSectno"/>
        </w:rPr>
        <w:t>25</w:t>
      </w:r>
      <w:r>
        <w:t>.</w:t>
      </w:r>
      <w:r>
        <w:tab/>
        <w:t>Waste Authority to prepare draft waste strategy</w:t>
      </w:r>
      <w:bookmarkEnd w:id="155"/>
      <w:bookmarkEnd w:id="156"/>
      <w:bookmarkEnd w:id="157"/>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158" w:name="_Toc472089139"/>
      <w:bookmarkStart w:id="159" w:name="_Toc392162876"/>
      <w:bookmarkStart w:id="160" w:name="_Toc457400899"/>
      <w:r>
        <w:rPr>
          <w:rStyle w:val="CharSectno"/>
        </w:rPr>
        <w:t>26</w:t>
      </w:r>
      <w:r>
        <w:t>.</w:t>
      </w:r>
      <w:r>
        <w:tab/>
        <w:t>Consultation</w:t>
      </w:r>
      <w:bookmarkEnd w:id="158"/>
      <w:bookmarkEnd w:id="159"/>
      <w:bookmarkEnd w:id="160"/>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161" w:name="_Toc472089140"/>
      <w:bookmarkStart w:id="162" w:name="_Toc392162877"/>
      <w:bookmarkStart w:id="163" w:name="_Toc457400900"/>
      <w:r>
        <w:rPr>
          <w:rStyle w:val="CharSectno"/>
        </w:rPr>
        <w:t>27</w:t>
      </w:r>
      <w:r>
        <w:t>.</w:t>
      </w:r>
      <w:r>
        <w:tab/>
        <w:t>Public notification of draft waste strategy</w:t>
      </w:r>
      <w:bookmarkEnd w:id="161"/>
      <w:bookmarkEnd w:id="162"/>
      <w:bookmarkEnd w:id="163"/>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164" w:name="_Toc472089141"/>
      <w:bookmarkStart w:id="165" w:name="_Toc392162878"/>
      <w:bookmarkStart w:id="166" w:name="_Toc457400901"/>
      <w:r>
        <w:rPr>
          <w:rStyle w:val="CharSectno"/>
        </w:rPr>
        <w:t>28</w:t>
      </w:r>
      <w:r>
        <w:t>.</w:t>
      </w:r>
      <w:r>
        <w:tab/>
        <w:t>Public submissions</w:t>
      </w:r>
      <w:bookmarkEnd w:id="164"/>
      <w:bookmarkEnd w:id="165"/>
      <w:bookmarkEnd w:id="166"/>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by delivering or posting them so that they are received within that period at the offices of the Waste Authority.</w:t>
      </w:r>
    </w:p>
    <w:p>
      <w:pPr>
        <w:pStyle w:val="Heading5"/>
      </w:pPr>
      <w:bookmarkStart w:id="167" w:name="_Toc472089142"/>
      <w:bookmarkStart w:id="168" w:name="_Toc392162879"/>
      <w:bookmarkStart w:id="169" w:name="_Toc457400902"/>
      <w:r>
        <w:rPr>
          <w:rStyle w:val="CharSectno"/>
        </w:rPr>
        <w:t>29</w:t>
      </w:r>
      <w:r>
        <w:t>.</w:t>
      </w:r>
      <w:r>
        <w:tab/>
        <w:t>Modified draft to be referred to entities who made submissions</w:t>
      </w:r>
      <w:bookmarkEnd w:id="167"/>
      <w:bookmarkEnd w:id="168"/>
      <w:bookmarkEnd w:id="169"/>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170" w:name="_Toc472089143"/>
      <w:bookmarkStart w:id="171" w:name="_Toc392162880"/>
      <w:bookmarkStart w:id="172" w:name="_Toc457400903"/>
      <w:r>
        <w:rPr>
          <w:rStyle w:val="CharSectno"/>
        </w:rPr>
        <w:t>30</w:t>
      </w:r>
      <w:r>
        <w:t>.</w:t>
      </w:r>
      <w:r>
        <w:tab/>
        <w:t>Consideration by Minister</w:t>
      </w:r>
      <w:bookmarkEnd w:id="170"/>
      <w:bookmarkEnd w:id="171"/>
      <w:bookmarkEnd w:id="172"/>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173" w:name="_Toc472089144"/>
      <w:bookmarkStart w:id="174" w:name="_Toc392162881"/>
      <w:bookmarkStart w:id="175" w:name="_Toc457400904"/>
      <w:r>
        <w:rPr>
          <w:rStyle w:val="CharSectno"/>
        </w:rPr>
        <w:t>31</w:t>
      </w:r>
      <w:r>
        <w:t>.</w:t>
      </w:r>
      <w:r>
        <w:tab/>
        <w:t>Approval of Minister</w:t>
      </w:r>
      <w:bookmarkEnd w:id="173"/>
      <w:bookmarkEnd w:id="174"/>
      <w:bookmarkEnd w:id="175"/>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176" w:name="_Toc472089145"/>
      <w:bookmarkStart w:id="177" w:name="_Toc392162882"/>
      <w:bookmarkStart w:id="178" w:name="_Toc457400905"/>
      <w:r>
        <w:rPr>
          <w:rStyle w:val="CharSectno"/>
        </w:rPr>
        <w:t>32</w:t>
      </w:r>
      <w:r>
        <w:t>.</w:t>
      </w:r>
      <w:r>
        <w:tab/>
        <w:t>Minor amendments to waste strategy</w:t>
      </w:r>
      <w:bookmarkEnd w:id="176"/>
      <w:bookmarkEnd w:id="177"/>
      <w:bookmarkEnd w:id="178"/>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179" w:name="_Toc472089146"/>
      <w:bookmarkStart w:id="180" w:name="_Toc392162883"/>
      <w:bookmarkStart w:id="181" w:name="_Toc457400906"/>
      <w:r>
        <w:rPr>
          <w:rStyle w:val="CharSectno"/>
        </w:rPr>
        <w:t>33</w:t>
      </w:r>
      <w:r>
        <w:t>.</w:t>
      </w:r>
      <w:r>
        <w:tab/>
        <w:t>Review and revision of waste strategy</w:t>
      </w:r>
      <w:bookmarkEnd w:id="179"/>
      <w:bookmarkEnd w:id="180"/>
      <w:bookmarkEnd w:id="181"/>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182" w:name="_Toc472089147"/>
      <w:bookmarkStart w:id="183" w:name="_Toc392162884"/>
      <w:bookmarkStart w:id="184" w:name="_Toc457400907"/>
      <w:r>
        <w:rPr>
          <w:rStyle w:val="CharSectno"/>
        </w:rPr>
        <w:t>34</w:t>
      </w:r>
      <w:r>
        <w:t>.</w:t>
      </w:r>
      <w:r>
        <w:tab/>
        <w:t>Power to request report on waste strategy compliance</w:t>
      </w:r>
      <w:bookmarkEnd w:id="182"/>
      <w:bookmarkEnd w:id="183"/>
      <w:bookmarkEnd w:id="184"/>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185" w:name="_Toc460409191"/>
      <w:bookmarkStart w:id="186" w:name="_Toc462127160"/>
      <w:bookmarkStart w:id="187" w:name="_Toc463346959"/>
      <w:bookmarkStart w:id="188" w:name="_Toc472089148"/>
      <w:bookmarkStart w:id="189" w:name="_Toc379274625"/>
      <w:bookmarkStart w:id="190" w:name="_Toc392162885"/>
      <w:bookmarkStart w:id="191" w:name="_Toc424567421"/>
      <w:bookmarkStart w:id="192" w:name="_Toc434934992"/>
      <w:bookmarkStart w:id="193" w:name="_Toc457400908"/>
      <w:r>
        <w:rPr>
          <w:rStyle w:val="CharDivNo"/>
        </w:rPr>
        <w:t>Division 2</w:t>
      </w:r>
      <w:r>
        <w:t> — </w:t>
      </w:r>
      <w:r>
        <w:rPr>
          <w:rStyle w:val="CharDivText"/>
        </w:rPr>
        <w:t>Business plans</w:t>
      </w:r>
      <w:bookmarkEnd w:id="185"/>
      <w:bookmarkEnd w:id="186"/>
      <w:bookmarkEnd w:id="187"/>
      <w:bookmarkEnd w:id="188"/>
      <w:bookmarkEnd w:id="189"/>
      <w:bookmarkEnd w:id="190"/>
      <w:bookmarkEnd w:id="191"/>
      <w:bookmarkEnd w:id="192"/>
      <w:bookmarkEnd w:id="193"/>
    </w:p>
    <w:p>
      <w:pPr>
        <w:pStyle w:val="Heading5"/>
      </w:pPr>
      <w:bookmarkStart w:id="194" w:name="_Toc472089149"/>
      <w:bookmarkStart w:id="195" w:name="_Toc392162886"/>
      <w:bookmarkStart w:id="196" w:name="_Toc457400909"/>
      <w:r>
        <w:rPr>
          <w:rStyle w:val="CharSectno"/>
        </w:rPr>
        <w:t>35</w:t>
      </w:r>
      <w:r>
        <w:t>.</w:t>
      </w:r>
      <w:r>
        <w:tab/>
        <w:t>Draft business plan to be submitted to Minister</w:t>
      </w:r>
      <w:bookmarkEnd w:id="194"/>
      <w:bookmarkEnd w:id="195"/>
      <w:bookmarkEnd w:id="196"/>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197" w:name="_Toc472089150"/>
      <w:bookmarkStart w:id="198" w:name="_Toc392162887"/>
      <w:bookmarkStart w:id="199" w:name="_Toc457400910"/>
      <w:r>
        <w:rPr>
          <w:rStyle w:val="CharSectno"/>
        </w:rPr>
        <w:t>36</w:t>
      </w:r>
      <w:r>
        <w:t>.</w:t>
      </w:r>
      <w:r>
        <w:tab/>
        <w:t>Contents of business plan</w:t>
      </w:r>
      <w:bookmarkEnd w:id="197"/>
      <w:bookmarkEnd w:id="198"/>
      <w:bookmarkEnd w:id="199"/>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by No. 48 of 2009 s. 4.]</w:t>
      </w:r>
    </w:p>
    <w:p>
      <w:pPr>
        <w:pStyle w:val="Heading5"/>
      </w:pPr>
      <w:bookmarkStart w:id="200" w:name="_Toc472089151"/>
      <w:bookmarkStart w:id="201" w:name="_Toc392162888"/>
      <w:bookmarkStart w:id="202" w:name="_Toc457400911"/>
      <w:r>
        <w:rPr>
          <w:rStyle w:val="CharSectno"/>
        </w:rPr>
        <w:t>37</w:t>
      </w:r>
      <w:r>
        <w:t>.</w:t>
      </w:r>
      <w:r>
        <w:tab/>
        <w:t>Minister’s powers in relation to draft business plan</w:t>
      </w:r>
      <w:bookmarkEnd w:id="200"/>
      <w:bookmarkEnd w:id="201"/>
      <w:bookmarkEnd w:id="202"/>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203" w:name="_Toc472089152"/>
      <w:bookmarkStart w:id="204" w:name="_Toc392162889"/>
      <w:bookmarkStart w:id="205" w:name="_Toc457400912"/>
      <w:r>
        <w:rPr>
          <w:rStyle w:val="CharSectno"/>
        </w:rPr>
        <w:t>38</w:t>
      </w:r>
      <w:r>
        <w:t>.</w:t>
      </w:r>
      <w:r>
        <w:tab/>
        <w:t>Business plan pending approval</w:t>
      </w:r>
      <w:bookmarkEnd w:id="203"/>
      <w:bookmarkEnd w:id="204"/>
      <w:bookmarkEnd w:id="205"/>
    </w:p>
    <w:p>
      <w:pPr>
        <w:pStyle w:val="Subsection"/>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206" w:name="_Toc472089153"/>
      <w:bookmarkStart w:id="207" w:name="_Toc392162890"/>
      <w:bookmarkStart w:id="208" w:name="_Toc457400913"/>
      <w:r>
        <w:rPr>
          <w:rStyle w:val="CharSectno"/>
        </w:rPr>
        <w:t>39</w:t>
      </w:r>
      <w:r>
        <w:t>.</w:t>
      </w:r>
      <w:r>
        <w:tab/>
        <w:t>Approval and implementation of business plan</w:t>
      </w:r>
      <w:bookmarkEnd w:id="206"/>
      <w:bookmarkEnd w:id="207"/>
      <w:bookmarkEnd w:id="208"/>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209" w:name="_Toc460409197"/>
      <w:bookmarkStart w:id="210" w:name="_Toc462127166"/>
      <w:bookmarkStart w:id="211" w:name="_Toc463346965"/>
      <w:bookmarkStart w:id="212" w:name="_Toc472089154"/>
      <w:bookmarkStart w:id="213" w:name="_Toc379274631"/>
      <w:bookmarkStart w:id="214" w:name="_Toc392162891"/>
      <w:bookmarkStart w:id="215" w:name="_Toc424567427"/>
      <w:bookmarkStart w:id="216" w:name="_Toc434934998"/>
      <w:bookmarkStart w:id="217" w:name="_Toc457400914"/>
      <w:r>
        <w:rPr>
          <w:rStyle w:val="CharDivNo"/>
        </w:rPr>
        <w:t>Division 3</w:t>
      </w:r>
      <w:r>
        <w:t> — </w:t>
      </w:r>
      <w:r>
        <w:rPr>
          <w:rStyle w:val="CharDivText"/>
        </w:rPr>
        <w:t>Waste plans</w:t>
      </w:r>
      <w:bookmarkEnd w:id="209"/>
      <w:bookmarkEnd w:id="210"/>
      <w:bookmarkEnd w:id="211"/>
      <w:bookmarkEnd w:id="212"/>
      <w:bookmarkEnd w:id="213"/>
      <w:bookmarkEnd w:id="214"/>
      <w:bookmarkEnd w:id="215"/>
      <w:bookmarkEnd w:id="216"/>
      <w:bookmarkEnd w:id="217"/>
    </w:p>
    <w:p>
      <w:pPr>
        <w:pStyle w:val="Heading5"/>
      </w:pPr>
      <w:bookmarkStart w:id="218" w:name="_Toc472089155"/>
      <w:bookmarkStart w:id="219" w:name="_Toc392162892"/>
      <w:bookmarkStart w:id="220" w:name="_Toc457400915"/>
      <w:r>
        <w:rPr>
          <w:rStyle w:val="CharSectno"/>
        </w:rPr>
        <w:t>40</w:t>
      </w:r>
      <w:r>
        <w:t>.</w:t>
      </w:r>
      <w:r>
        <w:tab/>
        <w:t>Waste plans</w:t>
      </w:r>
      <w:bookmarkEnd w:id="218"/>
      <w:bookmarkEnd w:id="219"/>
      <w:bookmarkEnd w:id="220"/>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221" w:name="_Toc472089156"/>
      <w:bookmarkStart w:id="222" w:name="_Toc392162893"/>
      <w:bookmarkStart w:id="223" w:name="_Toc457400916"/>
      <w:r>
        <w:rPr>
          <w:rStyle w:val="CharSectno"/>
        </w:rPr>
        <w:t>41</w:t>
      </w:r>
      <w:r>
        <w:t>.</w:t>
      </w:r>
      <w:r>
        <w:tab/>
        <w:t>CEO’s powers in relation to waste plan</w:t>
      </w:r>
      <w:bookmarkEnd w:id="221"/>
      <w:bookmarkEnd w:id="222"/>
      <w:bookmarkEnd w:id="223"/>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224" w:name="_Toc472089157"/>
      <w:bookmarkStart w:id="225" w:name="_Toc392162894"/>
      <w:bookmarkStart w:id="226" w:name="_Toc457400917"/>
      <w:r>
        <w:rPr>
          <w:rStyle w:val="CharSectno"/>
        </w:rPr>
        <w:t>42</w:t>
      </w:r>
      <w:r>
        <w:t>.</w:t>
      </w:r>
      <w:r>
        <w:tab/>
        <w:t>CEO may prepare or modify waste plan</w:t>
      </w:r>
      <w:bookmarkEnd w:id="224"/>
      <w:bookmarkEnd w:id="225"/>
      <w:bookmarkEnd w:id="226"/>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227" w:name="_Toc472089158"/>
      <w:bookmarkStart w:id="228" w:name="_Toc392162895"/>
      <w:bookmarkStart w:id="229" w:name="_Toc457400918"/>
      <w:r>
        <w:rPr>
          <w:rStyle w:val="CharSectno"/>
        </w:rPr>
        <w:t>43</w:t>
      </w:r>
      <w:r>
        <w:t>.</w:t>
      </w:r>
      <w:r>
        <w:tab/>
        <w:t>Effect of waste plan</w:t>
      </w:r>
      <w:bookmarkEnd w:id="227"/>
      <w:bookmarkEnd w:id="228"/>
      <w:bookmarkEnd w:id="229"/>
    </w:p>
    <w:p>
      <w:pPr>
        <w:pStyle w:val="Subsection"/>
      </w:pPr>
      <w:r>
        <w:tab/>
        <w:t>(1)</w:t>
      </w:r>
      <w:r>
        <w:tab/>
        <w:t>The CEO must have regard to the waste plan of a local government when exercising a function under this Act or any other Act that affects the operation of the waste plan.</w:t>
      </w:r>
    </w:p>
    <w:p>
      <w:pPr>
        <w:pStyle w:val="Subsection"/>
      </w:pPr>
      <w:r>
        <w:tab/>
        <w:t>(2)</w:t>
      </w:r>
      <w:r>
        <w:tab/>
        <w:t>A local government must perform its functions in respect of waste management in accordance with its waste plan as existing from time to time.</w:t>
      </w:r>
    </w:p>
    <w:p>
      <w:pPr>
        <w:pStyle w:val="Heading5"/>
      </w:pPr>
      <w:bookmarkStart w:id="230" w:name="_Toc472089159"/>
      <w:bookmarkStart w:id="231" w:name="_Toc392162896"/>
      <w:bookmarkStart w:id="232" w:name="_Toc457400919"/>
      <w:r>
        <w:rPr>
          <w:rStyle w:val="CharSectno"/>
        </w:rPr>
        <w:t>44</w:t>
      </w:r>
      <w:r>
        <w:t>.</w:t>
      </w:r>
      <w:r>
        <w:tab/>
        <w:t>Report on waste plan</w:t>
      </w:r>
      <w:bookmarkEnd w:id="230"/>
      <w:bookmarkEnd w:id="231"/>
      <w:bookmarkEnd w:id="232"/>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233" w:name="_Toc460409203"/>
      <w:bookmarkStart w:id="234" w:name="_Toc462127172"/>
      <w:bookmarkStart w:id="235" w:name="_Toc463346971"/>
      <w:bookmarkStart w:id="236" w:name="_Toc472089160"/>
      <w:bookmarkStart w:id="237" w:name="_Toc379274637"/>
      <w:bookmarkStart w:id="238" w:name="_Toc392162897"/>
      <w:bookmarkStart w:id="239" w:name="_Toc424567433"/>
      <w:bookmarkStart w:id="240" w:name="_Toc434935004"/>
      <w:bookmarkStart w:id="241" w:name="_Toc457400920"/>
      <w:r>
        <w:rPr>
          <w:rStyle w:val="CharPartNo"/>
        </w:rPr>
        <w:t>Part 5</w:t>
      </w:r>
      <w:r>
        <w:rPr>
          <w:rStyle w:val="CharDivNo"/>
        </w:rPr>
        <w:t> </w:t>
      </w:r>
      <w:r>
        <w:t>—</w:t>
      </w:r>
      <w:r>
        <w:rPr>
          <w:rStyle w:val="CharDivText"/>
        </w:rPr>
        <w:t> </w:t>
      </w:r>
      <w:r>
        <w:rPr>
          <w:rStyle w:val="CharPartText"/>
        </w:rPr>
        <w:t>Product stewardship</w:t>
      </w:r>
      <w:bookmarkEnd w:id="233"/>
      <w:bookmarkEnd w:id="234"/>
      <w:bookmarkEnd w:id="235"/>
      <w:bookmarkEnd w:id="236"/>
      <w:bookmarkEnd w:id="237"/>
      <w:bookmarkEnd w:id="238"/>
      <w:bookmarkEnd w:id="239"/>
      <w:bookmarkEnd w:id="240"/>
      <w:bookmarkEnd w:id="241"/>
    </w:p>
    <w:p>
      <w:pPr>
        <w:pStyle w:val="Heading5"/>
      </w:pPr>
      <w:bookmarkStart w:id="242" w:name="_Toc472089161"/>
      <w:bookmarkStart w:id="243" w:name="_Toc392162898"/>
      <w:bookmarkStart w:id="244" w:name="_Toc457400921"/>
      <w:r>
        <w:rPr>
          <w:rStyle w:val="CharSectno"/>
        </w:rPr>
        <w:t>45</w:t>
      </w:r>
      <w:r>
        <w:t>.</w:t>
      </w:r>
      <w:r>
        <w:tab/>
        <w:t>Product stewardship plans</w:t>
      </w:r>
      <w:bookmarkEnd w:id="242"/>
      <w:bookmarkEnd w:id="243"/>
      <w:bookmarkEnd w:id="244"/>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245" w:name="_Toc472089162"/>
      <w:bookmarkStart w:id="246" w:name="_Toc392162899"/>
      <w:bookmarkStart w:id="247" w:name="_Toc457400922"/>
      <w:r>
        <w:rPr>
          <w:rStyle w:val="CharSectno"/>
        </w:rPr>
        <w:t>46</w:t>
      </w:r>
      <w:r>
        <w:t>.</w:t>
      </w:r>
      <w:r>
        <w:tab/>
        <w:t>Extended producer responsibility schemes</w:t>
      </w:r>
      <w:bookmarkEnd w:id="245"/>
      <w:bookmarkEnd w:id="246"/>
      <w:bookmarkEnd w:id="247"/>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248" w:name="_Toc472089163"/>
      <w:bookmarkStart w:id="249" w:name="_Toc392162900"/>
      <w:bookmarkStart w:id="250" w:name="_Toc457400923"/>
      <w:r>
        <w:rPr>
          <w:rStyle w:val="CharSectno"/>
        </w:rPr>
        <w:t>47</w:t>
      </w:r>
      <w:r>
        <w:t>.</w:t>
      </w:r>
      <w:r>
        <w:tab/>
        <w:t>Statements with regard to extended producer responsibility schemes</w:t>
      </w:r>
      <w:bookmarkEnd w:id="248"/>
      <w:bookmarkEnd w:id="249"/>
      <w:bookmarkEnd w:id="250"/>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pPr>
      <w:r>
        <w:tab/>
        <w:t>(b)</w:t>
      </w:r>
      <w:r>
        <w:tab/>
        <w:t>by delivering or posting them so that they are received within that period at the offices of the Waste Authority.</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Heading2"/>
      </w:pPr>
      <w:bookmarkStart w:id="251" w:name="_Toc460409207"/>
      <w:bookmarkStart w:id="252" w:name="_Toc462127176"/>
      <w:bookmarkStart w:id="253" w:name="_Toc463346975"/>
      <w:bookmarkStart w:id="254" w:name="_Toc472089164"/>
      <w:bookmarkStart w:id="255" w:name="_Toc379274641"/>
      <w:bookmarkStart w:id="256" w:name="_Toc392162901"/>
      <w:bookmarkStart w:id="257" w:name="_Toc424567437"/>
      <w:bookmarkStart w:id="258" w:name="_Toc434935008"/>
      <w:bookmarkStart w:id="259" w:name="_Toc457400924"/>
      <w:r>
        <w:rPr>
          <w:rStyle w:val="CharPartNo"/>
        </w:rPr>
        <w:t>Part 6</w:t>
      </w:r>
      <w:r>
        <w:t> — </w:t>
      </w:r>
      <w:r>
        <w:rPr>
          <w:rStyle w:val="CharPartText"/>
        </w:rPr>
        <w:t>Waste services</w:t>
      </w:r>
      <w:bookmarkEnd w:id="251"/>
      <w:bookmarkEnd w:id="252"/>
      <w:bookmarkEnd w:id="253"/>
      <w:bookmarkEnd w:id="254"/>
      <w:bookmarkEnd w:id="255"/>
      <w:bookmarkEnd w:id="256"/>
      <w:bookmarkEnd w:id="257"/>
      <w:bookmarkEnd w:id="258"/>
      <w:bookmarkEnd w:id="259"/>
    </w:p>
    <w:p>
      <w:pPr>
        <w:pStyle w:val="Heading3"/>
      </w:pPr>
      <w:bookmarkStart w:id="260" w:name="_Toc460409208"/>
      <w:bookmarkStart w:id="261" w:name="_Toc462127177"/>
      <w:bookmarkStart w:id="262" w:name="_Toc463346976"/>
      <w:bookmarkStart w:id="263" w:name="_Toc472089165"/>
      <w:bookmarkStart w:id="264" w:name="_Toc379274642"/>
      <w:bookmarkStart w:id="265" w:name="_Toc392162902"/>
      <w:bookmarkStart w:id="266" w:name="_Toc424567438"/>
      <w:bookmarkStart w:id="267" w:name="_Toc434935009"/>
      <w:bookmarkStart w:id="268" w:name="_Toc457400925"/>
      <w:r>
        <w:rPr>
          <w:rStyle w:val="CharDivNo"/>
        </w:rPr>
        <w:t>Division 1</w:t>
      </w:r>
      <w:r>
        <w:t> — </w:t>
      </w:r>
      <w:r>
        <w:rPr>
          <w:rStyle w:val="CharDivText"/>
        </w:rPr>
        <w:t>Services provided by local governments</w:t>
      </w:r>
      <w:bookmarkEnd w:id="260"/>
      <w:bookmarkEnd w:id="261"/>
      <w:bookmarkEnd w:id="262"/>
      <w:bookmarkEnd w:id="263"/>
      <w:bookmarkEnd w:id="264"/>
      <w:bookmarkEnd w:id="265"/>
      <w:bookmarkEnd w:id="266"/>
      <w:bookmarkEnd w:id="267"/>
      <w:bookmarkEnd w:id="268"/>
    </w:p>
    <w:p>
      <w:pPr>
        <w:pStyle w:val="Heading5"/>
      </w:pPr>
      <w:bookmarkStart w:id="269" w:name="_Toc472089166"/>
      <w:bookmarkStart w:id="270" w:name="_Toc392162903"/>
      <w:bookmarkStart w:id="271" w:name="_Toc457400926"/>
      <w:r>
        <w:rPr>
          <w:rStyle w:val="CharSectno"/>
        </w:rPr>
        <w:t>48</w:t>
      </w:r>
      <w:r>
        <w:t>.</w:t>
      </w:r>
      <w:r>
        <w:tab/>
        <w:t>References to provision of waste service</w:t>
      </w:r>
      <w:bookmarkEnd w:id="269"/>
      <w:bookmarkEnd w:id="270"/>
      <w:bookmarkEnd w:id="271"/>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272" w:name="_Toc472089167"/>
      <w:bookmarkStart w:id="273" w:name="_Toc392162904"/>
      <w:bookmarkStart w:id="274" w:name="_Toc457400927"/>
      <w:r>
        <w:rPr>
          <w:rStyle w:val="CharSectno"/>
        </w:rPr>
        <w:t>49</w:t>
      </w:r>
      <w:r>
        <w:t>.</w:t>
      </w:r>
      <w:r>
        <w:tab/>
        <w:t>Specified public authority may exercise functions of local government</w:t>
      </w:r>
      <w:bookmarkEnd w:id="272"/>
      <w:bookmarkEnd w:id="273"/>
      <w:bookmarkEnd w:id="274"/>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275" w:name="_Toc472089168"/>
      <w:bookmarkStart w:id="276" w:name="_Toc392162905"/>
      <w:bookmarkStart w:id="277" w:name="_Toc457400928"/>
      <w:r>
        <w:rPr>
          <w:rStyle w:val="CharSectno"/>
        </w:rPr>
        <w:t>50</w:t>
      </w:r>
      <w:r>
        <w:t>.</w:t>
      </w:r>
      <w:r>
        <w:tab/>
        <w:t>Provision of waste services</w:t>
      </w:r>
      <w:bookmarkEnd w:id="275"/>
      <w:bookmarkEnd w:id="276"/>
      <w:bookmarkEnd w:id="277"/>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278" w:name="_Toc472089169"/>
      <w:bookmarkStart w:id="279" w:name="_Toc392162906"/>
      <w:bookmarkStart w:id="280" w:name="_Toc457400929"/>
      <w:r>
        <w:rPr>
          <w:rStyle w:val="CharSectno"/>
        </w:rPr>
        <w:t>51</w:t>
      </w:r>
      <w:r>
        <w:t>.</w:t>
      </w:r>
      <w:r>
        <w:tab/>
        <w:t>Costs of providing combined waste service</w:t>
      </w:r>
      <w:bookmarkEnd w:id="278"/>
      <w:bookmarkEnd w:id="279"/>
      <w:bookmarkEnd w:id="280"/>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281" w:name="_Toc472089170"/>
      <w:bookmarkStart w:id="282" w:name="_Toc392162907"/>
      <w:bookmarkStart w:id="283" w:name="_Toc457400930"/>
      <w:r>
        <w:rPr>
          <w:rStyle w:val="CharSectno"/>
        </w:rPr>
        <w:t>52</w:t>
      </w:r>
      <w:r>
        <w:t>.</w:t>
      </w:r>
      <w:r>
        <w:tab/>
        <w:t>Codes of practice</w:t>
      </w:r>
      <w:bookmarkEnd w:id="281"/>
      <w:bookmarkEnd w:id="282"/>
      <w:bookmarkEnd w:id="283"/>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284" w:name="_Toc472089171"/>
      <w:bookmarkStart w:id="285" w:name="_Toc392162908"/>
      <w:bookmarkStart w:id="286" w:name="_Toc457400931"/>
      <w:r>
        <w:rPr>
          <w:rStyle w:val="CharSectno"/>
        </w:rPr>
        <w:t>53</w:t>
      </w:r>
      <w:r>
        <w:t>.</w:t>
      </w:r>
      <w:r>
        <w:tab/>
        <w:t>CEO may monitor and evaluate waste services</w:t>
      </w:r>
      <w:bookmarkEnd w:id="284"/>
      <w:bookmarkEnd w:id="285"/>
      <w:bookmarkEnd w:id="286"/>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287" w:name="_Toc472089172"/>
      <w:bookmarkStart w:id="288" w:name="_Toc392162909"/>
      <w:bookmarkStart w:id="289" w:name="_Toc457400932"/>
      <w:r>
        <w:rPr>
          <w:rStyle w:val="CharSectno"/>
        </w:rPr>
        <w:t>54</w:t>
      </w:r>
      <w:r>
        <w:t>.</w:t>
      </w:r>
      <w:r>
        <w:tab/>
        <w:t>Expenses of evaluation</w:t>
      </w:r>
      <w:bookmarkEnd w:id="287"/>
      <w:bookmarkEnd w:id="288"/>
      <w:bookmarkEnd w:id="289"/>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290" w:name="_Toc472089173"/>
      <w:bookmarkStart w:id="291" w:name="_Toc392162910"/>
      <w:bookmarkStart w:id="292" w:name="_Toc457400933"/>
      <w:r>
        <w:rPr>
          <w:rStyle w:val="CharSectno"/>
        </w:rPr>
        <w:t>55</w:t>
      </w:r>
      <w:r>
        <w:t>.</w:t>
      </w:r>
      <w:r>
        <w:tab/>
        <w:t>Disposal of waste by local government</w:t>
      </w:r>
      <w:bookmarkEnd w:id="290"/>
      <w:bookmarkEnd w:id="291"/>
      <w:bookmarkEnd w:id="292"/>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293" w:name="_Toc460409217"/>
      <w:bookmarkStart w:id="294" w:name="_Toc462127186"/>
      <w:bookmarkStart w:id="295" w:name="_Toc463346985"/>
      <w:bookmarkStart w:id="296" w:name="_Toc472089174"/>
      <w:bookmarkStart w:id="297" w:name="_Toc379274651"/>
      <w:bookmarkStart w:id="298" w:name="_Toc392162911"/>
      <w:bookmarkStart w:id="299" w:name="_Toc424567447"/>
      <w:bookmarkStart w:id="300" w:name="_Toc434935018"/>
      <w:bookmarkStart w:id="301" w:name="_Toc457400934"/>
      <w:r>
        <w:rPr>
          <w:rStyle w:val="CharDivNo"/>
        </w:rPr>
        <w:t>Division 2</w:t>
      </w:r>
      <w:r>
        <w:t xml:space="preserve"> —</w:t>
      </w:r>
      <w:r>
        <w:rPr>
          <w:rStyle w:val="CharDivText"/>
        </w:rPr>
        <w:t xml:space="preserve"> Waste collection permits</w:t>
      </w:r>
      <w:bookmarkEnd w:id="293"/>
      <w:bookmarkEnd w:id="294"/>
      <w:bookmarkEnd w:id="295"/>
      <w:bookmarkEnd w:id="296"/>
      <w:bookmarkEnd w:id="297"/>
      <w:bookmarkEnd w:id="298"/>
      <w:bookmarkEnd w:id="299"/>
      <w:bookmarkEnd w:id="300"/>
      <w:bookmarkEnd w:id="301"/>
    </w:p>
    <w:p>
      <w:pPr>
        <w:pStyle w:val="Heading5"/>
      </w:pPr>
      <w:bookmarkStart w:id="302" w:name="_Toc472089175"/>
      <w:bookmarkStart w:id="303" w:name="_Toc392162912"/>
      <w:bookmarkStart w:id="304" w:name="_Toc457400935"/>
      <w:r>
        <w:rPr>
          <w:rStyle w:val="CharSectno"/>
        </w:rPr>
        <w:t>56</w:t>
      </w:r>
      <w:r>
        <w:t>.</w:t>
      </w:r>
      <w:r>
        <w:tab/>
        <w:t>Waste collection permit</w:t>
      </w:r>
      <w:bookmarkEnd w:id="302"/>
      <w:bookmarkEnd w:id="303"/>
      <w:bookmarkEnd w:id="304"/>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305" w:name="_Toc472089176"/>
      <w:bookmarkStart w:id="306" w:name="_Toc392162913"/>
      <w:bookmarkStart w:id="307" w:name="_Toc457400936"/>
      <w:r>
        <w:rPr>
          <w:rStyle w:val="CharSectno"/>
        </w:rPr>
        <w:t>57</w:t>
      </w:r>
      <w:r>
        <w:t>.</w:t>
      </w:r>
      <w:r>
        <w:tab/>
        <w:t>Consistency with modern practice</w:t>
      </w:r>
      <w:bookmarkEnd w:id="305"/>
      <w:bookmarkEnd w:id="306"/>
      <w:bookmarkEnd w:id="307"/>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308" w:name="_Toc472089177"/>
      <w:bookmarkStart w:id="309" w:name="_Toc392162914"/>
      <w:bookmarkStart w:id="310" w:name="_Toc457400937"/>
      <w:r>
        <w:rPr>
          <w:rStyle w:val="CharSectno"/>
        </w:rPr>
        <w:t>58</w:t>
      </w:r>
      <w:r>
        <w:t>.</w:t>
      </w:r>
      <w:r>
        <w:tab/>
        <w:t>CEO to consult on issue, renewal or amendment of permit</w:t>
      </w:r>
      <w:bookmarkEnd w:id="308"/>
      <w:bookmarkEnd w:id="309"/>
      <w:bookmarkEnd w:id="310"/>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Executive Director, Public Health; and</w:t>
      </w:r>
    </w:p>
    <w:p>
      <w:pPr>
        <w:pStyle w:val="Indenta"/>
      </w:pPr>
      <w:r>
        <w:tab/>
        <w:t>(c)</w:t>
      </w:r>
      <w:r>
        <w:tab/>
        <w:t>the local government in the district of which the waste collection is carried out.</w:t>
      </w:r>
    </w:p>
    <w:p>
      <w:pPr>
        <w:pStyle w:val="Heading5"/>
      </w:pPr>
      <w:bookmarkStart w:id="311" w:name="_Toc472089178"/>
      <w:bookmarkStart w:id="312" w:name="_Toc392162915"/>
      <w:bookmarkStart w:id="313" w:name="_Toc457400938"/>
      <w:r>
        <w:rPr>
          <w:rStyle w:val="CharSectno"/>
        </w:rPr>
        <w:t>59</w:t>
      </w:r>
      <w:r>
        <w:t>.</w:t>
      </w:r>
      <w:r>
        <w:tab/>
        <w:t>Term and renewal of waste collection permit</w:t>
      </w:r>
      <w:bookmarkEnd w:id="311"/>
      <w:bookmarkEnd w:id="312"/>
      <w:bookmarkEnd w:id="313"/>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314" w:name="_Toc472089179"/>
      <w:bookmarkStart w:id="315" w:name="_Toc392162916"/>
      <w:bookmarkStart w:id="316" w:name="_Toc457400939"/>
      <w:r>
        <w:rPr>
          <w:rStyle w:val="CharSectno"/>
        </w:rPr>
        <w:t>60</w:t>
      </w:r>
      <w:r>
        <w:t>.</w:t>
      </w:r>
      <w:r>
        <w:tab/>
        <w:t>Disposal of waste by holder of permit</w:t>
      </w:r>
      <w:bookmarkEnd w:id="314"/>
      <w:bookmarkEnd w:id="315"/>
      <w:bookmarkEnd w:id="316"/>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pageBreakBefore/>
        <w:spacing w:before="0"/>
        <w:ind w:left="284" w:right="284"/>
      </w:pPr>
      <w:bookmarkStart w:id="317" w:name="_Toc460409223"/>
      <w:bookmarkStart w:id="318" w:name="_Toc462127192"/>
      <w:bookmarkStart w:id="319" w:name="_Toc463346991"/>
      <w:bookmarkStart w:id="320" w:name="_Toc472089180"/>
      <w:bookmarkStart w:id="321" w:name="_Toc379274657"/>
      <w:bookmarkStart w:id="322" w:name="_Toc392162917"/>
      <w:bookmarkStart w:id="323" w:name="_Toc424567453"/>
      <w:bookmarkStart w:id="324" w:name="_Toc434935024"/>
      <w:bookmarkStart w:id="325" w:name="_Toc457400940"/>
      <w:r>
        <w:rPr>
          <w:rStyle w:val="CharDivNo"/>
        </w:rPr>
        <w:t>Division 3</w:t>
      </w:r>
      <w:r>
        <w:t> — </w:t>
      </w:r>
      <w:r>
        <w:rPr>
          <w:rStyle w:val="CharDivText"/>
        </w:rPr>
        <w:t>Local laws and local government rates, fees and charges</w:t>
      </w:r>
      <w:bookmarkEnd w:id="317"/>
      <w:bookmarkEnd w:id="318"/>
      <w:bookmarkEnd w:id="319"/>
      <w:bookmarkEnd w:id="320"/>
      <w:bookmarkEnd w:id="321"/>
      <w:bookmarkEnd w:id="322"/>
      <w:bookmarkEnd w:id="323"/>
      <w:bookmarkEnd w:id="324"/>
      <w:bookmarkEnd w:id="325"/>
    </w:p>
    <w:p>
      <w:pPr>
        <w:pStyle w:val="Heading5"/>
      </w:pPr>
      <w:bookmarkStart w:id="326" w:name="_Toc472089181"/>
      <w:bookmarkStart w:id="327" w:name="_Toc392162918"/>
      <w:bookmarkStart w:id="328" w:name="_Toc457400941"/>
      <w:r>
        <w:rPr>
          <w:rStyle w:val="CharSectno"/>
        </w:rPr>
        <w:t>61</w:t>
      </w:r>
      <w:r>
        <w:t>.</w:t>
      </w:r>
      <w:r>
        <w:tab/>
        <w:t>Local laws in respect of waste management</w:t>
      </w:r>
      <w:bookmarkEnd w:id="326"/>
      <w:bookmarkEnd w:id="327"/>
      <w:bookmarkEnd w:id="328"/>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329" w:name="_Toc472089182"/>
      <w:bookmarkStart w:id="330" w:name="_Toc392162919"/>
      <w:bookmarkStart w:id="331" w:name="_Toc457400942"/>
      <w:r>
        <w:rPr>
          <w:rStyle w:val="CharSectno"/>
        </w:rPr>
        <w:t>62</w:t>
      </w:r>
      <w:r>
        <w:t>.</w:t>
      </w:r>
      <w:r>
        <w:tab/>
        <w:t>Model local laws</w:t>
      </w:r>
      <w:bookmarkEnd w:id="329"/>
      <w:bookmarkEnd w:id="330"/>
      <w:bookmarkEnd w:id="331"/>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332" w:name="_Toc472089183"/>
      <w:bookmarkStart w:id="333" w:name="_Toc392162920"/>
      <w:bookmarkStart w:id="334" w:name="_Toc457400943"/>
      <w:r>
        <w:rPr>
          <w:rStyle w:val="CharSectno"/>
        </w:rPr>
        <w:t>63</w:t>
      </w:r>
      <w:r>
        <w:t>.</w:t>
      </w:r>
      <w:r>
        <w:tab/>
        <w:t>Governor may amend or repeal local laws</w:t>
      </w:r>
      <w:bookmarkEnd w:id="332"/>
      <w:bookmarkEnd w:id="333"/>
      <w:bookmarkEnd w:id="334"/>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335" w:name="_Toc472089184"/>
      <w:bookmarkStart w:id="336" w:name="_Toc392162921"/>
      <w:bookmarkStart w:id="337" w:name="_Toc457400944"/>
      <w:r>
        <w:rPr>
          <w:rStyle w:val="CharSectno"/>
        </w:rPr>
        <w:t>64</w:t>
      </w:r>
      <w:r>
        <w:t>.</w:t>
      </w:r>
      <w:r>
        <w:tab/>
        <w:t>Subject matter of local laws</w:t>
      </w:r>
      <w:bookmarkEnd w:id="335"/>
      <w:bookmarkEnd w:id="336"/>
      <w:bookmarkEnd w:id="337"/>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338" w:name="_Toc472089185"/>
      <w:bookmarkStart w:id="339" w:name="_Toc392162922"/>
      <w:bookmarkStart w:id="340" w:name="_Toc457400945"/>
      <w:r>
        <w:rPr>
          <w:rStyle w:val="CharSectno"/>
        </w:rPr>
        <w:t>65</w:t>
      </w:r>
      <w:r>
        <w:t>.</w:t>
      </w:r>
      <w:r>
        <w:tab/>
        <w:t>Enforcement of local laws</w:t>
      </w:r>
      <w:bookmarkEnd w:id="338"/>
      <w:bookmarkEnd w:id="339"/>
      <w:bookmarkEnd w:id="340"/>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341" w:name="_Toc472089186"/>
      <w:bookmarkStart w:id="342" w:name="_Toc392162923"/>
      <w:bookmarkStart w:id="343" w:name="_Toc457400946"/>
      <w:r>
        <w:rPr>
          <w:rStyle w:val="CharSectno"/>
        </w:rPr>
        <w:t>66</w:t>
      </w:r>
      <w:r>
        <w:t>.</w:t>
      </w:r>
      <w:r>
        <w:tab/>
        <w:t>Local government may impose waste collection rate</w:t>
      </w:r>
      <w:bookmarkEnd w:id="341"/>
      <w:bookmarkEnd w:id="342"/>
      <w:bookmarkEnd w:id="343"/>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344" w:name="_Toc472089187"/>
      <w:bookmarkStart w:id="345" w:name="_Toc392162924"/>
      <w:bookmarkStart w:id="346" w:name="_Toc457400947"/>
      <w:r>
        <w:rPr>
          <w:rStyle w:val="CharSectno"/>
        </w:rPr>
        <w:t>67</w:t>
      </w:r>
      <w:r>
        <w:t>.</w:t>
      </w:r>
      <w:r>
        <w:tab/>
        <w:t>Local government may impose receptacle charge</w:t>
      </w:r>
      <w:bookmarkEnd w:id="344"/>
      <w:bookmarkEnd w:id="345"/>
      <w:bookmarkEnd w:id="346"/>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347" w:name="_Toc472089188"/>
      <w:bookmarkStart w:id="348" w:name="_Toc392162925"/>
      <w:bookmarkStart w:id="349" w:name="_Toc457400948"/>
      <w:r>
        <w:rPr>
          <w:rStyle w:val="CharSectno"/>
        </w:rPr>
        <w:t>68</w:t>
      </w:r>
      <w:r>
        <w:t>.</w:t>
      </w:r>
      <w:r>
        <w:tab/>
        <w:t>Fees and charges fixed by local government</w:t>
      </w:r>
      <w:bookmarkEnd w:id="347"/>
      <w:bookmarkEnd w:id="348"/>
      <w:bookmarkEnd w:id="349"/>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350" w:name="_Toc460409232"/>
      <w:bookmarkStart w:id="351" w:name="_Toc462127201"/>
      <w:bookmarkStart w:id="352" w:name="_Toc463347000"/>
      <w:bookmarkStart w:id="353" w:name="_Toc472089189"/>
      <w:bookmarkStart w:id="354" w:name="_Toc379274666"/>
      <w:bookmarkStart w:id="355" w:name="_Toc392162926"/>
      <w:bookmarkStart w:id="356" w:name="_Toc424567462"/>
      <w:bookmarkStart w:id="357" w:name="_Toc434935033"/>
      <w:bookmarkStart w:id="358" w:name="_Toc457400949"/>
      <w:r>
        <w:rPr>
          <w:rStyle w:val="CharDivNo"/>
        </w:rPr>
        <w:t>Division 4</w:t>
      </w:r>
      <w:r>
        <w:t> — </w:t>
      </w:r>
      <w:r>
        <w:rPr>
          <w:rStyle w:val="CharDivText"/>
        </w:rPr>
        <w:t>Offences</w:t>
      </w:r>
      <w:bookmarkEnd w:id="350"/>
      <w:bookmarkEnd w:id="351"/>
      <w:bookmarkEnd w:id="352"/>
      <w:bookmarkEnd w:id="353"/>
      <w:bookmarkEnd w:id="354"/>
      <w:bookmarkEnd w:id="355"/>
      <w:bookmarkEnd w:id="356"/>
      <w:bookmarkEnd w:id="357"/>
      <w:bookmarkEnd w:id="358"/>
    </w:p>
    <w:p>
      <w:pPr>
        <w:pStyle w:val="Heading5"/>
      </w:pPr>
      <w:bookmarkStart w:id="359" w:name="_Toc472089190"/>
      <w:bookmarkStart w:id="360" w:name="_Toc392162927"/>
      <w:bookmarkStart w:id="361" w:name="_Toc457400950"/>
      <w:r>
        <w:rPr>
          <w:rStyle w:val="CharSectno"/>
        </w:rPr>
        <w:t>69</w:t>
      </w:r>
      <w:r>
        <w:t>.</w:t>
      </w:r>
      <w:r>
        <w:tab/>
        <w:t>Waste collection not to be carried out by unauthorised persons</w:t>
      </w:r>
      <w:bookmarkEnd w:id="359"/>
      <w:bookmarkEnd w:id="360"/>
      <w:bookmarkEnd w:id="361"/>
    </w:p>
    <w:p>
      <w:pPr>
        <w:pStyle w:val="Subsection"/>
        <w:spacing w:before="120"/>
      </w:pPr>
      <w:r>
        <w:tab/>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outlineLvl w:val="0"/>
      </w:pPr>
      <w:r>
        <w:tab/>
        <w:t>Penalty: a fine of $10 000 and a daily penalty of $1 000.</w:t>
      </w:r>
    </w:p>
    <w:p>
      <w:pPr>
        <w:pStyle w:val="Heading5"/>
      </w:pPr>
      <w:bookmarkStart w:id="362" w:name="_Toc472089191"/>
      <w:bookmarkStart w:id="363" w:name="_Toc392162928"/>
      <w:bookmarkStart w:id="364" w:name="_Toc457400951"/>
      <w:r>
        <w:rPr>
          <w:rStyle w:val="CharSectno"/>
        </w:rPr>
        <w:t>70</w:t>
      </w:r>
      <w:r>
        <w:t>.</w:t>
      </w:r>
      <w:r>
        <w:tab/>
        <w:t>Obstruction or hindrance</w:t>
      </w:r>
      <w:bookmarkEnd w:id="362"/>
      <w:bookmarkEnd w:id="363"/>
      <w:bookmarkEnd w:id="364"/>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outlineLvl w:val="0"/>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365" w:name="_Toc472089192"/>
      <w:bookmarkStart w:id="366" w:name="_Toc392162929"/>
      <w:bookmarkStart w:id="367" w:name="_Toc457400952"/>
      <w:r>
        <w:rPr>
          <w:rStyle w:val="CharSectno"/>
        </w:rPr>
        <w:t>71</w:t>
      </w:r>
      <w:r>
        <w:t>.</w:t>
      </w:r>
      <w:r>
        <w:tab/>
        <w:t>Services to be provided in accordance with waste plan or permit</w:t>
      </w:r>
      <w:bookmarkEnd w:id="365"/>
      <w:bookmarkEnd w:id="366"/>
      <w:bookmarkEnd w:id="367"/>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Executive Director, Public Health, by notice in writing given to the CEO, declares that the failure to provide the requisite service and remove the cause of complaint has the potential to pose a risk to human health, </w:t>
      </w:r>
    </w:p>
    <w:p>
      <w:pPr>
        <w:pStyle w:val="Subsection"/>
      </w:pPr>
      <w:r>
        <w:tab/>
      </w:r>
      <w:r>
        <w:tab/>
        <w:t>the local government commits an offence.</w:t>
      </w:r>
    </w:p>
    <w:p>
      <w:pPr>
        <w:pStyle w:val="Penstart"/>
        <w:outlineLvl w:val="0"/>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Executive Director, Public Health,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outlineLvl w:val="0"/>
      </w:pPr>
      <w:r>
        <w:tab/>
        <w:t>Penalty: a fine of $10 000.</w:t>
      </w:r>
    </w:p>
    <w:p>
      <w:pPr>
        <w:pStyle w:val="Heading3"/>
      </w:pPr>
      <w:bookmarkStart w:id="368" w:name="_Toc460409236"/>
      <w:bookmarkStart w:id="369" w:name="_Toc462127205"/>
      <w:bookmarkStart w:id="370" w:name="_Toc463347004"/>
      <w:bookmarkStart w:id="371" w:name="_Toc472089193"/>
      <w:bookmarkStart w:id="372" w:name="_Toc379274670"/>
      <w:bookmarkStart w:id="373" w:name="_Toc392162930"/>
      <w:bookmarkStart w:id="374" w:name="_Toc424567466"/>
      <w:bookmarkStart w:id="375" w:name="_Toc434935037"/>
      <w:bookmarkStart w:id="376" w:name="_Toc457400953"/>
      <w:r>
        <w:rPr>
          <w:rStyle w:val="CharDivNo"/>
        </w:rPr>
        <w:t>Division 5</w:t>
      </w:r>
      <w:r>
        <w:t> — </w:t>
      </w:r>
      <w:r>
        <w:rPr>
          <w:rStyle w:val="CharDivText"/>
        </w:rPr>
        <w:t>General</w:t>
      </w:r>
      <w:bookmarkEnd w:id="368"/>
      <w:bookmarkEnd w:id="369"/>
      <w:bookmarkEnd w:id="370"/>
      <w:bookmarkEnd w:id="371"/>
      <w:bookmarkEnd w:id="372"/>
      <w:bookmarkEnd w:id="373"/>
      <w:bookmarkEnd w:id="374"/>
      <w:bookmarkEnd w:id="375"/>
      <w:bookmarkEnd w:id="376"/>
    </w:p>
    <w:p>
      <w:pPr>
        <w:pStyle w:val="Heading5"/>
      </w:pPr>
      <w:bookmarkStart w:id="377" w:name="_Toc472089194"/>
      <w:bookmarkStart w:id="378" w:name="_Toc392162931"/>
      <w:bookmarkStart w:id="379" w:name="_Toc457400954"/>
      <w:r>
        <w:rPr>
          <w:rStyle w:val="CharSectno"/>
        </w:rPr>
        <w:t>72</w:t>
      </w:r>
      <w:r>
        <w:t>.</w:t>
      </w:r>
      <w:r>
        <w:tab/>
        <w:t>Accumulation of waste — prevention notice</w:t>
      </w:r>
      <w:bookmarkEnd w:id="377"/>
      <w:bookmarkEnd w:id="378"/>
      <w:bookmarkEnd w:id="379"/>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380" w:name="_Toc460409238"/>
      <w:bookmarkStart w:id="381" w:name="_Toc462127207"/>
      <w:bookmarkStart w:id="382" w:name="_Toc463347006"/>
      <w:bookmarkStart w:id="383" w:name="_Toc472089195"/>
      <w:bookmarkStart w:id="384" w:name="_Toc379274672"/>
      <w:bookmarkStart w:id="385" w:name="_Toc392162932"/>
      <w:bookmarkStart w:id="386" w:name="_Toc424567468"/>
      <w:bookmarkStart w:id="387" w:name="_Toc434935039"/>
      <w:bookmarkStart w:id="388" w:name="_Toc457400955"/>
      <w:r>
        <w:rPr>
          <w:rStyle w:val="CharPartNo"/>
        </w:rPr>
        <w:t>Part 7</w:t>
      </w:r>
      <w:r>
        <w:t xml:space="preserve"> — </w:t>
      </w:r>
      <w:r>
        <w:rPr>
          <w:rStyle w:val="CharPartText"/>
        </w:rPr>
        <w:t>Collection and application of levy</w:t>
      </w:r>
      <w:bookmarkEnd w:id="380"/>
      <w:bookmarkEnd w:id="381"/>
      <w:bookmarkEnd w:id="382"/>
      <w:bookmarkEnd w:id="383"/>
      <w:bookmarkEnd w:id="384"/>
      <w:bookmarkEnd w:id="385"/>
      <w:bookmarkEnd w:id="386"/>
      <w:bookmarkEnd w:id="387"/>
      <w:bookmarkEnd w:id="388"/>
    </w:p>
    <w:p>
      <w:pPr>
        <w:pStyle w:val="Heading3"/>
        <w:rPr>
          <w:i/>
          <w:iCs/>
        </w:rPr>
      </w:pPr>
      <w:bookmarkStart w:id="389" w:name="_Toc460409239"/>
      <w:bookmarkStart w:id="390" w:name="_Toc462127208"/>
      <w:bookmarkStart w:id="391" w:name="_Toc463347007"/>
      <w:bookmarkStart w:id="392" w:name="_Toc472089196"/>
      <w:bookmarkStart w:id="393" w:name="_Toc379274673"/>
      <w:bookmarkStart w:id="394" w:name="_Toc392162933"/>
      <w:bookmarkStart w:id="395" w:name="_Toc424567469"/>
      <w:bookmarkStart w:id="396" w:name="_Toc434935040"/>
      <w:bookmarkStart w:id="397" w:name="_Toc457400956"/>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389"/>
      <w:bookmarkEnd w:id="390"/>
      <w:bookmarkEnd w:id="391"/>
      <w:bookmarkEnd w:id="392"/>
      <w:bookmarkEnd w:id="393"/>
      <w:bookmarkEnd w:id="394"/>
      <w:bookmarkEnd w:id="395"/>
      <w:bookmarkEnd w:id="396"/>
      <w:bookmarkEnd w:id="397"/>
    </w:p>
    <w:p>
      <w:pPr>
        <w:pStyle w:val="Heading5"/>
      </w:pPr>
      <w:bookmarkStart w:id="398" w:name="_Toc472089197"/>
      <w:bookmarkStart w:id="399" w:name="_Toc392162934"/>
      <w:bookmarkStart w:id="400" w:name="_Toc457400957"/>
      <w:r>
        <w:rPr>
          <w:rStyle w:val="CharSectno"/>
        </w:rPr>
        <w:t>73</w:t>
      </w:r>
      <w:r>
        <w:t>.</w:t>
      </w:r>
      <w:r>
        <w:tab/>
        <w:t>Payment of levy</w:t>
      </w:r>
      <w:bookmarkEnd w:id="398"/>
      <w:bookmarkEnd w:id="399"/>
      <w:bookmarkEnd w:id="400"/>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pPr>
        <w:pStyle w:val="Footnotesection"/>
      </w:pPr>
      <w:r>
        <w:tab/>
        <w:t>[Section 73 amended by No. 48 of 2009 s. 5.]</w:t>
      </w:r>
    </w:p>
    <w:p>
      <w:pPr>
        <w:pStyle w:val="Heading5"/>
      </w:pPr>
      <w:bookmarkStart w:id="401" w:name="_Toc472089198"/>
      <w:bookmarkStart w:id="402" w:name="_Toc392162935"/>
      <w:bookmarkStart w:id="403" w:name="_Toc457400958"/>
      <w:r>
        <w:rPr>
          <w:rStyle w:val="CharSectno"/>
        </w:rPr>
        <w:t>74</w:t>
      </w:r>
      <w:r>
        <w:t>.</w:t>
      </w:r>
      <w:r>
        <w:tab/>
        <w:t>Financial assurance</w:t>
      </w:r>
      <w:bookmarkEnd w:id="401"/>
      <w:bookmarkEnd w:id="402"/>
      <w:bookmarkEnd w:id="403"/>
    </w:p>
    <w:p>
      <w:pPr>
        <w:pStyle w:val="Subsection"/>
        <w:outlineLvl w:val="0"/>
      </w:pPr>
      <w:r>
        <w:tab/>
      </w:r>
      <w:r>
        <w:tab/>
        <w:t xml:space="preserve">The regulations may make provision — </w:t>
      </w:r>
    </w:p>
    <w:p>
      <w:pPr>
        <w:pStyle w:val="Indenta"/>
      </w:pPr>
      <w:r>
        <w:tab/>
        <w:t>(a)</w:t>
      </w:r>
      <w:r>
        <w:tab/>
        <w:t>empowering the CEO to require a licensee, or occupier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Heading5"/>
      </w:pPr>
      <w:bookmarkStart w:id="404" w:name="_Toc472089199"/>
      <w:bookmarkStart w:id="405" w:name="_Toc392162936"/>
      <w:bookmarkStart w:id="406" w:name="_Toc457400959"/>
      <w:r>
        <w:rPr>
          <w:rStyle w:val="CharSectno"/>
        </w:rPr>
        <w:t>75</w:t>
      </w:r>
      <w:r>
        <w:t>.</w:t>
      </w:r>
      <w:r>
        <w:tab/>
        <w:t>Payment by instalments</w:t>
      </w:r>
      <w:bookmarkEnd w:id="404"/>
      <w:bookmarkEnd w:id="405"/>
      <w:bookmarkEnd w:id="406"/>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407" w:name="_Toc472089200"/>
      <w:bookmarkStart w:id="408" w:name="_Toc392162937"/>
      <w:bookmarkStart w:id="409" w:name="_Toc457400960"/>
      <w:r>
        <w:rPr>
          <w:rStyle w:val="CharSectno"/>
        </w:rPr>
        <w:t>76</w:t>
      </w:r>
      <w:r>
        <w:t>.</w:t>
      </w:r>
      <w:r>
        <w:tab/>
        <w:t>Penalty for non</w:t>
      </w:r>
      <w:r>
        <w:noBreakHyphen/>
        <w:t>payment</w:t>
      </w:r>
      <w:bookmarkEnd w:id="407"/>
      <w:bookmarkEnd w:id="408"/>
      <w:bookmarkEnd w:id="409"/>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Footnotesection"/>
      </w:pPr>
      <w:r>
        <w:tab/>
        <w:t>[Section 76 amended by No. 48 of 2009 s. 6.]</w:t>
      </w:r>
    </w:p>
    <w:p>
      <w:pPr>
        <w:pStyle w:val="Heading5"/>
      </w:pPr>
      <w:bookmarkStart w:id="410" w:name="_Toc472089201"/>
      <w:bookmarkStart w:id="411" w:name="_Toc392162938"/>
      <w:bookmarkStart w:id="412" w:name="_Toc457400961"/>
      <w:r>
        <w:rPr>
          <w:rStyle w:val="CharSectno"/>
        </w:rPr>
        <w:t>77</w:t>
      </w:r>
      <w:r>
        <w:t>.</w:t>
      </w:r>
      <w:r>
        <w:tab/>
        <w:t>Recovery of levy</w:t>
      </w:r>
      <w:bookmarkEnd w:id="410"/>
      <w:bookmarkEnd w:id="411"/>
      <w:bookmarkEnd w:id="412"/>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413" w:name="_Toc472089202"/>
      <w:bookmarkStart w:id="414" w:name="_Toc392162939"/>
      <w:bookmarkStart w:id="415" w:name="_Toc457400962"/>
      <w:r>
        <w:rPr>
          <w:rStyle w:val="CharSectno"/>
        </w:rPr>
        <w:t>78</w:t>
      </w:r>
      <w:r>
        <w:t>.</w:t>
      </w:r>
      <w:r>
        <w:tab/>
        <w:t>Evading levy</w:t>
      </w:r>
      <w:bookmarkEnd w:id="413"/>
      <w:bookmarkEnd w:id="414"/>
      <w:bookmarkEnd w:id="415"/>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416" w:name="_Toc460409246"/>
      <w:bookmarkStart w:id="417" w:name="_Toc462127215"/>
      <w:bookmarkStart w:id="418" w:name="_Toc463347014"/>
      <w:bookmarkStart w:id="419" w:name="_Toc472089203"/>
      <w:bookmarkStart w:id="420" w:name="_Toc379274680"/>
      <w:bookmarkStart w:id="421" w:name="_Toc392162940"/>
      <w:bookmarkStart w:id="422" w:name="_Toc424567476"/>
      <w:bookmarkStart w:id="423" w:name="_Toc434935047"/>
      <w:bookmarkStart w:id="424" w:name="_Toc457400963"/>
      <w:r>
        <w:rPr>
          <w:rStyle w:val="CharDivNo"/>
        </w:rPr>
        <w:t>Division 2</w:t>
      </w:r>
      <w:r>
        <w:t xml:space="preserve"> — </w:t>
      </w:r>
      <w:r>
        <w:rPr>
          <w:rStyle w:val="CharDivText"/>
        </w:rPr>
        <w:t>Waste Avoidance and Resource Recovery Account</w:t>
      </w:r>
      <w:bookmarkEnd w:id="416"/>
      <w:bookmarkEnd w:id="417"/>
      <w:bookmarkEnd w:id="418"/>
      <w:bookmarkEnd w:id="419"/>
      <w:bookmarkEnd w:id="420"/>
      <w:bookmarkEnd w:id="421"/>
      <w:bookmarkEnd w:id="422"/>
      <w:bookmarkEnd w:id="423"/>
      <w:bookmarkEnd w:id="424"/>
    </w:p>
    <w:p>
      <w:pPr>
        <w:pStyle w:val="Heading5"/>
      </w:pPr>
      <w:bookmarkStart w:id="425" w:name="_Toc472089204"/>
      <w:bookmarkStart w:id="426" w:name="_Toc392162941"/>
      <w:bookmarkStart w:id="427" w:name="_Toc457400964"/>
      <w:r>
        <w:rPr>
          <w:rStyle w:val="CharSectno"/>
        </w:rPr>
        <w:t>79</w:t>
      </w:r>
      <w:r>
        <w:t>.</w:t>
      </w:r>
      <w:r>
        <w:tab/>
        <w:t>Waste Avoidance and Resource Recovery Account</w:t>
      </w:r>
      <w:bookmarkEnd w:id="425"/>
      <w:bookmarkEnd w:id="426"/>
      <w:bookmarkEnd w:id="427"/>
    </w:p>
    <w:p>
      <w:pPr>
        <w:pStyle w:val="Subsection"/>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pPr>
        <w:pStyle w:val="Subsection"/>
      </w:pPr>
      <w:r>
        <w:tab/>
        <w:t>(2)</w:t>
      </w:r>
      <w:r>
        <w:tab/>
        <w:t>The WARR Account is to be administered by the Waste Authority.</w:t>
      </w:r>
    </w:p>
    <w:p>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Subsection"/>
      </w:pPr>
      <w:r>
        <w:tab/>
        <w:t>(3B)</w:t>
      </w:r>
      <w:r>
        <w:tab/>
        <w:t>The amount specified under subsection (3A) must be as follows —</w:t>
      </w:r>
    </w:p>
    <w:p>
      <w:pPr>
        <w:pStyle w:val="Indenta"/>
      </w:pPr>
      <w:r>
        <w:tab/>
        <w:t>(a)</w:t>
      </w:r>
      <w:r>
        <w:tab/>
        <w:t>in the financial year ending 30 June 2010 — an amount not less than the difference between 25% of the forecast levy amount for that financial year and the amount of levy paid or payable for the period 1 July 2009 to 31 December 2009;</w:t>
      </w:r>
    </w:p>
    <w:p>
      <w:pPr>
        <w:pStyle w:val="Indenta"/>
      </w:pPr>
      <w:r>
        <w:tab/>
        <w:t>(b)</w:t>
      </w:r>
      <w:r>
        <w:tab/>
        <w:t>in any other financial year — not less than 25% of the forecast levy amount for the financial year.</w:t>
      </w:r>
    </w:p>
    <w:p>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w:t>
      </w:r>
      <w:r>
        <w:t xml:space="preserve">financial year is — </w:t>
      </w:r>
    </w:p>
    <w:p>
      <w:pPr>
        <w:pStyle w:val="Indenta"/>
      </w:pPr>
      <w:r>
        <w:tab/>
        <w:t>(a)</w:t>
      </w:r>
      <w:r>
        <w:tab/>
        <w:t>the estimate of the levy amount for the financial year set out in the budget papers for that financial year tabled in the Legislative Assembly; or</w:t>
      </w:r>
    </w:p>
    <w:p>
      <w:pPr>
        <w:pStyle w:val="Indenta"/>
      </w:pPr>
      <w:r>
        <w:tab/>
        <w:t>(b)</w:t>
      </w:r>
      <w:r>
        <w:tab/>
        <w:t>if another means of determining the forecast levy amount for the financial year is prescribed — the forecast levy amount determined by those means.</w:t>
      </w:r>
    </w:p>
    <w:p>
      <w:pPr>
        <w:pStyle w:val="Subsection"/>
      </w:pPr>
      <w:r>
        <w:tab/>
        <w:t>(3)</w:t>
      </w:r>
      <w:r>
        <w:tab/>
        <w:t xml:space="preserve">In addition to the amount referred to in subsection (3A), the WARR Account is to be credited with — </w:t>
      </w:r>
    </w:p>
    <w:p>
      <w:pPr>
        <w:pStyle w:val="Ednotepara"/>
        <w:tabs>
          <w:tab w:val="left" w:pos="851"/>
        </w:tabs>
      </w:pPr>
      <w:r>
        <w:tab/>
        <w:t>[(a), (b)</w:t>
      </w:r>
      <w:del w:id="428" w:author="svcMRProcess" w:date="2018-09-17T17:05:00Z">
        <w:r>
          <w:tab/>
        </w:r>
      </w:del>
      <w:ins w:id="429" w:author="svcMRProcess" w:date="2018-09-17T17:05:00Z">
        <w:r>
          <w:t xml:space="preserve">   </w:t>
        </w:r>
      </w:ins>
      <w:r>
        <w:t>deleted]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pPr>
      <w:r>
        <w:tab/>
        <w:t>[Section 79 amended by No. 48 of 2009 s. 7.]</w:t>
      </w:r>
    </w:p>
    <w:p>
      <w:pPr>
        <w:pStyle w:val="Heading5"/>
      </w:pPr>
      <w:bookmarkStart w:id="430" w:name="_Toc472089205"/>
      <w:bookmarkStart w:id="431" w:name="_Toc392162942"/>
      <w:bookmarkStart w:id="432" w:name="_Toc457400965"/>
      <w:r>
        <w:rPr>
          <w:rStyle w:val="CharSectno"/>
        </w:rPr>
        <w:t>80</w:t>
      </w:r>
      <w:r>
        <w:t>.</w:t>
      </w:r>
      <w:r>
        <w:tab/>
        <w:t xml:space="preserve">Application of moneys in </w:t>
      </w:r>
      <w:del w:id="433" w:author="svcMRProcess" w:date="2018-09-17T17:05:00Z">
        <w:r>
          <w:delText xml:space="preserve">the </w:delText>
        </w:r>
      </w:del>
      <w:r>
        <w:t>WARR Account</w:t>
      </w:r>
      <w:bookmarkEnd w:id="430"/>
      <w:bookmarkEnd w:id="431"/>
      <w:bookmarkEnd w:id="432"/>
    </w:p>
    <w:p>
      <w:pPr>
        <w:pStyle w:val="Subsection"/>
      </w:pPr>
      <w:r>
        <w:tab/>
        <w:t>(1)</w:t>
      </w:r>
      <w:r>
        <w:tab/>
        <w:t xml:space="preserve">Moneys held in the WARR Account are to be applied, in a manner that is consistent with the current business plan or as may be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 and</w:t>
      </w:r>
    </w:p>
    <w:p>
      <w:pPr>
        <w:pStyle w:val="Indenta"/>
      </w:pPr>
      <w:r>
        <w:tab/>
        <w:t>(d)</w:t>
      </w:r>
      <w:r>
        <w:tab/>
        <w:t>to fund the services and facilities referred to in section 36(1)(da); and</w:t>
      </w:r>
    </w:p>
    <w:p>
      <w:pPr>
        <w:pStyle w:val="Indenta"/>
        <w:spacing w:before="120"/>
      </w:pPr>
      <w:r>
        <w:tab/>
        <w:t>(e)</w:t>
      </w:r>
      <w:r>
        <w:tab/>
        <w:t>in payment of the other costs of the administration and enforcement of this Act, including the remuneration of members of the Waste Authority.</w:t>
      </w:r>
    </w:p>
    <w:p>
      <w:pPr>
        <w:pStyle w:val="Ednotesubsection"/>
        <w:spacing w:before="200"/>
      </w:pPr>
      <w:r>
        <w:tab/>
        <w:t>[(2)</w:t>
      </w:r>
      <w:r>
        <w:tab/>
        <w:t>deleted]</w:t>
      </w:r>
    </w:p>
    <w:p>
      <w:pPr>
        <w:pStyle w:val="Subsection"/>
        <w:spacing w:before="200"/>
      </w:pPr>
      <w:r>
        <w:tab/>
        <w:t>(3)</w:t>
      </w:r>
      <w:r>
        <w:tab/>
        <w:t>Moneys held in the WARR Account may be paid to an entity by the Waste Authority for the purposes of subsection (1)(a) on such terms and conditions as the Waste Authority thinks fit.</w:t>
      </w:r>
    </w:p>
    <w:p>
      <w:pPr>
        <w:pStyle w:val="Subsection"/>
        <w:spacing w:before="200"/>
      </w:pPr>
      <w:r>
        <w:tab/>
        <w:t>(4)</w:t>
      </w:r>
      <w:r>
        <w:tab/>
        <w:t xml:space="preserve">An entity to whom moneys are paid under subsection (1)(a) who fails to ensure that — </w:t>
      </w:r>
    </w:p>
    <w:p>
      <w:pPr>
        <w:pStyle w:val="Indenta"/>
        <w:spacing w:before="120"/>
      </w:pPr>
      <w:r>
        <w:tab/>
        <w:t>(a)</w:t>
      </w:r>
      <w:r>
        <w:tab/>
        <w:t>the moneys are only expended for the purposes of the programme and in accordance with any terms or conditions imposed by the Waste Authority; or</w:t>
      </w:r>
    </w:p>
    <w:p>
      <w:pPr>
        <w:pStyle w:val="Indenta"/>
        <w:spacing w:before="120"/>
      </w:pPr>
      <w:r>
        <w:tab/>
        <w:t>(b)</w:t>
      </w:r>
      <w:r>
        <w:tab/>
        <w:t>a performance evaluation in respect of the programme for which the moneys are paid is carried out in accordance with any written direction of the Waste Authority; or</w:t>
      </w:r>
    </w:p>
    <w:p>
      <w:pPr>
        <w:pStyle w:val="Indenta"/>
        <w:spacing w:before="120"/>
      </w:pPr>
      <w:r>
        <w:tab/>
        <w:t>(c)</w:t>
      </w:r>
      <w:r>
        <w:tab/>
        <w:t>at such time or times as are prescribed by the regulations, a special purpose audit is carried out by a registered company auditor of the allocation and expenditure of the moneys; or</w:t>
      </w:r>
    </w:p>
    <w:p>
      <w:pPr>
        <w:pStyle w:val="Indenta"/>
        <w:spacing w:before="120"/>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outlineLvl w:val="0"/>
      </w:pPr>
      <w:r>
        <w:tab/>
        <w:t>Penalty: a fine of $10 000.</w:t>
      </w:r>
    </w:p>
    <w:p>
      <w:pPr>
        <w:pStyle w:val="Subsection"/>
        <w:spacing w:before="200"/>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Footnotesection"/>
      </w:pPr>
      <w:r>
        <w:tab/>
        <w:t>[Section 80 amended by No. 48 of 2009 s. 8.]</w:t>
      </w:r>
    </w:p>
    <w:p>
      <w:pPr>
        <w:pStyle w:val="Heading5"/>
        <w:rPr>
          <w:i/>
        </w:rPr>
      </w:pPr>
      <w:bookmarkStart w:id="434" w:name="_Toc392162943"/>
      <w:bookmarkStart w:id="435" w:name="_Toc457400966"/>
      <w:bookmarkStart w:id="436" w:name="_Toc472089206"/>
      <w:r>
        <w:rPr>
          <w:rStyle w:val="CharSectno"/>
        </w:rPr>
        <w:t>81</w:t>
      </w:r>
      <w:r>
        <w:t>.</w:t>
      </w:r>
      <w:r>
        <w:tab/>
        <w:t xml:space="preserve">Application of </w:t>
      </w:r>
      <w:r>
        <w:rPr>
          <w:i/>
        </w:rPr>
        <w:t>Financial Management Act 2006</w:t>
      </w:r>
      <w:bookmarkEnd w:id="434"/>
      <w:bookmarkEnd w:id="435"/>
      <w:ins w:id="437" w:author="svcMRProcess" w:date="2018-09-17T17:05:00Z">
        <w:r>
          <w:rPr>
            <w:i/>
          </w:rPr>
          <w:t xml:space="preserve"> </w:t>
        </w:r>
        <w:r>
          <w:t xml:space="preserve">and </w:t>
        </w:r>
        <w:r>
          <w:rPr>
            <w:i/>
          </w:rPr>
          <w:t>Auditor General Act 2006</w:t>
        </w:r>
      </w:ins>
      <w:bookmarkEnd w:id="436"/>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by No. 48 of 2009 s. 9.]</w:t>
      </w:r>
    </w:p>
    <w:p>
      <w:pPr>
        <w:pStyle w:val="Heading2"/>
      </w:pPr>
      <w:bookmarkStart w:id="438" w:name="_Toc460409250"/>
      <w:bookmarkStart w:id="439" w:name="_Toc462127219"/>
      <w:bookmarkStart w:id="440" w:name="_Toc463347018"/>
      <w:bookmarkStart w:id="441" w:name="_Toc472089207"/>
      <w:bookmarkStart w:id="442" w:name="_Toc379274684"/>
      <w:bookmarkStart w:id="443" w:name="_Toc392162944"/>
      <w:bookmarkStart w:id="444" w:name="_Toc424567480"/>
      <w:bookmarkStart w:id="445" w:name="_Toc434935051"/>
      <w:bookmarkStart w:id="446" w:name="_Toc457400967"/>
      <w:r>
        <w:rPr>
          <w:rStyle w:val="CharPartNo"/>
        </w:rPr>
        <w:t>Part 8</w:t>
      </w:r>
      <w:r>
        <w:t> — </w:t>
      </w:r>
      <w:r>
        <w:rPr>
          <w:rStyle w:val="CharPartText"/>
        </w:rPr>
        <w:t>Enforcement</w:t>
      </w:r>
      <w:bookmarkEnd w:id="438"/>
      <w:bookmarkEnd w:id="439"/>
      <w:bookmarkEnd w:id="440"/>
      <w:bookmarkEnd w:id="441"/>
      <w:bookmarkEnd w:id="442"/>
      <w:bookmarkEnd w:id="443"/>
      <w:bookmarkEnd w:id="444"/>
      <w:bookmarkEnd w:id="445"/>
      <w:bookmarkEnd w:id="446"/>
    </w:p>
    <w:p>
      <w:pPr>
        <w:pStyle w:val="Heading3"/>
        <w:spacing w:before="180"/>
      </w:pPr>
      <w:bookmarkStart w:id="447" w:name="_Toc460409251"/>
      <w:bookmarkStart w:id="448" w:name="_Toc462127220"/>
      <w:bookmarkStart w:id="449" w:name="_Toc463347019"/>
      <w:bookmarkStart w:id="450" w:name="_Toc472089208"/>
      <w:bookmarkStart w:id="451" w:name="_Toc379274685"/>
      <w:bookmarkStart w:id="452" w:name="_Toc392162945"/>
      <w:bookmarkStart w:id="453" w:name="_Toc424567481"/>
      <w:bookmarkStart w:id="454" w:name="_Toc434935052"/>
      <w:bookmarkStart w:id="455" w:name="_Toc457400968"/>
      <w:r>
        <w:rPr>
          <w:rStyle w:val="CharDivNo"/>
        </w:rPr>
        <w:t>Division 1</w:t>
      </w:r>
      <w:r>
        <w:t> — </w:t>
      </w:r>
      <w:r>
        <w:rPr>
          <w:rStyle w:val="CharDivText"/>
        </w:rPr>
        <w:t>Investigation and obtaining information</w:t>
      </w:r>
      <w:bookmarkEnd w:id="447"/>
      <w:bookmarkEnd w:id="448"/>
      <w:bookmarkEnd w:id="449"/>
      <w:bookmarkEnd w:id="450"/>
      <w:bookmarkEnd w:id="451"/>
      <w:bookmarkEnd w:id="452"/>
      <w:bookmarkEnd w:id="453"/>
      <w:bookmarkEnd w:id="454"/>
      <w:bookmarkEnd w:id="455"/>
    </w:p>
    <w:p>
      <w:pPr>
        <w:pStyle w:val="Heading5"/>
      </w:pPr>
      <w:bookmarkStart w:id="456" w:name="_Toc472089209"/>
      <w:bookmarkStart w:id="457" w:name="_Toc392162946"/>
      <w:bookmarkStart w:id="458" w:name="_Toc457400969"/>
      <w:r>
        <w:rPr>
          <w:rStyle w:val="CharSectno"/>
        </w:rPr>
        <w:t>82</w:t>
      </w:r>
      <w:r>
        <w:t>.</w:t>
      </w:r>
      <w:r>
        <w:tab/>
        <w:t>Power to require information or material</w:t>
      </w:r>
      <w:bookmarkEnd w:id="456"/>
      <w:bookmarkEnd w:id="457"/>
      <w:bookmarkEnd w:id="458"/>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outlineLvl w:val="0"/>
      </w:pPr>
      <w:r>
        <w:tab/>
        <w:t>Penalty: a fine of $20 000.</w:t>
      </w:r>
    </w:p>
    <w:p>
      <w:pPr>
        <w:pStyle w:val="Heading5"/>
      </w:pPr>
      <w:bookmarkStart w:id="459" w:name="_Toc472089210"/>
      <w:bookmarkStart w:id="460" w:name="_Toc392162947"/>
      <w:bookmarkStart w:id="461" w:name="_Toc457400970"/>
      <w:r>
        <w:rPr>
          <w:rStyle w:val="CharSectno"/>
        </w:rPr>
        <w:t>83</w:t>
      </w:r>
      <w:r>
        <w:t>.</w:t>
      </w:r>
      <w:r>
        <w:tab/>
        <w:t>Inspectors</w:t>
      </w:r>
      <w:bookmarkEnd w:id="459"/>
      <w:bookmarkEnd w:id="460"/>
      <w:bookmarkEnd w:id="461"/>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outlineLvl w:val="0"/>
      </w:pPr>
      <w:r>
        <w:tab/>
        <w:t>Penalty: a fine of $20 000.</w:t>
      </w:r>
    </w:p>
    <w:p>
      <w:pPr>
        <w:pStyle w:val="Heading5"/>
      </w:pPr>
      <w:bookmarkStart w:id="462" w:name="_Toc472089211"/>
      <w:bookmarkStart w:id="463" w:name="_Toc392162948"/>
      <w:bookmarkStart w:id="464" w:name="_Toc457400971"/>
      <w:r>
        <w:rPr>
          <w:rStyle w:val="CharSectno"/>
        </w:rPr>
        <w:t>84</w:t>
      </w:r>
      <w:r>
        <w:t>.</w:t>
      </w:r>
      <w:r>
        <w:tab/>
        <w:t>Authorised persons and analysts</w:t>
      </w:r>
      <w:bookmarkEnd w:id="462"/>
      <w:bookmarkEnd w:id="463"/>
      <w:bookmarkEnd w:id="464"/>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465" w:name="_Toc472089212"/>
      <w:bookmarkStart w:id="466" w:name="_Toc392162949"/>
      <w:bookmarkStart w:id="467" w:name="_Toc457400972"/>
      <w:r>
        <w:rPr>
          <w:rStyle w:val="CharSectno"/>
        </w:rPr>
        <w:t>85</w:t>
      </w:r>
      <w:r>
        <w:t>.</w:t>
      </w:r>
      <w:r>
        <w:tab/>
        <w:t>Audit may be directed by CEO</w:t>
      </w:r>
      <w:bookmarkEnd w:id="465"/>
      <w:bookmarkEnd w:id="466"/>
      <w:bookmarkEnd w:id="467"/>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outlineLvl w:val="0"/>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468" w:name="_Toc460409256"/>
      <w:bookmarkStart w:id="469" w:name="_Toc462127225"/>
      <w:bookmarkStart w:id="470" w:name="_Toc463347024"/>
      <w:bookmarkStart w:id="471" w:name="_Toc472089213"/>
      <w:bookmarkStart w:id="472" w:name="_Toc379274690"/>
      <w:bookmarkStart w:id="473" w:name="_Toc392162950"/>
      <w:bookmarkStart w:id="474" w:name="_Toc424567486"/>
      <w:bookmarkStart w:id="475" w:name="_Toc434935057"/>
      <w:bookmarkStart w:id="476" w:name="_Toc457400973"/>
      <w:r>
        <w:rPr>
          <w:rStyle w:val="CharDivNo"/>
        </w:rPr>
        <w:t>Division 2</w:t>
      </w:r>
      <w:r>
        <w:t> — </w:t>
      </w:r>
      <w:r>
        <w:rPr>
          <w:rStyle w:val="CharDivText"/>
        </w:rPr>
        <w:t>General</w:t>
      </w:r>
      <w:bookmarkEnd w:id="468"/>
      <w:bookmarkEnd w:id="469"/>
      <w:bookmarkEnd w:id="470"/>
      <w:bookmarkEnd w:id="471"/>
      <w:bookmarkEnd w:id="472"/>
      <w:bookmarkEnd w:id="473"/>
      <w:bookmarkEnd w:id="474"/>
      <w:bookmarkEnd w:id="475"/>
      <w:bookmarkEnd w:id="476"/>
    </w:p>
    <w:p>
      <w:pPr>
        <w:pStyle w:val="Heading5"/>
      </w:pPr>
      <w:bookmarkStart w:id="477" w:name="_Toc472089214"/>
      <w:bookmarkStart w:id="478" w:name="_Toc392162951"/>
      <w:bookmarkStart w:id="479" w:name="_Toc457400974"/>
      <w:r>
        <w:rPr>
          <w:rStyle w:val="CharSectno"/>
        </w:rPr>
        <w:t>86</w:t>
      </w:r>
      <w:r>
        <w:t>.</w:t>
      </w:r>
      <w:r>
        <w:tab/>
        <w:t>Who can institute proceedings for offences</w:t>
      </w:r>
      <w:bookmarkEnd w:id="477"/>
      <w:bookmarkEnd w:id="478"/>
      <w:bookmarkEnd w:id="479"/>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480" w:name="_Toc472089215"/>
      <w:bookmarkStart w:id="481" w:name="_Toc392162952"/>
      <w:bookmarkStart w:id="482" w:name="_Toc457400975"/>
      <w:r>
        <w:rPr>
          <w:rStyle w:val="CharSectno"/>
        </w:rPr>
        <w:t>87</w:t>
      </w:r>
      <w:r>
        <w:t>.</w:t>
      </w:r>
      <w:r>
        <w:tab/>
        <w:t>Time for bringing prosecutions</w:t>
      </w:r>
      <w:bookmarkEnd w:id="480"/>
      <w:bookmarkEnd w:id="481"/>
      <w:bookmarkEnd w:id="482"/>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483" w:name="_Toc472089216"/>
      <w:bookmarkStart w:id="484" w:name="_Toc392162953"/>
      <w:bookmarkStart w:id="485" w:name="_Toc457400976"/>
      <w:r>
        <w:rPr>
          <w:rStyle w:val="CharSectno"/>
        </w:rPr>
        <w:t>88</w:t>
      </w:r>
      <w:r>
        <w:t>.</w:t>
      </w:r>
      <w:r>
        <w:tab/>
        <w:t>Daily penalties</w:t>
      </w:r>
      <w:bookmarkEnd w:id="483"/>
      <w:bookmarkEnd w:id="484"/>
      <w:bookmarkEnd w:id="485"/>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486" w:name="_Toc472089217"/>
      <w:bookmarkStart w:id="487" w:name="_Toc392162954"/>
      <w:bookmarkStart w:id="488" w:name="_Toc457400977"/>
      <w:r>
        <w:rPr>
          <w:rStyle w:val="CharSectno"/>
        </w:rPr>
        <w:t>89</w:t>
      </w:r>
      <w:r>
        <w:t>.</w:t>
      </w:r>
      <w:r>
        <w:tab/>
        <w:t>Attempt, incitement or accessory after the fact</w:t>
      </w:r>
      <w:bookmarkEnd w:id="486"/>
      <w:bookmarkEnd w:id="487"/>
      <w:bookmarkEnd w:id="488"/>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489" w:name="_Toc472089218"/>
      <w:bookmarkStart w:id="490" w:name="_Toc392162955"/>
      <w:bookmarkStart w:id="491" w:name="_Toc457400978"/>
      <w:r>
        <w:rPr>
          <w:rStyle w:val="CharSectno"/>
        </w:rPr>
        <w:t>90</w:t>
      </w:r>
      <w:r>
        <w:t>.</w:t>
      </w:r>
      <w:r>
        <w:tab/>
        <w:t>Additional powers available to the court</w:t>
      </w:r>
      <w:bookmarkEnd w:id="489"/>
      <w:bookmarkEnd w:id="490"/>
      <w:bookmarkEnd w:id="491"/>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492" w:name="_Toc460409262"/>
      <w:bookmarkStart w:id="493" w:name="_Toc462127231"/>
      <w:bookmarkStart w:id="494" w:name="_Toc463347030"/>
      <w:bookmarkStart w:id="495" w:name="_Toc472089219"/>
      <w:bookmarkStart w:id="496" w:name="_Toc379274696"/>
      <w:bookmarkStart w:id="497" w:name="_Toc392162956"/>
      <w:bookmarkStart w:id="498" w:name="_Toc424567492"/>
      <w:bookmarkStart w:id="499" w:name="_Toc434935063"/>
      <w:bookmarkStart w:id="500" w:name="_Toc457400979"/>
      <w:r>
        <w:rPr>
          <w:rStyle w:val="CharPartNo"/>
        </w:rPr>
        <w:t>Part 9</w:t>
      </w:r>
      <w:r>
        <w:rPr>
          <w:rStyle w:val="CharDivNo"/>
        </w:rPr>
        <w:t> </w:t>
      </w:r>
      <w:r>
        <w:t>—</w:t>
      </w:r>
      <w:r>
        <w:rPr>
          <w:rStyle w:val="CharDivText"/>
        </w:rPr>
        <w:t> </w:t>
      </w:r>
      <w:r>
        <w:rPr>
          <w:rStyle w:val="CharPartText"/>
        </w:rPr>
        <w:t>General provisions</w:t>
      </w:r>
      <w:bookmarkEnd w:id="492"/>
      <w:bookmarkEnd w:id="493"/>
      <w:bookmarkEnd w:id="494"/>
      <w:bookmarkEnd w:id="495"/>
      <w:bookmarkEnd w:id="496"/>
      <w:bookmarkEnd w:id="497"/>
      <w:bookmarkEnd w:id="498"/>
      <w:bookmarkEnd w:id="499"/>
      <w:bookmarkEnd w:id="500"/>
    </w:p>
    <w:p>
      <w:pPr>
        <w:pStyle w:val="Heading5"/>
      </w:pPr>
      <w:bookmarkStart w:id="501" w:name="_Toc472089220"/>
      <w:bookmarkStart w:id="502" w:name="_Toc392162957"/>
      <w:bookmarkStart w:id="503" w:name="_Toc457400980"/>
      <w:r>
        <w:rPr>
          <w:rStyle w:val="CharSectno"/>
        </w:rPr>
        <w:t>91</w:t>
      </w:r>
      <w:r>
        <w:t>.</w:t>
      </w:r>
      <w:r>
        <w:tab/>
        <w:t>Confidentiality</w:t>
      </w:r>
      <w:bookmarkEnd w:id="501"/>
      <w:bookmarkEnd w:id="502"/>
      <w:bookmarkEnd w:id="503"/>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outlineLvl w:val="0"/>
      </w:pPr>
      <w:r>
        <w:tab/>
        <w:t>Penalty: a fine of $25 000.</w:t>
      </w:r>
    </w:p>
    <w:p>
      <w:pPr>
        <w:pStyle w:val="Heading5"/>
      </w:pPr>
      <w:bookmarkStart w:id="504" w:name="_Toc472089221"/>
      <w:bookmarkStart w:id="505" w:name="_Toc392162958"/>
      <w:bookmarkStart w:id="506" w:name="_Toc457400981"/>
      <w:r>
        <w:rPr>
          <w:rStyle w:val="CharSectno"/>
        </w:rPr>
        <w:t>92</w:t>
      </w:r>
      <w:r>
        <w:t>.</w:t>
      </w:r>
      <w:r>
        <w:tab/>
        <w:t>Delegation</w:t>
      </w:r>
      <w:bookmarkEnd w:id="504"/>
      <w:bookmarkEnd w:id="505"/>
      <w:bookmarkEnd w:id="506"/>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507" w:name="_Toc472089222"/>
      <w:bookmarkStart w:id="508" w:name="_Toc392162959"/>
      <w:bookmarkStart w:id="509" w:name="_Toc457400982"/>
      <w:r>
        <w:rPr>
          <w:rStyle w:val="CharSectno"/>
        </w:rPr>
        <w:t>93</w:t>
      </w:r>
      <w:r>
        <w:t>.</w:t>
      </w:r>
      <w:r>
        <w:tab/>
        <w:t>Other provisions of EP Act apply</w:t>
      </w:r>
      <w:bookmarkEnd w:id="507"/>
      <w:bookmarkEnd w:id="508"/>
      <w:bookmarkEnd w:id="509"/>
    </w:p>
    <w:p>
      <w:pPr>
        <w:pStyle w:val="Subsection"/>
      </w:pPr>
      <w:r>
        <w:tab/>
      </w:r>
      <w:r>
        <w:tab/>
        <w:t xml:space="preserve">Sections 93, 112, 112A, 115, 116,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Heading5"/>
      </w:pPr>
      <w:bookmarkStart w:id="510" w:name="_Toc472089223"/>
      <w:bookmarkStart w:id="511" w:name="_Toc392162960"/>
      <w:bookmarkStart w:id="512" w:name="_Toc457400983"/>
      <w:r>
        <w:rPr>
          <w:rStyle w:val="CharSectno"/>
        </w:rPr>
        <w:t>94</w:t>
      </w:r>
      <w:r>
        <w:t>.</w:t>
      </w:r>
      <w:r>
        <w:tab/>
        <w:t>Protection from liability for wrongdoing</w:t>
      </w:r>
      <w:bookmarkEnd w:id="510"/>
      <w:bookmarkEnd w:id="511"/>
      <w:bookmarkEnd w:id="51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513" w:name="_Toc472089224"/>
      <w:bookmarkStart w:id="514" w:name="_Toc392162961"/>
      <w:bookmarkStart w:id="515" w:name="_Toc457400984"/>
      <w:r>
        <w:rPr>
          <w:rStyle w:val="CharSectno"/>
        </w:rPr>
        <w:t>95</w:t>
      </w:r>
      <w:r>
        <w:t>.</w:t>
      </w:r>
      <w:r>
        <w:tab/>
        <w:t>Laying documents before Parliament</w:t>
      </w:r>
      <w:bookmarkEnd w:id="513"/>
      <w:bookmarkEnd w:id="514"/>
      <w:bookmarkEnd w:id="515"/>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516" w:name="_Toc472089225"/>
      <w:bookmarkStart w:id="517" w:name="_Toc392162962"/>
      <w:bookmarkStart w:id="518" w:name="_Toc457400985"/>
      <w:r>
        <w:rPr>
          <w:rStyle w:val="CharSectno"/>
        </w:rPr>
        <w:t>96</w:t>
      </w:r>
      <w:r>
        <w:t>.</w:t>
      </w:r>
      <w:r>
        <w:tab/>
        <w:t>Regulations</w:t>
      </w:r>
      <w:bookmarkEnd w:id="516"/>
      <w:bookmarkEnd w:id="517"/>
      <w:bookmarkEnd w:id="518"/>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519" w:name="_Toc472089226"/>
      <w:bookmarkStart w:id="520" w:name="_Toc392162963"/>
      <w:bookmarkStart w:id="521" w:name="_Toc457400986"/>
      <w:r>
        <w:rPr>
          <w:rStyle w:val="CharSectno"/>
        </w:rPr>
        <w:t>97</w:t>
      </w:r>
      <w:r>
        <w:t>.</w:t>
      </w:r>
      <w:r>
        <w:tab/>
        <w:t>Regulations to operate as local laws</w:t>
      </w:r>
      <w:bookmarkEnd w:id="519"/>
      <w:bookmarkEnd w:id="520"/>
      <w:bookmarkEnd w:id="521"/>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522" w:name="_Toc472089227"/>
      <w:bookmarkStart w:id="523" w:name="_Toc392162964"/>
      <w:bookmarkStart w:id="524" w:name="_Toc457400987"/>
      <w:r>
        <w:rPr>
          <w:rStyle w:val="CharSectno"/>
        </w:rPr>
        <w:t>98</w:t>
      </w:r>
      <w:r>
        <w:t>.</w:t>
      </w:r>
      <w:r>
        <w:tab/>
        <w:t>Regulations, local laws and waste strategy may adopt codes or legislation and other references</w:t>
      </w:r>
      <w:bookmarkEnd w:id="522"/>
      <w:bookmarkEnd w:id="523"/>
      <w:bookmarkEnd w:id="524"/>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525" w:name="_Toc472089228"/>
      <w:bookmarkStart w:id="526" w:name="_Toc392162965"/>
      <w:bookmarkStart w:id="527" w:name="_Toc457400988"/>
      <w:r>
        <w:rPr>
          <w:rStyle w:val="CharSectno"/>
        </w:rPr>
        <w:t>99</w:t>
      </w:r>
      <w:r>
        <w:t>.</w:t>
      </w:r>
      <w:r>
        <w:tab/>
        <w:t>Review of Act</w:t>
      </w:r>
      <w:bookmarkEnd w:id="525"/>
      <w:bookmarkEnd w:id="526"/>
      <w:bookmarkEnd w:id="527"/>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528" w:name="_Toc472089229"/>
      <w:bookmarkStart w:id="529" w:name="_Toc392162966"/>
      <w:bookmarkStart w:id="530" w:name="_Toc457400989"/>
      <w:r>
        <w:rPr>
          <w:rStyle w:val="CharSectno"/>
        </w:rPr>
        <w:t>100</w:t>
      </w:r>
      <w:r>
        <w:t>.</w:t>
      </w:r>
      <w:r>
        <w:tab/>
        <w:t>Consequential amendments</w:t>
      </w:r>
      <w:bookmarkEnd w:id="528"/>
      <w:bookmarkEnd w:id="529"/>
      <w:bookmarkEnd w:id="530"/>
    </w:p>
    <w:p>
      <w:pPr>
        <w:pStyle w:val="Subsection"/>
      </w:pPr>
      <w:r>
        <w:tab/>
      </w:r>
      <w:r>
        <w:tab/>
        <w:t xml:space="preserve">Each Act specified in Schedule 4 is amended as set out in that Schedule.  </w:t>
      </w:r>
    </w:p>
    <w:p>
      <w:pPr>
        <w:pStyle w:val="Heading5"/>
      </w:pPr>
      <w:bookmarkStart w:id="531" w:name="_Toc472089230"/>
      <w:bookmarkStart w:id="532" w:name="_Toc392162967"/>
      <w:bookmarkStart w:id="533" w:name="_Toc457400990"/>
      <w:r>
        <w:rPr>
          <w:rStyle w:val="CharSectno"/>
        </w:rPr>
        <w:t>101</w:t>
      </w:r>
      <w:r>
        <w:t>.</w:t>
      </w:r>
      <w:r>
        <w:tab/>
        <w:t>Transitional and savings provisions</w:t>
      </w:r>
      <w:bookmarkEnd w:id="531"/>
      <w:bookmarkEnd w:id="532"/>
      <w:bookmarkEnd w:id="533"/>
    </w:p>
    <w:p>
      <w:pPr>
        <w:pStyle w:val="Subsection"/>
      </w:pPr>
      <w:r>
        <w:tab/>
      </w:r>
      <w:r>
        <w:tab/>
        <w:t>Schedule 5 sets out transitional and savings provisions.</w:t>
      </w:r>
    </w:p>
    <w:p>
      <w:pPr>
        <w:pStyle w:val="Heading5"/>
      </w:pPr>
      <w:bookmarkStart w:id="534" w:name="_Toc472089231"/>
      <w:bookmarkStart w:id="535" w:name="_Toc392133317"/>
      <w:bookmarkStart w:id="536" w:name="_Toc392144142"/>
      <w:bookmarkStart w:id="537" w:name="_Toc392162968"/>
      <w:bookmarkStart w:id="538" w:name="_Toc457400991"/>
      <w:r>
        <w:rPr>
          <w:rStyle w:val="CharSectno"/>
        </w:rPr>
        <w:t>102</w:t>
      </w:r>
      <w:r>
        <w:t>.</w:t>
      </w:r>
      <w:r>
        <w:tab/>
      </w:r>
      <w:r>
        <w:rPr>
          <w:i/>
        </w:rPr>
        <w:t>Waste Avoidance and Resource Recovery Levy Regulations</w:t>
      </w:r>
      <w:del w:id="539" w:author="svcMRProcess" w:date="2018-09-17T17:05:00Z">
        <w:r>
          <w:rPr>
            <w:i/>
          </w:rPr>
          <w:delText xml:space="preserve"> </w:delText>
        </w:r>
      </w:del>
      <w:ins w:id="540" w:author="svcMRProcess" w:date="2018-09-17T17:05:00Z">
        <w:r>
          <w:rPr>
            <w:i/>
          </w:rPr>
          <w:t> </w:t>
        </w:r>
      </w:ins>
      <w:r>
        <w:rPr>
          <w:i/>
        </w:rPr>
        <w:t>2008</w:t>
      </w:r>
      <w:r>
        <w:t xml:space="preserve"> and amendments validated</w:t>
      </w:r>
      <w:bookmarkEnd w:id="534"/>
      <w:bookmarkEnd w:id="535"/>
      <w:bookmarkEnd w:id="536"/>
      <w:bookmarkEnd w:id="537"/>
      <w:bookmarkEnd w:id="538"/>
    </w:p>
    <w:p>
      <w:pPr>
        <w:pStyle w:val="Subsection"/>
      </w:pPr>
      <w:r>
        <w:tab/>
        <w:t>(1)</w:t>
      </w:r>
      <w:r>
        <w:tab/>
        <w:t xml:space="preserve">The following regulations are to be taken to have been validly made and to have, and to have always had, full force and effect — </w:t>
      </w:r>
    </w:p>
    <w:p>
      <w:pPr>
        <w:pStyle w:val="Indenta"/>
      </w:pPr>
      <w:r>
        <w:tab/>
        <w:t>(a)</w:t>
      </w:r>
      <w:r>
        <w:tab/>
        <w:t xml:space="preserve">the </w:t>
      </w:r>
      <w:r>
        <w:rPr>
          <w:i/>
        </w:rPr>
        <w:t>Waste Avoidance and Resource Recovery Levy Regulations 2008</w:t>
      </w:r>
      <w:r>
        <w:t>;</w:t>
      </w:r>
    </w:p>
    <w:p>
      <w:pPr>
        <w:pStyle w:val="Indenta"/>
      </w:pPr>
      <w:r>
        <w:tab/>
        <w:t>(b)</w:t>
      </w:r>
      <w:r>
        <w:tab/>
        <w:t xml:space="preserve">the </w:t>
      </w:r>
      <w:r>
        <w:rPr>
          <w:i/>
        </w:rPr>
        <w:t>Waste Avoidance and Resource Recovery Levy Amendment Regulations 2009</w:t>
      </w:r>
      <w:r>
        <w:t>;</w:t>
      </w:r>
    </w:p>
    <w:p>
      <w:pPr>
        <w:pStyle w:val="Indenta"/>
      </w:pPr>
      <w:r>
        <w:tab/>
        <w:t>(c)</w:t>
      </w:r>
      <w:r>
        <w:tab/>
        <w:t xml:space="preserve">the </w:t>
      </w:r>
      <w:r>
        <w:rPr>
          <w:i/>
        </w:rPr>
        <w:t>Waste Avoidance and Resource Recovery Levy Amendment Regulations 2011</w:t>
      </w:r>
      <w:r>
        <w:t>.</w:t>
      </w:r>
    </w:p>
    <w:p>
      <w:pPr>
        <w:pStyle w:val="Subsection"/>
      </w:pPr>
      <w:r>
        <w:tab/>
        <w:t>(2)</w:t>
      </w:r>
      <w:r>
        <w:tab/>
        <w:t>The rights, obligations and liabilities of all persons are to be taken to be, and to have always been, the same as if the regulations listed in subsection (1) had been validly made.</w:t>
      </w:r>
    </w:p>
    <w:p>
      <w:pPr>
        <w:pStyle w:val="Subsection"/>
      </w:pPr>
      <w:r>
        <w:tab/>
        <w:t>(3)</w:t>
      </w:r>
      <w:r>
        <w:tab/>
        <w:t xml:space="preserve">Anything done, or purportedly done, before the </w:t>
      </w:r>
      <w:r>
        <w:rPr>
          <w:i/>
        </w:rPr>
        <w:t>Waste Avoidance and Resource Recovery Amendment (Validation) Act 2014</w:t>
      </w:r>
      <w:r>
        <w:t xml:space="preserve"> section 4 comes into operation</w:t>
      </w:r>
      <w:ins w:id="541" w:author="svcMRProcess" w:date="2018-09-17T17:05:00Z">
        <w:r>
          <w:rPr>
            <w:vertAlign w:val="superscript"/>
          </w:rPr>
          <w:t> 1</w:t>
        </w:r>
      </w:ins>
      <w:r>
        <w:t xml:space="preserve"> is as valid and effective, and is to be taken to have always been as valid and effective, as it would have been if the regulations listed in subsection (1) had been valid at the time the thing was done.</w:t>
      </w:r>
    </w:p>
    <w:p>
      <w:pPr>
        <w:pStyle w:val="Subsection"/>
      </w:pPr>
      <w:r>
        <w:tab/>
        <w:t>(4)</w:t>
      </w:r>
      <w:r>
        <w:tab/>
        <w:t>In subsection (3), a reference to the doing of anything includes a reference to an omission to do anything.</w:t>
      </w:r>
    </w:p>
    <w:p>
      <w:pPr>
        <w:pStyle w:val="Footnotesection"/>
      </w:pPr>
      <w:r>
        <w:tab/>
        <w:t>[Section 102 inserted by No. 16 of 2014 s. 4.]</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42" w:name="_Toc460409275"/>
      <w:bookmarkStart w:id="543" w:name="_Toc462127244"/>
      <w:bookmarkStart w:id="544" w:name="_Toc463347043"/>
      <w:bookmarkStart w:id="545" w:name="_Toc472089232"/>
      <w:bookmarkStart w:id="546" w:name="_Toc379274708"/>
      <w:bookmarkStart w:id="547" w:name="_Toc392162969"/>
      <w:bookmarkStart w:id="548" w:name="_Toc424567505"/>
      <w:bookmarkStart w:id="549" w:name="_Toc434935076"/>
      <w:bookmarkStart w:id="550" w:name="_Toc457400992"/>
      <w:r>
        <w:rPr>
          <w:rStyle w:val="CharSchNo"/>
        </w:rPr>
        <w:t>Schedule 1</w:t>
      </w:r>
      <w:r>
        <w:t> — </w:t>
      </w:r>
      <w:r>
        <w:rPr>
          <w:rStyle w:val="CharSchText"/>
        </w:rPr>
        <w:t>Constitution and proceedings of the Waste Authority</w:t>
      </w:r>
      <w:bookmarkEnd w:id="542"/>
      <w:bookmarkEnd w:id="543"/>
      <w:bookmarkEnd w:id="544"/>
      <w:bookmarkEnd w:id="545"/>
      <w:bookmarkEnd w:id="546"/>
      <w:bookmarkEnd w:id="547"/>
      <w:bookmarkEnd w:id="548"/>
      <w:bookmarkEnd w:id="549"/>
      <w:bookmarkEnd w:id="550"/>
    </w:p>
    <w:p>
      <w:pPr>
        <w:pStyle w:val="yShoulderClause"/>
      </w:pPr>
      <w:r>
        <w:t>[s. 14]</w:t>
      </w:r>
    </w:p>
    <w:p>
      <w:pPr>
        <w:pStyle w:val="yHeading3"/>
        <w:outlineLvl w:val="0"/>
      </w:pPr>
      <w:bookmarkStart w:id="551" w:name="_Toc460409276"/>
      <w:bookmarkStart w:id="552" w:name="_Toc462127245"/>
      <w:bookmarkStart w:id="553" w:name="_Toc463347044"/>
      <w:bookmarkStart w:id="554" w:name="_Toc472089233"/>
      <w:bookmarkStart w:id="555" w:name="_Toc379274709"/>
      <w:bookmarkStart w:id="556" w:name="_Toc392162970"/>
      <w:bookmarkStart w:id="557" w:name="_Toc424567506"/>
      <w:bookmarkStart w:id="558" w:name="_Toc434935077"/>
      <w:bookmarkStart w:id="559" w:name="_Toc457400993"/>
      <w:r>
        <w:rPr>
          <w:rStyle w:val="CharSDivNo"/>
        </w:rPr>
        <w:t>Division 1</w:t>
      </w:r>
      <w:r>
        <w:t> — </w:t>
      </w:r>
      <w:r>
        <w:rPr>
          <w:rStyle w:val="CharSDivText"/>
        </w:rPr>
        <w:t>General provisions</w:t>
      </w:r>
      <w:bookmarkEnd w:id="551"/>
      <w:bookmarkEnd w:id="552"/>
      <w:bookmarkEnd w:id="553"/>
      <w:bookmarkEnd w:id="554"/>
      <w:bookmarkEnd w:id="555"/>
      <w:bookmarkEnd w:id="556"/>
      <w:bookmarkEnd w:id="557"/>
      <w:bookmarkEnd w:id="558"/>
      <w:bookmarkEnd w:id="559"/>
    </w:p>
    <w:p>
      <w:pPr>
        <w:pStyle w:val="yHeading5"/>
        <w:outlineLvl w:val="0"/>
      </w:pPr>
      <w:bookmarkStart w:id="560" w:name="_Toc472089234"/>
      <w:bookmarkStart w:id="561" w:name="_Toc392162971"/>
      <w:bookmarkStart w:id="562" w:name="_Toc457400994"/>
      <w:r>
        <w:rPr>
          <w:rStyle w:val="CharSClsNo"/>
        </w:rPr>
        <w:t>1</w:t>
      </w:r>
      <w:r>
        <w:t>.</w:t>
      </w:r>
      <w:r>
        <w:tab/>
        <w:t>Meaning of terms used in this Schedule</w:t>
      </w:r>
      <w:bookmarkEnd w:id="560"/>
      <w:bookmarkEnd w:id="561"/>
      <w:bookmarkEnd w:id="562"/>
    </w:p>
    <w:p>
      <w:pPr>
        <w:pStyle w:val="ySubsection"/>
        <w:outlineLvl w:val="0"/>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outlineLvl w:val="0"/>
      </w:pPr>
      <w:bookmarkStart w:id="563" w:name="_Toc472089235"/>
      <w:bookmarkStart w:id="564" w:name="_Toc392162972"/>
      <w:bookmarkStart w:id="565" w:name="_Toc457400995"/>
      <w:r>
        <w:rPr>
          <w:rStyle w:val="CharSClsNo"/>
        </w:rPr>
        <w:t>2</w:t>
      </w:r>
      <w:r>
        <w:t>.</w:t>
      </w:r>
      <w:r>
        <w:tab/>
        <w:t>Term of office</w:t>
      </w:r>
      <w:bookmarkEnd w:id="563"/>
      <w:bookmarkEnd w:id="564"/>
      <w:bookmarkEnd w:id="565"/>
    </w:p>
    <w:p>
      <w:pPr>
        <w:pStyle w:val="ySubsection"/>
      </w:pPr>
      <w:r>
        <w:tab/>
      </w:r>
      <w:r>
        <w:tab/>
        <w:t>A member holds office for such term, not exceeding 5 years, as is specified in the instrument of his or her appointment, but may from time to time be reappointed.</w:t>
      </w:r>
    </w:p>
    <w:p>
      <w:pPr>
        <w:pStyle w:val="yHeading5"/>
        <w:outlineLvl w:val="0"/>
      </w:pPr>
      <w:bookmarkStart w:id="566" w:name="_Toc472089236"/>
      <w:bookmarkStart w:id="567" w:name="_Toc392162973"/>
      <w:bookmarkStart w:id="568" w:name="_Toc457400996"/>
      <w:r>
        <w:rPr>
          <w:rStyle w:val="CharSClsNo"/>
        </w:rPr>
        <w:t>3</w:t>
      </w:r>
      <w:r>
        <w:t>.</w:t>
      </w:r>
      <w:r>
        <w:tab/>
        <w:t>Resignation, removal</w:t>
      </w:r>
      <w:bookmarkEnd w:id="566"/>
      <w:bookmarkEnd w:id="567"/>
      <w:bookmarkEnd w:id="568"/>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outlineLvl w:val="0"/>
      </w:pPr>
      <w:bookmarkStart w:id="569" w:name="_Toc472089237"/>
      <w:bookmarkStart w:id="570" w:name="_Toc392162974"/>
      <w:bookmarkStart w:id="571" w:name="_Toc457400997"/>
      <w:r>
        <w:rPr>
          <w:rStyle w:val="CharSClsNo"/>
        </w:rPr>
        <w:t>4</w:t>
      </w:r>
      <w:r>
        <w:t>.</w:t>
      </w:r>
      <w:r>
        <w:tab/>
        <w:t>Leave of absence</w:t>
      </w:r>
      <w:bookmarkEnd w:id="569"/>
      <w:bookmarkEnd w:id="570"/>
      <w:bookmarkEnd w:id="571"/>
    </w:p>
    <w:p>
      <w:pPr>
        <w:pStyle w:val="ySubsection"/>
      </w:pPr>
      <w:r>
        <w:tab/>
      </w:r>
      <w:r>
        <w:tab/>
        <w:t>The Waste Authority may grant leave of absence to a member on such terms and conditions as it thinks fit.</w:t>
      </w:r>
    </w:p>
    <w:p>
      <w:pPr>
        <w:pStyle w:val="yHeading5"/>
        <w:outlineLvl w:val="0"/>
      </w:pPr>
      <w:bookmarkStart w:id="572" w:name="_Toc472089238"/>
      <w:bookmarkStart w:id="573" w:name="_Toc392162975"/>
      <w:bookmarkStart w:id="574" w:name="_Toc457400998"/>
      <w:r>
        <w:rPr>
          <w:rStyle w:val="CharSClsNo"/>
        </w:rPr>
        <w:t>5</w:t>
      </w:r>
      <w:r>
        <w:t>.</w:t>
      </w:r>
      <w:r>
        <w:tab/>
        <w:t>Chairman unable to act</w:t>
      </w:r>
      <w:bookmarkEnd w:id="572"/>
      <w:bookmarkEnd w:id="573"/>
      <w:bookmarkEnd w:id="574"/>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outlineLvl w:val="0"/>
      </w:pPr>
      <w:bookmarkStart w:id="575" w:name="_Toc472089239"/>
      <w:bookmarkStart w:id="576" w:name="_Toc392162976"/>
      <w:bookmarkStart w:id="577" w:name="_Toc457400999"/>
      <w:r>
        <w:t>6.</w:t>
      </w:r>
      <w:r>
        <w:tab/>
        <w:t>Acting members</w:t>
      </w:r>
      <w:bookmarkEnd w:id="575"/>
      <w:bookmarkEnd w:id="576"/>
      <w:bookmarkEnd w:id="577"/>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outlineLvl w:val="0"/>
      </w:pPr>
      <w:bookmarkStart w:id="578" w:name="_Toc472089240"/>
      <w:bookmarkStart w:id="579" w:name="_Toc392162977"/>
      <w:bookmarkStart w:id="580" w:name="_Toc457401000"/>
      <w:r>
        <w:rPr>
          <w:rStyle w:val="CharSClsNo"/>
        </w:rPr>
        <w:t>7</w:t>
      </w:r>
      <w:r>
        <w:t>.</w:t>
      </w:r>
      <w:r>
        <w:tab/>
        <w:t>Saving</w:t>
      </w:r>
      <w:bookmarkEnd w:id="578"/>
      <w:bookmarkEnd w:id="579"/>
      <w:bookmarkEnd w:id="580"/>
    </w:p>
    <w:p>
      <w:pPr>
        <w:pStyle w:val="ySubsection"/>
      </w:pPr>
      <w:r>
        <w:tab/>
      </w:r>
      <w:r>
        <w:tab/>
        <w:t>An act or omission of a person acting in place of another under clause 5 or 6 cannot be questioned on the ground that the occasion for the acting had not arisen or had ceased.</w:t>
      </w:r>
    </w:p>
    <w:p>
      <w:pPr>
        <w:pStyle w:val="yHeading3"/>
        <w:outlineLvl w:val="0"/>
      </w:pPr>
      <w:bookmarkStart w:id="581" w:name="_Toc460409284"/>
      <w:bookmarkStart w:id="582" w:name="_Toc462127253"/>
      <w:bookmarkStart w:id="583" w:name="_Toc463347052"/>
      <w:bookmarkStart w:id="584" w:name="_Toc472089241"/>
      <w:bookmarkStart w:id="585" w:name="_Toc379274717"/>
      <w:bookmarkStart w:id="586" w:name="_Toc392162978"/>
      <w:bookmarkStart w:id="587" w:name="_Toc424567514"/>
      <w:bookmarkStart w:id="588" w:name="_Toc434935085"/>
      <w:bookmarkStart w:id="589" w:name="_Toc457401001"/>
      <w:r>
        <w:rPr>
          <w:rStyle w:val="CharSDivNo"/>
        </w:rPr>
        <w:t>Division 2</w:t>
      </w:r>
      <w:r>
        <w:t> — </w:t>
      </w:r>
      <w:r>
        <w:rPr>
          <w:rStyle w:val="CharSDivText"/>
        </w:rPr>
        <w:t>Proceedings of Waste Authority</w:t>
      </w:r>
      <w:bookmarkEnd w:id="581"/>
      <w:bookmarkEnd w:id="582"/>
      <w:bookmarkEnd w:id="583"/>
      <w:bookmarkEnd w:id="584"/>
      <w:bookmarkEnd w:id="585"/>
      <w:bookmarkEnd w:id="586"/>
      <w:bookmarkEnd w:id="587"/>
      <w:bookmarkEnd w:id="588"/>
      <w:bookmarkEnd w:id="589"/>
    </w:p>
    <w:p>
      <w:pPr>
        <w:pStyle w:val="yHeading5"/>
        <w:outlineLvl w:val="0"/>
      </w:pPr>
      <w:bookmarkStart w:id="590" w:name="_Toc472089242"/>
      <w:bookmarkStart w:id="591" w:name="_Toc392162979"/>
      <w:bookmarkStart w:id="592" w:name="_Toc457401002"/>
      <w:r>
        <w:rPr>
          <w:rStyle w:val="CharSClsNo"/>
        </w:rPr>
        <w:t>8</w:t>
      </w:r>
      <w:r>
        <w:t>.</w:t>
      </w:r>
      <w:r>
        <w:tab/>
        <w:t>Meetings</w:t>
      </w:r>
      <w:bookmarkEnd w:id="590"/>
      <w:bookmarkEnd w:id="591"/>
      <w:bookmarkEnd w:id="592"/>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outlineLvl w:val="0"/>
      </w:pPr>
      <w:bookmarkStart w:id="593" w:name="_Toc472089243"/>
      <w:bookmarkStart w:id="594" w:name="_Toc392162980"/>
      <w:bookmarkStart w:id="595" w:name="_Toc457401003"/>
      <w:r>
        <w:rPr>
          <w:rStyle w:val="CharSClsNo"/>
        </w:rPr>
        <w:t>9</w:t>
      </w:r>
      <w:r>
        <w:t>.</w:t>
      </w:r>
      <w:r>
        <w:tab/>
        <w:t>Voting</w:t>
      </w:r>
      <w:bookmarkEnd w:id="593"/>
      <w:bookmarkEnd w:id="594"/>
      <w:bookmarkEnd w:id="595"/>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outlineLvl w:val="0"/>
      </w:pPr>
      <w:bookmarkStart w:id="596" w:name="_Toc472089244"/>
      <w:bookmarkStart w:id="597" w:name="_Toc392162981"/>
      <w:bookmarkStart w:id="598" w:name="_Toc457401004"/>
      <w:r>
        <w:rPr>
          <w:rStyle w:val="CharSClsNo"/>
        </w:rPr>
        <w:t>10</w:t>
      </w:r>
      <w:r>
        <w:t>.</w:t>
      </w:r>
      <w:r>
        <w:tab/>
        <w:t>Minutes</w:t>
      </w:r>
      <w:bookmarkEnd w:id="596"/>
      <w:bookmarkEnd w:id="597"/>
      <w:bookmarkEnd w:id="598"/>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outlineLvl w:val="0"/>
      </w:pPr>
      <w:bookmarkStart w:id="599" w:name="_Toc472089245"/>
      <w:bookmarkStart w:id="600" w:name="_Toc392162982"/>
      <w:bookmarkStart w:id="601" w:name="_Toc457401005"/>
      <w:r>
        <w:rPr>
          <w:rStyle w:val="CharSClsNo"/>
        </w:rPr>
        <w:t>11</w:t>
      </w:r>
      <w:r>
        <w:t>.</w:t>
      </w:r>
      <w:r>
        <w:tab/>
        <w:t>Resolution without meeting</w:t>
      </w:r>
      <w:bookmarkEnd w:id="599"/>
      <w:bookmarkEnd w:id="600"/>
      <w:bookmarkEnd w:id="601"/>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outlineLvl w:val="0"/>
      </w:pPr>
      <w:bookmarkStart w:id="602" w:name="_Toc472089246"/>
      <w:bookmarkStart w:id="603" w:name="_Toc392162983"/>
      <w:bookmarkStart w:id="604" w:name="_Toc457401006"/>
      <w:r>
        <w:rPr>
          <w:rStyle w:val="CharSClsNo"/>
        </w:rPr>
        <w:t>12</w:t>
      </w:r>
      <w:r>
        <w:t>.</w:t>
      </w:r>
      <w:r>
        <w:tab/>
        <w:t>Holding meetings remotely</w:t>
      </w:r>
      <w:bookmarkEnd w:id="602"/>
      <w:bookmarkEnd w:id="603"/>
      <w:bookmarkEnd w:id="604"/>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outlineLvl w:val="0"/>
      </w:pPr>
      <w:bookmarkStart w:id="605" w:name="_Toc472089247"/>
      <w:bookmarkStart w:id="606" w:name="_Toc392162984"/>
      <w:bookmarkStart w:id="607" w:name="_Toc457401007"/>
      <w:r>
        <w:rPr>
          <w:rStyle w:val="CharSClsNo"/>
        </w:rPr>
        <w:t>13</w:t>
      </w:r>
      <w:r>
        <w:t>.</w:t>
      </w:r>
      <w:r>
        <w:tab/>
        <w:t>Waste Authority to determine own procedures</w:t>
      </w:r>
      <w:bookmarkEnd w:id="605"/>
      <w:bookmarkEnd w:id="606"/>
      <w:bookmarkEnd w:id="607"/>
    </w:p>
    <w:p>
      <w:pPr>
        <w:pStyle w:val="ySubsection"/>
      </w:pPr>
      <w:r>
        <w:tab/>
      </w:r>
      <w:r>
        <w:tab/>
        <w:t>Subject to this Act, the Waste Authority may determine its own procedures.</w:t>
      </w:r>
    </w:p>
    <w:p>
      <w:pPr>
        <w:pStyle w:val="yHeading3"/>
        <w:outlineLvl w:val="0"/>
      </w:pPr>
      <w:bookmarkStart w:id="608" w:name="_Toc460409291"/>
      <w:bookmarkStart w:id="609" w:name="_Toc462127260"/>
      <w:bookmarkStart w:id="610" w:name="_Toc463347059"/>
      <w:bookmarkStart w:id="611" w:name="_Toc472089248"/>
      <w:bookmarkStart w:id="612" w:name="_Toc379274724"/>
      <w:bookmarkStart w:id="613" w:name="_Toc392162985"/>
      <w:bookmarkStart w:id="614" w:name="_Toc424567521"/>
      <w:bookmarkStart w:id="615" w:name="_Toc434935092"/>
      <w:bookmarkStart w:id="616" w:name="_Toc457401008"/>
      <w:r>
        <w:rPr>
          <w:rStyle w:val="CharSDivNo"/>
        </w:rPr>
        <w:t>Division 3</w:t>
      </w:r>
      <w:r>
        <w:t> — </w:t>
      </w:r>
      <w:r>
        <w:rPr>
          <w:rStyle w:val="CharSDivText"/>
        </w:rPr>
        <w:t>Disclosure of interests etc.</w:t>
      </w:r>
      <w:bookmarkEnd w:id="608"/>
      <w:bookmarkEnd w:id="609"/>
      <w:bookmarkEnd w:id="610"/>
      <w:bookmarkEnd w:id="611"/>
      <w:bookmarkEnd w:id="612"/>
      <w:bookmarkEnd w:id="613"/>
      <w:bookmarkEnd w:id="614"/>
      <w:bookmarkEnd w:id="615"/>
      <w:bookmarkEnd w:id="616"/>
    </w:p>
    <w:p>
      <w:pPr>
        <w:pStyle w:val="yHeading5"/>
        <w:outlineLvl w:val="0"/>
      </w:pPr>
      <w:bookmarkStart w:id="617" w:name="_Toc472089249"/>
      <w:bookmarkStart w:id="618" w:name="_Toc392162986"/>
      <w:bookmarkStart w:id="619" w:name="_Toc457401009"/>
      <w:r>
        <w:rPr>
          <w:rStyle w:val="CharSClsNo"/>
        </w:rPr>
        <w:t>14</w:t>
      </w:r>
      <w:r>
        <w:t>.</w:t>
      </w:r>
      <w:r>
        <w:tab/>
        <w:t>Disclosure of interests</w:t>
      </w:r>
      <w:bookmarkEnd w:id="617"/>
      <w:bookmarkEnd w:id="618"/>
      <w:bookmarkEnd w:id="619"/>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outlineLvl w:val="0"/>
      </w:pPr>
      <w:r>
        <w:tab/>
        <w:t>Penalty: a fine of $10 000.</w:t>
      </w:r>
    </w:p>
    <w:p>
      <w:pPr>
        <w:pStyle w:val="ySubsection"/>
      </w:pPr>
      <w:r>
        <w:tab/>
        <w:t>(2)</w:t>
      </w:r>
      <w:r>
        <w:tab/>
        <w:t>A disclosure under subclause (1) must be recorded in the minutes of the meeting.</w:t>
      </w:r>
    </w:p>
    <w:p>
      <w:pPr>
        <w:pStyle w:val="yHeading5"/>
        <w:outlineLvl w:val="0"/>
      </w:pPr>
      <w:bookmarkStart w:id="620" w:name="_Toc472089250"/>
      <w:bookmarkStart w:id="621" w:name="_Toc392162987"/>
      <w:bookmarkStart w:id="622" w:name="_Toc457401010"/>
      <w:r>
        <w:rPr>
          <w:rStyle w:val="CharSClsNo"/>
        </w:rPr>
        <w:t>15</w:t>
      </w:r>
      <w:r>
        <w:t>.</w:t>
      </w:r>
      <w:r>
        <w:tab/>
        <w:t>Voting by interested members</w:t>
      </w:r>
      <w:bookmarkEnd w:id="620"/>
      <w:bookmarkEnd w:id="621"/>
      <w:bookmarkEnd w:id="622"/>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outlineLvl w:val="0"/>
      </w:pPr>
      <w:bookmarkStart w:id="623" w:name="_Toc472089251"/>
      <w:bookmarkStart w:id="624" w:name="_Toc392162988"/>
      <w:bookmarkStart w:id="625" w:name="_Toc457401011"/>
      <w:r>
        <w:rPr>
          <w:rStyle w:val="CharSClsNo"/>
        </w:rPr>
        <w:t>16</w:t>
      </w:r>
      <w:r>
        <w:t>.</w:t>
      </w:r>
      <w:r>
        <w:tab/>
        <w:t>Clause 15 may be declared inapplicable</w:t>
      </w:r>
      <w:bookmarkEnd w:id="623"/>
      <w:bookmarkEnd w:id="624"/>
      <w:bookmarkEnd w:id="625"/>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26" w:name="_Toc472089252"/>
      <w:bookmarkStart w:id="627" w:name="_Toc392162989"/>
      <w:bookmarkStart w:id="628" w:name="_Toc457401012"/>
      <w:r>
        <w:rPr>
          <w:rStyle w:val="CharSClsNo"/>
        </w:rPr>
        <w:t>17</w:t>
      </w:r>
      <w:r>
        <w:t>.</w:t>
      </w:r>
      <w:r>
        <w:tab/>
        <w:t>Quorum where clause 15 applies</w:t>
      </w:r>
      <w:bookmarkEnd w:id="626"/>
      <w:bookmarkEnd w:id="627"/>
      <w:bookmarkEnd w:id="628"/>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outlineLvl w:val="0"/>
      </w:pPr>
      <w:bookmarkStart w:id="629" w:name="_Toc472089253"/>
      <w:bookmarkStart w:id="630" w:name="_Toc392162990"/>
      <w:bookmarkStart w:id="631" w:name="_Toc457401013"/>
      <w:r>
        <w:rPr>
          <w:rStyle w:val="CharSClsNo"/>
        </w:rPr>
        <w:t>18</w:t>
      </w:r>
      <w:r>
        <w:t>.</w:t>
      </w:r>
      <w:r>
        <w:tab/>
        <w:t>Minister may declare clauses 15 and 17 inapplicable</w:t>
      </w:r>
      <w:bookmarkEnd w:id="629"/>
      <w:bookmarkEnd w:id="630"/>
      <w:bookmarkEnd w:id="631"/>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633" w:name="_Toc460409297"/>
      <w:bookmarkStart w:id="634" w:name="_Toc462127266"/>
      <w:bookmarkStart w:id="635" w:name="_Toc463347065"/>
      <w:bookmarkStart w:id="636" w:name="_Toc472089254"/>
      <w:bookmarkStart w:id="637" w:name="_Toc379274730"/>
      <w:bookmarkStart w:id="638" w:name="_Toc392162991"/>
      <w:bookmarkStart w:id="639" w:name="_Toc424567527"/>
      <w:bookmarkStart w:id="640" w:name="_Toc434935098"/>
      <w:bookmarkStart w:id="641" w:name="_Toc457401014"/>
      <w:r>
        <w:rPr>
          <w:rStyle w:val="CharSchNo"/>
        </w:rPr>
        <w:t>Schedule 2</w:t>
      </w:r>
      <w:r>
        <w:rPr>
          <w:rStyle w:val="CharSDivNo"/>
        </w:rPr>
        <w:t> </w:t>
      </w:r>
      <w:r>
        <w:t>—</w:t>
      </w:r>
      <w:r>
        <w:rPr>
          <w:rStyle w:val="CharSDivText"/>
        </w:rPr>
        <w:t> </w:t>
      </w:r>
      <w:r>
        <w:rPr>
          <w:rStyle w:val="CharSchText"/>
        </w:rPr>
        <w:t>Functions of the Waste Authority</w:t>
      </w:r>
      <w:bookmarkEnd w:id="633"/>
      <w:bookmarkEnd w:id="634"/>
      <w:bookmarkEnd w:id="635"/>
      <w:bookmarkEnd w:id="636"/>
      <w:bookmarkEnd w:id="637"/>
      <w:bookmarkEnd w:id="638"/>
      <w:bookmarkEnd w:id="639"/>
      <w:bookmarkEnd w:id="640"/>
      <w:bookmarkEnd w:id="641"/>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2A.</w:t>
      </w:r>
      <w:r>
        <w:tab/>
        <w:t>To seek the advice of such other entities as the Waste Authority thinks fit for the purpose of providing advice to the Minister in relation to the setting and variation of a levy.</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14A.</w:t>
      </w:r>
      <w:r>
        <w:tab/>
        <w:t>From time to time to develop and publish a statement of the objectives to be achieved by programmes funded under section 80(1)(a).</w:t>
      </w:r>
    </w:p>
    <w:p>
      <w:pPr>
        <w:pStyle w:val="yNumberedItem"/>
      </w:pPr>
      <w:r>
        <w:t>14.</w:t>
      </w:r>
      <w:r>
        <w:tab/>
        <w:t>To ensure that the appropriate investigations, audits and inspections in relation to the application of moneys under section 80(1)(a)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pPr>
      <w:r>
        <w:tab/>
        <w:t>[Schedule 2 amended by No. 48 of 2009 s. 10.]</w:t>
      </w:r>
    </w:p>
    <w:p>
      <w:pPr>
        <w:pStyle w:val="yScheduleHeading"/>
      </w:pPr>
      <w:bookmarkStart w:id="642" w:name="_Toc460409298"/>
      <w:bookmarkStart w:id="643" w:name="_Toc462127267"/>
      <w:bookmarkStart w:id="644" w:name="_Toc463347066"/>
      <w:bookmarkStart w:id="645" w:name="_Toc472089255"/>
      <w:bookmarkStart w:id="646" w:name="_Toc379274731"/>
      <w:bookmarkStart w:id="647" w:name="_Toc392162992"/>
      <w:bookmarkStart w:id="648" w:name="_Toc424567528"/>
      <w:bookmarkStart w:id="649" w:name="_Toc434935099"/>
      <w:bookmarkStart w:id="650" w:name="_Toc457401015"/>
      <w:r>
        <w:rPr>
          <w:rStyle w:val="CharSchNo"/>
        </w:rPr>
        <w:t>Schedule 3</w:t>
      </w:r>
      <w:r>
        <w:t> — </w:t>
      </w:r>
      <w:r>
        <w:rPr>
          <w:rStyle w:val="CharSchText"/>
        </w:rPr>
        <w:t>Matters in respect of which regulations may be made</w:t>
      </w:r>
      <w:bookmarkEnd w:id="642"/>
      <w:bookmarkEnd w:id="643"/>
      <w:bookmarkEnd w:id="644"/>
      <w:bookmarkEnd w:id="645"/>
      <w:bookmarkEnd w:id="646"/>
      <w:bookmarkEnd w:id="647"/>
      <w:bookmarkEnd w:id="648"/>
      <w:bookmarkEnd w:id="649"/>
      <w:bookmarkEnd w:id="650"/>
    </w:p>
    <w:p>
      <w:pPr>
        <w:pStyle w:val="yShoulderClause"/>
      </w:pPr>
      <w:r>
        <w:t>[s. 96]</w:t>
      </w:r>
    </w:p>
    <w:p>
      <w:pPr>
        <w:pStyle w:val="yHeading3"/>
        <w:outlineLvl w:val="0"/>
      </w:pPr>
      <w:bookmarkStart w:id="651" w:name="_Toc460409299"/>
      <w:bookmarkStart w:id="652" w:name="_Toc462127268"/>
      <w:bookmarkStart w:id="653" w:name="_Toc463347067"/>
      <w:bookmarkStart w:id="654" w:name="_Toc472089256"/>
      <w:bookmarkStart w:id="655" w:name="_Toc379274732"/>
      <w:bookmarkStart w:id="656" w:name="_Toc392162993"/>
      <w:bookmarkStart w:id="657" w:name="_Toc424567529"/>
      <w:bookmarkStart w:id="658" w:name="_Toc434935100"/>
      <w:bookmarkStart w:id="659" w:name="_Toc457401016"/>
      <w:r>
        <w:rPr>
          <w:rStyle w:val="CharSDivNo"/>
        </w:rPr>
        <w:t>Division 1</w:t>
      </w:r>
      <w:r>
        <w:t> — </w:t>
      </w:r>
      <w:r>
        <w:rPr>
          <w:rStyle w:val="CharSDivText"/>
        </w:rPr>
        <w:t>General</w:t>
      </w:r>
      <w:bookmarkEnd w:id="651"/>
      <w:bookmarkEnd w:id="652"/>
      <w:bookmarkEnd w:id="653"/>
      <w:bookmarkEnd w:id="654"/>
      <w:bookmarkEnd w:id="655"/>
      <w:bookmarkEnd w:id="656"/>
      <w:bookmarkEnd w:id="657"/>
      <w:bookmarkEnd w:id="658"/>
      <w:bookmarkEnd w:id="659"/>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Heading3"/>
        <w:outlineLvl w:val="0"/>
      </w:pPr>
      <w:bookmarkStart w:id="660" w:name="_Toc460409300"/>
      <w:bookmarkStart w:id="661" w:name="_Toc462127269"/>
      <w:bookmarkStart w:id="662" w:name="_Toc463347068"/>
      <w:bookmarkStart w:id="663" w:name="_Toc472089257"/>
      <w:bookmarkStart w:id="664" w:name="_Toc379274733"/>
      <w:bookmarkStart w:id="665" w:name="_Toc392162994"/>
      <w:bookmarkStart w:id="666" w:name="_Toc424567530"/>
      <w:bookmarkStart w:id="667" w:name="_Toc434935101"/>
      <w:bookmarkStart w:id="668" w:name="_Toc457401017"/>
      <w:r>
        <w:rPr>
          <w:rStyle w:val="CharSDivNo"/>
        </w:rPr>
        <w:t>Division 2</w:t>
      </w:r>
      <w:r>
        <w:t> — </w:t>
      </w:r>
      <w:r>
        <w:rPr>
          <w:rStyle w:val="CharSDivText"/>
        </w:rPr>
        <w:t>Waste collection and facilities</w:t>
      </w:r>
      <w:bookmarkEnd w:id="660"/>
      <w:bookmarkEnd w:id="661"/>
      <w:bookmarkEnd w:id="662"/>
      <w:bookmarkEnd w:id="663"/>
      <w:bookmarkEnd w:id="664"/>
      <w:bookmarkEnd w:id="665"/>
      <w:bookmarkEnd w:id="666"/>
      <w:bookmarkEnd w:id="667"/>
      <w:bookmarkEnd w:id="668"/>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outlineLvl w:val="0"/>
      </w:pPr>
      <w:bookmarkStart w:id="669" w:name="_Toc460409301"/>
      <w:bookmarkStart w:id="670" w:name="_Toc462127270"/>
      <w:bookmarkStart w:id="671" w:name="_Toc463347069"/>
      <w:bookmarkStart w:id="672" w:name="_Toc472089258"/>
      <w:bookmarkStart w:id="673" w:name="_Toc379274734"/>
      <w:bookmarkStart w:id="674" w:name="_Toc392162995"/>
      <w:bookmarkStart w:id="675" w:name="_Toc424567531"/>
      <w:bookmarkStart w:id="676" w:name="_Toc434935102"/>
      <w:bookmarkStart w:id="677" w:name="_Toc457401018"/>
      <w:r>
        <w:rPr>
          <w:rStyle w:val="CharSDivNo"/>
        </w:rPr>
        <w:t>Division 3</w:t>
      </w:r>
      <w:r>
        <w:t> — </w:t>
      </w:r>
      <w:r>
        <w:rPr>
          <w:rStyle w:val="CharSDivText"/>
        </w:rPr>
        <w:t>Product stewardship</w:t>
      </w:r>
      <w:bookmarkEnd w:id="669"/>
      <w:bookmarkEnd w:id="670"/>
      <w:bookmarkEnd w:id="671"/>
      <w:bookmarkEnd w:id="672"/>
      <w:bookmarkEnd w:id="673"/>
      <w:bookmarkEnd w:id="674"/>
      <w:bookmarkEnd w:id="675"/>
      <w:bookmarkEnd w:id="676"/>
      <w:bookmarkEnd w:id="677"/>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outlineLvl w:val="0"/>
      </w:pPr>
      <w:bookmarkStart w:id="678" w:name="_Toc460409302"/>
      <w:bookmarkStart w:id="679" w:name="_Toc462127271"/>
      <w:bookmarkStart w:id="680" w:name="_Toc463347070"/>
      <w:bookmarkStart w:id="681" w:name="_Toc472089259"/>
      <w:bookmarkStart w:id="682" w:name="_Toc379274735"/>
      <w:bookmarkStart w:id="683" w:name="_Toc392162996"/>
      <w:bookmarkStart w:id="684" w:name="_Toc424567532"/>
      <w:bookmarkStart w:id="685" w:name="_Toc434935103"/>
      <w:bookmarkStart w:id="686" w:name="_Toc457401019"/>
      <w:r>
        <w:rPr>
          <w:rStyle w:val="CharSchNo"/>
        </w:rPr>
        <w:t>Schedule 4</w:t>
      </w:r>
      <w:r>
        <w:rPr>
          <w:rStyle w:val="CharSDivNo"/>
        </w:rPr>
        <w:t> </w:t>
      </w:r>
      <w:r>
        <w:t>—</w:t>
      </w:r>
      <w:r>
        <w:rPr>
          <w:rStyle w:val="CharSDivText"/>
        </w:rPr>
        <w:t> </w:t>
      </w:r>
      <w:r>
        <w:rPr>
          <w:rStyle w:val="CharSchText"/>
        </w:rPr>
        <w:t>Amendments and repeals</w:t>
      </w:r>
      <w:bookmarkEnd w:id="678"/>
      <w:bookmarkEnd w:id="679"/>
      <w:bookmarkEnd w:id="680"/>
      <w:bookmarkEnd w:id="681"/>
      <w:bookmarkEnd w:id="682"/>
      <w:bookmarkEnd w:id="683"/>
      <w:bookmarkEnd w:id="684"/>
      <w:bookmarkEnd w:id="685"/>
      <w:bookmarkEnd w:id="686"/>
    </w:p>
    <w:p>
      <w:pPr>
        <w:pStyle w:val="yShoulderClause"/>
      </w:pPr>
      <w:r>
        <w:t>[s. 100]</w:t>
      </w:r>
    </w:p>
    <w:p>
      <w:pPr>
        <w:pStyle w:val="yHeading5"/>
        <w:outlineLvl w:val="0"/>
        <w:rPr>
          <w:del w:id="687" w:author="svcMRProcess" w:date="2018-09-17T17:05:00Z"/>
        </w:rPr>
      </w:pPr>
      <w:ins w:id="688" w:author="svcMRProcess" w:date="2018-09-17T17:05:00Z">
        <w:r>
          <w:t>[</w:t>
        </w:r>
      </w:ins>
      <w:bookmarkStart w:id="689" w:name="_Toc392162997"/>
      <w:bookmarkStart w:id="690" w:name="_Toc457401020"/>
      <w:r>
        <w:t>1.</w:t>
      </w:r>
      <w:r>
        <w:tab/>
      </w:r>
      <w:del w:id="691" w:author="svcMRProcess" w:date="2018-09-17T17:05:00Z">
        <w:r>
          <w:rPr>
            <w:i/>
            <w:iCs/>
          </w:rPr>
          <w:delText>Constitution Acts Amendment Act 1899</w:delText>
        </w:r>
        <w:r>
          <w:delText xml:space="preserve"> amended</w:delText>
        </w:r>
        <w:bookmarkEnd w:id="689"/>
        <w:bookmarkEnd w:id="690"/>
      </w:del>
    </w:p>
    <w:p>
      <w:pPr>
        <w:pStyle w:val="ySubsection"/>
        <w:rPr>
          <w:del w:id="692" w:author="svcMRProcess" w:date="2018-09-17T17:05:00Z"/>
          <w:iCs/>
        </w:rPr>
      </w:pPr>
      <w:del w:id="693" w:author="svcMRProcess" w:date="2018-09-17T17:05:00Z">
        <w:r>
          <w:tab/>
          <w:delText>(1)</w:delText>
        </w:r>
        <w:r>
          <w:tab/>
          <w:delText>The amendment in this clause is to the</w:delText>
        </w:r>
        <w:r>
          <w:rPr>
            <w:i/>
          </w:rPr>
          <w:delText xml:space="preserve"> Constitution Acts Amendment Act 1899</w:delText>
        </w:r>
        <w:r>
          <w:rPr>
            <w:iCs/>
          </w:rPr>
          <w:delText>.</w:delText>
        </w:r>
      </w:del>
    </w:p>
    <w:p>
      <w:pPr>
        <w:pStyle w:val="ySubsection"/>
        <w:rPr>
          <w:del w:id="694" w:author="svcMRProcess" w:date="2018-09-17T17:05:00Z"/>
        </w:rPr>
      </w:pPr>
      <w:del w:id="695" w:author="svcMRProcess" w:date="2018-09-17T17:05:00Z">
        <w:r>
          <w:tab/>
          <w:delText>(2)</w:delText>
        </w:r>
        <w:r>
          <w:tab/>
          <w:delText xml:space="preserve">Schedule V Part 3 is amended by inserting after the item relating to the Veterinary Surgeons’ Board the following item — </w:delText>
        </w:r>
      </w:del>
    </w:p>
    <w:p>
      <w:pPr>
        <w:pStyle w:val="MiscOpen"/>
        <w:ind w:left="879"/>
        <w:rPr>
          <w:del w:id="696" w:author="svcMRProcess" w:date="2018-09-17T17:05:00Z"/>
        </w:rPr>
      </w:pPr>
      <w:del w:id="697" w:author="svcMRProcess" w:date="2018-09-17T17:05:00Z">
        <w:r>
          <w:delText xml:space="preserve">“    </w:delText>
        </w:r>
      </w:del>
    </w:p>
    <w:p>
      <w:pPr>
        <w:pStyle w:val="yEdnotesection"/>
      </w:pPr>
      <w:del w:id="698" w:author="svcMRProcess" w:date="2018-09-17T17:05:00Z">
        <w:r>
          <w:delText>The Waste Authority established</w:delText>
        </w:r>
      </w:del>
      <w:ins w:id="699" w:author="svcMRProcess" w:date="2018-09-17T17:05:00Z">
        <w:r>
          <w:t>Omitted</w:t>
        </w:r>
      </w:ins>
      <w:r>
        <w:t xml:space="preserve"> under the </w:t>
      </w:r>
      <w:del w:id="700" w:author="svcMRProcess" w:date="2018-09-17T17:05:00Z">
        <w:r>
          <w:delText>Waste Avoidance and Resource Recovery Act 2007.</w:delText>
        </w:r>
      </w:del>
      <w:ins w:id="701" w:author="svcMRProcess" w:date="2018-09-17T17:05:00Z">
        <w:r>
          <w:t>Reprints Act 1984 s. 7(4)(e).</w:t>
        </w:r>
        <w:r>
          <w:rPr>
            <w:iCs/>
          </w:rPr>
          <w:t>]</w:t>
        </w:r>
      </w:ins>
    </w:p>
    <w:p>
      <w:pPr>
        <w:pStyle w:val="MiscClose"/>
        <w:rPr>
          <w:del w:id="702" w:author="svcMRProcess" w:date="2018-09-17T17:05:00Z"/>
        </w:rPr>
      </w:pPr>
      <w:bookmarkStart w:id="703" w:name="_Toc472089260"/>
      <w:del w:id="704" w:author="svcMRProcess" w:date="2018-09-17T17:05:00Z">
        <w:r>
          <w:delText xml:space="preserve">    ”.</w:delText>
        </w:r>
      </w:del>
    </w:p>
    <w:p>
      <w:pPr>
        <w:pStyle w:val="yHeading5"/>
        <w:outlineLvl w:val="0"/>
      </w:pPr>
      <w:bookmarkStart w:id="705" w:name="_Toc392162998"/>
      <w:bookmarkStart w:id="706" w:name="_Toc457401021"/>
      <w:r>
        <w:rPr>
          <w:rStyle w:val="CharSClsNo"/>
        </w:rPr>
        <w:t>2</w:t>
      </w:r>
      <w:r>
        <w:t>.</w:t>
      </w:r>
      <w:r>
        <w:tab/>
      </w:r>
      <w:r>
        <w:rPr>
          <w:i/>
          <w:iCs/>
        </w:rPr>
        <w:t xml:space="preserve">Environmental Protection Act 1986 </w:t>
      </w:r>
      <w:r>
        <w:t>amended</w:t>
      </w:r>
      <w:bookmarkEnd w:id="703"/>
      <w:bookmarkEnd w:id="705"/>
      <w:bookmarkEnd w:id="706"/>
    </w:p>
    <w:p>
      <w:pPr>
        <w:pStyle w:val="ySubsection"/>
      </w:pPr>
      <w:r>
        <w:tab/>
        <w:t>(1)</w:t>
      </w:r>
      <w:r>
        <w:tab/>
        <w:t xml:space="preserve">The amendments in this clause are to the </w:t>
      </w:r>
      <w:r>
        <w:rPr>
          <w:i/>
        </w:rPr>
        <w:t>Environmental Protection Act 1986</w:t>
      </w:r>
      <w:r>
        <w:t>.</w:t>
      </w:r>
    </w:p>
    <w:p>
      <w:pPr>
        <w:pStyle w:val="ySubsection"/>
        <w:rPr>
          <w:del w:id="707" w:author="svcMRProcess" w:date="2018-09-17T17:05:00Z"/>
        </w:rPr>
      </w:pPr>
      <w:del w:id="708" w:author="svcMRProcess" w:date="2018-09-17T17:05:00Z">
        <w:r>
          <w:tab/>
          <w:delText>(2)</w:delText>
        </w:r>
        <w:r>
          <w:tab/>
          <w:delText>Section 3(1) is amended by deleting the definition of “Waste Management (WA)”.</w:delText>
        </w:r>
      </w:del>
    </w:p>
    <w:p>
      <w:pPr>
        <w:pStyle w:val="yEdnotesubsection"/>
        <w:rPr>
          <w:ins w:id="709" w:author="svcMRProcess" w:date="2018-09-17T17:05:00Z"/>
        </w:rPr>
      </w:pPr>
      <w:ins w:id="710" w:author="svcMRProcess" w:date="2018-09-17T17:05:00Z">
        <w:r>
          <w:tab/>
          <w:t>[(2)</w:t>
        </w:r>
        <w:r>
          <w:tab/>
          <w:t>Omitted under the Reprints Act 1984 s. 7(4)(e).</w:t>
        </w:r>
        <w:r>
          <w:rPr>
            <w:iCs/>
          </w:rPr>
          <w:t>]</w:t>
        </w:r>
      </w:ins>
    </w:p>
    <w:p>
      <w:pPr>
        <w:pStyle w:val="yEdnotesubsection"/>
        <w:rPr>
          <w:iCs/>
        </w:rPr>
      </w:pPr>
      <w:r>
        <w:tab/>
        <w:t>[(3)</w:t>
      </w:r>
      <w:r>
        <w:tab/>
        <w:t>Has not come into operation </w:t>
      </w:r>
      <w:r>
        <w:rPr>
          <w:i w:val="0"/>
          <w:vertAlign w:val="superscript"/>
        </w:rPr>
        <w:t>2</w:t>
      </w:r>
      <w:r>
        <w:rPr>
          <w:i w:val="0"/>
        </w:rPr>
        <w:t>.</w:t>
      </w:r>
      <w:r>
        <w:rPr>
          <w:iCs/>
        </w:rPr>
        <w:t>]</w:t>
      </w:r>
    </w:p>
    <w:p>
      <w:pPr>
        <w:pStyle w:val="ySubsection"/>
        <w:rPr>
          <w:del w:id="711" w:author="svcMRProcess" w:date="2018-09-17T17:05:00Z"/>
        </w:rPr>
      </w:pPr>
      <w:r>
        <w:tab/>
      </w:r>
      <w:del w:id="712" w:author="svcMRProcess" w:date="2018-09-17T17:05:00Z">
        <w:r>
          <w:delText>(</w:delText>
        </w:r>
      </w:del>
      <w:ins w:id="713" w:author="svcMRProcess" w:date="2018-09-17T17:05:00Z">
        <w:r>
          <w:t>[(</w:t>
        </w:r>
      </w:ins>
      <w:r>
        <w:t>4</w:t>
      </w:r>
      <w:del w:id="714" w:author="svcMRProcess" w:date="2018-09-17T17:05:00Z">
        <w:r>
          <w:delText>)</w:delText>
        </w:r>
        <w:r>
          <w:tab/>
          <w:delText>Part VIIB is repealed.</w:delText>
        </w:r>
      </w:del>
    </w:p>
    <w:p>
      <w:pPr>
        <w:pStyle w:val="yEdnotesubsection"/>
        <w:rPr>
          <w:i w:val="0"/>
        </w:rPr>
      </w:pPr>
      <w:del w:id="715" w:author="svcMRProcess" w:date="2018-09-17T17:05:00Z">
        <w:r>
          <w:tab/>
          <w:delText>(</w:delText>
        </w:r>
      </w:del>
      <w:ins w:id="716" w:author="svcMRProcess" w:date="2018-09-17T17:05:00Z">
        <w:r>
          <w:t>-</w:t>
        </w:r>
      </w:ins>
      <w:r>
        <w:t>5)</w:t>
      </w:r>
      <w:r>
        <w:tab/>
      </w:r>
      <w:del w:id="717" w:author="svcMRProcess" w:date="2018-09-17T17:05:00Z">
        <w:r>
          <w:delText>Schedule 2 item 33 is amended by inserting after “controlling</w:delText>
        </w:r>
      </w:del>
      <w:ins w:id="718" w:author="svcMRProcess" w:date="2018-09-17T17:05:00Z">
        <w:r>
          <w:t>Omitted under</w:t>
        </w:r>
      </w:ins>
      <w:r>
        <w:t xml:space="preserve"> the</w:t>
      </w:r>
      <w:del w:id="719" w:author="svcMRProcess" w:date="2018-09-17T17:05:00Z">
        <w:r>
          <w:delText xml:space="preserve">” — </w:delText>
        </w:r>
      </w:del>
      <w:ins w:id="720" w:author="svcMRProcess" w:date="2018-09-17T17:05:00Z">
        <w:r>
          <w:t xml:space="preserve"> Reprints Act 1984 s. 7(4)(e).</w:t>
        </w:r>
        <w:r>
          <w:rPr>
            <w:iCs/>
          </w:rPr>
          <w:t>]</w:t>
        </w:r>
      </w:ins>
    </w:p>
    <w:p>
      <w:pPr>
        <w:pStyle w:val="ySubsection"/>
        <w:rPr>
          <w:del w:id="721" w:author="svcMRProcess" w:date="2018-09-17T17:05:00Z"/>
        </w:rPr>
      </w:pPr>
      <w:del w:id="722" w:author="svcMRProcess" w:date="2018-09-17T17:05:00Z">
        <w:r>
          <w:tab/>
        </w:r>
        <w:r>
          <w:tab/>
          <w:delText>“    collection,    ”.</w:delText>
        </w:r>
      </w:del>
    </w:p>
    <w:p>
      <w:pPr>
        <w:pStyle w:val="yEdnotesection"/>
      </w:pPr>
      <w:r>
        <w:t>[</w:t>
      </w:r>
      <w:r>
        <w:rPr>
          <w:b/>
          <w:bCs/>
        </w:rPr>
        <w:t>3.</w:t>
      </w:r>
      <w:r>
        <w:tab/>
        <w:t>Has not come into operation </w:t>
      </w:r>
      <w:r>
        <w:rPr>
          <w:vertAlign w:val="superscript"/>
        </w:rPr>
        <w:t>2</w:t>
      </w:r>
      <w:r>
        <w:t>.]</w:t>
      </w:r>
    </w:p>
    <w:p>
      <w:pPr>
        <w:pStyle w:val="yHeading5"/>
        <w:outlineLvl w:val="0"/>
        <w:rPr>
          <w:del w:id="723" w:author="svcMRProcess" w:date="2018-09-17T17:05:00Z"/>
        </w:rPr>
      </w:pPr>
      <w:ins w:id="724" w:author="svcMRProcess" w:date="2018-09-17T17:05:00Z">
        <w:r>
          <w:t>[</w:t>
        </w:r>
      </w:ins>
      <w:bookmarkStart w:id="725" w:name="_Toc392162999"/>
      <w:bookmarkStart w:id="726" w:name="_Toc457401022"/>
      <w:r>
        <w:t>4</w:t>
      </w:r>
      <w:del w:id="727" w:author="svcMRProcess" w:date="2018-09-17T17:05:00Z">
        <w:r>
          <w:delText>.</w:delText>
        </w:r>
        <w:r>
          <w:tab/>
        </w:r>
        <w:r>
          <w:rPr>
            <w:i/>
            <w:iCs/>
          </w:rPr>
          <w:delText>Health Act 1911</w:delText>
        </w:r>
        <w:r>
          <w:delText xml:space="preserve"> amended</w:delText>
        </w:r>
        <w:bookmarkEnd w:id="725"/>
        <w:bookmarkEnd w:id="726"/>
      </w:del>
    </w:p>
    <w:p>
      <w:pPr>
        <w:pStyle w:val="ySubsection"/>
        <w:rPr>
          <w:del w:id="728" w:author="svcMRProcess" w:date="2018-09-17T17:05:00Z"/>
        </w:rPr>
      </w:pPr>
      <w:del w:id="729" w:author="svcMRProcess" w:date="2018-09-17T17:05:00Z">
        <w:r>
          <w:tab/>
          <w:delText>(1)</w:delText>
        </w:r>
        <w:r>
          <w:tab/>
          <w:delText xml:space="preserve">The amendments in this clause are to the </w:delText>
        </w:r>
        <w:r>
          <w:rPr>
            <w:i/>
            <w:iCs/>
          </w:rPr>
          <w:delText>Health Act 1911</w:delText>
        </w:r>
        <w:r>
          <w:delText>.</w:delText>
        </w:r>
      </w:del>
    </w:p>
    <w:p>
      <w:pPr>
        <w:pStyle w:val="ySubsection"/>
        <w:rPr>
          <w:del w:id="730" w:author="svcMRProcess" w:date="2018-09-17T17:05:00Z"/>
        </w:rPr>
      </w:pPr>
      <w:del w:id="731" w:author="svcMRProcess" w:date="2018-09-17T17:05:00Z">
        <w:r>
          <w:tab/>
          <w:delText>(2)</w:delText>
        </w:r>
        <w:r>
          <w:tab/>
          <w:delText xml:space="preserve">Section 41 is amended by deleting “refuse” and inserting instead — </w:delText>
        </w:r>
      </w:del>
    </w:p>
    <w:p>
      <w:pPr>
        <w:pStyle w:val="ySubsection"/>
        <w:rPr>
          <w:del w:id="732" w:author="svcMRProcess" w:date="2018-09-17T17:05:00Z"/>
        </w:rPr>
      </w:pPr>
      <w:del w:id="733" w:author="svcMRProcess" w:date="2018-09-17T17:05:00Z">
        <w:r>
          <w:tab/>
        </w:r>
        <w:r>
          <w:tab/>
          <w:delText>“    sewage    ”.</w:delText>
        </w:r>
      </w:del>
    </w:p>
    <w:p>
      <w:pPr>
        <w:pStyle w:val="ySubsection"/>
        <w:rPr>
          <w:del w:id="734" w:author="svcMRProcess" w:date="2018-09-17T17:05:00Z"/>
        </w:rPr>
      </w:pPr>
      <w:del w:id="735" w:author="svcMRProcess" w:date="2018-09-17T17:05:00Z">
        <w:r>
          <w:tab/>
          <w:delText>(3)</w:delText>
        </w:r>
        <w:r>
          <w:tab/>
          <w:delText>Section 106(1) is amended by deleting “, rubbish or refuse”.</w:delText>
        </w:r>
      </w:del>
    </w:p>
    <w:p>
      <w:pPr>
        <w:pStyle w:val="ySubsection"/>
        <w:rPr>
          <w:del w:id="736" w:author="svcMRProcess" w:date="2018-09-17T17:05:00Z"/>
        </w:rPr>
      </w:pPr>
      <w:del w:id="737" w:author="svcMRProcess" w:date="2018-09-17T17:05:00Z">
        <w:r>
          <w:tab/>
          <w:delText>(4)</w:delText>
        </w:r>
        <w:r>
          <w:tab/>
          <w:delText>Section 111 is amended by deleting “, rubbish, or refuse”.</w:delText>
        </w:r>
      </w:del>
    </w:p>
    <w:p>
      <w:pPr>
        <w:pStyle w:val="ySubsection"/>
        <w:rPr>
          <w:del w:id="738" w:author="svcMRProcess" w:date="2018-09-17T17:05:00Z"/>
        </w:rPr>
      </w:pPr>
      <w:del w:id="739" w:author="svcMRProcess" w:date="2018-09-17T17:05:00Z">
        <w:r>
          <w:tab/>
          <w:delText>(</w:delText>
        </w:r>
      </w:del>
      <w:ins w:id="740" w:author="svcMRProcess" w:date="2018-09-17T17:05:00Z">
        <w:r>
          <w:rPr>
            <w:b/>
          </w:rPr>
          <w:t xml:space="preserve">, </w:t>
        </w:r>
      </w:ins>
      <w:r>
        <w:rPr>
          <w:b/>
        </w:rPr>
        <w:t>5</w:t>
      </w:r>
      <w:del w:id="741" w:author="svcMRProcess" w:date="2018-09-17T17:05:00Z">
        <w:r>
          <w:delText>)</w:delText>
        </w:r>
        <w:r>
          <w:tab/>
          <w:delText>Section 112(1) is amended by deleting paragraph (a) and paragraphs (f) to (h).</w:delText>
        </w:r>
      </w:del>
    </w:p>
    <w:p>
      <w:pPr>
        <w:pStyle w:val="ySubsection"/>
        <w:rPr>
          <w:del w:id="742" w:author="svcMRProcess" w:date="2018-09-17T17:05:00Z"/>
        </w:rPr>
      </w:pPr>
      <w:del w:id="743" w:author="svcMRProcess" w:date="2018-09-17T17:05:00Z">
        <w:r>
          <w:tab/>
          <w:delText>(6)</w:delText>
        </w:r>
        <w:r>
          <w:tab/>
          <w:delText>Sections 112A, 114(2), 115, 118 and 134(20), (21), (22), (23), (24) and (30) are repealed.</w:delText>
        </w:r>
      </w:del>
    </w:p>
    <w:p>
      <w:pPr>
        <w:pStyle w:val="ySubsection"/>
        <w:rPr>
          <w:del w:id="744" w:author="svcMRProcess" w:date="2018-09-17T17:05:00Z"/>
        </w:rPr>
      </w:pPr>
      <w:del w:id="745" w:author="svcMRProcess" w:date="2018-09-17T17:05:00Z">
        <w:r>
          <w:tab/>
          <w:delText>(7)</w:delText>
        </w:r>
        <w:r>
          <w:tab/>
          <w:delText>The Table to section 344C</w:delText>
        </w:r>
        <w:r>
          <w:rPr>
            <w:i/>
          </w:rPr>
          <w:delText xml:space="preserve"> </w:delText>
        </w:r>
        <w:r>
          <w:delText>is amended as follows:</w:delText>
        </w:r>
      </w:del>
    </w:p>
    <w:p>
      <w:pPr>
        <w:pStyle w:val="yIndenta"/>
        <w:rPr>
          <w:del w:id="746" w:author="svcMRProcess" w:date="2018-09-17T17:05:00Z"/>
        </w:rPr>
      </w:pPr>
      <w:del w:id="747" w:author="svcMRProcess" w:date="2018-09-17T17:05:00Z">
        <w:r>
          <w:tab/>
          <w:delText>(a)</w:delText>
        </w:r>
        <w:r>
          <w:tab/>
          <w:delText>by deleting “112A(1)(b) and (3)(b),”;</w:delText>
        </w:r>
      </w:del>
    </w:p>
    <w:p>
      <w:pPr>
        <w:pStyle w:val="yIndenta"/>
        <w:rPr>
          <w:del w:id="748" w:author="svcMRProcess" w:date="2018-09-17T17:05:00Z"/>
        </w:rPr>
      </w:pPr>
      <w:del w:id="749" w:author="svcMRProcess" w:date="2018-09-17T17:05:00Z">
        <w:r>
          <w:tab/>
          <w:delText>(b)</w:delText>
        </w:r>
        <w:r>
          <w:tab/>
          <w:delText>by deleting “(30),”.</w:delText>
        </w:r>
      </w:del>
    </w:p>
    <w:p>
      <w:pPr>
        <w:pStyle w:val="ySubsection"/>
        <w:rPr>
          <w:del w:id="750" w:author="svcMRProcess" w:date="2018-09-17T17:05:00Z"/>
        </w:rPr>
      </w:pPr>
      <w:del w:id="751" w:author="svcMRProcess" w:date="2018-09-17T17:05:00Z">
        <w:r>
          <w:tab/>
          <w:delText>(8)</w:delText>
        </w:r>
        <w:r>
          <w:tab/>
          <w:delText>Schedule 5 is amended by deleting “112A(4),”.</w:delText>
        </w:r>
      </w:del>
    </w:p>
    <w:p>
      <w:pPr>
        <w:pStyle w:val="yHeading5"/>
        <w:outlineLvl w:val="0"/>
        <w:rPr>
          <w:del w:id="752" w:author="svcMRProcess" w:date="2018-09-17T17:05:00Z"/>
        </w:rPr>
      </w:pPr>
      <w:bookmarkStart w:id="753" w:name="_Toc392163000"/>
      <w:bookmarkStart w:id="754" w:name="_Toc457401023"/>
      <w:del w:id="755" w:author="svcMRProcess" w:date="2018-09-17T17:05:00Z">
        <w:r>
          <w:rPr>
            <w:rStyle w:val="CharSClsNo"/>
          </w:rPr>
          <w:delText>5</w:delText>
        </w:r>
        <w:r>
          <w:delText>.</w:delText>
        </w:r>
        <w:r>
          <w:tab/>
        </w:r>
        <w:r>
          <w:rPr>
            <w:i/>
            <w:iCs/>
          </w:rPr>
          <w:delText>Public Works Act 1902</w:delText>
        </w:r>
        <w:r>
          <w:delText xml:space="preserve"> amended</w:delText>
        </w:r>
        <w:bookmarkEnd w:id="753"/>
        <w:bookmarkEnd w:id="754"/>
      </w:del>
    </w:p>
    <w:p>
      <w:pPr>
        <w:pStyle w:val="ySubsection"/>
        <w:rPr>
          <w:del w:id="756" w:author="svcMRProcess" w:date="2018-09-17T17:05:00Z"/>
        </w:rPr>
      </w:pPr>
      <w:del w:id="757" w:author="svcMRProcess" w:date="2018-09-17T17:05:00Z">
        <w:r>
          <w:tab/>
          <w:delText>(1)</w:delText>
        </w:r>
        <w:r>
          <w:tab/>
          <w:delText xml:space="preserve">The amendment in this clause is to the </w:delText>
        </w:r>
        <w:r>
          <w:rPr>
            <w:i/>
            <w:iCs/>
          </w:rPr>
          <w:delText>Public Works Act 1902</w:delText>
        </w:r>
        <w:r>
          <w:delText>.</w:delText>
        </w:r>
      </w:del>
    </w:p>
    <w:p>
      <w:pPr>
        <w:pStyle w:val="ySubsection"/>
        <w:rPr>
          <w:del w:id="758" w:author="svcMRProcess" w:date="2018-09-17T17:05:00Z"/>
        </w:rPr>
      </w:pPr>
      <w:del w:id="759" w:author="svcMRProcess" w:date="2018-09-17T17:05:00Z">
        <w:r>
          <w:tab/>
          <w:delText>(2)</w:delText>
        </w:r>
        <w:r>
          <w:tab/>
          <w:delText xml:space="preserve">After section 111 the following Part is inserted — </w:delText>
        </w:r>
      </w:del>
    </w:p>
    <w:p>
      <w:pPr>
        <w:pStyle w:val="MiscOpen"/>
        <w:rPr>
          <w:del w:id="760" w:author="svcMRProcess" w:date="2018-09-17T17:05:00Z"/>
        </w:rPr>
      </w:pPr>
      <w:del w:id="761" w:author="svcMRProcess" w:date="2018-09-17T17:05:00Z">
        <w:r>
          <w:delText xml:space="preserve">“    </w:delText>
        </w:r>
      </w:del>
    </w:p>
    <w:p>
      <w:pPr>
        <w:pStyle w:val="zHeading2"/>
        <w:spacing w:before="0"/>
        <w:outlineLvl w:val="0"/>
        <w:rPr>
          <w:del w:id="762" w:author="svcMRProcess" w:date="2018-09-17T17:05:00Z"/>
        </w:rPr>
      </w:pPr>
      <w:bookmarkStart w:id="763" w:name="_Toc379274740"/>
      <w:bookmarkStart w:id="764" w:name="_Toc392163001"/>
      <w:bookmarkStart w:id="765" w:name="_Toc424567537"/>
      <w:bookmarkStart w:id="766" w:name="_Toc434935108"/>
      <w:bookmarkStart w:id="767" w:name="_Toc457401024"/>
      <w:del w:id="768" w:author="svcMRProcess" w:date="2018-09-17T17:05:00Z">
        <w:r>
          <w:delText>Part VIA</w:delText>
        </w:r>
        <w:r>
          <w:rPr>
            <w:b w:val="0"/>
          </w:rPr>
          <w:delText> </w:delText>
        </w:r>
        <w:r>
          <w:delText>—</w:delText>
        </w:r>
        <w:r>
          <w:rPr>
            <w:b w:val="0"/>
          </w:rPr>
          <w:delText> </w:delText>
        </w:r>
        <w:r>
          <w:delText>Miscellaneous</w:delText>
        </w:r>
        <w:bookmarkEnd w:id="763"/>
        <w:bookmarkEnd w:id="764"/>
        <w:bookmarkEnd w:id="765"/>
        <w:bookmarkEnd w:id="766"/>
        <w:bookmarkEnd w:id="767"/>
      </w:del>
    </w:p>
    <w:p>
      <w:pPr>
        <w:pStyle w:val="zHeading5"/>
        <w:rPr>
          <w:del w:id="769" w:author="svcMRProcess" w:date="2018-09-17T17:05:00Z"/>
        </w:rPr>
      </w:pPr>
      <w:bookmarkStart w:id="770" w:name="_Toc392163002"/>
      <w:bookmarkStart w:id="771" w:name="_Toc457401025"/>
      <w:del w:id="772" w:author="svcMRProcess" w:date="2018-09-17T17:05:00Z">
        <w:r>
          <w:delText>112.</w:delText>
        </w:r>
        <w:r>
          <w:tab/>
          <w:delText>Waste management operations at Mt Walton</w:delText>
        </w:r>
        <w:bookmarkEnd w:id="770"/>
        <w:bookmarkEnd w:id="771"/>
      </w:del>
    </w:p>
    <w:p>
      <w:pPr>
        <w:pStyle w:val="zSubsection"/>
        <w:rPr>
          <w:del w:id="773" w:author="svcMRProcess" w:date="2018-09-17T17:05:00Z"/>
        </w:rPr>
      </w:pPr>
      <w:del w:id="774" w:author="svcMRProcess" w:date="2018-09-17T17:05:00Z">
        <w:r>
          <w:tab/>
          <w:delText>(1)</w:delText>
        </w:r>
        <w:r>
          <w:tab/>
          <w:delText xml:space="preserve">In this section — </w:delText>
        </w:r>
      </w:del>
    </w:p>
    <w:p>
      <w:pPr>
        <w:pStyle w:val="zDefstart"/>
        <w:rPr>
          <w:del w:id="775" w:author="svcMRProcess" w:date="2018-09-17T17:05:00Z"/>
          <w:bCs/>
        </w:rPr>
      </w:pPr>
      <w:del w:id="776" w:author="svcMRProcess" w:date="2018-09-17T17:05:00Z">
        <w:r>
          <w:rPr>
            <w:b/>
          </w:rPr>
          <w:tab/>
        </w:r>
        <w:r>
          <w:rPr>
            <w:rStyle w:val="CharDefText"/>
          </w:rPr>
          <w:delText>waste</w:delText>
        </w:r>
        <w:r>
          <w:delText xml:space="preserve"> </w:delText>
        </w:r>
        <w:r>
          <w:rPr>
            <w:bCs/>
          </w:rPr>
          <w:delText xml:space="preserve">has the meaning given by the </w:delText>
        </w:r>
        <w:r>
          <w:rPr>
            <w:bCs/>
            <w:i/>
            <w:iCs/>
          </w:rPr>
          <w:delText>Waste Avoidance and Resource Recovery Act 2007</w:delText>
        </w:r>
        <w:r>
          <w:rPr>
            <w:bCs/>
          </w:rPr>
          <w:delText>;</w:delText>
        </w:r>
      </w:del>
    </w:p>
    <w:p>
      <w:pPr>
        <w:pStyle w:val="zDefstart"/>
        <w:rPr>
          <w:del w:id="777" w:author="svcMRProcess" w:date="2018-09-17T17:05:00Z"/>
          <w:bCs/>
        </w:rPr>
      </w:pPr>
      <w:del w:id="778" w:author="svcMRProcess" w:date="2018-09-17T17:05:00Z">
        <w:r>
          <w:rPr>
            <w:b/>
          </w:rPr>
          <w:tab/>
        </w:r>
        <w:r>
          <w:rPr>
            <w:rStyle w:val="CharDefText"/>
          </w:rPr>
          <w:delText>waste management operation</w:delText>
        </w:r>
        <w:r>
          <w:delText xml:space="preserve"> </w:delText>
        </w:r>
        <w:r>
          <w:rPr>
            <w:bCs/>
          </w:rPr>
          <w:delText>means an operation for the collection, transport, receipt, storage, treatment or disposal of waste, or for 2 or more of those activities.</w:delText>
        </w:r>
      </w:del>
    </w:p>
    <w:p>
      <w:pPr>
        <w:pStyle w:val="zSubsection"/>
        <w:rPr>
          <w:del w:id="779" w:author="svcMRProcess" w:date="2018-09-17T17:05:00Z"/>
        </w:rPr>
      </w:pPr>
      <w:del w:id="780" w:author="svcMRProcess" w:date="2018-09-17T17:05:00Z">
        <w:r>
          <w:tab/>
          <w:delText>(2)</w:delText>
        </w:r>
        <w:r>
          <w:tab/>
          <w:delText xml:space="preserve">Subject to the </w:delText>
        </w:r>
        <w:r>
          <w:rPr>
            <w:i/>
            <w:iCs/>
          </w:rPr>
          <w:delText>Waste Avoidance and Resource Recovery Act 2007</w:delText>
        </w:r>
        <w:r>
          <w:delText xml:space="preserve">, the </w:delText>
        </w:r>
        <w:r>
          <w:rPr>
            <w:i/>
            <w:iCs/>
          </w:rPr>
          <w:delText xml:space="preserve">Environmental Protection Act 1986 </w:delText>
        </w:r>
        <w:r>
          <w:delText xml:space="preserve">and any other written law relating to the treatment and disposal of waste, the Minister may, but is not obliged to — </w:delText>
        </w:r>
      </w:del>
    </w:p>
    <w:p>
      <w:pPr>
        <w:pStyle w:val="zIndenta"/>
        <w:rPr>
          <w:del w:id="781" w:author="svcMRProcess" w:date="2018-09-17T17:05:00Z"/>
        </w:rPr>
      </w:pPr>
      <w:del w:id="782" w:author="svcMRProcess" w:date="2018-09-17T17:05:00Z">
        <w:r>
          <w:tab/>
          <w:delText>(a)</w:delText>
        </w:r>
        <w:r>
          <w:tab/>
          <w:delText>carry on waste management operations at or in relation to the intractable waste disposal facility operated at Mt Walton East, Shire of Coolgardie; and</w:delText>
        </w:r>
      </w:del>
    </w:p>
    <w:p>
      <w:pPr>
        <w:pStyle w:val="yEdnotesection"/>
      </w:pPr>
      <w:del w:id="783" w:author="svcMRProcess" w:date="2018-09-17T17:05:00Z">
        <w:r>
          <w:tab/>
          <w:delText>(b)</w:delText>
        </w:r>
        <w:r>
          <w:tab/>
          <w:delText>do all things necessary or convenient to be done for or in connection with the performance of functions</w:delText>
        </w:r>
      </w:del>
      <w:ins w:id="784" w:author="svcMRProcess" w:date="2018-09-17T17:05:00Z">
        <w:r>
          <w:rPr>
            <w:b/>
          </w:rPr>
          <w:t>.</w:t>
        </w:r>
        <w:r>
          <w:tab/>
          <w:t>Omitted</w:t>
        </w:r>
      </w:ins>
      <w:r>
        <w:t xml:space="preserve"> under </w:t>
      </w:r>
      <w:del w:id="785" w:author="svcMRProcess" w:date="2018-09-17T17:05:00Z">
        <w:r>
          <w:delText>paragraph (a).</w:delText>
        </w:r>
      </w:del>
      <w:ins w:id="786" w:author="svcMRProcess" w:date="2018-09-17T17:05:00Z">
        <w:r>
          <w:t>the Reprints Act 1984 s. 7(4)(e).</w:t>
        </w:r>
        <w:r>
          <w:rPr>
            <w:iCs/>
          </w:rPr>
          <w:t>]</w:t>
        </w:r>
      </w:ins>
    </w:p>
    <w:p>
      <w:pPr>
        <w:pStyle w:val="zSubsection"/>
        <w:spacing w:before="100"/>
        <w:rPr>
          <w:del w:id="787" w:author="svcMRProcess" w:date="2018-09-17T17:05:00Z"/>
        </w:rPr>
      </w:pPr>
      <w:bookmarkStart w:id="788" w:name="_Toc460409304"/>
      <w:bookmarkStart w:id="789" w:name="_Toc462127273"/>
      <w:bookmarkStart w:id="790" w:name="_Toc463347072"/>
      <w:bookmarkStart w:id="791" w:name="_Toc472089261"/>
      <w:del w:id="792" w:author="svcMRProcess" w:date="2018-09-17T17:05:00Z">
        <w:r>
          <w:tab/>
          <w:delText>(3)</w:delText>
        </w:r>
        <w:r>
          <w:tab/>
          <w:delText xml:space="preserve">Without limiting subsection (2), the Minister may, for the purpose of performing any function under this section — </w:delText>
        </w:r>
      </w:del>
    </w:p>
    <w:p>
      <w:pPr>
        <w:pStyle w:val="zIndenta"/>
        <w:rPr>
          <w:del w:id="793" w:author="svcMRProcess" w:date="2018-09-17T17:05:00Z"/>
        </w:rPr>
      </w:pPr>
      <w:del w:id="794" w:author="svcMRProcess" w:date="2018-09-17T17:05:00Z">
        <w:r>
          <w:tab/>
          <w:delText>(a)</w:delText>
        </w:r>
        <w:r>
          <w:tab/>
          <w:delText xml:space="preserve">enter into any contract or arrangement, including a contract or arrangement with any person for — </w:delText>
        </w:r>
      </w:del>
    </w:p>
    <w:p>
      <w:pPr>
        <w:pStyle w:val="zIndenti"/>
        <w:rPr>
          <w:del w:id="795" w:author="svcMRProcess" w:date="2018-09-17T17:05:00Z"/>
        </w:rPr>
      </w:pPr>
      <w:del w:id="796" w:author="svcMRProcess" w:date="2018-09-17T17:05:00Z">
        <w:r>
          <w:tab/>
          <w:delText>(i)</w:delText>
        </w:r>
        <w:r>
          <w:tab/>
          <w:delText>the performance of the function by that person on behalf of the Minister; or</w:delText>
        </w:r>
      </w:del>
    </w:p>
    <w:p>
      <w:pPr>
        <w:pStyle w:val="zIndenti"/>
        <w:rPr>
          <w:del w:id="797" w:author="svcMRProcess" w:date="2018-09-17T17:05:00Z"/>
        </w:rPr>
      </w:pPr>
      <w:del w:id="798" w:author="svcMRProcess" w:date="2018-09-17T17:05:00Z">
        <w:r>
          <w:tab/>
          <w:delText>(ii)</w:delText>
        </w:r>
        <w:r>
          <w:tab/>
          <w:delText xml:space="preserve">the supply of equipment or services; </w:delText>
        </w:r>
      </w:del>
    </w:p>
    <w:p>
      <w:pPr>
        <w:pStyle w:val="zIndenta"/>
        <w:rPr>
          <w:del w:id="799" w:author="svcMRProcess" w:date="2018-09-17T17:05:00Z"/>
        </w:rPr>
      </w:pPr>
      <w:del w:id="800" w:author="svcMRProcess" w:date="2018-09-17T17:05:00Z">
        <w:r>
          <w:tab/>
        </w:r>
        <w:r>
          <w:tab/>
          <w:delText>and</w:delText>
        </w:r>
      </w:del>
    </w:p>
    <w:p>
      <w:pPr>
        <w:pStyle w:val="zIndenta"/>
        <w:rPr>
          <w:del w:id="801" w:author="svcMRProcess" w:date="2018-09-17T17:05:00Z"/>
        </w:rPr>
      </w:pPr>
      <w:del w:id="802" w:author="svcMRProcess" w:date="2018-09-17T17:05:00Z">
        <w:r>
          <w:tab/>
          <w:delText>(b)</w:delText>
        </w:r>
        <w:r>
          <w:tab/>
          <w:delText>charge for the use of services or facilities.</w:delText>
        </w:r>
      </w:del>
    </w:p>
    <w:p>
      <w:pPr>
        <w:pStyle w:val="zHeading5"/>
        <w:spacing w:before="180"/>
        <w:rPr>
          <w:del w:id="803" w:author="svcMRProcess" w:date="2018-09-17T17:05:00Z"/>
        </w:rPr>
      </w:pPr>
      <w:bookmarkStart w:id="804" w:name="_Toc392163003"/>
      <w:bookmarkStart w:id="805" w:name="_Toc457401026"/>
      <w:del w:id="806" w:author="svcMRProcess" w:date="2018-09-17T17:05:00Z">
        <w:r>
          <w:delText>113.</w:delText>
        </w:r>
        <w:r>
          <w:tab/>
          <w:delText>Delegation of powers and duties under section 112</w:delText>
        </w:r>
        <w:bookmarkEnd w:id="804"/>
        <w:bookmarkEnd w:id="805"/>
      </w:del>
    </w:p>
    <w:p>
      <w:pPr>
        <w:pStyle w:val="zSubsection"/>
        <w:spacing w:before="100"/>
        <w:rPr>
          <w:del w:id="807" w:author="svcMRProcess" w:date="2018-09-17T17:05:00Z"/>
        </w:rPr>
      </w:pPr>
      <w:del w:id="808" w:author="svcMRProcess" w:date="2018-09-17T17:05:00Z">
        <w:r>
          <w:tab/>
          <w:delText>(1)</w:delText>
        </w:r>
        <w:r>
          <w:tab/>
          <w:delText xml:space="preserve">In this section — </w:delText>
        </w:r>
      </w:del>
    </w:p>
    <w:p>
      <w:pPr>
        <w:pStyle w:val="zDefstart"/>
        <w:rPr>
          <w:del w:id="809" w:author="svcMRProcess" w:date="2018-09-17T17:05:00Z"/>
          <w:b/>
          <w:bCs/>
        </w:rPr>
      </w:pPr>
      <w:del w:id="810" w:author="svcMRProcess" w:date="2018-09-17T17:05:00Z">
        <w:r>
          <w:tab/>
        </w:r>
        <w:r>
          <w:rPr>
            <w:rStyle w:val="CharDefText"/>
          </w:rPr>
          <w:delText>public authority</w:delText>
        </w:r>
        <w:r>
          <w:delText xml:space="preserve"> means</w:delText>
        </w:r>
        <w:r>
          <w:rPr>
            <w:b/>
            <w:bCs/>
          </w:rPr>
          <w:delText xml:space="preserve"> — </w:delText>
        </w:r>
      </w:del>
    </w:p>
    <w:p>
      <w:pPr>
        <w:pStyle w:val="zDefpara"/>
        <w:rPr>
          <w:del w:id="811" w:author="svcMRProcess" w:date="2018-09-17T17:05:00Z"/>
        </w:rPr>
      </w:pPr>
      <w:del w:id="812" w:author="svcMRProcess" w:date="2018-09-17T17:05:00Z">
        <w:r>
          <w:tab/>
          <w:delText>(a)</w:delText>
        </w:r>
        <w:r>
          <w:tab/>
          <w:delText>a Minister of the State;</w:delText>
        </w:r>
      </w:del>
    </w:p>
    <w:p>
      <w:pPr>
        <w:pStyle w:val="zDefpara"/>
        <w:rPr>
          <w:del w:id="813" w:author="svcMRProcess" w:date="2018-09-17T17:05:00Z"/>
        </w:rPr>
      </w:pPr>
      <w:del w:id="814" w:author="svcMRProcess" w:date="2018-09-17T17:05:00Z">
        <w:r>
          <w:tab/>
          <w:delText>(b)</w:delText>
        </w:r>
        <w:r>
          <w:tab/>
          <w:delText>an agency, authority or instrumentality of the State; or</w:delText>
        </w:r>
      </w:del>
    </w:p>
    <w:p>
      <w:pPr>
        <w:pStyle w:val="zDefpara"/>
        <w:rPr>
          <w:del w:id="815" w:author="svcMRProcess" w:date="2018-09-17T17:05:00Z"/>
        </w:rPr>
      </w:pPr>
      <w:del w:id="816" w:author="svcMRProcess" w:date="2018-09-17T17:05:00Z">
        <w:r>
          <w:tab/>
          <w:delText>(c)</w:delText>
        </w:r>
        <w:r>
          <w:tab/>
          <w:delText>a local government; or</w:delText>
        </w:r>
      </w:del>
    </w:p>
    <w:p>
      <w:pPr>
        <w:pStyle w:val="zDefpara"/>
        <w:rPr>
          <w:del w:id="817" w:author="svcMRProcess" w:date="2018-09-17T17:05:00Z"/>
        </w:rPr>
      </w:pPr>
      <w:del w:id="818" w:author="svcMRProcess" w:date="2018-09-17T17:05:00Z">
        <w:r>
          <w:tab/>
          <w:delText>(d)</w:delText>
        </w:r>
        <w:r>
          <w:tab/>
          <w:delText>a body, whether corporate or unincorporate, that is established or continued for a public purpose under a written law.</w:delText>
        </w:r>
      </w:del>
    </w:p>
    <w:p>
      <w:pPr>
        <w:pStyle w:val="zSubsection"/>
        <w:spacing w:before="100"/>
        <w:rPr>
          <w:del w:id="819" w:author="svcMRProcess" w:date="2018-09-17T17:05:00Z"/>
        </w:rPr>
      </w:pPr>
      <w:del w:id="820" w:author="svcMRProcess" w:date="2018-09-17T17:05:00Z">
        <w:r>
          <w:tab/>
          <w:delText>(2)</w:delText>
        </w:r>
        <w:r>
          <w:tab/>
          <w:delText xml:space="preserve">Without limiting sections 5A and 5B, the Minister may delegate any power or duty of the Minister under section 112 to — </w:delText>
        </w:r>
      </w:del>
    </w:p>
    <w:p>
      <w:pPr>
        <w:pStyle w:val="zIndenta"/>
        <w:rPr>
          <w:del w:id="821" w:author="svcMRProcess" w:date="2018-09-17T17:05:00Z"/>
        </w:rPr>
      </w:pPr>
      <w:del w:id="822" w:author="svcMRProcess" w:date="2018-09-17T17:05:00Z">
        <w:r>
          <w:tab/>
          <w:delText>(a)</w:delText>
        </w:r>
        <w:r>
          <w:tab/>
          <w:delText>a public authority or an officer or employee of a public authority; or</w:delText>
        </w:r>
      </w:del>
    </w:p>
    <w:p>
      <w:pPr>
        <w:pStyle w:val="zIndenta"/>
        <w:rPr>
          <w:del w:id="823" w:author="svcMRProcess" w:date="2018-09-17T17:05:00Z"/>
        </w:rPr>
      </w:pPr>
      <w:del w:id="824" w:author="svcMRProcess" w:date="2018-09-17T17:05:00Z">
        <w:r>
          <w:tab/>
          <w:delText>(b)</w:delText>
        </w:r>
        <w:r>
          <w:tab/>
          <w:delText>any other person.</w:delText>
        </w:r>
      </w:del>
    </w:p>
    <w:p>
      <w:pPr>
        <w:pStyle w:val="zSubsection"/>
        <w:rPr>
          <w:del w:id="825" w:author="svcMRProcess" w:date="2018-09-17T17:05:00Z"/>
        </w:rPr>
      </w:pPr>
      <w:del w:id="826" w:author="svcMRProcess" w:date="2018-09-17T17:05:00Z">
        <w:r>
          <w:tab/>
          <w:delText>(3)</w:delText>
        </w:r>
        <w:r>
          <w:tab/>
          <w:delText xml:space="preserve">Notice of the delegation is to be published in the </w:delText>
        </w:r>
        <w:r>
          <w:rPr>
            <w:i/>
            <w:iCs/>
          </w:rPr>
          <w:delText>Gazette</w:delText>
        </w:r>
        <w:r>
          <w:delText>.</w:delText>
        </w:r>
      </w:del>
    </w:p>
    <w:p>
      <w:pPr>
        <w:pStyle w:val="zSubsection"/>
        <w:rPr>
          <w:del w:id="827" w:author="svcMRProcess" w:date="2018-09-17T17:05:00Z"/>
        </w:rPr>
      </w:pPr>
      <w:del w:id="828" w:author="svcMRProcess" w:date="2018-09-17T17:05:00Z">
        <w:r>
          <w:tab/>
          <w:delText>(4)</w:delText>
        </w:r>
        <w:r>
          <w:tab/>
          <w:delText>A person exercising or performing a power or duty that has been delegated to the person under this section is taken to do so in accordance with the terms of the delegation unless the contrary is shown.</w:delText>
        </w:r>
      </w:del>
    </w:p>
    <w:p>
      <w:pPr>
        <w:pStyle w:val="zSubsection"/>
        <w:rPr>
          <w:del w:id="829" w:author="svcMRProcess" w:date="2018-09-17T17:05:00Z"/>
        </w:rPr>
      </w:pPr>
      <w:del w:id="830" w:author="svcMRProcess" w:date="2018-09-17T17:05:00Z">
        <w:r>
          <w:tab/>
          <w:delText>(5)</w:delText>
        </w:r>
        <w:r>
          <w:tab/>
          <w:delText>Nothing in this section limits the ability of the Minister to perform a function through an officer or agent.</w:delText>
        </w:r>
      </w:del>
    </w:p>
    <w:p>
      <w:pPr>
        <w:pStyle w:val="MiscClose"/>
        <w:rPr>
          <w:del w:id="831" w:author="svcMRProcess" w:date="2018-09-17T17:05:00Z"/>
        </w:rPr>
      </w:pPr>
      <w:del w:id="832" w:author="svcMRProcess" w:date="2018-09-17T17:05:00Z">
        <w:r>
          <w:delText xml:space="preserve">    ”.</w:delText>
        </w:r>
      </w:del>
    </w:p>
    <w:p>
      <w:pPr>
        <w:pStyle w:val="yScheduleHeading"/>
        <w:outlineLvl w:val="0"/>
      </w:pPr>
      <w:bookmarkStart w:id="833" w:name="_Toc379274743"/>
      <w:bookmarkStart w:id="834" w:name="_Toc392163004"/>
      <w:bookmarkStart w:id="835" w:name="_Toc424567540"/>
      <w:bookmarkStart w:id="836" w:name="_Toc434935111"/>
      <w:bookmarkStart w:id="837" w:name="_Toc457401027"/>
      <w:r>
        <w:rPr>
          <w:rStyle w:val="CharSchNo"/>
        </w:rPr>
        <w:t>Schedule 5</w:t>
      </w:r>
      <w:r>
        <w:rPr>
          <w:rStyle w:val="CharSDivNo"/>
        </w:rPr>
        <w:t> </w:t>
      </w:r>
      <w:r>
        <w:t>—</w:t>
      </w:r>
      <w:r>
        <w:rPr>
          <w:rStyle w:val="CharSDivText"/>
        </w:rPr>
        <w:t> </w:t>
      </w:r>
      <w:r>
        <w:rPr>
          <w:rStyle w:val="CharSchText"/>
        </w:rPr>
        <w:t>Savings and transitional provisions</w:t>
      </w:r>
      <w:bookmarkEnd w:id="788"/>
      <w:bookmarkEnd w:id="789"/>
      <w:bookmarkEnd w:id="790"/>
      <w:bookmarkEnd w:id="791"/>
      <w:bookmarkEnd w:id="833"/>
      <w:bookmarkEnd w:id="834"/>
      <w:bookmarkEnd w:id="835"/>
      <w:bookmarkEnd w:id="836"/>
      <w:bookmarkEnd w:id="837"/>
    </w:p>
    <w:p>
      <w:pPr>
        <w:pStyle w:val="yShoulderClause"/>
      </w:pPr>
      <w:r>
        <w:t>[s. 101]</w:t>
      </w:r>
    </w:p>
    <w:p>
      <w:pPr>
        <w:pStyle w:val="yHeading5"/>
        <w:outlineLvl w:val="0"/>
      </w:pPr>
      <w:bookmarkStart w:id="838" w:name="_Toc392163005"/>
      <w:bookmarkStart w:id="839" w:name="_Toc457401028"/>
      <w:bookmarkStart w:id="840" w:name="_Toc472089262"/>
      <w:r>
        <w:rPr>
          <w:rStyle w:val="CharSClsNo"/>
        </w:rPr>
        <w:t>1</w:t>
      </w:r>
      <w:r>
        <w:t>.</w:t>
      </w:r>
      <w:r>
        <w:tab/>
      </w:r>
      <w:del w:id="841" w:author="svcMRProcess" w:date="2018-09-17T17:05:00Z">
        <w:r>
          <w:delText>Terms</w:delText>
        </w:r>
      </w:del>
      <w:ins w:id="842" w:author="svcMRProcess" w:date="2018-09-17T17:05:00Z">
        <w:r>
          <w:t>Term</w:t>
        </w:r>
      </w:ins>
      <w:r>
        <w:t xml:space="preserve"> used</w:t>
      </w:r>
      <w:del w:id="843" w:author="svcMRProcess" w:date="2018-09-17T17:05:00Z">
        <w:r>
          <w:delText xml:space="preserve"> in this Schedule</w:delText>
        </w:r>
      </w:del>
      <w:bookmarkEnd w:id="838"/>
      <w:bookmarkEnd w:id="839"/>
      <w:ins w:id="844" w:author="svcMRProcess" w:date="2018-09-17T17:05:00Z">
        <w:r>
          <w:t>: commencement day</w:t>
        </w:r>
      </w:ins>
      <w:bookmarkEnd w:id="840"/>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ins w:id="845" w:author="svcMRProcess" w:date="2018-09-17T17:05:00Z">
        <w:r>
          <w:rPr>
            <w:vertAlign w:val="superscript"/>
          </w:rPr>
          <w:t> 1</w:t>
        </w:r>
      </w:ins>
      <w:r>
        <w:t>.</w:t>
      </w:r>
    </w:p>
    <w:p>
      <w:pPr>
        <w:pStyle w:val="yHeading5"/>
        <w:outlineLvl w:val="0"/>
      </w:pPr>
      <w:bookmarkStart w:id="846" w:name="_Toc472089263"/>
      <w:bookmarkStart w:id="847" w:name="_Toc392163006"/>
      <w:bookmarkStart w:id="848" w:name="_Toc457401029"/>
      <w:r>
        <w:rPr>
          <w:rStyle w:val="CharSClsNo"/>
        </w:rPr>
        <w:t>2</w:t>
      </w:r>
      <w:r>
        <w:t>.</w:t>
      </w:r>
      <w:r>
        <w:tab/>
        <w:t xml:space="preserve">Application of the </w:t>
      </w:r>
      <w:r>
        <w:rPr>
          <w:i/>
          <w:iCs/>
        </w:rPr>
        <w:t>Interpretation Act 1984</w:t>
      </w:r>
      <w:bookmarkEnd w:id="846"/>
      <w:bookmarkEnd w:id="847"/>
      <w:bookmarkEnd w:id="848"/>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outlineLvl w:val="0"/>
      </w:pPr>
      <w:bookmarkStart w:id="849" w:name="_Toc472089264"/>
      <w:bookmarkStart w:id="850" w:name="_Toc392163007"/>
      <w:bookmarkStart w:id="851" w:name="_Toc457401030"/>
      <w:r>
        <w:rPr>
          <w:rStyle w:val="CharSClsNo"/>
        </w:rPr>
        <w:t>3</w:t>
      </w:r>
      <w:r>
        <w:t>.</w:t>
      </w:r>
      <w:r>
        <w:tab/>
        <w:t xml:space="preserve">Local laws under </w:t>
      </w:r>
      <w:r>
        <w:rPr>
          <w:i/>
        </w:rPr>
        <w:t>Health Act 1911</w:t>
      </w:r>
      <w:r>
        <w:t xml:space="preserve"> continued</w:t>
      </w:r>
      <w:bookmarkEnd w:id="849"/>
      <w:bookmarkEnd w:id="850"/>
      <w:bookmarkEnd w:id="851"/>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outlineLvl w:val="0"/>
      </w:pPr>
      <w:bookmarkStart w:id="852" w:name="_Toc472089265"/>
      <w:bookmarkStart w:id="853" w:name="_Toc392163008"/>
      <w:bookmarkStart w:id="854" w:name="_Toc457401031"/>
      <w:r>
        <w:rPr>
          <w:rStyle w:val="CharSClsNo"/>
        </w:rPr>
        <w:t>4</w:t>
      </w:r>
      <w:r>
        <w:t>.</w:t>
      </w:r>
      <w:r>
        <w:tab/>
        <w:t xml:space="preserve">Fees and charges fixed under </w:t>
      </w:r>
      <w:r>
        <w:rPr>
          <w:i/>
        </w:rPr>
        <w:t>Health Act 1911</w:t>
      </w:r>
      <w:r>
        <w:t xml:space="preserve"> continued</w:t>
      </w:r>
      <w:bookmarkEnd w:id="852"/>
      <w:bookmarkEnd w:id="853"/>
      <w:bookmarkEnd w:id="854"/>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outlineLvl w:val="0"/>
      </w:pPr>
      <w:bookmarkStart w:id="855" w:name="_Toc472089266"/>
      <w:bookmarkStart w:id="856" w:name="_Toc392163009"/>
      <w:bookmarkStart w:id="857" w:name="_Toc457401032"/>
      <w:r>
        <w:rPr>
          <w:rStyle w:val="CharSClsNo"/>
        </w:rPr>
        <w:t>5</w:t>
      </w:r>
      <w:r>
        <w:t>.</w:t>
      </w:r>
      <w:r>
        <w:tab/>
        <w:t>Regulations</w:t>
      </w:r>
      <w:bookmarkEnd w:id="855"/>
      <w:bookmarkEnd w:id="856"/>
      <w:bookmarkEnd w:id="857"/>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outlineLvl w:val="0"/>
      </w:pPr>
      <w:bookmarkStart w:id="858" w:name="_Toc392163010"/>
      <w:bookmarkStart w:id="859" w:name="_Toc457401033"/>
      <w:bookmarkStart w:id="860" w:name="_Toc472089267"/>
      <w:r>
        <w:rPr>
          <w:rStyle w:val="CharSClsNo"/>
        </w:rPr>
        <w:t>6</w:t>
      </w:r>
      <w:r>
        <w:t>.</w:t>
      </w:r>
      <w:r>
        <w:tab/>
        <w:t>Waste Management and Recycling Fund</w:t>
      </w:r>
      <w:bookmarkEnd w:id="858"/>
      <w:bookmarkEnd w:id="859"/>
      <w:ins w:id="861" w:author="svcMRProcess" w:date="2018-09-17T17:05:00Z">
        <w:r>
          <w:rPr>
            <w:b w:val="0"/>
            <w:iCs/>
            <w:vertAlign w:val="superscript"/>
          </w:rPr>
          <w:t> 3</w:t>
        </w:r>
      </w:ins>
      <w:bookmarkEnd w:id="860"/>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outlineLvl w:val="0"/>
      </w:pPr>
      <w:bookmarkStart w:id="862" w:name="_Toc472089268"/>
      <w:bookmarkStart w:id="863" w:name="_Toc392163011"/>
      <w:bookmarkStart w:id="864" w:name="_Toc457401034"/>
      <w:r>
        <w:rPr>
          <w:rStyle w:val="CharSClsNo"/>
        </w:rPr>
        <w:t>7</w:t>
      </w:r>
      <w:r>
        <w:t>.</w:t>
      </w:r>
      <w:r>
        <w:tab/>
        <w:t>Waste Management (WA): devolution of assets and liabilities</w:t>
      </w:r>
      <w:bookmarkEnd w:id="862"/>
      <w:bookmarkEnd w:id="863"/>
      <w:bookmarkEnd w:id="864"/>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w:t>
      </w:r>
      <w:del w:id="865" w:author="svcMRProcess" w:date="2018-09-17T17:05:00Z">
        <w:r>
          <w:delText xml:space="preserve"> </w:delText>
        </w:r>
      </w:del>
      <w:ins w:id="866" w:author="svcMRProcess" w:date="2018-09-17T17:05:00Z">
        <w:r>
          <w:t> </w:t>
        </w:r>
      </w:ins>
      <w:r>
        <w:t>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pageBreakBefore/>
        <w:spacing w:before="0"/>
        <w:outlineLvl w:val="0"/>
      </w:pPr>
      <w:bookmarkStart w:id="867" w:name="_Toc472089269"/>
      <w:bookmarkStart w:id="868" w:name="_Toc392163012"/>
      <w:bookmarkStart w:id="869" w:name="_Toc457401035"/>
      <w:r>
        <w:rPr>
          <w:rStyle w:val="CharSClsNo"/>
        </w:rPr>
        <w:t>8</w:t>
      </w:r>
      <w:r>
        <w:t>.</w:t>
      </w:r>
      <w:r>
        <w:tab/>
        <w:t>Transitional regulations</w:t>
      </w:r>
      <w:bookmarkEnd w:id="867"/>
      <w:bookmarkEnd w:id="868"/>
      <w:bookmarkEnd w:id="869"/>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CentredBaseLine"/>
        <w:jc w:val="center"/>
        <w:rPr>
          <w:ins w:id="870" w:author="svcMRProcess" w:date="2018-09-17T17:05:00Z"/>
        </w:rPr>
      </w:pPr>
      <w:ins w:id="871" w:author="svcMRProcess" w:date="2018-09-17T17:0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Indenta"/>
        <w:rPr>
          <w:ins w:id="872" w:author="svcMRProcess" w:date="2018-09-17T17:05:00Z"/>
        </w:rPr>
      </w:pP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873" w:name="_Toc460409313"/>
      <w:bookmarkStart w:id="874" w:name="_Toc462127282"/>
      <w:bookmarkStart w:id="875" w:name="_Toc463347081"/>
      <w:bookmarkStart w:id="876" w:name="_Toc472089270"/>
      <w:bookmarkStart w:id="877" w:name="_Toc379274752"/>
      <w:bookmarkStart w:id="878" w:name="_Toc392163013"/>
      <w:bookmarkStart w:id="879" w:name="_Toc424567549"/>
      <w:bookmarkStart w:id="880" w:name="_Toc434935120"/>
      <w:bookmarkStart w:id="881" w:name="_Toc457401036"/>
      <w:r>
        <w:t>Notes</w:t>
      </w:r>
      <w:bookmarkEnd w:id="873"/>
      <w:bookmarkEnd w:id="874"/>
      <w:bookmarkEnd w:id="875"/>
      <w:bookmarkEnd w:id="876"/>
      <w:bookmarkEnd w:id="877"/>
      <w:bookmarkEnd w:id="878"/>
      <w:bookmarkEnd w:id="879"/>
      <w:bookmarkEnd w:id="880"/>
      <w:bookmarkEnd w:id="881"/>
    </w:p>
    <w:p>
      <w:pPr>
        <w:pStyle w:val="nSubsection"/>
      </w:pPr>
      <w:r>
        <w:rPr>
          <w:vertAlign w:val="superscript"/>
        </w:rPr>
        <w:t>1</w:t>
      </w:r>
      <w:r>
        <w:tab/>
        <w:t xml:space="preserve">This </w:t>
      </w:r>
      <w:ins w:id="882" w:author="svcMRProcess" w:date="2018-09-17T17:05:00Z">
        <w:r>
          <w:t xml:space="preserve">reprint </w:t>
        </w:r>
      </w:ins>
      <w:r>
        <w:t xml:space="preserve">is a compilation </w:t>
      </w:r>
      <w:ins w:id="883" w:author="svcMRProcess" w:date="2018-09-17T17:05:00Z">
        <w:r>
          <w:t xml:space="preserve">as at 16 September 2016 </w:t>
        </w:r>
      </w:ins>
      <w:r>
        <w:t xml:space="preserve">of the </w:t>
      </w:r>
      <w:r>
        <w:rPr>
          <w:i/>
          <w:noProof/>
        </w:rPr>
        <w:t>Waste Avoidance and Resource Recovery Act</w:t>
      </w:r>
      <w:del w:id="884" w:author="svcMRProcess" w:date="2018-09-17T17:05:00Z">
        <w:r>
          <w:rPr>
            <w:i/>
            <w:noProof/>
            <w:snapToGrid w:val="0"/>
          </w:rPr>
          <w:delText> </w:delText>
        </w:r>
      </w:del>
      <w:ins w:id="885" w:author="svcMRProcess" w:date="2018-09-17T17:05:00Z">
        <w:r>
          <w:rPr>
            <w:i/>
            <w:noProof/>
          </w:rPr>
          <w:t xml:space="preserve"> </w:t>
        </w:r>
      </w:ins>
      <w:r>
        <w:rPr>
          <w:i/>
          <w:noProof/>
        </w:rPr>
        <w:t>2007</w:t>
      </w:r>
      <w:r>
        <w:t xml:space="preserve"> and includes the amendments made by the other written laws referred to in the following table</w:t>
      </w:r>
      <w:r>
        <w:rPr>
          <w:vertAlign w:val="superscript"/>
        </w:rPr>
        <w:t> 1a</w:t>
      </w:r>
      <w:del w:id="886" w:author="svcMRProcess" w:date="2018-09-17T17:05:00Z">
        <w:r>
          <w:rPr>
            <w:snapToGrid w:val="0"/>
            <w:vertAlign w:val="superscript"/>
          </w:rPr>
          <w:delText>, 3</w:delText>
        </w:r>
      </w:del>
      <w:ins w:id="887" w:author="svcMRProcess" w:date="2018-09-17T17:05:00Z">
        <w:r>
          <w:t>.  The table also contains information about any reprint</w:t>
        </w:r>
      </w:ins>
      <w:r>
        <w:t>.</w:t>
      </w:r>
    </w:p>
    <w:p>
      <w:pPr>
        <w:pStyle w:val="nHeading3"/>
        <w:rPr>
          <w:snapToGrid w:val="0"/>
        </w:rPr>
      </w:pPr>
      <w:bookmarkStart w:id="888" w:name="_Toc472089271"/>
      <w:bookmarkStart w:id="889" w:name="_Toc392163014"/>
      <w:bookmarkStart w:id="890" w:name="_Toc457401037"/>
      <w:r>
        <w:t>Compilation table</w:t>
      </w:r>
      <w:bookmarkEnd w:id="888"/>
      <w:bookmarkEnd w:id="889"/>
      <w:bookmarkEnd w:id="89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20"/>
              <w:ind w:right="113"/>
              <w:rPr>
                <w:iCs/>
              </w:rPr>
            </w:pPr>
            <w:r>
              <w:rPr>
                <w:rFonts w:ascii="Times New Roman" w:hAnsi="Times New Roman"/>
                <w:i/>
              </w:rPr>
              <w:t>Waste Avoidance and Resource Recovery Act 2007</w:t>
            </w:r>
          </w:p>
        </w:tc>
        <w:tc>
          <w:tcPr>
            <w:tcW w:w="1134" w:type="dxa"/>
            <w:tcBorders>
              <w:top w:val="single" w:sz="8" w:space="0" w:color="auto"/>
              <w:bottom w:val="nil"/>
            </w:tcBorders>
          </w:tcPr>
          <w:p>
            <w:pPr>
              <w:pStyle w:val="nTable"/>
              <w:spacing w:after="40"/>
            </w:pPr>
            <w:r>
              <w:t>36 of 2007</w:t>
            </w:r>
          </w:p>
        </w:tc>
        <w:tc>
          <w:tcPr>
            <w:tcW w:w="1134" w:type="dxa"/>
            <w:tcBorders>
              <w:top w:val="single" w:sz="8" w:space="0" w:color="auto"/>
              <w:bottom w:val="nil"/>
            </w:tcBorders>
          </w:tcPr>
          <w:p>
            <w:pPr>
              <w:pStyle w:val="nTable"/>
              <w:spacing w:after="40"/>
            </w:pPr>
            <w:r>
              <w:t>21 Dec 2007</w:t>
            </w:r>
          </w:p>
        </w:tc>
        <w:tc>
          <w:tcPr>
            <w:tcW w:w="2551" w:type="dxa"/>
            <w:tcBorders>
              <w:top w:val="single" w:sz="8" w:space="0" w:color="auto"/>
              <w:bottom w:val="nil"/>
            </w:tcBorders>
          </w:tcPr>
          <w:p>
            <w:pPr>
              <w:pStyle w:val="nTable"/>
              <w:spacing w:after="40"/>
            </w:pPr>
            <w:r>
              <w:rPr>
                <w:snapToGrid w:val="0"/>
              </w:rPr>
              <w:t>s. 1 and 2: 21 Dec 2007 (see s. 2(a));</w:t>
            </w:r>
            <w:r>
              <w:rPr>
                <w:snapToGrid w:val="0"/>
              </w:rPr>
              <w:br/>
              <w:t xml:space="preserve">s. 3, 100 (Sch. 4 cl. 2(1), (2) and (4) and 5) and </w:t>
            </w:r>
            <w:ins w:id="891" w:author="svcMRProcess" w:date="2018-09-17T17:05:00Z">
              <w:r>
                <w:rPr>
                  <w:snapToGrid w:val="0"/>
                </w:rPr>
                <w:t>s. </w:t>
              </w:r>
            </w:ins>
            <w:r>
              <w:rPr>
                <w:snapToGrid w:val="0"/>
              </w:rPr>
              <w:t>101 (Sch.</w:t>
            </w:r>
            <w:del w:id="892" w:author="svcMRProcess" w:date="2018-09-17T17:05:00Z">
              <w:r>
                <w:rPr>
                  <w:rFonts w:ascii="Times New Roman" w:hAnsi="Times New Roman"/>
                  <w:snapToGrid w:val="0"/>
                </w:rPr>
                <w:delText xml:space="preserve"> </w:delText>
              </w:r>
            </w:del>
            <w:ins w:id="893" w:author="svcMRProcess" w:date="2018-09-17T17:05:00Z">
              <w:r>
                <w:rPr>
                  <w:snapToGrid w:val="0"/>
                </w:rPr>
                <w:t> </w:t>
              </w:r>
            </w:ins>
            <w:r>
              <w:rPr>
                <w:snapToGrid w:val="0"/>
              </w:rPr>
              <w:t xml:space="preserve">5 cl. 1, 7 and 8): 9 Jan 2008 (see s. 2(b) and </w:t>
            </w:r>
            <w:r>
              <w:rPr>
                <w:i/>
                <w:iCs/>
                <w:snapToGrid w:val="0"/>
              </w:rPr>
              <w:t xml:space="preserve">Gazette </w:t>
            </w:r>
            <w:r>
              <w:rPr>
                <w:snapToGrid w:val="0"/>
              </w:rPr>
              <w:t>8 Jan 2008 p. 33);</w:t>
            </w:r>
            <w:r>
              <w:rPr>
                <w:snapToGrid w:val="0"/>
              </w:rPr>
              <w:br/>
            </w:r>
            <w:r>
              <w:t>Act other than s. 1, 2, 3, 100 (Sch. 4 cl. 2(1), (2) &amp; (4) &amp; cl.</w:t>
            </w:r>
            <w:del w:id="894" w:author="svcMRProcess" w:date="2018-09-17T17:05:00Z">
              <w:r>
                <w:rPr>
                  <w:rFonts w:ascii="Times New Roman" w:hAnsi="Times New Roman"/>
                </w:rPr>
                <w:delText xml:space="preserve"> </w:delText>
              </w:r>
            </w:del>
            <w:ins w:id="895" w:author="svcMRProcess" w:date="2018-09-17T17:05:00Z">
              <w:r>
                <w:t> </w:t>
              </w:r>
            </w:ins>
            <w:r>
              <w:t>5) &amp; s. 101 (Sch. 5 cl. 1, 7 &amp;</w:t>
            </w:r>
            <w:del w:id="896" w:author="svcMRProcess" w:date="2018-09-17T17:05:00Z">
              <w:r>
                <w:rPr>
                  <w:rFonts w:ascii="Times New Roman" w:hAnsi="Times New Roman"/>
                </w:rPr>
                <w:delText xml:space="preserve"> </w:delText>
              </w:r>
            </w:del>
            <w:ins w:id="897" w:author="svcMRProcess" w:date="2018-09-17T17:05:00Z">
              <w:r>
                <w:t> </w:t>
              </w:r>
            </w:ins>
            <w:r>
              <w:t xml:space="preserve">8): 1 Jul 2008 (see s. 2(b) and </w:t>
            </w:r>
            <w:r>
              <w:rPr>
                <w:i/>
                <w:iCs/>
              </w:rPr>
              <w:t>Gazette</w:t>
            </w:r>
            <w:r>
              <w:t xml:space="preserve"> 20 Jun 2008 p. 2705)</w:t>
            </w:r>
          </w:p>
        </w:tc>
      </w:tr>
      <w:tr>
        <w:tc>
          <w:tcPr>
            <w:tcW w:w="2268" w:type="dxa"/>
            <w:tcBorders>
              <w:top w:val="nil"/>
              <w:bottom w:val="nil"/>
            </w:tcBorders>
          </w:tcPr>
          <w:p>
            <w:pPr>
              <w:pStyle w:val="nTable"/>
              <w:spacing w:after="40"/>
              <w:rPr>
                <w:i/>
                <w:noProof/>
                <w:snapToGrid w:val="0"/>
              </w:rPr>
            </w:pPr>
            <w:r>
              <w:rPr>
                <w:rFonts w:ascii="Times New Roman" w:hAnsi="Times New Roman"/>
                <w:i/>
              </w:rPr>
              <w:t>Waste Avoidance and Resource Recovery Amendment Act 2009</w:t>
            </w:r>
            <w:r>
              <w:rPr>
                <w:i/>
                <w:noProof/>
                <w:snapToGrid w:val="0"/>
              </w:rPr>
              <w:t xml:space="preserve"> </w:t>
            </w:r>
            <w:r>
              <w:rPr>
                <w:iCs/>
                <w:noProof/>
                <w:snapToGrid w:val="0"/>
              </w:rPr>
              <w:t>Pt. 2</w:t>
            </w:r>
          </w:p>
        </w:tc>
        <w:tc>
          <w:tcPr>
            <w:tcW w:w="1134" w:type="dxa"/>
            <w:tcBorders>
              <w:top w:val="nil"/>
              <w:bottom w:val="nil"/>
            </w:tcBorders>
          </w:tcPr>
          <w:p>
            <w:pPr>
              <w:pStyle w:val="nTable"/>
              <w:spacing w:after="40"/>
            </w:pPr>
            <w:r>
              <w:t>48 of 2009</w:t>
            </w:r>
          </w:p>
        </w:tc>
        <w:tc>
          <w:tcPr>
            <w:tcW w:w="1134" w:type="dxa"/>
            <w:tcBorders>
              <w:top w:val="nil"/>
              <w:bottom w:val="nil"/>
            </w:tcBorders>
          </w:tcPr>
          <w:p>
            <w:pPr>
              <w:pStyle w:val="nTable"/>
              <w:spacing w:after="40"/>
            </w:pPr>
            <w:r>
              <w:t>7 Dec 2009</w:t>
            </w:r>
          </w:p>
        </w:tc>
        <w:tc>
          <w:tcPr>
            <w:tcW w:w="2551" w:type="dxa"/>
            <w:tcBorders>
              <w:top w:val="nil"/>
              <w:bottom w:val="nil"/>
            </w:tcBorders>
          </w:tcPr>
          <w:p>
            <w:pPr>
              <w:pStyle w:val="nTable"/>
              <w:spacing w:after="40"/>
              <w:rPr>
                <w:snapToGrid w:val="0"/>
              </w:rPr>
            </w:pPr>
            <w:r>
              <w:rPr>
                <w:snapToGrid w:val="0"/>
              </w:rPr>
              <w:t xml:space="preserve">s. 3 and 9: 8 </w:t>
            </w:r>
            <w:r>
              <w:t>Dec 2009 (</w:t>
            </w:r>
            <w:r>
              <w:rPr>
                <w:snapToGrid w:val="0"/>
              </w:rPr>
              <w:t>see</w:t>
            </w:r>
            <w:del w:id="898" w:author="svcMRProcess" w:date="2018-09-17T17:05:00Z">
              <w:r>
                <w:rPr>
                  <w:rFonts w:ascii="Times New Roman" w:hAnsi="Times New Roman"/>
                  <w:snapToGrid w:val="0"/>
                </w:rPr>
                <w:delText xml:space="preserve"> </w:delText>
              </w:r>
            </w:del>
            <w:ins w:id="899" w:author="svcMRProcess" w:date="2018-09-17T17:05:00Z">
              <w:r>
                <w:rPr>
                  <w:snapToGrid w:val="0"/>
                </w:rPr>
                <w:t> </w:t>
              </w:r>
            </w:ins>
            <w:r>
              <w:rPr>
                <w:snapToGrid w:val="0"/>
              </w:rPr>
              <w:t>s. 2(b</w:t>
            </w:r>
            <w:del w:id="900" w:author="svcMRProcess" w:date="2018-09-17T17:05:00Z">
              <w:r>
                <w:rPr>
                  <w:rFonts w:ascii="Times New Roman" w:hAnsi="Times New Roman"/>
                  <w:snapToGrid w:val="0"/>
                </w:rPr>
                <w:delText>))</w:delText>
              </w:r>
            </w:del>
            <w:ins w:id="901" w:author="svcMRProcess" w:date="2018-09-17T17:05:00Z">
              <w:r>
                <w:rPr>
                  <w:snapToGrid w:val="0"/>
                </w:rPr>
                <w:t>));</w:t>
              </w:r>
            </w:ins>
            <w:r>
              <w:rPr>
                <w:snapToGrid w:val="0"/>
              </w:rPr>
              <w:br/>
              <w:t xml:space="preserve">Pt. 2 other than s. 3 and 9: 1 Jan 2010 (see s. 2(c) and </w:t>
            </w:r>
            <w:r>
              <w:rPr>
                <w:i/>
                <w:iCs/>
                <w:snapToGrid w:val="0"/>
              </w:rPr>
              <w:t>Gazette</w:t>
            </w:r>
            <w:r>
              <w:rPr>
                <w:snapToGrid w:val="0"/>
              </w:rPr>
              <w:t xml:space="preserve"> 22 Dec 2009 p. 5253)</w:t>
            </w:r>
          </w:p>
        </w:tc>
      </w:tr>
      <w:tr>
        <w:tc>
          <w:tcPr>
            <w:tcW w:w="2268" w:type="dxa"/>
            <w:tcBorders>
              <w:top w:val="nil"/>
              <w:bottom w:val="nil"/>
            </w:tcBorders>
          </w:tcPr>
          <w:p>
            <w:pPr>
              <w:pStyle w:val="nTable"/>
              <w:spacing w:after="40"/>
              <w:rPr>
                <w:iCs/>
                <w:noProof/>
                <w:snapToGrid w:val="0"/>
              </w:rPr>
            </w:pPr>
            <w:r>
              <w:rPr>
                <w:rFonts w:ascii="Times New Roman" w:hAnsi="Times New Roman"/>
                <w:i/>
              </w:rPr>
              <w:t>Public Sector Reform Act 2010</w:t>
            </w:r>
            <w:r>
              <w:rPr>
                <w:iCs/>
                <w:noProof/>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1"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20"/>
              <w:ind w:right="113"/>
              <w:rPr>
                <w:i/>
                <w:iCs/>
                <w:noProof/>
                <w:snapToGrid w:val="0"/>
              </w:rPr>
            </w:pPr>
            <w:r>
              <w:rPr>
                <w:rFonts w:ascii="Times New Roman" w:hAnsi="Times New Roman"/>
                <w:i/>
              </w:rPr>
              <w:t>Waste Avoidance and Resource Recovery Amendment (Validation) Act 2014</w:t>
            </w:r>
          </w:p>
        </w:tc>
        <w:tc>
          <w:tcPr>
            <w:tcW w:w="1134" w:type="dxa"/>
            <w:tcBorders>
              <w:top w:val="nil"/>
              <w:bottom w:val="nil"/>
            </w:tcBorders>
          </w:tcPr>
          <w:p>
            <w:pPr>
              <w:pStyle w:val="nTable"/>
              <w:spacing w:after="40"/>
              <w:rPr>
                <w:snapToGrid w:val="0"/>
              </w:rPr>
            </w:pPr>
            <w:r>
              <w:rPr>
                <w:snapToGrid w:val="0"/>
              </w:rPr>
              <w:t>16 of 2014</w:t>
            </w:r>
          </w:p>
        </w:tc>
        <w:tc>
          <w:tcPr>
            <w:tcW w:w="1134" w:type="dxa"/>
            <w:tcBorders>
              <w:top w:val="nil"/>
              <w:bottom w:val="nil"/>
            </w:tcBorders>
          </w:tcPr>
          <w:p>
            <w:pPr>
              <w:pStyle w:val="nTable"/>
              <w:spacing w:after="40"/>
            </w:pPr>
            <w:r>
              <w:t>2 Jul 2014</w:t>
            </w:r>
          </w:p>
        </w:tc>
        <w:tc>
          <w:tcPr>
            <w:tcW w:w="2551" w:type="dxa"/>
            <w:tcBorders>
              <w:top w:val="nil"/>
              <w:bottom w:val="nil"/>
            </w:tcBorders>
          </w:tcPr>
          <w:p>
            <w:pPr>
              <w:pStyle w:val="nTable"/>
              <w:spacing w:after="40"/>
              <w:rPr>
                <w:snapToGrid w:val="0"/>
              </w:rPr>
            </w:pPr>
            <w:r>
              <w:rPr>
                <w:snapToGrid w:val="0"/>
              </w:rPr>
              <w:t>2 Jul 2014 (see s. 2)</w:t>
            </w:r>
          </w:p>
        </w:tc>
      </w:tr>
      <w:tr>
        <w:trPr>
          <w:ins w:id="902" w:author="svcMRProcess" w:date="2018-09-17T17:05:00Z"/>
        </w:trPr>
        <w:tc>
          <w:tcPr>
            <w:tcW w:w="7087" w:type="dxa"/>
            <w:gridSpan w:val="4"/>
            <w:tcBorders>
              <w:top w:val="nil"/>
              <w:bottom w:val="single" w:sz="8" w:space="0" w:color="auto"/>
            </w:tcBorders>
            <w:shd w:val="clear" w:color="auto" w:fill="auto"/>
          </w:tcPr>
          <w:p>
            <w:pPr>
              <w:pStyle w:val="nTable"/>
              <w:spacing w:after="40"/>
              <w:rPr>
                <w:ins w:id="903" w:author="svcMRProcess" w:date="2018-09-17T17:05:00Z"/>
                <w:snapToGrid w:val="0"/>
              </w:rPr>
            </w:pPr>
            <w:ins w:id="904" w:author="svcMRProcess" w:date="2018-09-17T17:05:00Z">
              <w:r>
                <w:rPr>
                  <w:b/>
                  <w:snapToGrid w:val="0"/>
                </w:rPr>
                <w:t xml:space="preserve">Reprint 1: The </w:t>
              </w:r>
              <w:r>
                <w:rPr>
                  <w:b/>
                  <w:i/>
                  <w:noProof/>
                  <w:snapToGrid w:val="0"/>
                </w:rPr>
                <w:t>Waste Avoidance and Resource Recovery Act 2007</w:t>
              </w:r>
              <w:r>
                <w:rPr>
                  <w:b/>
                  <w:snapToGrid w:val="0"/>
                </w:rPr>
                <w:t xml:space="preserve"> as at 16 Sep 2016</w:t>
              </w:r>
              <w:r>
                <w:rPr>
                  <w:snapToGrid w:val="0"/>
                </w:rPr>
                <w:t xml:space="preserve"> (includes amendments listed above)</w:t>
              </w:r>
            </w:ins>
          </w:p>
        </w:tc>
      </w:tr>
    </w:tbl>
    <w:p>
      <w:pPr>
        <w:pStyle w:val="nSubsection"/>
        <w:spacing w:before="360"/>
      </w:pPr>
      <w:r>
        <w:rPr>
          <w:vertAlign w:val="superscript"/>
        </w:rPr>
        <w:t>1a</w:t>
      </w:r>
      <w:r>
        <w:rPr>
          <w:snapToGrid w:val="0"/>
        </w:rPr>
        <w:tab/>
        <w:t xml:space="preserve">On the date as at which this </w:t>
      </w:r>
      <w:del w:id="905" w:author="svcMRProcess" w:date="2018-09-17T17:05:00Z">
        <w:r>
          <w:rPr>
            <w:snapToGrid w:val="0"/>
          </w:rPr>
          <w:delText>compilation</w:delText>
        </w:r>
      </w:del>
      <w:ins w:id="906" w:author="svcMRProcess" w:date="2018-09-17T17:05:00Z">
        <w:r>
          <w:rPr>
            <w:snapToGrid w:val="0"/>
          </w:rPr>
          <w:t>reprint</w:t>
        </w:r>
      </w:ins>
      <w:r>
        <w:rPr>
          <w:snapToGrid w:val="0"/>
        </w:rPr>
        <w:t xml:space="preserve"> was prepared, provisions referred to in the following table had not come into operation and were therefore not included in this </w:t>
      </w:r>
      <w:del w:id="907" w:author="svcMRProcess" w:date="2018-09-17T17:05:00Z">
        <w:r>
          <w:rPr>
            <w:snapToGrid w:val="0"/>
          </w:rPr>
          <w:delText>compilation</w:delText>
        </w:r>
      </w:del>
      <w:ins w:id="908" w:author="svcMRProcess" w:date="2018-09-17T17:05:00Z">
        <w:r>
          <w:rPr>
            <w:snapToGrid w:val="0"/>
          </w:rPr>
          <w:t>reprint</w:t>
        </w:r>
      </w:ins>
      <w:r>
        <w:rPr>
          <w:snapToGrid w:val="0"/>
        </w:rPr>
        <w:t>.  For the text of the provisions see the endnotes referred to in the table.</w:t>
      </w:r>
    </w:p>
    <w:p>
      <w:pPr>
        <w:pStyle w:val="nHeading3"/>
      </w:pPr>
      <w:bookmarkStart w:id="909" w:name="_Toc472089272"/>
      <w:bookmarkStart w:id="910" w:name="_Toc392163015"/>
      <w:bookmarkStart w:id="911" w:name="_Toc457401038"/>
      <w:r>
        <w:t>Provisions that have not come into operation</w:t>
      </w:r>
      <w:bookmarkEnd w:id="909"/>
      <w:bookmarkEnd w:id="910"/>
      <w:bookmarkEnd w:id="9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rPr>
                <w:iCs/>
                <w:vertAlign w:val="superscript"/>
              </w:rPr>
            </w:pPr>
            <w:r>
              <w:rPr>
                <w:rFonts w:ascii="Times New Roman" w:hAnsi="Times New Roman"/>
                <w:i/>
              </w:rPr>
              <w:t>Waste Avoidance and Resource Recovery Act</w:t>
            </w:r>
            <w:del w:id="912" w:author="svcMRProcess" w:date="2018-09-17T17:05:00Z">
              <w:r>
                <w:rPr>
                  <w:rFonts w:ascii="Times New Roman" w:hAnsi="Times New Roman"/>
                  <w:i/>
                  <w:noProof/>
                  <w:snapToGrid w:val="0"/>
                </w:rPr>
                <w:delText xml:space="preserve"> </w:delText>
              </w:r>
            </w:del>
            <w:ins w:id="913" w:author="svcMRProcess" w:date="2018-09-17T17:05:00Z">
              <w:r>
                <w:rPr>
                  <w:rFonts w:ascii="Times New Roman" w:hAnsi="Times New Roman"/>
                  <w:i/>
                </w:rPr>
                <w:t> </w:t>
              </w:r>
            </w:ins>
            <w:r>
              <w:rPr>
                <w:rFonts w:ascii="Times New Roman" w:hAnsi="Times New Roman"/>
                <w:i/>
              </w:rPr>
              <w:t>2007</w:t>
            </w:r>
            <w:r>
              <w:rPr>
                <w:iCs/>
                <w:noProof/>
                <w:snapToGrid w:val="0"/>
              </w:rPr>
              <w:t xml:space="preserve"> Sch. 4 cl. 2(3) and</w:t>
            </w:r>
            <w:del w:id="914" w:author="svcMRProcess" w:date="2018-09-17T17:05:00Z">
              <w:r>
                <w:rPr>
                  <w:rFonts w:ascii="Times New Roman" w:hAnsi="Times New Roman"/>
                  <w:iCs/>
                  <w:noProof/>
                  <w:snapToGrid w:val="0"/>
                </w:rPr>
                <w:delText xml:space="preserve"> </w:delText>
              </w:r>
            </w:del>
            <w:ins w:id="915" w:author="svcMRProcess" w:date="2018-09-17T17:05:00Z">
              <w:r>
                <w:rPr>
                  <w:iCs/>
                  <w:noProof/>
                  <w:snapToGrid w:val="0"/>
                </w:rPr>
                <w:t> </w:t>
              </w:r>
            </w:ins>
            <w:r>
              <w:rPr>
                <w:iCs/>
                <w:noProof/>
                <w:snapToGrid w:val="0"/>
              </w:rPr>
              <w:t>3 </w:t>
            </w:r>
            <w:r>
              <w:rPr>
                <w:iCs/>
                <w:noProof/>
                <w:snapToGrid w:val="0"/>
                <w:vertAlign w:val="superscript"/>
              </w:rPr>
              <w:t>2</w:t>
            </w:r>
          </w:p>
        </w:tc>
        <w:tc>
          <w:tcPr>
            <w:tcW w:w="1134" w:type="dxa"/>
            <w:tcBorders>
              <w:top w:val="single" w:sz="8" w:space="0" w:color="auto"/>
            </w:tcBorders>
            <w:shd w:val="clear" w:color="auto" w:fill="auto"/>
          </w:tcPr>
          <w:p>
            <w:pPr>
              <w:pStyle w:val="nTable"/>
              <w:spacing w:after="40"/>
            </w:pPr>
            <w:r>
              <w:t>36 of 2007</w:t>
            </w:r>
          </w:p>
        </w:tc>
        <w:tc>
          <w:tcPr>
            <w:tcW w:w="1134" w:type="dxa"/>
            <w:tcBorders>
              <w:top w:val="single" w:sz="8" w:space="0" w:color="auto"/>
            </w:tcBorders>
            <w:shd w:val="clear" w:color="auto" w:fill="auto"/>
          </w:tcPr>
          <w:p>
            <w:pPr>
              <w:pStyle w:val="nTable"/>
              <w:spacing w:after="40"/>
            </w:pPr>
            <w:r>
              <w:t>21 Dec 2007</w:t>
            </w:r>
          </w:p>
        </w:tc>
        <w:tc>
          <w:tcPr>
            <w:tcW w:w="2552" w:type="dxa"/>
            <w:tcBorders>
              <w:top w:val="single" w:sz="8" w:space="0" w:color="auto"/>
            </w:tcBorders>
            <w:shd w:val="clear" w:color="auto" w:fill="auto"/>
          </w:tcPr>
          <w:p>
            <w:pPr>
              <w:pStyle w:val="nTable"/>
              <w:spacing w:after="40"/>
            </w:pPr>
            <w:r>
              <w:rPr>
                <w:snapToGrid w:val="0"/>
              </w:rPr>
              <w:t>To be proclaimed (see s. 2(b))</w:t>
            </w:r>
          </w:p>
        </w:tc>
      </w:tr>
      <w:tr>
        <w:trPr>
          <w:cantSplit/>
        </w:trPr>
        <w:tc>
          <w:tcPr>
            <w:tcW w:w="2268" w:type="dxa"/>
            <w:tcBorders>
              <w:bottom w:val="single" w:sz="8" w:space="0" w:color="auto"/>
            </w:tcBorders>
            <w:shd w:val="clear" w:color="auto" w:fill="auto"/>
          </w:tcPr>
          <w:p>
            <w:pPr>
              <w:pStyle w:val="nTable"/>
              <w:spacing w:after="40"/>
              <w:rPr>
                <w:rFonts w:ascii="Times New Roman" w:hAnsi="Times New Roman"/>
                <w:i/>
              </w:rPr>
            </w:pPr>
            <w:r>
              <w:rPr>
                <w:rFonts w:ascii="Times New Roman" w:hAnsi="Times New Roman"/>
                <w:i/>
              </w:rPr>
              <w:t>Public Health (Consequential Provisions) Act 2016</w:t>
            </w:r>
            <w:r>
              <w:rPr>
                <w:rFonts w:ascii="Times New Roman" w:hAnsi="Times New Roman"/>
              </w:rPr>
              <w:t xml:space="preserve"> Pt. 3 Div. 29 and Pt. 5 Div. 26 </w:t>
            </w:r>
            <w:r>
              <w:rPr>
                <w:rFonts w:ascii="Times New Roman" w:hAnsi="Times New Roman"/>
                <w:vertAlign w:val="superscript"/>
              </w:rPr>
              <w:t>4</w:t>
            </w:r>
          </w:p>
        </w:tc>
        <w:tc>
          <w:tcPr>
            <w:tcW w:w="1134" w:type="dxa"/>
            <w:tcBorders>
              <w:bottom w:val="single" w:sz="8" w:space="0" w:color="auto"/>
            </w:tcBorders>
            <w:shd w:val="clear" w:color="auto" w:fill="auto"/>
          </w:tcPr>
          <w:p>
            <w:pPr>
              <w:pStyle w:val="nTable"/>
              <w:spacing w:after="40"/>
            </w:pPr>
            <w:r>
              <w:rPr>
                <w:rFonts w:ascii="Times New Roman" w:hAnsi="Times New Roman"/>
              </w:rPr>
              <w:t>19 of 2016</w:t>
            </w:r>
          </w:p>
        </w:tc>
        <w:tc>
          <w:tcPr>
            <w:tcW w:w="1134" w:type="dxa"/>
            <w:tcBorders>
              <w:bottom w:val="single" w:sz="8" w:space="0" w:color="auto"/>
            </w:tcBorders>
            <w:shd w:val="clear" w:color="auto" w:fill="auto"/>
          </w:tcPr>
          <w:p>
            <w:pPr>
              <w:pStyle w:val="nTable"/>
              <w:spacing w:after="40"/>
              <w:rPr>
                <w:i/>
              </w:rPr>
            </w:pPr>
            <w:r>
              <w:rPr>
                <w:rFonts w:ascii="Times New Roman" w:hAnsi="Times New Roman"/>
              </w:rPr>
              <w:t>25 Jul 2016</w:t>
            </w:r>
          </w:p>
        </w:tc>
        <w:tc>
          <w:tcPr>
            <w:tcW w:w="2552" w:type="dxa"/>
            <w:tcBorders>
              <w:bottom w:val="single" w:sz="8" w:space="0" w:color="auto"/>
            </w:tcBorders>
            <w:shd w:val="clear" w:color="auto" w:fill="auto"/>
          </w:tcPr>
          <w:p>
            <w:pPr>
              <w:pStyle w:val="nTable"/>
              <w:spacing w:after="40"/>
              <w:rPr>
                <w:snapToGrid w:val="0"/>
              </w:rPr>
            </w:pPr>
            <w:del w:id="916" w:author="svcMRProcess" w:date="2018-09-17T17:05:00Z">
              <w:r>
                <w:rPr>
                  <w:rFonts w:ascii="Times New Roman" w:hAnsi="Times New Roman"/>
                  <w:snapToGrid w:val="0"/>
                </w:rPr>
                <w:delText>To</w:delText>
              </w:r>
            </w:del>
            <w:ins w:id="917" w:author="svcMRProcess" w:date="2018-09-17T17:05:00Z">
              <w:r>
                <w:rPr>
                  <w:rFonts w:ascii="Times New Roman" w:hAnsi="Times New Roman"/>
                </w:rPr>
                <w:t xml:space="preserve">Pt. 3 Div. 29: </w:t>
              </w:r>
              <w:r>
                <w:rPr>
                  <w:snapToGrid w:val="0"/>
                </w:rPr>
                <w:t xml:space="preserve">24 Jan 2017 (see s. 2(1)(c) and </w:t>
              </w:r>
              <w:r>
                <w:rPr>
                  <w:i/>
                  <w:snapToGrid w:val="0"/>
                </w:rPr>
                <w:t>Gazette</w:t>
              </w:r>
              <w:r>
                <w:rPr>
                  <w:snapToGrid w:val="0"/>
                </w:rPr>
                <w:t xml:space="preserve"> 10 Jan 2017 p. 165);</w:t>
              </w:r>
              <w:r>
                <w:rPr>
                  <w:snapToGrid w:val="0"/>
                </w:rPr>
                <w:br/>
              </w:r>
              <w:r>
                <w:rPr>
                  <w:rFonts w:ascii="Times New Roman" w:hAnsi="Times New Roman"/>
                </w:rPr>
                <w:t>Pt. 5 Div. 26: t</w:t>
              </w:r>
              <w:r>
                <w:rPr>
                  <w:snapToGrid w:val="0"/>
                </w:rPr>
                <w:t>o</w:t>
              </w:r>
            </w:ins>
            <w:r>
              <w:rPr>
                <w:snapToGrid w:val="0"/>
              </w:rPr>
              <w:t xml:space="preserve"> be proclaimed (see s. 2(1)(c))</w:t>
            </w:r>
          </w:p>
        </w:tc>
      </w:tr>
    </w:tbl>
    <w:p>
      <w:pPr>
        <w:pStyle w:val="nSubsection"/>
        <w:keepLines/>
        <w:spacing w:before="160"/>
        <w:rPr>
          <w:snapToGrid w:val="0"/>
        </w:rPr>
      </w:pPr>
      <w:r>
        <w:rPr>
          <w:snapToGrid w:val="0"/>
          <w:vertAlign w:val="superscript"/>
        </w:rPr>
        <w:t>2</w:t>
      </w:r>
      <w:r>
        <w:rPr>
          <w:snapToGrid w:val="0"/>
        </w:rPr>
        <w:tab/>
      </w:r>
      <w:r>
        <w:t xml:space="preserve">On the date as at which this </w:t>
      </w:r>
      <w:del w:id="918" w:author="svcMRProcess" w:date="2018-09-17T17:05:00Z">
        <w:r>
          <w:delText>compilation</w:delText>
        </w:r>
      </w:del>
      <w:ins w:id="919" w:author="svcMRProcess" w:date="2018-09-17T17:05:00Z">
        <w:r>
          <w:t>reprint</w:t>
        </w:r>
      </w:ins>
      <w:r>
        <w:t xml:space="preserve"> was prepared, </w:t>
      </w:r>
      <w:r>
        <w:rPr>
          <w:snapToGrid w:val="0"/>
        </w:rPr>
        <w:t xml:space="preserve">the </w:t>
      </w:r>
      <w:r>
        <w:rPr>
          <w:i/>
          <w:noProof/>
          <w:snapToGrid w:val="0"/>
        </w:rPr>
        <w:t>Waste Avoidance and Resource Recovery Act 2007</w:t>
      </w:r>
      <w:r>
        <w:rPr>
          <w:iCs/>
          <w:noProof/>
          <w:snapToGrid w:val="0"/>
        </w:rPr>
        <w:t xml:space="preserve"> Sch. 4 cl. 2(3) and 3 </w:t>
      </w:r>
      <w:r>
        <w:rPr>
          <w:snapToGrid w:val="0"/>
        </w:rPr>
        <w:t>had not come into operation.  They read as follows:</w:t>
      </w:r>
    </w:p>
    <w:p>
      <w:pPr>
        <w:pStyle w:val="BlankOpen"/>
      </w:pP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t>2.</w:t>
      </w:r>
      <w:r>
        <w:tab/>
      </w:r>
      <w:r>
        <w:rPr>
          <w:i/>
          <w:iCs/>
        </w:rPr>
        <w:t>Environmental Protection Act 1986</w:t>
      </w:r>
      <w:r>
        <w:t xml:space="preserve"> amended</w:t>
      </w:r>
    </w:p>
    <w:p>
      <w:pPr>
        <w:pStyle w:val="nzSubsection"/>
      </w:pPr>
      <w:r>
        <w:tab/>
        <w:t>(3)</w:t>
      </w:r>
      <w:r>
        <w:tab/>
        <w:t>Part VIIA is repealed.</w:t>
      </w:r>
    </w:p>
    <w:p>
      <w:pPr>
        <w:pStyle w:val="nzHeading5"/>
      </w:pPr>
      <w:r>
        <w:rPr>
          <w:rStyle w:val="CharSClsNo"/>
        </w:rPr>
        <w:t>3</w:t>
      </w:r>
      <w:r>
        <w:t>.</w:t>
      </w:r>
      <w:r>
        <w:tab/>
      </w:r>
      <w:r>
        <w:rPr>
          <w:i/>
          <w:iCs/>
        </w:rPr>
        <w:t>Environmental Protection (Landfill) Levy Act 1998</w:t>
      </w:r>
      <w:r>
        <w:t xml:space="preserve"> repealed</w:t>
      </w:r>
    </w:p>
    <w:p>
      <w:pPr>
        <w:pStyle w:val="nzSubsection"/>
      </w:pPr>
      <w:r>
        <w:tab/>
      </w:r>
      <w:r>
        <w:tab/>
        <w:t xml:space="preserve">The </w:t>
      </w:r>
      <w:r>
        <w:rPr>
          <w:i/>
          <w:iCs/>
        </w:rPr>
        <w:t xml:space="preserve">Environmental Protection (Landfill) Levy Act 1998 </w:t>
      </w:r>
      <w:r>
        <w:t>is repealed.</w:t>
      </w:r>
    </w:p>
    <w:p>
      <w:pPr>
        <w:pStyle w:val="BlankClose"/>
        <w:rPr>
          <w:snapToGrid w:val="0"/>
        </w:rPr>
      </w:pPr>
    </w:p>
    <w:p>
      <w:pPr>
        <w:pStyle w:val="BlankClose"/>
        <w:rPr>
          <w:del w:id="920" w:author="svcMRProcess" w:date="2018-09-17T17:05:00Z"/>
        </w:rPr>
      </w:pPr>
    </w:p>
    <w:p>
      <w:pPr>
        <w:pStyle w:val="nSubsection"/>
        <w:rPr>
          <w:snapToGrid w:val="0"/>
          <w:sz w:val="19"/>
        </w:rPr>
      </w:pPr>
      <w:r>
        <w:rPr>
          <w:snapToGrid w:val="0"/>
          <w:vertAlign w:val="superscript"/>
        </w:rPr>
        <w:t>3</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del w:id="921" w:author="svcMRProcess" w:date="2018-09-17T17:05:00Z"/>
        </w:rPr>
      </w:pPr>
    </w:p>
    <w:p>
      <w:pPr>
        <w:pStyle w:val="BlankClose"/>
        <w:rPr>
          <w:del w:id="922" w:author="svcMRProcess" w:date="2018-09-17T17:05:00Z"/>
        </w:rPr>
      </w:pPr>
    </w:p>
    <w:p>
      <w:pPr>
        <w:pStyle w:val="nSubsection"/>
        <w:keepNext/>
        <w:keepLines/>
        <w:spacing w:before="120"/>
      </w:pPr>
      <w:r>
        <w:rPr>
          <w:vertAlign w:val="superscript"/>
        </w:rPr>
        <w:t>4</w:t>
      </w:r>
      <w:r>
        <w:tab/>
      </w:r>
      <w:r>
        <w:rPr>
          <w:snapToGrid w:val="0"/>
        </w:rPr>
        <w:t xml:space="preserve">On the date as at which this </w:t>
      </w:r>
      <w:del w:id="923" w:author="svcMRProcess" w:date="2018-09-17T17:05:00Z">
        <w:r>
          <w:rPr>
            <w:snapToGrid w:val="0"/>
          </w:rPr>
          <w:delText>compilation</w:delText>
        </w:r>
      </w:del>
      <w:ins w:id="924" w:author="svcMRProcess" w:date="2018-09-17T17:05:00Z">
        <w:r>
          <w:rPr>
            <w:snapToGrid w:val="0"/>
          </w:rPr>
          <w:t>reprint</w:t>
        </w:r>
      </w:ins>
      <w:r>
        <w:rPr>
          <w:snapToGrid w:val="0"/>
        </w:rPr>
        <w:t xml:space="preserve"> was prepared, the </w:t>
      </w:r>
      <w:r>
        <w:rPr>
          <w:i/>
          <w:noProof/>
        </w:rPr>
        <w:t>Public Health (Consequential Provisions) Act 2016</w:t>
      </w:r>
      <w:r>
        <w:rPr>
          <w:noProof/>
        </w:rPr>
        <w:t xml:space="preserve"> Pt. 3 Div. 29</w:t>
      </w:r>
      <w:r>
        <w:rPr>
          <w:snapToGrid w:val="0"/>
        </w:rPr>
        <w:t xml:space="preserve"> </w:t>
      </w:r>
      <w:r>
        <w:t xml:space="preserve">and Pt. 5 Div. 26 </w:t>
      </w:r>
      <w:r>
        <w:rPr>
          <w:snapToGrid w:val="0"/>
        </w:rPr>
        <w:t>had not come into operation.  They read as follows:</w:t>
      </w:r>
    </w:p>
    <w:p>
      <w:pPr>
        <w:pStyle w:val="BlankOpen"/>
      </w:pPr>
    </w:p>
    <w:p>
      <w:pPr>
        <w:pStyle w:val="nzHeading2"/>
      </w:pPr>
      <w:bookmarkStart w:id="925" w:name="_Toc403555103"/>
      <w:bookmarkStart w:id="926" w:name="_Toc403555597"/>
      <w:bookmarkStart w:id="927" w:name="_Toc403557229"/>
      <w:bookmarkStart w:id="928" w:name="_Toc403557723"/>
      <w:bookmarkStart w:id="929" w:name="_Toc403559951"/>
      <w:bookmarkStart w:id="930" w:name="_Toc404175115"/>
      <w:bookmarkStart w:id="931" w:name="_Toc404179420"/>
      <w:bookmarkStart w:id="932" w:name="_Toc404181430"/>
      <w:bookmarkStart w:id="933" w:name="_Toc404253698"/>
      <w:bookmarkStart w:id="934" w:name="_Toc436300702"/>
      <w:bookmarkStart w:id="935" w:name="_Toc436303685"/>
      <w:bookmarkStart w:id="936" w:name="_Toc436304181"/>
      <w:bookmarkStart w:id="937" w:name="_Toc436661057"/>
      <w:bookmarkStart w:id="938" w:name="_Toc455465868"/>
      <w:bookmarkStart w:id="939" w:name="_Toc455475126"/>
      <w:bookmarkStart w:id="940" w:name="_Toc455475608"/>
      <w:bookmarkStart w:id="941" w:name="_Toc455749690"/>
      <w:bookmarkStart w:id="942" w:name="_Toc456087351"/>
      <w:bookmarkStart w:id="943" w:name="_Toc457226561"/>
      <w:r>
        <w:rPr>
          <w:rStyle w:val="CharPartNo"/>
        </w:rPr>
        <w:t>Part 3</w:t>
      </w:r>
      <w:r>
        <w:t> — </w:t>
      </w:r>
      <w:r>
        <w:rPr>
          <w:rStyle w:val="CharPartText"/>
        </w:rPr>
        <w:t>Amendments to other Acts and repeals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nzHeading3"/>
      </w:pPr>
      <w:bookmarkStart w:id="944" w:name="_Toc403555244"/>
      <w:bookmarkStart w:id="945" w:name="_Toc403555738"/>
      <w:bookmarkStart w:id="946" w:name="_Toc403557370"/>
      <w:bookmarkStart w:id="947" w:name="_Toc403557864"/>
      <w:bookmarkStart w:id="948" w:name="_Toc403560092"/>
      <w:bookmarkStart w:id="949" w:name="_Toc404175256"/>
      <w:bookmarkStart w:id="950" w:name="_Toc404179561"/>
      <w:bookmarkStart w:id="951" w:name="_Toc404181571"/>
      <w:bookmarkStart w:id="952" w:name="_Toc404253839"/>
      <w:bookmarkStart w:id="953" w:name="_Toc436300844"/>
      <w:bookmarkStart w:id="954" w:name="_Toc436303827"/>
      <w:bookmarkStart w:id="955" w:name="_Toc436304323"/>
      <w:bookmarkStart w:id="956" w:name="_Toc436661199"/>
      <w:bookmarkStart w:id="957" w:name="_Toc455466010"/>
      <w:bookmarkStart w:id="958" w:name="_Toc455475256"/>
      <w:bookmarkStart w:id="959" w:name="_Toc455475738"/>
      <w:bookmarkStart w:id="960" w:name="_Toc455749820"/>
      <w:bookmarkStart w:id="961" w:name="_Toc456087481"/>
      <w:bookmarkStart w:id="962" w:name="_Toc457226691"/>
      <w:r>
        <w:rPr>
          <w:rStyle w:val="CharDivNo"/>
        </w:rPr>
        <w:t>Division 29</w:t>
      </w:r>
      <w:r>
        <w:t> — </w:t>
      </w:r>
      <w:r>
        <w:rPr>
          <w:rStyle w:val="CharDivText"/>
          <w:i/>
        </w:rPr>
        <w:t>Waste Avoidance and Resource Recovery Act 2007</w:t>
      </w:r>
      <w:r>
        <w:rPr>
          <w:rStyle w:val="CharDivText"/>
        </w:rPr>
        <w:t> amended</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nzHeading5"/>
      </w:pPr>
      <w:bookmarkStart w:id="963" w:name="_Toc456087482"/>
      <w:bookmarkStart w:id="964" w:name="_Toc457226692"/>
      <w:r>
        <w:rPr>
          <w:rStyle w:val="CharSectno"/>
        </w:rPr>
        <w:t>199</w:t>
      </w:r>
      <w:r>
        <w:t>.</w:t>
      </w:r>
      <w:r>
        <w:tab/>
        <w:t>Act amended</w:t>
      </w:r>
      <w:bookmarkEnd w:id="963"/>
      <w:bookmarkEnd w:id="964"/>
    </w:p>
    <w:p>
      <w:pPr>
        <w:pStyle w:val="nzSubsection"/>
      </w:pPr>
      <w:r>
        <w:tab/>
      </w:r>
      <w:r>
        <w:tab/>
        <w:t xml:space="preserve">This Division amends the </w:t>
      </w:r>
      <w:r>
        <w:rPr>
          <w:i/>
        </w:rPr>
        <w:t>Waste Avoidance and Resource Recovery Act 2007</w:t>
      </w:r>
      <w:r>
        <w:t>.</w:t>
      </w:r>
    </w:p>
    <w:p>
      <w:pPr>
        <w:pStyle w:val="nzHeading5"/>
      </w:pPr>
      <w:bookmarkStart w:id="965" w:name="_Toc456087483"/>
      <w:bookmarkStart w:id="966" w:name="_Toc457226693"/>
      <w:r>
        <w:rPr>
          <w:rStyle w:val="CharSectno"/>
        </w:rPr>
        <w:t>200</w:t>
      </w:r>
      <w:r>
        <w:t>.</w:t>
      </w:r>
      <w:r>
        <w:tab/>
        <w:t>Section 3 amended</w:t>
      </w:r>
      <w:bookmarkEnd w:id="965"/>
      <w:bookmarkEnd w:id="966"/>
    </w:p>
    <w:p>
      <w:pPr>
        <w:pStyle w:val="nzSubsection"/>
      </w:pPr>
      <w:r>
        <w:tab/>
        <w:t>(1)</w:t>
      </w:r>
      <w:r>
        <w:tab/>
        <w:t xml:space="preserve">In section 3(1) delete the definition of </w:t>
      </w:r>
      <w:r>
        <w:rPr>
          <w:b/>
          <w:i/>
        </w:rPr>
        <w:t>Executive Director, Public Health</w:t>
      </w:r>
      <w:r>
        <w:t>.</w:t>
      </w:r>
    </w:p>
    <w:p>
      <w:pPr>
        <w:pStyle w:val="nzSubsection"/>
      </w:pPr>
      <w:r>
        <w:tab/>
        <w:t>(2)</w:t>
      </w:r>
      <w:r>
        <w:tab/>
        <w:t>In section 3(1) insert in alphabetical order:</w:t>
      </w:r>
    </w:p>
    <w:p>
      <w:pPr>
        <w:pStyle w:val="BlankOpen"/>
      </w:pPr>
    </w:p>
    <w:p>
      <w:pPr>
        <w:pStyle w:val="nzDefstart"/>
        <w:rPr>
          <w:rStyle w:val="CharDefText"/>
          <w:b w:val="0"/>
          <w:i w:val="0"/>
        </w:rPr>
      </w:pPr>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BlankClose"/>
      </w:pPr>
    </w:p>
    <w:p>
      <w:pPr>
        <w:pStyle w:val="nzHeading5"/>
      </w:pPr>
      <w:bookmarkStart w:id="967" w:name="_Toc456087484"/>
      <w:bookmarkStart w:id="968" w:name="_Toc457226694"/>
      <w:r>
        <w:rPr>
          <w:rStyle w:val="CharSectno"/>
        </w:rPr>
        <w:t>201</w:t>
      </w:r>
      <w:r>
        <w:t>.</w:t>
      </w:r>
      <w:r>
        <w:tab/>
        <w:t>Section 7 amended</w:t>
      </w:r>
      <w:bookmarkEnd w:id="967"/>
      <w:bookmarkEnd w:id="968"/>
    </w:p>
    <w:p>
      <w:pPr>
        <w:pStyle w:val="nzSubsection"/>
      </w:pPr>
      <w:r>
        <w:tab/>
        <w:t>(1)</w:t>
      </w:r>
      <w:r>
        <w:tab/>
        <w:t xml:space="preserve">In section 7(1) delete “Executive Director, Public Health under the </w:t>
      </w:r>
      <w:r>
        <w:rPr>
          <w:i/>
          <w:iCs/>
        </w:rPr>
        <w:t>Health Act 1911</w:t>
      </w:r>
      <w:r>
        <w:t>.” and insert:</w:t>
      </w:r>
    </w:p>
    <w:p>
      <w:pPr>
        <w:pStyle w:val="BlankOpen"/>
      </w:pPr>
    </w:p>
    <w:p>
      <w:pPr>
        <w:pStyle w:val="nzSubsection"/>
      </w:pPr>
      <w:r>
        <w:tab/>
      </w:r>
      <w:r>
        <w:tab/>
        <w:t xml:space="preserve">Chief Health Officer under the </w:t>
      </w:r>
      <w:r>
        <w:rPr>
          <w:i/>
          <w:iCs/>
        </w:rPr>
        <w:t>Health (Miscellaneous Provisions) Act 1911</w:t>
      </w:r>
      <w:r>
        <w:t>.</w:t>
      </w:r>
    </w:p>
    <w:p>
      <w:pPr>
        <w:pStyle w:val="BlankClose"/>
      </w:pPr>
    </w:p>
    <w:p>
      <w:pPr>
        <w:pStyle w:val="nzSubsection"/>
      </w:pPr>
      <w:r>
        <w:tab/>
        <w:t>(2)</w:t>
      </w:r>
      <w:r>
        <w:tab/>
        <w:t>In section 7(2) delete “Executive Director, Public Health” and insert:</w:t>
      </w:r>
    </w:p>
    <w:p>
      <w:pPr>
        <w:pStyle w:val="BlankOpen"/>
      </w:pPr>
    </w:p>
    <w:p>
      <w:pPr>
        <w:pStyle w:val="nzSubsection"/>
      </w:pPr>
      <w:r>
        <w:tab/>
      </w:r>
      <w:r>
        <w:tab/>
        <w:t>Chief Health Officer</w:t>
      </w:r>
    </w:p>
    <w:p>
      <w:pPr>
        <w:pStyle w:val="BlankClose"/>
      </w:pPr>
    </w:p>
    <w:p>
      <w:pPr>
        <w:pStyle w:val="SectAltNote"/>
        <w:keepNext w:val="0"/>
      </w:pPr>
      <w:r>
        <w:tab/>
        <w:t>Note:</w:t>
      </w:r>
      <w:r>
        <w:tab/>
        <w:t>The heading to amended section 7 is to read:</w:t>
      </w:r>
    </w:p>
    <w:p>
      <w:pPr>
        <w:pStyle w:val="SectAltHeading"/>
      </w:pPr>
      <w:r>
        <w:tab/>
      </w:r>
      <w:r>
        <w:tab/>
        <w:t>Chief Health Officer to be consulted on public health issues</w:t>
      </w:r>
    </w:p>
    <w:p>
      <w:pPr>
        <w:pStyle w:val="nzHeading5"/>
        <w:spacing w:before="240"/>
      </w:pPr>
      <w:bookmarkStart w:id="969" w:name="_Toc456087485"/>
      <w:bookmarkStart w:id="970" w:name="_Toc457226695"/>
      <w:r>
        <w:rPr>
          <w:rStyle w:val="CharSectno"/>
        </w:rPr>
        <w:t>202</w:t>
      </w:r>
      <w:r>
        <w:t>.</w:t>
      </w:r>
      <w:r>
        <w:tab/>
        <w:t>Section 58 amended</w:t>
      </w:r>
      <w:bookmarkEnd w:id="969"/>
      <w:bookmarkEnd w:id="970"/>
    </w:p>
    <w:p>
      <w:pPr>
        <w:pStyle w:val="nzSubsection"/>
        <w:keepNext/>
      </w:pPr>
      <w:r>
        <w:tab/>
      </w:r>
      <w:r>
        <w:tab/>
        <w:t>Delete section 58(b) and insert:</w:t>
      </w:r>
    </w:p>
    <w:p>
      <w:pPr>
        <w:pStyle w:val="BlankOpen"/>
      </w:pPr>
    </w:p>
    <w:p>
      <w:pPr>
        <w:pStyle w:val="nzIndenta"/>
      </w:pPr>
      <w:r>
        <w:tab/>
        <w:t>(b)</w:t>
      </w:r>
      <w:r>
        <w:tab/>
        <w:t>the Chief Health Officer; and</w:t>
      </w:r>
    </w:p>
    <w:p>
      <w:pPr>
        <w:pStyle w:val="BlankClose"/>
      </w:pPr>
    </w:p>
    <w:p>
      <w:pPr>
        <w:pStyle w:val="nzHeading5"/>
      </w:pPr>
      <w:bookmarkStart w:id="971" w:name="_Toc456087486"/>
      <w:bookmarkStart w:id="972" w:name="_Toc457226696"/>
      <w:r>
        <w:rPr>
          <w:rStyle w:val="CharSectno"/>
        </w:rPr>
        <w:t>203</w:t>
      </w:r>
      <w:r>
        <w:t>.</w:t>
      </w:r>
      <w:r>
        <w:tab/>
        <w:t>Section 71 amended</w:t>
      </w:r>
      <w:bookmarkEnd w:id="971"/>
      <w:bookmarkEnd w:id="972"/>
    </w:p>
    <w:p>
      <w:pPr>
        <w:pStyle w:val="nzSubsection"/>
      </w:pPr>
      <w:r>
        <w:tab/>
      </w:r>
      <w:r>
        <w:tab/>
        <w:t>In section 71(4)(c) and (5)(c) delete “Executive Director, Public Health,” and insert:</w:t>
      </w:r>
    </w:p>
    <w:p>
      <w:pPr>
        <w:pStyle w:val="BlankOpen"/>
      </w:pPr>
    </w:p>
    <w:p>
      <w:pPr>
        <w:pStyle w:val="nzSubsection"/>
      </w:pPr>
      <w:r>
        <w:tab/>
      </w:r>
      <w:r>
        <w:tab/>
        <w:t>Chief Health Officer,</w:t>
      </w:r>
    </w:p>
    <w:p>
      <w:pPr>
        <w:pStyle w:val="BlankClose"/>
      </w:pPr>
    </w:p>
    <w:p>
      <w:pPr>
        <w:pStyle w:val="nzHeading2"/>
      </w:pPr>
      <w:bookmarkStart w:id="973" w:name="_Toc403555343"/>
      <w:bookmarkStart w:id="974" w:name="_Toc403555837"/>
      <w:bookmarkStart w:id="975" w:name="_Toc403557469"/>
      <w:bookmarkStart w:id="976" w:name="_Toc403557963"/>
      <w:bookmarkStart w:id="977" w:name="_Toc403560191"/>
      <w:bookmarkStart w:id="978" w:name="_Toc404175355"/>
      <w:bookmarkStart w:id="979" w:name="_Toc404179660"/>
      <w:bookmarkStart w:id="980" w:name="_Toc404181670"/>
      <w:bookmarkStart w:id="981" w:name="_Toc404253938"/>
      <w:bookmarkStart w:id="982" w:name="_Toc436300943"/>
      <w:bookmarkStart w:id="983" w:name="_Toc436303926"/>
      <w:bookmarkStart w:id="984" w:name="_Toc436304422"/>
      <w:bookmarkStart w:id="985" w:name="_Toc436661298"/>
      <w:bookmarkStart w:id="986" w:name="_Toc455466109"/>
      <w:bookmarkStart w:id="987" w:name="_Toc455475357"/>
      <w:bookmarkStart w:id="988" w:name="_Toc455475839"/>
      <w:bookmarkStart w:id="989" w:name="_Toc455749921"/>
      <w:bookmarkStart w:id="990" w:name="_Toc456087582"/>
      <w:bookmarkStart w:id="991" w:name="_Toc457226792"/>
      <w:r>
        <w:rPr>
          <w:rStyle w:val="CharPartNo"/>
        </w:rPr>
        <w:t>Part 5</w:t>
      </w:r>
      <w:r>
        <w:t> — </w:t>
      </w:r>
      <w:r>
        <w:rPr>
          <w:rStyle w:val="CharPartText"/>
        </w:rPr>
        <w:t>Other Acts amended</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nzHeading3"/>
      </w:pPr>
      <w:bookmarkStart w:id="992" w:name="_Toc403555439"/>
      <w:bookmarkStart w:id="993" w:name="_Toc403555933"/>
      <w:bookmarkStart w:id="994" w:name="_Toc403557565"/>
      <w:bookmarkStart w:id="995" w:name="_Toc403558059"/>
      <w:bookmarkStart w:id="996" w:name="_Toc403560287"/>
      <w:bookmarkStart w:id="997" w:name="_Toc404175451"/>
      <w:bookmarkStart w:id="998" w:name="_Toc404179756"/>
      <w:bookmarkStart w:id="999" w:name="_Toc404181766"/>
      <w:bookmarkStart w:id="1000" w:name="_Toc404254034"/>
      <w:bookmarkStart w:id="1001" w:name="_Toc436301039"/>
      <w:bookmarkStart w:id="1002" w:name="_Toc436304022"/>
      <w:bookmarkStart w:id="1003" w:name="_Toc436304518"/>
      <w:bookmarkStart w:id="1004" w:name="_Toc436661394"/>
      <w:bookmarkStart w:id="1005" w:name="_Toc455466205"/>
      <w:bookmarkStart w:id="1006" w:name="_Toc455475449"/>
      <w:bookmarkStart w:id="1007" w:name="_Toc455475931"/>
      <w:bookmarkStart w:id="1008" w:name="_Toc455750013"/>
      <w:bookmarkStart w:id="1009" w:name="_Toc456087674"/>
      <w:bookmarkStart w:id="1010" w:name="_Toc457226884"/>
      <w:r>
        <w:rPr>
          <w:rStyle w:val="CharDivNo"/>
        </w:rPr>
        <w:t>Division 26</w:t>
      </w:r>
      <w:r>
        <w:t> — </w:t>
      </w:r>
      <w:r>
        <w:rPr>
          <w:rStyle w:val="CharDivText"/>
          <w:i/>
        </w:rPr>
        <w:t>Waste Avoidance and Resource Recovery Act 2007</w:t>
      </w:r>
      <w:r>
        <w:rPr>
          <w:rStyle w:val="CharDivText"/>
        </w:rPr>
        <w:t> amended</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nzHeading5"/>
      </w:pPr>
      <w:bookmarkStart w:id="1011" w:name="_Toc456087675"/>
      <w:bookmarkStart w:id="1012" w:name="_Toc457226885"/>
      <w:r>
        <w:rPr>
          <w:rStyle w:val="CharSectno"/>
        </w:rPr>
        <w:t>336</w:t>
      </w:r>
      <w:r>
        <w:t>.</w:t>
      </w:r>
      <w:r>
        <w:tab/>
        <w:t>Act amended</w:t>
      </w:r>
      <w:bookmarkEnd w:id="1011"/>
      <w:bookmarkEnd w:id="1012"/>
    </w:p>
    <w:p>
      <w:pPr>
        <w:pStyle w:val="nzSubsection"/>
      </w:pPr>
      <w:r>
        <w:tab/>
      </w:r>
      <w:r>
        <w:tab/>
        <w:t xml:space="preserve">This Division amends the </w:t>
      </w:r>
      <w:r>
        <w:rPr>
          <w:i/>
        </w:rPr>
        <w:t>Waste Avoidance and Resource Recovery Act 2007</w:t>
      </w:r>
      <w:r>
        <w:t>.</w:t>
      </w:r>
    </w:p>
    <w:p>
      <w:pPr>
        <w:pStyle w:val="nzHeading5"/>
      </w:pPr>
      <w:bookmarkStart w:id="1013" w:name="_Toc456087676"/>
      <w:bookmarkStart w:id="1014" w:name="_Toc457226886"/>
      <w:r>
        <w:rPr>
          <w:rStyle w:val="CharSectno"/>
        </w:rPr>
        <w:t>337</w:t>
      </w:r>
      <w:r>
        <w:t>.</w:t>
      </w:r>
      <w:r>
        <w:tab/>
        <w:t>Section 7 amended</w:t>
      </w:r>
      <w:bookmarkEnd w:id="1013"/>
      <w:bookmarkEnd w:id="1014"/>
    </w:p>
    <w:p>
      <w:pPr>
        <w:pStyle w:val="nzSubsection"/>
      </w:pPr>
      <w:r>
        <w:tab/>
      </w:r>
      <w:r>
        <w:tab/>
        <w:t>In section 7(1) delete “</w:t>
      </w:r>
      <w:r>
        <w:rPr>
          <w:i/>
          <w:iCs/>
        </w:rPr>
        <w:t>1911</w:t>
      </w:r>
      <w:r>
        <w:t>.” and insert:</w:t>
      </w:r>
    </w:p>
    <w:p>
      <w:pPr>
        <w:pStyle w:val="BlankOpen"/>
      </w:pPr>
    </w:p>
    <w:p>
      <w:pPr>
        <w:pStyle w:val="nzSubsection"/>
      </w:pPr>
      <w:r>
        <w:tab/>
      </w:r>
      <w:r>
        <w:tab/>
      </w:r>
      <w:r>
        <w:rPr>
          <w:i/>
        </w:rPr>
        <w:t>1911</w:t>
      </w:r>
      <w:r>
        <w:t xml:space="preserve"> or the </w:t>
      </w:r>
      <w:r>
        <w:rPr>
          <w:i/>
          <w:iCs/>
        </w:rPr>
        <w:t>Public Health Act 2016</w:t>
      </w:r>
      <w:r>
        <w:t>.</w:t>
      </w:r>
    </w:p>
    <w:p>
      <w:pPr>
        <w:pStyle w:val="BlankClose"/>
      </w:pPr>
    </w:p>
    <w:p>
      <w:pPr>
        <w:pStyle w:val="BlankClose"/>
      </w:pP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Waste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Disclosure of interests etc.</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in respect of which regulations may be made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Product stewardship</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in respect of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Product stewardship</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15" w:name="Compilation"/>
    <w:bookmarkEnd w:id="101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6" w:name="Coversheet"/>
    <w:bookmarkEnd w:id="10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32" w:name="Schedule"/>
    <w:bookmarkEnd w:id="6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Waste Authority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Disclosure of interests etc.</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31120504"/>
    <w:docVar w:name="WAFER_20140204100839" w:val="RemoveTocBookmarks,RemoveUnusedBookmarks,RemoveLanguageTags,UsedStyles,ResetPageSize,UpdateArrangement"/>
    <w:docVar w:name="WAFER_20140204100839_GUID" w:val="99f1f2d6-95df-4ca8-91c7-bc09508d8516"/>
    <w:docVar w:name="WAFER_20140204104711" w:val="RemoveTocBookmarks,RunningHeaders"/>
    <w:docVar w:name="WAFER_20140204104711_GUID" w:val="330fc5e2-04a5-4eff-b695-8d2b395bf0e3"/>
    <w:docVar w:name="WAFER_20150713155851" w:val="ResetPageSize,UpdateArrangement,UpdateNTable"/>
    <w:docVar w:name="WAFER_20150713155851_GUID" w:val="8098a17a-f0ba-4921-b794-b807d9096f8c"/>
    <w:docVar w:name="WAFER_20151110153503" w:val="UpdateStyles,UsedStyles"/>
    <w:docVar w:name="WAFER_20151110153503_GUID" w:val="06c7b38b-fe93-4b16-880b-a02356cf25d0"/>
    <w:docVar w:name="WAFER_20151201142450" w:val="RemoveTrackChanges"/>
    <w:docVar w:name="WAFER_20151201142450_GUID" w:val="48d66785-41c1-4afa-bb34-91148ec5fbca"/>
    <w:docVar w:name="WAFER_20160725120447" w:val="RemoveTocBookmarks,RemoveUnusedBookmarks,RemoveLanguageTags,UsedStyles,ResetPageSize,RemoveCustomizations"/>
    <w:docVar w:name="WAFER_20160725120447_GUID" w:val="f94681fd-4233-47ba-a13d-1e623e076588"/>
    <w:docVar w:name="WAFER_20160831120257" w:val="RemoveTocBookmarks,RemoveUnusedBookmarks,RemoveLanguageTags,UsedStyles,RemoveTrackChanges"/>
    <w:docVar w:name="WAFER_20160831120257_GUID" w:val="9d288b89-0432-400d-a179-f7f45f5ae9da"/>
    <w:docVar w:name="WAFER_20160831120504" w:val="RemoveTocBookmarks,RemoveLanguageTags,RemoveTrackChanges,RunningHeaders"/>
    <w:docVar w:name="WAFER_20160831120504_GUID" w:val="a1ca17e5-a5aa-4397-9791-4b92a2bbc2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3DE33-46BE-4707-B47A-30635E4E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19727</Words>
  <Characters>94690</Characters>
  <Application>Microsoft Office Word</Application>
  <DocSecurity>0</DocSecurity>
  <Lines>2491</Lines>
  <Paragraphs>1378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113039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00-j0-00 - 01-a0-01</dc:title>
  <dc:subject/>
  <dc:creator/>
  <cp:keywords/>
  <dc:description/>
  <cp:lastModifiedBy>svcMRProcess</cp:lastModifiedBy>
  <cp:revision>2</cp:revision>
  <cp:lastPrinted>2016-09-30T03:04:00Z</cp:lastPrinted>
  <dcterms:created xsi:type="dcterms:W3CDTF">2018-09-17T09:05:00Z</dcterms:created>
  <dcterms:modified xsi:type="dcterms:W3CDTF">2018-09-17T09:05:00Z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OwlsUID">
    <vt:i4>146643</vt:i4>
  </property>
  <property fmtid="{D5CDD505-2E9C-101B-9397-08002B2CF9AE}" pid="4" name="DocumentType">
    <vt:lpwstr>Act</vt:lpwstr>
  </property>
  <property fmtid="{D5CDD505-2E9C-101B-9397-08002B2CF9AE}" pid="5" name="ReprintedAsAt">
    <vt:filetime>2016-09-15T16:00:00Z</vt:filetime>
  </property>
  <property fmtid="{D5CDD505-2E9C-101B-9397-08002B2CF9AE}" pid="6" name="ReprintNo">
    <vt:lpwstr>1</vt:lpwstr>
  </property>
  <property fmtid="{D5CDD505-2E9C-101B-9397-08002B2CF9AE}" pid="7" name="CommencementDate">
    <vt:lpwstr>20160916</vt:lpwstr>
  </property>
  <property fmtid="{D5CDD505-2E9C-101B-9397-08002B2CF9AE}" pid="8" name="FromSuffix">
    <vt:lpwstr>00-j0-00</vt:lpwstr>
  </property>
  <property fmtid="{D5CDD505-2E9C-101B-9397-08002B2CF9AE}" pid="9" name="FromAsAtDate">
    <vt:lpwstr>25 Jul 2016</vt:lpwstr>
  </property>
  <property fmtid="{D5CDD505-2E9C-101B-9397-08002B2CF9AE}" pid="10" name="ToSuffix">
    <vt:lpwstr>01-a0-01</vt:lpwstr>
  </property>
  <property fmtid="{D5CDD505-2E9C-101B-9397-08002B2CF9AE}" pid="11" name="ToAsAtDate">
    <vt:lpwstr>16 Sep 2016</vt:lpwstr>
  </property>
</Properties>
</file>