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(Super 66)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2013</w:t>
      </w:r>
      <w:r>
        <w:fldChar w:fldCharType="end"/>
      </w:r>
      <w:r>
        <w:t xml:space="preserve">, </w:t>
      </w:r>
      <w:r>
        <w:fldChar w:fldCharType="begin"/>
      </w:r>
      <w:r>
        <w:instrText xml:space="preserve"> DocProperty FromSuffix </w:instrText>
      </w:r>
      <w:r>
        <w:fldChar w:fldCharType="separate"/>
      </w:r>
      <w:r>
        <w:t>02-e0-05</w:t>
      </w:r>
      <w:r>
        <w:fldChar w:fldCharType="end"/>
      </w:r>
      <w:r>
        <w:t>] and [</w:t>
      </w:r>
      <w:r>
        <w:fldChar w:fldCharType="begin"/>
      </w:r>
      <w:r>
        <w:instrText xml:space="preserve"> DocProperty ToAsAtDate</w:instrText>
      </w:r>
      <w:r>
        <w:fldChar w:fldCharType="separate"/>
      </w:r>
      <w:r>
        <w:t>08 Oct 2016</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(Super 66) Rules 1996</w:t>
      </w:r>
    </w:p>
    <w:p>
      <w:pPr>
        <w:pStyle w:val="Heading2"/>
        <w:pageBreakBefore w:val="0"/>
      </w:pPr>
      <w:bookmarkStart w:id="1" w:name="_Toc377389081"/>
      <w:bookmarkStart w:id="2" w:name="_Toc380143988"/>
      <w:bookmarkStart w:id="3" w:name="_Toc421106051"/>
      <w:bookmarkStart w:id="4" w:name="_Toc421106088"/>
      <w:bookmarkStart w:id="5" w:name="_Toc46361298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380143989"/>
      <w:bookmarkStart w:id="8" w:name="_Toc463612989"/>
      <w:bookmarkStart w:id="9" w:name="_Toc421106089"/>
      <w:r>
        <w:rPr>
          <w:rStyle w:val="CharSectno"/>
        </w:rPr>
        <w:t>1</w:t>
      </w:r>
      <w:r>
        <w:rPr>
          <w:snapToGrid w:val="0"/>
        </w:rPr>
        <w:t>.</w:t>
      </w:r>
      <w:r>
        <w:rPr>
          <w:snapToGrid w:val="0"/>
        </w:rPr>
        <w:tab/>
        <w:t>Citation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Lotteries Commission (Super 66) Rules 1996</w:t>
      </w:r>
      <w:r>
        <w:rPr>
          <w:snapToGrid w:val="0"/>
          <w:vertAlign w:val="superscript"/>
        </w:rPr>
        <w:t> 1</w:t>
      </w:r>
      <w:r>
        <w:rPr>
          <w:snapToGrid w:val="0"/>
        </w:rPr>
        <w:t>.</w:t>
      </w:r>
    </w:p>
    <w:p>
      <w:pPr>
        <w:pStyle w:val="Heading5"/>
        <w:rPr>
          <w:snapToGrid w:val="0"/>
        </w:rPr>
      </w:pPr>
      <w:bookmarkStart w:id="10" w:name="_Toc380143990"/>
      <w:bookmarkStart w:id="11" w:name="_Toc463612990"/>
      <w:bookmarkStart w:id="12" w:name="_Toc421106090"/>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rules come into operation on 18 November 1996 and apply to super 66 lotto draws conducted on or after 1 February 1997. </w:t>
      </w:r>
    </w:p>
    <w:p>
      <w:pPr>
        <w:pStyle w:val="Heading5"/>
        <w:rPr>
          <w:snapToGrid w:val="0"/>
        </w:rPr>
      </w:pPr>
      <w:bookmarkStart w:id="13" w:name="_Toc380143991"/>
      <w:bookmarkStart w:id="14" w:name="_Toc463612991"/>
      <w:bookmarkStart w:id="15" w:name="_Toc421106091"/>
      <w:r>
        <w:rPr>
          <w:rStyle w:val="CharSectno"/>
        </w:rPr>
        <w:t>3</w:t>
      </w:r>
      <w:r>
        <w:rPr>
          <w:snapToGrid w:val="0"/>
        </w:rPr>
        <w:t>.</w:t>
      </w:r>
      <w:r>
        <w:rPr>
          <w:snapToGrid w:val="0"/>
        </w:rPr>
        <w:tab/>
        <w:t>Terms used in these rules</w:t>
      </w:r>
      <w:bookmarkEnd w:id="13"/>
      <w:bookmarkEnd w:id="14"/>
      <w:bookmarkEnd w:id="15"/>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super 66, and includes any branch or section of the Commission;</w:t>
      </w:r>
    </w:p>
    <w:p>
      <w:pPr>
        <w:pStyle w:val="Defstart"/>
      </w:pPr>
      <w:r>
        <w:rPr>
          <w:b/>
        </w:rPr>
        <w:tab/>
      </w:r>
      <w:r>
        <w:rPr>
          <w:rStyle w:val="CharDefText"/>
        </w:rPr>
        <w:t>Australian Lotto Bloc</w:t>
      </w:r>
      <w:r>
        <w:t xml:space="preserve"> means a group made up of the Commission and the designated authorities for the States of Queensland, South Australia and Victoria;</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in super 66 as described in rule 5 or an entry as a result of redemption of a promotional coupon;</w:t>
      </w:r>
    </w:p>
    <w:p>
      <w:pPr>
        <w:pStyle w:val="Defstart"/>
      </w:pPr>
      <w:r>
        <w:rPr>
          <w:b/>
        </w:rPr>
        <w:tab/>
      </w:r>
      <w:r>
        <w:rPr>
          <w:rStyle w:val="CharDefText"/>
        </w:rPr>
        <w:t>game</w:t>
      </w:r>
      <w:r>
        <w:t xml:space="preserve"> means a selection of 6 digits as shown on a receipted ticket; </w:t>
      </w:r>
    </w:p>
    <w:p>
      <w:pPr>
        <w:pStyle w:val="Defstart"/>
      </w:pPr>
      <w:r>
        <w:rPr>
          <w:b/>
        </w:rPr>
        <w:tab/>
      </w:r>
      <w:r>
        <w:rPr>
          <w:rStyle w:val="CharDefText"/>
        </w:rPr>
        <w:t>Monday and Wednesday Lotto Rules</w:t>
      </w:r>
      <w:r>
        <w:t xml:space="preserve"> means the </w:t>
      </w:r>
      <w:r>
        <w:rPr>
          <w:i/>
        </w:rPr>
        <w:t>Lotteries Commission (Monday and Wednesday Lotto) Rules 2006</w:t>
      </w:r>
      <w:r>
        <w:t>;</w:t>
      </w:r>
    </w:p>
    <w:p>
      <w:pPr>
        <w:pStyle w:val="Defstart"/>
      </w:pPr>
      <w:r>
        <w:rPr>
          <w:b/>
        </w:rPr>
        <w:tab/>
      </w:r>
      <w:r>
        <w:rPr>
          <w:rStyle w:val="CharDefText"/>
        </w:rPr>
        <w:t>Monday lotto</w:t>
      </w:r>
      <w:r>
        <w:t xml:space="preserve"> has the same meaning as in the Monday and Wednesday Lotto Rules;</w:t>
      </w:r>
    </w:p>
    <w:p>
      <w:pPr>
        <w:pStyle w:val="Defstart"/>
      </w:pPr>
      <w:r>
        <w:rPr>
          <w:b/>
        </w:rPr>
        <w:tab/>
      </w:r>
      <w:r>
        <w:rPr>
          <w:rStyle w:val="CharDefText"/>
        </w:rPr>
        <w:t>Oz lotto</w:t>
      </w:r>
      <w:r>
        <w:t xml:space="preserve"> has the same meaning as in the Oz Lotto Rules;</w:t>
      </w:r>
    </w:p>
    <w:p>
      <w:pPr>
        <w:pStyle w:val="Defstart"/>
      </w:pPr>
      <w:r>
        <w:rPr>
          <w:b/>
        </w:rPr>
        <w:tab/>
      </w:r>
      <w:r>
        <w:rPr>
          <w:rStyle w:val="CharDefText"/>
        </w:rPr>
        <w:t>Oz Lotto Rules</w:t>
      </w:r>
      <w:r>
        <w:t xml:space="preserve"> means the </w:t>
      </w:r>
      <w:r>
        <w:rPr>
          <w:i/>
          <w:iCs/>
        </w:rPr>
        <w:t>Lotteries Commission (Oz Lotto) Rules 1995</w:t>
      </w:r>
      <w:r>
        <w:t>;</w:t>
      </w:r>
    </w:p>
    <w:p>
      <w:pPr>
        <w:pStyle w:val="Defstart"/>
      </w:pPr>
      <w:r>
        <w:rPr>
          <w:b/>
        </w:rPr>
        <w:tab/>
      </w:r>
      <w:r>
        <w:rPr>
          <w:rStyle w:val="CharDefText"/>
        </w:rPr>
        <w:t>payout period</w:t>
      </w:r>
      <w:r>
        <w:t xml:space="preserve"> means the period from the Sunday after a super 66 draw to the close of business on the day one year after that draw;</w:t>
      </w:r>
    </w:p>
    <w:p>
      <w:pPr>
        <w:pStyle w:val="Defstart"/>
      </w:pPr>
      <w:r>
        <w:rPr>
          <w:b/>
        </w:rPr>
        <w:tab/>
      </w:r>
      <w:r>
        <w:rPr>
          <w:rStyle w:val="CharDefText"/>
        </w:rPr>
        <w:t>player’s card</w:t>
      </w:r>
      <w:r>
        <w:t xml:space="preserve"> and </w:t>
      </w:r>
      <w:r>
        <w:rPr>
          <w:rStyle w:val="CharDefText"/>
        </w:rPr>
        <w:t>player’s card number</w:t>
      </w:r>
      <w:r>
        <w:t xml:space="preserve"> have the meanings given in the Saturday Lotto Rules, the Monday and Wednesday Lotto Rules, the Oz Lotto Rules, the Powerball Rules or the Soccer Pools Rules as is appropriate to the case;</w:t>
      </w:r>
    </w:p>
    <w:p>
      <w:pPr>
        <w:pStyle w:val="Defstart"/>
      </w:pPr>
      <w:r>
        <w:rPr>
          <w:b/>
        </w:rPr>
        <w:tab/>
      </w:r>
      <w:r>
        <w:rPr>
          <w:rStyle w:val="CharDefText"/>
        </w:rPr>
        <w:t>playslip</w:t>
      </w:r>
      <w:r>
        <w:t xml:space="preserve"> means an entry form for lotto, whether for a single game or multiple games and for all types of play;</w:t>
      </w:r>
    </w:p>
    <w:p>
      <w:pPr>
        <w:pStyle w:val="Defstart"/>
      </w:pPr>
      <w:r>
        <w:rPr>
          <w:b/>
        </w:rPr>
        <w:tab/>
      </w:r>
      <w:r>
        <w:rPr>
          <w:rStyle w:val="CharDefText"/>
        </w:rPr>
        <w:t>powerball</w:t>
      </w:r>
      <w:r>
        <w:t xml:space="preserve"> has the same meaning as in the Powerball Rules; </w:t>
      </w:r>
    </w:p>
    <w:p>
      <w:pPr>
        <w:pStyle w:val="Defstart"/>
      </w:pPr>
      <w:r>
        <w:rPr>
          <w:b/>
        </w:rPr>
        <w:tab/>
      </w:r>
      <w:r>
        <w:rPr>
          <w:rStyle w:val="CharDefText"/>
        </w:rPr>
        <w:t>Powerball Rules</w:t>
      </w:r>
      <w:r>
        <w:t xml:space="preserve"> means the </w:t>
      </w:r>
      <w:r>
        <w:rPr>
          <w:i/>
        </w:rPr>
        <w:t>Lotteries Commission (Powerball) Rules 1996</w:t>
      </w:r>
      <w:r>
        <w:t xml:space="preserve">; </w:t>
      </w:r>
    </w:p>
    <w:p>
      <w:pPr>
        <w:pStyle w:val="Defstart"/>
      </w:pPr>
      <w:r>
        <w:rPr>
          <w:b/>
        </w:rPr>
        <w:tab/>
      </w:r>
      <w:r>
        <w:rPr>
          <w:rStyle w:val="CharDefText"/>
        </w:rPr>
        <w:t>prize fund</w:t>
      </w:r>
      <w:r>
        <w:t xml:space="preserve"> means the fund maintained by the Australian Lotto Bloc in accordance with the agreement referred to in rule 13(1) and consisting of the prize pool and the prize reserve fund; </w:t>
      </w:r>
    </w:p>
    <w:p>
      <w:pPr>
        <w:pStyle w:val="Defstart"/>
      </w:pPr>
      <w:r>
        <w:rPr>
          <w:b/>
        </w:rPr>
        <w:tab/>
      </w:r>
      <w:r>
        <w:rPr>
          <w:rStyle w:val="CharDefText"/>
        </w:rPr>
        <w:t>prize pool</w:t>
      </w:r>
      <w:r>
        <w:t xml:space="preserve"> means the prize pool referred to in rule 13(2)(a); </w:t>
      </w:r>
    </w:p>
    <w:p>
      <w:pPr>
        <w:pStyle w:val="Defstart"/>
      </w:pPr>
      <w:r>
        <w:rPr>
          <w:b/>
        </w:rPr>
        <w:tab/>
      </w:r>
      <w:r>
        <w:rPr>
          <w:rStyle w:val="CharDefText"/>
        </w:rPr>
        <w:t>prize reserve fund</w:t>
      </w:r>
      <w:r>
        <w:t xml:space="preserve"> means the fund referred to in rule 13(2)(b);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pPr>
        <w:pStyle w:val="Defstart"/>
      </w:pPr>
      <w:r>
        <w:rPr>
          <w:b/>
        </w:rPr>
        <w:tab/>
      </w:r>
      <w:r>
        <w:rPr>
          <w:rStyle w:val="CharDefText"/>
        </w:rPr>
        <w:t>Saturday lotto</w:t>
      </w:r>
      <w:r>
        <w:t xml:space="preserve"> has the same meaning as in the Saturday Lotto Rules;</w:t>
      </w:r>
    </w:p>
    <w:p>
      <w:pPr>
        <w:pStyle w:val="Defstart"/>
      </w:pPr>
      <w:r>
        <w:rPr>
          <w:b/>
        </w:rPr>
        <w:tab/>
      </w:r>
      <w:r>
        <w:rPr>
          <w:rStyle w:val="CharDefText"/>
        </w:rPr>
        <w:t>Saturday Lotto Rules</w:t>
      </w:r>
      <w:r>
        <w:t xml:space="preserve"> means the </w:t>
      </w:r>
      <w:r>
        <w:rPr>
          <w:i/>
        </w:rPr>
        <w:t>Lotteries Commission (Saturday Lotto) Rules 1996</w:t>
      </w:r>
      <w:r>
        <w:t>;</w:t>
      </w:r>
    </w:p>
    <w:p>
      <w:pPr>
        <w:pStyle w:val="Defstart"/>
      </w:pPr>
      <w:r>
        <w:rPr>
          <w:b/>
        </w:rPr>
        <w:tab/>
      </w:r>
      <w:r>
        <w:rPr>
          <w:rStyle w:val="CharDefText"/>
        </w:rPr>
        <w:t>selected digits</w:t>
      </w:r>
      <w:r>
        <w:t xml:space="preserve"> means the 6 digits shown on a receipted ticket in accordance with rule 6(2) in the order in which they are shown on that ticket;</w:t>
      </w:r>
    </w:p>
    <w:p>
      <w:pPr>
        <w:pStyle w:val="Defstart"/>
      </w:pPr>
      <w:r>
        <w:rPr>
          <w:b/>
        </w:rPr>
        <w:tab/>
      </w:r>
      <w:r>
        <w:rPr>
          <w:rStyle w:val="CharDefText"/>
        </w:rPr>
        <w:t>selling period</w:t>
      </w:r>
      <w:r>
        <w:t xml:space="preserve"> means the period terminating at 6.00 p.m. on the day on which a super 66 draw takes place, or 5.00 p.m. on that day, if so determined by the Commission from time to time;</w:t>
      </w:r>
    </w:p>
    <w:p>
      <w:pPr>
        <w:pStyle w:val="Defstart"/>
      </w:pPr>
      <w:r>
        <w:rPr>
          <w:b/>
        </w:rPr>
        <w:tab/>
      </w:r>
      <w:r>
        <w:rPr>
          <w:rStyle w:val="CharDefText"/>
        </w:rPr>
        <w:t>Soccer Pools</w:t>
      </w:r>
      <w:r>
        <w:t xml:space="preserve"> has the same meaning as in the Soccer Pools Rules; </w:t>
      </w:r>
    </w:p>
    <w:p>
      <w:pPr>
        <w:pStyle w:val="Defstart"/>
      </w:pPr>
      <w:r>
        <w:rPr>
          <w:b/>
        </w:rPr>
        <w:tab/>
      </w:r>
      <w:r>
        <w:rPr>
          <w:rStyle w:val="CharDefText"/>
        </w:rPr>
        <w:t>Soccer Pools Rules</w:t>
      </w:r>
      <w:r>
        <w:t xml:space="preserve"> means the </w:t>
      </w:r>
      <w:r>
        <w:rPr>
          <w:i/>
        </w:rPr>
        <w:t>Lotteries Commission (Soccer Pools) Rules 1996</w:t>
      </w:r>
      <w:r>
        <w:t>;</w:t>
      </w:r>
    </w:p>
    <w:p>
      <w:pPr>
        <w:pStyle w:val="Defstart"/>
      </w:pPr>
      <w:r>
        <w:rPr>
          <w:b/>
        </w:rPr>
        <w:tab/>
      </w:r>
      <w:r>
        <w:rPr>
          <w:rStyle w:val="CharDefText"/>
        </w:rPr>
        <w:t>super 66</w:t>
      </w:r>
      <w:r>
        <w:t xml:space="preserve"> means a game of lotto conducted in accordance with these rules;</w:t>
      </w:r>
    </w:p>
    <w:p>
      <w:pPr>
        <w:pStyle w:val="Defstart"/>
      </w:pPr>
      <w:r>
        <w:rPr>
          <w:b/>
        </w:rPr>
        <w:tab/>
      </w:r>
      <w:r>
        <w:rPr>
          <w:rStyle w:val="CharDefText"/>
        </w:rPr>
        <w:t>super 66 draw</w:t>
      </w:r>
      <w:r>
        <w:t xml:space="preserve"> means a draw conducted in accordance with rule 14 and supervised in accordance with rule 11; </w:t>
      </w:r>
    </w:p>
    <w:p>
      <w:pPr>
        <w:pStyle w:val="Defstart"/>
      </w:pPr>
      <w:r>
        <w:rPr>
          <w:b/>
        </w:rPr>
        <w:tab/>
      </w:r>
      <w:r>
        <w:rPr>
          <w:rStyle w:val="CharDefText"/>
        </w:rPr>
        <w:t>total prize pool</w:t>
      </w:r>
      <w:r>
        <w:t xml:space="preserve"> means the prize pool for a super 66 draw, plus any jackpot from a previous draw and any amount that has been taken from the prize reserve fund under rule 13(3) to increase the division 1 prize pool to a guaranteed minimum amount;</w:t>
      </w:r>
    </w:p>
    <w:p>
      <w:pPr>
        <w:pStyle w:val="Defstart"/>
      </w:pPr>
      <w:r>
        <w:rPr>
          <w:b/>
        </w:rPr>
        <w:tab/>
      </w:r>
      <w:r>
        <w:rPr>
          <w:rStyle w:val="CharDefText"/>
        </w:rPr>
        <w:t>validation period</w:t>
      </w:r>
      <w:r>
        <w:t xml:space="preserve"> means the period of time from a super 66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Wednesday lotto</w:t>
      </w:r>
      <w:r>
        <w:t xml:space="preserve"> has the same meaning as in the Monday and Wednesday Lotto Rules;</w:t>
      </w:r>
    </w:p>
    <w:p>
      <w:pPr>
        <w:pStyle w:val="Defstart"/>
      </w:pPr>
      <w:r>
        <w:rPr>
          <w:b/>
        </w:rPr>
        <w:tab/>
      </w:r>
      <w:r>
        <w:rPr>
          <w:rStyle w:val="CharDefText"/>
        </w:rPr>
        <w:t>winning digits</w:t>
      </w:r>
      <w:r>
        <w:t xml:space="preserve"> means the 6 digits selected in a super 66 draw in the order in which they are drawn.</w:t>
      </w:r>
    </w:p>
    <w:p>
      <w:pPr>
        <w:pStyle w:val="Footnotesection"/>
      </w:pPr>
      <w:r>
        <w:tab/>
        <w:t xml:space="preserve">[Rule 3 amended in Gazette 5 Dec 1997 p. 7131; 9 Mar 2001 p. 1329; 28 Mar 2002 p. 1766; 16 Nov 2004 p. 5067; 21 Apr 2006 p. 1608; 6 Jun 2008 p. 2347-8.] </w:t>
      </w:r>
    </w:p>
    <w:p>
      <w:pPr>
        <w:pStyle w:val="Heading2"/>
      </w:pPr>
      <w:bookmarkStart w:id="16" w:name="_Toc377389085"/>
      <w:bookmarkStart w:id="17" w:name="_Toc380143992"/>
      <w:bookmarkStart w:id="18" w:name="_Toc421106055"/>
      <w:bookmarkStart w:id="19" w:name="_Toc421106092"/>
      <w:bookmarkStart w:id="20" w:name="_Toc463612992"/>
      <w:r>
        <w:rPr>
          <w:rStyle w:val="CharPartNo"/>
        </w:rPr>
        <w:t>Part 2</w:t>
      </w:r>
      <w:r>
        <w:rPr>
          <w:rStyle w:val="CharDivNo"/>
        </w:rPr>
        <w:t> </w:t>
      </w:r>
      <w:r>
        <w:t>—</w:t>
      </w:r>
      <w:r>
        <w:rPr>
          <w:rStyle w:val="CharDivText"/>
        </w:rPr>
        <w:t> </w:t>
      </w:r>
      <w:r>
        <w:rPr>
          <w:rStyle w:val="CharPartText"/>
        </w:rPr>
        <w:t>Requirements for entry</w:t>
      </w:r>
      <w:bookmarkEnd w:id="16"/>
      <w:bookmarkEnd w:id="17"/>
      <w:bookmarkEnd w:id="18"/>
      <w:bookmarkEnd w:id="19"/>
      <w:bookmarkEnd w:id="20"/>
      <w:r>
        <w:rPr>
          <w:rStyle w:val="CharPartText"/>
        </w:rPr>
        <w:t xml:space="preserve"> </w:t>
      </w:r>
    </w:p>
    <w:p>
      <w:pPr>
        <w:pStyle w:val="Heading5"/>
        <w:rPr>
          <w:snapToGrid w:val="0"/>
        </w:rPr>
      </w:pPr>
      <w:bookmarkStart w:id="21" w:name="_Toc380143993"/>
      <w:bookmarkStart w:id="22" w:name="_Toc463612993"/>
      <w:bookmarkStart w:id="23" w:name="_Toc421106093"/>
      <w:r>
        <w:rPr>
          <w:rStyle w:val="CharSectno"/>
        </w:rPr>
        <w:t>4</w:t>
      </w:r>
      <w:r>
        <w:rPr>
          <w:snapToGrid w:val="0"/>
        </w:rPr>
        <w:t>.</w:t>
      </w:r>
      <w:r>
        <w:rPr>
          <w:snapToGrid w:val="0"/>
        </w:rPr>
        <w:tab/>
        <w:t>Playslip</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The Commission must ensure that </w:t>
      </w:r>
      <w:r>
        <w:t>a playslip</w:t>
      </w:r>
      <w:r>
        <w:rPr>
          <w:snapToGrid w:val="0"/>
        </w:rPr>
        <w:t xml:space="preserve"> for Saturday lotto, </w:t>
      </w:r>
      <w:r>
        <w:t xml:space="preserve">Monday lotto, Wednesday lotto, Oz lotto, </w:t>
      </w:r>
      <w:r>
        <w:rPr>
          <w:snapToGrid w:val="0"/>
        </w:rPr>
        <w:t>powerball and Soccer Pools display — </w:t>
      </w:r>
    </w:p>
    <w:p>
      <w:pPr>
        <w:pStyle w:val="Indenta"/>
        <w:rPr>
          <w:snapToGrid w:val="0"/>
        </w:rPr>
      </w:pPr>
      <w:r>
        <w:rPr>
          <w:snapToGrid w:val="0"/>
        </w:rPr>
        <w:tab/>
        <w:t>(a)</w:t>
      </w:r>
      <w:r>
        <w:rPr>
          <w:snapToGrid w:val="0"/>
        </w:rPr>
        <w:tab/>
        <w:t>such details to facilitate entry in super 66; and</w:t>
      </w:r>
    </w:p>
    <w:p>
      <w:pPr>
        <w:pStyle w:val="Indenta"/>
        <w:rPr>
          <w:snapToGrid w:val="0"/>
        </w:rPr>
      </w:pPr>
      <w:r>
        <w:rPr>
          <w:snapToGrid w:val="0"/>
        </w:rPr>
        <w:tab/>
        <w:t>(b)</w:t>
      </w:r>
      <w:r>
        <w:rPr>
          <w:snapToGrid w:val="0"/>
        </w:rPr>
        <w:tab/>
        <w:t xml:space="preserve">such instructions to subscribers in super 66,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5067; 21 Apr 2006 p. 1608; 6 Jun 2008 p. 2348.]</w:t>
      </w:r>
    </w:p>
    <w:p>
      <w:pPr>
        <w:pStyle w:val="Heading5"/>
        <w:rPr>
          <w:snapToGrid w:val="0"/>
        </w:rPr>
      </w:pPr>
      <w:bookmarkStart w:id="24" w:name="_Toc380143994"/>
      <w:bookmarkStart w:id="25" w:name="_Toc463612994"/>
      <w:bookmarkStart w:id="26" w:name="_Toc421106094"/>
      <w:r>
        <w:rPr>
          <w:rStyle w:val="CharSectno"/>
        </w:rPr>
        <w:t>5</w:t>
      </w:r>
      <w:r>
        <w:rPr>
          <w:snapToGrid w:val="0"/>
        </w:rPr>
        <w:t>.</w:t>
      </w:r>
      <w:r>
        <w:rPr>
          <w:snapToGrid w:val="0"/>
        </w:rPr>
        <w:tab/>
        <w:t>Methods of entry</w:t>
      </w:r>
      <w:bookmarkEnd w:id="24"/>
      <w:bookmarkEnd w:id="25"/>
      <w:bookmarkEnd w:id="26"/>
      <w:r>
        <w:rPr>
          <w:snapToGrid w:val="0"/>
        </w:rPr>
        <w:t xml:space="preserve"> </w:t>
      </w:r>
    </w:p>
    <w:p>
      <w:pPr>
        <w:pStyle w:val="Subsection"/>
      </w:pPr>
      <w:r>
        <w:tab/>
        <w:t>(1)</w:t>
      </w:r>
      <w:r>
        <w:tab/>
        <w:t>A person may request an entry in a super 66 draw in conjunction with an entry in a game of lotto or in Soccer Pools.</w:t>
      </w:r>
    </w:p>
    <w:p>
      <w:pPr>
        <w:pStyle w:val="Ednotesubsection"/>
      </w:pPr>
      <w:r>
        <w:tab/>
        <w:t>[(1a), (1b)</w:t>
      </w:r>
      <w:r>
        <w:tab/>
        <w:t>deleted]</w:t>
      </w:r>
    </w:p>
    <w:p>
      <w:pPr>
        <w:pStyle w:val="Subsection"/>
      </w:pPr>
      <w:r>
        <w:tab/>
        <w:t>(2)</w:t>
      </w:r>
      <w:r>
        <w:tab/>
        <w:t>A person may orally request an entry in the super 66 draw to be held on a particular Saturday without entering a game of lotto or Soccer Pools.</w:t>
      </w:r>
    </w:p>
    <w:p>
      <w:pPr>
        <w:pStyle w:val="Subsection"/>
        <w:rPr>
          <w:snapToGrid w:val="0"/>
        </w:rPr>
      </w:pPr>
      <w:r>
        <w:rPr>
          <w:snapToGrid w:val="0"/>
        </w:rPr>
        <w:tab/>
        <w:t>(3)</w:t>
      </w:r>
      <w:r>
        <w:rPr>
          <w:snapToGrid w:val="0"/>
        </w:rPr>
        <w:tab/>
        <w:t xml:space="preserve">A subscriber may choose to enter </w:t>
      </w:r>
      <w:r>
        <w:t xml:space="preserve">a maximum of 50 </w:t>
      </w:r>
      <w:r>
        <w:rPr>
          <w:snapToGrid w:val="0"/>
        </w:rPr>
        <w:t xml:space="preserve">super 66 games as part of each </w:t>
      </w:r>
      <w:r>
        <w:t xml:space="preserve">oral request for an </w:t>
      </w:r>
      <w:r>
        <w:rPr>
          <w:snapToGrid w:val="0"/>
        </w:rPr>
        <w:t>entry in</w:t>
      </w:r>
      <w:r>
        <w:t xml:space="preserve"> super 66 in conjunction with a game of lotto or Soccer Pools.</w:t>
      </w:r>
      <w:r>
        <w:rPr>
          <w:snapToGrid w:val="0"/>
        </w:rPr>
        <w:t xml:space="preserve"> </w:t>
      </w:r>
    </w:p>
    <w:p>
      <w:pPr>
        <w:pStyle w:val="Subsection"/>
      </w:pPr>
      <w:r>
        <w:tab/>
        <w:t>(3a)</w:t>
      </w:r>
      <w:r>
        <w:tab/>
        <w:t>A subscriber who enters a super 66 draw by marking a playslip is limited to selecting one of the choices of numbers of games of super 66 that are marked on the playslip.</w:t>
      </w:r>
    </w:p>
    <w:p>
      <w:pPr>
        <w:pStyle w:val="Subsection"/>
      </w:pPr>
      <w:r>
        <w:tab/>
        <w:t>(4)</w:t>
      </w:r>
      <w:r>
        <w:tab/>
        <w:t xml:space="preserve">A subscriber may enter a super 66 draw — </w:t>
      </w:r>
    </w:p>
    <w:p>
      <w:pPr>
        <w:pStyle w:val="Indenta"/>
      </w:pPr>
      <w:r>
        <w:tab/>
        <w:t>(a)</w:t>
      </w:r>
      <w:r>
        <w:tab/>
        <w:t xml:space="preserve">if the entry is made in conjunction with a game of lotto or Soccer Pools, by — </w:t>
      </w:r>
    </w:p>
    <w:p>
      <w:pPr>
        <w:pStyle w:val="Indenti"/>
      </w:pPr>
      <w:r>
        <w:tab/>
        <w:t>(i)</w:t>
      </w:r>
      <w:r>
        <w:tab/>
        <w:t>marking the appropriate box on a playslip for Saturday lotto, Monday lotto, Wednesday lotto, Oz lotto, powerball or Soccer Pools; or</w:t>
      </w:r>
    </w:p>
    <w:p>
      <w:pPr>
        <w:pStyle w:val="Indenti"/>
      </w:pPr>
      <w:r>
        <w:tab/>
        <w:t>(ii)</w:t>
      </w:r>
      <w:r>
        <w:tab/>
        <w:t xml:space="preserve">requesting the required number of super 66 games when making an oral request for entry in Saturday lotto, Monday lotto, Wednesday lotto, Oz lotto, powerball or Soccer Pools; </w:t>
      </w:r>
    </w:p>
    <w:p>
      <w:pPr>
        <w:pStyle w:val="Indenta"/>
      </w:pPr>
      <w:r>
        <w:tab/>
      </w:r>
      <w:r>
        <w:tab/>
        <w:t>or</w:t>
      </w:r>
    </w:p>
    <w:p>
      <w:pPr>
        <w:pStyle w:val="Indenta"/>
      </w:pPr>
      <w:r>
        <w:tab/>
        <w:t>(b)</w:t>
      </w:r>
      <w:r>
        <w:tab/>
        <w:t>if the entry is made without being in conjunction with a game of lotto or Soccer Pools — by making an oral request; or</w:t>
      </w:r>
    </w:p>
    <w:p>
      <w:pPr>
        <w:pStyle w:val="Indenta"/>
      </w:pPr>
      <w:r>
        <w:tab/>
        <w:t>(c)</w:t>
      </w:r>
      <w:r>
        <w:tab/>
        <w:t>in either case — using the “ticket repeat” method set out in rule 5A,</w:t>
      </w:r>
    </w:p>
    <w:p>
      <w:pPr>
        <w:pStyle w:val="Subsection"/>
      </w:pPr>
      <w:r>
        <w:tab/>
      </w:r>
      <w:r>
        <w:tab/>
        <w:t>and paying $1.00 for each super 66 game to be entered.</w:t>
      </w:r>
    </w:p>
    <w:p>
      <w:pPr>
        <w:pStyle w:val="Subsection"/>
      </w:pPr>
      <w:r>
        <w:tab/>
        <w:t>(4A)</w:t>
      </w:r>
      <w:r>
        <w:tab/>
        <w:t>A person may enter super 66 by redeeming a promotional coupon and, in that case, may be required to pay less than the amount payable under subrule (4).</w:t>
      </w:r>
    </w:p>
    <w:p>
      <w:pPr>
        <w:pStyle w:val="Subsection"/>
        <w:rPr>
          <w:snapToGrid w:val="0"/>
        </w:rPr>
      </w:pPr>
      <w:r>
        <w:rPr>
          <w:snapToGrid w:val="0"/>
        </w:rPr>
        <w:tab/>
        <w:t>(5)</w:t>
      </w:r>
      <w:r>
        <w:rPr>
          <w:snapToGrid w:val="0"/>
        </w:rPr>
        <w:tab/>
        <w:t>Where a subscriber enters super 66 in conjunction with a multiweek lotto or pools entry, the super 66 entry is to be entered in the super 66 draw for each week in which that lotto or pools entry is entered.</w:t>
      </w:r>
    </w:p>
    <w:p>
      <w:pPr>
        <w:pStyle w:val="Footnotesection"/>
      </w:pPr>
      <w:r>
        <w:tab/>
        <w:t>[Rule 5 amended in Gazette 16 Nov 2004 p. 5067; 21 Apr 2006 p. 1608</w:t>
      </w:r>
      <w:r>
        <w:noBreakHyphen/>
        <w:t>9; 6 Jun 2008 p. 2349; 15 May 2009 p. 1632-3; 6 Dec 2013 p. 5753.]</w:t>
      </w:r>
    </w:p>
    <w:p>
      <w:pPr>
        <w:pStyle w:val="Heading5"/>
      </w:pPr>
      <w:bookmarkStart w:id="27" w:name="_Toc380143995"/>
      <w:bookmarkStart w:id="28" w:name="_Toc463612995"/>
      <w:bookmarkStart w:id="29" w:name="_Toc421106095"/>
      <w:r>
        <w:rPr>
          <w:rStyle w:val="CharSectno"/>
        </w:rPr>
        <w:t>5A</w:t>
      </w:r>
      <w:r>
        <w:t>.</w:t>
      </w:r>
      <w:r>
        <w:tab/>
        <w:t>Ticket repeat</w:t>
      </w:r>
      <w:bookmarkEnd w:id="27"/>
      <w:bookmarkEnd w:id="28"/>
      <w:bookmarkEnd w:id="29"/>
    </w:p>
    <w:p>
      <w:pPr>
        <w:pStyle w:val="Subsection"/>
      </w:pPr>
      <w:r>
        <w:tab/>
        <w:t>(1)</w:t>
      </w:r>
      <w:r>
        <w:tab/>
        <w:t>A person may enter a super 66 draw by presenting an existing receipted ticket and requesting the same type of super 66 entry.</w:t>
      </w:r>
    </w:p>
    <w:p>
      <w:pPr>
        <w:pStyle w:val="Subsection"/>
      </w:pPr>
      <w:r>
        <w:tab/>
        <w:t>(2)</w:t>
      </w:r>
      <w:r>
        <w:tab/>
        <w:t>If a receipted ticket linked to a player’s card number is used to generate a repeat entry under subrule (1), that ticket does not continue to be linked to the number unless the subscriber’s player’s card is presented as well.</w:t>
      </w:r>
    </w:p>
    <w:p>
      <w:pPr>
        <w:pStyle w:val="Footnotesection"/>
      </w:pPr>
      <w:r>
        <w:tab/>
        <w:t>[Rule 5A inserted in Gazette 15 May 2009 p. 1633.]</w:t>
      </w:r>
    </w:p>
    <w:p>
      <w:pPr>
        <w:pStyle w:val="Heading5"/>
        <w:rPr>
          <w:snapToGrid w:val="0"/>
        </w:rPr>
      </w:pPr>
      <w:bookmarkStart w:id="30" w:name="_Toc380143996"/>
      <w:bookmarkStart w:id="31" w:name="_Toc463612996"/>
      <w:bookmarkStart w:id="32" w:name="_Toc421106096"/>
      <w:r>
        <w:rPr>
          <w:rStyle w:val="CharSectno"/>
        </w:rPr>
        <w:t>6</w:t>
      </w:r>
      <w:r>
        <w:rPr>
          <w:snapToGrid w:val="0"/>
        </w:rPr>
        <w:t>.</w:t>
      </w:r>
      <w:r>
        <w:rPr>
          <w:snapToGrid w:val="0"/>
        </w:rPr>
        <w:tab/>
        <w:t>Receipted tickets</w:t>
      </w:r>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Where an agent generates a receipted ticket from </w:t>
      </w:r>
      <w:r>
        <w:t>a playslip</w:t>
      </w:r>
      <w:r>
        <w:rPr>
          <w:snapToGrid w:val="0"/>
        </w:rPr>
        <w:t xml:space="preserve"> for, or in response to an oral request for an entry in, Saturday lotto, </w:t>
      </w:r>
      <w:r>
        <w:t xml:space="preserve">Monday lotto, Wednesday lotto, Oz lotto, </w:t>
      </w:r>
      <w:r>
        <w:rPr>
          <w:snapToGrid w:val="0"/>
        </w:rPr>
        <w:t>powerball or Soccer Pools and the subscriber has indicated that he or she wishes to enter super 66, the agent must also generate a receipted ticket for each super 66 entry in accordance with the subscriber’s instructions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pPr>
      <w:r>
        <w:tab/>
        <w:t>(1B)</w:t>
      </w:r>
      <w:r>
        <w:tab/>
        <w:t>Where a subscriber makes a ticket repeat request, or an oral request for a super 66 entry, without a request for entry into a lotto or pools draw, and pays the relevant subscription, the agent must generate a receipted ticket or tickets accordingly and give it or them to the subscriber.</w:t>
      </w:r>
    </w:p>
    <w:p>
      <w:pPr>
        <w:pStyle w:val="Subsection"/>
        <w:rPr>
          <w:snapToGrid w:val="0"/>
        </w:rPr>
      </w:pPr>
      <w:r>
        <w:rPr>
          <w:snapToGrid w:val="0"/>
        </w:rPr>
        <w:tab/>
        <w:t>(2)</w:t>
      </w:r>
      <w:r>
        <w:rPr>
          <w:snapToGrid w:val="0"/>
        </w:rPr>
        <w:tab/>
        <w:t>Each super 66 receipted ticket is to have printed on it a random selection of 6 digits, generated by computer, for each super 66 game entered.</w:t>
      </w:r>
    </w:p>
    <w:p>
      <w:pPr>
        <w:pStyle w:val="Footnotesection"/>
      </w:pPr>
      <w:r>
        <w:tab/>
        <w:t>[Rule 6 amended in Gazette 16 Nov 2004 p. 5067; 6 Jun 2008 p. 2349-50; 15 May 2009 p. 1633.]</w:t>
      </w:r>
    </w:p>
    <w:p>
      <w:pPr>
        <w:pStyle w:val="Heading5"/>
        <w:rPr>
          <w:snapToGrid w:val="0"/>
        </w:rPr>
      </w:pPr>
      <w:bookmarkStart w:id="33" w:name="_Toc380143997"/>
      <w:bookmarkStart w:id="34" w:name="_Toc463612997"/>
      <w:bookmarkStart w:id="35" w:name="_Toc421106097"/>
      <w:r>
        <w:rPr>
          <w:rStyle w:val="CharSectno"/>
        </w:rPr>
        <w:t>7</w:t>
      </w:r>
      <w:r>
        <w:rPr>
          <w:snapToGrid w:val="0"/>
        </w:rPr>
        <w:t>.</w:t>
      </w:r>
      <w:r>
        <w:rPr>
          <w:snapToGrid w:val="0"/>
        </w:rPr>
        <w:tab/>
        <w:t>Surrender of receipted ticket</w:t>
      </w:r>
      <w:bookmarkEnd w:id="33"/>
      <w:bookmarkEnd w:id="34"/>
      <w:bookmarkEnd w:id="35"/>
      <w:r>
        <w:rPr>
          <w:snapToGrid w:val="0"/>
        </w:rPr>
        <w:t xml:space="preserve"> </w:t>
      </w:r>
    </w:p>
    <w:p>
      <w:pPr>
        <w:pStyle w:val="Subsection"/>
        <w:rPr>
          <w:snapToGrid w:val="0"/>
        </w:rPr>
      </w:pPr>
      <w:r>
        <w:rPr>
          <w:snapToGrid w:val="0"/>
        </w:rPr>
        <w:tab/>
        <w:t>(1)</w:t>
      </w:r>
      <w:r>
        <w:rPr>
          <w:snapToGrid w:val="0"/>
        </w:rPr>
        <w:tab/>
      </w:r>
      <w:r>
        <w:t>Subject to subrule (1B), a</w:t>
      </w:r>
      <w:r>
        <w:rPr>
          <w:snapToGrid w:val="0"/>
        </w:rPr>
        <w:t xml:space="preserve"> subscriber may surrender a receipted ticket for any reason — </w:t>
      </w:r>
    </w:p>
    <w:p>
      <w:pPr>
        <w:pStyle w:val="Indenta"/>
        <w:spacing w:before="60"/>
        <w:rPr>
          <w:snapToGrid w:val="0"/>
        </w:rPr>
      </w:pPr>
      <w:r>
        <w:rPr>
          <w:snapToGrid w:val="0"/>
        </w:rPr>
        <w:tab/>
        <w:t>(a)</w:t>
      </w:r>
      <w:r>
        <w:rPr>
          <w:snapToGrid w:val="0"/>
        </w:rPr>
        <w:tab/>
        <w:t>to the selling point at which it was purchased;</w:t>
      </w:r>
    </w:p>
    <w:p>
      <w:pPr>
        <w:pStyle w:val="Indenta"/>
        <w:spacing w:before="60"/>
        <w:rPr>
          <w:snapToGrid w:val="0"/>
        </w:rPr>
      </w:pPr>
      <w:r>
        <w:rPr>
          <w:snapToGrid w:val="0"/>
        </w:rPr>
        <w:tab/>
        <w:t>(b)</w:t>
      </w:r>
      <w:r>
        <w:rPr>
          <w:snapToGrid w:val="0"/>
        </w:rPr>
        <w:tab/>
        <w:t>on the day on which it was purchased;</w:t>
      </w:r>
    </w:p>
    <w:p>
      <w:pPr>
        <w:pStyle w:val="Indenta"/>
        <w:spacing w:before="60"/>
        <w:rPr>
          <w:snapToGrid w:val="0"/>
        </w:rPr>
      </w:pPr>
      <w:r>
        <w:rPr>
          <w:snapToGrid w:val="0"/>
        </w:rPr>
        <w:tab/>
        <w:t>(c)</w:t>
      </w:r>
      <w:r>
        <w:rPr>
          <w:snapToGrid w:val="0"/>
        </w:rPr>
        <w:tab/>
        <w:t>prior to the close of the day’s super 66 business for that selling point; and</w:t>
      </w:r>
    </w:p>
    <w:p>
      <w:pPr>
        <w:pStyle w:val="Indenta"/>
        <w:spacing w:before="60"/>
        <w:rPr>
          <w:snapToGrid w:val="0"/>
        </w:rPr>
      </w:pPr>
      <w:r>
        <w:rPr>
          <w:snapToGrid w:val="0"/>
        </w:rPr>
        <w:tab/>
        <w:t>(d)</w:t>
      </w:r>
      <w:r>
        <w:rPr>
          <w:snapToGrid w:val="0"/>
        </w:rPr>
        <w:tab/>
        <w:t>within the selling period for that ticket.</w:t>
      </w:r>
    </w:p>
    <w:p>
      <w:pPr>
        <w:pStyle w:val="Subsection"/>
        <w:spacing w:before="140"/>
      </w:pPr>
      <w:r>
        <w:tab/>
        <w:t>(1a)</w:t>
      </w:r>
      <w:r>
        <w:tab/>
        <w:t>When surrendering a receipted ticket, the subscriber may specify that —</w:t>
      </w:r>
    </w:p>
    <w:p>
      <w:pPr>
        <w:pStyle w:val="Indenta"/>
        <w:spacing w:before="60"/>
      </w:pPr>
      <w:r>
        <w:tab/>
        <w:t>(a)</w:t>
      </w:r>
      <w:r>
        <w:tab/>
        <w:t>any super 66 game and any lotto/pools games entered in conjunction with the receipted ticket are being surrendered;</w:t>
      </w:r>
    </w:p>
    <w:p>
      <w:pPr>
        <w:pStyle w:val="Indenta"/>
        <w:spacing w:before="60"/>
      </w:pPr>
      <w:r>
        <w:tab/>
        <w:t>(b)</w:t>
      </w:r>
      <w:r>
        <w:tab/>
        <w:t>only the super 66 game (or games) on the receipted ticket is being surrendered, and that any lotto/pools games entered in conjunction are to continue to be valid; or</w:t>
      </w:r>
    </w:p>
    <w:p>
      <w:pPr>
        <w:pStyle w:val="Indenta"/>
        <w:spacing w:before="60"/>
      </w:pPr>
      <w:r>
        <w:tab/>
        <w:t>(c)</w:t>
      </w:r>
      <w:r>
        <w:tab/>
        <w:t>only the lotto/pools games on the receipted ticket are being surrendered, and that any super 66 game entered in conjunction is to continue to be valid.</w:t>
      </w:r>
    </w:p>
    <w:p>
      <w:pPr>
        <w:pStyle w:val="Subsection"/>
      </w:pPr>
      <w:r>
        <w:tab/>
        <w:t>(1B)</w:t>
      </w:r>
      <w:r>
        <w:tab/>
        <w:t>The Commission may allow a subscriber to surrender a super 66 receipted ticket in circumstances outside those set out in subrule (1), but is under no obligation to do so.</w:t>
      </w:r>
    </w:p>
    <w:p>
      <w:pPr>
        <w:pStyle w:val="Subsection"/>
        <w:spacing w:before="140"/>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7 amended in Gazette 9 Mar 2001 p. 1329; 6 Jun 2008 p. 2350; 15 May 2009 p. 1634.]</w:t>
      </w:r>
    </w:p>
    <w:p>
      <w:pPr>
        <w:pStyle w:val="Heading5"/>
        <w:rPr>
          <w:snapToGrid w:val="0"/>
        </w:rPr>
      </w:pPr>
      <w:bookmarkStart w:id="36" w:name="_Toc380143998"/>
      <w:bookmarkStart w:id="37" w:name="_Toc463612998"/>
      <w:bookmarkStart w:id="38" w:name="_Toc421106098"/>
      <w:r>
        <w:rPr>
          <w:rStyle w:val="CharSectno"/>
        </w:rPr>
        <w:t>8</w:t>
      </w:r>
      <w:r>
        <w:rPr>
          <w:snapToGrid w:val="0"/>
        </w:rPr>
        <w:t>.</w:t>
      </w:r>
      <w:r>
        <w:rPr>
          <w:snapToGrid w:val="0"/>
        </w:rPr>
        <w:tab/>
        <w:t>Accuracy of receipted ticket</w:t>
      </w:r>
      <w:bookmarkEnd w:id="36"/>
      <w:bookmarkEnd w:id="37"/>
      <w:bookmarkEnd w:id="38"/>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w:t>
      </w:r>
      <w:r>
        <w:rPr>
          <w:snapToGrid w:val="0"/>
        </w:rPr>
        <w:t xml:space="preserve"> or as a result of an oral request for entry is under no duty to ensure that receipted ticket accurately reflects </w:t>
      </w:r>
      <w:r>
        <w:t>the playslip, coupon</w:t>
      </w:r>
      <w:r>
        <w:rPr>
          <w:snapToGrid w:val="0"/>
        </w:rPr>
        <w:t xml:space="preserve"> or request.</w:t>
      </w:r>
    </w:p>
    <w:p>
      <w:pPr>
        <w:pStyle w:val="Footnotesection"/>
      </w:pPr>
      <w:r>
        <w:tab/>
        <w:t>[Rule 8 amended in Gazette 6 Jun 2008 p. 2350.]</w:t>
      </w:r>
    </w:p>
    <w:p>
      <w:pPr>
        <w:pStyle w:val="Heading5"/>
        <w:rPr>
          <w:snapToGrid w:val="0"/>
        </w:rPr>
      </w:pPr>
      <w:bookmarkStart w:id="39" w:name="_Toc380143999"/>
      <w:bookmarkStart w:id="40" w:name="_Toc463612999"/>
      <w:bookmarkStart w:id="41" w:name="_Toc421106099"/>
      <w:r>
        <w:rPr>
          <w:rStyle w:val="CharSectno"/>
        </w:rPr>
        <w:t>9</w:t>
      </w:r>
      <w:r>
        <w:rPr>
          <w:snapToGrid w:val="0"/>
        </w:rPr>
        <w:t>.</w:t>
      </w:r>
      <w:r>
        <w:rPr>
          <w:snapToGrid w:val="0"/>
        </w:rPr>
        <w:tab/>
        <w:t>Validity of receipted ticket</w:t>
      </w:r>
      <w:bookmarkEnd w:id="39"/>
      <w:bookmarkEnd w:id="40"/>
      <w:bookmarkEnd w:id="41"/>
      <w:r>
        <w:rPr>
          <w:snapToGrid w:val="0"/>
        </w:rPr>
        <w:t xml:space="preserve"> </w:t>
      </w:r>
    </w:p>
    <w:p>
      <w:pPr>
        <w:pStyle w:val="Subsection"/>
      </w:pPr>
      <w:r>
        <w:tab/>
        <w:t>(1)</w:t>
      </w:r>
      <w:r>
        <w:tab/>
        <w:t>Subject to subrules (2) and (3), a receipted ticket is generated by the Commission to indicate that the details of a valid entry, or of a number of entries, as appearing on the ticket, have been recorded in the central gaming system records in relation to the numbered super 66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pPr>
      <w:r>
        <w:tab/>
        <w:t>(a)</w:t>
      </w:r>
      <w:r>
        <w:tab/>
        <w:t>has had the super 66 draw or draws on the ticket surrendered in accordance with rule 7;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is forged or altered, or obtained as a direct result of fraud, by the subscriber or person claiming a prize; or</w:t>
      </w:r>
    </w:p>
    <w:p>
      <w:pPr>
        <w:pStyle w:val="Indenta"/>
        <w:rPr>
          <w:snapToGrid w:val="0"/>
        </w:rPr>
      </w:pPr>
      <w:r>
        <w:rPr>
          <w:snapToGrid w:val="0"/>
        </w:rPr>
        <w:tab/>
        <w:t>(c)</w:t>
      </w:r>
      <w:r>
        <w:rPr>
          <w:snapToGrid w:val="0"/>
        </w:rPr>
        <w:tab/>
        <w:t xml:space="preserve">is generated from </w:t>
      </w:r>
      <w:r>
        <w:t>a playslip</w:t>
      </w:r>
      <w:r>
        <w:rPr>
          <w:snapToGrid w:val="0"/>
        </w:rPr>
        <w:t xml:space="preserve"> for, or an oral request for entry in, Saturday lotto, </w:t>
      </w:r>
      <w:r>
        <w:t xml:space="preserve">Monday lotto, Wednesday lotto, Oz lotto, </w:t>
      </w:r>
      <w:r>
        <w:rPr>
          <w:snapToGrid w:val="0"/>
        </w:rPr>
        <w:t xml:space="preserve">powerball or Soccer Pools which does not comply with the Saturday Lotto Rules, </w:t>
      </w:r>
      <w:r>
        <w:t xml:space="preserve">the Monday and Wednesday Lotto Rules, Oz Lotto Rules, </w:t>
      </w:r>
      <w:r>
        <w:rPr>
          <w:snapToGrid w:val="0"/>
        </w:rPr>
        <w:t>the Powerball Rules or the Soccer Pools Rules (as is appropriate to the case).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9 amended in Gazette 9 Mar 2001 p. 1330; 16 Nov 2004 p. 5067; 21 Apr 2006 p. 1609; 6 Jun 2008 p. 2351.]</w:t>
      </w:r>
    </w:p>
    <w:p>
      <w:pPr>
        <w:pStyle w:val="Heading2"/>
      </w:pPr>
      <w:bookmarkStart w:id="42" w:name="_Toc377389093"/>
      <w:bookmarkStart w:id="43" w:name="_Toc380144000"/>
      <w:bookmarkStart w:id="44" w:name="_Toc421106063"/>
      <w:bookmarkStart w:id="45" w:name="_Toc421106100"/>
      <w:bookmarkStart w:id="46" w:name="_Toc463613000"/>
      <w:r>
        <w:rPr>
          <w:rStyle w:val="CharPartNo"/>
        </w:rPr>
        <w:t>Part 3</w:t>
      </w:r>
      <w:r>
        <w:rPr>
          <w:rStyle w:val="CharDivNo"/>
        </w:rPr>
        <w:t> </w:t>
      </w:r>
      <w:r>
        <w:t>—</w:t>
      </w:r>
      <w:r>
        <w:rPr>
          <w:rStyle w:val="CharDivText"/>
        </w:rPr>
        <w:t> </w:t>
      </w:r>
      <w:r>
        <w:rPr>
          <w:rStyle w:val="CharPartText"/>
        </w:rPr>
        <w:t>General duties of Commission</w:t>
      </w:r>
      <w:bookmarkEnd w:id="42"/>
      <w:bookmarkEnd w:id="43"/>
      <w:bookmarkEnd w:id="44"/>
      <w:bookmarkEnd w:id="45"/>
      <w:bookmarkEnd w:id="46"/>
      <w:r>
        <w:rPr>
          <w:rStyle w:val="CharPartText"/>
        </w:rPr>
        <w:t xml:space="preserve"> </w:t>
      </w:r>
    </w:p>
    <w:p>
      <w:pPr>
        <w:pStyle w:val="Heading5"/>
        <w:rPr>
          <w:snapToGrid w:val="0"/>
        </w:rPr>
      </w:pPr>
      <w:bookmarkStart w:id="47" w:name="_Toc380144001"/>
      <w:bookmarkStart w:id="48" w:name="_Toc463613001"/>
      <w:bookmarkStart w:id="49" w:name="_Toc421106101"/>
      <w:r>
        <w:rPr>
          <w:rStyle w:val="CharSectno"/>
        </w:rPr>
        <w:t>10</w:t>
      </w:r>
      <w:r>
        <w:rPr>
          <w:snapToGrid w:val="0"/>
        </w:rPr>
        <w:t>.</w:t>
      </w:r>
      <w:r>
        <w:rPr>
          <w:snapToGrid w:val="0"/>
        </w:rPr>
        <w:tab/>
        <w:t>Super 66 draws to be numbered</w:t>
      </w:r>
      <w:bookmarkEnd w:id="47"/>
      <w:bookmarkEnd w:id="48"/>
      <w:bookmarkEnd w:id="49"/>
      <w:r>
        <w:rPr>
          <w:snapToGrid w:val="0"/>
        </w:rPr>
        <w:t xml:space="preserve"> </w:t>
      </w:r>
    </w:p>
    <w:p>
      <w:pPr>
        <w:pStyle w:val="Subsection"/>
        <w:rPr>
          <w:snapToGrid w:val="0"/>
        </w:rPr>
      </w:pPr>
      <w:r>
        <w:rPr>
          <w:snapToGrid w:val="0"/>
        </w:rPr>
        <w:tab/>
      </w:r>
      <w:r>
        <w:rPr>
          <w:snapToGrid w:val="0"/>
        </w:rPr>
        <w:tab/>
        <w:t>Each super 66 draw conducted by the Commission is to be identified with a “draw number” which is the same as the draw number for the Saturday lotto draw conducted on the same day.</w:t>
      </w:r>
    </w:p>
    <w:p>
      <w:pPr>
        <w:pStyle w:val="Heading5"/>
      </w:pPr>
      <w:bookmarkStart w:id="50" w:name="_Toc380144002"/>
      <w:bookmarkStart w:id="51" w:name="_Toc463613002"/>
      <w:bookmarkStart w:id="52" w:name="_Toc421106102"/>
      <w:r>
        <w:rPr>
          <w:rStyle w:val="CharSectno"/>
        </w:rPr>
        <w:t>11</w:t>
      </w:r>
      <w:r>
        <w:t>.</w:t>
      </w:r>
      <w:r>
        <w:tab/>
        <w:t>Super 66 draws to be supervised</w:t>
      </w:r>
      <w:bookmarkEnd w:id="50"/>
      <w:bookmarkEnd w:id="51"/>
      <w:bookmarkEnd w:id="52"/>
    </w:p>
    <w:p>
      <w:pPr>
        <w:pStyle w:val="Subsection"/>
      </w:pPr>
      <w:r>
        <w:tab/>
      </w:r>
      <w:r>
        <w:tab/>
        <w:t>A super 66 draw is to be supervised in accordance with the relevant regulations of the State or Territory in which the draw takes place.</w:t>
      </w:r>
    </w:p>
    <w:p>
      <w:pPr>
        <w:pStyle w:val="Footnotesection"/>
      </w:pPr>
      <w:r>
        <w:tab/>
        <w:t>[Rule 11 inserted in Gazette 9 Mar 2001 p. 1330.]</w:t>
      </w:r>
    </w:p>
    <w:p>
      <w:pPr>
        <w:pStyle w:val="Heading5"/>
        <w:rPr>
          <w:snapToGrid w:val="0"/>
        </w:rPr>
      </w:pPr>
      <w:bookmarkStart w:id="53" w:name="_Toc380144003"/>
      <w:bookmarkStart w:id="54" w:name="_Toc463613003"/>
      <w:bookmarkStart w:id="55" w:name="_Toc421106103"/>
      <w:r>
        <w:rPr>
          <w:rStyle w:val="CharSectno"/>
        </w:rPr>
        <w:t>12</w:t>
      </w:r>
      <w:r>
        <w:rPr>
          <w:snapToGrid w:val="0"/>
        </w:rPr>
        <w:t>.</w:t>
      </w:r>
      <w:r>
        <w:rPr>
          <w:snapToGrid w:val="0"/>
        </w:rPr>
        <w:tab/>
        <w:t>Publication of results</w:t>
      </w:r>
      <w:bookmarkEnd w:id="53"/>
      <w:bookmarkEnd w:id="54"/>
      <w:bookmarkEnd w:id="55"/>
      <w:r>
        <w:rPr>
          <w:snapToGrid w:val="0"/>
        </w:rPr>
        <w:t xml:space="preserve"> </w:t>
      </w:r>
    </w:p>
    <w:p>
      <w:pPr>
        <w:pStyle w:val="Subsection"/>
        <w:rPr>
          <w:snapToGrid w:val="0"/>
        </w:rPr>
      </w:pPr>
      <w:r>
        <w:rPr>
          <w:snapToGrid w:val="0"/>
        </w:rPr>
        <w:tab/>
      </w:r>
      <w:r>
        <w:rPr>
          <w:snapToGrid w:val="0"/>
        </w:rPr>
        <w:tab/>
        <w:t>After each super 66 draw the Commission must publish, in a daily newspaper in this State — </w:t>
      </w:r>
    </w:p>
    <w:p>
      <w:pPr>
        <w:pStyle w:val="Indenta"/>
        <w:rPr>
          <w:snapToGrid w:val="0"/>
        </w:rPr>
      </w:pPr>
      <w:r>
        <w:rPr>
          <w:snapToGrid w:val="0"/>
        </w:rPr>
        <w:tab/>
        <w:t>(a)</w:t>
      </w:r>
      <w:r>
        <w:rPr>
          <w:snapToGrid w:val="0"/>
        </w:rPr>
        <w:tab/>
        <w:t>the “draw number” for that draw;</w:t>
      </w:r>
    </w:p>
    <w:p>
      <w:pPr>
        <w:pStyle w:val="Indenta"/>
        <w:rPr>
          <w:snapToGrid w:val="0"/>
        </w:rPr>
      </w:pPr>
      <w:r>
        <w:rPr>
          <w:snapToGrid w:val="0"/>
        </w:rPr>
        <w:tab/>
        <w:t>(b)</w:t>
      </w:r>
      <w:r>
        <w:rPr>
          <w:snapToGrid w:val="0"/>
        </w:rPr>
        <w:tab/>
        <w:t xml:space="preserve">the winning numbers; </w:t>
      </w:r>
    </w:p>
    <w:p>
      <w:pPr>
        <w:pStyle w:val="Indenta"/>
        <w:rPr>
          <w:snapToGrid w:val="0"/>
        </w:rPr>
      </w:pPr>
      <w:r>
        <w:rPr>
          <w:snapToGrid w:val="0"/>
        </w:rPr>
        <w:tab/>
        <w:t>(c)</w:t>
      </w:r>
      <w:r>
        <w:rPr>
          <w:snapToGrid w:val="0"/>
        </w:rPr>
        <w:tab/>
        <w:t xml:space="preserve">the amount allocated to a winning game in each division; </w:t>
      </w:r>
    </w:p>
    <w:p>
      <w:pPr>
        <w:pStyle w:val="Indenta"/>
        <w:rPr>
          <w:snapToGrid w:val="0"/>
        </w:rPr>
      </w:pPr>
      <w:r>
        <w:rPr>
          <w:snapToGrid w:val="0"/>
        </w:rPr>
        <w:tab/>
        <w:t>(d)</w:t>
      </w:r>
      <w:r>
        <w:rPr>
          <w:snapToGrid w:val="0"/>
        </w:rPr>
        <w:tab/>
        <w:t xml:space="preserve">the validation period and the date after which division 1 prizes will be paid; </w:t>
      </w:r>
    </w:p>
    <w:p>
      <w:pPr>
        <w:pStyle w:val="Indenta"/>
        <w:rPr>
          <w:snapToGrid w:val="0"/>
        </w:rPr>
      </w:pPr>
      <w:r>
        <w:rPr>
          <w:snapToGrid w:val="0"/>
        </w:rPr>
        <w:tab/>
        <w:t>(e)</w:t>
      </w:r>
      <w:r>
        <w:rPr>
          <w:snapToGrid w:val="0"/>
        </w:rPr>
        <w:tab/>
        <w:t xml:space="preserve">the total prize pool for that super 66 draw; and </w:t>
      </w:r>
    </w:p>
    <w:p>
      <w:pPr>
        <w:pStyle w:val="Indenta"/>
        <w:rPr>
          <w:snapToGrid w:val="0"/>
        </w:rPr>
      </w:pPr>
      <w:r>
        <w:rPr>
          <w:snapToGrid w:val="0"/>
        </w:rPr>
        <w:tab/>
        <w:t>(f)</w:t>
      </w:r>
      <w:r>
        <w:rPr>
          <w:snapToGrid w:val="0"/>
        </w:rPr>
        <w:tab/>
        <w:t>the amount, if any, to carry over as a jackpot to the division 1 prize pool for the next super 66 draw.</w:t>
      </w:r>
    </w:p>
    <w:p>
      <w:pPr>
        <w:pStyle w:val="Heading5"/>
        <w:rPr>
          <w:snapToGrid w:val="0"/>
        </w:rPr>
      </w:pPr>
      <w:bookmarkStart w:id="56" w:name="_Toc380144004"/>
      <w:bookmarkStart w:id="57" w:name="_Toc463613004"/>
      <w:bookmarkStart w:id="58" w:name="_Toc421106104"/>
      <w:r>
        <w:rPr>
          <w:rStyle w:val="CharSectno"/>
        </w:rPr>
        <w:t>13</w:t>
      </w:r>
      <w:r>
        <w:rPr>
          <w:snapToGrid w:val="0"/>
        </w:rPr>
        <w:t>.</w:t>
      </w:r>
      <w:r>
        <w:rPr>
          <w:snapToGrid w:val="0"/>
        </w:rPr>
        <w:tab/>
        <w:t>Super 66 prize pool and prize reserve fund</w:t>
      </w:r>
      <w:bookmarkEnd w:id="56"/>
      <w:bookmarkEnd w:id="57"/>
      <w:bookmarkEnd w:id="58"/>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super 66 draw to a combined Australian Lotto Bloc super 66 prize fund in accordance with the appropriate agreement.</w:t>
      </w:r>
    </w:p>
    <w:p>
      <w:pPr>
        <w:pStyle w:val="Subsection"/>
        <w:keepNext/>
        <w:rPr>
          <w:snapToGrid w:val="0"/>
        </w:rPr>
      </w:pPr>
      <w:r>
        <w:rPr>
          <w:snapToGrid w:val="0"/>
        </w:rPr>
        <w:tab/>
        <w:t>(2)</w:t>
      </w:r>
      <w:r>
        <w:rPr>
          <w:snapToGrid w:val="0"/>
        </w:rPr>
        <w:tab/>
        <w:t xml:space="preserve">The </w:t>
      </w:r>
      <w:r>
        <w:t>total</w:t>
      </w:r>
      <w:r>
        <w:rPr>
          <w:snapToGrid w:val="0"/>
        </w:rPr>
        <w:t xml:space="preserve"> contribution under subrule (1) is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super 66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super 66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super 66 draws, as are agreed by the members of the Australian Lotto Bloc. </w:t>
      </w:r>
    </w:p>
    <w:p>
      <w:pPr>
        <w:pStyle w:val="Footnotesection"/>
      </w:pPr>
      <w:r>
        <w:tab/>
        <w:t>[Rule 13 amended in Gazette 29 Sep 2006 p. 4269; 15 May 2009 p. 1634.]</w:t>
      </w:r>
    </w:p>
    <w:p>
      <w:pPr>
        <w:pStyle w:val="Heading2"/>
      </w:pPr>
      <w:bookmarkStart w:id="59" w:name="_Toc377389098"/>
      <w:bookmarkStart w:id="60" w:name="_Toc380144005"/>
      <w:bookmarkStart w:id="61" w:name="_Toc421106068"/>
      <w:bookmarkStart w:id="62" w:name="_Toc421106105"/>
      <w:bookmarkStart w:id="63" w:name="_Toc463613005"/>
      <w:r>
        <w:rPr>
          <w:rStyle w:val="CharPartNo"/>
        </w:rPr>
        <w:t>Part 4</w:t>
      </w:r>
      <w:r>
        <w:rPr>
          <w:rStyle w:val="CharDivNo"/>
        </w:rPr>
        <w:t> </w:t>
      </w:r>
      <w:r>
        <w:t>—</w:t>
      </w:r>
      <w:r>
        <w:rPr>
          <w:rStyle w:val="CharDivText"/>
        </w:rPr>
        <w:t> </w:t>
      </w:r>
      <w:r>
        <w:rPr>
          <w:rStyle w:val="CharPartText"/>
        </w:rPr>
        <w:t>Super 66 draw</w:t>
      </w:r>
      <w:bookmarkEnd w:id="59"/>
      <w:bookmarkEnd w:id="60"/>
      <w:bookmarkEnd w:id="61"/>
      <w:bookmarkEnd w:id="62"/>
      <w:bookmarkEnd w:id="63"/>
      <w:r>
        <w:rPr>
          <w:rStyle w:val="CharPartText"/>
        </w:rPr>
        <w:t xml:space="preserve"> </w:t>
      </w:r>
    </w:p>
    <w:p>
      <w:pPr>
        <w:pStyle w:val="Heading5"/>
        <w:rPr>
          <w:snapToGrid w:val="0"/>
        </w:rPr>
      </w:pPr>
      <w:bookmarkStart w:id="64" w:name="_Toc380144006"/>
      <w:bookmarkStart w:id="65" w:name="_Toc463613006"/>
      <w:bookmarkStart w:id="66" w:name="_Toc421106106"/>
      <w:r>
        <w:rPr>
          <w:rStyle w:val="CharSectno"/>
        </w:rPr>
        <w:t>14</w:t>
      </w:r>
      <w:r>
        <w:rPr>
          <w:snapToGrid w:val="0"/>
        </w:rPr>
        <w:t>.</w:t>
      </w:r>
      <w:r>
        <w:rPr>
          <w:snapToGrid w:val="0"/>
        </w:rPr>
        <w:tab/>
        <w:t>Super 66 draw</w:t>
      </w:r>
      <w:bookmarkEnd w:id="64"/>
      <w:bookmarkEnd w:id="65"/>
      <w:bookmarkEnd w:id="66"/>
      <w:r>
        <w:rPr>
          <w:snapToGrid w:val="0"/>
        </w:rPr>
        <w:t xml:space="preserve"> </w:t>
      </w:r>
    </w:p>
    <w:p>
      <w:pPr>
        <w:pStyle w:val="Subsection"/>
        <w:rPr>
          <w:snapToGrid w:val="0"/>
        </w:rPr>
      </w:pPr>
      <w:r>
        <w:rPr>
          <w:snapToGrid w:val="0"/>
        </w:rPr>
        <w:tab/>
      </w:r>
      <w:r>
        <w:rPr>
          <w:snapToGrid w:val="0"/>
        </w:rPr>
        <w:tab/>
        <w:t>A super 66 draw consists of the mechanical, equally random selection of 6 digits, each selected from the digits 0 to 9 inclusive, in a manner and using such equipment as the Commission</w:t>
      </w:r>
      <w:r>
        <w:t>, or designated authority supervising the super 66 draw,</w:t>
      </w:r>
      <w:r>
        <w:rPr>
          <w:snapToGrid w:val="0"/>
        </w:rPr>
        <w:t xml:space="preserve"> determines.</w:t>
      </w:r>
    </w:p>
    <w:p>
      <w:pPr>
        <w:pStyle w:val="Footnotesection"/>
      </w:pPr>
      <w:r>
        <w:tab/>
        <w:t>[Rule 14 amended in Gazette 9 Mar 2001 p. 1330.]</w:t>
      </w:r>
    </w:p>
    <w:p>
      <w:pPr>
        <w:pStyle w:val="Heading5"/>
        <w:rPr>
          <w:snapToGrid w:val="0"/>
        </w:rPr>
      </w:pPr>
      <w:bookmarkStart w:id="67" w:name="_Toc380144007"/>
      <w:bookmarkStart w:id="68" w:name="_Toc463613007"/>
      <w:bookmarkStart w:id="69" w:name="_Toc421106107"/>
      <w:r>
        <w:rPr>
          <w:rStyle w:val="CharSectno"/>
        </w:rPr>
        <w:t>15</w:t>
      </w:r>
      <w:r>
        <w:rPr>
          <w:snapToGrid w:val="0"/>
        </w:rPr>
        <w:t>.</w:t>
      </w:r>
      <w:r>
        <w:rPr>
          <w:snapToGrid w:val="0"/>
        </w:rPr>
        <w:tab/>
        <w:t>Criteria for super 66 prizes</w:t>
      </w:r>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Subject to subrule (2), in a super 66 draw the holder of a receipted ticket </w:t>
      </w:r>
      <w:r>
        <w:t xml:space="preserve">or the purchaser of an entry under the </w:t>
      </w:r>
      <w:r>
        <w:rPr>
          <w:i/>
          <w:iCs/>
        </w:rPr>
        <w:t xml:space="preserve">Lotteries Commission (Internet Entries) Rules 2010 </w:t>
      </w:r>
      <w:r>
        <w:rPr>
          <w:snapToGrid w:val="0"/>
        </w:rPr>
        <w:t>wins —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 </w:t>
      </w:r>
    </w:p>
    <w:p>
      <w:pPr>
        <w:pStyle w:val="Indenti"/>
        <w:spacing w:before="60"/>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spacing w:before="60"/>
        <w:rPr>
          <w:snapToGrid w:val="0"/>
        </w:rPr>
      </w:pPr>
      <w:r>
        <w:rPr>
          <w:snapToGrid w:val="0"/>
        </w:rPr>
        <w:tab/>
        <w:t>(c)</w:t>
      </w:r>
      <w:r>
        <w:rPr>
          <w:snapToGrid w:val="0"/>
        </w:rPr>
        <w:tab/>
        <w:t>division 3, if 4 of the selected digits in a game match the value, position and order of —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t>(2)</w:t>
      </w:r>
      <w:r>
        <w:rPr>
          <w:snapToGrid w:val="0"/>
        </w:rPr>
        <w:tab/>
        <w:t>If a game satisfies the winning criteria for more than one division, that game is a winning game only in the highest of those divisions.</w:t>
      </w:r>
    </w:p>
    <w:p>
      <w:pPr>
        <w:pStyle w:val="Footnotesection"/>
      </w:pPr>
      <w:r>
        <w:tab/>
        <w:t>[Rule 15 amended in Gazette 19 Nov 2010 p. 5733.]</w:t>
      </w:r>
    </w:p>
    <w:p>
      <w:pPr>
        <w:pStyle w:val="Heading5"/>
        <w:rPr>
          <w:snapToGrid w:val="0"/>
        </w:rPr>
      </w:pPr>
      <w:bookmarkStart w:id="70" w:name="_Toc380144008"/>
      <w:bookmarkStart w:id="71" w:name="_Toc463613008"/>
      <w:bookmarkStart w:id="72" w:name="_Toc421106108"/>
      <w:r>
        <w:rPr>
          <w:rStyle w:val="CharSectno"/>
        </w:rPr>
        <w:t>16</w:t>
      </w:r>
      <w:r>
        <w:rPr>
          <w:snapToGrid w:val="0"/>
        </w:rPr>
        <w:t>.</w:t>
      </w:r>
      <w:r>
        <w:rPr>
          <w:snapToGrid w:val="0"/>
        </w:rPr>
        <w:tab/>
        <w:t>Distribution of prize pool</w:t>
      </w:r>
      <w:bookmarkEnd w:id="70"/>
      <w:bookmarkEnd w:id="71"/>
      <w:bookmarkEnd w:id="72"/>
      <w:r>
        <w:rPr>
          <w:snapToGrid w:val="0"/>
        </w:rPr>
        <w:t xml:space="preserve"> </w:t>
      </w:r>
    </w:p>
    <w:p>
      <w:pPr>
        <w:pStyle w:val="Subsection"/>
        <w:rPr>
          <w:snapToGrid w:val="0"/>
        </w:rPr>
      </w:pPr>
      <w:r>
        <w:rPr>
          <w:snapToGrid w:val="0"/>
        </w:rPr>
        <w:tab/>
        <w:t>(1)</w:t>
      </w:r>
      <w:r>
        <w:rPr>
          <w:snapToGrid w:val="0"/>
        </w:rPr>
        <w:tab/>
        <w:t>Subject to rule 17, the Commission must distribute the total prize pool for a super 66 draw as follows — </w:t>
      </w:r>
    </w:p>
    <w:p>
      <w:pPr>
        <w:pStyle w:val="Indenta"/>
        <w:rPr>
          <w:snapToGrid w:val="0"/>
        </w:rPr>
      </w:pPr>
      <w:r>
        <w:rPr>
          <w:snapToGrid w:val="0"/>
        </w:rPr>
        <w:tab/>
        <w:t>(a)</w:t>
      </w:r>
      <w:r>
        <w:rPr>
          <w:snapToGrid w:val="0"/>
        </w:rPr>
        <w:tab/>
        <w:t>division 1 — </w:t>
      </w:r>
    </w:p>
    <w:p>
      <w:pPr>
        <w:pStyle w:val="Indenti"/>
        <w:rPr>
          <w:snapToGrid w:val="0"/>
        </w:rPr>
      </w:pPr>
      <w:r>
        <w:rPr>
          <w:snapToGrid w:val="0"/>
        </w:rPr>
        <w:tab/>
        <w:t>(i)</w:t>
      </w:r>
      <w:r>
        <w:rPr>
          <w:snapToGrid w:val="0"/>
        </w:rPr>
        <w:tab/>
        <w:t xml:space="preserve">the balance of the total prize pool after payment of prizes referred to in paragraphs (b), (c), (d) and (e); </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$6 666.00 for each winning game in that division;</w:t>
      </w:r>
    </w:p>
    <w:p>
      <w:pPr>
        <w:pStyle w:val="Indenta"/>
        <w:rPr>
          <w:snapToGrid w:val="0"/>
        </w:rPr>
      </w:pPr>
      <w:r>
        <w:rPr>
          <w:snapToGrid w:val="0"/>
        </w:rPr>
        <w:tab/>
        <w:t>(c)</w:t>
      </w:r>
      <w:r>
        <w:rPr>
          <w:snapToGrid w:val="0"/>
        </w:rPr>
        <w:tab/>
        <w:t>division 3 — $666.00 for each winning game in that division;</w:t>
      </w:r>
    </w:p>
    <w:p>
      <w:pPr>
        <w:pStyle w:val="Indenta"/>
        <w:rPr>
          <w:snapToGrid w:val="0"/>
        </w:rPr>
      </w:pPr>
      <w:r>
        <w:rPr>
          <w:snapToGrid w:val="0"/>
        </w:rPr>
        <w:tab/>
        <w:t>(d)</w:t>
      </w:r>
      <w:r>
        <w:rPr>
          <w:snapToGrid w:val="0"/>
        </w:rPr>
        <w:tab/>
        <w:t>division 4 — $66.00 for each winning game in that division; and</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t>(2)</w:t>
      </w:r>
      <w:r>
        <w:rPr>
          <w:snapToGrid w:val="0"/>
        </w:rPr>
        <w:tab/>
        <w:t>The division 1 prize pool is to be divided equally between the winning games in that division.</w:t>
      </w:r>
    </w:p>
    <w:p>
      <w:pPr>
        <w:pStyle w:val="Heading5"/>
        <w:rPr>
          <w:snapToGrid w:val="0"/>
        </w:rPr>
      </w:pPr>
      <w:bookmarkStart w:id="73" w:name="_Toc380144009"/>
      <w:bookmarkStart w:id="74" w:name="_Toc463613009"/>
      <w:bookmarkStart w:id="75" w:name="_Toc421106109"/>
      <w:r>
        <w:rPr>
          <w:rStyle w:val="CharSectno"/>
        </w:rPr>
        <w:t>17</w:t>
      </w:r>
      <w:r>
        <w:rPr>
          <w:snapToGrid w:val="0"/>
        </w:rPr>
        <w:t>.</w:t>
      </w:r>
      <w:r>
        <w:rPr>
          <w:snapToGrid w:val="0"/>
        </w:rPr>
        <w:tab/>
        <w:t>Division 1 jackpot</w:t>
      </w:r>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super 66 draw, then the balance of the total prize pool for that draw, including any prize reserve fund augmentation, is to be added to, and then forms part of, the division 1 prize pool for the next super 66 draw.</w:t>
      </w:r>
    </w:p>
    <w:p>
      <w:pPr>
        <w:pStyle w:val="Subsection"/>
      </w:pPr>
      <w:r>
        <w:tab/>
        <w:t>(2)</w:t>
      </w:r>
      <w:r>
        <w:tab/>
        <w:t>Where there is no super 66 division 1 prize winner for 26 consecutive super 66 draws, the Commission must allocate the accumulated division 1 prize pool in the 26</w:t>
      </w:r>
      <w:r>
        <w:rPr>
          <w:vertAlign w:val="superscript"/>
        </w:rPr>
        <w:t>th</w:t>
      </w:r>
      <w:r>
        <w:t xml:space="preserve"> super 66 draw the next lowest division in which there is a winner in that draw.</w:t>
      </w:r>
    </w:p>
    <w:p>
      <w:pPr>
        <w:pStyle w:val="Subsection"/>
        <w:rPr>
          <w:snapToGrid w:val="0"/>
        </w:rPr>
      </w:pPr>
      <w:r>
        <w:rPr>
          <w:snapToGrid w:val="0"/>
        </w:rPr>
        <w:tab/>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Footnotesection"/>
      </w:pPr>
      <w:r>
        <w:tab/>
        <w:t>[Rule 17 amended in Gazette 16 Nov 2004 p. 5067; 3 Nov 2006 p. 4661; 6 Jun 2008 p. 2352.]</w:t>
      </w:r>
    </w:p>
    <w:p>
      <w:pPr>
        <w:pStyle w:val="Heading5"/>
        <w:rPr>
          <w:snapToGrid w:val="0"/>
        </w:rPr>
      </w:pPr>
      <w:bookmarkStart w:id="76" w:name="_Toc380144010"/>
      <w:bookmarkStart w:id="77" w:name="_Toc463613010"/>
      <w:bookmarkStart w:id="78" w:name="_Toc421106110"/>
      <w:r>
        <w:rPr>
          <w:rStyle w:val="CharSectno"/>
        </w:rPr>
        <w:t>18</w:t>
      </w:r>
      <w:r>
        <w:rPr>
          <w:snapToGrid w:val="0"/>
        </w:rPr>
        <w:t>.</w:t>
      </w:r>
      <w:r>
        <w:rPr>
          <w:snapToGrid w:val="0"/>
        </w:rPr>
        <w:tab/>
        <w:t>Bonus draws and guaranteed prize pools</w:t>
      </w:r>
      <w:bookmarkEnd w:id="76"/>
      <w:bookmarkEnd w:id="77"/>
      <w:bookmarkEnd w:id="78"/>
      <w:r>
        <w:rPr>
          <w:snapToGrid w:val="0"/>
        </w:rPr>
        <w:t xml:space="preserve"> </w:t>
      </w:r>
    </w:p>
    <w:p>
      <w:pPr>
        <w:pStyle w:val="Subsection"/>
        <w:rPr>
          <w:snapToGrid w:val="0"/>
        </w:rPr>
      </w:pPr>
      <w:r>
        <w:rPr>
          <w:snapToGrid w:val="0"/>
        </w:rPr>
        <w:tab/>
        <w:t>(1)</w:t>
      </w:r>
      <w:r>
        <w:rPr>
          <w:snapToGrid w:val="0"/>
        </w:rPr>
        <w:tab/>
        <w:t>The Commission may from time to time declare a super 66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 66 lotto draw.</w:t>
      </w:r>
    </w:p>
    <w:p>
      <w:pPr>
        <w:pStyle w:val="Footnotesection"/>
      </w:pPr>
      <w:r>
        <w:tab/>
        <w:t>[Rule 18 amended in Gazette 6 Jun 2008 p. 2352.]</w:t>
      </w:r>
    </w:p>
    <w:p>
      <w:pPr>
        <w:pStyle w:val="Heading5"/>
        <w:rPr>
          <w:snapToGrid w:val="0"/>
        </w:rPr>
      </w:pPr>
      <w:bookmarkStart w:id="79" w:name="_Toc380144011"/>
      <w:bookmarkStart w:id="80" w:name="_Toc463613011"/>
      <w:bookmarkStart w:id="81" w:name="_Toc421106111"/>
      <w:r>
        <w:rPr>
          <w:rStyle w:val="CharSectno"/>
        </w:rPr>
        <w:t>19</w:t>
      </w:r>
      <w:r>
        <w:rPr>
          <w:snapToGrid w:val="0"/>
        </w:rPr>
        <w:t>.</w:t>
      </w:r>
      <w:r>
        <w:rPr>
          <w:snapToGrid w:val="0"/>
        </w:rPr>
        <w:tab/>
        <w:t>Division 1 prizes</w:t>
      </w:r>
      <w:bookmarkEnd w:id="79"/>
      <w:bookmarkEnd w:id="80"/>
      <w:bookmarkEnd w:id="81"/>
      <w:r>
        <w:rPr>
          <w:snapToGrid w:val="0"/>
        </w:rPr>
        <w:t xml:space="preserve"> </w:t>
      </w:r>
    </w:p>
    <w:p>
      <w:pPr>
        <w:pStyle w:val="Subsection"/>
      </w:pPr>
      <w:r>
        <w:tab/>
        <w:t>(1A)</w:t>
      </w:r>
      <w:r>
        <w:tab/>
      </w:r>
      <w:r>
        <w:rPr>
          <w:snapToGrid w:val="0"/>
        </w:rPr>
        <w:t xml:space="preserve">A division 1 prize in a super 66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super 66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 xml:space="preserve">Subject to subrule (3), a division 1 prize in a super 66 draw is to be </w:t>
      </w:r>
      <w:r>
        <w:t>paid to the holder of a winning receipted ticket —</w:t>
      </w:r>
    </w:p>
    <w:p>
      <w:pPr>
        <w:pStyle w:val="Indenta"/>
        <w:rPr>
          <w:snapToGrid w:val="0"/>
        </w:rPr>
      </w:pPr>
      <w:r>
        <w:rPr>
          <w:snapToGrid w:val="0"/>
        </w:rPr>
        <w:tab/>
        <w:t>(a)</w:t>
      </w:r>
      <w:r>
        <w:rPr>
          <w:snapToGrid w:val="0"/>
        </w:rPr>
        <w:tab/>
        <w:t>by the Commission; and</w:t>
      </w:r>
    </w:p>
    <w:p>
      <w:pPr>
        <w:pStyle w:val="Indenta"/>
        <w:rPr>
          <w:snapToGrid w:val="0"/>
        </w:rPr>
      </w:pPr>
      <w:r>
        <w:rPr>
          <w:snapToGrid w:val="0"/>
        </w:rPr>
        <w:tab/>
        <w:t>(b)</w:t>
      </w:r>
      <w:r>
        <w:rPr>
          <w:snapToGrid w:val="0"/>
        </w:rPr>
        <w:tab/>
      </w:r>
      <w:r>
        <w:t xml:space="preserve">subject to rule 24A,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super 66 draw and one or more other prizes on the same ticket, none of those prizes are to be paid until after the validation period for that draw.</w:t>
      </w:r>
    </w:p>
    <w:p>
      <w:pPr>
        <w:pStyle w:val="Footnotesection"/>
      </w:pPr>
      <w:r>
        <w:tab/>
        <w:t>[Rule 19 amended in Gazette 6 Jun 2008 p. 2352; 19 Nov 2010 p. 5733.]</w:t>
      </w:r>
    </w:p>
    <w:p>
      <w:pPr>
        <w:pStyle w:val="Heading5"/>
        <w:rPr>
          <w:snapToGrid w:val="0"/>
        </w:rPr>
      </w:pPr>
      <w:bookmarkStart w:id="82" w:name="_Toc380144012"/>
      <w:bookmarkStart w:id="83" w:name="_Toc463613012"/>
      <w:bookmarkStart w:id="84" w:name="_Toc421106112"/>
      <w:r>
        <w:rPr>
          <w:rStyle w:val="CharSectno"/>
        </w:rPr>
        <w:t>20</w:t>
      </w:r>
      <w:r>
        <w:rPr>
          <w:snapToGrid w:val="0"/>
        </w:rPr>
        <w:t>.</w:t>
      </w:r>
      <w:r>
        <w:rPr>
          <w:snapToGrid w:val="0"/>
        </w:rPr>
        <w:tab/>
        <w:t>Division 2 prizes</w:t>
      </w:r>
      <w:bookmarkEnd w:id="82"/>
      <w:bookmarkEnd w:id="83"/>
      <w:bookmarkEnd w:id="84"/>
      <w:r>
        <w:rPr>
          <w:snapToGrid w:val="0"/>
        </w:rPr>
        <w:t xml:space="preserve"> </w:t>
      </w:r>
    </w:p>
    <w:p>
      <w:pPr>
        <w:pStyle w:val="Subsection"/>
      </w:pPr>
      <w:r>
        <w:tab/>
        <w:t>(1A)</w:t>
      </w:r>
      <w:r>
        <w:tab/>
      </w:r>
      <w:r>
        <w:rPr>
          <w:snapToGrid w:val="0"/>
        </w:rPr>
        <w:t xml:space="preserve">A division 2 prize in a super 66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super 66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24A, </w:t>
      </w:r>
      <w:r>
        <w:rPr>
          <w:snapToGrid w:val="0"/>
        </w:rPr>
        <w:t>by cheque or in any other manner determined by the Commission;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r>
        <w:tab/>
        <w:t>[Rule 20 amended in Gazette 6 Jun 2008 p. 2352; 19 Nov 2010 p. 5733.]</w:t>
      </w:r>
    </w:p>
    <w:p>
      <w:pPr>
        <w:pStyle w:val="Heading5"/>
        <w:rPr>
          <w:snapToGrid w:val="0"/>
        </w:rPr>
      </w:pPr>
      <w:bookmarkStart w:id="85" w:name="_Toc380144013"/>
      <w:bookmarkStart w:id="86" w:name="_Toc463613013"/>
      <w:bookmarkStart w:id="87" w:name="_Toc421106113"/>
      <w:r>
        <w:rPr>
          <w:rStyle w:val="CharSectno"/>
        </w:rPr>
        <w:t>21</w:t>
      </w:r>
      <w:r>
        <w:rPr>
          <w:snapToGrid w:val="0"/>
        </w:rPr>
        <w:t>.</w:t>
      </w:r>
      <w:r>
        <w:rPr>
          <w:snapToGrid w:val="0"/>
        </w:rPr>
        <w:tab/>
        <w:t>Division 3, 4 and 5 prizes</w:t>
      </w:r>
      <w:bookmarkEnd w:id="85"/>
      <w:bookmarkEnd w:id="86"/>
      <w:bookmarkEnd w:id="87"/>
      <w:r>
        <w:rPr>
          <w:snapToGrid w:val="0"/>
        </w:rPr>
        <w:t xml:space="preserve"> </w:t>
      </w:r>
    </w:p>
    <w:p>
      <w:pPr>
        <w:pStyle w:val="Subsection"/>
      </w:pPr>
      <w:r>
        <w:tab/>
        <w:t>(1A)</w:t>
      </w:r>
      <w:r>
        <w:tab/>
      </w:r>
      <w:r>
        <w:rPr>
          <w:snapToGrid w:val="0"/>
        </w:rPr>
        <w:t xml:space="preserve">A division 3, 4 or 5 prize in a super 66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3, 4 or 5 prize in a super 66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24A,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24A,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21 amended in Gazette 6 Jun 2008 p. 2352; 19 Nov 2010 p. 5734.]</w:t>
      </w:r>
    </w:p>
    <w:p>
      <w:pPr>
        <w:pStyle w:val="Heading5"/>
        <w:rPr>
          <w:snapToGrid w:val="0"/>
        </w:rPr>
      </w:pPr>
      <w:bookmarkStart w:id="88" w:name="_Toc380144014"/>
      <w:bookmarkStart w:id="89" w:name="_Toc463613014"/>
      <w:bookmarkStart w:id="90" w:name="_Toc421106114"/>
      <w:r>
        <w:rPr>
          <w:rStyle w:val="CharSectno"/>
        </w:rPr>
        <w:t>22</w:t>
      </w:r>
      <w:r>
        <w:rPr>
          <w:snapToGrid w:val="0"/>
        </w:rPr>
        <w:t>.</w:t>
      </w:r>
      <w:r>
        <w:rPr>
          <w:snapToGrid w:val="0"/>
        </w:rPr>
        <w:tab/>
        <w:t>Commission may require a statutory declaration</w:t>
      </w:r>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Before paying any prize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these rules or the Saturday Lotto Rules, </w:t>
      </w:r>
      <w:r>
        <w:t>the Monday and Wednesday Lotto Rules, Oz Lotto Rules</w:t>
      </w:r>
      <w:r>
        <w:rPr>
          <w:snapToGrid w:val="0"/>
        </w:rPr>
        <w:t xml:space="preserve"> Powerball Rules or the Soccer Pools Rules (as is appropriate to the case)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Footnotesection"/>
      </w:pPr>
      <w:r>
        <w:tab/>
        <w:t>[Rule 22 amended in Gazette 16 Nov 2004 p. 5067; 21 Apr 2006 p. 1609; 6 Jun 2008 p. 2352.]</w:t>
      </w:r>
    </w:p>
    <w:p>
      <w:pPr>
        <w:pStyle w:val="Heading5"/>
        <w:rPr>
          <w:snapToGrid w:val="0"/>
        </w:rPr>
      </w:pPr>
      <w:bookmarkStart w:id="91" w:name="_Toc380144015"/>
      <w:bookmarkStart w:id="92" w:name="_Toc463613015"/>
      <w:bookmarkStart w:id="93" w:name="_Toc421106115"/>
      <w:r>
        <w:rPr>
          <w:rStyle w:val="CharSectno"/>
        </w:rPr>
        <w:t>23</w:t>
      </w:r>
      <w:r>
        <w:rPr>
          <w:snapToGrid w:val="0"/>
        </w:rPr>
        <w:t>.</w:t>
      </w:r>
      <w:r>
        <w:rPr>
          <w:snapToGrid w:val="0"/>
        </w:rPr>
        <w:tab/>
        <w:t>Publication of names and addresses of prize winners</w:t>
      </w:r>
      <w:bookmarkEnd w:id="91"/>
      <w:bookmarkEnd w:id="92"/>
      <w:bookmarkEnd w:id="93"/>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94" w:name="_Toc380144016"/>
      <w:bookmarkStart w:id="95" w:name="_Toc463613016"/>
      <w:bookmarkStart w:id="96" w:name="_Toc421106116"/>
      <w:r>
        <w:rPr>
          <w:rStyle w:val="CharSectno"/>
        </w:rPr>
        <w:t>24</w:t>
      </w:r>
      <w:r>
        <w:rPr>
          <w:snapToGrid w:val="0"/>
        </w:rPr>
        <w:t>.</w:t>
      </w:r>
      <w:r>
        <w:rPr>
          <w:snapToGrid w:val="0"/>
        </w:rPr>
        <w:tab/>
        <w:t>Player Registration Service</w:t>
      </w:r>
      <w:bookmarkEnd w:id="94"/>
      <w:bookmarkEnd w:id="95"/>
      <w:bookmarkEnd w:id="96"/>
      <w:r>
        <w:rPr>
          <w:snapToGrid w:val="0"/>
        </w:rPr>
        <w:t xml:space="preserve"> </w:t>
      </w:r>
    </w:p>
    <w:p>
      <w:pPr>
        <w:pStyle w:val="Ednotesubsection"/>
      </w:pPr>
      <w:r>
        <w:tab/>
        <w:t>[(1)</w:t>
      </w:r>
      <w:r>
        <w:tab/>
        <w:t>deleted]</w:t>
      </w:r>
    </w:p>
    <w:p>
      <w:pPr>
        <w:pStyle w:val="Subsection"/>
      </w:pPr>
      <w:r>
        <w:tab/>
        <w:t>(2)</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(3)</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24A, be paid in a manner determined by the Commission to the person named, and at the address recorded, against that player’s card number.</w:t>
      </w:r>
    </w:p>
    <w:p>
      <w:pPr>
        <w:pStyle w:val="Subsection"/>
      </w:pPr>
      <w:r>
        <w:tab/>
        <w:t>(4)</w:t>
      </w:r>
      <w:r>
        <w:tab/>
        <w:t>Payment of a prize entitlement under subrule (2) or (3)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24 amended in Gazette 9 Mar 2001 p. 1330</w:t>
      </w:r>
      <w:r>
        <w:noBreakHyphen/>
        <w:t>1; 16 Nov 2004 p. 5067; 21 Apr 2006 p. 1609; 6 Jun 2008 p. 2353.]</w:t>
      </w:r>
    </w:p>
    <w:p>
      <w:pPr>
        <w:pStyle w:val="Heading5"/>
      </w:pPr>
      <w:bookmarkStart w:id="97" w:name="_Toc380144017"/>
      <w:bookmarkStart w:id="98" w:name="_Toc463613017"/>
      <w:bookmarkStart w:id="99" w:name="_Toc421106117"/>
      <w:r>
        <w:rPr>
          <w:rStyle w:val="CharSectno"/>
        </w:rPr>
        <w:t>24A</w:t>
      </w:r>
      <w:r>
        <w:t>.</w:t>
      </w:r>
      <w:r>
        <w:tab/>
        <w:t>Player’s card holders may request direct credit of prizes</w:t>
      </w:r>
      <w:bookmarkEnd w:id="97"/>
      <w:bookmarkEnd w:id="98"/>
      <w:bookmarkEnd w:id="99"/>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24A inserted in Gazette 6 Jun 2008 p. 2353.]</w:t>
      </w:r>
    </w:p>
    <w:p>
      <w:pPr>
        <w:pStyle w:val="Heading2"/>
      </w:pPr>
      <w:bookmarkStart w:id="100" w:name="_Toc377389111"/>
      <w:bookmarkStart w:id="101" w:name="_Toc380144018"/>
      <w:bookmarkStart w:id="102" w:name="_Toc421106081"/>
      <w:bookmarkStart w:id="103" w:name="_Toc421106118"/>
      <w:bookmarkStart w:id="104" w:name="_Toc463613018"/>
      <w:r>
        <w:rPr>
          <w:rStyle w:val="CharPartNo"/>
        </w:rPr>
        <w:t>Part 5</w:t>
      </w:r>
      <w:r>
        <w:rPr>
          <w:rStyle w:val="CharDivNo"/>
        </w:rPr>
        <w:t> </w:t>
      </w:r>
      <w:r>
        <w:t>—</w:t>
      </w:r>
      <w:r>
        <w:rPr>
          <w:rStyle w:val="CharDivText"/>
        </w:rPr>
        <w:t> </w:t>
      </w:r>
      <w:r>
        <w:rPr>
          <w:rStyle w:val="CharPartText"/>
        </w:rPr>
        <w:t>Miscellaneous</w:t>
      </w:r>
      <w:bookmarkEnd w:id="100"/>
      <w:bookmarkEnd w:id="101"/>
      <w:bookmarkEnd w:id="102"/>
      <w:bookmarkEnd w:id="103"/>
      <w:bookmarkEnd w:id="104"/>
      <w:r>
        <w:rPr>
          <w:rStyle w:val="CharPartText"/>
        </w:rPr>
        <w:t xml:space="preserve"> </w:t>
      </w:r>
    </w:p>
    <w:p>
      <w:pPr>
        <w:pStyle w:val="Heading5"/>
        <w:rPr>
          <w:snapToGrid w:val="0"/>
        </w:rPr>
      </w:pPr>
      <w:bookmarkStart w:id="105" w:name="_Toc380144019"/>
      <w:bookmarkStart w:id="106" w:name="_Toc463613019"/>
      <w:bookmarkStart w:id="107" w:name="_Toc421106119"/>
      <w:r>
        <w:rPr>
          <w:rStyle w:val="CharSectno"/>
        </w:rPr>
        <w:t>25</w:t>
      </w:r>
      <w:r>
        <w:rPr>
          <w:snapToGrid w:val="0"/>
        </w:rPr>
        <w:t>.</w:t>
      </w:r>
      <w:r>
        <w:rPr>
          <w:snapToGrid w:val="0"/>
        </w:rPr>
        <w:tab/>
        <w:t>Instructions</w:t>
      </w:r>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promotional coupon</w:t>
      </w:r>
      <w:r>
        <w:rPr>
          <w:snapToGrid w:val="0"/>
        </w:rPr>
        <w:t xml:space="preserve"> or receipted ticket and these rules, these rules prevail to the extent of the inconsistency.</w:t>
      </w:r>
    </w:p>
    <w:p>
      <w:pPr>
        <w:pStyle w:val="Footnotesection"/>
      </w:pPr>
      <w:r>
        <w:tab/>
        <w:t>[Rule 25 amended in Gazette 6 Jun 2008 p. 2354.]</w:t>
      </w:r>
    </w:p>
    <w:p>
      <w:pPr>
        <w:pStyle w:val="Heading5"/>
        <w:rPr>
          <w:snapToGrid w:val="0"/>
        </w:rPr>
      </w:pPr>
      <w:bookmarkStart w:id="108" w:name="_Toc380144020"/>
      <w:bookmarkStart w:id="109" w:name="_Toc463613020"/>
      <w:bookmarkStart w:id="110" w:name="_Toc421106120"/>
      <w:r>
        <w:rPr>
          <w:rStyle w:val="CharSectno"/>
        </w:rPr>
        <w:t>26</w:t>
      </w:r>
      <w:r>
        <w:rPr>
          <w:snapToGrid w:val="0"/>
        </w:rPr>
        <w:t>.</w:t>
      </w:r>
      <w:r>
        <w:rPr>
          <w:snapToGrid w:val="0"/>
        </w:rPr>
        <w:tab/>
        <w:t>Rules to be made available</w:t>
      </w:r>
      <w:bookmarkEnd w:id="108"/>
      <w:bookmarkEnd w:id="109"/>
      <w:bookmarkEnd w:id="110"/>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11" w:name="_Toc380144021"/>
      <w:bookmarkStart w:id="112" w:name="_Toc463613021"/>
      <w:bookmarkStart w:id="113" w:name="_Toc421106121"/>
      <w:r>
        <w:rPr>
          <w:rStyle w:val="CharSectno"/>
        </w:rPr>
        <w:t>27</w:t>
      </w:r>
      <w:r>
        <w:rPr>
          <w:snapToGrid w:val="0"/>
        </w:rPr>
        <w:t>.</w:t>
      </w:r>
      <w:r>
        <w:rPr>
          <w:snapToGrid w:val="0"/>
        </w:rPr>
        <w:tab/>
        <w:t>Decisions of Commission final</w:t>
      </w:r>
      <w:bookmarkEnd w:id="111"/>
      <w:bookmarkEnd w:id="112"/>
      <w:bookmarkEnd w:id="113"/>
      <w:r>
        <w:rPr>
          <w:snapToGrid w:val="0"/>
        </w:rPr>
        <w:t xml:space="preserve"> </w:t>
      </w:r>
    </w:p>
    <w:p>
      <w:pPr>
        <w:pStyle w:val="Subsection"/>
        <w:rPr>
          <w:snapToGrid w:val="0"/>
        </w:rPr>
      </w:pPr>
      <w:r>
        <w:rPr>
          <w:snapToGrid w:val="0"/>
        </w:rPr>
        <w:tab/>
      </w:r>
      <w:r>
        <w:rPr>
          <w:snapToGrid w:val="0"/>
        </w:rPr>
        <w:tab/>
        <w:t>A decision or determination of the Commission in relation to a super 66 draw or an entry in super 66 and the declaration and payment of prizes under these rules is final and binding on subscribers, the holders of receipted tickets and any other person claiming a prize in a super 66 draw.</w:t>
      </w:r>
    </w:p>
    <w:p>
      <w:pPr>
        <w:pStyle w:val="Ednotepart"/>
        <w:rPr>
          <w:i w:val="0"/>
        </w:rPr>
      </w:pPr>
      <w:r>
        <w:t>[Part 6 omitted under the Reprints Act 1984 s. 7(4)(e).]</w:t>
      </w:r>
    </w:p>
    <w:p>
      <w:pPr>
        <w:pStyle w:val="Ednotepart"/>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r>
        <w:t>[Part 7 deleted in Gazette 3 Nov 2006 p. 4661.]</w:t>
      </w:r>
    </w:p>
    <w:p>
      <w:pPr>
        <w:pStyle w:val="yScheduleHeading"/>
      </w:pPr>
      <w:bookmarkStart w:id="114" w:name="_Toc377389115"/>
      <w:bookmarkStart w:id="115" w:name="_Toc380144022"/>
      <w:bookmarkStart w:id="116" w:name="_Toc421106085"/>
      <w:bookmarkStart w:id="117" w:name="_Toc421106122"/>
      <w:bookmarkStart w:id="118" w:name="_Toc463613022"/>
      <w:r>
        <w:rPr>
          <w:rStyle w:val="CharSchNo"/>
        </w:rPr>
        <w:t>Schedule 1</w:t>
      </w:r>
      <w:r>
        <w:t> — </w:t>
      </w:r>
      <w:r>
        <w:rPr>
          <w:rStyle w:val="CharSchText"/>
        </w:rPr>
        <w:t>Summary of parameters within which Super 66 is conducted</w:t>
      </w:r>
      <w:bookmarkEnd w:id="114"/>
      <w:bookmarkEnd w:id="115"/>
      <w:bookmarkEnd w:id="116"/>
      <w:bookmarkEnd w:id="117"/>
      <w:bookmarkEnd w:id="118"/>
      <w:r>
        <w:t xml:space="preserve"> </w:t>
      </w:r>
    </w:p>
    <w:tbl>
      <w:tblPr>
        <w:tblW w:w="7371" w:type="dxa"/>
        <w:tblInd w:w="8" w:type="dxa"/>
        <w:tblLayout w:type="fixed"/>
        <w:tblCellMar>
          <w:left w:w="0" w:type="dxa"/>
          <w:right w:w="0" w:type="dxa"/>
        </w:tblCellMar>
        <w:tblLook w:val="0000" w:firstRow="0" w:lastRow="0" w:firstColumn="0" w:lastColumn="0" w:noHBand="0" w:noVBand="0"/>
      </w:tblPr>
      <w:tblGrid>
        <w:gridCol w:w="4253"/>
        <w:gridCol w:w="3118"/>
      </w:tblGrid>
      <w:tr>
        <w:tc>
          <w:tcPr>
            <w:tcW w:w="4253" w:type="dxa"/>
          </w:tcPr>
          <w:p>
            <w:pPr>
              <w:pStyle w:val="yTable"/>
              <w:spacing w:before="0"/>
            </w:pPr>
            <w:r>
              <w:t>Unit cost</w:t>
            </w:r>
          </w:p>
        </w:tc>
        <w:tc>
          <w:tcPr>
            <w:tcW w:w="3118" w:type="dxa"/>
          </w:tcPr>
          <w:p>
            <w:pPr>
              <w:pStyle w:val="yTable"/>
              <w:tabs>
                <w:tab w:val="right" w:pos="2835"/>
              </w:tabs>
              <w:spacing w:before="0"/>
            </w:pPr>
            <w:r>
              <w:tab/>
              <w:t>$1.00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fund — % of subscriptions</w:t>
            </w:r>
          </w:p>
        </w:tc>
        <w:tc>
          <w:tcPr>
            <w:tcW w:w="3118" w:type="dxa"/>
          </w:tcPr>
          <w:p>
            <w:pPr>
              <w:pStyle w:val="yTable"/>
              <w:tabs>
                <w:tab w:val="right" w:pos="2835"/>
              </w:tabs>
              <w:spacing w:before="0"/>
            </w:pPr>
            <w:r>
              <w:tab/>
              <w:t>60.0%</w:t>
            </w:r>
          </w:p>
        </w:tc>
      </w:tr>
      <w:tr>
        <w:tblPrEx>
          <w:tblCellMar>
            <w:left w:w="141" w:type="dxa"/>
            <w:right w:w="141" w:type="dxa"/>
          </w:tblCellMar>
        </w:tblPrEx>
        <w:tc>
          <w:tcPr>
            <w:tcW w:w="4253" w:type="dxa"/>
          </w:tcPr>
          <w:p>
            <w:pPr>
              <w:pStyle w:val="yTable"/>
              <w:ind w:left="-141"/>
            </w:pPr>
            <w:r>
              <w:t>Prize pool — % of subscriptions</w:t>
            </w:r>
          </w:p>
        </w:tc>
        <w:tc>
          <w:tcPr>
            <w:tcW w:w="3118" w:type="dxa"/>
          </w:tcPr>
          <w:p>
            <w:pPr>
              <w:pStyle w:val="yTable"/>
              <w:ind w:right="142"/>
              <w:jc w:val="right"/>
            </w:pPr>
            <w:r>
              <w:t>no less than 55.0%</w:t>
            </w:r>
          </w:p>
        </w:tc>
      </w:tr>
      <w:tr>
        <w:tblPrEx>
          <w:tblCellMar>
            <w:left w:w="141" w:type="dxa"/>
            <w:right w:w="141" w:type="dxa"/>
          </w:tblCellMar>
        </w:tblPrEx>
        <w:tc>
          <w:tcPr>
            <w:tcW w:w="4253" w:type="dxa"/>
          </w:tcPr>
          <w:p>
            <w:pPr>
              <w:pStyle w:val="yTable"/>
              <w:ind w:left="-141"/>
            </w:pPr>
            <w:r>
              <w:t>Prize reserve fund — % of subscriptions</w:t>
            </w:r>
          </w:p>
        </w:tc>
        <w:tc>
          <w:tcPr>
            <w:tcW w:w="3118" w:type="dxa"/>
          </w:tcPr>
          <w:p>
            <w:pPr>
              <w:pStyle w:val="yTable"/>
              <w:ind w:right="142"/>
              <w:jc w:val="right"/>
            </w:pPr>
            <w:r>
              <w:t xml:space="preserve">balance of prize fund </w:t>
            </w:r>
            <w:r>
              <w:br/>
              <w:t>after prize pool</w:t>
            </w:r>
            <w:r>
              <w:br/>
              <w:t>(up to 5.0%)</w:t>
            </w:r>
          </w:p>
        </w:tc>
      </w:tr>
      <w:tr>
        <w:tc>
          <w:tcPr>
            <w:tcW w:w="4253" w:type="dxa"/>
          </w:tcPr>
          <w:p>
            <w:pPr>
              <w:pStyle w:val="yTable"/>
              <w:spacing w:before="0" w:after="60"/>
            </w:pPr>
          </w:p>
        </w:tc>
        <w:tc>
          <w:tcPr>
            <w:tcW w:w="3118" w:type="dxa"/>
          </w:tcPr>
          <w:p>
            <w:pPr>
              <w:pStyle w:val="yTable"/>
              <w:tabs>
                <w:tab w:val="right" w:pos="2835"/>
              </w:tabs>
              <w:spacing w:before="0"/>
            </w:pPr>
          </w:p>
        </w:tc>
      </w:tr>
      <w:tr>
        <w:tc>
          <w:tcPr>
            <w:tcW w:w="4253" w:type="dxa"/>
          </w:tcPr>
          <w:p>
            <w:pPr>
              <w:pStyle w:val="yTable"/>
              <w:spacing w:before="0" w:after="60"/>
            </w:pPr>
            <w:r>
              <w:t>Number of divisions</w:t>
            </w:r>
          </w:p>
        </w:tc>
        <w:tc>
          <w:tcPr>
            <w:tcW w:w="3118" w:type="dxa"/>
          </w:tcPr>
          <w:p>
            <w:pPr>
              <w:pStyle w:val="yTable"/>
              <w:tabs>
                <w:tab w:val="right" w:pos="2835"/>
              </w:tabs>
              <w:spacing w:before="0"/>
            </w:pPr>
            <w:r>
              <w:tab/>
              <w:t>5</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per winning game — </w:t>
            </w:r>
          </w:p>
          <w:p>
            <w:pPr>
              <w:pStyle w:val="yTable"/>
              <w:spacing w:before="0"/>
            </w:pPr>
            <w:r>
              <w:t xml:space="preserve">  division 1</w:t>
            </w:r>
          </w:p>
        </w:tc>
        <w:tc>
          <w:tcPr>
            <w:tcW w:w="3118" w:type="dxa"/>
          </w:tcPr>
          <w:p>
            <w:pPr>
              <w:pStyle w:val="yTable"/>
              <w:tabs>
                <w:tab w:val="right" w:pos="2835"/>
              </w:tabs>
              <w:spacing w:before="0"/>
            </w:pPr>
            <w:r>
              <w:tab/>
            </w:r>
          </w:p>
          <w:p>
            <w:pPr>
              <w:pStyle w:val="yTable"/>
              <w:tabs>
                <w:tab w:val="right" w:pos="2835"/>
              </w:tabs>
              <w:spacing w:before="0"/>
            </w:pPr>
            <w:r>
              <w:tab/>
              <w:t>Balance of total prize pool</w:t>
            </w:r>
          </w:p>
        </w:tc>
      </w:tr>
      <w:tr>
        <w:tc>
          <w:tcPr>
            <w:tcW w:w="4253" w:type="dxa"/>
          </w:tcPr>
          <w:p>
            <w:pPr>
              <w:pStyle w:val="yTable"/>
              <w:spacing w:before="0"/>
            </w:pPr>
            <w:r>
              <w:t xml:space="preserve">  division 2</w:t>
            </w:r>
          </w:p>
        </w:tc>
        <w:tc>
          <w:tcPr>
            <w:tcW w:w="3118" w:type="dxa"/>
          </w:tcPr>
          <w:p>
            <w:pPr>
              <w:pStyle w:val="yTable"/>
              <w:tabs>
                <w:tab w:val="right" w:pos="2835"/>
              </w:tabs>
              <w:spacing w:before="0"/>
            </w:pPr>
            <w:r>
              <w:tab/>
              <w:t xml:space="preserve"> $6 666.00</w:t>
            </w:r>
          </w:p>
        </w:tc>
      </w:tr>
      <w:tr>
        <w:tc>
          <w:tcPr>
            <w:tcW w:w="4253" w:type="dxa"/>
          </w:tcPr>
          <w:p>
            <w:pPr>
              <w:pStyle w:val="yTable"/>
              <w:spacing w:before="0"/>
            </w:pPr>
            <w:r>
              <w:t xml:space="preserve">  division 3</w:t>
            </w:r>
          </w:p>
        </w:tc>
        <w:tc>
          <w:tcPr>
            <w:tcW w:w="3118" w:type="dxa"/>
          </w:tcPr>
          <w:p>
            <w:pPr>
              <w:pStyle w:val="yTable"/>
              <w:tabs>
                <w:tab w:val="right" w:pos="2835"/>
              </w:tabs>
              <w:spacing w:before="0"/>
            </w:pPr>
            <w:r>
              <w:tab/>
              <w:t>$666.00</w:t>
            </w:r>
          </w:p>
        </w:tc>
      </w:tr>
      <w:tr>
        <w:tc>
          <w:tcPr>
            <w:tcW w:w="4253" w:type="dxa"/>
          </w:tcPr>
          <w:p>
            <w:pPr>
              <w:pStyle w:val="yTable"/>
              <w:spacing w:before="0"/>
            </w:pPr>
            <w:r>
              <w:t xml:space="preserve">  division 4</w:t>
            </w:r>
          </w:p>
        </w:tc>
        <w:tc>
          <w:tcPr>
            <w:tcW w:w="3118" w:type="dxa"/>
          </w:tcPr>
          <w:p>
            <w:pPr>
              <w:pStyle w:val="yTable"/>
              <w:tabs>
                <w:tab w:val="right" w:pos="2835"/>
              </w:tabs>
              <w:spacing w:before="0"/>
            </w:pPr>
            <w:r>
              <w:tab/>
              <w:t>$66.00</w:t>
            </w:r>
          </w:p>
        </w:tc>
      </w:tr>
      <w:tr>
        <w:tc>
          <w:tcPr>
            <w:tcW w:w="4253" w:type="dxa"/>
          </w:tcPr>
          <w:p>
            <w:pPr>
              <w:pStyle w:val="yTable"/>
              <w:spacing w:before="0"/>
            </w:pPr>
            <w:r>
              <w:t xml:space="preserve">  division 5</w:t>
            </w:r>
          </w:p>
        </w:tc>
        <w:tc>
          <w:tcPr>
            <w:tcW w:w="3118" w:type="dxa"/>
          </w:tcPr>
          <w:p>
            <w:pPr>
              <w:pStyle w:val="yTable"/>
              <w:tabs>
                <w:tab w:val="right" w:pos="2835"/>
              </w:tabs>
              <w:spacing w:before="0"/>
            </w:pPr>
            <w:r>
              <w:tab/>
              <w:t>$6.60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Winning digits drawn</w:t>
            </w:r>
          </w:p>
        </w:tc>
        <w:tc>
          <w:tcPr>
            <w:tcW w:w="3118" w:type="dxa"/>
          </w:tcPr>
          <w:p>
            <w:pPr>
              <w:pStyle w:val="yTable"/>
              <w:tabs>
                <w:tab w:val="right" w:pos="2835"/>
              </w:tabs>
              <w:spacing w:before="0"/>
            </w:pPr>
            <w:r>
              <w:tab/>
              <w:t>6</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Forecast range </w:t>
            </w:r>
          </w:p>
        </w:tc>
        <w:tc>
          <w:tcPr>
            <w:tcW w:w="3118" w:type="dxa"/>
          </w:tcPr>
          <w:p>
            <w:pPr>
              <w:pStyle w:val="yTable"/>
              <w:tabs>
                <w:tab w:val="right" w:pos="2835"/>
              </w:tabs>
              <w:spacing w:before="0"/>
            </w:pPr>
            <w:r>
              <w:tab/>
              <w:t>0 to 9 for each digit</w:t>
            </w:r>
          </w:p>
        </w:tc>
      </w:tr>
      <w:tr>
        <w:tc>
          <w:tcPr>
            <w:tcW w:w="4253" w:type="dxa"/>
          </w:tcPr>
          <w:p>
            <w:pPr>
              <w:pStyle w:val="yTable"/>
              <w:spacing w:before="0"/>
            </w:pPr>
            <w:r>
              <w:t xml:space="preserve">Multiweek options </w:t>
            </w:r>
          </w:p>
        </w:tc>
        <w:tc>
          <w:tcPr>
            <w:tcW w:w="3118" w:type="dxa"/>
          </w:tcPr>
          <w:p>
            <w:pPr>
              <w:pStyle w:val="yTable"/>
              <w:tabs>
                <w:tab w:val="right" w:pos="2835"/>
              </w:tabs>
              <w:spacing w:before="0"/>
            </w:pPr>
            <w:r>
              <w:tab/>
              <w:t>2, 5 or 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Advance sales (maximum)</w:t>
            </w:r>
          </w:p>
        </w:tc>
        <w:tc>
          <w:tcPr>
            <w:tcW w:w="3118" w:type="dxa"/>
          </w:tcPr>
          <w:p>
            <w:pPr>
              <w:pStyle w:val="yTable"/>
              <w:tabs>
                <w:tab w:val="right" w:pos="2835"/>
              </w:tabs>
              <w:spacing w:before="0"/>
            </w:pPr>
            <w:r>
              <w:tab/>
              <w:t>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Games per entry (maximum) (may depend on the coupon used)</w:t>
            </w:r>
          </w:p>
        </w:tc>
        <w:tc>
          <w:tcPr>
            <w:tcW w:w="3118" w:type="dxa"/>
          </w:tcPr>
          <w:p>
            <w:pPr>
              <w:pStyle w:val="yTable"/>
              <w:tabs>
                <w:tab w:val="right" w:pos="2835"/>
              </w:tabs>
              <w:spacing w:before="0"/>
            </w:pPr>
            <w:r>
              <w:tab/>
              <w:t>50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payout period</w:t>
            </w:r>
          </w:p>
        </w:tc>
        <w:tc>
          <w:tcPr>
            <w:tcW w:w="3118" w:type="dxa"/>
          </w:tcPr>
          <w:p>
            <w:pPr>
              <w:pStyle w:val="yTable"/>
              <w:tabs>
                <w:tab w:val="right" w:pos="2835"/>
              </w:tabs>
              <w:spacing w:before="0"/>
            </w:pPr>
            <w:r>
              <w:tab/>
              <w:t>12 months</w:t>
            </w:r>
          </w:p>
        </w:tc>
      </w:tr>
    </w:tbl>
    <w:p>
      <w:pPr>
        <w:pStyle w:val="yFootnotesection"/>
      </w:pPr>
      <w:r>
        <w:tab/>
        <w:t>[Schedule 1 amended in Gazette 21 Apr 2006 p. 1610; 29 Sep 2006 p. 4269-70; 6 Jun 2008 p. 2354; 6 Dec 2013 p. 5754.]</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20" w:name="_Toc377389116"/>
      <w:bookmarkStart w:id="121" w:name="_Toc380144023"/>
      <w:bookmarkStart w:id="122" w:name="_Toc421106086"/>
      <w:bookmarkStart w:id="123" w:name="_Toc421106123"/>
      <w:bookmarkStart w:id="124" w:name="_Toc463613023"/>
      <w:r>
        <w:t>Notes</w:t>
      </w:r>
      <w:bookmarkEnd w:id="120"/>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(Super 66) Rules 1996</w:t>
      </w:r>
      <w:r>
        <w:rPr>
          <w:snapToGrid w:val="0"/>
        </w:rPr>
        <w:t xml:space="preserve"> and includes the amendments made by the other written laws referred to in the following table.  The table also contains information about any reprint.</w:t>
      </w:r>
    </w:p>
    <w:p>
      <w:pPr>
        <w:pStyle w:val="nHeading3"/>
      </w:pPr>
      <w:bookmarkStart w:id="125" w:name="_Toc380144024"/>
      <w:bookmarkStart w:id="126" w:name="_Toc463613024"/>
      <w:bookmarkStart w:id="127" w:name="_Toc421106124"/>
      <w:r>
        <w:t>Compilation table</w:t>
      </w:r>
      <w:bookmarkEnd w:id="125"/>
      <w:bookmarkEnd w:id="126"/>
      <w:bookmarkEnd w:id="1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Lotteries Commission (Super 66) Rules 1996</w:t>
            </w:r>
          </w:p>
        </w:tc>
        <w:tc>
          <w:tcPr>
            <w:tcW w:w="1276" w:type="dxa"/>
          </w:tcPr>
          <w:p>
            <w:pPr>
              <w:pStyle w:val="nTable"/>
              <w:spacing w:after="40"/>
            </w:pPr>
            <w:r>
              <w:t>15 Nov 1996 p. 6509-28</w:t>
            </w:r>
          </w:p>
        </w:tc>
        <w:tc>
          <w:tcPr>
            <w:tcW w:w="2693" w:type="dxa"/>
          </w:tcPr>
          <w:p>
            <w:pPr>
              <w:pStyle w:val="nTable"/>
              <w:spacing w:after="40"/>
            </w:pPr>
            <w:r>
              <w:t>18 Nov 1996 (see r. 2)</w:t>
            </w:r>
          </w:p>
        </w:tc>
      </w:tr>
      <w:tr>
        <w:tc>
          <w:tcPr>
            <w:tcW w:w="3118" w:type="dxa"/>
          </w:tcPr>
          <w:p>
            <w:pPr>
              <w:pStyle w:val="nTable"/>
              <w:spacing w:after="40"/>
            </w:pPr>
            <w:r>
              <w:rPr>
                <w:i/>
              </w:rPr>
              <w:t>Lotteries Commission (Super 66) Amendment Rules 1997</w:t>
            </w:r>
          </w:p>
        </w:tc>
        <w:tc>
          <w:tcPr>
            <w:tcW w:w="1276" w:type="dxa"/>
          </w:tcPr>
          <w:p>
            <w:pPr>
              <w:pStyle w:val="nTable"/>
              <w:spacing w:after="40"/>
            </w:pPr>
            <w:r>
              <w:t>5 Dec 1997 p. 7131</w:t>
            </w:r>
          </w:p>
        </w:tc>
        <w:tc>
          <w:tcPr>
            <w:tcW w:w="2693" w:type="dxa"/>
          </w:tcPr>
          <w:p>
            <w:pPr>
              <w:pStyle w:val="nTable"/>
              <w:spacing w:after="40"/>
            </w:pPr>
            <w:r>
              <w:t>5 Dec 1997</w:t>
            </w:r>
          </w:p>
        </w:tc>
      </w:tr>
      <w:tr>
        <w:tc>
          <w:tcPr>
            <w:tcW w:w="3118" w:type="dxa"/>
          </w:tcPr>
          <w:p>
            <w:pPr>
              <w:pStyle w:val="nTable"/>
              <w:spacing w:after="40"/>
              <w:rPr>
                <w:i/>
              </w:rPr>
            </w:pPr>
            <w:r>
              <w:rPr>
                <w:i/>
              </w:rPr>
              <w:t>Lotteries Commission (Super 66) Amendment Rules 2001</w:t>
            </w:r>
          </w:p>
        </w:tc>
        <w:tc>
          <w:tcPr>
            <w:tcW w:w="1276" w:type="dxa"/>
          </w:tcPr>
          <w:p>
            <w:pPr>
              <w:pStyle w:val="nTable"/>
              <w:spacing w:after="40"/>
            </w:pPr>
            <w:r>
              <w:t>9 Mar 2001 p. 1329-31</w:t>
            </w:r>
          </w:p>
        </w:tc>
        <w:tc>
          <w:tcPr>
            <w:tcW w:w="2693" w:type="dxa"/>
          </w:tcPr>
          <w:p>
            <w:pPr>
              <w:pStyle w:val="nTable"/>
              <w:spacing w:after="40"/>
            </w:pPr>
            <w:r>
              <w:t>11 Mar 2001 (see r. 2)</w:t>
            </w:r>
          </w:p>
        </w:tc>
      </w:tr>
      <w:tr>
        <w:tc>
          <w:tcPr>
            <w:tcW w:w="3118" w:type="dxa"/>
          </w:tcPr>
          <w:p>
            <w:pPr>
              <w:pStyle w:val="nTable"/>
              <w:spacing w:after="40"/>
              <w:rPr>
                <w:i/>
              </w:rPr>
            </w:pPr>
            <w:r>
              <w:rPr>
                <w:i/>
              </w:rPr>
              <w:t>Lotteries Commission (Super 66) Amendment Rules 2002</w:t>
            </w:r>
          </w:p>
        </w:tc>
        <w:tc>
          <w:tcPr>
            <w:tcW w:w="1276" w:type="dxa"/>
          </w:tcPr>
          <w:p>
            <w:pPr>
              <w:pStyle w:val="nTable"/>
              <w:spacing w:after="40"/>
            </w:pPr>
            <w:r>
              <w:t>28 Mar 2002 p. 1766</w:t>
            </w:r>
          </w:p>
        </w:tc>
        <w:tc>
          <w:tcPr>
            <w:tcW w:w="2693" w:type="dxa"/>
          </w:tcPr>
          <w:p>
            <w:pPr>
              <w:pStyle w:val="nTable"/>
              <w:spacing w:after="40"/>
            </w:pPr>
            <w:r>
              <w:t>2 Apr 2002 (see r. 2)</w:t>
            </w:r>
          </w:p>
        </w:tc>
      </w:tr>
      <w:tr>
        <w:trPr>
          <w:cantSplit/>
        </w:trPr>
        <w:tc>
          <w:tcPr>
            <w:tcW w:w="7087" w:type="dxa"/>
            <w:gridSpan w:val="3"/>
          </w:tcPr>
          <w:p>
            <w:pPr>
              <w:pStyle w:val="nTable"/>
              <w:spacing w:after="40"/>
            </w:pPr>
            <w:r>
              <w:rPr>
                <w:b/>
              </w:rPr>
              <w:t>Reprint 1: The</w:t>
            </w:r>
            <w:r>
              <w:rPr>
                <w:b/>
                <w:i/>
              </w:rPr>
              <w:t xml:space="preserve"> Lotteries Commission (Super 66) Rules 1996 </w:t>
            </w:r>
            <w:r>
              <w:rPr>
                <w:b/>
              </w:rPr>
              <w:t>as at 4 Jul 2003</w:t>
            </w:r>
            <w:r>
              <w:br/>
              <w:t>(includes amendments listed above)</w:t>
            </w:r>
          </w:p>
        </w:tc>
      </w:tr>
      <w:tr>
        <w:tc>
          <w:tcPr>
            <w:tcW w:w="3118" w:type="dxa"/>
          </w:tcPr>
          <w:p>
            <w:pPr>
              <w:pStyle w:val="nTable"/>
              <w:spacing w:after="40"/>
              <w:rPr>
                <w:i/>
              </w:rPr>
            </w:pPr>
            <w:r>
              <w:rPr>
                <w:i/>
              </w:rPr>
              <w:t>Lotteries Commission (Super 66) Amendment Rules 2004</w:t>
            </w:r>
          </w:p>
        </w:tc>
        <w:tc>
          <w:tcPr>
            <w:tcW w:w="1276" w:type="dxa"/>
          </w:tcPr>
          <w:p>
            <w:pPr>
              <w:pStyle w:val="nTable"/>
              <w:spacing w:after="40"/>
            </w:pPr>
            <w:r>
              <w:t>16 Nov 2004 p. 5066-7</w:t>
            </w:r>
          </w:p>
        </w:tc>
        <w:tc>
          <w:tcPr>
            <w:tcW w:w="2693" w:type="dxa"/>
          </w:tcPr>
          <w:p>
            <w:pPr>
              <w:pStyle w:val="nTable"/>
              <w:spacing w:after="40"/>
            </w:pPr>
            <w:r>
              <w:t>16 Nov 2004 (see r. 2)</w:t>
            </w:r>
          </w:p>
        </w:tc>
      </w:tr>
      <w:tr>
        <w:tc>
          <w:tcPr>
            <w:tcW w:w="3118" w:type="dxa"/>
          </w:tcPr>
          <w:p>
            <w:pPr>
              <w:pStyle w:val="nTable"/>
              <w:spacing w:after="40"/>
              <w:rPr>
                <w:i/>
              </w:rPr>
            </w:pPr>
            <w:r>
              <w:rPr>
                <w:i/>
              </w:rPr>
              <w:t>Lotteries Commission (Super 66) Amendment Rules 2006</w:t>
            </w:r>
          </w:p>
        </w:tc>
        <w:tc>
          <w:tcPr>
            <w:tcW w:w="1276" w:type="dxa"/>
          </w:tcPr>
          <w:p>
            <w:pPr>
              <w:pStyle w:val="nTable"/>
              <w:spacing w:after="40"/>
            </w:pPr>
            <w:r>
              <w:t>21 Apr 2006 p. 1605-10</w:t>
            </w:r>
          </w:p>
        </w:tc>
        <w:tc>
          <w:tcPr>
            <w:tcW w:w="2693" w:type="dxa"/>
          </w:tcPr>
          <w:p>
            <w:pPr>
              <w:pStyle w:val="nTable"/>
              <w:spacing w:after="40"/>
            </w:pPr>
            <w:r>
              <w:t xml:space="preserve">27 Apr 2006 (see r. 2 and </w:t>
            </w:r>
            <w:r>
              <w:rPr>
                <w:i/>
              </w:rPr>
              <w:t>Gazette</w:t>
            </w:r>
            <w:r>
              <w:t xml:space="preserve"> 21 Apr 2006 p. 1617)</w:t>
            </w:r>
          </w:p>
        </w:tc>
      </w:tr>
      <w:tr>
        <w:tc>
          <w:tcPr>
            <w:tcW w:w="3118" w:type="dxa"/>
          </w:tcPr>
          <w:p>
            <w:pPr>
              <w:pStyle w:val="nTable"/>
              <w:spacing w:after="40"/>
              <w:rPr>
                <w:i/>
              </w:rPr>
            </w:pPr>
            <w:r>
              <w:rPr>
                <w:i/>
              </w:rPr>
              <w:t>Lotteries Commission (Super 66) Amendment Rules (No. 2) 2006</w:t>
            </w:r>
          </w:p>
        </w:tc>
        <w:tc>
          <w:tcPr>
            <w:tcW w:w="1276" w:type="dxa"/>
          </w:tcPr>
          <w:p>
            <w:pPr>
              <w:pStyle w:val="nTable"/>
              <w:spacing w:after="40"/>
            </w:pPr>
            <w:r>
              <w:t>29 Sep 2006 p. 4269-70</w:t>
            </w:r>
          </w:p>
        </w:tc>
        <w:tc>
          <w:tcPr>
            <w:tcW w:w="2693" w:type="dxa"/>
          </w:tcPr>
          <w:p>
            <w:pPr>
              <w:pStyle w:val="nTable"/>
              <w:spacing w:after="40"/>
            </w:pPr>
            <w:r>
              <w:t>29 Sep 2006</w:t>
            </w:r>
          </w:p>
        </w:tc>
      </w:tr>
      <w:tr>
        <w:tc>
          <w:tcPr>
            <w:tcW w:w="3118" w:type="dxa"/>
          </w:tcPr>
          <w:p>
            <w:pPr>
              <w:pStyle w:val="nTable"/>
              <w:spacing w:after="40"/>
            </w:pPr>
            <w:r>
              <w:rPr>
                <w:i/>
              </w:rPr>
              <w:t>Lotteries Commission (Super 66) Amendment Rules (No. 3) 2006</w:t>
            </w:r>
            <w:r>
              <w:t xml:space="preserve"> </w:t>
            </w:r>
          </w:p>
        </w:tc>
        <w:tc>
          <w:tcPr>
            <w:tcW w:w="1276" w:type="dxa"/>
          </w:tcPr>
          <w:p>
            <w:pPr>
              <w:pStyle w:val="nTable"/>
              <w:spacing w:after="40"/>
            </w:pPr>
            <w:r>
              <w:t>3 Nov 2006 p. 4661</w:t>
            </w:r>
          </w:p>
        </w:tc>
        <w:tc>
          <w:tcPr>
            <w:tcW w:w="2693" w:type="dxa"/>
          </w:tcPr>
          <w:p>
            <w:pPr>
              <w:pStyle w:val="nTable"/>
              <w:spacing w:after="40"/>
            </w:pPr>
            <w:r>
              <w:t>21 Jan 2007 (see r. 2)</w:t>
            </w:r>
          </w:p>
        </w:tc>
      </w:tr>
      <w:tr>
        <w:trPr>
          <w:cantSplit/>
        </w:trPr>
        <w:tc>
          <w:tcPr>
            <w:tcW w:w="7087" w:type="dxa"/>
            <w:gridSpan w:val="3"/>
          </w:tcPr>
          <w:p>
            <w:pPr>
              <w:pStyle w:val="nTable"/>
              <w:spacing w:after="40"/>
            </w:pPr>
            <w:r>
              <w:rPr>
                <w:b/>
              </w:rPr>
              <w:t>Reprint 2: The</w:t>
            </w:r>
            <w:r>
              <w:rPr>
                <w:b/>
                <w:i/>
              </w:rPr>
              <w:t xml:space="preserve"> Lotteries Commission (Super 66) Rules 1996 </w:t>
            </w:r>
            <w:r>
              <w:rPr>
                <w:b/>
              </w:rPr>
              <w:t>as at 9 Feb 2007</w:t>
            </w:r>
            <w:r>
              <w:br/>
              <w:t>(includes amendments listed above)</w:t>
            </w:r>
          </w:p>
        </w:tc>
      </w:tr>
      <w:tr>
        <w:tc>
          <w:tcPr>
            <w:tcW w:w="3118" w:type="dxa"/>
          </w:tcPr>
          <w:p>
            <w:pPr>
              <w:pStyle w:val="nTable"/>
              <w:spacing w:after="40"/>
            </w:pPr>
            <w:r>
              <w:rPr>
                <w:i/>
              </w:rPr>
              <w:t>Lotteries Commission (Super 66) Amendment Rules 2008</w:t>
            </w:r>
            <w:r>
              <w:t xml:space="preserve"> </w:t>
            </w:r>
          </w:p>
        </w:tc>
        <w:tc>
          <w:tcPr>
            <w:tcW w:w="1276" w:type="dxa"/>
          </w:tcPr>
          <w:p>
            <w:pPr>
              <w:pStyle w:val="nTable"/>
              <w:spacing w:after="40"/>
            </w:pPr>
            <w:r>
              <w:t>6 Jun 2008 p. 2347-54</w:t>
            </w:r>
          </w:p>
        </w:tc>
        <w:tc>
          <w:tcPr>
            <w:tcW w:w="2693" w:type="dxa"/>
          </w:tcPr>
          <w:p>
            <w:pPr>
              <w:pStyle w:val="nTable"/>
              <w:spacing w:after="40"/>
            </w:pPr>
            <w:r>
              <w:t>r. 1 and 2: 6 Jun 2008 (see r. 2(a));</w:t>
            </w:r>
            <w:r>
              <w:br/>
              <w:t>Rules other than r. 1 and 2: 8 Jun 2008 (see r. 2(b))</w:t>
            </w:r>
          </w:p>
        </w:tc>
      </w:tr>
      <w:tr>
        <w:tc>
          <w:tcPr>
            <w:tcW w:w="3118" w:type="dxa"/>
          </w:tcPr>
          <w:p>
            <w:pPr>
              <w:pStyle w:val="nTable"/>
              <w:spacing w:after="40"/>
              <w:rPr>
                <w:iCs/>
              </w:rPr>
            </w:pPr>
            <w:r>
              <w:rPr>
                <w:i/>
              </w:rPr>
              <w:t>Lotteries Commission Amendment Rules 2009</w:t>
            </w:r>
            <w:r>
              <w:rPr>
                <w:iCs/>
              </w:rPr>
              <w:t xml:space="preserve"> Pt. 2</w:t>
            </w:r>
          </w:p>
        </w:tc>
        <w:tc>
          <w:tcPr>
            <w:tcW w:w="1276" w:type="dxa"/>
          </w:tcPr>
          <w:p>
            <w:pPr>
              <w:pStyle w:val="nTable"/>
              <w:spacing w:after="40"/>
            </w:pPr>
            <w:r>
              <w:t>15 May 2009 p. 1632-5</w:t>
            </w:r>
          </w:p>
        </w:tc>
        <w:tc>
          <w:tcPr>
            <w:tcW w:w="2693" w:type="dxa"/>
          </w:tcPr>
          <w:p>
            <w:pPr>
              <w:pStyle w:val="nTable"/>
              <w:spacing w:after="40"/>
            </w:pPr>
            <w:r>
              <w:t>17 May 2009 (see r. 2(b))</w:t>
            </w:r>
          </w:p>
        </w:tc>
      </w:tr>
      <w:tr>
        <w:tc>
          <w:tcPr>
            <w:tcW w:w="3118" w:type="dxa"/>
          </w:tcPr>
          <w:p>
            <w:pPr>
              <w:pStyle w:val="nTable"/>
              <w:spacing w:after="40"/>
              <w:rPr>
                <w:i/>
              </w:rPr>
            </w:pPr>
            <w:r>
              <w:rPr>
                <w:i/>
              </w:rPr>
              <w:t>Lotteries Commission (Super 66) Amendment Rules 2010</w:t>
            </w:r>
          </w:p>
        </w:tc>
        <w:tc>
          <w:tcPr>
            <w:tcW w:w="1276" w:type="dxa"/>
          </w:tcPr>
          <w:p>
            <w:pPr>
              <w:pStyle w:val="nTable"/>
              <w:spacing w:after="40"/>
            </w:pPr>
            <w:r>
              <w:t>19 Nov 2010 p. 5732-4</w:t>
            </w:r>
          </w:p>
        </w:tc>
        <w:tc>
          <w:tcPr>
            <w:tcW w:w="2693" w:type="dxa"/>
          </w:tcPr>
          <w:p>
            <w:pPr>
              <w:pStyle w:val="nTable"/>
              <w:spacing w:after="40"/>
            </w:pPr>
            <w:r>
              <w:rPr>
                <w:snapToGrid w:val="0"/>
                <w:spacing w:val="-2"/>
              </w:rPr>
              <w:t>r. 1 and 2: 19 Nov 2010 (see r. 2(a));</w:t>
            </w:r>
            <w:r>
              <w:rPr>
                <w:snapToGrid w:val="0"/>
                <w:spacing w:val="-2"/>
              </w:rPr>
              <w:br/>
              <w:t>Rules other than r. 1 and 2: 20 Nov 2010 (see r. 2(b))</w:t>
            </w:r>
          </w:p>
        </w:tc>
      </w:tr>
      <w:tr>
        <w:tc>
          <w:tcPr>
            <w:tcW w:w="3118" w:type="dxa"/>
          </w:tcPr>
          <w:p>
            <w:pPr>
              <w:pStyle w:val="nTable"/>
              <w:keepNext/>
              <w:keepLines/>
              <w:spacing w:after="40"/>
              <w:rPr>
                <w:i/>
              </w:rPr>
            </w:pPr>
            <w:r>
              <w:rPr>
                <w:i/>
              </w:rPr>
              <w:t>Lotteries Commission (Super 66) Amendment Rules 2013</w:t>
            </w:r>
          </w:p>
        </w:tc>
        <w:tc>
          <w:tcPr>
            <w:tcW w:w="1276" w:type="dxa"/>
          </w:tcPr>
          <w:p>
            <w:pPr>
              <w:pStyle w:val="nTable"/>
              <w:keepNext/>
              <w:keepLines/>
              <w:spacing w:after="40"/>
            </w:pPr>
            <w:r>
              <w:t>6 Dec 2013 p. 5753-4</w:t>
            </w:r>
          </w:p>
        </w:tc>
        <w:tc>
          <w:tcPr>
            <w:tcW w:w="2693" w:type="dxa"/>
          </w:tcPr>
          <w:p>
            <w:pPr>
              <w:pStyle w:val="nTable"/>
              <w:keepNext/>
              <w:keepLines/>
              <w:spacing w:after="40"/>
              <w:rPr>
                <w:rFonts w:ascii="Arial" w:hAnsi="Arial"/>
                <w:b/>
                <w:snapToGrid w:val="0"/>
                <w:spacing w:val="-2"/>
              </w:rPr>
            </w:pPr>
            <w:r>
              <w:rPr>
                <w:snapToGrid w:val="0"/>
                <w:spacing w:val="-2"/>
              </w:rPr>
              <w:t>r. 1 and 2: 6 Dec 2013 (see r. 2(a));</w:t>
            </w:r>
            <w:r>
              <w:rPr>
                <w:snapToGrid w:val="0"/>
                <w:spacing w:val="-2"/>
              </w:rPr>
              <w:br/>
              <w:t>Rules other than r. 1 and 2: 7 Dec 2013 (see r. 2(b))</w:t>
            </w:r>
          </w:p>
        </w:tc>
      </w:tr>
      <w:tr>
        <w:trPr>
          <w:ins w:id="128" w:author="Master Repository Process" w:date="2021-08-29T03:22:00Z"/>
        </w:trPr>
        <w:tc>
          <w:tcPr>
            <w:tcW w:w="7087" w:type="dxa"/>
            <w:gridSpan w:val="3"/>
            <w:tcBorders>
              <w:bottom w:val="single" w:sz="4" w:space="0" w:color="auto"/>
            </w:tcBorders>
          </w:tcPr>
          <w:p>
            <w:pPr>
              <w:pStyle w:val="nTable"/>
              <w:keepNext/>
              <w:keepLines/>
              <w:spacing w:after="40"/>
              <w:rPr>
                <w:ins w:id="129" w:author="Master Repository Process" w:date="2021-08-29T03:22:00Z"/>
                <w:snapToGrid w:val="0"/>
                <w:spacing w:val="-2"/>
              </w:rPr>
            </w:pPr>
            <w:ins w:id="130" w:author="Master Repository Process" w:date="2021-08-29T03:22:00Z">
              <w:r>
                <w:rPr>
                  <w:b/>
                  <w:snapToGrid w:val="0"/>
                  <w:color w:val="FF0000"/>
                  <w:spacing w:val="-2"/>
                </w:rPr>
                <w:t xml:space="preserve">These rules were repealed by the </w:t>
              </w:r>
              <w:r>
                <w:rPr>
                  <w:b/>
                  <w:i/>
                  <w:snapToGrid w:val="0"/>
                  <w:color w:val="FF0000"/>
                  <w:spacing w:val="-2"/>
                </w:rPr>
                <w:t>Lotteries Commission (Authorised Lotteries) Rules 2016</w:t>
              </w:r>
              <w:r>
                <w:rPr>
                  <w:b/>
                  <w:snapToGrid w:val="0"/>
                  <w:color w:val="FF0000"/>
                  <w:spacing w:val="-2"/>
                </w:rPr>
                <w:t xml:space="preserve"> r. 146(i) as at 8 Oct 2016 (see r. 2(b))</w:t>
              </w:r>
            </w:ins>
          </w:p>
        </w:tc>
      </w:tr>
    </w:tbl>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9" w:name="Schedule"/>
    <w:bookmarkEnd w:id="1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A2A6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2DC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E851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14D7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3C74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832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624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9CAD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A2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2271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48E0FD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918"/>
    <w:docVar w:name="WAFER_20140113145532" w:val="RemoveTocBookmarks,RemoveUnusedBookmarks,RemoveLanguageTags,UsedStyles,ResetPageSize,UpdateArrangement"/>
    <w:docVar w:name="WAFER_20140113145532_GUID" w:val="03a86298-502e-44d5-985d-e3bc04156d13"/>
    <w:docVar w:name="WAFER_20140113145538" w:val="RemoveTocBookmarks,RunningHeaders"/>
    <w:docVar w:name="WAFER_20140113145538_GUID" w:val="a8916e58-9ec0-4425-8a2b-61031cfd1a22"/>
    <w:docVar w:name="WAFER_20140214120243" w:val="ResetStyles"/>
    <w:docVar w:name="WAFER_20140214120243_GUID" w:val="58d6dcf3-e147-4e54-99de-768d2d061bb1"/>
    <w:docVar w:name="WAFER_20150603143505" w:val="ResetPageSize,UpdateArrangement,UpdateNTable"/>
    <w:docVar w:name="WAFER_20150603143505_GUID" w:val="fb414e28-713c-4220-abf9-d29bb9e63b89"/>
    <w:docVar w:name="WAFER_20151106100640" w:val="UpdateStyles,UsedStyles"/>
    <w:docVar w:name="WAFER_20151106100640_GUID" w:val="587fba01-cfea-48ab-ac7f-187815f64418"/>
    <w:docVar w:name="WAFER_20151130164918" w:val="RemoveTrackChanges"/>
    <w:docVar w:name="WAFER_20151130164918_GUID" w:val="b8427727-4a7e-4c34-9f6c-ca115d2238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A0D6A2-A6B9-4539-AC6F-80CC2135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5202</Words>
  <Characters>23307</Characters>
  <Application>Microsoft Office Word</Application>
  <DocSecurity>0</DocSecurity>
  <Lines>706</Lines>
  <Paragraphs>401</Paragraphs>
  <ScaleCrop>false</ScaleCrop>
  <HeadingPairs>
    <vt:vector size="2" baseType="variant">
      <vt:variant>
        <vt:lpstr>Title</vt:lpstr>
      </vt:variant>
      <vt:variant>
        <vt:i4>1</vt:i4>
      </vt:variant>
    </vt:vector>
  </HeadingPairs>
  <TitlesOfParts>
    <vt:vector size="1" baseType="lpstr">
      <vt:lpstr>Lotteries Commission (Super 66) Rules 1996</vt:lpstr>
    </vt:vector>
  </TitlesOfParts>
  <Manager/>
  <Company/>
  <LinksUpToDate>false</LinksUpToDate>
  <CharactersWithSpaces>28108</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(Super 66) Rules 1996 02-e0-05 - 02-f0-00</dc:title>
  <dc:subject/>
  <dc:creator/>
  <cp:keywords/>
  <dc:description/>
  <cp:lastModifiedBy>Master Repository Process</cp:lastModifiedBy>
  <cp:revision>2</cp:revision>
  <cp:lastPrinted>2007-02-05T04:52:00Z</cp:lastPrinted>
  <dcterms:created xsi:type="dcterms:W3CDTF">2021-08-28T19:22:00Z</dcterms:created>
  <dcterms:modified xsi:type="dcterms:W3CDTF">2021-08-28T19:22:00Z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pp.6509-28</vt:lpwstr>
  </property>
  <property fmtid="{D5CDD505-2E9C-101B-9397-08002B2CF9AE}" pid="3" name="DocumentType">
    <vt:lpwstr>Reg</vt:lpwstr>
  </property>
  <property fmtid="{D5CDD505-2E9C-101B-9397-08002B2CF9AE}" pid="4" name="OwlsUID">
    <vt:i4>4609</vt:i4>
  </property>
  <property fmtid="{D5CDD505-2E9C-101B-9397-08002B2CF9AE}" pid="5" name="ReprintNo">
    <vt:lpwstr>2</vt:lpwstr>
  </property>
  <property fmtid="{D5CDD505-2E9C-101B-9397-08002B2CF9AE}" pid="6" name="Status">
    <vt:lpwstr>NIF</vt:lpwstr>
  </property>
  <property fmtid="{D5CDD505-2E9C-101B-9397-08002B2CF9AE}" pid="7" name="CommencementDate">
    <vt:lpwstr>20161008</vt:lpwstr>
  </property>
  <property fmtid="{D5CDD505-2E9C-101B-9397-08002B2CF9AE}" pid="8" name="FromSuffix">
    <vt:lpwstr>02-e0-05</vt:lpwstr>
  </property>
  <property fmtid="{D5CDD505-2E9C-101B-9397-08002B2CF9AE}" pid="9" name="FromAsAtDate">
    <vt:lpwstr>07 Dec 2013</vt:lpwstr>
  </property>
  <property fmtid="{D5CDD505-2E9C-101B-9397-08002B2CF9AE}" pid="10" name="ToSuffix">
    <vt:lpwstr>02-f0-00</vt:lpwstr>
  </property>
  <property fmtid="{D5CDD505-2E9C-101B-9397-08002B2CF9AE}" pid="11" name="ToAsAtDate">
    <vt:lpwstr>08 Oct 2016</vt:lpwstr>
  </property>
</Properties>
</file>