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14-h0-04</w:t>
      </w:r>
      <w:r>
        <w:fldChar w:fldCharType="end"/>
      </w:r>
      <w:r>
        <w:t>] and [</w:t>
      </w:r>
      <w:r>
        <w:fldChar w:fldCharType="begin"/>
      </w:r>
      <w:r>
        <w:instrText xml:space="preserve"> DocProperty ToAsAtDate</w:instrText>
      </w:r>
      <w:r>
        <w:fldChar w:fldCharType="separate"/>
      </w:r>
      <w:r>
        <w:t>02 Jan 2017</w:t>
      </w:r>
      <w:r>
        <w:fldChar w:fldCharType="end"/>
      </w:r>
      <w:r>
        <w:t xml:space="preserve">, </w:t>
      </w:r>
      <w:r>
        <w:fldChar w:fldCharType="begin"/>
      </w:r>
      <w:r>
        <w:instrText xml:space="preserve"> DocProperty ToSuffix</w:instrText>
      </w:r>
      <w:r>
        <w:fldChar w:fldCharType="separate"/>
      </w:r>
      <w:r>
        <w:t>14-i0-01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600" w:after="1400"/>
      </w:pPr>
      <w:r>
        <w:t>Industrial Relations Act 1979</w:t>
      </w:r>
    </w:p>
    <w:p>
      <w:pPr>
        <w:pStyle w:val="LongTitle"/>
        <w:rPr>
          <w:snapToGrid w:val="0"/>
        </w:rPr>
      </w:pPr>
      <w:r>
        <w:rPr>
          <w:snapToGrid w:val="0"/>
        </w:rPr>
        <w:t>A</w:t>
      </w:r>
      <w:bookmarkStart w:id="1" w:name="_GoBack"/>
      <w:bookmarkEnd w:id="1"/>
      <w:r>
        <w:rPr>
          <w:snapToGrid w:val="0"/>
        </w:rPr>
        <w:t>n Act to consolidate and amend the law relating to the prevention and resolution of conflict in respect of industrial matters, the mutual rights and duties of employers and employees, the rights and duties of organisations of employers and employees, and for related purposes.</w:t>
      </w:r>
    </w:p>
    <w:p>
      <w:pPr>
        <w:pStyle w:val="Heading2"/>
      </w:pPr>
      <w:bookmarkStart w:id="2" w:name="_Toc471911880"/>
      <w:bookmarkStart w:id="3" w:name="_Toc391894619"/>
      <w:bookmarkStart w:id="4" w:name="_Toc419713204"/>
      <w:bookmarkStart w:id="5" w:name="_Toc435102848"/>
      <w:bookmarkStart w:id="6" w:name="_Toc452556278"/>
      <w:bookmarkStart w:id="7" w:name="_Toc455413858"/>
      <w:bookmarkStart w:id="8" w:name="_Toc462415288"/>
      <w:bookmarkStart w:id="9" w:name="_Toc462742199"/>
      <w:bookmarkStart w:id="10" w:name="_Toc465085853"/>
      <w:bookmarkStart w:id="11" w:name="_Toc468179091"/>
      <w:r>
        <w:rPr>
          <w:rStyle w:val="CharPartNo"/>
        </w:rPr>
        <w:lastRenderedPageBreak/>
        <w:t>Part I</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bookmarkEnd w:id="9"/>
      <w:bookmarkEnd w:id="10"/>
      <w:bookmarkEnd w:id="11"/>
    </w:p>
    <w:p>
      <w:pPr>
        <w:pStyle w:val="Heading5"/>
        <w:spacing w:before="180"/>
        <w:rPr>
          <w:snapToGrid w:val="0"/>
        </w:rPr>
      </w:pPr>
      <w:bookmarkStart w:id="12" w:name="_Toc471911881"/>
      <w:bookmarkStart w:id="13" w:name="_Toc391894620"/>
      <w:bookmarkStart w:id="14" w:name="_Toc468179092"/>
      <w:r>
        <w:rPr>
          <w:rStyle w:val="CharSectno"/>
        </w:rPr>
        <w:t>1</w:t>
      </w:r>
      <w:r>
        <w:rPr>
          <w:snapToGrid w:val="0"/>
        </w:rPr>
        <w:t>.</w:t>
      </w:r>
      <w:r>
        <w:rPr>
          <w:snapToGrid w:val="0"/>
        </w:rPr>
        <w:tab/>
        <w:t>Short title</w:t>
      </w:r>
      <w:bookmarkEnd w:id="12"/>
      <w:bookmarkEnd w:id="13"/>
      <w:bookmarkEnd w:id="14"/>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[Section 1 amended by No. 94 of 1984 s. 4.]</w:t>
      </w:r>
    </w:p>
    <w:p>
      <w:pPr>
        <w:pStyle w:val="Heading5"/>
        <w:spacing w:before="180"/>
        <w:rPr>
          <w:snapToGrid w:val="0"/>
        </w:rPr>
      </w:pPr>
      <w:bookmarkStart w:id="15" w:name="_Toc471911882"/>
      <w:bookmarkStart w:id="16" w:name="_Toc391894621"/>
      <w:bookmarkStart w:id="17" w:name="_Toc468179093"/>
      <w:r>
        <w:rPr>
          <w:rStyle w:val="CharSectno"/>
        </w:rPr>
        <w:t>2</w:t>
      </w:r>
      <w:r>
        <w:rPr>
          <w:snapToGrid w:val="0"/>
        </w:rPr>
        <w:t>.</w:t>
      </w:r>
      <w:r>
        <w:rPr>
          <w:snapToGrid w:val="0"/>
        </w:rPr>
        <w:tab/>
        <w:t>Commencement</w:t>
      </w:r>
      <w:bookmarkEnd w:id="15"/>
      <w:bookmarkEnd w:id="16"/>
      <w:bookmarkEnd w:id="17"/>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18" w:name="_Toc471911883"/>
      <w:bookmarkStart w:id="19" w:name="_Toc391894622"/>
      <w:bookmarkStart w:id="20" w:name="_Toc468179094"/>
      <w:r>
        <w:rPr>
          <w:rStyle w:val="CharSectno"/>
        </w:rPr>
        <w:t>3</w:t>
      </w:r>
      <w:r>
        <w:rPr>
          <w:snapToGrid w:val="0"/>
        </w:rPr>
        <w:t>.</w:t>
      </w:r>
      <w:r>
        <w:rPr>
          <w:snapToGrid w:val="0"/>
        </w:rPr>
        <w:tab/>
        <w:t>Application of Act off</w:t>
      </w:r>
      <w:r>
        <w:rPr>
          <w:snapToGrid w:val="0"/>
        </w:rPr>
        <w:noBreakHyphen/>
        <w:t>shore</w:t>
      </w:r>
      <w:bookmarkEnd w:id="18"/>
      <w:bookmarkEnd w:id="19"/>
      <w:bookmarkEnd w:id="20"/>
    </w:p>
    <w:p>
      <w:pPr>
        <w:pStyle w:val="Subsection"/>
        <w:spacing w:before="120"/>
        <w:rPr>
          <w:snapToGrid w:val="0"/>
        </w:rPr>
      </w:pPr>
      <w:r>
        <w:rPr>
          <w:snapToGrid w:val="0"/>
        </w:rPr>
        <w:tab/>
        <w:t>(1)</w:t>
      </w:r>
      <w:r>
        <w:rPr>
          <w:snapToGrid w:val="0"/>
        </w:rPr>
        <w:tab/>
        <w:t>Subject to subsections (5) and (6) where any industry is carried on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 or</w:t>
      </w:r>
    </w:p>
    <w:p>
      <w:pPr>
        <w:pStyle w:val="Indenti"/>
        <w:spacing w:before="60"/>
        <w:rPr>
          <w:snapToGrid w:val="0"/>
        </w:rPr>
      </w:pPr>
      <w:r>
        <w:rPr>
          <w:snapToGrid w:val="0"/>
        </w:rPr>
        <w:tab/>
        <w:t>(ii)</w:t>
      </w:r>
      <w:r>
        <w:rPr>
          <w:snapToGrid w:val="0"/>
        </w:rPr>
        <w:tab/>
        <w:t>the employer concerned is connected with the State; or</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 or</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 or</w:t>
      </w:r>
    </w:p>
    <w:p>
      <w:pPr>
        <w:pStyle w:val="Indenti"/>
        <w:spacing w:before="60"/>
        <w:rPr>
          <w:snapToGrid w:val="0"/>
        </w:rPr>
      </w:pPr>
      <w:r>
        <w:rPr>
          <w:snapToGrid w:val="0"/>
        </w:rPr>
        <w:lastRenderedPageBreak/>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being a body corporate,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[Section 3 amended by No. 10 of 1982 s. 28; No. 10 of 2001 s. 111.]</w:t>
      </w:r>
    </w:p>
    <w:p>
      <w:pPr>
        <w:pStyle w:val="Heading5"/>
        <w:rPr>
          <w:snapToGrid w:val="0"/>
        </w:rPr>
      </w:pPr>
      <w:bookmarkStart w:id="21" w:name="_Toc471911884"/>
      <w:bookmarkStart w:id="22" w:name="_Toc391894623"/>
      <w:bookmarkStart w:id="23" w:name="_Toc468179095"/>
      <w:r>
        <w:rPr>
          <w:rStyle w:val="CharSectno"/>
        </w:rPr>
        <w:t>4</w:t>
      </w:r>
      <w:r>
        <w:rPr>
          <w:snapToGrid w:val="0"/>
        </w:rPr>
        <w:t>.</w:t>
      </w:r>
      <w:r>
        <w:rPr>
          <w:snapToGrid w:val="0"/>
        </w:rPr>
        <w:tab/>
        <w:t>Repeal</w:t>
      </w:r>
      <w:bookmarkEnd w:id="21"/>
      <w:bookmarkEnd w:id="22"/>
      <w:bookmarkEnd w:id="23"/>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Deleted by No. 79 of 1995 s. 66(2).]</w:t>
      </w:r>
    </w:p>
    <w:p>
      <w:pPr>
        <w:pStyle w:val="Heading5"/>
        <w:rPr>
          <w:snapToGrid w:val="0"/>
        </w:rPr>
      </w:pPr>
      <w:bookmarkStart w:id="24" w:name="_Toc471911885"/>
      <w:bookmarkStart w:id="25" w:name="_Toc391894624"/>
      <w:bookmarkStart w:id="26" w:name="_Toc468179096"/>
      <w:r>
        <w:rPr>
          <w:rStyle w:val="CharSectno"/>
        </w:rPr>
        <w:t>6</w:t>
      </w:r>
      <w:r>
        <w:rPr>
          <w:snapToGrid w:val="0"/>
        </w:rPr>
        <w:t>.</w:t>
      </w:r>
      <w:r>
        <w:rPr>
          <w:snapToGrid w:val="0"/>
        </w:rPr>
        <w:tab/>
        <w:t>Objects of Act</w:t>
      </w:r>
      <w:bookmarkEnd w:id="24"/>
      <w:bookmarkEnd w:id="25"/>
      <w:bookmarkEnd w:id="26"/>
    </w:p>
    <w:p>
      <w:pPr>
        <w:pStyle w:val="Subsection"/>
        <w:rPr>
          <w:snapToGrid w:val="0"/>
        </w:rPr>
      </w:pPr>
      <w:r>
        <w:rPr>
          <w:snapToGrid w:val="0"/>
        </w:rPr>
        <w:tab/>
      </w:r>
      <w:r>
        <w:rPr>
          <w:snapToGrid w:val="0"/>
        </w:rPr>
        <w:tab/>
        <w:t>The principal objects of this Act are —</w:t>
      </w:r>
    </w:p>
    <w:p>
      <w:pPr>
        <w:pStyle w:val="Indenta"/>
        <w:spacing w:before="70"/>
        <w:rPr>
          <w:snapToGrid w:val="0"/>
        </w:rPr>
      </w:pPr>
      <w:r>
        <w:rPr>
          <w:snapToGrid w:val="0"/>
        </w:rPr>
        <w:tab/>
        <w:t>(a)</w:t>
      </w:r>
      <w:r>
        <w:rPr>
          <w:snapToGrid w:val="0"/>
        </w:rPr>
        <w:tab/>
        <w:t>to promote goodwill in industry</w:t>
      </w:r>
      <w:r>
        <w:t xml:space="preserve"> and in enterprises within industry</w:t>
      </w:r>
      <w:r>
        <w:rPr>
          <w:snapToGrid w:val="0"/>
        </w:rPr>
        <w:t>; and</w:t>
      </w:r>
    </w:p>
    <w:p>
      <w:pPr>
        <w:pStyle w:val="Indenta"/>
        <w:spacing w:before="70"/>
      </w:pPr>
      <w:r>
        <w:tab/>
        <w:t>(aa)</w:t>
      </w:r>
      <w:r>
        <w:tab/>
        <w:t>to provide for rights and obligations in relation to good faith bargaining; and</w:t>
      </w:r>
    </w:p>
    <w:p>
      <w:pPr>
        <w:pStyle w:val="Indenta"/>
        <w:spacing w:before="70"/>
      </w:pPr>
      <w:r>
        <w:tab/>
        <w:t>(ab)</w:t>
      </w:r>
      <w:r>
        <w:tab/>
        <w:t>to promote the principles of freedom of association and the right to organise; and</w:t>
      </w:r>
    </w:p>
    <w:p>
      <w:pPr>
        <w:pStyle w:val="Indenta"/>
        <w:spacing w:before="70"/>
      </w:pPr>
      <w:r>
        <w:tab/>
        <w:t>(ac)</w:t>
      </w:r>
      <w:r>
        <w:tab/>
        <w:t>to promote equal remuneration for men and women for work of equal value; and</w:t>
      </w:r>
    </w:p>
    <w:p>
      <w:pPr>
        <w:pStyle w:val="Indenta"/>
        <w:spacing w:before="70"/>
      </w:pPr>
      <w:r>
        <w:tab/>
        <w:t>(ad)</w:t>
      </w:r>
      <w:r>
        <w:tab/>
        <w:t>to promote collective bargaining and to establish the primacy of collective agreements over individual agreements; and</w:t>
      </w:r>
    </w:p>
    <w:p>
      <w:pPr>
        <w:pStyle w:val="Indenta"/>
        <w:spacing w:before="70"/>
      </w:pPr>
      <w:r>
        <w:tab/>
        <w:t>(ae)</w:t>
      </w:r>
      <w:r>
        <w:tab/>
        <w:t>to ensure all agreements registered under this Act provide for fair terms and conditions of employment; and</w:t>
      </w:r>
    </w:p>
    <w:p>
      <w:pPr>
        <w:pStyle w:val="Indenta"/>
        <w:spacing w:before="70"/>
      </w:pPr>
      <w:r>
        <w:tab/>
        <w:t>(af)</w:t>
      </w:r>
      <w:r>
        <w:tab/>
        <w:t>to facilitate the efficient organisation and performance of work according to the needs of an industry and enterprises within it, balanced with fairness to the employees in the industry and enterprises; and</w:t>
      </w:r>
    </w:p>
    <w:p>
      <w:pPr>
        <w:pStyle w:val="Indenta"/>
        <w:spacing w:before="70"/>
      </w:pPr>
      <w:r>
        <w:tab/>
        <w:t>(ag)</w:t>
      </w:r>
      <w:r>
        <w:tab/>
        <w:t>to encourage employers, employees and organisations to reach agreements appropriate to the needs of enterprises within industry and the employees in those enterprises; and</w:t>
      </w:r>
    </w:p>
    <w:p>
      <w:pPr>
        <w:pStyle w:val="Indenta"/>
        <w:spacing w:before="70"/>
        <w:rPr>
          <w:snapToGrid w:val="0"/>
        </w:rPr>
      </w:pPr>
      <w:r>
        <w:rPr>
          <w:snapToGrid w:val="0"/>
        </w:rPr>
        <w:tab/>
        <w:t>(b)</w:t>
      </w:r>
      <w:r>
        <w:rPr>
          <w:snapToGrid w:val="0"/>
        </w:rPr>
        <w:tab/>
        <w:t>to encourage, and provide means for, conciliation with a view to amicable agreement, thereby preventing and settling industrial disputes; and</w:t>
      </w:r>
    </w:p>
    <w:p>
      <w:pPr>
        <w:pStyle w:val="Indenta"/>
        <w:spacing w:before="70"/>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 and</w:t>
      </w:r>
    </w:p>
    <w:p>
      <w:pPr>
        <w:pStyle w:val="Indenta"/>
        <w:rPr>
          <w:snapToGrid w:val="0"/>
        </w:rPr>
      </w:pPr>
      <w:r>
        <w:tab/>
        <w:t>(ca)</w:t>
      </w:r>
      <w:r>
        <w:tab/>
        <w:t>to provide a system of fair wages and conditions of employment; and</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 and</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 and</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[Section 6 inserted by No. 94 of 1984 s. 5; amended by No. 20 of 2002 s. 114 and 127.]</w:t>
      </w:r>
    </w:p>
    <w:p>
      <w:pPr>
        <w:pStyle w:val="Heading5"/>
        <w:rPr>
          <w:snapToGrid w:val="0"/>
        </w:rPr>
      </w:pPr>
      <w:bookmarkStart w:id="27" w:name="_Toc471911886"/>
      <w:bookmarkStart w:id="28" w:name="_Toc391894625"/>
      <w:bookmarkStart w:id="29" w:name="_Toc468179097"/>
      <w:r>
        <w:rPr>
          <w:rStyle w:val="CharSectno"/>
        </w:rPr>
        <w:t>7</w:t>
      </w:r>
      <w:r>
        <w:rPr>
          <w:snapToGrid w:val="0"/>
        </w:rPr>
        <w:t>.</w:t>
      </w:r>
      <w:r>
        <w:rPr>
          <w:snapToGrid w:val="0"/>
        </w:rPr>
        <w:tab/>
        <w:t>Terms used</w:t>
      </w:r>
      <w:bookmarkEnd w:id="27"/>
      <w:bookmarkEnd w:id="28"/>
      <w:bookmarkEnd w:id="2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rPr>
          <w:vertAlign w:val="superscript"/>
        </w:rPr>
        <w:t> 4</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departmental officer</w:t>
      </w:r>
      <w:r>
        <w:t xml:space="preserve"> means a person employed in the Department as referred to in section 99C(2);</w:t>
      </w:r>
    </w:p>
    <w:p>
      <w:pPr>
        <w:pStyle w:val="Defstart"/>
      </w:pPr>
      <w:r>
        <w:tab/>
      </w:r>
      <w:r>
        <w:rPr>
          <w:rStyle w:val="CharDefText"/>
        </w:rPr>
        <w:t>deputy registrar</w:t>
      </w:r>
      <w:r>
        <w:t xml:space="preserve"> means a person designated as a deputy registrar under this Act;</w:t>
      </w:r>
    </w:p>
    <w:p>
      <w:pPr>
        <w:pStyle w:val="Defstart"/>
      </w:pPr>
      <w:r>
        <w:rPr>
          <w:b/>
        </w:rPr>
        <w:tab/>
      </w:r>
      <w:r>
        <w:rPr>
          <w:rStyle w:val="CharDefText"/>
        </w:rPr>
        <w:t>employee</w:t>
      </w:r>
      <w:r>
        <w:t xml:space="preserve"> means —</w:t>
      </w:r>
    </w:p>
    <w:p>
      <w:pPr>
        <w:pStyle w:val="Defpara"/>
      </w:pPr>
      <w:r>
        <w:tab/>
        <w:t>(a)</w:t>
      </w:r>
      <w:r>
        <w:tab/>
        <w:t>any person employed by an employer to do work for hire or reward including an apprentice; or</w:t>
      </w:r>
    </w:p>
    <w:p>
      <w:pPr>
        <w:pStyle w:val="Defpara"/>
      </w:pPr>
      <w:r>
        <w:tab/>
        <w:t>(b)</w:t>
      </w:r>
      <w:r>
        <w:tab/>
        <w:t>any person whose usual status is that of an employee; or</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keepNext/>
      </w:pPr>
      <w:r>
        <w:rPr>
          <w:b/>
        </w:rPr>
        <w:tab/>
      </w:r>
      <w:r>
        <w:rPr>
          <w:rStyle w:val="CharDefText"/>
        </w:rPr>
        <w:t>employer</w:t>
      </w:r>
      <w:r>
        <w:t xml:space="preserve"> includes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spacing w:before="90"/>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spacing w:before="90"/>
      </w:pPr>
      <w:r>
        <w:tab/>
      </w:r>
      <w:r>
        <w:rPr>
          <w:rStyle w:val="CharDefText"/>
        </w:rPr>
        <w:t>employment record</w:t>
      </w:r>
      <w:r>
        <w:t xml:space="preserve"> means a record kept under section 49D;</w:t>
      </w:r>
    </w:p>
    <w:p>
      <w:pPr>
        <w:pStyle w:val="Defstart"/>
        <w:spacing w:before="90"/>
      </w:pPr>
      <w:r>
        <w:tab/>
      </w:r>
      <w:r>
        <w:rPr>
          <w:rStyle w:val="CharDefText"/>
        </w:rPr>
        <w:t>enterprise order</w:t>
      </w:r>
      <w:r>
        <w:t xml:space="preserve"> has the meaning given by section 42I(1);</w:t>
      </w:r>
    </w:p>
    <w:p>
      <w:pPr>
        <w:pStyle w:val="Defstart"/>
        <w:spacing w:before="90"/>
      </w:pPr>
      <w:r>
        <w:tab/>
      </w:r>
      <w:r>
        <w:rPr>
          <w:rStyle w:val="CharDefText"/>
        </w:rPr>
        <w:t>Fair Work Australia</w:t>
      </w:r>
      <w:r>
        <w:t xml:space="preserve"> means the body established by the </w:t>
      </w:r>
      <w:r>
        <w:rPr>
          <w:i/>
        </w:rPr>
        <w:t>Fair Work Act 2009</w:t>
      </w:r>
      <w:r>
        <w:t xml:space="preserve"> (Commonwealth) section 575;</w:t>
      </w:r>
    </w:p>
    <w:p>
      <w:pPr>
        <w:pStyle w:val="Defstart"/>
        <w:spacing w:before="90"/>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spacing w:before="90"/>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spacing w:before="90"/>
      </w:pPr>
      <w:r>
        <w:rPr>
          <w:b/>
        </w:rPr>
        <w:tab/>
      </w:r>
      <w:r>
        <w:rPr>
          <w:rStyle w:val="CharDefText"/>
        </w:rPr>
        <w:t>Full Bench</w:t>
      </w:r>
      <w:r>
        <w:t xml:space="preserve"> means the Commission constituted as provided by section 15(1);</w:t>
      </w:r>
    </w:p>
    <w:p>
      <w:pPr>
        <w:pStyle w:val="Defstart"/>
        <w:spacing w:before="90"/>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keepNext/>
        <w:keepLines/>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a person designated as an industrial inspector under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any matter relating to the collection of subscriptions to an organisation of employees with the agreement of the employee from whom the subscriptions are collected including —</w:t>
      </w:r>
    </w:p>
    <w:p>
      <w:pPr>
        <w:pStyle w:val="Defsubpara"/>
      </w:pPr>
      <w:r>
        <w:tab/>
        <w:t>(i)</w:t>
      </w:r>
      <w:r>
        <w:tab/>
        <w:t>the restoration of a practice of collecting subscriptions to an organisation of employees where that practice has been stopped by an employer; or</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right" w:pos="1320"/>
        </w:tabs>
      </w:pPr>
      <w:r>
        <w:tab/>
        <w:t>[(h)</w:t>
      </w:r>
      <w:r>
        <w:tab/>
        <w:t>deleted]</w:t>
      </w:r>
    </w:p>
    <w:p>
      <w:pPr>
        <w:pStyle w:val="Defpara"/>
      </w:pPr>
      <w:r>
        <w:tab/>
        <w:t>(i)</w:t>
      </w:r>
      <w:r>
        <w:tab/>
        <w:t>any matter, whether falling within the preceding part of this interpretation or not, where —</w:t>
      </w:r>
    </w:p>
    <w:p>
      <w:pPr>
        <w:pStyle w:val="Defsubpara"/>
        <w:keepLines w:val="0"/>
        <w:spacing w:before="60"/>
      </w:pPr>
      <w:r>
        <w:tab/>
        <w:t>(i)</w:t>
      </w:r>
      <w:r>
        <w:tab/>
        <w:t>an organisation of employees and an employer agree that it is desirable for the matter to be dealt with as if it were an industrial matter; and</w:t>
      </w:r>
    </w:p>
    <w:p>
      <w:pPr>
        <w:pStyle w:val="Defsubpara"/>
        <w:keepLines w:val="0"/>
      </w:pPr>
      <w:r>
        <w:tab/>
        <w:t>(ii)</w:t>
      </w:r>
      <w: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w:t>
      </w:r>
    </w:p>
    <w:p>
      <w:pPr>
        <w:pStyle w:val="Defpara"/>
      </w:pPr>
      <w:r>
        <w:tab/>
        <w:t>(j)</w:t>
      </w:r>
      <w:r>
        <w:tab/>
        <w:t>compulsion to join an organisation of employees to obtain or hold employment; or</w:t>
      </w:r>
    </w:p>
    <w:p>
      <w:pPr>
        <w:pStyle w:val="Defpara"/>
      </w:pPr>
      <w:r>
        <w:tab/>
        <w:t>(k)</w:t>
      </w:r>
      <w:r>
        <w:tab/>
        <w:t>preference of employment at the time of, or during, employment by reason of being or not being a member of an organisation of employees; or</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w:t>
      </w:r>
    </w:p>
    <w:p>
      <w:pPr>
        <w:pStyle w:val="Defpara"/>
      </w:pPr>
      <w:r>
        <w:tab/>
        <w:t>(d)</w:t>
      </w:r>
      <w:r>
        <w:tab/>
        <w:t>a branch of an industry or a group of industries;</w:t>
      </w:r>
    </w:p>
    <w:p>
      <w:pPr>
        <w:pStyle w:val="Defstart"/>
        <w:keepLines/>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w:t>
      </w:r>
    </w:p>
    <w:p>
      <w:pPr>
        <w:pStyle w:val="Defpara"/>
      </w:pPr>
      <w:r>
        <w:tab/>
        <w:t>(a)</w:t>
      </w:r>
      <w:r>
        <w:tab/>
        <w:t>the office of a member of the committee of management of the organisation; and</w:t>
      </w:r>
    </w:p>
    <w:p>
      <w:pPr>
        <w:pStyle w:val="Defpara"/>
      </w:pPr>
      <w:r>
        <w:tab/>
        <w:t>(b)</w:t>
      </w:r>
      <w:r>
        <w:tab/>
        <w:t>the office of president, vice president, secretary, assistant secretary, or other executive office by whatever name called of the organisation; and</w:t>
      </w:r>
    </w:p>
    <w:p>
      <w:pPr>
        <w:pStyle w:val="Defpara"/>
      </w:pPr>
      <w:r>
        <w:tab/>
        <w:t>(c)</w:t>
      </w:r>
      <w:r>
        <w:tab/>
        <w:t>the office of a person holding, whether as trustee or otherwise, property of the organisation, or property in which the organisation has any beneficial interest; and</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pPr>
      <w:r>
        <w:tab/>
      </w:r>
      <w:r>
        <w:rPr>
          <w:rStyle w:val="CharDefText"/>
        </w:rPr>
        <w:t>officer of the Commission</w:t>
      </w:r>
      <w:r>
        <w:t xml:space="preserve"> means —</w:t>
      </w:r>
    </w:p>
    <w:p>
      <w:pPr>
        <w:pStyle w:val="Defpara"/>
      </w:pPr>
      <w:r>
        <w:tab/>
        <w:t>(a)</w:t>
      </w:r>
      <w:r>
        <w:tab/>
        <w:t>the Registrar, a deputy registrar or any other Registrar’s Department officer assisting the Commission in the performance of its functions; or</w:t>
      </w:r>
    </w:p>
    <w:p>
      <w:pPr>
        <w:pStyle w:val="Defpara"/>
      </w:pPr>
      <w:r>
        <w:tab/>
        <w:t>(b)</w:t>
      </w:r>
      <w:r>
        <w:tab/>
        <w:t>an officer appointed under section 93(1a);</w:t>
      </w:r>
    </w:p>
    <w:p>
      <w:pPr>
        <w:pStyle w:val="Defstart"/>
      </w:pPr>
      <w:r>
        <w:tab/>
      </w:r>
      <w:r>
        <w:rPr>
          <w:rStyle w:val="CharDefText"/>
        </w:rPr>
        <w:t>officer of the Court</w:t>
      </w:r>
      <w:r>
        <w:t xml:space="preserve"> means the clerk of the Court or any other Registrar’s Department officer assisting the Court in the performance of its functions;</w:t>
      </w:r>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 xml:space="preserve">Curtin University </w:t>
      </w:r>
      <w:del w:id="30" w:author="svcMRProcess" w:date="2018-09-03T19:30:00Z">
        <w:r>
          <w:rPr>
            <w:i/>
          </w:rPr>
          <w:delText xml:space="preserve">of Technology </w:delText>
        </w:r>
      </w:del>
      <w:r>
        <w:rPr>
          <w:i/>
        </w:rPr>
        <w:t>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szCs w:val="24"/>
        </w:rPr>
        <w:t>Health Services Act 2016</w:t>
      </w:r>
      <w:r>
        <w:rPr>
          <w:szCs w:val="24"/>
        </w:rPr>
        <w:t xml:space="preserve"> section 6;</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and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chief executive officer of the Registrar’s Department or, if another person is designated as the Registrar under this Act, that person;</w:t>
      </w:r>
    </w:p>
    <w:p>
      <w:pPr>
        <w:pStyle w:val="Defstart"/>
      </w:pPr>
      <w:r>
        <w:tab/>
      </w:r>
      <w:r>
        <w:rPr>
          <w:rStyle w:val="CharDefText"/>
        </w:rPr>
        <w:t>Registrar’s Department</w:t>
      </w:r>
      <w:r>
        <w:t xml:space="preserve"> means the department of the Public Service known as the Department of the Registrar Western Australian Industrial Relations Commission;</w:t>
      </w:r>
    </w:p>
    <w:p>
      <w:pPr>
        <w:pStyle w:val="Defstart"/>
      </w:pPr>
      <w:r>
        <w:tab/>
      </w:r>
      <w:r>
        <w:rPr>
          <w:rStyle w:val="CharDefText"/>
        </w:rPr>
        <w:t>Registrar’s Department officer</w:t>
      </w:r>
      <w:r>
        <w:t xml:space="preserve"> means a person employed in the Registrar’s Department as referred to in section 99C(3);</w:t>
      </w:r>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in relation to a person who holds an office of member of the Commission and is subsequently appointed to an office of Fair Work Australia pursuant to section 14A, means the office of member of Fair Work Australia;</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under a provision mentioned in —</w:t>
      </w:r>
    </w:p>
    <w:p>
      <w:pPr>
        <w:pStyle w:val="Indenta"/>
      </w:pPr>
      <w:r>
        <w:tab/>
        <w:t>(a)</w:t>
      </w:r>
      <w:r>
        <w:tab/>
        <w:t>subsection (1) of that section; or</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In this Act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(the </w:t>
      </w:r>
      <w:r>
        <w:rPr>
          <w:rStyle w:val="CharDefText"/>
        </w:rPr>
        <w:t>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5</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 No. 53 of 2011 s. 32, 39 and 40; No. 11 of 2016 s. 295(2);</w:t>
      </w:r>
      <w:ins w:id="31" w:author="svcMRProcess" w:date="2018-09-03T19:30:00Z">
        <w:r>
          <w:t xml:space="preserve"> No. 32 of 2016 s. 183;</w:t>
        </w:r>
      </w:ins>
      <w:r>
        <w:t xml:space="preserve"> amended in Gazette 15 Aug 2003 p. 3686.]</w:t>
      </w:r>
    </w:p>
    <w:p>
      <w:pPr>
        <w:pStyle w:val="Ednotepart"/>
      </w:pPr>
      <w:r>
        <w:t>[Part 1A (s. 7A</w:t>
      </w:r>
      <w:r>
        <w:noBreakHyphen/>
        <w:t>7G) deleted by No. 20 of 2002 s. 111(4) and 113(1).]</w:t>
      </w:r>
    </w:p>
    <w:p>
      <w:pPr>
        <w:pStyle w:val="Heading2"/>
      </w:pPr>
      <w:bookmarkStart w:id="32" w:name="_Toc471911887"/>
      <w:bookmarkStart w:id="33" w:name="_Toc391894626"/>
      <w:bookmarkStart w:id="34" w:name="_Toc419713211"/>
      <w:bookmarkStart w:id="35" w:name="_Toc435102855"/>
      <w:bookmarkStart w:id="36" w:name="_Toc452556285"/>
      <w:bookmarkStart w:id="37" w:name="_Toc455413865"/>
      <w:bookmarkStart w:id="38" w:name="_Toc462415295"/>
      <w:bookmarkStart w:id="39" w:name="_Toc462742206"/>
      <w:bookmarkStart w:id="40" w:name="_Toc465085860"/>
      <w:bookmarkStart w:id="41" w:name="_Toc468179098"/>
      <w:r>
        <w:rPr>
          <w:rStyle w:val="CharPartNo"/>
        </w:rPr>
        <w:t>Part II</w:t>
      </w:r>
      <w:r>
        <w:t> — </w:t>
      </w:r>
      <w:r>
        <w:rPr>
          <w:rStyle w:val="CharPartText"/>
        </w:rPr>
        <w:t>The Western Australian Industrial Relations Commission</w:t>
      </w:r>
      <w:bookmarkEnd w:id="32"/>
      <w:bookmarkEnd w:id="33"/>
      <w:bookmarkEnd w:id="34"/>
      <w:bookmarkEnd w:id="35"/>
      <w:bookmarkEnd w:id="36"/>
      <w:bookmarkEnd w:id="37"/>
      <w:bookmarkEnd w:id="38"/>
      <w:bookmarkEnd w:id="39"/>
      <w:bookmarkEnd w:id="40"/>
      <w:bookmarkEnd w:id="41"/>
    </w:p>
    <w:p>
      <w:pPr>
        <w:pStyle w:val="Footnoteheading"/>
        <w:tabs>
          <w:tab w:val="left" w:pos="966"/>
        </w:tabs>
        <w:rPr>
          <w:snapToGrid w:val="0"/>
        </w:rPr>
      </w:pPr>
      <w:r>
        <w:rPr>
          <w:snapToGrid w:val="0"/>
        </w:rPr>
        <w:tab/>
        <w:t>[Heading amended by No. 94 of 1984 s. 7.]</w:t>
      </w:r>
    </w:p>
    <w:p>
      <w:pPr>
        <w:pStyle w:val="Heading3"/>
        <w:rPr>
          <w:snapToGrid w:val="0"/>
        </w:rPr>
      </w:pPr>
      <w:bookmarkStart w:id="42" w:name="_Toc471911888"/>
      <w:bookmarkStart w:id="43" w:name="_Toc391894627"/>
      <w:bookmarkStart w:id="44" w:name="_Toc419713212"/>
      <w:bookmarkStart w:id="45" w:name="_Toc435102856"/>
      <w:bookmarkStart w:id="46" w:name="_Toc452556286"/>
      <w:bookmarkStart w:id="47" w:name="_Toc455413866"/>
      <w:bookmarkStart w:id="48" w:name="_Toc462415296"/>
      <w:bookmarkStart w:id="49" w:name="_Toc462742207"/>
      <w:bookmarkStart w:id="50" w:name="_Toc465085861"/>
      <w:bookmarkStart w:id="51" w:name="_Toc468179099"/>
      <w:r>
        <w:rPr>
          <w:rStyle w:val="CharDivNo"/>
        </w:rPr>
        <w:t>Division 1</w:t>
      </w:r>
      <w:r>
        <w:rPr>
          <w:snapToGrid w:val="0"/>
        </w:rPr>
        <w:t> — </w:t>
      </w:r>
      <w:r>
        <w:rPr>
          <w:rStyle w:val="CharDivText"/>
        </w:rPr>
        <w:t>Constitution of the Commission</w:t>
      </w:r>
      <w:bookmarkEnd w:id="42"/>
      <w:bookmarkEnd w:id="43"/>
      <w:bookmarkEnd w:id="44"/>
      <w:bookmarkEnd w:id="45"/>
      <w:bookmarkEnd w:id="46"/>
      <w:bookmarkEnd w:id="47"/>
      <w:bookmarkEnd w:id="48"/>
      <w:bookmarkEnd w:id="49"/>
      <w:bookmarkEnd w:id="50"/>
      <w:bookmarkEnd w:id="51"/>
    </w:p>
    <w:p>
      <w:pPr>
        <w:pStyle w:val="Heading5"/>
        <w:rPr>
          <w:snapToGrid w:val="0"/>
        </w:rPr>
      </w:pPr>
      <w:bookmarkStart w:id="52" w:name="_Toc471911889"/>
      <w:bookmarkStart w:id="53" w:name="_Toc391894628"/>
      <w:bookmarkStart w:id="54" w:name="_Toc468179100"/>
      <w:r>
        <w:rPr>
          <w:rStyle w:val="CharSectno"/>
        </w:rPr>
        <w:t>8</w:t>
      </w:r>
      <w:r>
        <w:rPr>
          <w:snapToGrid w:val="0"/>
        </w:rPr>
        <w:t>.</w:t>
      </w:r>
      <w:r>
        <w:rPr>
          <w:snapToGrid w:val="0"/>
        </w:rPr>
        <w:tab/>
        <w:t>Members etc.</w:t>
      </w:r>
      <w:bookmarkEnd w:id="52"/>
      <w:bookmarkEnd w:id="53"/>
      <w:bookmarkEnd w:id="54"/>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a Chief Commissioner; and</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knowledge of or experience in the field of occupational safety and health; and</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87(3); No. 13 of 2005 s. 49(3); No. 35 of 2007 s. 97(3); No. 36 of 2009 s. 18.]</w:t>
      </w:r>
    </w:p>
    <w:p>
      <w:pPr>
        <w:pStyle w:val="Heading5"/>
        <w:rPr>
          <w:snapToGrid w:val="0"/>
        </w:rPr>
      </w:pPr>
      <w:bookmarkStart w:id="55" w:name="_Toc471911890"/>
      <w:bookmarkStart w:id="56" w:name="_Toc391894629"/>
      <w:bookmarkStart w:id="57" w:name="_Toc468179101"/>
      <w:r>
        <w:rPr>
          <w:rStyle w:val="CharSectno"/>
        </w:rPr>
        <w:t>9</w:t>
      </w:r>
      <w:r>
        <w:rPr>
          <w:snapToGrid w:val="0"/>
        </w:rPr>
        <w:t>.</w:t>
      </w:r>
      <w:r>
        <w:rPr>
          <w:snapToGrid w:val="0"/>
        </w:rPr>
        <w:tab/>
        <w:t>President and Chief Commissioner, who are eligible to be etc.</w:t>
      </w:r>
      <w:bookmarkEnd w:id="55"/>
      <w:bookmarkEnd w:id="56"/>
      <w:bookmarkEnd w:id="57"/>
    </w:p>
    <w:p>
      <w:pPr>
        <w:pStyle w:val="Subsection"/>
      </w:pPr>
      <w:r>
        <w:tab/>
        <w:t>(1)</w:t>
      </w:r>
      <w:r>
        <w:tab/>
        <w:t>A person is not eligible for appointment as the President unless the person is a lawyer and has had not less than 5 years’ legal experience.</w:t>
      </w:r>
    </w:p>
    <w:p>
      <w:pPr>
        <w:pStyle w:val="Subsection"/>
      </w:pPr>
      <w:r>
        <w:tab/>
        <w:t>(1aa)</w:t>
      </w:r>
      <w:r>
        <w:tab/>
        <w:t>In subsection (1)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means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[Section 9 inserted by No. 94 of 1984 s. 9; amended by No. 99 of 1990 s. 5; No. 21 of 2008 s. 668(3).]</w:t>
      </w:r>
    </w:p>
    <w:p>
      <w:pPr>
        <w:pStyle w:val="Heading5"/>
        <w:rPr>
          <w:snapToGrid w:val="0"/>
        </w:rPr>
      </w:pPr>
      <w:bookmarkStart w:id="58" w:name="_Toc471911891"/>
      <w:bookmarkStart w:id="59" w:name="_Toc391894630"/>
      <w:bookmarkStart w:id="60" w:name="_Toc468179102"/>
      <w:r>
        <w:rPr>
          <w:rStyle w:val="CharSectno"/>
        </w:rPr>
        <w:t>10</w:t>
      </w:r>
      <w:r>
        <w:rPr>
          <w:snapToGrid w:val="0"/>
        </w:rPr>
        <w:t>.</w:t>
      </w:r>
      <w:r>
        <w:rPr>
          <w:snapToGrid w:val="0"/>
        </w:rPr>
        <w:tab/>
        <w:t>Age limit for members</w:t>
      </w:r>
      <w:bookmarkEnd w:id="58"/>
      <w:bookmarkEnd w:id="59"/>
      <w:bookmarkEnd w:id="60"/>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[Section 10 inserted by No. 94 of 1984 s. 9.]</w:t>
      </w:r>
    </w:p>
    <w:p>
      <w:pPr>
        <w:pStyle w:val="Heading5"/>
        <w:rPr>
          <w:snapToGrid w:val="0"/>
        </w:rPr>
      </w:pPr>
      <w:bookmarkStart w:id="61" w:name="_Toc471911892"/>
      <w:bookmarkStart w:id="62" w:name="_Toc391894631"/>
      <w:bookmarkStart w:id="63" w:name="_Toc468179103"/>
      <w:r>
        <w:rPr>
          <w:rStyle w:val="CharSectno"/>
        </w:rPr>
        <w:t>11</w:t>
      </w:r>
      <w:r>
        <w:rPr>
          <w:snapToGrid w:val="0"/>
        </w:rPr>
        <w:t>.</w:t>
      </w:r>
      <w:r>
        <w:rPr>
          <w:snapToGrid w:val="0"/>
        </w:rPr>
        <w:tab/>
        <w:t>Oath of office and secrecy</w:t>
      </w:r>
      <w:bookmarkEnd w:id="61"/>
      <w:bookmarkEnd w:id="62"/>
      <w:bookmarkEnd w:id="63"/>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[Section 11 amended by No. 94 of 1984 s. 66.]</w:t>
      </w:r>
    </w:p>
    <w:p>
      <w:pPr>
        <w:pStyle w:val="Heading5"/>
        <w:rPr>
          <w:snapToGrid w:val="0"/>
        </w:rPr>
      </w:pPr>
      <w:bookmarkStart w:id="64" w:name="_Toc471911893"/>
      <w:bookmarkStart w:id="65" w:name="_Toc391894632"/>
      <w:bookmarkStart w:id="66" w:name="_Toc468179104"/>
      <w:r>
        <w:rPr>
          <w:rStyle w:val="CharSectno"/>
        </w:rPr>
        <w:t>12</w:t>
      </w:r>
      <w:r>
        <w:rPr>
          <w:snapToGrid w:val="0"/>
        </w:rPr>
        <w:t>.</w:t>
      </w:r>
      <w:r>
        <w:rPr>
          <w:snapToGrid w:val="0"/>
        </w:rPr>
        <w:tab/>
        <w:t>Commission is court of record etc.</w:t>
      </w:r>
      <w:bookmarkEnd w:id="64"/>
      <w:bookmarkEnd w:id="65"/>
      <w:bookmarkEnd w:id="66"/>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67" w:name="_Toc471911894"/>
      <w:bookmarkStart w:id="68" w:name="_Toc391894633"/>
      <w:bookmarkStart w:id="69" w:name="_Toc468179105"/>
      <w:r>
        <w:rPr>
          <w:rStyle w:val="CharSectno"/>
        </w:rPr>
        <w:t>13</w:t>
      </w:r>
      <w:r>
        <w:rPr>
          <w:snapToGrid w:val="0"/>
        </w:rPr>
        <w:t>.</w:t>
      </w:r>
      <w:r>
        <w:rPr>
          <w:snapToGrid w:val="0"/>
        </w:rPr>
        <w:tab/>
        <w:t>Protection of members and others</w:t>
      </w:r>
      <w:bookmarkEnd w:id="67"/>
      <w:bookmarkEnd w:id="68"/>
      <w:bookmarkEnd w:id="69"/>
    </w:p>
    <w:p>
      <w:pPr>
        <w:pStyle w:val="Subsection"/>
        <w:keepNext/>
        <w:rPr>
          <w:snapToGrid w:val="0"/>
        </w:rPr>
      </w:pPr>
      <w:r>
        <w:rPr>
          <w:snapToGrid w:val="0"/>
        </w:rPr>
        <w:tab/>
      </w:r>
      <w:r>
        <w:rPr>
          <w:snapToGrid w:val="0"/>
        </w:rPr>
        <w:tab/>
        <w:t>A person who is —</w:t>
      </w:r>
    </w:p>
    <w:p>
      <w:pPr>
        <w:pStyle w:val="Indenta"/>
        <w:rPr>
          <w:snapToGrid w:val="0"/>
        </w:rPr>
      </w:pPr>
      <w:r>
        <w:rPr>
          <w:snapToGrid w:val="0"/>
        </w:rPr>
        <w:tab/>
        <w:t>(a)</w:t>
      </w:r>
      <w:r>
        <w:rPr>
          <w:snapToGrid w:val="0"/>
        </w:rPr>
        <w:tab/>
        <w:t>a member of the Commission; or</w:t>
      </w:r>
    </w:p>
    <w:p>
      <w:pPr>
        <w:pStyle w:val="Indenta"/>
      </w:pPr>
      <w:r>
        <w:tab/>
        <w:t>(ab)</w:t>
      </w:r>
      <w:r>
        <w:tab/>
        <w:t>an industrial magistrate appointed under section 81B; or</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[Section 13 inserted by No. 119 of 1987 s. 6; amended by No. 59 of 2004 s. 112.]</w:t>
      </w:r>
    </w:p>
    <w:p>
      <w:pPr>
        <w:pStyle w:val="Heading5"/>
        <w:rPr>
          <w:snapToGrid w:val="0"/>
        </w:rPr>
      </w:pPr>
      <w:bookmarkStart w:id="70" w:name="_Toc471911895"/>
      <w:bookmarkStart w:id="71" w:name="_Toc391894634"/>
      <w:bookmarkStart w:id="72" w:name="_Toc468179106"/>
      <w:r>
        <w:rPr>
          <w:rStyle w:val="CharSectno"/>
        </w:rPr>
        <w:t>14</w:t>
      </w:r>
      <w:r>
        <w:rPr>
          <w:snapToGrid w:val="0"/>
        </w:rPr>
        <w:t>.</w:t>
      </w:r>
      <w:r>
        <w:rPr>
          <w:snapToGrid w:val="0"/>
        </w:rPr>
        <w:tab/>
        <w:t>President and commissioners, jurisdiction of</w:t>
      </w:r>
      <w:bookmarkEnd w:id="70"/>
      <w:bookmarkEnd w:id="71"/>
      <w:bookmarkEnd w:id="72"/>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keepLines/>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73" w:name="_Toc471911896"/>
      <w:bookmarkStart w:id="74" w:name="_Toc391894635"/>
      <w:bookmarkStart w:id="75" w:name="_Toc468179107"/>
      <w:r>
        <w:rPr>
          <w:rStyle w:val="CharSectno"/>
        </w:rPr>
        <w:t>14A</w:t>
      </w:r>
      <w:r>
        <w:rPr>
          <w:snapToGrid w:val="0"/>
        </w:rPr>
        <w:t xml:space="preserve">. </w:t>
      </w:r>
      <w:r>
        <w:rPr>
          <w:snapToGrid w:val="0"/>
        </w:rPr>
        <w:tab/>
        <w:t>Dual Federal and State appointments</w:t>
      </w:r>
      <w:bookmarkEnd w:id="73"/>
      <w:bookmarkEnd w:id="74"/>
      <w:bookmarkEnd w:id="75"/>
    </w:p>
    <w:p>
      <w:pPr>
        <w:pStyle w:val="Subsection"/>
        <w:keepNext/>
        <w:spacing w:before="120"/>
        <w:rPr>
          <w:snapToGrid w:val="0"/>
        </w:rPr>
      </w:pPr>
      <w:r>
        <w:rPr>
          <w:snapToGrid w:val="0"/>
        </w:rPr>
        <w:tab/>
      </w:r>
      <w:r>
        <w:rPr>
          <w:snapToGrid w:val="0"/>
        </w:rPr>
        <w:tab/>
        <w:t>A person who is a member of the Commission may be appointed as a member of</w:t>
      </w:r>
      <w:r>
        <w:t xml:space="preserve"> Fair Work Australia</w:t>
      </w:r>
      <w:r>
        <w:rPr>
          <w:snapToGrid w:val="0"/>
        </w:rPr>
        <w:t xml:space="preserve">, and a person so appointed may, subject to section 22(2)(c), at the same time hold the offices of member of the Commission and member of </w:t>
      </w:r>
      <w:r>
        <w:t>Fair Work Australia</w:t>
      </w:r>
      <w:r>
        <w:rPr>
          <w:snapToGrid w:val="0"/>
        </w:rPr>
        <w:t xml:space="preserve"> but not otherwise.</w:t>
      </w:r>
    </w:p>
    <w:p>
      <w:pPr>
        <w:pStyle w:val="Footnotesection"/>
      </w:pPr>
      <w:r>
        <w:tab/>
        <w:t>[Section 14A inserted by No. 99 of 1990 s. 6; amended by No. 53 of 2011 s. 39.]</w:t>
      </w:r>
    </w:p>
    <w:p>
      <w:pPr>
        <w:pStyle w:val="Heading5"/>
        <w:rPr>
          <w:snapToGrid w:val="0"/>
        </w:rPr>
      </w:pPr>
      <w:bookmarkStart w:id="76" w:name="_Toc471911897"/>
      <w:bookmarkStart w:id="77" w:name="_Toc391894636"/>
      <w:bookmarkStart w:id="78" w:name="_Toc468179108"/>
      <w:r>
        <w:rPr>
          <w:rStyle w:val="CharSectno"/>
        </w:rPr>
        <w:t>14B</w:t>
      </w:r>
      <w:r>
        <w:rPr>
          <w:snapToGrid w:val="0"/>
        </w:rPr>
        <w:t xml:space="preserve">. </w:t>
      </w:r>
      <w:r>
        <w:rPr>
          <w:snapToGrid w:val="0"/>
        </w:rPr>
        <w:tab/>
        <w:t>Performance of duties by dual Federal and State appointees</w:t>
      </w:r>
      <w:bookmarkEnd w:id="76"/>
      <w:bookmarkEnd w:id="77"/>
      <w:bookmarkEnd w:id="78"/>
    </w:p>
    <w:p>
      <w:pPr>
        <w:pStyle w:val="Subsection"/>
        <w:rPr>
          <w:snapToGrid w:val="0"/>
        </w:rPr>
      </w:pPr>
      <w:r>
        <w:rPr>
          <w:snapToGrid w:val="0"/>
        </w:rPr>
        <w:tab/>
        <w:t>(1)</w:t>
      </w:r>
      <w:r>
        <w:rPr>
          <w:snapToGrid w:val="0"/>
        </w:rPr>
        <w:tab/>
        <w:t>As agreed from time to time by the Chief Commissioner and the President of</w:t>
      </w:r>
      <w:r>
        <w:t xml:space="preserve"> Fair Work Australia</w:t>
      </w:r>
      <w:r>
        <w:rPr>
          <w:snapToGrid w:val="0"/>
        </w:rPr>
        <w:t>, a person who holds an office of member of the Commission and an office of member of</w:t>
      </w:r>
      <w:r>
        <w:t xml:space="preserve"> Fair Work Australia</w:t>
      </w:r>
      <w:r>
        <w:rPr>
          <w:snapToGrid w:val="0"/>
        </w:rPr>
        <w:t>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w:t>
      </w:r>
      <w:r>
        <w:t xml:space="preserve"> Fair Work Australia</w:t>
      </w:r>
      <w:r>
        <w:rPr>
          <w:snapToGrid w:val="0"/>
        </w:rPr>
        <w:t>.</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spacing w:before="100"/>
        <w:ind w:left="890" w:hanging="890"/>
      </w:pPr>
      <w:r>
        <w:tab/>
        <w:t>[Section 14B inserted by No. 99 of 1990 s. 6; amended by No. 53 of 2011 s. 39.]</w:t>
      </w:r>
    </w:p>
    <w:p>
      <w:pPr>
        <w:pStyle w:val="Heading5"/>
        <w:spacing w:before="200"/>
        <w:rPr>
          <w:snapToGrid w:val="0"/>
        </w:rPr>
      </w:pPr>
      <w:bookmarkStart w:id="79" w:name="_Toc471911898"/>
      <w:bookmarkStart w:id="80" w:name="_Toc391894637"/>
      <w:bookmarkStart w:id="81" w:name="_Toc468179109"/>
      <w:r>
        <w:rPr>
          <w:rStyle w:val="CharSectno"/>
        </w:rPr>
        <w:t>15</w:t>
      </w:r>
      <w:r>
        <w:rPr>
          <w:snapToGrid w:val="0"/>
        </w:rPr>
        <w:t>.</w:t>
      </w:r>
      <w:r>
        <w:rPr>
          <w:snapToGrid w:val="0"/>
        </w:rPr>
        <w:tab/>
        <w:t>Full Bench and Commission in Court Session, constitution of</w:t>
      </w:r>
      <w:bookmarkEnd w:id="79"/>
      <w:bookmarkEnd w:id="80"/>
      <w:bookmarkEnd w:id="81"/>
    </w:p>
    <w:p>
      <w:pPr>
        <w:pStyle w:val="Subsection"/>
        <w:spacing w:before="140"/>
        <w:rPr>
          <w:snapToGrid w:val="0"/>
        </w:rPr>
      </w:pPr>
      <w:r>
        <w:rPr>
          <w:snapToGrid w:val="0"/>
        </w:rPr>
        <w:tab/>
        <w:t>(1)</w:t>
      </w:r>
      <w:r>
        <w:rPr>
          <w:snapToGrid w:val="0"/>
        </w:rPr>
        <w:tab/>
        <w:t>The Full Bench shall be constituted by not less than 3 members of the Commission one of whom shall be the President.</w:t>
      </w:r>
    </w:p>
    <w:p>
      <w:pPr>
        <w:pStyle w:val="Subsection"/>
        <w:spacing w:before="140"/>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200"/>
        <w:rPr>
          <w:snapToGrid w:val="0"/>
        </w:rPr>
      </w:pPr>
      <w:bookmarkStart w:id="82" w:name="_Toc471911899"/>
      <w:bookmarkStart w:id="83" w:name="_Toc391894638"/>
      <w:bookmarkStart w:id="84" w:name="_Toc468179110"/>
      <w:r>
        <w:rPr>
          <w:rStyle w:val="CharSectno"/>
        </w:rPr>
        <w:t>16</w:t>
      </w:r>
      <w:r>
        <w:rPr>
          <w:snapToGrid w:val="0"/>
        </w:rPr>
        <w:t>.</w:t>
      </w:r>
      <w:r>
        <w:rPr>
          <w:snapToGrid w:val="0"/>
        </w:rPr>
        <w:tab/>
        <w:t>Chief Commissioner’s functions</w:t>
      </w:r>
      <w:bookmarkEnd w:id="82"/>
      <w:bookmarkEnd w:id="83"/>
      <w:bookmarkEnd w:id="84"/>
    </w:p>
    <w:p>
      <w:pPr>
        <w:pStyle w:val="Subsection"/>
        <w:spacing w:before="140"/>
      </w:pPr>
      <w:r>
        <w:tab/>
        <w:t>(1)</w:t>
      </w:r>
      <w:r>
        <w:tab/>
        <w:t>In subsections (1aa) to (1ac) —</w:t>
      </w:r>
    </w:p>
    <w:p>
      <w:pPr>
        <w:pStyle w:val="Defstart"/>
      </w:pPr>
      <w:r>
        <w:rPr>
          <w:b/>
        </w:rPr>
        <w:tab/>
      </w:r>
      <w:r>
        <w:rPr>
          <w:rStyle w:val="CharDefText"/>
        </w:rPr>
        <w:t>Commission</w:t>
      </w:r>
      <w:r>
        <w:t xml:space="preserve"> includes the Full Bench, the Commission in Court Session and a constituent authority.</w:t>
      </w:r>
    </w:p>
    <w:p>
      <w:pPr>
        <w:pStyle w:val="Subsection"/>
        <w:spacing w:before="140"/>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spacing w:before="140"/>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spacing w:before="140"/>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w:t>
      </w:r>
    </w:p>
    <w:p>
      <w:pPr>
        <w:pStyle w:val="Indenta"/>
        <w:spacing w:before="60"/>
      </w:pPr>
      <w:r>
        <w:tab/>
        <w:t>(a)</w:t>
      </w:r>
      <w:r>
        <w:tab/>
        <w:t xml:space="preserve">any record of the proceedings of the </w:t>
      </w:r>
      <w:r>
        <w:rPr>
          <w:snapToGrid w:val="0"/>
        </w:rPr>
        <w:t>Commission</w:t>
      </w:r>
      <w:r>
        <w:t xml:space="preserve"> in relation to the matter before the reallocation or alteration; or</w:t>
      </w:r>
    </w:p>
    <w:p>
      <w:pPr>
        <w:pStyle w:val="Indenta"/>
        <w:spacing w:before="60"/>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the Chief Commissioner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In subsection (2D)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 and</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[Section 16 amended by No. 121 of 1982 s. 4; No. 94 of 1984 s. 10 and 66; No. 1 of 1995 s. 53; No. 14 of 2005 s. 4; No. 36 of 2009 s. 19.]</w:t>
      </w:r>
    </w:p>
    <w:p>
      <w:pPr>
        <w:pStyle w:val="Heading5"/>
      </w:pPr>
      <w:bookmarkStart w:id="85" w:name="_Toc471911900"/>
      <w:bookmarkStart w:id="86" w:name="_Toc391894639"/>
      <w:bookmarkStart w:id="87" w:name="_Toc468179111"/>
      <w:r>
        <w:rPr>
          <w:rStyle w:val="CharSectno"/>
        </w:rPr>
        <w:t>16A</w:t>
      </w:r>
      <w:r>
        <w:t>.</w:t>
      </w:r>
      <w:r>
        <w:tab/>
        <w:t>Delegation by Chief Commissioner</w:t>
      </w:r>
      <w:bookmarkEnd w:id="85"/>
      <w:bookmarkEnd w:id="86"/>
      <w:bookmarkEnd w:id="87"/>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88" w:name="_Toc471911901"/>
      <w:bookmarkStart w:id="89" w:name="_Toc391894640"/>
      <w:bookmarkStart w:id="90" w:name="_Toc468179112"/>
      <w:r>
        <w:rPr>
          <w:rStyle w:val="CharSectno"/>
        </w:rPr>
        <w:t>17</w:t>
      </w:r>
      <w:r>
        <w:rPr>
          <w:snapToGrid w:val="0"/>
        </w:rPr>
        <w:t>.</w:t>
      </w:r>
      <w:r>
        <w:rPr>
          <w:snapToGrid w:val="0"/>
        </w:rPr>
        <w:tab/>
        <w:t>Acting members of Commission, appointment of etc.</w:t>
      </w:r>
      <w:bookmarkEnd w:id="88"/>
      <w:bookmarkEnd w:id="89"/>
      <w:bookmarkEnd w:id="90"/>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[Section 17 amended by No. 121 of 1982 s. 5; No. 94 of 1984 s. 11; No. 1 of 1995 s. 53; No. 14 of 2005 s. 6.]</w:t>
      </w:r>
    </w:p>
    <w:p>
      <w:pPr>
        <w:pStyle w:val="Heading5"/>
        <w:rPr>
          <w:snapToGrid w:val="0"/>
        </w:rPr>
      </w:pPr>
      <w:bookmarkStart w:id="91" w:name="_Toc471911902"/>
      <w:bookmarkStart w:id="92" w:name="_Toc391894641"/>
      <w:bookmarkStart w:id="93" w:name="_Toc468179113"/>
      <w:r>
        <w:rPr>
          <w:rStyle w:val="CharSectno"/>
        </w:rPr>
        <w:t>18</w:t>
      </w:r>
      <w:r>
        <w:rPr>
          <w:snapToGrid w:val="0"/>
        </w:rPr>
        <w:t>.</w:t>
      </w:r>
      <w:r>
        <w:rPr>
          <w:snapToGrid w:val="0"/>
        </w:rPr>
        <w:tab/>
        <w:t>Extending appointments</w:t>
      </w:r>
      <w:bookmarkEnd w:id="91"/>
      <w:bookmarkEnd w:id="92"/>
      <w:bookmarkEnd w:id="93"/>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a retired member of the Commission under subsection (1) does not prevent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an acting member of the Commission under subsection (1) does not prevent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[Section 18 amended by No. 94 of 1984 s. 12; No. 14 of 2005 s. 7.]</w:t>
      </w:r>
    </w:p>
    <w:p>
      <w:pPr>
        <w:pStyle w:val="Heading5"/>
        <w:rPr>
          <w:snapToGrid w:val="0"/>
        </w:rPr>
      </w:pPr>
      <w:bookmarkStart w:id="94" w:name="_Toc471911903"/>
      <w:bookmarkStart w:id="95" w:name="_Toc391894642"/>
      <w:bookmarkStart w:id="96" w:name="_Toc468179114"/>
      <w:r>
        <w:rPr>
          <w:rStyle w:val="CharSectno"/>
        </w:rPr>
        <w:t>19</w:t>
      </w:r>
      <w:r>
        <w:rPr>
          <w:snapToGrid w:val="0"/>
        </w:rPr>
        <w:t>.</w:t>
      </w:r>
      <w:r>
        <w:rPr>
          <w:snapToGrid w:val="0"/>
        </w:rPr>
        <w:tab/>
        <w:t xml:space="preserve">Members to keep acquainted with </w:t>
      </w:r>
      <w:smartTag w:uri="urn:schemas-microsoft-com:office:smarttags" w:element="State">
        <w:smartTag w:uri="urn:schemas-microsoft-com:office:smarttags" w:element="place">
          <w:r>
            <w:rPr>
              <w:snapToGrid w:val="0"/>
            </w:rPr>
            <w:t>ind</w:t>
          </w:r>
        </w:smartTag>
      </w:smartTag>
      <w:r>
        <w:rPr>
          <w:snapToGrid w:val="0"/>
        </w:rPr>
        <w:t>ustrial affairs etc.</w:t>
      </w:r>
      <w:bookmarkEnd w:id="94"/>
      <w:bookmarkEnd w:id="95"/>
      <w:bookmarkEnd w:id="96"/>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97" w:name="_Toc471911904"/>
      <w:bookmarkStart w:id="98" w:name="_Toc391894643"/>
      <w:bookmarkStart w:id="99" w:name="_Toc468179115"/>
      <w:r>
        <w:rPr>
          <w:rStyle w:val="CharSectno"/>
        </w:rPr>
        <w:t>20</w:t>
      </w:r>
      <w:r>
        <w:rPr>
          <w:snapToGrid w:val="0"/>
        </w:rPr>
        <w:t>.</w:t>
      </w:r>
      <w:r>
        <w:rPr>
          <w:snapToGrid w:val="0"/>
        </w:rPr>
        <w:tab/>
        <w:t>Conditions of service of members</w:t>
      </w:r>
      <w:bookmarkEnd w:id="97"/>
      <w:bookmarkEnd w:id="98"/>
      <w:bookmarkEnd w:id="99"/>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7, 8</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7</w:t>
      </w:r>
      <w:r>
        <w:rPr>
          <w:snapToGrid w:val="0"/>
        </w:rPr>
        <w:t xml:space="preserve"> the duration of —</w:t>
      </w:r>
    </w:p>
    <w:p>
      <w:pPr>
        <w:pStyle w:val="Indenta"/>
        <w:rPr>
          <w:snapToGrid w:val="0"/>
        </w:rPr>
      </w:pPr>
      <w:r>
        <w:rPr>
          <w:snapToGrid w:val="0"/>
        </w:rPr>
        <w:tab/>
        <w:t>(a)</w:t>
      </w:r>
      <w:r>
        <w:rPr>
          <w:snapToGrid w:val="0"/>
        </w:rPr>
        <w:tab/>
        <w:t>any service by a person as a commissioner that occurs after the commencement day; and</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8</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1, 8</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7</w:t>
      </w:r>
      <w:r>
        <w:rPr>
          <w:snapToGrid w:val="0"/>
        </w:rPr>
        <w:t xml:space="preserve"> immediately before that person is appointed the President, that person may continue to be such a contributor notwithstanding that appointment </w:t>
      </w:r>
      <w:r>
        <w:rPr>
          <w:snapToGrid w:val="0"/>
          <w:vertAlign w:val="superscript"/>
        </w:rPr>
        <w:t>8</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7</w:t>
      </w:r>
      <w:r>
        <w:rPr>
          <w:snapToGrid w:val="0"/>
        </w:rPr>
        <w:t>, that Act applies to and in relation to that person, and if that person ceases to be a contributor —</w:t>
      </w:r>
    </w:p>
    <w:p>
      <w:pPr>
        <w:pStyle w:val="Indenta"/>
        <w:rPr>
          <w:snapToGrid w:val="0"/>
        </w:rPr>
      </w:pPr>
      <w:r>
        <w:rPr>
          <w:snapToGrid w:val="0"/>
        </w:rPr>
        <w:tab/>
        <w:t>(a)</w:t>
      </w:r>
      <w:r>
        <w:rPr>
          <w:snapToGrid w:val="0"/>
        </w:rPr>
        <w:tab/>
        <w:t>before attaining the age of 60 years that person shall be deemed to have resigned; or</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8</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No. 28 of 2003 s. 89.]</w:t>
      </w:r>
    </w:p>
    <w:p>
      <w:pPr>
        <w:pStyle w:val="Heading5"/>
        <w:rPr>
          <w:snapToGrid w:val="0"/>
        </w:rPr>
      </w:pPr>
      <w:bookmarkStart w:id="100" w:name="_Toc471911905"/>
      <w:bookmarkStart w:id="101" w:name="_Toc391894644"/>
      <w:bookmarkStart w:id="102" w:name="_Toc468179116"/>
      <w:r>
        <w:rPr>
          <w:rStyle w:val="CharSectno"/>
        </w:rPr>
        <w:t>21</w:t>
      </w:r>
      <w:r>
        <w:rPr>
          <w:snapToGrid w:val="0"/>
        </w:rPr>
        <w:t>.</w:t>
      </w:r>
      <w:r>
        <w:rPr>
          <w:snapToGrid w:val="0"/>
        </w:rPr>
        <w:tab/>
        <w:t>Resignation from office</w:t>
      </w:r>
      <w:bookmarkEnd w:id="100"/>
      <w:bookmarkEnd w:id="101"/>
      <w:bookmarkEnd w:id="102"/>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103" w:name="_Toc471911906"/>
      <w:bookmarkStart w:id="104" w:name="_Toc391894645"/>
      <w:bookmarkStart w:id="105" w:name="_Toc468179117"/>
      <w:r>
        <w:rPr>
          <w:rStyle w:val="CharSectno"/>
        </w:rPr>
        <w:t>22</w:t>
      </w:r>
      <w:r>
        <w:rPr>
          <w:snapToGrid w:val="0"/>
        </w:rPr>
        <w:t>.</w:t>
      </w:r>
      <w:r>
        <w:rPr>
          <w:snapToGrid w:val="0"/>
        </w:rPr>
        <w:tab/>
        <w:t>Tenure subject to good behaviour</w:t>
      </w:r>
      <w:bookmarkEnd w:id="103"/>
      <w:bookmarkEnd w:id="104"/>
      <w:bookmarkEnd w:id="105"/>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w:t>
      </w:r>
    </w:p>
    <w:p>
      <w:pPr>
        <w:pStyle w:val="Indenta"/>
        <w:rPr>
          <w:snapToGrid w:val="0"/>
        </w:rPr>
      </w:pPr>
      <w:r>
        <w:rPr>
          <w:snapToGrid w:val="0"/>
        </w:rPr>
        <w:tab/>
        <w:t>(a)</w:t>
      </w:r>
      <w:r>
        <w:rPr>
          <w:snapToGrid w:val="0"/>
        </w:rPr>
        <w:tab/>
        <w:t>he is removed from the office pursuant to subsection (1); or</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w:t>
      </w:r>
      <w:r>
        <w:t xml:space="preserve"> Fair Work Australia</w:t>
      </w:r>
      <w:r>
        <w:rPr>
          <w:snapToGrid w:val="0"/>
        </w:rPr>
        <w:t>.</w:t>
      </w:r>
    </w:p>
    <w:p>
      <w:pPr>
        <w:pStyle w:val="Footnotesection"/>
        <w:ind w:left="890" w:hanging="890"/>
      </w:pPr>
      <w:r>
        <w:tab/>
        <w:t>[Section 22 amended by No. 94 of 1984 s. 13; No. 99 of 1990 s. 8; No. 1 of 1995 s. 53; No. 53 of 2011 s. 39.]</w:t>
      </w:r>
    </w:p>
    <w:p>
      <w:pPr>
        <w:pStyle w:val="Heading3"/>
      </w:pPr>
      <w:bookmarkStart w:id="106" w:name="_Toc471911907"/>
      <w:bookmarkStart w:id="107" w:name="_Toc391894646"/>
      <w:bookmarkStart w:id="108" w:name="_Toc419713231"/>
      <w:bookmarkStart w:id="109" w:name="_Toc435102875"/>
      <w:bookmarkStart w:id="110" w:name="_Toc452556305"/>
      <w:bookmarkStart w:id="111" w:name="_Toc455413885"/>
      <w:bookmarkStart w:id="112" w:name="_Toc462415315"/>
      <w:bookmarkStart w:id="113" w:name="_Toc462742226"/>
      <w:bookmarkStart w:id="114" w:name="_Toc465085880"/>
      <w:bookmarkStart w:id="115" w:name="_Toc468179118"/>
      <w:r>
        <w:rPr>
          <w:rStyle w:val="CharDivNo"/>
        </w:rPr>
        <w:t>Division 2</w:t>
      </w:r>
      <w:r>
        <w:rPr>
          <w:snapToGrid w:val="0"/>
        </w:rPr>
        <w:t> — </w:t>
      </w:r>
      <w:r>
        <w:rPr>
          <w:rStyle w:val="CharDivText"/>
        </w:rPr>
        <w:t>General jurisdiction and powers of the Commission</w:t>
      </w:r>
      <w:bookmarkEnd w:id="106"/>
      <w:bookmarkEnd w:id="107"/>
      <w:bookmarkEnd w:id="108"/>
      <w:bookmarkEnd w:id="109"/>
      <w:bookmarkEnd w:id="110"/>
      <w:bookmarkEnd w:id="111"/>
      <w:bookmarkEnd w:id="112"/>
      <w:bookmarkEnd w:id="113"/>
      <w:bookmarkEnd w:id="114"/>
      <w:bookmarkEnd w:id="115"/>
    </w:p>
    <w:p>
      <w:pPr>
        <w:pStyle w:val="Heading5"/>
        <w:rPr>
          <w:snapToGrid w:val="0"/>
        </w:rPr>
      </w:pPr>
      <w:bookmarkStart w:id="116" w:name="_Toc471911908"/>
      <w:bookmarkStart w:id="117" w:name="_Toc391894647"/>
      <w:bookmarkStart w:id="118" w:name="_Toc468179119"/>
      <w:r>
        <w:rPr>
          <w:rStyle w:val="CharSectno"/>
        </w:rPr>
        <w:t>22A</w:t>
      </w:r>
      <w:r>
        <w:rPr>
          <w:snapToGrid w:val="0"/>
        </w:rPr>
        <w:t xml:space="preserve">. </w:t>
      </w:r>
      <w:r>
        <w:rPr>
          <w:snapToGrid w:val="0"/>
        </w:rPr>
        <w:tab/>
        <w:t>Terms used</w:t>
      </w:r>
      <w:bookmarkEnd w:id="116"/>
      <w:bookmarkEnd w:id="117"/>
      <w:bookmarkEnd w:id="118"/>
    </w:p>
    <w:p>
      <w:pPr>
        <w:pStyle w:val="Subsection"/>
        <w:rPr>
          <w:snapToGrid w:val="0"/>
        </w:rPr>
      </w:pPr>
      <w:r>
        <w:rPr>
          <w:snapToGrid w:val="0"/>
        </w:rPr>
        <w:tab/>
      </w:r>
      <w:r>
        <w:rPr>
          <w:snapToGrid w:val="0"/>
        </w:rPr>
        <w:tab/>
        <w:t>In this Division</w:t>
      </w:r>
      <w:r>
        <w:t xml:space="preserve"> and Divisions 2A to 2G</w:t>
      </w:r>
      <w:r>
        <w:rPr>
          <w:snapToGrid w:val="0"/>
        </w:rPr>
        <w:t>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[Section 22A inserted by No. 94 of 1984 s. 14; amended by No. 20 of 2002 s. 121(1).]</w:t>
      </w:r>
    </w:p>
    <w:p>
      <w:pPr>
        <w:pStyle w:val="Heading5"/>
      </w:pPr>
      <w:bookmarkStart w:id="119" w:name="_Toc471911909"/>
      <w:bookmarkStart w:id="120" w:name="_Toc391894648"/>
      <w:bookmarkStart w:id="121" w:name="_Toc468179120"/>
      <w:r>
        <w:rPr>
          <w:rStyle w:val="CharSectno"/>
        </w:rPr>
        <w:t>22B</w:t>
      </w:r>
      <w:r>
        <w:t>.</w:t>
      </w:r>
      <w:r>
        <w:tab/>
        <w:t>Commission to act with due speed</w:t>
      </w:r>
      <w:bookmarkEnd w:id="119"/>
      <w:bookmarkEnd w:id="120"/>
      <w:bookmarkEnd w:id="121"/>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122" w:name="_Toc471911910"/>
      <w:bookmarkStart w:id="123" w:name="_Toc391894649"/>
      <w:bookmarkStart w:id="124" w:name="_Toc468179121"/>
      <w:r>
        <w:rPr>
          <w:rStyle w:val="CharSectno"/>
        </w:rPr>
        <w:t>23</w:t>
      </w:r>
      <w:r>
        <w:rPr>
          <w:snapToGrid w:val="0"/>
        </w:rPr>
        <w:t>.</w:t>
      </w:r>
      <w:r>
        <w:rPr>
          <w:snapToGrid w:val="0"/>
        </w:rPr>
        <w:tab/>
        <w:t>Jurisdiction of Commission</w:t>
      </w:r>
      <w:bookmarkEnd w:id="122"/>
      <w:bookmarkEnd w:id="123"/>
      <w:bookmarkEnd w:id="124"/>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a private home in which a person engaged in domestic service is employed by an employer, who is not the owner or occupier of that private home, but who provides that owner or occupier with the services of the person so engaged;</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on a claim of harsh, oppressive or unfair dismissal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5</w:t>
      </w:r>
      <w:r>
        <w:t>; No. 20 of 2002 s. 137 and 143.]</w:t>
      </w:r>
    </w:p>
    <w:p>
      <w:pPr>
        <w:pStyle w:val="Ednotesection"/>
      </w:pPr>
      <w:r>
        <w:t>[</w:t>
      </w:r>
      <w:r>
        <w:rPr>
          <w:b/>
        </w:rPr>
        <w:t>23AA.</w:t>
      </w:r>
      <w:r>
        <w:tab/>
        <w:t>Deleted by No. 3 of 1997 s. 22</w:t>
      </w:r>
      <w:r>
        <w:rPr>
          <w:i w:val="0"/>
          <w:vertAlign w:val="superscript"/>
        </w:rPr>
        <w:t> 5</w:t>
      </w:r>
      <w:r>
        <w:t>.]</w:t>
      </w:r>
    </w:p>
    <w:p>
      <w:pPr>
        <w:pStyle w:val="Heading5"/>
      </w:pPr>
      <w:bookmarkStart w:id="125" w:name="_Toc471911911"/>
      <w:bookmarkStart w:id="126" w:name="_Toc391894650"/>
      <w:bookmarkStart w:id="127" w:name="_Toc468179122"/>
      <w:r>
        <w:rPr>
          <w:rStyle w:val="CharSectno"/>
        </w:rPr>
        <w:t>23A</w:t>
      </w:r>
      <w:r>
        <w:t>.</w:t>
      </w:r>
      <w:r>
        <w:tab/>
        <w:t>Unfair dismissal claims, Commission’s powers on</w:t>
      </w:r>
      <w:bookmarkEnd w:id="125"/>
      <w:bookmarkEnd w:id="126"/>
      <w:bookmarkEnd w:id="127"/>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In determining whether the dismissal of an employee was harsh, oppressive or unfair the Commission shall have regard to whether the employee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employ the employee in another position that the Commission considers —</w:t>
      </w:r>
    </w:p>
    <w:p>
      <w:pPr>
        <w:pStyle w:val="Indenta"/>
      </w:pPr>
      <w:r>
        <w:tab/>
        <w:t>(a)</w:t>
      </w:r>
      <w:r>
        <w:tab/>
        <w:t>the employer has available; and</w:t>
      </w:r>
    </w:p>
    <w:p>
      <w:pPr>
        <w:pStyle w:val="Indenta"/>
      </w:pPr>
      <w:r>
        <w:tab/>
        <w:t>(b)</w:t>
      </w:r>
      <w:r>
        <w:tab/>
        <w:t>is suitable.</w:t>
      </w:r>
    </w:p>
    <w:p>
      <w:pPr>
        <w:pStyle w:val="Subsection"/>
        <w:spacing w:before="180"/>
      </w:pPr>
      <w:r>
        <w:tab/>
        <w:t>(5)</w:t>
      </w:r>
      <w:r>
        <w:tab/>
        <w:t>The Commission may, in addition to making an order under subsection (3) or (4), make either or both of the following orders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In deciding an amount of compensation for the purposes of making an order under subsection (6), the Commission is to have regard to —</w:t>
      </w:r>
    </w:p>
    <w:p>
      <w:pPr>
        <w:pStyle w:val="Indenta"/>
      </w:pPr>
      <w:r>
        <w:tab/>
        <w:t>(a)</w:t>
      </w:r>
      <w:r>
        <w:tab/>
        <w:t>the efforts (if any) of the employer and employee to mitigate the loss suffered by the employee as a result of the dismissal; and</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w:t>
      </w:r>
    </w:p>
    <w:p>
      <w:pPr>
        <w:pStyle w:val="Heading5"/>
      </w:pPr>
      <w:bookmarkStart w:id="128" w:name="_Toc471911912"/>
      <w:bookmarkStart w:id="129" w:name="_Toc391894651"/>
      <w:bookmarkStart w:id="130" w:name="_Toc468179123"/>
      <w:r>
        <w:rPr>
          <w:rStyle w:val="CharSectno"/>
        </w:rPr>
        <w:t>23B</w:t>
      </w:r>
      <w:r>
        <w:t>.</w:t>
      </w:r>
      <w:r>
        <w:tab/>
        <w:t>Third party involvement in employment claim, Commission’s powers to prevent etc.</w:t>
      </w:r>
      <w:bookmarkEnd w:id="128"/>
      <w:bookmarkEnd w:id="129"/>
      <w:bookmarkEnd w:id="130"/>
    </w:p>
    <w:p>
      <w:pPr>
        <w:pStyle w:val="Subsection"/>
      </w:pPr>
      <w:r>
        <w:tab/>
        <w:t>(1)</w:t>
      </w:r>
      <w:r>
        <w:tab/>
        <w:t>In this section —</w:t>
      </w:r>
    </w:p>
    <w:p>
      <w:pPr>
        <w:pStyle w:val="Defstart"/>
      </w:pPr>
      <w:r>
        <w:tab/>
      </w:r>
      <w:r>
        <w:rPr>
          <w:rStyle w:val="CharDefText"/>
        </w:rPr>
        <w:t>employment claim</w:t>
      </w:r>
      <w:r>
        <w:t xml:space="preserve"> means a claim made to the Commission in which any of the following is an issue —</w:t>
      </w:r>
    </w:p>
    <w:p>
      <w:pPr>
        <w:pStyle w:val="Defpara"/>
      </w:pPr>
      <w:r>
        <w:tab/>
        <w:t>(a)</w:t>
      </w:r>
      <w:r>
        <w:tab/>
        <w:t xml:space="preserve">the refusal or failure of an employer to employ a person (the </w:t>
      </w:r>
      <w:r>
        <w:rPr>
          <w:rStyle w:val="CharDefText"/>
        </w:rPr>
        <w:t>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rStyle w:val="CharDefText"/>
        </w:rPr>
        <w:t>third party</w:t>
      </w:r>
      <w:r>
        <w:t>, in relation to an employment claim, means any person, other than the employer on whom a copy of the claim has been served.</w:t>
      </w:r>
    </w:p>
    <w:p>
      <w:pPr>
        <w:pStyle w:val="Subsection"/>
      </w:pPr>
      <w:r>
        <w:tab/>
        <w:t>(2)</w:t>
      </w:r>
      <w:r>
        <w:tab/>
        <w:t>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w:t>
      </w:r>
    </w:p>
    <w:p>
      <w:pPr>
        <w:pStyle w:val="Indenta"/>
        <w:spacing w:before="60"/>
      </w:pPr>
      <w:r>
        <w:tab/>
      </w:r>
      <w:r>
        <w:rPr>
          <w:snapToGrid w:val="0"/>
        </w:rPr>
        <w:t>(a)</w:t>
      </w:r>
      <w:r>
        <w:tab/>
        <w:t>the employment of the affected person; or</w:t>
      </w:r>
    </w:p>
    <w:p>
      <w:pPr>
        <w:pStyle w:val="Indenta"/>
        <w:spacing w:before="60"/>
      </w:pPr>
      <w:r>
        <w:tab/>
        <w:t>(b)</w:t>
      </w:r>
      <w:r>
        <w:tab/>
        <w:t>the employment or transfer of the employee to work at a particular place or site; or</w:t>
      </w:r>
    </w:p>
    <w:p>
      <w:pPr>
        <w:pStyle w:val="Indenta"/>
        <w:spacing w:before="60"/>
      </w:pPr>
      <w:r>
        <w:tab/>
      </w:r>
      <w:r>
        <w:rPr>
          <w:snapToGrid w:val="0"/>
        </w:rPr>
        <w:t>(c)</w:t>
      </w:r>
      <w:r>
        <w:tab/>
        <w:t>the reinstatement or re</w:t>
      </w:r>
      <w:r>
        <w:noBreakHyphen/>
        <w:t>employment of the employee.</w:t>
      </w:r>
    </w:p>
    <w:p>
      <w:pPr>
        <w:pStyle w:val="Subsection"/>
        <w:spacing w:before="120"/>
      </w:pPr>
      <w:r>
        <w:tab/>
        <w:t>(3)</w:t>
      </w:r>
      <w:r>
        <w:tab/>
        <w:t>Subsection (2) is not to be taken as limiting the persons in respect of whom the Commission can make other orders under this Act.</w:t>
      </w:r>
    </w:p>
    <w:p>
      <w:pPr>
        <w:pStyle w:val="Footnotesection"/>
      </w:pPr>
      <w:r>
        <w:tab/>
        <w:t>[Section 23B inserted by No. 20 of 2002 s. 138(1).]</w:t>
      </w:r>
    </w:p>
    <w:p>
      <w:pPr>
        <w:pStyle w:val="Heading5"/>
        <w:rPr>
          <w:snapToGrid w:val="0"/>
        </w:rPr>
      </w:pPr>
      <w:bookmarkStart w:id="131" w:name="_Toc471911913"/>
      <w:bookmarkStart w:id="132" w:name="_Toc391894652"/>
      <w:bookmarkStart w:id="133" w:name="_Toc468179124"/>
      <w:r>
        <w:rPr>
          <w:rStyle w:val="CharSectno"/>
        </w:rPr>
        <w:t>24</w:t>
      </w:r>
      <w:r>
        <w:rPr>
          <w:snapToGrid w:val="0"/>
        </w:rPr>
        <w:t>.</w:t>
      </w:r>
      <w:r>
        <w:rPr>
          <w:snapToGrid w:val="0"/>
        </w:rPr>
        <w:tab/>
      </w:r>
      <w:smartTag w:uri="urn:schemas-microsoft-com:office:smarttags" w:element="place">
        <w:smartTag w:uri="urn:schemas-microsoft-com:office:smarttags" w:element="State">
          <w:r>
            <w:rPr>
              <w:snapToGrid w:val="0"/>
            </w:rPr>
            <w:t>Ind</w:t>
          </w:r>
        </w:smartTag>
        <w:r>
          <w:rPr>
            <w:snapToGrid w:val="0"/>
          </w:rPr>
          <w:t>us</w:t>
        </w:r>
      </w:smartTag>
      <w:r>
        <w:rPr>
          <w:snapToGrid w:val="0"/>
        </w:rPr>
        <w:t>trial matters, Commission may decide what are</w:t>
      </w:r>
      <w:bookmarkEnd w:id="131"/>
      <w:bookmarkEnd w:id="132"/>
      <w:bookmarkEnd w:id="133"/>
    </w:p>
    <w:p>
      <w:pPr>
        <w:pStyle w:val="Subsection"/>
        <w:spacing w:before="120"/>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spacing w:before="120"/>
        <w:rPr>
          <w:snapToGrid w:val="0"/>
        </w:rPr>
      </w:pPr>
      <w:r>
        <w:rPr>
          <w:snapToGrid w:val="0"/>
        </w:rPr>
        <w:tab/>
        <w:t>(2)</w:t>
      </w:r>
      <w:r>
        <w:rPr>
          <w:snapToGrid w:val="0"/>
        </w:rPr>
        <w:tab/>
        <w:t>A determination under subsection (1) is not a decision for the purposes of section 49 or 90 unless and until —</w:t>
      </w:r>
    </w:p>
    <w:p>
      <w:pPr>
        <w:pStyle w:val="Indenta"/>
        <w:spacing w:before="60"/>
        <w:rPr>
          <w:snapToGrid w:val="0"/>
        </w:rPr>
      </w:pPr>
      <w:r>
        <w:rPr>
          <w:snapToGrid w:val="0"/>
        </w:rPr>
        <w:tab/>
        <w:t>(a)</w:t>
      </w:r>
      <w:r>
        <w:rPr>
          <w:snapToGrid w:val="0"/>
        </w:rPr>
        <w:tab/>
        <w:t>those proceedings have been concluded; or</w:t>
      </w:r>
    </w:p>
    <w:p>
      <w:pPr>
        <w:pStyle w:val="Indenta"/>
        <w:spacing w:before="60"/>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134" w:name="_Toc471911914"/>
      <w:bookmarkStart w:id="135" w:name="_Toc391894653"/>
      <w:bookmarkStart w:id="136" w:name="_Toc468179125"/>
      <w:r>
        <w:rPr>
          <w:rStyle w:val="CharSectno"/>
        </w:rPr>
        <w:t>25</w:t>
      </w:r>
      <w:r>
        <w:rPr>
          <w:snapToGrid w:val="0"/>
        </w:rPr>
        <w:t>.</w:t>
      </w:r>
      <w:r>
        <w:rPr>
          <w:snapToGrid w:val="0"/>
        </w:rPr>
        <w:tab/>
        <w:t>Allocation of industrial matters by Chief Commissioner</w:t>
      </w:r>
      <w:bookmarkEnd w:id="134"/>
      <w:bookmarkEnd w:id="135"/>
      <w:bookmarkEnd w:id="136"/>
    </w:p>
    <w:p>
      <w:pPr>
        <w:pStyle w:val="Subsection"/>
        <w:spacing w:before="120"/>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w:t>
      </w:r>
    </w:p>
    <w:p>
      <w:pPr>
        <w:pStyle w:val="Indenta"/>
        <w:spacing w:before="60"/>
        <w:rPr>
          <w:snapToGrid w:val="0"/>
        </w:rPr>
      </w:pPr>
      <w:r>
        <w:rPr>
          <w:snapToGrid w:val="0"/>
        </w:rPr>
        <w:tab/>
        <w:t>(a)</w:t>
      </w:r>
      <w:r>
        <w:rPr>
          <w:snapToGrid w:val="0"/>
        </w:rPr>
        <w:tab/>
        <w:t>allocate matters to a commissioner; and</w:t>
      </w:r>
    </w:p>
    <w:p>
      <w:pPr>
        <w:pStyle w:val="Indenta"/>
        <w:rPr>
          <w:snapToGrid w:val="0"/>
        </w:rPr>
      </w:pPr>
      <w:r>
        <w:rPr>
          <w:snapToGrid w:val="0"/>
        </w:rPr>
        <w:tab/>
        <w:t>(b)</w:t>
      </w:r>
      <w:r>
        <w:rPr>
          <w:snapToGrid w:val="0"/>
        </w:rPr>
        <w:tab/>
        <w:t>allocate matters directly to the Commission in Court Session; and</w:t>
      </w:r>
    </w:p>
    <w:p>
      <w:pPr>
        <w:pStyle w:val="Indenta"/>
        <w:spacing w:before="60"/>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Subsection (1) —</w:t>
      </w:r>
    </w:p>
    <w:p>
      <w:pPr>
        <w:pStyle w:val="Indenta"/>
        <w:spacing w:before="60"/>
      </w:pPr>
      <w:r>
        <w:tab/>
        <w:t>(a)</w:t>
      </w:r>
      <w:r>
        <w:tab/>
        <w:t>has effect subject to any provision of this Division or Division 2A to 2G under which the Commission is to be constituted in a particular way; and</w:t>
      </w:r>
    </w:p>
    <w:p>
      <w:pPr>
        <w:pStyle w:val="Indenta"/>
        <w:spacing w:before="60"/>
        <w:rPr>
          <w:snapToGrid w:val="0"/>
        </w:rPr>
      </w:pPr>
      <w:r>
        <w:tab/>
        <w:t>(b)</w:t>
      </w:r>
      <w:r>
        <w:tab/>
        <w:t>does not affect the operation of Part IIC.</w:t>
      </w:r>
    </w:p>
    <w:p>
      <w:pPr>
        <w:pStyle w:val="Footnotesection"/>
        <w:ind w:left="890" w:hanging="890"/>
      </w:pPr>
      <w:r>
        <w:tab/>
        <w:t>[Section 25 inserted by No. 94 of 1984 s. 16; amended by No. 20 of 2002 s. 121(2) and (3); No. 14 of 2005 s. 8.]</w:t>
      </w:r>
    </w:p>
    <w:p>
      <w:pPr>
        <w:pStyle w:val="Heading5"/>
        <w:rPr>
          <w:snapToGrid w:val="0"/>
        </w:rPr>
      </w:pPr>
      <w:bookmarkStart w:id="137" w:name="_Toc471911915"/>
      <w:bookmarkStart w:id="138" w:name="_Toc391894654"/>
      <w:bookmarkStart w:id="139" w:name="_Toc468179126"/>
      <w:r>
        <w:rPr>
          <w:rStyle w:val="CharSectno"/>
        </w:rPr>
        <w:t>26</w:t>
      </w:r>
      <w:r>
        <w:rPr>
          <w:snapToGrid w:val="0"/>
        </w:rPr>
        <w:t>.</w:t>
      </w:r>
      <w:r>
        <w:rPr>
          <w:snapToGrid w:val="0"/>
        </w:rPr>
        <w:tab/>
        <w:t>Commission to act according to equity and good conscience</w:t>
      </w:r>
      <w:bookmarkEnd w:id="137"/>
      <w:bookmarkEnd w:id="138"/>
      <w:bookmarkEnd w:id="139"/>
    </w:p>
    <w:p>
      <w:pPr>
        <w:pStyle w:val="Subsection"/>
        <w:rPr>
          <w:snapToGrid w:val="0"/>
        </w:rPr>
      </w:pPr>
      <w:r>
        <w:rPr>
          <w:snapToGrid w:val="0"/>
        </w:rPr>
        <w:tab/>
        <w:t>(1)</w:t>
      </w:r>
      <w:r>
        <w:rPr>
          <w:snapToGrid w:val="0"/>
        </w:rPr>
        <w:tab/>
        <w:t>In the exercise of its jurisdiction under this Act the Commission —</w:t>
      </w:r>
    </w:p>
    <w:p>
      <w:pPr>
        <w:pStyle w:val="Indenta"/>
        <w:spacing w:before="60"/>
        <w:rPr>
          <w:snapToGrid w:val="0"/>
        </w:rPr>
      </w:pPr>
      <w:r>
        <w:rPr>
          <w:snapToGrid w:val="0"/>
        </w:rPr>
        <w:tab/>
        <w:t>(a)</w:t>
      </w:r>
      <w:r>
        <w:rPr>
          <w:snapToGrid w:val="0"/>
        </w:rPr>
        <w:tab/>
        <w:t>shall act according to equity, good conscience, and the substantial merits of the case without regard to technicalities or legal forms; and</w:t>
      </w:r>
    </w:p>
    <w:p>
      <w:pPr>
        <w:pStyle w:val="Indenta"/>
        <w:spacing w:before="60"/>
        <w:rPr>
          <w:snapToGrid w:val="0"/>
        </w:rPr>
      </w:pPr>
      <w:r>
        <w:rPr>
          <w:snapToGrid w:val="0"/>
        </w:rPr>
        <w:tab/>
        <w:t>(b)</w:t>
      </w:r>
      <w:r>
        <w:rPr>
          <w:snapToGrid w:val="0"/>
        </w:rPr>
        <w:tab/>
        <w:t>shall not be bound by any rules of evidence, but may inform itself on any matter in such a way as it thinks just; and</w:t>
      </w:r>
    </w:p>
    <w:p>
      <w:pPr>
        <w:pStyle w:val="Indenta"/>
        <w:spacing w:before="60"/>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spacing w:before="60"/>
        <w:rPr>
          <w:snapToGrid w:val="0"/>
        </w:rPr>
      </w:pPr>
      <w:r>
        <w:rPr>
          <w:snapToGrid w:val="0"/>
        </w:rPr>
        <w:tab/>
        <w:t>(d)</w:t>
      </w:r>
      <w:r>
        <w:rPr>
          <w:snapToGrid w:val="0"/>
        </w:rPr>
        <w:tab/>
        <w:t>shall take into consideration to the extent that it is relevant —</w:t>
      </w:r>
    </w:p>
    <w:p>
      <w:pPr>
        <w:pStyle w:val="Indenti"/>
        <w:spacing w:before="60"/>
        <w:rPr>
          <w:snapToGrid w:val="0"/>
        </w:rPr>
      </w:pPr>
      <w:r>
        <w:rPr>
          <w:snapToGrid w:val="0"/>
        </w:rPr>
        <w:tab/>
        <w:t>(i)</w:t>
      </w:r>
      <w:r>
        <w:rPr>
          <w:snapToGrid w:val="0"/>
        </w:rPr>
        <w:tab/>
        <w:t>the state of the national economy;</w:t>
      </w:r>
    </w:p>
    <w:p>
      <w:pPr>
        <w:pStyle w:val="Indenti"/>
        <w:spacing w:before="60"/>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spacing w:before="60"/>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spacing w:before="60"/>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spacing w:before="60"/>
        <w:rPr>
          <w:snapToGrid w:val="0"/>
        </w:rPr>
      </w:pPr>
      <w:r>
        <w:rPr>
          <w:snapToGrid w:val="0"/>
        </w:rPr>
        <w:tab/>
        <w:t>(v)</w:t>
      </w:r>
      <w:r>
        <w:rPr>
          <w:snapToGrid w:val="0"/>
        </w:rPr>
        <w:tab/>
        <w:t>any changes in productivity that have occurred or are likely to occur;</w:t>
      </w:r>
    </w:p>
    <w:p>
      <w:pPr>
        <w:pStyle w:val="Indenti"/>
        <w:spacing w:before="60"/>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spacing w:before="60"/>
        <w:rPr>
          <w:snapToGrid w:val="0"/>
        </w:rPr>
      </w:pPr>
      <w:r>
        <w:tab/>
        <w:t>(vii)</w:t>
      </w:r>
      <w:r>
        <w:tab/>
        <w:t>the need to encourage employers, employees and organisations to reach agreements appropriate to the needs of enterprises and the employees in those enterprises.</w:t>
      </w:r>
    </w:p>
    <w:p>
      <w:pPr>
        <w:pStyle w:val="Subsection"/>
      </w:pPr>
      <w:r>
        <w:tab/>
        <w:t>(2A)</w:t>
      </w:r>
      <w:r>
        <w:tab/>
        <w:t xml:space="preserve">In making a public sector decision the Commission must take into consideration the following — </w:t>
      </w:r>
    </w:p>
    <w:p>
      <w:pPr>
        <w:pStyle w:val="Indenta"/>
      </w:pPr>
      <w:r>
        <w:tab/>
        <w:t>(a)</w:t>
      </w:r>
      <w:r>
        <w:tab/>
        <w:t>any Public Sector Wages Policy Statement that is applicable in relation to negotiations with the public sector entity;</w:t>
      </w:r>
    </w:p>
    <w:p>
      <w:pPr>
        <w:pStyle w:val="Indenta"/>
      </w:pPr>
      <w:r>
        <w:tab/>
        <w:t>(b)</w:t>
      </w:r>
      <w:r>
        <w:tab/>
        <w:t xml:space="preserve">the financial position and fiscal strategy of the State as set out in the following — </w:t>
      </w:r>
    </w:p>
    <w:p>
      <w:pPr>
        <w:pStyle w:val="Indenti"/>
      </w:pPr>
      <w:r>
        <w:tab/>
        <w:t>(i)</w:t>
      </w:r>
      <w:r>
        <w:tab/>
        <w:t xml:space="preserve">the most recent Government Financial Strategy Statement released under the </w:t>
      </w:r>
      <w:r>
        <w:rPr>
          <w:i/>
        </w:rPr>
        <w:t>Government Financial Responsibility Act 2000</w:t>
      </w:r>
      <w:r>
        <w:t xml:space="preserve"> section 11(1) and made publicly available under section 9 of that Act;</w:t>
      </w:r>
    </w:p>
    <w:p>
      <w:pPr>
        <w:pStyle w:val="Indenti"/>
      </w:pPr>
      <w:r>
        <w:tab/>
        <w:t>(ii)</w:t>
      </w:r>
      <w:r>
        <w:tab/>
        <w:t>the Government Financial Projections Statement;</w:t>
      </w:r>
    </w:p>
    <w:p>
      <w:pPr>
        <w:pStyle w:val="Indenti"/>
      </w:pPr>
      <w:r>
        <w:tab/>
        <w:t>(iii)</w:t>
      </w:r>
      <w:r>
        <w:tab/>
        <w:t>any submissions made to the Commission on behalf of the public sector entity or the State government;</w:t>
      </w:r>
    </w:p>
    <w:p>
      <w:pPr>
        <w:pStyle w:val="Indenta"/>
      </w:pPr>
      <w:r>
        <w:tab/>
        <w:t>(c)</w:t>
      </w:r>
      <w:r>
        <w:tab/>
        <w:t xml:space="preserve">the financial position of the public sector entity as set out in the following — </w:t>
      </w:r>
    </w:p>
    <w:p>
      <w:pPr>
        <w:pStyle w:val="Indenti"/>
      </w:pPr>
      <w:r>
        <w:tab/>
        <w:t>(i)</w:t>
      </w:r>
      <w:r>
        <w:tab/>
        <w:t>the part of the most recent budget papers tabled in the Legislative Assembly that deals with the public sector entity under the title “Agency Information in Support of the Estimates” or, if the regulations prescribe another part of those budget papers, that other part;</w:t>
      </w:r>
    </w:p>
    <w:p>
      <w:pPr>
        <w:pStyle w:val="Indenti"/>
      </w:pPr>
      <w:r>
        <w:tab/>
        <w:t>(ii)</w:t>
      </w:r>
      <w:r>
        <w:tab/>
        <w:t>any submissions made to the Commission on behalf of the public sector entity or the State government.</w:t>
      </w:r>
    </w:p>
    <w:p>
      <w:pPr>
        <w:pStyle w:val="Subsection"/>
      </w:pPr>
      <w:r>
        <w:tab/>
        <w:t>(2B)</w:t>
      </w:r>
      <w:r>
        <w:tab/>
        <w:t xml:space="preserve">In subsection (2A) — </w:t>
      </w:r>
    </w:p>
    <w:p>
      <w:pPr>
        <w:pStyle w:val="Defstart"/>
      </w:pPr>
      <w:r>
        <w:tab/>
      </w:r>
      <w:r>
        <w:rPr>
          <w:rStyle w:val="CharDefText"/>
        </w:rPr>
        <w:t>Government Financial Projections Statement</w:t>
      </w:r>
      <w:r>
        <w:t xml:space="preserve"> means whichever is the most recent of the following — </w:t>
      </w:r>
    </w:p>
    <w:p>
      <w:pPr>
        <w:pStyle w:val="Defpara"/>
      </w:pPr>
      <w:r>
        <w:tab/>
        <w:t>(a)</w:t>
      </w:r>
      <w:r>
        <w:tab/>
        <w:t xml:space="preserve">the most recent Government Financial Projections Statement that is — </w:t>
      </w:r>
    </w:p>
    <w:p>
      <w:pPr>
        <w:pStyle w:val="Defsubpara"/>
      </w:pPr>
      <w:r>
        <w:tab/>
        <w:t>(i)</w:t>
      </w:r>
      <w:r>
        <w:tab/>
        <w:t xml:space="preserve">released under the </w:t>
      </w:r>
      <w:r>
        <w:rPr>
          <w:i/>
        </w:rPr>
        <w:t>Government Financial Responsibility Act 2000</w:t>
      </w:r>
      <w:r>
        <w:t xml:space="preserve"> section 12(1); and</w:t>
      </w:r>
    </w:p>
    <w:p>
      <w:pPr>
        <w:pStyle w:val="Defsubpara"/>
      </w:pPr>
      <w:r>
        <w:tab/>
        <w:t>(ii)</w:t>
      </w:r>
      <w:r>
        <w:tab/>
        <w:t>made publicly available in the budget papers tabled in the Legislative Assembly under the title “Economic and Fiscal Outlook” or, if the regulations prescribe another part of the budget papers, that other part;</w:t>
      </w:r>
    </w:p>
    <w:p>
      <w:pPr>
        <w:pStyle w:val="Defpara"/>
      </w:pPr>
      <w:r>
        <w:tab/>
        <w:t>(b)</w:t>
      </w:r>
      <w:r>
        <w:tab/>
        <w:t xml:space="preserve">the most recent Government Mid-year Financial Projections Statement that is — </w:t>
      </w:r>
    </w:p>
    <w:p>
      <w:pPr>
        <w:pStyle w:val="Defsubpara"/>
      </w:pPr>
      <w:r>
        <w:tab/>
        <w:t>(i)</w:t>
      </w:r>
      <w:r>
        <w:tab/>
        <w:t xml:space="preserve">released under the Government </w:t>
      </w:r>
      <w:r>
        <w:rPr>
          <w:i/>
        </w:rPr>
        <w:t>Financial Responsibility Act 2000</w:t>
      </w:r>
      <w:r>
        <w:t xml:space="preserve"> section 13(1); and</w:t>
      </w:r>
    </w:p>
    <w:p>
      <w:pPr>
        <w:pStyle w:val="Defsubpara"/>
      </w:pPr>
      <w:r>
        <w:tab/>
        <w:t>(ii)</w:t>
      </w:r>
      <w:r>
        <w:tab/>
        <w:t>made publicly available under section 9 of that Act;</w:t>
      </w:r>
    </w:p>
    <w:p>
      <w:pPr>
        <w:pStyle w:val="Defstart"/>
      </w:pPr>
      <w:r>
        <w:tab/>
      </w:r>
      <w:r>
        <w:rPr>
          <w:rStyle w:val="CharDefText"/>
        </w:rPr>
        <w:t>public sector decision</w:t>
      </w:r>
      <w:r>
        <w:t xml:space="preserve"> means any of the following — </w:t>
      </w:r>
    </w:p>
    <w:p>
      <w:pPr>
        <w:pStyle w:val="Defpara"/>
      </w:pPr>
      <w:r>
        <w:tab/>
        <w:t>(a)</w:t>
      </w:r>
      <w:r>
        <w:tab/>
        <w:t xml:space="preserve">an order made under section 42G that will be included in an agreement that will extend to and bind a public sector entity or its employing authority (as defined in the </w:t>
      </w:r>
      <w:r>
        <w:rPr>
          <w:i/>
        </w:rPr>
        <w:t>Public Sector Management Act 1994</w:t>
      </w:r>
      <w:r>
        <w:t xml:space="preserve"> section 5);</w:t>
      </w:r>
    </w:p>
    <w:p>
      <w:pPr>
        <w:pStyle w:val="Defpara"/>
      </w:pPr>
      <w:r>
        <w:tab/>
        <w:t>(b)</w:t>
      </w:r>
      <w:r>
        <w:tab/>
        <w:t xml:space="preserve">an enterprise order that will extend to and bind a public sector entity or its employing authority (as defined in the </w:t>
      </w:r>
      <w:r>
        <w:rPr>
          <w:i/>
        </w:rPr>
        <w:t>Public Sector Management Act 1994</w:t>
      </w:r>
      <w:r>
        <w:t xml:space="preserve"> section 5);</w:t>
      </w:r>
    </w:p>
    <w:p>
      <w:pPr>
        <w:pStyle w:val="Defpara"/>
      </w:pPr>
      <w:r>
        <w:tab/>
        <w:t>(c)</w:t>
      </w:r>
      <w:r>
        <w:tab/>
        <w:t xml:space="preserve">if the matters set out in subsection (2A)(a), (b) and (c) are relevant to the decision, any other decision that will extend to and bind a public sector entity or its employing authority (as defined in the </w:t>
      </w:r>
      <w:r>
        <w:rPr>
          <w:i/>
        </w:rPr>
        <w:t>Public Sector Management Act 1994</w:t>
      </w:r>
      <w:r>
        <w:t xml:space="preserve"> section 5);</w:t>
      </w:r>
    </w:p>
    <w:p>
      <w:pPr>
        <w:pStyle w:val="Defstart"/>
      </w:pPr>
      <w:r>
        <w:tab/>
      </w:r>
      <w:r>
        <w:rPr>
          <w:rStyle w:val="CharDefText"/>
        </w:rPr>
        <w:t>public sector entity</w:t>
      </w:r>
      <w:r>
        <w:t xml:space="preserve"> means either of the following — </w:t>
      </w:r>
    </w:p>
    <w:p>
      <w:pPr>
        <w:pStyle w:val="Defpara"/>
      </w:pPr>
      <w:r>
        <w:tab/>
        <w:t>(a)</w:t>
      </w:r>
      <w:r>
        <w:tab/>
        <w:t xml:space="preserve">a public sector body as defined in the </w:t>
      </w:r>
      <w:r>
        <w:rPr>
          <w:i/>
        </w:rPr>
        <w:t>Public Sector Management Act 1994</w:t>
      </w:r>
      <w:r>
        <w:t xml:space="preserve"> section 3(1);</w:t>
      </w:r>
    </w:p>
    <w:p>
      <w:pPr>
        <w:pStyle w:val="Defpara"/>
      </w:pPr>
      <w:r>
        <w:tab/>
        <w:t>(b)</w:t>
      </w:r>
      <w:r>
        <w:tab/>
        <w:t xml:space="preserve">an entity that is — </w:t>
      </w:r>
    </w:p>
    <w:p>
      <w:pPr>
        <w:pStyle w:val="Defsubpara"/>
      </w:pPr>
      <w:r>
        <w:tab/>
        <w:t>(i)</w:t>
      </w:r>
      <w:r>
        <w:tab/>
        <w:t xml:space="preserve">mentioned in the </w:t>
      </w:r>
      <w:r>
        <w:rPr>
          <w:i/>
        </w:rPr>
        <w:t xml:space="preserve">Public Sector Management Act 1994 </w:t>
      </w:r>
      <w:r>
        <w:t>Schedule 1; and</w:t>
      </w:r>
    </w:p>
    <w:p>
      <w:pPr>
        <w:pStyle w:val="Defsubpara"/>
      </w:pPr>
      <w:r>
        <w:tab/>
        <w:t>(ii)</w:t>
      </w:r>
      <w:r>
        <w:tab/>
        <w:t>prescribed by regulations made by the Governor;</w:t>
      </w:r>
    </w:p>
    <w:p>
      <w:pPr>
        <w:pStyle w:val="Defstart"/>
      </w:pPr>
      <w:r>
        <w:tab/>
      </w:r>
      <w:r>
        <w:rPr>
          <w:rStyle w:val="CharDefText"/>
        </w:rPr>
        <w:t xml:space="preserve">Public Sector Wages Policy Statement </w:t>
      </w:r>
      <w:r>
        <w:t xml:space="preserve">means — </w:t>
      </w:r>
    </w:p>
    <w:p>
      <w:pPr>
        <w:pStyle w:val="Defpara"/>
      </w:pPr>
      <w:r>
        <w:tab/>
        <w:t>(a)</w:t>
      </w:r>
      <w:r>
        <w:tab/>
        <w:t>the Public Sector Wages Policy Statement 2014 issued by the State government that applies to industrial agreements expiring after 1 November 2013; or</w:t>
      </w:r>
    </w:p>
    <w:p>
      <w:pPr>
        <w:pStyle w:val="Defpara"/>
      </w:pPr>
      <w:r>
        <w:tab/>
        <w:t>(b)</w:t>
      </w:r>
      <w:r>
        <w:tab/>
        <w:t>if any Public Sector Wages Policy Statement is issued in substitution for that statement, the later statement.</w:t>
      </w:r>
    </w:p>
    <w:p>
      <w:pPr>
        <w:pStyle w:val="Subsection"/>
      </w:pPr>
      <w:r>
        <w:tab/>
        <w:t>(2C)</w:t>
      </w:r>
      <w:r>
        <w:tab/>
        <w:t>The matters the Commission is required to take into consideration under subsection (2A) are in addition to any matter it is required to take into consideration under subsection (1)(d).</w:t>
      </w:r>
    </w:p>
    <w:p>
      <w:pPr>
        <w:pStyle w:val="Subsection"/>
      </w:pPr>
      <w:r>
        <w:tab/>
        <w:t>(2D)</w:t>
      </w:r>
      <w:r>
        <w:tab/>
        <w:t xml:space="preserve">Subsection (2A) — </w:t>
      </w:r>
    </w:p>
    <w:p>
      <w:pPr>
        <w:pStyle w:val="Indenta"/>
      </w:pPr>
      <w:r>
        <w:tab/>
        <w:t>(a)</w:t>
      </w:r>
      <w:r>
        <w:tab/>
        <w:t xml:space="preserve">does not apply in relation to — </w:t>
      </w:r>
    </w:p>
    <w:p>
      <w:pPr>
        <w:pStyle w:val="Indenti"/>
      </w:pPr>
      <w:r>
        <w:tab/>
        <w:t>(i)</w:t>
      </w:r>
      <w:r>
        <w:tab/>
        <w:t>an order made under section 42G in respect of an agreement proposed to be made in substitution for an industrial agreement that specifies a nominal expiry date that is earlier than 1 November 2013; or</w:t>
      </w:r>
    </w:p>
    <w:p>
      <w:pPr>
        <w:pStyle w:val="Indenti"/>
      </w:pPr>
      <w:r>
        <w:tab/>
        <w:t>(ii)</w:t>
      </w:r>
      <w:r>
        <w:tab/>
        <w:t>an enterprise order made in substitution for an enterprise order that provides for an expiry day that is earlier than 1 November 2013;</w:t>
      </w:r>
    </w:p>
    <w:p>
      <w:pPr>
        <w:pStyle w:val="Indenta"/>
      </w:pPr>
      <w:r>
        <w:tab/>
      </w:r>
      <w:r>
        <w:tab/>
        <w:t>but</w:t>
      </w:r>
    </w:p>
    <w:p>
      <w:pPr>
        <w:pStyle w:val="Indenta"/>
      </w:pPr>
      <w:r>
        <w:tab/>
        <w:t>(b)</w:t>
      </w:r>
      <w:r>
        <w:tab/>
        <w:t xml:space="preserve">except as provided in paragraph (a), applies in relation to any public sector decision in respect of a matter arising before, on or after the commencement of the </w:t>
      </w:r>
      <w:r>
        <w:rPr>
          <w:i/>
        </w:rPr>
        <w:t>Workforce Reform Act 2014</w:t>
      </w:r>
      <w:r>
        <w:t xml:space="preserve"> section 4.</w:t>
      </w:r>
    </w:p>
    <w:p>
      <w:pPr>
        <w:pStyle w:val="Subsection"/>
      </w:pPr>
      <w:r>
        <w:tab/>
        <w:t>(2E)</w:t>
      </w:r>
      <w:r>
        <w:tab/>
        <w:t>Subsections (1)(d) and (2A) do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[Section 26 amended by No. 121 of 1982 s. 9; No. 94 of 1984 s. 17; No. 79 of 1995 s. 9; No. 20 of 2002 s. 129; No. 36 of 2006 s. 10; No. 8 of 2014 s. 4.]</w:t>
      </w:r>
    </w:p>
    <w:p>
      <w:pPr>
        <w:pStyle w:val="Ednotesection"/>
        <w:ind w:left="890" w:hanging="890"/>
      </w:pPr>
      <w:r>
        <w:t>[</w:t>
      </w:r>
      <w:r>
        <w:rPr>
          <w:b/>
        </w:rPr>
        <w:t>26A.</w:t>
      </w:r>
      <w:r>
        <w:tab/>
        <w:t>Deleted by No. 20 of 2002 s. 111(6).]</w:t>
      </w:r>
    </w:p>
    <w:p>
      <w:pPr>
        <w:pStyle w:val="Heading5"/>
        <w:rPr>
          <w:snapToGrid w:val="0"/>
        </w:rPr>
      </w:pPr>
      <w:bookmarkStart w:id="140" w:name="_Toc471911916"/>
      <w:bookmarkStart w:id="141" w:name="_Toc391894655"/>
      <w:bookmarkStart w:id="142" w:name="_Toc468179127"/>
      <w:r>
        <w:rPr>
          <w:rStyle w:val="CharSectno"/>
        </w:rPr>
        <w:t>27</w:t>
      </w:r>
      <w:r>
        <w:rPr>
          <w:snapToGrid w:val="0"/>
        </w:rPr>
        <w:t>.</w:t>
      </w:r>
      <w:r>
        <w:rPr>
          <w:snapToGrid w:val="0"/>
        </w:rPr>
        <w:tab/>
        <w:t>Powers of Commission</w:t>
      </w:r>
      <w:bookmarkEnd w:id="140"/>
      <w:bookmarkEnd w:id="141"/>
      <w:bookmarkEnd w:id="142"/>
    </w:p>
    <w:p>
      <w:pPr>
        <w:pStyle w:val="Subsection"/>
        <w:keepNext/>
        <w:rPr>
          <w:snapToGrid w:val="0"/>
        </w:rPr>
      </w:pPr>
      <w:r>
        <w:rPr>
          <w:snapToGrid w:val="0"/>
        </w:rPr>
        <w:tab/>
        <w:t>(1)</w:t>
      </w:r>
      <w:r>
        <w:rPr>
          <w:snapToGrid w:val="0"/>
        </w:rPr>
        <w:tab/>
        <w:t>Except as otherwise provided in this Act, the Commission may, in relation to any matter before it —</w:t>
      </w:r>
    </w:p>
    <w:p>
      <w:pPr>
        <w:pStyle w:val="Indenta"/>
        <w:spacing w:before="60"/>
        <w:rPr>
          <w:snapToGrid w:val="0"/>
        </w:rPr>
      </w:pPr>
      <w:r>
        <w:rPr>
          <w:snapToGrid w:val="0"/>
        </w:rPr>
        <w:tab/>
        <w:t>(a)</w:t>
      </w:r>
      <w:r>
        <w:rPr>
          <w:snapToGrid w:val="0"/>
        </w:rPr>
        <w:tab/>
        <w:t>at any stage of the proceedings dismiss the matter or any part thereof or refrain from further hearing or determining the matter or part if it is satisfied —</w:t>
      </w:r>
    </w:p>
    <w:p>
      <w:pPr>
        <w:pStyle w:val="Indenti"/>
        <w:spacing w:before="60"/>
        <w:rPr>
          <w:snapToGrid w:val="0"/>
        </w:rPr>
      </w:pPr>
      <w:r>
        <w:rPr>
          <w:snapToGrid w:val="0"/>
        </w:rPr>
        <w:tab/>
        <w:t>(i)</w:t>
      </w:r>
      <w:r>
        <w:rPr>
          <w:snapToGrid w:val="0"/>
        </w:rPr>
        <w:tab/>
        <w:t>that the matter or part thereof is trivial; or</w:t>
      </w:r>
    </w:p>
    <w:p>
      <w:pPr>
        <w:pStyle w:val="Indenti"/>
        <w:spacing w:before="60"/>
        <w:rPr>
          <w:snapToGrid w:val="0"/>
        </w:rPr>
      </w:pPr>
      <w:r>
        <w:rPr>
          <w:snapToGrid w:val="0"/>
        </w:rPr>
        <w:tab/>
        <w:t>(ii)</w:t>
      </w:r>
      <w:r>
        <w:rPr>
          <w:snapToGrid w:val="0"/>
        </w:rPr>
        <w:tab/>
        <w:t>that further proceedings are not necessary or desirable in the public interest; or</w:t>
      </w:r>
    </w:p>
    <w:p>
      <w:pPr>
        <w:pStyle w:val="Indenti"/>
        <w:spacing w:before="6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6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take evidence on oath or affirmation; and</w:t>
      </w:r>
    </w:p>
    <w:p>
      <w:pPr>
        <w:pStyle w:val="Indenta"/>
        <w:spacing w:before="6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 and</w:t>
      </w:r>
    </w:p>
    <w:p>
      <w:pPr>
        <w:pStyle w:val="Indenta"/>
        <w:spacing w:before="6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 and</w:t>
      </w:r>
    </w:p>
    <w:p>
      <w:pPr>
        <w:pStyle w:val="Indenta"/>
        <w:spacing w:before="60"/>
        <w:rPr>
          <w:snapToGrid w:val="0"/>
        </w:rPr>
      </w:pPr>
      <w:r>
        <w:rPr>
          <w:snapToGrid w:val="0"/>
        </w:rPr>
        <w:tab/>
        <w:t>(e)</w:t>
      </w:r>
      <w:r>
        <w:rPr>
          <w:snapToGrid w:val="0"/>
        </w:rPr>
        <w:tab/>
        <w:t>sit at any time and place; and</w:t>
      </w:r>
    </w:p>
    <w:p>
      <w:pPr>
        <w:pStyle w:val="Indenta"/>
        <w:spacing w:before="60"/>
        <w:rPr>
          <w:snapToGrid w:val="0"/>
        </w:rPr>
      </w:pPr>
      <w:r>
        <w:rPr>
          <w:snapToGrid w:val="0"/>
        </w:rPr>
        <w:tab/>
        <w:t>(f)</w:t>
      </w:r>
      <w:r>
        <w:rPr>
          <w:snapToGrid w:val="0"/>
        </w:rPr>
        <w:tab/>
        <w:t>adjourn to any time and place; and</w:t>
      </w:r>
    </w:p>
    <w:p>
      <w:pPr>
        <w:pStyle w:val="Ednotepara"/>
        <w:spacing w:before="60"/>
        <w:rPr>
          <w:snapToGrid w:val="0"/>
        </w:rPr>
      </w:pPr>
      <w:r>
        <w:rPr>
          <w:snapToGrid w:val="0"/>
        </w:rPr>
        <w:tab/>
        <w:t>[(g)</w:t>
      </w:r>
      <w:r>
        <w:rPr>
          <w:snapToGrid w:val="0"/>
        </w:rPr>
        <w:tab/>
        <w:t>deleted]</w:t>
      </w:r>
    </w:p>
    <w:p>
      <w:pPr>
        <w:pStyle w:val="Indenta"/>
        <w:spacing w:before="60"/>
        <w:rPr>
          <w:snapToGrid w:val="0"/>
        </w:rPr>
      </w:pPr>
      <w:r>
        <w:rPr>
          <w:snapToGrid w:val="0"/>
        </w:rPr>
        <w:tab/>
        <w:t>(h)</w:t>
      </w:r>
      <w:r>
        <w:rPr>
          <w:snapToGrid w:val="0"/>
        </w:rPr>
        <w:tab/>
        <w:t>direct any person, whether a witness or intending witness or not, to leave the place wherein the proceedings are being conducted; and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 and</w:t>
      </w:r>
    </w:p>
    <w:p>
      <w:pPr>
        <w:pStyle w:val="Indenta"/>
      </w:pPr>
      <w:r>
        <w:tab/>
        <w:t>(hb)</w:t>
      </w:r>
      <w:r>
        <w:tab/>
        <w:t>require evidence or argument to be presented in writing, and decide the matters on which it will hear oral evidence or argument; and</w:t>
      </w:r>
    </w:p>
    <w:p>
      <w:pPr>
        <w:pStyle w:val="Indenta"/>
        <w:rPr>
          <w:snapToGrid w:val="0"/>
        </w:rPr>
      </w:pPr>
      <w:r>
        <w:rPr>
          <w:snapToGrid w:val="0"/>
        </w:rPr>
        <w:tab/>
        <w:t>(i)</w:t>
      </w:r>
      <w:r>
        <w:rPr>
          <w:snapToGrid w:val="0"/>
        </w:rPr>
        <w:tab/>
        <w:t>refer any matter to an expert and accept his report as evidence; and</w:t>
      </w:r>
    </w:p>
    <w:p>
      <w:pPr>
        <w:pStyle w:val="Indenta"/>
        <w:rPr>
          <w:snapToGrid w:val="0"/>
        </w:rPr>
      </w:pPr>
      <w:r>
        <w:rPr>
          <w:snapToGrid w:val="0"/>
        </w:rPr>
        <w:tab/>
        <w:t>(j)</w:t>
      </w:r>
      <w:r>
        <w:rPr>
          <w:snapToGrid w:val="0"/>
        </w:rPr>
        <w:tab/>
        <w:t>direct parties to be struck out or persons to be joined; and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 and</w:t>
      </w:r>
    </w:p>
    <w:p>
      <w:pPr>
        <w:pStyle w:val="Indenta"/>
        <w:rPr>
          <w:snapToGrid w:val="0"/>
        </w:rPr>
      </w:pPr>
      <w:r>
        <w:rPr>
          <w:snapToGrid w:val="0"/>
        </w:rPr>
        <w:tab/>
        <w:t>(l)</w:t>
      </w:r>
      <w:r>
        <w:rPr>
          <w:snapToGrid w:val="0"/>
        </w:rPr>
        <w:tab/>
        <w:t>allow the amendment of any proceedings on such terms as it thinks fit; and</w:t>
      </w:r>
    </w:p>
    <w:p>
      <w:pPr>
        <w:pStyle w:val="Indenta"/>
        <w:rPr>
          <w:snapToGrid w:val="0"/>
        </w:rPr>
      </w:pPr>
      <w:r>
        <w:rPr>
          <w:snapToGrid w:val="0"/>
        </w:rPr>
        <w:tab/>
        <w:t>(m)</w:t>
      </w:r>
      <w:r>
        <w:rPr>
          <w:snapToGrid w:val="0"/>
        </w:rPr>
        <w:tab/>
        <w:t>correct, amend, or waive any error, defect, or irregularity whether in substance or in form; and</w:t>
      </w:r>
    </w:p>
    <w:p>
      <w:pPr>
        <w:pStyle w:val="Indenta"/>
        <w:rPr>
          <w:snapToGrid w:val="0"/>
        </w:rPr>
      </w:pPr>
      <w:r>
        <w:rPr>
          <w:snapToGrid w:val="0"/>
        </w:rPr>
        <w:tab/>
        <w:t>(n)</w:t>
      </w:r>
      <w:r>
        <w:rPr>
          <w:snapToGrid w:val="0"/>
        </w:rPr>
        <w:tab/>
        <w:t>extend any prescribed time or any time fixed by an order of the Commission; and</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 and</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 and</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 and</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 and</w:t>
      </w:r>
    </w:p>
    <w:p>
      <w:pPr>
        <w:pStyle w:val="Indenta"/>
        <w:rPr>
          <w:snapToGrid w:val="0"/>
        </w:rPr>
      </w:pPr>
      <w:r>
        <w:rPr>
          <w:snapToGrid w:val="0"/>
        </w:rPr>
        <w:tab/>
        <w:t>(s)</w:t>
      </w:r>
      <w:r>
        <w:rPr>
          <w:snapToGrid w:val="0"/>
        </w:rPr>
        <w:tab/>
        <w:t>consolidate or divide proceedings relating to the same industry and all or any matters before the Commission; and</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 and</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[Section 27 amended by No. 121 of 1982 s. 10; No. 94 of 1984 s. 18 and 66; No. 20 of 2002 s. 122.]</w:t>
      </w:r>
    </w:p>
    <w:p>
      <w:pPr>
        <w:pStyle w:val="Heading5"/>
        <w:rPr>
          <w:snapToGrid w:val="0"/>
        </w:rPr>
      </w:pPr>
      <w:bookmarkStart w:id="143" w:name="_Toc471911917"/>
      <w:bookmarkStart w:id="144" w:name="_Toc391894656"/>
      <w:bookmarkStart w:id="145" w:name="_Toc468179128"/>
      <w:r>
        <w:rPr>
          <w:rStyle w:val="CharSectno"/>
        </w:rPr>
        <w:t>28</w:t>
      </w:r>
      <w:r>
        <w:rPr>
          <w:snapToGrid w:val="0"/>
        </w:rPr>
        <w:t>.</w:t>
      </w:r>
      <w:r>
        <w:rPr>
          <w:snapToGrid w:val="0"/>
        </w:rPr>
        <w:tab/>
      </w:r>
      <w:smartTag w:uri="urn:schemas-microsoft-com:office:smarttags" w:element="place">
        <w:r>
          <w:rPr>
            <w:snapToGrid w:val="0"/>
          </w:rPr>
          <w:t>Po</w:t>
        </w:r>
      </w:smartTag>
      <w:r>
        <w:rPr>
          <w:snapToGrid w:val="0"/>
        </w:rPr>
        <w:t>wers in s. 27 may be exercised at any time after matter lodged</w:t>
      </w:r>
      <w:bookmarkEnd w:id="143"/>
      <w:bookmarkEnd w:id="144"/>
      <w:bookmarkEnd w:id="145"/>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146" w:name="_Toc471911918"/>
      <w:bookmarkStart w:id="147" w:name="_Toc391894657"/>
      <w:bookmarkStart w:id="148" w:name="_Toc468179129"/>
      <w:r>
        <w:rPr>
          <w:rStyle w:val="CharSectno"/>
        </w:rPr>
        <w:t>29</w:t>
      </w:r>
      <w:r>
        <w:rPr>
          <w:snapToGrid w:val="0"/>
        </w:rPr>
        <w:t>.</w:t>
      </w:r>
      <w:r>
        <w:rPr>
          <w:snapToGrid w:val="0"/>
        </w:rPr>
        <w:tab/>
        <w:t xml:space="preserve">Who may refer </w:t>
      </w:r>
      <w:smartTag w:uri="urn:schemas-microsoft-com:office:smarttags" w:element="State">
        <w:smartTag w:uri="urn:schemas-microsoft-com:office:smarttags" w:element="place">
          <w:r>
            <w:rPr>
              <w:snapToGrid w:val="0"/>
            </w:rPr>
            <w:t>ind</w:t>
          </w:r>
        </w:smartTag>
      </w:smartTag>
      <w:r>
        <w:rPr>
          <w:snapToGrid w:val="0"/>
        </w:rPr>
        <w:t>ustrial matters to Commission</w:t>
      </w:r>
      <w:bookmarkEnd w:id="146"/>
      <w:bookmarkEnd w:id="147"/>
      <w:bookmarkEnd w:id="148"/>
    </w:p>
    <w:p>
      <w:pPr>
        <w:pStyle w:val="Subsection"/>
        <w:rPr>
          <w:snapToGrid w:val="0"/>
        </w:rPr>
      </w:pPr>
      <w:r>
        <w:rPr>
          <w:snapToGrid w:val="0"/>
        </w:rPr>
        <w:tab/>
        <w:t>(1)</w:t>
      </w:r>
      <w:r>
        <w:rPr>
          <w:snapToGrid w:val="0"/>
        </w:rPr>
        <w:tab/>
        <w:t>An industrial matter may be referred to the Commission —</w:t>
      </w:r>
    </w:p>
    <w:p>
      <w:pPr>
        <w:pStyle w:val="Indenta"/>
        <w:rPr>
          <w:snapToGrid w:val="0"/>
        </w:rPr>
      </w:pPr>
      <w:r>
        <w:rPr>
          <w:snapToGrid w:val="0"/>
        </w:rPr>
        <w:tab/>
        <w:t>(a)</w:t>
      </w:r>
      <w:r>
        <w:rPr>
          <w:snapToGrid w:val="0"/>
        </w:rPr>
        <w:tab/>
        <w:t>in any case, by —</w:t>
      </w:r>
    </w:p>
    <w:p>
      <w:pPr>
        <w:pStyle w:val="Indenti"/>
        <w:spacing w:before="100"/>
        <w:rPr>
          <w:snapToGrid w:val="0"/>
        </w:rPr>
      </w:pPr>
      <w:r>
        <w:rPr>
          <w:snapToGrid w:val="0"/>
        </w:rPr>
        <w:tab/>
        <w:t>(i)</w:t>
      </w:r>
      <w:r>
        <w:rPr>
          <w:snapToGrid w:val="0"/>
        </w:rPr>
        <w:tab/>
        <w:t>an employer with a sufficient interest in the industrial matter; or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employee agreement has the right to refer to the Commission constituted by a commissioner where the Commission so constituted is the relevant industrial authority under Part VID —</w:t>
      </w:r>
    </w:p>
    <w:p>
      <w:pPr>
        <w:pStyle w:val="Indenta"/>
        <w:spacing w:before="60"/>
      </w:pPr>
      <w:r>
        <w:tab/>
        <w:t>(a)</w:t>
      </w:r>
      <w:r>
        <w:tab/>
        <w:t>any question, dispute or difficulty that the Commission as so constituted has jurisdiction to determine under section 97WI; or</w:t>
      </w:r>
    </w:p>
    <w:p>
      <w:pPr>
        <w:pStyle w:val="Indenta"/>
        <w:spacing w:before="60"/>
      </w:pPr>
      <w:r>
        <w:tab/>
        <w:t>(b)</w:t>
      </w:r>
      <w:r>
        <w:tab/>
        <w:t>an allegation referred to in section 97WK(2).</w:t>
      </w:r>
    </w:p>
    <w:p>
      <w:pPr>
        <w:pStyle w:val="Subsection"/>
        <w:spacing w:before="120"/>
      </w:pPr>
      <w:r>
        <w:tab/>
        <w:t>(2)</w:t>
      </w:r>
      <w:r>
        <w:tab/>
        <w:t>Subject to subsection (3), a referral under subsection (1)(b)(i) is to be made not later than 28 days after the day on which the employee’s employment is terminated.</w:t>
      </w:r>
    </w:p>
    <w:p>
      <w:pPr>
        <w:pStyle w:val="Subsection"/>
        <w:spacing w:before="120"/>
      </w:pPr>
      <w:r>
        <w:tab/>
        <w:t>(3)</w:t>
      </w:r>
      <w:r>
        <w:tab/>
        <w:t>The Commission may accept a referral by an employee under subsection (1)(b)(i) that is out of time if the Commission considers that it would be unfair not to do so.</w:t>
      </w:r>
    </w:p>
    <w:p>
      <w:pPr>
        <w:pStyle w:val="Footnotesection"/>
        <w:spacing w:before="100"/>
        <w:ind w:left="890" w:hanging="890"/>
      </w:pPr>
      <w:r>
        <w:tab/>
        <w:t>[Section 29 inserted by No. 94 of 1984 s. 19; amended by No. 15 of 1993 s. 10; No. 1 of 1995 s. 7 and 43; No. 3 of 1997 s. 24; No. 36 of 1999 s. 247; No. 20 of 2002 s. 7 and 139.]</w:t>
      </w:r>
    </w:p>
    <w:p>
      <w:pPr>
        <w:pStyle w:val="Heading5"/>
      </w:pPr>
      <w:bookmarkStart w:id="149" w:name="_Toc471911919"/>
      <w:bookmarkStart w:id="150" w:name="_Toc391894658"/>
      <w:bookmarkStart w:id="151" w:name="_Toc468179130"/>
      <w:r>
        <w:rPr>
          <w:rStyle w:val="CharSectno"/>
        </w:rPr>
        <w:t>29AA</w:t>
      </w:r>
      <w:r>
        <w:t>.</w:t>
      </w:r>
      <w:r>
        <w:tab/>
        <w:t>Certain claims not to be determined</w:t>
      </w:r>
      <w:bookmarkEnd w:id="149"/>
      <w:bookmarkEnd w:id="150"/>
      <w:bookmarkEnd w:id="151"/>
    </w:p>
    <w:p>
      <w:pPr>
        <w:pStyle w:val="Subsection"/>
        <w:spacing w:before="120"/>
      </w:pPr>
      <w:r>
        <w:tab/>
        <w:t>(1)</w:t>
      </w:r>
      <w:r>
        <w:tab/>
        <w:t>Subject to subsection (2), the Commission must not determine a claim of harsh, oppressive or unfair dismissal from employment if the dismissed employee has lodged an application with Fair Work Australia for relief in respect of the termination of that employment.</w:t>
      </w:r>
    </w:p>
    <w:p>
      <w:pPr>
        <w:pStyle w:val="Subsection"/>
        <w:spacing w:before="120"/>
      </w:pPr>
      <w:r>
        <w:tab/>
        <w:t>(2)</w:t>
      </w:r>
      <w:r>
        <w:tab/>
        <w:t>Despite subsection (1) the Commission may determine the claim if the application to Fair Work Australia is —</w:t>
      </w:r>
    </w:p>
    <w:p>
      <w:pPr>
        <w:pStyle w:val="Indenta"/>
        <w:spacing w:before="60"/>
      </w:pPr>
      <w:r>
        <w:tab/>
        <w:t>(a)</w:t>
      </w:r>
      <w:r>
        <w:tab/>
        <w:t>withdrawn; or</w:t>
      </w:r>
    </w:p>
    <w:p>
      <w:pPr>
        <w:pStyle w:val="Indenta"/>
        <w:spacing w:before="60"/>
      </w:pPr>
      <w:r>
        <w:tab/>
        <w:t>(b)</w:t>
      </w:r>
      <w:r>
        <w:tab/>
        <w:t>rejected or dismissed on the ground that it is not within the jurisdiction of Fair Work Australia to determine the application.</w:t>
      </w:r>
    </w:p>
    <w:p>
      <w:pPr>
        <w:pStyle w:val="Subsection"/>
        <w:spacing w:before="140"/>
      </w:pPr>
      <w:r>
        <w:tab/>
        <w:t>(3)</w:t>
      </w:r>
      <w:r>
        <w:tab/>
        <w:t>The Commission must not determine a claim of harsh, oppressive or unfair dismissal from employment if —</w:t>
      </w:r>
    </w:p>
    <w:p>
      <w:pPr>
        <w:pStyle w:val="Indenta"/>
        <w:spacing w:before="60"/>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The Commission must not determine a claim that an employee has not been allowed by his or her employer a benefit to which the employee is entitled under a contract of employment if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that is not an order prescribed by regulations made by the Governor for the purposes of this section; or</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amended by No. 53 of 2011 s. 39; amended in Gazette 15 Aug 2003 p. 3686.]</w:t>
      </w:r>
    </w:p>
    <w:p>
      <w:pPr>
        <w:pStyle w:val="Heading5"/>
        <w:keepLines w:val="0"/>
        <w:rPr>
          <w:snapToGrid w:val="0"/>
        </w:rPr>
      </w:pPr>
      <w:bookmarkStart w:id="152" w:name="_Toc471911920"/>
      <w:bookmarkStart w:id="153" w:name="_Toc391894659"/>
      <w:bookmarkStart w:id="154" w:name="_Toc468179131"/>
      <w:r>
        <w:rPr>
          <w:rStyle w:val="CharSectno"/>
        </w:rPr>
        <w:t>29A</w:t>
      </w:r>
      <w:r>
        <w:rPr>
          <w:snapToGrid w:val="0"/>
        </w:rPr>
        <w:t>.</w:t>
      </w:r>
      <w:r>
        <w:rPr>
          <w:snapToGrid w:val="0"/>
        </w:rPr>
        <w:tab/>
        <w:t>Proposed award etc., service of etc.</w:t>
      </w:r>
      <w:bookmarkEnd w:id="152"/>
      <w:bookmarkEnd w:id="153"/>
      <w:bookmarkEnd w:id="154"/>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In this section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Subject to subsection (2A) —</w:t>
      </w:r>
    </w:p>
    <w:p>
      <w:pPr>
        <w:pStyle w:val="Indenta"/>
        <w:spacing w:before="70"/>
      </w:pPr>
      <w:r>
        <w:tab/>
        <w:t>(a)</w:t>
      </w:r>
      <w:r>
        <w:tab/>
        <w:t>area and scope provisions of a proposed award or industrial agreement; and</w:t>
      </w:r>
    </w:p>
    <w:p>
      <w:pPr>
        <w:pStyle w:val="Indenta"/>
        <w:spacing w:before="70"/>
      </w:pPr>
      <w:r>
        <w:tab/>
        <w:t>(b)</w:t>
      </w:r>
      <w:r>
        <w:tab/>
        <w:t>proposed variations to the area and scope provisions of an existing award or industrial agreement,</w:t>
      </w:r>
    </w:p>
    <w:p>
      <w:pPr>
        <w:pStyle w:val="Subsection"/>
        <w:spacing w:before="120"/>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w:t>
      </w:r>
    </w:p>
    <w:p>
      <w:pPr>
        <w:pStyle w:val="Indenta"/>
        <w:spacing w:before="70"/>
        <w:rPr>
          <w:snapToGrid w:val="0"/>
        </w:rPr>
      </w:pPr>
      <w:r>
        <w:rPr>
          <w:snapToGrid w:val="0"/>
        </w:rPr>
        <w:tab/>
        <w:t>(a)</w:t>
      </w:r>
      <w:r>
        <w:rPr>
          <w:snapToGrid w:val="0"/>
        </w:rPr>
        <w:tab/>
        <w:t>in the case of a proposed award or variation of an award, on —</w:t>
      </w:r>
    </w:p>
    <w:p>
      <w:pPr>
        <w:pStyle w:val="Indenti"/>
        <w:spacing w:before="70"/>
        <w:rPr>
          <w:snapToGrid w:val="0"/>
        </w:rPr>
      </w:pPr>
      <w:r>
        <w:rPr>
          <w:snapToGrid w:val="0"/>
        </w:rPr>
        <w:tab/>
        <w:t>(i)</w:t>
      </w:r>
      <w:r>
        <w:rPr>
          <w:snapToGrid w:val="0"/>
        </w:rPr>
        <w:tab/>
      </w:r>
      <w:r>
        <w:t>UnionsWA</w:t>
      </w:r>
      <w:r>
        <w:rPr>
          <w:snapToGrid w:val="0"/>
        </w:rPr>
        <w:t>, the Chamber, the Mines and Metals Association and the Minister; and</w:t>
      </w:r>
    </w:p>
    <w:p>
      <w:pPr>
        <w:pStyle w:val="Indenti"/>
        <w:spacing w:before="70"/>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spacing w:before="70"/>
        <w:rPr>
          <w:snapToGrid w:val="0"/>
        </w:rPr>
      </w:pPr>
      <w:r>
        <w:rPr>
          <w:snapToGrid w:val="0"/>
        </w:rPr>
        <w:tab/>
        <w:t>(b)</w:t>
      </w:r>
      <w:r>
        <w:rPr>
          <w:snapToGrid w:val="0"/>
        </w:rPr>
        <w:tab/>
        <w:t>in the case of the proposed registration or variation of an industrial agreement, on</w:t>
      </w:r>
      <w:r>
        <w:t xml:space="preserve"> UnionsWA</w:t>
      </w:r>
      <w:r>
        <w:rPr>
          <w:snapToGrid w:val="0"/>
        </w:rPr>
        <w:t>, the Chamber, the Mines and Metals Association and the Minister.</w:t>
      </w:r>
    </w:p>
    <w:p>
      <w:pPr>
        <w:pStyle w:val="Subsection"/>
      </w:pPr>
      <w:r>
        <w:tab/>
        <w:t>(2A)</w:t>
      </w:r>
      <w:r>
        <w:tab/>
        <w:t>The Chief Commissioner may, if of the opinion that it is appropriate to do so in the circumstances, direct that the area and scope provisions of the proposed award or industrial agreement —</w:t>
      </w:r>
    </w:p>
    <w:p>
      <w:pPr>
        <w:pStyle w:val="Indenta"/>
      </w:pPr>
      <w:r>
        <w:tab/>
        <w:t>(a)</w:t>
      </w:r>
      <w:r>
        <w:tab/>
        <w:t xml:space="preserve">need not be published in the </w:t>
      </w:r>
      <w:r>
        <w:rPr>
          <w:i/>
          <w:iCs/>
        </w:rPr>
        <w:t>Industrial Gazette</w:t>
      </w:r>
      <w:r>
        <w:t>; or</w:t>
      </w:r>
    </w:p>
    <w:p>
      <w:pPr>
        <w:pStyle w:val="Indenta"/>
      </w:pPr>
      <w:r>
        <w:tab/>
        <w:t>(b)</w:t>
      </w:r>
      <w:r>
        <w:tab/>
        <w:t>need not be published at all.</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by No. 94 of 1984 s. 19; amended by No. 119 of 1987 s. 8; No. 15 of 1993 s. 31; No. 20 of 2002 s. 115; No. 53 of 2011 s. 41 and 48.]</w:t>
      </w:r>
    </w:p>
    <w:p>
      <w:pPr>
        <w:pStyle w:val="Heading5"/>
        <w:rPr>
          <w:snapToGrid w:val="0"/>
        </w:rPr>
      </w:pPr>
      <w:bookmarkStart w:id="155" w:name="_Toc471911921"/>
      <w:bookmarkStart w:id="156" w:name="_Toc391894660"/>
      <w:bookmarkStart w:id="157" w:name="_Toc468179132"/>
      <w:r>
        <w:rPr>
          <w:rStyle w:val="CharSectno"/>
        </w:rPr>
        <w:t>29B</w:t>
      </w:r>
      <w:r>
        <w:rPr>
          <w:snapToGrid w:val="0"/>
        </w:rPr>
        <w:t>.</w:t>
      </w:r>
      <w:r>
        <w:rPr>
          <w:snapToGrid w:val="0"/>
        </w:rPr>
        <w:tab/>
        <w:t>Parties to proceedings</w:t>
      </w:r>
      <w:bookmarkEnd w:id="155"/>
      <w:bookmarkEnd w:id="156"/>
      <w:bookmarkEnd w:id="157"/>
    </w:p>
    <w:p>
      <w:pPr>
        <w:pStyle w:val="Subsection"/>
        <w:rPr>
          <w:snapToGrid w:val="0"/>
        </w:rPr>
      </w:pPr>
      <w:r>
        <w:rPr>
          <w:snapToGrid w:val="0"/>
        </w:rPr>
        <w:tab/>
      </w:r>
      <w:r>
        <w:rPr>
          <w:snapToGrid w:val="0"/>
        </w:rPr>
        <w:tab/>
        <w:t>Subject to section 27(1)(j) the parties to proceedings before the Commission shall be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[Section 29B inserted by No. 94 of 1984 s. 19.]</w:t>
      </w:r>
    </w:p>
    <w:p>
      <w:pPr>
        <w:pStyle w:val="Heading5"/>
        <w:rPr>
          <w:snapToGrid w:val="0"/>
        </w:rPr>
      </w:pPr>
      <w:bookmarkStart w:id="158" w:name="_Toc471911922"/>
      <w:bookmarkStart w:id="159" w:name="_Toc391894661"/>
      <w:bookmarkStart w:id="160" w:name="_Toc468179133"/>
      <w:r>
        <w:rPr>
          <w:rStyle w:val="CharSectno"/>
        </w:rPr>
        <w:t>30</w:t>
      </w:r>
      <w:r>
        <w:rPr>
          <w:snapToGrid w:val="0"/>
        </w:rPr>
        <w:t>.</w:t>
      </w:r>
      <w:r>
        <w:rPr>
          <w:snapToGrid w:val="0"/>
        </w:rPr>
        <w:tab/>
        <w:t>Minister may intervene on behalf of State</w:t>
      </w:r>
      <w:bookmarkEnd w:id="158"/>
      <w:bookmarkEnd w:id="159"/>
      <w:bookmarkEnd w:id="160"/>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[Section 30 inserted by No. 94 of 1984 s. 19; amended by No. 36 of 2006 s. 11.]</w:t>
      </w:r>
    </w:p>
    <w:p>
      <w:pPr>
        <w:pStyle w:val="Heading5"/>
        <w:spacing w:before="180"/>
        <w:rPr>
          <w:snapToGrid w:val="0"/>
        </w:rPr>
      </w:pPr>
      <w:bookmarkStart w:id="161" w:name="_Toc471911923"/>
      <w:bookmarkStart w:id="162" w:name="_Toc391894662"/>
      <w:bookmarkStart w:id="163" w:name="_Toc468179134"/>
      <w:r>
        <w:rPr>
          <w:rStyle w:val="CharSectno"/>
        </w:rPr>
        <w:t>31</w:t>
      </w:r>
      <w:r>
        <w:rPr>
          <w:snapToGrid w:val="0"/>
        </w:rPr>
        <w:t>.</w:t>
      </w:r>
      <w:r>
        <w:rPr>
          <w:snapToGrid w:val="0"/>
        </w:rPr>
        <w:tab/>
        <w:t>Representation of parties to proceedings</w:t>
      </w:r>
      <w:bookmarkEnd w:id="161"/>
      <w:bookmarkEnd w:id="162"/>
      <w:bookmarkEnd w:id="163"/>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w:t>
      </w:r>
    </w:p>
    <w:p>
      <w:pPr>
        <w:pStyle w:val="Indenta"/>
        <w:rPr>
          <w:snapToGrid w:val="0"/>
        </w:rPr>
      </w:pPr>
      <w:r>
        <w:rPr>
          <w:snapToGrid w:val="0"/>
        </w:rPr>
        <w:tab/>
        <w:t>(a)</w:t>
      </w:r>
      <w:r>
        <w:rPr>
          <w:snapToGrid w:val="0"/>
        </w:rPr>
        <w:tab/>
        <w:t>in person; or</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UnionsWA</w:t>
      </w:r>
      <w:r>
        <w:rPr>
          <w:snapToGrid w:val="0"/>
        </w:rPr>
        <w:t xml:space="preserve">, the Chamber, the Mines and Metals Association, the Minister or the Minister of the Commonwealth administering the Department of the Commonwealth that has the administration of the </w:t>
      </w:r>
      <w:r>
        <w:rPr>
          <w:i/>
        </w:rPr>
        <w:t>Fair Work Act 2009</w:t>
      </w:r>
      <w:r>
        <w:t xml:space="preserve"> (Commonwealth);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rPr>
      </w:pPr>
      <w:r>
        <w:rPr>
          <w:color w:val="000000"/>
          <w:szCs w:val="24"/>
        </w:rPr>
        <w:tab/>
        <w:t>(2)</w:t>
      </w:r>
      <w:r>
        <w:rPr>
          <w:color w:val="000000"/>
          <w:szCs w:val="24"/>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by No. 121 of 1982 s. 12; No. 94 of 1984 s. 20 and 66; No. 15 of 1993 s. 31; No. 1 of 1995 s. 8; No. 36 of 1999 s. 247; No. 21 of 2008 s. 668(4); No. 53 of 2011 s. 33 and 48.]</w:t>
      </w:r>
    </w:p>
    <w:p>
      <w:pPr>
        <w:pStyle w:val="Heading5"/>
        <w:rPr>
          <w:snapToGrid w:val="0"/>
        </w:rPr>
      </w:pPr>
      <w:bookmarkStart w:id="164" w:name="_Toc471911924"/>
      <w:bookmarkStart w:id="165" w:name="_Toc391894663"/>
      <w:bookmarkStart w:id="166" w:name="_Toc468179135"/>
      <w:r>
        <w:rPr>
          <w:rStyle w:val="CharSectno"/>
        </w:rPr>
        <w:t>32</w:t>
      </w:r>
      <w:r>
        <w:rPr>
          <w:snapToGrid w:val="0"/>
        </w:rPr>
        <w:t>.</w:t>
      </w:r>
      <w:r>
        <w:rPr>
          <w:snapToGrid w:val="0"/>
        </w:rPr>
        <w:tab/>
        <w:t>Conciliation and arbitration of industrial matters</w:t>
      </w:r>
      <w:bookmarkEnd w:id="164"/>
      <w:bookmarkEnd w:id="165"/>
      <w:bookmarkEnd w:id="166"/>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w:t>
      </w:r>
    </w:p>
    <w:p>
      <w:pPr>
        <w:pStyle w:val="Indenta"/>
        <w:spacing w:before="70"/>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 and</w:t>
      </w:r>
    </w:p>
    <w:p>
      <w:pPr>
        <w:pStyle w:val="Indenta"/>
        <w:spacing w:before="70"/>
        <w:rPr>
          <w:snapToGrid w:val="0"/>
        </w:rPr>
      </w:pPr>
      <w:r>
        <w:rPr>
          <w:snapToGrid w:val="0"/>
        </w:rPr>
        <w:tab/>
        <w:t>(b)</w:t>
      </w:r>
      <w:r>
        <w:rPr>
          <w:snapToGrid w:val="0"/>
        </w:rPr>
        <w:tab/>
        <w:t>preface each direction, order or declaration given or made by it under subsection (8) —</w:t>
      </w:r>
    </w:p>
    <w:p>
      <w:pPr>
        <w:pStyle w:val="Indenti"/>
        <w:spacing w:before="70"/>
        <w:rPr>
          <w:snapToGrid w:val="0"/>
        </w:rPr>
      </w:pPr>
      <w:r>
        <w:rPr>
          <w:snapToGrid w:val="0"/>
        </w:rPr>
        <w:tab/>
        <w:t>(i)</w:t>
      </w:r>
      <w:r>
        <w:rPr>
          <w:snapToGrid w:val="0"/>
        </w:rPr>
        <w:tab/>
        <w:t>if so given or made in writing, at the time of that giving or making; or</w:t>
      </w:r>
    </w:p>
    <w:p>
      <w:pPr>
        <w:pStyle w:val="Indenti"/>
        <w:spacing w:before="70"/>
        <w:rPr>
          <w:snapToGrid w:val="0"/>
        </w:rPr>
      </w:pPr>
      <w:r>
        <w:rPr>
          <w:snapToGrid w:val="0"/>
        </w:rPr>
        <w:tab/>
        <w:t>(ii)</w:t>
      </w:r>
      <w:r>
        <w:rPr>
          <w:snapToGrid w:val="0"/>
        </w:rPr>
        <w:tab/>
        <w:t>if so given or made orally, at the time of the reduction of that direction, order or declaration to writing,</w:t>
      </w:r>
    </w:p>
    <w:p>
      <w:pPr>
        <w:pStyle w:val="Indenta"/>
        <w:spacing w:before="70"/>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spacing w:before="70"/>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deleted]</w:t>
      </w:r>
    </w:p>
    <w:p>
      <w:pPr>
        <w:pStyle w:val="Subsection"/>
        <w:rPr>
          <w:snapToGrid w:val="0"/>
        </w:rPr>
      </w:pPr>
      <w:r>
        <w:rPr>
          <w:snapToGrid w:val="0"/>
        </w:rPr>
        <w:tab/>
        <w:t>(6)</w:t>
      </w:r>
      <w:r>
        <w:rPr>
          <w:snapToGrid w:val="0"/>
        </w:rPr>
        <w:tab/>
        <w:t>Where the Commission does not endeavour to resolve a matter by conciliation or, having endeavoured to do so —</w:t>
      </w:r>
    </w:p>
    <w:p>
      <w:pPr>
        <w:pStyle w:val="Indenta"/>
        <w:spacing w:before="60"/>
        <w:rPr>
          <w:snapToGrid w:val="0"/>
        </w:rPr>
      </w:pPr>
      <w:r>
        <w:rPr>
          <w:snapToGrid w:val="0"/>
        </w:rPr>
        <w:tab/>
        <w:t>(a)</w:t>
      </w:r>
      <w:r>
        <w:rPr>
          <w:snapToGrid w:val="0"/>
        </w:rPr>
        <w:tab/>
        <w:t>is satisfied that further resort to conciliation would be unavailing; or</w:t>
      </w:r>
    </w:p>
    <w:p>
      <w:pPr>
        <w:pStyle w:val="Indenta"/>
        <w:spacing w:before="60"/>
        <w:rPr>
          <w:snapToGrid w:val="0"/>
        </w:rPr>
      </w:pPr>
      <w:r>
        <w:rPr>
          <w:snapToGrid w:val="0"/>
        </w:rPr>
        <w:tab/>
        <w:t>(b)</w:t>
      </w:r>
      <w:r>
        <w:rPr>
          <w:snapToGrid w:val="0"/>
        </w:rPr>
        <w:tab/>
        <w:t>is requested by all the parties to the proceedings to decide the matter by arbitration,</w:t>
      </w:r>
    </w:p>
    <w:p>
      <w:pPr>
        <w:pStyle w:val="Subsection"/>
        <w:spacing w:before="120"/>
        <w:rPr>
          <w:snapToGrid w:val="0"/>
        </w:rPr>
      </w:pPr>
      <w:r>
        <w:rPr>
          <w:snapToGrid w:val="0"/>
        </w:rPr>
        <w:tab/>
      </w:r>
      <w:r>
        <w:rPr>
          <w:snapToGrid w:val="0"/>
        </w:rPr>
        <w:tab/>
        <w:t>the Commission may decide the matter by arbitration.</w:t>
      </w:r>
    </w:p>
    <w:p>
      <w:pPr>
        <w:pStyle w:val="Subsection"/>
        <w:spacing w:before="130"/>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spacing w:before="130"/>
      </w:pPr>
      <w:r>
        <w:tab/>
        <w:t>(8)</w:t>
      </w:r>
      <w:r>
        <w:tab/>
        <w:t>For the purposes of this section the Commission may —</w:t>
      </w:r>
    </w:p>
    <w:p>
      <w:pPr>
        <w:pStyle w:val="Indenta"/>
        <w:spacing w:before="60"/>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w:t>
      </w:r>
    </w:p>
    <w:p>
      <w:pPr>
        <w:pStyle w:val="Indenti"/>
        <w:spacing w:before="60"/>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 or</w:t>
      </w:r>
    </w:p>
    <w:p>
      <w:pPr>
        <w:pStyle w:val="Indenti"/>
        <w:spacing w:before="60"/>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spacing w:before="60"/>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spacing w:before="60"/>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spacing w:before="100"/>
        <w:ind w:left="890" w:hanging="890"/>
      </w:pPr>
      <w:r>
        <w:tab/>
        <w:t>[Section 32 inserted by No. 94 of 1984 s. 21; amended by No. 119 of 1987 s. 9; No. 3 of 1997 s. 36; No. 20 of 2002 s. 187 and 194(3) and (4); No. 8 of 2009 s. 77(2)</w:t>
      </w:r>
      <w:r>
        <w:noBreakHyphen/>
        <w:t>(4).]</w:t>
      </w:r>
    </w:p>
    <w:p>
      <w:pPr>
        <w:pStyle w:val="Heading5"/>
      </w:pPr>
      <w:bookmarkStart w:id="167" w:name="_Toc471911925"/>
      <w:bookmarkStart w:id="168" w:name="_Toc391894664"/>
      <w:bookmarkStart w:id="169" w:name="_Toc468179136"/>
      <w:r>
        <w:rPr>
          <w:rStyle w:val="CharSectno"/>
        </w:rPr>
        <w:t>32A</w:t>
      </w:r>
      <w:r>
        <w:t>.</w:t>
      </w:r>
      <w:r>
        <w:tab/>
        <w:t>Conciliation and arbitration functions of Commission are unlimited</w:t>
      </w:r>
      <w:bookmarkEnd w:id="167"/>
      <w:bookmarkEnd w:id="168"/>
      <w:bookmarkEnd w:id="169"/>
    </w:p>
    <w:p>
      <w:pPr>
        <w:pStyle w:val="Subsection"/>
        <w:spacing w:before="140"/>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170" w:name="_Toc471911926"/>
      <w:bookmarkStart w:id="171" w:name="_Toc391894665"/>
      <w:bookmarkStart w:id="172" w:name="_Toc468179137"/>
      <w:r>
        <w:rPr>
          <w:rStyle w:val="CharSectno"/>
        </w:rPr>
        <w:t>33</w:t>
      </w:r>
      <w:r>
        <w:rPr>
          <w:snapToGrid w:val="0"/>
        </w:rPr>
        <w:t>.</w:t>
      </w:r>
      <w:r>
        <w:rPr>
          <w:snapToGrid w:val="0"/>
        </w:rPr>
        <w:tab/>
        <w:t>Evidence before Commission</w:t>
      </w:r>
      <w:bookmarkEnd w:id="170"/>
      <w:bookmarkEnd w:id="171"/>
      <w:bookmarkEnd w:id="172"/>
    </w:p>
    <w:p>
      <w:pPr>
        <w:pStyle w:val="Subsection"/>
        <w:rPr>
          <w:snapToGrid w:val="0"/>
        </w:rPr>
      </w:pPr>
      <w:r>
        <w:rPr>
          <w:snapToGrid w:val="0"/>
        </w:rPr>
        <w:tab/>
        <w:t>(1)</w:t>
      </w:r>
      <w:r>
        <w:rPr>
          <w:snapToGrid w:val="0"/>
        </w:rPr>
        <w:tab/>
        <w:t>With respect to evidence in proceedings before the Commission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 and</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 and</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 and</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[Section 33 amended by No. 121 of 1982 s. 13; No. 94 of 1984 s. 22 and 65.]</w:t>
      </w:r>
    </w:p>
    <w:p>
      <w:pPr>
        <w:pStyle w:val="Heading5"/>
        <w:spacing w:before="180"/>
        <w:rPr>
          <w:snapToGrid w:val="0"/>
        </w:rPr>
      </w:pPr>
      <w:bookmarkStart w:id="173" w:name="_Toc471911927"/>
      <w:bookmarkStart w:id="174" w:name="_Toc391894666"/>
      <w:bookmarkStart w:id="175" w:name="_Toc468179138"/>
      <w:r>
        <w:rPr>
          <w:rStyle w:val="CharSectno"/>
        </w:rPr>
        <w:t>34</w:t>
      </w:r>
      <w:r>
        <w:rPr>
          <w:snapToGrid w:val="0"/>
        </w:rPr>
        <w:t>.</w:t>
      </w:r>
      <w:r>
        <w:rPr>
          <w:snapToGrid w:val="0"/>
        </w:rPr>
        <w:tab/>
        <w:t>Decisions of Commission, form of and review of</w:t>
      </w:r>
      <w:bookmarkEnd w:id="173"/>
      <w:bookmarkEnd w:id="174"/>
      <w:bookmarkEnd w:id="175"/>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otherwise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court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[Section 34 amended by No. 94 of 1984 s. 23; No. 20 of 2002 s. 124.]</w:t>
      </w:r>
    </w:p>
    <w:p>
      <w:pPr>
        <w:pStyle w:val="Heading5"/>
        <w:rPr>
          <w:snapToGrid w:val="0"/>
        </w:rPr>
      </w:pPr>
      <w:bookmarkStart w:id="176" w:name="_Toc471911928"/>
      <w:bookmarkStart w:id="177" w:name="_Toc391894667"/>
      <w:bookmarkStart w:id="178" w:name="_Toc468179139"/>
      <w:r>
        <w:rPr>
          <w:rStyle w:val="CharSectno"/>
        </w:rPr>
        <w:t>35</w:t>
      </w:r>
      <w:r>
        <w:rPr>
          <w:snapToGrid w:val="0"/>
        </w:rPr>
        <w:t>.</w:t>
      </w:r>
      <w:r>
        <w:rPr>
          <w:snapToGrid w:val="0"/>
        </w:rPr>
        <w:tab/>
        <w:t>Decision to be first drawn up as minutes</w:t>
      </w:r>
      <w:bookmarkEnd w:id="176"/>
      <w:bookmarkEnd w:id="177"/>
      <w:bookmarkEnd w:id="178"/>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[Section 35 amended by No. 121 of 1982 s. 14; No. 94 of 1984 s. 24 and 66.]</w:t>
      </w:r>
    </w:p>
    <w:p>
      <w:pPr>
        <w:pStyle w:val="Heading5"/>
        <w:rPr>
          <w:snapToGrid w:val="0"/>
        </w:rPr>
      </w:pPr>
      <w:bookmarkStart w:id="179" w:name="_Toc471911929"/>
      <w:bookmarkStart w:id="180" w:name="_Toc391894668"/>
      <w:bookmarkStart w:id="181" w:name="_Toc468179140"/>
      <w:r>
        <w:rPr>
          <w:rStyle w:val="CharSectno"/>
        </w:rPr>
        <w:t>36</w:t>
      </w:r>
      <w:r>
        <w:rPr>
          <w:snapToGrid w:val="0"/>
        </w:rPr>
        <w:t>.</w:t>
      </w:r>
      <w:r>
        <w:rPr>
          <w:snapToGrid w:val="0"/>
        </w:rPr>
        <w:tab/>
        <w:t>Decision to be sealed and deposited</w:t>
      </w:r>
      <w:bookmarkEnd w:id="179"/>
      <w:bookmarkEnd w:id="180"/>
      <w:bookmarkEnd w:id="181"/>
    </w:p>
    <w:p>
      <w:pPr>
        <w:pStyle w:val="Subsection"/>
        <w:rPr>
          <w:snapToGrid w:val="0"/>
        </w:rPr>
      </w:pPr>
      <w:r>
        <w:rPr>
          <w:snapToGrid w:val="0"/>
        </w:rPr>
        <w:tab/>
      </w:r>
      <w:r>
        <w:rPr>
          <w:snapToGrid w:val="0"/>
        </w:rPr>
        <w:tab/>
        <w:t>Every decision of the Commission shall —</w:t>
      </w:r>
    </w:p>
    <w:p>
      <w:pPr>
        <w:pStyle w:val="Indenta"/>
        <w:rPr>
          <w:snapToGrid w:val="0"/>
        </w:rPr>
      </w:pPr>
      <w:r>
        <w:rPr>
          <w:snapToGrid w:val="0"/>
        </w:rPr>
        <w:tab/>
        <w:t>(a)</w:t>
      </w:r>
      <w:r>
        <w:rPr>
          <w:snapToGrid w:val="0"/>
        </w:rPr>
        <w:tab/>
        <w:t>be sealed with the seal of the Commission; and</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182" w:name="_Toc471911930"/>
      <w:bookmarkStart w:id="183" w:name="_Toc391894669"/>
      <w:bookmarkStart w:id="184" w:name="_Toc419713254"/>
      <w:bookmarkStart w:id="185" w:name="_Toc435102898"/>
      <w:bookmarkStart w:id="186" w:name="_Toc452556328"/>
      <w:bookmarkStart w:id="187" w:name="_Toc455413908"/>
      <w:bookmarkStart w:id="188" w:name="_Toc462415338"/>
      <w:bookmarkStart w:id="189" w:name="_Toc462742249"/>
      <w:bookmarkStart w:id="190" w:name="_Toc465085903"/>
      <w:bookmarkStart w:id="191" w:name="_Toc468179141"/>
      <w:r>
        <w:rPr>
          <w:rStyle w:val="CharDivNo"/>
        </w:rPr>
        <w:t>Division 2A</w:t>
      </w:r>
      <w:r>
        <w:t xml:space="preserve"> — </w:t>
      </w:r>
      <w:r>
        <w:rPr>
          <w:rStyle w:val="CharDivText"/>
        </w:rPr>
        <w:t>Awards</w:t>
      </w:r>
      <w:bookmarkEnd w:id="182"/>
      <w:bookmarkEnd w:id="183"/>
      <w:bookmarkEnd w:id="184"/>
      <w:bookmarkEnd w:id="185"/>
      <w:bookmarkEnd w:id="186"/>
      <w:bookmarkEnd w:id="187"/>
      <w:bookmarkEnd w:id="188"/>
      <w:bookmarkEnd w:id="189"/>
      <w:bookmarkEnd w:id="190"/>
      <w:bookmarkEnd w:id="191"/>
    </w:p>
    <w:p>
      <w:pPr>
        <w:pStyle w:val="Footnoteheading"/>
        <w:keepNext/>
        <w:tabs>
          <w:tab w:val="left" w:pos="851"/>
        </w:tabs>
      </w:pPr>
      <w:r>
        <w:tab/>
        <w:t>[Heading inserted by No. 20 of 2002 s. 116.]</w:t>
      </w:r>
    </w:p>
    <w:p>
      <w:pPr>
        <w:pStyle w:val="Heading5"/>
      </w:pPr>
      <w:bookmarkStart w:id="192" w:name="_Toc471911931"/>
      <w:bookmarkStart w:id="193" w:name="_Toc391894670"/>
      <w:bookmarkStart w:id="194" w:name="_Toc468179142"/>
      <w:r>
        <w:rPr>
          <w:rStyle w:val="CharSectno"/>
        </w:rPr>
        <w:t>36A</w:t>
      </w:r>
      <w:r>
        <w:t>.</w:t>
      </w:r>
      <w:r>
        <w:tab/>
        <w:t>Non</w:t>
      </w:r>
      <w:r>
        <w:noBreakHyphen/>
        <w:t>award employees, interim award for etc.</w:t>
      </w:r>
      <w:bookmarkEnd w:id="192"/>
      <w:bookmarkEnd w:id="193"/>
      <w:bookmarkEnd w:id="194"/>
    </w:p>
    <w:p>
      <w:pPr>
        <w:pStyle w:val="Subsection"/>
      </w:pPr>
      <w:r>
        <w:tab/>
        <w:t>(1)</w:t>
      </w:r>
      <w:r>
        <w:tab/>
        <w:t xml:space="preserve">In any proceedings in which the Commission is considering the making of an award (the </w:t>
      </w:r>
      <w:r>
        <w:rPr>
          <w:rStyle w:val="CharDefText"/>
        </w:rPr>
        <w:t>new award</w:t>
      </w:r>
      <w:r>
        <w:t>) that extends to</w:t>
      </w:r>
      <w:r>
        <w:rPr>
          <w:b/>
        </w:rPr>
        <w:t xml:space="preserve"> </w:t>
      </w:r>
      <w:r>
        <w:t xml:space="preserve">employees to whom no award currently extends (the </w:t>
      </w:r>
      <w:r>
        <w:rPr>
          <w:rStyle w:val="CharDefText"/>
        </w:rPr>
        <w:t>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An interim award may be made if the Commission considers —</w:t>
      </w:r>
    </w:p>
    <w:p>
      <w:pPr>
        <w:pStyle w:val="Indenta"/>
      </w:pPr>
      <w:r>
        <w:tab/>
        <w:t>(a)</w:t>
      </w:r>
      <w:r>
        <w:tab/>
        <w:t>that it would provide a fair basis for the application of the no</w:t>
      </w:r>
      <w:r>
        <w:noBreakHyphen/>
        <w:t>disadvantage test provided for by Part VID Division 6 Subdivision 1; or</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195" w:name="_Toc471911932"/>
      <w:bookmarkStart w:id="196" w:name="_Toc391894671"/>
      <w:bookmarkStart w:id="197" w:name="_Toc468179143"/>
      <w:r>
        <w:rPr>
          <w:rStyle w:val="CharSectno"/>
        </w:rPr>
        <w:t>37</w:t>
      </w:r>
      <w:r>
        <w:rPr>
          <w:snapToGrid w:val="0"/>
        </w:rPr>
        <w:t>.</w:t>
      </w:r>
      <w:r>
        <w:rPr>
          <w:snapToGrid w:val="0"/>
        </w:rPr>
        <w:tab/>
        <w:t>Effect, area and scope of awards</w:t>
      </w:r>
      <w:bookmarkEnd w:id="195"/>
      <w:bookmarkEnd w:id="196"/>
      <w:bookmarkEnd w:id="197"/>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w:t>
      </w:r>
    </w:p>
    <w:p>
      <w:pPr>
        <w:pStyle w:val="Indenta"/>
        <w:rPr>
          <w:snapToGrid w:val="0"/>
        </w:rPr>
      </w:pPr>
      <w:r>
        <w:rPr>
          <w:snapToGrid w:val="0"/>
        </w:rPr>
        <w:tab/>
        <w:t>(a)</w:t>
      </w:r>
      <w:r>
        <w:rPr>
          <w:snapToGrid w:val="0"/>
        </w:rPr>
        <w:tab/>
        <w:t>extend to and bind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deleted]</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[Section 37 amended by No. 94 of 1984 s. 66.]</w:t>
      </w:r>
    </w:p>
    <w:p>
      <w:pPr>
        <w:pStyle w:val="Ednotesection"/>
      </w:pPr>
      <w:r>
        <w:t>[</w:t>
      </w:r>
      <w:r>
        <w:rPr>
          <w:b/>
        </w:rPr>
        <w:t>37A.</w:t>
      </w:r>
      <w:r>
        <w:tab/>
        <w:t>Deleted by No. 20 of 2002 s. 188.]</w:t>
      </w:r>
    </w:p>
    <w:p>
      <w:pPr>
        <w:pStyle w:val="Heading5"/>
        <w:rPr>
          <w:snapToGrid w:val="0"/>
        </w:rPr>
      </w:pPr>
      <w:bookmarkStart w:id="198" w:name="_Toc471911933"/>
      <w:bookmarkStart w:id="199" w:name="_Toc391894672"/>
      <w:bookmarkStart w:id="200" w:name="_Toc468179144"/>
      <w:r>
        <w:rPr>
          <w:rStyle w:val="CharSectno"/>
        </w:rPr>
        <w:t>38</w:t>
      </w:r>
      <w:r>
        <w:rPr>
          <w:snapToGrid w:val="0"/>
        </w:rPr>
        <w:t>.</w:t>
      </w:r>
      <w:r>
        <w:rPr>
          <w:snapToGrid w:val="0"/>
        </w:rPr>
        <w:tab/>
        <w:t>Named parties to awards</w:t>
      </w:r>
      <w:bookmarkEnd w:id="198"/>
      <w:bookmarkEnd w:id="199"/>
      <w:bookmarkEnd w:id="200"/>
    </w:p>
    <w:p>
      <w:pPr>
        <w:pStyle w:val="Subsection"/>
        <w:rPr>
          <w:snapToGrid w:val="0"/>
        </w:rPr>
      </w:pPr>
      <w:r>
        <w:rPr>
          <w:snapToGrid w:val="0"/>
        </w:rPr>
        <w:tab/>
        <w:t>(1)</w:t>
      </w:r>
      <w:r>
        <w:rPr>
          <w:snapToGrid w:val="0"/>
        </w:rPr>
        <w:tab/>
        <w:t>The parties to proceedings before the Commission in which an award is made, other than</w:t>
      </w:r>
      <w:r>
        <w:t xml:space="preserve"> UnionsWA</w:t>
      </w:r>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w:t>
      </w:r>
    </w:p>
    <w:p>
      <w:pPr>
        <w:pStyle w:val="Indenta"/>
        <w:spacing w:before="70"/>
        <w:rPr>
          <w:snapToGrid w:val="0"/>
        </w:rPr>
      </w:pPr>
      <w:r>
        <w:rPr>
          <w:snapToGrid w:val="0"/>
        </w:rPr>
        <w:tab/>
        <w:t>(a)</w:t>
      </w:r>
      <w:r>
        <w:rPr>
          <w:snapToGrid w:val="0"/>
        </w:rPr>
        <w:tab/>
        <w:t>any party to proceedings in which an award is made, other than</w:t>
      </w:r>
      <w:r>
        <w:t xml:space="preserve"> UnionsWA</w:t>
      </w:r>
      <w:r>
        <w:rPr>
          <w:snapToGrid w:val="0"/>
        </w:rPr>
        <w:t>, the Chamber, the Mines and Metals Association and the Minister, is not listed in the award as a named party as required by subsection (1); and</w:t>
      </w:r>
    </w:p>
    <w:p>
      <w:pPr>
        <w:pStyle w:val="Indenta"/>
        <w:spacing w:before="70"/>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20"/>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w:t>
      </w:r>
    </w:p>
    <w:p>
      <w:pPr>
        <w:pStyle w:val="Indenta"/>
        <w:rPr>
          <w:snapToGrid w:val="0"/>
        </w:rPr>
      </w:pPr>
      <w:r>
        <w:rPr>
          <w:snapToGrid w:val="0"/>
        </w:rPr>
        <w:tab/>
        <w:t>(a)</w:t>
      </w:r>
      <w:r>
        <w:rPr>
          <w:snapToGrid w:val="0"/>
        </w:rPr>
        <w:tab/>
        <w:t>any employer who, in the opinion of the Commission, has a sufficient interest in the matter; or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20"/>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 No. 53 of 2011 s. 48.]</w:t>
      </w:r>
    </w:p>
    <w:p>
      <w:pPr>
        <w:pStyle w:val="Heading5"/>
        <w:rPr>
          <w:snapToGrid w:val="0"/>
        </w:rPr>
      </w:pPr>
      <w:bookmarkStart w:id="201" w:name="_Toc471911934"/>
      <w:bookmarkStart w:id="202" w:name="_Toc391894673"/>
      <w:bookmarkStart w:id="203" w:name="_Toc468179145"/>
      <w:r>
        <w:rPr>
          <w:rStyle w:val="CharSectno"/>
        </w:rPr>
        <w:t>39</w:t>
      </w:r>
      <w:r>
        <w:rPr>
          <w:snapToGrid w:val="0"/>
        </w:rPr>
        <w:t>.</w:t>
      </w:r>
      <w:r>
        <w:rPr>
          <w:snapToGrid w:val="0"/>
        </w:rPr>
        <w:tab/>
        <w:t>When award operates</w:t>
      </w:r>
      <w:bookmarkEnd w:id="201"/>
      <w:bookmarkEnd w:id="202"/>
      <w:bookmarkEnd w:id="203"/>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204" w:name="_Toc471911935"/>
      <w:bookmarkStart w:id="205" w:name="_Toc391894674"/>
      <w:bookmarkStart w:id="206" w:name="_Toc468179146"/>
      <w:r>
        <w:rPr>
          <w:rStyle w:val="CharSectno"/>
        </w:rPr>
        <w:t>40</w:t>
      </w:r>
      <w:r>
        <w:rPr>
          <w:snapToGrid w:val="0"/>
        </w:rPr>
        <w:t>.</w:t>
      </w:r>
      <w:r>
        <w:rPr>
          <w:snapToGrid w:val="0"/>
        </w:rPr>
        <w:tab/>
        <w:t>Varying and cancelling awards</w:t>
      </w:r>
      <w:bookmarkEnd w:id="204"/>
      <w:bookmarkEnd w:id="205"/>
      <w:bookmarkEnd w:id="206"/>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 and</w:t>
      </w:r>
    </w:p>
    <w:p>
      <w:pPr>
        <w:pStyle w:val="Indenta"/>
        <w:rPr>
          <w:snapToGrid w:val="0"/>
        </w:rPr>
      </w:pPr>
      <w:r>
        <w:rPr>
          <w:snapToGrid w:val="0"/>
        </w:rPr>
        <w:tab/>
        <w:t>(b)</w:t>
      </w:r>
      <w:r>
        <w:rPr>
          <w:snapToGrid w:val="0"/>
        </w:rPr>
        <w:tab/>
        <w:t>shall not, within the specified term, vary the award or that provision, as the case may be, unless and to the extent that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 or</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the parties to the award agree that the award or provision should be varied;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[Section 40 amended by No. 94 of 1984 s. 66.]</w:t>
      </w:r>
    </w:p>
    <w:p>
      <w:pPr>
        <w:pStyle w:val="Heading5"/>
      </w:pPr>
      <w:bookmarkStart w:id="207" w:name="_Toc471911936"/>
      <w:bookmarkStart w:id="208" w:name="_Toc391894675"/>
      <w:bookmarkStart w:id="209" w:name="_Toc468179147"/>
      <w:r>
        <w:rPr>
          <w:rStyle w:val="CharSectno"/>
        </w:rPr>
        <w:t>40A</w:t>
      </w:r>
      <w:r>
        <w:t>.</w:t>
      </w:r>
      <w:r>
        <w:tab/>
        <w:t>Incorporation of industrial agreement provisions into awards by consent</w:t>
      </w:r>
      <w:bookmarkEnd w:id="207"/>
      <w:bookmarkEnd w:id="208"/>
      <w:bookmarkEnd w:id="209"/>
    </w:p>
    <w:p>
      <w:pPr>
        <w:pStyle w:val="Subsection"/>
      </w:pPr>
      <w:r>
        <w:tab/>
        <w:t>(1)</w:t>
      </w:r>
      <w:r>
        <w:tab/>
        <w:t>If —</w:t>
      </w:r>
    </w:p>
    <w:p>
      <w:pPr>
        <w:pStyle w:val="Indenta"/>
      </w:pPr>
      <w:r>
        <w:tab/>
        <w:t>(a)</w:t>
      </w:r>
      <w:r>
        <w:tab/>
        <w:t>an award extends to employees to whom an industrial agreement extends; and</w:t>
      </w:r>
    </w:p>
    <w:p>
      <w:pPr>
        <w:pStyle w:val="Indenta"/>
        <w:keepLines/>
      </w:pPr>
      <w:r>
        <w:tab/>
        <w:t>(b)</w:t>
      </w:r>
      <w:r>
        <w:tab/>
        <w:t>a named party to the award who is also a party to the agreement applies to the Commission for the incorporation of some or all of the provisions of the agreement into the award; and</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210" w:name="_Toc471911937"/>
      <w:bookmarkStart w:id="211" w:name="_Toc391894676"/>
      <w:bookmarkStart w:id="212" w:name="_Toc468179148"/>
      <w:r>
        <w:rPr>
          <w:rStyle w:val="CharSectno"/>
        </w:rPr>
        <w:t>40B</w:t>
      </w:r>
      <w:r>
        <w:t>.</w:t>
      </w:r>
      <w:r>
        <w:tab/>
        <w:t>Power to vary awards to reflect statutory etc. requirements, to promote efficiency and to facilitate implementation</w:t>
      </w:r>
      <w:bookmarkEnd w:id="210"/>
      <w:bookmarkEnd w:id="211"/>
      <w:bookmarkEnd w:id="212"/>
    </w:p>
    <w:p>
      <w:pPr>
        <w:pStyle w:val="Subsection"/>
      </w:pPr>
      <w:r>
        <w:tab/>
        <w:t>(1)</w:t>
      </w:r>
      <w:r>
        <w:tab/>
        <w:t>The Commission, of its own motion, may by order at any time vary an award for any one or more of the following purposes —</w:t>
      </w:r>
    </w:p>
    <w:p>
      <w:pPr>
        <w:pStyle w:val="Indenta"/>
      </w:pPr>
      <w:r>
        <w:tab/>
        <w:t>(a)</w:t>
      </w:r>
      <w:r>
        <w:tab/>
        <w:t>to ensure that the award does not contain wages that are less than the minimum award wage as ordered by the Commission under section 50A;</w:t>
      </w:r>
    </w:p>
    <w:p>
      <w:pPr>
        <w:pStyle w:val="Indenta"/>
      </w:pPr>
      <w:r>
        <w:tab/>
        <w:t>(b)</w:t>
      </w:r>
      <w:r>
        <w:tab/>
        <w:t>to ensure that the award does not contain conditions of employment that are less favourable than those provided by the MCE Act;</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to ensure that the award does not contain provisions that are obsolete or need updating;</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UnionsWA, the Chamber, the Mines and Metals Association and the Minister and afforded them an opportunity to be heard in relation to the proposed variations.</w:t>
      </w:r>
    </w:p>
    <w:p>
      <w:pPr>
        <w:pStyle w:val="Subsection"/>
      </w:pPr>
      <w:r>
        <w:tab/>
        <w:t>(3)</w:t>
      </w:r>
      <w:r>
        <w:tab/>
        <w:t>The Commission shall cause a copy of an order made under this section to be —</w:t>
      </w:r>
    </w:p>
    <w:p>
      <w:pPr>
        <w:pStyle w:val="Indenta"/>
      </w:pPr>
      <w:r>
        <w:tab/>
        <w:t>(a)</w:t>
      </w:r>
      <w:r>
        <w:tab/>
        <w:t>given to the named parties to the award and to UnionsWA, the Chamber, the Mines and Metals Association and the Minister; and</w:t>
      </w:r>
    </w:p>
    <w:p>
      <w:pPr>
        <w:pStyle w:val="Indenta"/>
      </w:pPr>
      <w:r>
        <w:tab/>
        <w:t>(b)</w:t>
      </w:r>
      <w:r>
        <w:tab/>
        <w:t>published in the required manner.</w:t>
      </w:r>
    </w:p>
    <w:p>
      <w:pPr>
        <w:pStyle w:val="Subsection"/>
      </w:pPr>
      <w:r>
        <w:tab/>
        <w:t>(4)</w:t>
      </w:r>
      <w:r>
        <w:tab/>
        <w:t>Section 39 applies to and in relation to an order made under this section —</w:t>
      </w:r>
    </w:p>
    <w:p>
      <w:pPr>
        <w:pStyle w:val="Indenta"/>
      </w:pPr>
      <w:r>
        <w:tab/>
        <w:t>(a)</w:t>
      </w:r>
      <w:r>
        <w:tab/>
        <w:t>as if the reference in section 39(3) to the date on which an application was lodged in the Commission were a reference to the date on which notice was first given under subsection (2); and</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 No. 53 of 2011 s. 48.]</w:t>
      </w:r>
    </w:p>
    <w:p>
      <w:pPr>
        <w:pStyle w:val="Heading3"/>
        <w:keepLines/>
      </w:pPr>
      <w:bookmarkStart w:id="213" w:name="_Toc471911938"/>
      <w:bookmarkStart w:id="214" w:name="_Toc391894677"/>
      <w:bookmarkStart w:id="215" w:name="_Toc419713262"/>
      <w:bookmarkStart w:id="216" w:name="_Toc435102906"/>
      <w:bookmarkStart w:id="217" w:name="_Toc452556336"/>
      <w:bookmarkStart w:id="218" w:name="_Toc455413916"/>
      <w:bookmarkStart w:id="219" w:name="_Toc462415346"/>
      <w:bookmarkStart w:id="220" w:name="_Toc462742257"/>
      <w:bookmarkStart w:id="221" w:name="_Toc465085911"/>
      <w:bookmarkStart w:id="222" w:name="_Toc468179149"/>
      <w:r>
        <w:rPr>
          <w:rStyle w:val="CharDivNo"/>
        </w:rPr>
        <w:t>Division 2B</w:t>
      </w:r>
      <w:r>
        <w:t xml:space="preserve"> — </w:t>
      </w:r>
      <w:r>
        <w:rPr>
          <w:rStyle w:val="CharDivText"/>
        </w:rPr>
        <w:t>Industrial agreements</w:t>
      </w:r>
      <w:bookmarkEnd w:id="213"/>
      <w:bookmarkEnd w:id="214"/>
      <w:bookmarkEnd w:id="215"/>
      <w:bookmarkEnd w:id="216"/>
      <w:bookmarkEnd w:id="217"/>
      <w:bookmarkEnd w:id="218"/>
      <w:bookmarkEnd w:id="219"/>
      <w:bookmarkEnd w:id="220"/>
      <w:bookmarkEnd w:id="221"/>
      <w:bookmarkEnd w:id="222"/>
    </w:p>
    <w:p>
      <w:pPr>
        <w:pStyle w:val="Footnoteheading"/>
        <w:keepNext/>
        <w:keepLines/>
        <w:tabs>
          <w:tab w:val="left" w:pos="851"/>
        </w:tabs>
      </w:pPr>
      <w:r>
        <w:tab/>
        <w:t>[Heading inserted by No. 20 of 2002 s. 130.]</w:t>
      </w:r>
    </w:p>
    <w:p>
      <w:pPr>
        <w:pStyle w:val="Heading5"/>
      </w:pPr>
      <w:bookmarkStart w:id="223" w:name="_Toc471911939"/>
      <w:bookmarkStart w:id="224" w:name="_Toc391894678"/>
      <w:bookmarkStart w:id="225" w:name="_Toc468179150"/>
      <w:r>
        <w:rPr>
          <w:rStyle w:val="CharSectno"/>
        </w:rPr>
        <w:t>40C</w:t>
      </w:r>
      <w:r>
        <w:t>.</w:t>
      </w:r>
      <w:r>
        <w:tab/>
        <w:t>Terms used</w:t>
      </w:r>
      <w:bookmarkEnd w:id="223"/>
      <w:bookmarkEnd w:id="224"/>
      <w:bookmarkEnd w:id="225"/>
    </w:p>
    <w:p>
      <w:pPr>
        <w:pStyle w:val="Subsection"/>
      </w:pPr>
      <w:r>
        <w:tab/>
      </w:r>
      <w:r>
        <w:tab/>
        <w:t>In this Division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in relation to a proposed industrial agreement, means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226" w:name="_Toc471911940"/>
      <w:bookmarkStart w:id="227" w:name="_Toc391894679"/>
      <w:bookmarkStart w:id="228" w:name="_Toc468179151"/>
      <w:r>
        <w:rPr>
          <w:rStyle w:val="CharSectno"/>
        </w:rPr>
        <w:t>41</w:t>
      </w:r>
      <w:r>
        <w:rPr>
          <w:snapToGrid w:val="0"/>
        </w:rPr>
        <w:t>.</w:t>
      </w:r>
      <w:r>
        <w:rPr>
          <w:snapToGrid w:val="0"/>
        </w:rPr>
        <w:tab/>
        <w:t>Industrial agreements, making, registration and effect of</w:t>
      </w:r>
      <w:bookmarkEnd w:id="226"/>
      <w:bookmarkEnd w:id="227"/>
      <w:bookmarkEnd w:id="228"/>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For the purposes of subsection (1a) an agreement applies to more than a single enterprise if it applies to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w:t>
      </w:r>
    </w:p>
    <w:p>
      <w:pPr>
        <w:pStyle w:val="Indenta"/>
        <w:rPr>
          <w:snapToGrid w:val="0"/>
        </w:rPr>
      </w:pPr>
      <w:r>
        <w:rPr>
          <w:snapToGrid w:val="0"/>
        </w:rPr>
        <w:tab/>
        <w:t>(a)</w:t>
      </w:r>
      <w:r>
        <w:rPr>
          <w:snapToGrid w:val="0"/>
        </w:rPr>
        <w:tab/>
        <w:t>all employees who are employed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 xml:space="preserve">When a new industrial agreement is made and registered, or an award or enterprise order is made, in substitution for an industrial agreement (the </w:t>
      </w:r>
      <w:r>
        <w:rPr>
          <w:rStyle w:val="CharDefText"/>
        </w:rPr>
        <w:t>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[Section 41 inserted by No. 94 of 1984 s. 26; amended by No. 15 of 1993 s. 13; No. 20 of 2002 s. 131 and 144.]</w:t>
      </w:r>
    </w:p>
    <w:p>
      <w:pPr>
        <w:pStyle w:val="Heading5"/>
      </w:pPr>
      <w:bookmarkStart w:id="229" w:name="_Toc471911941"/>
      <w:bookmarkStart w:id="230" w:name="_Toc391894680"/>
      <w:bookmarkStart w:id="231" w:name="_Toc468179152"/>
      <w:r>
        <w:rPr>
          <w:rStyle w:val="CharSectno"/>
        </w:rPr>
        <w:t>41A</w:t>
      </w:r>
      <w:r>
        <w:t>.</w:t>
      </w:r>
      <w:r>
        <w:tab/>
        <w:t>Which industrial agreements shall not be registered under s. 41</w:t>
      </w:r>
      <w:bookmarkEnd w:id="229"/>
      <w:bookmarkEnd w:id="230"/>
      <w:bookmarkEnd w:id="231"/>
    </w:p>
    <w:p>
      <w:pPr>
        <w:pStyle w:val="Subsection"/>
      </w:pPr>
      <w:r>
        <w:tab/>
        <w:t>(1)</w:t>
      </w:r>
      <w:r>
        <w:tab/>
        <w:t>The Commission shall not under section 41 register an agreement as an industrial agreement unless the agreement —</w:t>
      </w:r>
    </w:p>
    <w:p>
      <w:pPr>
        <w:pStyle w:val="Indenta"/>
      </w:pPr>
      <w:r>
        <w:tab/>
        <w:t>(a)</w:t>
      </w:r>
      <w:r>
        <w:tab/>
        <w:t>specifies a nominal expiry date that is no later than 3 years after the date on which the agreement will come into operation; and</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232" w:name="_Toc471911942"/>
      <w:bookmarkStart w:id="233" w:name="_Toc391894681"/>
      <w:bookmarkStart w:id="234" w:name="_Toc468179153"/>
      <w:r>
        <w:rPr>
          <w:rStyle w:val="CharSectno"/>
        </w:rPr>
        <w:t>42</w:t>
      </w:r>
      <w:r>
        <w:t>.</w:t>
      </w:r>
      <w:r>
        <w:tab/>
        <w:t>Bargaining for industrial agreement, initiating</w:t>
      </w:r>
      <w:bookmarkEnd w:id="232"/>
      <w:bookmarkEnd w:id="233"/>
      <w:bookmarkEnd w:id="234"/>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A notice complies with this subsection if it is accompanied by particulars of —</w:t>
      </w:r>
    </w:p>
    <w:p>
      <w:pPr>
        <w:pStyle w:val="Indenta"/>
        <w:spacing w:before="60"/>
      </w:pPr>
      <w:r>
        <w:tab/>
        <w:t>(a)</w:t>
      </w:r>
      <w:r>
        <w:tab/>
        <w:t>the types of employment to be covered by the agreement; and</w:t>
      </w:r>
    </w:p>
    <w:p>
      <w:pPr>
        <w:pStyle w:val="Indenta"/>
        <w:spacing w:before="60"/>
      </w:pPr>
      <w:r>
        <w:tab/>
        <w:t>(b)</w:t>
      </w:r>
      <w:r>
        <w:tab/>
        <w:t>the area in which the agreement is to operate; and</w:t>
      </w:r>
    </w:p>
    <w:p>
      <w:pPr>
        <w:pStyle w:val="Indenta"/>
        <w:spacing w:before="60"/>
      </w:pPr>
      <w:r>
        <w:tab/>
        <w:t>(c)</w:t>
      </w:r>
      <w:r>
        <w:tab/>
        <w:t>the intended parties to the agreement; and</w:t>
      </w:r>
    </w:p>
    <w:p>
      <w:pPr>
        <w:pStyle w:val="Indenta"/>
        <w:spacing w:before="60"/>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In subsection (5)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235" w:name="_Toc471911943"/>
      <w:bookmarkStart w:id="236" w:name="_Toc391894682"/>
      <w:bookmarkStart w:id="237" w:name="_Toc468179154"/>
      <w:r>
        <w:rPr>
          <w:rStyle w:val="CharSectno"/>
        </w:rPr>
        <w:t>42A</w:t>
      </w:r>
      <w:r>
        <w:t>.</w:t>
      </w:r>
      <w:r>
        <w:tab/>
        <w:t>Response to initiation of bargaining</w:t>
      </w:r>
      <w:bookmarkEnd w:id="235"/>
      <w:bookmarkEnd w:id="236"/>
      <w:bookmarkEnd w:id="237"/>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An application under subsection (2) operates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238" w:name="_Toc471911944"/>
      <w:bookmarkStart w:id="239" w:name="_Toc391894683"/>
      <w:bookmarkStart w:id="240" w:name="_Toc468179155"/>
      <w:r>
        <w:rPr>
          <w:rStyle w:val="CharSectno"/>
        </w:rPr>
        <w:t>42B</w:t>
      </w:r>
      <w:r>
        <w:t>.</w:t>
      </w:r>
      <w:r>
        <w:tab/>
        <w:t>Bargaining for industrial agreements, good faith required etc.</w:t>
      </w:r>
      <w:bookmarkEnd w:id="238"/>
      <w:bookmarkEnd w:id="239"/>
      <w:bookmarkEnd w:id="240"/>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For the purposes of this section, a person is a bargaining agent if —</w:t>
      </w:r>
    </w:p>
    <w:p>
      <w:pPr>
        <w:pStyle w:val="Indenta"/>
        <w:spacing w:before="70"/>
      </w:pPr>
      <w:r>
        <w:tab/>
        <w:t>(a)</w:t>
      </w:r>
      <w:r>
        <w:tab/>
        <w:t>that person has been appointed in writing by a negotiating party to an agreement as a bargaining agent of that party in relation to the agreement; and</w:t>
      </w:r>
    </w:p>
    <w:p>
      <w:pPr>
        <w:pStyle w:val="Indenta"/>
        <w:spacing w:before="70"/>
      </w:pPr>
      <w:r>
        <w:tab/>
        <w:t>(b)</w:t>
      </w:r>
      <w:r>
        <w:tab/>
        <w:t>a copy of the appointment has been provided to the other negotiating party to the agreement; and</w:t>
      </w:r>
    </w:p>
    <w:p>
      <w:pPr>
        <w:pStyle w:val="Indenta"/>
        <w:spacing w:before="70"/>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spacing w:before="100"/>
        <w:ind w:left="890" w:hanging="890"/>
      </w:pPr>
      <w:r>
        <w:tab/>
        <w:t>[Section 42B inserted by No. 20 of 2002 s. 133; amended by No. 65 of 2003 s. 41(3); No. 21 of 2008 s. 668(5).]</w:t>
      </w:r>
    </w:p>
    <w:p>
      <w:pPr>
        <w:pStyle w:val="Heading5"/>
      </w:pPr>
      <w:bookmarkStart w:id="241" w:name="_Toc471911945"/>
      <w:bookmarkStart w:id="242" w:name="_Toc391894684"/>
      <w:bookmarkStart w:id="243" w:name="_Toc468179156"/>
      <w:r>
        <w:rPr>
          <w:rStyle w:val="CharSectno"/>
        </w:rPr>
        <w:t>42C</w:t>
      </w:r>
      <w:r>
        <w:t>.</w:t>
      </w:r>
      <w:r>
        <w:tab/>
        <w:t>Code of good faith</w:t>
      </w:r>
      <w:bookmarkEnd w:id="241"/>
      <w:bookmarkEnd w:id="242"/>
      <w:bookmarkEnd w:id="243"/>
    </w:p>
    <w:p>
      <w:pPr>
        <w:pStyle w:val="Subsection"/>
      </w:pPr>
      <w:r>
        <w:tab/>
        <w:t>(1)</w:t>
      </w:r>
      <w:r>
        <w:tab/>
        <w:t>The Commission may make a code of good faith to provide guidance about the application of the duty of good faith under section 42B in relation to bargaining for an industrial agreement —</w:t>
      </w:r>
    </w:p>
    <w:p>
      <w:pPr>
        <w:pStyle w:val="Indenta"/>
      </w:pPr>
      <w:r>
        <w:tab/>
        <w:t>(a)</w:t>
      </w:r>
      <w:r>
        <w:tab/>
        <w:t>generally; or</w:t>
      </w:r>
    </w:p>
    <w:p>
      <w:pPr>
        <w:pStyle w:val="Indenta"/>
      </w:pPr>
      <w:r>
        <w:tab/>
        <w:t>(b)</w:t>
      </w:r>
      <w:r>
        <w:tab/>
        <w:t>in relation to particular types of situations.</w:t>
      </w:r>
    </w:p>
    <w:p>
      <w:pPr>
        <w:pStyle w:val="Subsection"/>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In this section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244" w:name="_Toc471911946"/>
      <w:bookmarkStart w:id="245" w:name="_Toc391894685"/>
      <w:bookmarkStart w:id="246" w:name="_Toc468179157"/>
      <w:r>
        <w:rPr>
          <w:rStyle w:val="CharSectno"/>
        </w:rPr>
        <w:t>42D</w:t>
      </w:r>
      <w:r>
        <w:t>.</w:t>
      </w:r>
      <w:r>
        <w:tab/>
        <w:t>Duty of good faith does not require concluded industrial agreement</w:t>
      </w:r>
      <w:bookmarkEnd w:id="244"/>
      <w:bookmarkEnd w:id="245"/>
      <w:bookmarkEnd w:id="246"/>
    </w:p>
    <w:p>
      <w:pPr>
        <w:pStyle w:val="Subsection"/>
      </w:pPr>
      <w:r>
        <w:tab/>
      </w:r>
      <w:r>
        <w:tab/>
        <w:t>The duty of good faith in section 42B does not require a negotiating party —</w:t>
      </w:r>
    </w:p>
    <w:p>
      <w:pPr>
        <w:pStyle w:val="Indenta"/>
        <w:spacing w:before="60"/>
      </w:pPr>
      <w:r>
        <w:tab/>
        <w:t>(a)</w:t>
      </w:r>
      <w:r>
        <w:tab/>
        <w:t>to agree on any matter for inclusion in, or exclusion from, an industrial agreement; or</w:t>
      </w:r>
    </w:p>
    <w:p>
      <w:pPr>
        <w:pStyle w:val="Indenta"/>
        <w:spacing w:before="60"/>
      </w:pPr>
      <w:r>
        <w:tab/>
        <w:t>(b)</w:t>
      </w:r>
      <w:r>
        <w:tab/>
        <w:t>to enter into an industrial agreement.</w:t>
      </w:r>
    </w:p>
    <w:p>
      <w:pPr>
        <w:pStyle w:val="Footnotesection"/>
      </w:pPr>
      <w:r>
        <w:tab/>
        <w:t>[Section 42D inserted by No. 20 of 2002 s. 133.]</w:t>
      </w:r>
    </w:p>
    <w:p>
      <w:pPr>
        <w:pStyle w:val="Heading5"/>
      </w:pPr>
      <w:bookmarkStart w:id="247" w:name="_Toc471911947"/>
      <w:bookmarkStart w:id="248" w:name="_Toc391894686"/>
      <w:bookmarkStart w:id="249" w:name="_Toc468179158"/>
      <w:r>
        <w:rPr>
          <w:rStyle w:val="CharSectno"/>
        </w:rPr>
        <w:t>42E</w:t>
      </w:r>
      <w:r>
        <w:t>.</w:t>
      </w:r>
      <w:r>
        <w:tab/>
        <w:t>Commission may assist bargaining</w:t>
      </w:r>
      <w:bookmarkEnd w:id="247"/>
      <w:bookmarkEnd w:id="248"/>
      <w:bookmarkEnd w:id="249"/>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Without limiting subsection (1) the Commission may make orders and give directions for the purpose of —</w:t>
      </w:r>
    </w:p>
    <w:p>
      <w:pPr>
        <w:pStyle w:val="Indenta"/>
        <w:spacing w:before="60"/>
      </w:pPr>
      <w:r>
        <w:tab/>
        <w:t>(a)</w:t>
      </w:r>
      <w:r>
        <w:tab/>
        <w:t>ensuring that the negotiating parties bargain in good faith; and</w:t>
      </w:r>
    </w:p>
    <w:p>
      <w:pPr>
        <w:pStyle w:val="Indenta"/>
        <w:spacing w:before="60"/>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250" w:name="_Toc471911948"/>
      <w:bookmarkStart w:id="251" w:name="_Toc391894687"/>
      <w:bookmarkStart w:id="252" w:name="_Toc468179159"/>
      <w:r>
        <w:rPr>
          <w:rStyle w:val="CharSectno"/>
        </w:rPr>
        <w:t>42F</w:t>
      </w:r>
      <w:r>
        <w:t>.</w:t>
      </w:r>
      <w:r>
        <w:tab/>
        <w:t>Commission’s power over negotiating parties restricted</w:t>
      </w:r>
      <w:bookmarkEnd w:id="250"/>
      <w:bookmarkEnd w:id="251"/>
      <w:bookmarkEnd w:id="252"/>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253" w:name="_Toc471911949"/>
      <w:bookmarkStart w:id="254" w:name="_Toc391894688"/>
      <w:bookmarkStart w:id="255" w:name="_Toc468179160"/>
      <w:r>
        <w:rPr>
          <w:rStyle w:val="CharSectno"/>
        </w:rPr>
        <w:t>42G</w:t>
      </w:r>
      <w:r>
        <w:t>.</w:t>
      </w:r>
      <w:r>
        <w:tab/>
        <w:t>Parties may agree to Commission making orders as to terms of agreement</w:t>
      </w:r>
      <w:bookmarkEnd w:id="253"/>
      <w:bookmarkEnd w:id="254"/>
      <w:bookmarkEnd w:id="255"/>
    </w:p>
    <w:p>
      <w:pPr>
        <w:pStyle w:val="Subsection"/>
        <w:spacing w:before="120"/>
      </w:pPr>
      <w:r>
        <w:tab/>
        <w:t>(1)</w:t>
      </w:r>
      <w:r>
        <w:tab/>
        <w:t>This section applies where —</w:t>
      </w:r>
    </w:p>
    <w:p>
      <w:pPr>
        <w:pStyle w:val="Indenta"/>
      </w:pPr>
      <w:r>
        <w:tab/>
        <w:t>(a)</w:t>
      </w:r>
      <w:r>
        <w:tab/>
        <w:t>negotiating parties have reached agreement on some, but not all, of the provisions of a proposed agreement; and</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256" w:name="_Toc471911950"/>
      <w:bookmarkStart w:id="257" w:name="_Toc391894689"/>
      <w:bookmarkStart w:id="258" w:name="_Toc468179161"/>
      <w:r>
        <w:rPr>
          <w:rStyle w:val="CharSectno"/>
        </w:rPr>
        <w:t>42H</w:t>
      </w:r>
      <w:r>
        <w:t>.</w:t>
      </w:r>
      <w:r>
        <w:tab/>
        <w:t>Commission may declare that bargaining has ended</w:t>
      </w:r>
      <w:bookmarkEnd w:id="256"/>
      <w:bookmarkEnd w:id="257"/>
      <w:bookmarkEnd w:id="258"/>
    </w:p>
    <w:p>
      <w:pPr>
        <w:pStyle w:val="Subsection"/>
      </w:pPr>
      <w:r>
        <w:tab/>
        <w:t>(1)</w:t>
      </w:r>
      <w:r>
        <w:tab/>
        <w:t>If, on the application of a negotiating party, the Commission constituted by a single commissioner determines that —</w:t>
      </w:r>
    </w:p>
    <w:p>
      <w:pPr>
        <w:pStyle w:val="Indenta"/>
      </w:pPr>
      <w:r>
        <w:tab/>
        <w:t>(a)</w:t>
      </w:r>
      <w:r>
        <w:tab/>
        <w:t>the applicant has bargained in good faith; and</w:t>
      </w:r>
    </w:p>
    <w:p>
      <w:pPr>
        <w:pStyle w:val="Indenta"/>
      </w:pPr>
      <w:r>
        <w:tab/>
        <w:t>(b)</w:t>
      </w:r>
      <w:r>
        <w:tab/>
        <w:t>bargaining between the applicant and another negotiating party has failed; and</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259" w:name="_Toc471911951"/>
      <w:bookmarkStart w:id="260" w:name="_Toc391894690"/>
      <w:bookmarkStart w:id="261" w:name="_Toc468179162"/>
      <w:r>
        <w:rPr>
          <w:rStyle w:val="CharSectno"/>
        </w:rPr>
        <w:t>42I</w:t>
      </w:r>
      <w:r>
        <w:t>.</w:t>
      </w:r>
      <w:r>
        <w:tab/>
      </w:r>
      <w:smartTag w:uri="urn:schemas-microsoft-com:office:smarttags" w:element="place">
        <w:smartTag w:uri="urn:schemas-microsoft-com:office:smarttags" w:element="City">
          <w:r>
            <w:t>Enterprise</w:t>
          </w:r>
        </w:smartTag>
      </w:smartTag>
      <w:r>
        <w:t xml:space="preserve"> order, applying for and making</w:t>
      </w:r>
      <w:bookmarkEnd w:id="259"/>
      <w:bookmarkEnd w:id="260"/>
      <w:bookmarkEnd w:id="261"/>
    </w:p>
    <w:p>
      <w:pPr>
        <w:pStyle w:val="Subsection"/>
        <w:spacing w:before="120"/>
      </w:pPr>
      <w:r>
        <w:tab/>
        <w:t>(1)</w:t>
      </w:r>
      <w:r>
        <w:tab/>
        <w:t>If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An application for an enterprise order may be made —</w:t>
      </w:r>
    </w:p>
    <w:p>
      <w:pPr>
        <w:pStyle w:val="Indenta"/>
      </w:pPr>
      <w:r>
        <w:tab/>
        <w:t>(a)</w:t>
      </w:r>
      <w:r>
        <w:tab/>
        <w:t>where subsection (1)(a) applies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where subsection (1)(b) applies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An application for an enterprise order may be made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262" w:name="_Toc471911952"/>
      <w:bookmarkStart w:id="263" w:name="_Toc391894691"/>
      <w:bookmarkStart w:id="264" w:name="_Toc468179163"/>
      <w:r>
        <w:rPr>
          <w:rStyle w:val="CharSectno"/>
        </w:rPr>
        <w:t>42J</w:t>
      </w:r>
      <w:r>
        <w:t>.</w:t>
      </w:r>
      <w:r>
        <w:tab/>
      </w:r>
      <w:smartTag w:uri="urn:schemas-microsoft-com:office:smarttags" w:element="City">
        <w:smartTag w:uri="urn:schemas-microsoft-com:office:smarttags" w:element="place">
          <w:r>
            <w:t>Enterprise</w:t>
          </w:r>
        </w:smartTag>
      </w:smartTag>
      <w:r>
        <w:t xml:space="preserve"> order, effect of</w:t>
      </w:r>
      <w:bookmarkEnd w:id="262"/>
      <w:bookmarkEnd w:id="263"/>
      <w:bookmarkEnd w:id="264"/>
    </w:p>
    <w:p>
      <w:pPr>
        <w:pStyle w:val="Subsection"/>
        <w:keepNext/>
        <w:keepLines/>
      </w:pPr>
      <w:r>
        <w:tab/>
        <w:t>(1)</w:t>
      </w:r>
      <w:r>
        <w:tab/>
        <w:t>An enterprise order extends to and binds —</w:t>
      </w:r>
    </w:p>
    <w:p>
      <w:pPr>
        <w:pStyle w:val="Indenta"/>
        <w:spacing w:before="70"/>
      </w:pPr>
      <w:r>
        <w:tab/>
        <w:t>(a)</w:t>
      </w:r>
      <w:r>
        <w:tab/>
        <w:t>all employees who are employed —</w:t>
      </w:r>
    </w:p>
    <w:p>
      <w:pPr>
        <w:pStyle w:val="Indenti"/>
        <w:spacing w:before="70"/>
      </w:pPr>
      <w:r>
        <w:tab/>
        <w:t>(i)</w:t>
      </w:r>
      <w:r>
        <w:tab/>
        <w:t>in any calling mentioned in the enterprise order in the industry or industries to which the enterprise order applies; and</w:t>
      </w:r>
    </w:p>
    <w:p>
      <w:pPr>
        <w:pStyle w:val="Indenti"/>
        <w:spacing w:before="70"/>
      </w:pPr>
      <w:r>
        <w:tab/>
        <w:t>(ii)</w:t>
      </w:r>
      <w:r>
        <w:tab/>
        <w:t>by the employer specified in the order under subsection (5)(a);</w:t>
      </w:r>
    </w:p>
    <w:p>
      <w:pPr>
        <w:pStyle w:val="Indenta"/>
        <w:spacing w:before="70"/>
      </w:pPr>
      <w:r>
        <w:tab/>
      </w:r>
      <w:r>
        <w:tab/>
        <w:t>and</w:t>
      </w:r>
    </w:p>
    <w:p>
      <w:pPr>
        <w:pStyle w:val="Indenta"/>
        <w:spacing w:before="70"/>
      </w:pPr>
      <w:r>
        <w:tab/>
        <w:t>(b)</w:t>
      </w:r>
      <w:r>
        <w:tab/>
        <w:t>the employer specified in the order under subsection (5)(a),</w:t>
      </w:r>
    </w:p>
    <w:p>
      <w:pPr>
        <w:pStyle w:val="Subsection"/>
        <w:spacing w:before="140"/>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The Commission is to specify in the enterprise order —</w:t>
      </w:r>
    </w:p>
    <w:p>
      <w:pPr>
        <w:pStyle w:val="Indenta"/>
        <w:spacing w:before="70"/>
      </w:pPr>
      <w:r>
        <w:tab/>
        <w:t>(a)</w:t>
      </w:r>
      <w:r>
        <w:tab/>
        <w:t>the employer to whom the enterprise order extends and who is bound by the enterprise order; and</w:t>
      </w:r>
    </w:p>
    <w:p>
      <w:pPr>
        <w:pStyle w:val="Indenta"/>
        <w:spacing w:before="70"/>
      </w:pPr>
      <w:r>
        <w:tab/>
        <w:t>(b)</w:t>
      </w:r>
      <w:r>
        <w:tab/>
        <w:t>any organisation or association of employees that is a relevant negotiating party or person referred to in section 42I(1)(b), as the case requires.</w:t>
      </w:r>
    </w:p>
    <w:p>
      <w:pPr>
        <w:pStyle w:val="Subsection"/>
      </w:pPr>
      <w:r>
        <w:tab/>
        <w:t>(6)</w:t>
      </w:r>
      <w:r>
        <w:tab/>
        <w:t>The employer specified under subsection (5)(a) is to be —</w:t>
      </w:r>
    </w:p>
    <w:p>
      <w:pPr>
        <w:pStyle w:val="Indenta"/>
        <w:spacing w:before="70"/>
      </w:pPr>
      <w:r>
        <w:tab/>
        <w:t>(a)</w:t>
      </w:r>
      <w:r>
        <w:tab/>
        <w:t>the applicant for the enterprise order; or</w:t>
      </w:r>
    </w:p>
    <w:p>
      <w:pPr>
        <w:pStyle w:val="Indenta"/>
        <w:spacing w:before="70"/>
      </w:pPr>
      <w:r>
        <w:tab/>
        <w:t>(b)</w:t>
      </w:r>
      <w:r>
        <w:tab/>
        <w:t>if the applicant for the enterprise order was an organisation or association of employees —</w:t>
      </w:r>
    </w:p>
    <w:p>
      <w:pPr>
        <w:pStyle w:val="Indenti"/>
        <w:spacing w:before="70"/>
      </w:pPr>
      <w:r>
        <w:tab/>
        <w:t>(i)</w:t>
      </w:r>
      <w:r>
        <w:tab/>
        <w:t>the negotiating party; or</w:t>
      </w:r>
    </w:p>
    <w:p>
      <w:pPr>
        <w:pStyle w:val="Indenti"/>
      </w:pPr>
      <w:r>
        <w:tab/>
        <w:t>(ii)</w:t>
      </w:r>
      <w:r>
        <w:tab/>
        <w:t>the person referred to in section 42I(1)(b); or</w:t>
      </w:r>
    </w:p>
    <w:p>
      <w:pPr>
        <w:pStyle w:val="Indenti"/>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spacing w:before="100"/>
        <w:ind w:left="890" w:hanging="890"/>
      </w:pPr>
      <w:r>
        <w:tab/>
        <w:t>[Section 42J inserted by No. 20 of 2002 s. 133.]</w:t>
      </w:r>
    </w:p>
    <w:p>
      <w:pPr>
        <w:pStyle w:val="Heading5"/>
      </w:pPr>
      <w:bookmarkStart w:id="265" w:name="_Toc471911953"/>
      <w:bookmarkStart w:id="266" w:name="_Toc391894692"/>
      <w:bookmarkStart w:id="267" w:name="_Toc468179164"/>
      <w:r>
        <w:rPr>
          <w:rStyle w:val="CharSectno"/>
        </w:rPr>
        <w:t>42K</w:t>
      </w:r>
      <w:r>
        <w:t>.</w:t>
      </w:r>
      <w:r>
        <w:tab/>
      </w:r>
      <w:smartTag w:uri="urn:schemas-microsoft-com:office:smarttags" w:element="City">
        <w:smartTag w:uri="urn:schemas-microsoft-com:office:smarttags" w:element="place">
          <w:r>
            <w:t>Enterprise</w:t>
          </w:r>
        </w:smartTag>
      </w:smartTag>
      <w:r>
        <w:t xml:space="preserve"> order, term of and varying etc.</w:t>
      </w:r>
      <w:bookmarkEnd w:id="265"/>
      <w:bookmarkEnd w:id="266"/>
      <w:bookmarkEnd w:id="267"/>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The Commission is not to register an industrial agreement in substitution for an enterprise order unless —</w:t>
      </w:r>
    </w:p>
    <w:p>
      <w:pPr>
        <w:pStyle w:val="Indenta"/>
        <w:spacing w:before="70"/>
      </w:pPr>
      <w:r>
        <w:tab/>
        <w:t>(a)</w:t>
      </w:r>
      <w:r>
        <w:tab/>
        <w:t>the application to the Commission to register the industrial agreement is made by each of the persons specified in the order under section 42J(5); or</w:t>
      </w:r>
    </w:p>
    <w:p>
      <w:pPr>
        <w:pStyle w:val="Indenta"/>
        <w:spacing w:before="70"/>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268" w:name="_Toc471911954"/>
      <w:bookmarkStart w:id="269" w:name="_Toc391894693"/>
      <w:bookmarkStart w:id="270" w:name="_Toc468179165"/>
      <w:r>
        <w:rPr>
          <w:rStyle w:val="CharSectno"/>
        </w:rPr>
        <w:t>42L</w:t>
      </w:r>
      <w:r>
        <w:t>.</w:t>
      </w:r>
      <w:r>
        <w:tab/>
        <w:t>When bargaining ends</w:t>
      </w:r>
      <w:bookmarkEnd w:id="268"/>
      <w:bookmarkEnd w:id="269"/>
      <w:bookmarkEnd w:id="270"/>
    </w:p>
    <w:p>
      <w:pPr>
        <w:pStyle w:val="Subsection"/>
      </w:pPr>
      <w:r>
        <w:tab/>
      </w:r>
      <w:r>
        <w:tab/>
        <w:t>Bargaining initiated under section 42(1) ends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271" w:name="_Toc471911955"/>
      <w:bookmarkStart w:id="272" w:name="_Toc391894694"/>
      <w:bookmarkStart w:id="273" w:name="_Toc468179166"/>
      <w:r>
        <w:rPr>
          <w:rStyle w:val="CharSectno"/>
        </w:rPr>
        <w:t>42M</w:t>
      </w:r>
      <w:r>
        <w:t>.</w:t>
      </w:r>
      <w:r>
        <w:tab/>
        <w:t>Regulations for this Division</w:t>
      </w:r>
      <w:bookmarkEnd w:id="271"/>
      <w:bookmarkEnd w:id="272"/>
      <w:bookmarkEnd w:id="27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274" w:name="_Toc471911956"/>
      <w:bookmarkStart w:id="275" w:name="_Toc391894695"/>
      <w:bookmarkStart w:id="276" w:name="_Toc468179167"/>
      <w:r>
        <w:rPr>
          <w:rStyle w:val="CharSectno"/>
        </w:rPr>
        <w:t>43</w:t>
      </w:r>
      <w:r>
        <w:rPr>
          <w:snapToGrid w:val="0"/>
        </w:rPr>
        <w:t>.</w:t>
      </w:r>
      <w:r>
        <w:rPr>
          <w:snapToGrid w:val="0"/>
        </w:rPr>
        <w:tab/>
        <w:t>Industrial agreement, varying, renewing and cancelling</w:t>
      </w:r>
      <w:bookmarkEnd w:id="274"/>
      <w:bookmarkEnd w:id="275"/>
      <w:bookmarkEnd w:id="276"/>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4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[Section 43 inserted by No. 94 of 1984 s. 26; amended by No. 15 of 1993 s. 16; No. 1 of 1995 s. 50.]</w:t>
      </w:r>
    </w:p>
    <w:p>
      <w:pPr>
        <w:pStyle w:val="Heading3"/>
        <w:keepLines/>
      </w:pPr>
      <w:bookmarkStart w:id="277" w:name="_Toc471911957"/>
      <w:bookmarkStart w:id="278" w:name="_Toc391894696"/>
      <w:bookmarkStart w:id="279" w:name="_Toc419713281"/>
      <w:bookmarkStart w:id="280" w:name="_Toc435102925"/>
      <w:bookmarkStart w:id="281" w:name="_Toc452556355"/>
      <w:bookmarkStart w:id="282" w:name="_Toc455413935"/>
      <w:bookmarkStart w:id="283" w:name="_Toc462415365"/>
      <w:bookmarkStart w:id="284" w:name="_Toc462742276"/>
      <w:bookmarkStart w:id="285" w:name="_Toc465085930"/>
      <w:bookmarkStart w:id="286" w:name="_Toc468179168"/>
      <w:r>
        <w:rPr>
          <w:rStyle w:val="CharDivNo"/>
        </w:rPr>
        <w:t>Division 2C</w:t>
      </w:r>
      <w:r>
        <w:t xml:space="preserve"> — </w:t>
      </w:r>
      <w:r>
        <w:rPr>
          <w:rStyle w:val="CharDivText"/>
        </w:rPr>
        <w:t>Holding of compulsory conferences</w:t>
      </w:r>
      <w:bookmarkEnd w:id="277"/>
      <w:bookmarkEnd w:id="278"/>
      <w:bookmarkEnd w:id="279"/>
      <w:bookmarkEnd w:id="280"/>
      <w:bookmarkEnd w:id="281"/>
      <w:bookmarkEnd w:id="282"/>
      <w:bookmarkEnd w:id="283"/>
      <w:bookmarkEnd w:id="284"/>
      <w:bookmarkEnd w:id="285"/>
      <w:bookmarkEnd w:id="286"/>
    </w:p>
    <w:p>
      <w:pPr>
        <w:pStyle w:val="Footnoteheading"/>
        <w:keepNext/>
        <w:keepLines/>
        <w:tabs>
          <w:tab w:val="left" w:pos="851"/>
        </w:tabs>
      </w:pPr>
      <w:r>
        <w:tab/>
        <w:t>[Heading inserted by No. 20 of 2002 s. 119(1).]</w:t>
      </w:r>
    </w:p>
    <w:p>
      <w:pPr>
        <w:pStyle w:val="Heading5"/>
        <w:rPr>
          <w:snapToGrid w:val="0"/>
        </w:rPr>
      </w:pPr>
      <w:bookmarkStart w:id="287" w:name="_Toc471911958"/>
      <w:bookmarkStart w:id="288" w:name="_Toc391894697"/>
      <w:bookmarkStart w:id="289" w:name="_Toc468179169"/>
      <w:r>
        <w:rPr>
          <w:rStyle w:val="CharSectno"/>
        </w:rPr>
        <w:t>44</w:t>
      </w:r>
      <w:r>
        <w:rPr>
          <w:snapToGrid w:val="0"/>
        </w:rPr>
        <w:t>.</w:t>
      </w:r>
      <w:r>
        <w:rPr>
          <w:snapToGrid w:val="0"/>
        </w:rPr>
        <w:tab/>
        <w:t>Compulsory conference, summoning, holding etc.</w:t>
      </w:r>
      <w:bookmarkEnd w:id="287"/>
      <w:bookmarkEnd w:id="288"/>
      <w:bookmarkEnd w:id="289"/>
    </w:p>
    <w:p>
      <w:pPr>
        <w:pStyle w:val="Subsection"/>
        <w:spacing w:before="140"/>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spacing w:before="140"/>
        <w:rPr>
          <w:snapToGrid w:val="0"/>
        </w:rPr>
      </w:pPr>
      <w:r>
        <w:rPr>
          <w:snapToGrid w:val="0"/>
        </w:rPr>
        <w:tab/>
        <w:t>(2)</w:t>
      </w:r>
      <w:r>
        <w:rPr>
          <w:snapToGrid w:val="0"/>
        </w:rPr>
        <w:tab/>
        <w:t>A summons under this section —</w:t>
      </w:r>
    </w:p>
    <w:p>
      <w:pPr>
        <w:pStyle w:val="Indenta"/>
        <w:spacing w:before="60"/>
        <w:rPr>
          <w:snapToGrid w:val="0"/>
        </w:rPr>
      </w:pPr>
      <w:r>
        <w:rPr>
          <w:snapToGrid w:val="0"/>
        </w:rPr>
        <w:tab/>
        <w:t>(a)</w:t>
      </w:r>
      <w:r>
        <w:rPr>
          <w:snapToGrid w:val="0"/>
        </w:rPr>
        <w:tab/>
        <w:t>may be given in the prescribed manner; and</w:t>
      </w:r>
    </w:p>
    <w:p>
      <w:pPr>
        <w:pStyle w:val="Indenta"/>
        <w:spacing w:before="60"/>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spacing w:before="140"/>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 and</w:t>
      </w:r>
    </w:p>
    <w:p>
      <w:pPr>
        <w:pStyle w:val="Indenta"/>
        <w:rPr>
          <w:snapToGrid w:val="0"/>
        </w:rPr>
      </w:pPr>
      <w:r>
        <w:rPr>
          <w:snapToGrid w:val="0"/>
        </w:rPr>
        <w:tab/>
        <w:t>(b)</w:t>
      </w:r>
      <w:r>
        <w:rPr>
          <w:snapToGrid w:val="0"/>
        </w:rPr>
        <w:tab/>
        <w:t>direct that disclosure of any matter discussed at the conference be limited in such manner as the Commission may specify; and</w:t>
      </w:r>
    </w:p>
    <w:p>
      <w:pPr>
        <w:pStyle w:val="Indenta"/>
        <w:rPr>
          <w:snapToGrid w:val="0"/>
        </w:rPr>
      </w:pPr>
      <w:r>
        <w:rPr>
          <w:snapToGrid w:val="0"/>
        </w:rPr>
        <w:tab/>
        <w:t>(ba)</w:t>
      </w:r>
      <w:r>
        <w:rPr>
          <w:snapToGrid w:val="0"/>
        </w:rPr>
        <w:tab/>
        <w:t>with respect to industrial matters, give such directions and make such orders as will in the opinion of the Commission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 or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r>
      <w:r>
        <w:tab/>
        <w:t>and</w:t>
      </w:r>
    </w:p>
    <w:p>
      <w:pPr>
        <w:pStyle w:val="Indenta"/>
      </w:pPr>
      <w:r>
        <w:tab/>
        <w:t>(bb)</w:t>
      </w:r>
      <w:r>
        <w:tab/>
        <w:t>with respect to industrial matters —</w:t>
      </w:r>
    </w:p>
    <w:p>
      <w:pPr>
        <w:pStyle w:val="Indenti"/>
      </w:pPr>
      <w:r>
        <w:tab/>
        <w:t>(i)</w:t>
      </w:r>
      <w:r>
        <w:tab/>
        <w:t>give any direction or make any order or declaration which the Commission is otherwise authorised to give or make under this Act; and</w:t>
      </w:r>
    </w:p>
    <w:p>
      <w:pPr>
        <w:pStyle w:val="Indenti"/>
      </w:pPr>
      <w:r>
        <w:tab/>
        <w:t>(ii)</w:t>
      </w:r>
      <w:r>
        <w:tab/>
        <w:t>without limiting paragraph (ba) or subparagraph (i), in the case of a claim of harsh, oppressive or unfair dismissal of an employee, make any interim order the Commission thinks appropriate in the circumstances pending resolution of the claim;</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w:t>
      </w:r>
    </w:p>
    <w:p>
      <w:pPr>
        <w:pStyle w:val="Indenta"/>
        <w:rPr>
          <w:snapToGrid w:val="0"/>
        </w:rPr>
      </w:pPr>
      <w:r>
        <w:rPr>
          <w:snapToGrid w:val="0"/>
        </w:rPr>
        <w:tab/>
        <w:t>(a)</w:t>
      </w:r>
      <w:r>
        <w:rPr>
          <w:snapToGrid w:val="0"/>
        </w:rPr>
        <w:tab/>
        <w:t>on the application of —</w:t>
      </w:r>
    </w:p>
    <w:p>
      <w:pPr>
        <w:pStyle w:val="Indenti"/>
        <w:rPr>
          <w:snapToGrid w:val="0"/>
        </w:rPr>
      </w:pPr>
      <w:r>
        <w:rPr>
          <w:snapToGrid w:val="0"/>
        </w:rPr>
        <w:tab/>
        <w:t>(i)</w:t>
      </w:r>
      <w:r>
        <w:rPr>
          <w:snapToGrid w:val="0"/>
        </w:rPr>
        <w:tab/>
        <w:t>any organisation, association or employer; or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w:t>
      </w:r>
    </w:p>
    <w:p>
      <w:pPr>
        <w:pStyle w:val="Indenta"/>
        <w:spacing w:before="60"/>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spacing w:before="60"/>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spacing w:before="140"/>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spacing w:before="140"/>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spacing w:before="140"/>
        <w:rPr>
          <w:snapToGrid w:val="0"/>
        </w:rPr>
      </w:pPr>
      <w:r>
        <w:rPr>
          <w:snapToGrid w:val="0"/>
        </w:rPr>
        <w:tab/>
        <w:t>(12c)</w:t>
      </w:r>
      <w:r>
        <w:rPr>
          <w:snapToGrid w:val="0"/>
        </w:rPr>
        <w:tab/>
        <w:t>Notwithstanding section 49 no appeal shall lie from an order made under subsection (12a).</w:t>
      </w:r>
    </w:p>
    <w:p>
      <w:pPr>
        <w:pStyle w:val="Subsection"/>
        <w:spacing w:before="140"/>
      </w:pPr>
      <w:r>
        <w:tab/>
        <w:t>(12d)</w:t>
      </w:r>
      <w:r>
        <w:tab/>
        <w:t>As soon as is practicable after giving or making a direction, order or declaration orally under this section, the Commission shall —</w:t>
      </w:r>
    </w:p>
    <w:p>
      <w:pPr>
        <w:pStyle w:val="Indenta"/>
        <w:spacing w:before="60"/>
      </w:pPr>
      <w:r>
        <w:tab/>
        <w:t>(a)</w:t>
      </w:r>
      <w:r>
        <w:tab/>
        <w:t>reduce the direction, order or declaration to writing; and</w:t>
      </w:r>
    </w:p>
    <w:p>
      <w:pPr>
        <w:pStyle w:val="Indenta"/>
        <w:spacing w:before="60"/>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151 and 194(5); amended in Gazette 15 Aug 2003 p. 3686.]</w:t>
      </w:r>
    </w:p>
    <w:p>
      <w:pPr>
        <w:pStyle w:val="Ednotesection"/>
      </w:pPr>
      <w:r>
        <w:t>[</w:t>
      </w:r>
      <w:r>
        <w:rPr>
          <w:b/>
        </w:rPr>
        <w:t>45.</w:t>
      </w:r>
      <w:r>
        <w:tab/>
        <w:t>Deleted by No. 94 of 1984 s. 66.]</w:t>
      </w:r>
    </w:p>
    <w:p>
      <w:pPr>
        <w:pStyle w:val="Heading3"/>
      </w:pPr>
      <w:bookmarkStart w:id="290" w:name="_Toc471911959"/>
      <w:bookmarkStart w:id="291" w:name="_Toc391894698"/>
      <w:bookmarkStart w:id="292" w:name="_Toc419713283"/>
      <w:bookmarkStart w:id="293" w:name="_Toc435102927"/>
      <w:bookmarkStart w:id="294" w:name="_Toc452556357"/>
      <w:bookmarkStart w:id="295" w:name="_Toc455413937"/>
      <w:bookmarkStart w:id="296" w:name="_Toc462415367"/>
      <w:bookmarkStart w:id="297" w:name="_Toc462742278"/>
      <w:bookmarkStart w:id="298" w:name="_Toc465085932"/>
      <w:bookmarkStart w:id="299" w:name="_Toc468179170"/>
      <w:r>
        <w:rPr>
          <w:rStyle w:val="CharDivNo"/>
        </w:rPr>
        <w:t>Division 2D</w:t>
      </w:r>
      <w:r>
        <w:t xml:space="preserve"> — </w:t>
      </w:r>
      <w:r>
        <w:rPr>
          <w:rStyle w:val="CharDivText"/>
        </w:rPr>
        <w:t>Miscellaneous provisions relating to awards, orders and agreements</w:t>
      </w:r>
      <w:bookmarkEnd w:id="290"/>
      <w:bookmarkEnd w:id="291"/>
      <w:bookmarkEnd w:id="292"/>
      <w:bookmarkEnd w:id="293"/>
      <w:bookmarkEnd w:id="294"/>
      <w:bookmarkEnd w:id="295"/>
      <w:bookmarkEnd w:id="296"/>
      <w:bookmarkEnd w:id="297"/>
      <w:bookmarkEnd w:id="298"/>
      <w:bookmarkEnd w:id="299"/>
    </w:p>
    <w:p>
      <w:pPr>
        <w:pStyle w:val="Footnoteheading"/>
        <w:tabs>
          <w:tab w:val="left" w:pos="851"/>
        </w:tabs>
      </w:pPr>
      <w:r>
        <w:tab/>
        <w:t>[Heading inserted by No. 20 of 2002 s. 119(2).]</w:t>
      </w:r>
    </w:p>
    <w:p>
      <w:pPr>
        <w:pStyle w:val="Heading5"/>
        <w:keepNext w:val="0"/>
        <w:keepLines w:val="0"/>
        <w:rPr>
          <w:snapToGrid w:val="0"/>
        </w:rPr>
      </w:pPr>
      <w:bookmarkStart w:id="300" w:name="_Toc471911960"/>
      <w:bookmarkStart w:id="301" w:name="_Toc391894699"/>
      <w:bookmarkStart w:id="302" w:name="_Toc468179171"/>
      <w:r>
        <w:rPr>
          <w:rStyle w:val="CharSectno"/>
        </w:rPr>
        <w:t>46</w:t>
      </w:r>
      <w:r>
        <w:rPr>
          <w:snapToGrid w:val="0"/>
        </w:rPr>
        <w:t>.</w:t>
      </w:r>
      <w:r>
        <w:rPr>
          <w:snapToGrid w:val="0"/>
        </w:rPr>
        <w:tab/>
        <w:t>Interpretation of awards and orders by Commission</w:t>
      </w:r>
      <w:bookmarkEnd w:id="300"/>
      <w:bookmarkEnd w:id="301"/>
      <w:bookmarkEnd w:id="302"/>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spacing w:before="100"/>
        <w:ind w:left="890" w:hanging="890"/>
      </w:pPr>
      <w:r>
        <w:tab/>
        <w:t>[Section 46 amended by No. 94 of 1984 s. 66.]</w:t>
      </w:r>
    </w:p>
    <w:p>
      <w:pPr>
        <w:pStyle w:val="Heading5"/>
        <w:spacing w:before="200"/>
        <w:rPr>
          <w:snapToGrid w:val="0"/>
        </w:rPr>
      </w:pPr>
      <w:bookmarkStart w:id="303" w:name="_Toc471911961"/>
      <w:bookmarkStart w:id="304" w:name="_Toc391894700"/>
      <w:bookmarkStart w:id="305" w:name="_Toc468179172"/>
      <w:r>
        <w:rPr>
          <w:rStyle w:val="CharSectno"/>
        </w:rPr>
        <w:t>47</w:t>
      </w:r>
      <w:r>
        <w:rPr>
          <w:snapToGrid w:val="0"/>
        </w:rPr>
        <w:t>.</w:t>
      </w:r>
      <w:r>
        <w:rPr>
          <w:snapToGrid w:val="0"/>
        </w:rPr>
        <w:tab/>
        <w:t xml:space="preserve">Defunct awards etc., cancelling; employers not in business etc., </w:t>
      </w:r>
      <w:smartTag w:uri="urn:schemas-microsoft-com:office:smarttags" w:element="State">
        <w:smartTag w:uri="urn:schemas-microsoft-com:office:smarttags" w:element="place">
          <w:r>
            <w:rPr>
              <w:snapToGrid w:val="0"/>
            </w:rPr>
            <w:t>del</w:t>
          </w:r>
        </w:smartTag>
      </w:smartTag>
      <w:r>
        <w:rPr>
          <w:snapToGrid w:val="0"/>
        </w:rPr>
        <w:t>eting from awards etc.</w:t>
      </w:r>
      <w:bookmarkEnd w:id="303"/>
      <w:bookmarkEnd w:id="304"/>
      <w:bookmarkEnd w:id="305"/>
    </w:p>
    <w:p>
      <w:pPr>
        <w:pStyle w:val="Subsection"/>
        <w:spacing w:before="120"/>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spacing w:before="120"/>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spacing w:before="120"/>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spacing w:before="120"/>
        <w:rPr>
          <w:snapToGrid w:val="0"/>
        </w:rPr>
      </w:pPr>
      <w:r>
        <w:rPr>
          <w:snapToGrid w:val="0"/>
        </w:rPr>
        <w:tab/>
        <w:t>(3)</w:t>
      </w:r>
      <w:r>
        <w:rPr>
          <w:snapToGrid w:val="0"/>
        </w:rPr>
        <w:tab/>
        <w:t>The Commission shall not make an order under subsection (1), (2) or (2a) unless before making the order —</w:t>
      </w:r>
    </w:p>
    <w:p>
      <w:pPr>
        <w:pStyle w:val="Indenta"/>
        <w:spacing w:before="60"/>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spacing w:before="60"/>
        <w:rPr>
          <w:snapToGrid w:val="0"/>
        </w:rPr>
      </w:pPr>
      <w:r>
        <w:rPr>
          <w:snapToGrid w:val="0"/>
        </w:rPr>
        <w:tab/>
        <w:t>(b)</w:t>
      </w:r>
      <w:r>
        <w:rPr>
          <w:snapToGrid w:val="0"/>
        </w:rPr>
        <w:tab/>
        <w:t>after receiving the report of the Registrar, the Commission has —</w:t>
      </w:r>
    </w:p>
    <w:p>
      <w:pPr>
        <w:pStyle w:val="Indenti"/>
        <w:spacing w:before="60"/>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UnionsWA</w:t>
      </w:r>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1995 s. 53; No. 20 of 2002 s. 190(2) and (3); No. 53 of 2011 s. 48.]</w:t>
      </w:r>
    </w:p>
    <w:p>
      <w:pPr>
        <w:pStyle w:val="Heading5"/>
        <w:rPr>
          <w:snapToGrid w:val="0"/>
        </w:rPr>
      </w:pPr>
      <w:bookmarkStart w:id="306" w:name="_Toc471911962"/>
      <w:bookmarkStart w:id="307" w:name="_Toc391894701"/>
      <w:bookmarkStart w:id="308" w:name="_Toc468179173"/>
      <w:r>
        <w:rPr>
          <w:rStyle w:val="CharSectno"/>
        </w:rPr>
        <w:t>48</w:t>
      </w:r>
      <w:r>
        <w:rPr>
          <w:snapToGrid w:val="0"/>
        </w:rPr>
        <w:t>.</w:t>
      </w:r>
      <w:r>
        <w:rPr>
          <w:snapToGrid w:val="0"/>
        </w:rPr>
        <w:tab/>
        <w:t>Board of Reference for each award</w:t>
      </w:r>
      <w:bookmarkEnd w:id="306"/>
      <w:bookmarkEnd w:id="307"/>
      <w:bookmarkEnd w:id="308"/>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[Section 48 amended by No. 94 of 1984 s. 29 and 66; No. 119 of 1987 s. 11.]</w:t>
      </w:r>
    </w:p>
    <w:p>
      <w:pPr>
        <w:pStyle w:val="Heading5"/>
        <w:rPr>
          <w:snapToGrid w:val="0"/>
        </w:rPr>
      </w:pPr>
      <w:bookmarkStart w:id="309" w:name="_Toc471911963"/>
      <w:bookmarkStart w:id="310" w:name="_Toc391894702"/>
      <w:bookmarkStart w:id="311" w:name="_Toc468179174"/>
      <w:r>
        <w:rPr>
          <w:rStyle w:val="CharSectno"/>
        </w:rPr>
        <w:t>48A</w:t>
      </w:r>
      <w:r>
        <w:rPr>
          <w:snapToGrid w:val="0"/>
        </w:rPr>
        <w:t xml:space="preserve">. </w:t>
      </w:r>
      <w:r>
        <w:rPr>
          <w:snapToGrid w:val="0"/>
        </w:rPr>
        <w:tab/>
        <w:t>Awards etc. to provide for dispute resolution</w:t>
      </w:r>
      <w:bookmarkEnd w:id="309"/>
      <w:bookmarkEnd w:id="310"/>
      <w:bookmarkEnd w:id="311"/>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5</w:t>
      </w:r>
      <w:r>
        <w:t>; renumbered as section 48A by No. 20 of 2002 s. 120.]</w:t>
      </w:r>
    </w:p>
    <w:p>
      <w:pPr>
        <w:pStyle w:val="Heading5"/>
      </w:pPr>
      <w:bookmarkStart w:id="312" w:name="_Toc471911964"/>
      <w:bookmarkStart w:id="313" w:name="_Toc391894703"/>
      <w:bookmarkStart w:id="314" w:name="_Toc468179175"/>
      <w:r>
        <w:rPr>
          <w:rStyle w:val="CharSectno"/>
        </w:rPr>
        <w:t>48B</w:t>
      </w:r>
      <w:r>
        <w:t>.</w:t>
      </w:r>
      <w:r>
        <w:tab/>
        <w:t>Superannuation, provisions about in awards etc.</w:t>
      </w:r>
      <w:bookmarkEnd w:id="312"/>
      <w:bookmarkEnd w:id="313"/>
      <w:bookmarkEnd w:id="314"/>
    </w:p>
    <w:p>
      <w:pPr>
        <w:pStyle w:val="Subsection"/>
        <w:keepNext/>
      </w:pPr>
      <w:r>
        <w:tab/>
        <w:t>(1)</w:t>
      </w:r>
      <w:r>
        <w:tab/>
        <w:t>In this section —</w:t>
      </w:r>
    </w:p>
    <w:p>
      <w:pPr>
        <w:pStyle w:val="Defstart"/>
      </w:pPr>
      <w:r>
        <w:tab/>
      </w:r>
      <w:r>
        <w:rPr>
          <w:rStyle w:val="CharDefText"/>
        </w:rPr>
        <w:t>complying superannuation fund or scheme</w:t>
      </w:r>
      <w:r>
        <w:t xml:space="preserve"> means a superannuation fund or scheme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w:t>
      </w:r>
    </w:p>
    <w:p>
      <w:pPr>
        <w:pStyle w:val="Indenta"/>
        <w:spacing w:before="60"/>
      </w:pPr>
      <w:r>
        <w:tab/>
        <w:t>(a)</w:t>
      </w:r>
      <w:r>
        <w:tab/>
        <w:t>permits the employee to nominate a complying superannuation fund or scheme; and</w:t>
      </w:r>
    </w:p>
    <w:p>
      <w:pPr>
        <w:pStyle w:val="Indenta"/>
        <w:spacing w:before="60"/>
      </w:pPr>
      <w:r>
        <w:tab/>
        <w:t>(b)</w:t>
      </w:r>
      <w:r>
        <w:tab/>
        <w:t>requires the employer to notify the employee of the entitlement to nominate a complying superannuation fund or scheme; and</w:t>
      </w:r>
    </w:p>
    <w:p>
      <w:pPr>
        <w:pStyle w:val="Indenta"/>
        <w:keepNext/>
        <w:spacing w:before="60"/>
      </w:pPr>
      <w:r>
        <w:tab/>
        <w:t>(c)</w:t>
      </w:r>
      <w:r>
        <w:tab/>
        <w:t>requires the employer —</w:t>
      </w:r>
    </w:p>
    <w:p>
      <w:pPr>
        <w:pStyle w:val="Indenti"/>
        <w:spacing w:before="60"/>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spacing w:before="60"/>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spacing w:before="60"/>
      </w:pPr>
      <w:r>
        <w:tab/>
      </w:r>
      <w:r>
        <w:tab/>
        <w:t>and</w:t>
      </w:r>
    </w:p>
    <w:p>
      <w:pPr>
        <w:pStyle w:val="Indenta"/>
        <w:spacing w:before="60"/>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spacing w:before="60"/>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w:t>
      </w:r>
    </w:p>
    <w:p>
      <w:pPr>
        <w:pStyle w:val="Indenta"/>
        <w:spacing w:before="6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pPr>
      <w:r>
        <w:tab/>
        <w:t>(4)</w:t>
      </w:r>
      <w:r>
        <w:tab/>
        <w:t>A person shall not by threats or intimidation persuade or attempt to persuade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pPr>
      <w:r>
        <w:tab/>
        <w:t>(5)</w:t>
      </w:r>
      <w:r>
        <w:tab/>
        <w:t>In subsection (4)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ind w:left="890" w:hanging="890"/>
      </w:pPr>
      <w:r>
        <w:tab/>
        <w:t>[Section 48B inserted as section 49C by No. 79 of 1995 s. 13(1); renumbered as section 48B by No. 20 of 2002 s. 120.]</w:t>
      </w:r>
    </w:p>
    <w:p>
      <w:pPr>
        <w:pStyle w:val="Heading3"/>
        <w:keepLines/>
      </w:pPr>
      <w:bookmarkStart w:id="315" w:name="_Toc471911965"/>
      <w:bookmarkStart w:id="316" w:name="_Toc391894704"/>
      <w:bookmarkStart w:id="317" w:name="_Toc419713289"/>
      <w:bookmarkStart w:id="318" w:name="_Toc435102933"/>
      <w:bookmarkStart w:id="319" w:name="_Toc452556363"/>
      <w:bookmarkStart w:id="320" w:name="_Toc455413943"/>
      <w:bookmarkStart w:id="321" w:name="_Toc462415373"/>
      <w:bookmarkStart w:id="322" w:name="_Toc462742284"/>
      <w:bookmarkStart w:id="323" w:name="_Toc465085938"/>
      <w:bookmarkStart w:id="324" w:name="_Toc468179176"/>
      <w:r>
        <w:rPr>
          <w:rStyle w:val="CharDivNo"/>
        </w:rPr>
        <w:t>Division 2E</w:t>
      </w:r>
      <w:r>
        <w:t xml:space="preserve"> — </w:t>
      </w:r>
      <w:r>
        <w:rPr>
          <w:rStyle w:val="CharDivText"/>
        </w:rPr>
        <w:t>Appeals to the Full Bench</w:t>
      </w:r>
      <w:bookmarkEnd w:id="315"/>
      <w:bookmarkEnd w:id="316"/>
      <w:bookmarkEnd w:id="317"/>
      <w:bookmarkEnd w:id="318"/>
      <w:bookmarkEnd w:id="319"/>
      <w:bookmarkEnd w:id="320"/>
      <w:bookmarkEnd w:id="321"/>
      <w:bookmarkEnd w:id="322"/>
      <w:bookmarkEnd w:id="323"/>
      <w:bookmarkEnd w:id="324"/>
    </w:p>
    <w:p>
      <w:pPr>
        <w:pStyle w:val="Footnoteheading"/>
        <w:keepNext/>
        <w:keepLines/>
        <w:tabs>
          <w:tab w:val="left" w:pos="851"/>
        </w:tabs>
      </w:pPr>
      <w:r>
        <w:tab/>
        <w:t>[Heading inserted by No. 20 of 2002 s. 119(3).]</w:t>
      </w:r>
    </w:p>
    <w:p>
      <w:pPr>
        <w:pStyle w:val="Heading5"/>
        <w:rPr>
          <w:snapToGrid w:val="0"/>
        </w:rPr>
      </w:pPr>
      <w:bookmarkStart w:id="325" w:name="_Toc471911966"/>
      <w:bookmarkStart w:id="326" w:name="_Toc391894705"/>
      <w:bookmarkStart w:id="327" w:name="_Toc468179177"/>
      <w:r>
        <w:rPr>
          <w:rStyle w:val="CharSectno"/>
        </w:rPr>
        <w:t>49</w:t>
      </w:r>
      <w:r>
        <w:rPr>
          <w:snapToGrid w:val="0"/>
        </w:rPr>
        <w:t>.</w:t>
      </w:r>
      <w:r>
        <w:rPr>
          <w:snapToGrid w:val="0"/>
        </w:rPr>
        <w:tab/>
        <w:t>Appeal from Commission’s decision</w:t>
      </w:r>
      <w:bookmarkEnd w:id="325"/>
      <w:bookmarkEnd w:id="326"/>
      <w:bookmarkEnd w:id="327"/>
    </w:p>
    <w:p>
      <w:pPr>
        <w:pStyle w:val="Subsection"/>
        <w:rPr>
          <w:snapToGrid w:val="0"/>
        </w:rPr>
      </w:pPr>
      <w:r>
        <w:rPr>
          <w:snapToGrid w:val="0"/>
        </w:rPr>
        <w:tab/>
        <w:t>(1)</w:t>
      </w:r>
      <w:r>
        <w:rPr>
          <w:snapToGrid w:val="0"/>
        </w:rPr>
        <w:tab/>
        <w:t xml:space="preserve">In this section </w:t>
      </w:r>
      <w:r>
        <w:t xml:space="preserve">the </w:t>
      </w:r>
      <w:r>
        <w:rPr>
          <w:rStyle w:val="CharDefText"/>
        </w:rPr>
        <w:t>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An appeal does not lie under this section from a determination —</w:t>
      </w:r>
    </w:p>
    <w:p>
      <w:pPr>
        <w:pStyle w:val="Indenta"/>
      </w:pPr>
      <w:r>
        <w:tab/>
        <w:t>(a)</w:t>
      </w:r>
      <w:r>
        <w:tab/>
        <w:t>of a relevant industrial authority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w:t>
      </w:r>
    </w:p>
    <w:p>
      <w:pPr>
        <w:pStyle w:val="Indenta"/>
        <w:spacing w:before="70"/>
        <w:rPr>
          <w:snapToGrid w:val="0"/>
        </w:rPr>
      </w:pPr>
      <w:r>
        <w:rPr>
          <w:snapToGrid w:val="0"/>
        </w:rPr>
        <w:tab/>
        <w:t>(a)</w:t>
      </w:r>
      <w:r>
        <w:rPr>
          <w:snapToGrid w:val="0"/>
        </w:rPr>
        <w:tab/>
        <w:t>any party to the proceedings wherein the decision was made; or</w:t>
      </w:r>
    </w:p>
    <w:p>
      <w:pPr>
        <w:pStyle w:val="Indenta"/>
        <w:spacing w:before="70"/>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w:t>
      </w:r>
    </w:p>
    <w:p>
      <w:pPr>
        <w:pStyle w:val="Indenta"/>
        <w:spacing w:before="70"/>
        <w:rPr>
          <w:snapToGrid w:val="0"/>
        </w:rPr>
      </w:pPr>
      <w:r>
        <w:rPr>
          <w:snapToGrid w:val="0"/>
        </w:rPr>
        <w:tab/>
        <w:t>(a)</w:t>
      </w:r>
      <w:r>
        <w:rPr>
          <w:snapToGrid w:val="0"/>
        </w:rPr>
        <w:tab/>
        <w:t>shall be heard and determined on the evidence and matters raised in the proceedings before the Commission; and</w:t>
      </w:r>
    </w:p>
    <w:p>
      <w:pPr>
        <w:pStyle w:val="Indenta"/>
        <w:spacing w:before="70"/>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w:t>
      </w:r>
    </w:p>
    <w:p>
      <w:pPr>
        <w:pStyle w:val="Indenta"/>
        <w:spacing w:before="70"/>
        <w:rPr>
          <w:snapToGrid w:val="0"/>
        </w:rPr>
      </w:pPr>
      <w:r>
        <w:rPr>
          <w:snapToGrid w:val="0"/>
        </w:rPr>
        <w:tab/>
        <w:t>(a)</w:t>
      </w:r>
      <w:r>
        <w:rPr>
          <w:snapToGrid w:val="0"/>
        </w:rPr>
        <w:tab/>
        <w:t>dismiss the appeal; or</w:t>
      </w:r>
    </w:p>
    <w:p>
      <w:pPr>
        <w:pStyle w:val="Indenta"/>
        <w:spacing w:before="70"/>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7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[Section 49 amended by No. 121 of 1982 s. 20; No. 94 of 1984 s. 30 and 66; No. 119 of 1987 s. 12; No. 1 of 1995 s. 9; No. 36 of 1999 s. 247; No. 20 of 2002 s. 8 and 125.]</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328" w:name="_Toc471911967"/>
      <w:bookmarkStart w:id="329" w:name="_Toc391894706"/>
      <w:bookmarkStart w:id="330" w:name="_Toc419713291"/>
      <w:bookmarkStart w:id="331" w:name="_Toc435102935"/>
      <w:bookmarkStart w:id="332" w:name="_Toc452556365"/>
      <w:bookmarkStart w:id="333" w:name="_Toc455413945"/>
      <w:bookmarkStart w:id="334" w:name="_Toc462415375"/>
      <w:bookmarkStart w:id="335" w:name="_Toc462742286"/>
      <w:bookmarkStart w:id="336" w:name="_Toc465085940"/>
      <w:bookmarkStart w:id="337" w:name="_Toc468179178"/>
      <w:r>
        <w:rPr>
          <w:rStyle w:val="CharDivNo"/>
        </w:rPr>
        <w:t>Division 2F</w:t>
      </w:r>
      <w:r>
        <w:t xml:space="preserve"> — </w:t>
      </w:r>
      <w:r>
        <w:rPr>
          <w:rStyle w:val="CharDivText"/>
        </w:rPr>
        <w:t>Keeping of and access to employment records</w:t>
      </w:r>
      <w:bookmarkEnd w:id="328"/>
      <w:bookmarkEnd w:id="329"/>
      <w:bookmarkEnd w:id="330"/>
      <w:bookmarkEnd w:id="331"/>
      <w:bookmarkEnd w:id="332"/>
      <w:bookmarkEnd w:id="333"/>
      <w:bookmarkEnd w:id="334"/>
      <w:bookmarkEnd w:id="335"/>
      <w:bookmarkEnd w:id="336"/>
      <w:bookmarkEnd w:id="337"/>
    </w:p>
    <w:p>
      <w:pPr>
        <w:pStyle w:val="Footnoteheading"/>
        <w:keepNext/>
        <w:keepLines/>
        <w:tabs>
          <w:tab w:val="left" w:pos="851"/>
        </w:tabs>
      </w:pPr>
      <w:r>
        <w:tab/>
        <w:t>[Heading inserted by No. 20 of 2002 s. 146(1).]</w:t>
      </w:r>
    </w:p>
    <w:p>
      <w:pPr>
        <w:pStyle w:val="Heading5"/>
      </w:pPr>
      <w:bookmarkStart w:id="338" w:name="_Toc471911968"/>
      <w:bookmarkStart w:id="339" w:name="_Toc391894707"/>
      <w:bookmarkStart w:id="340" w:name="_Toc468179179"/>
      <w:r>
        <w:rPr>
          <w:rStyle w:val="CharSectno"/>
        </w:rPr>
        <w:t>49D</w:t>
      </w:r>
      <w:r>
        <w:t>.</w:t>
      </w:r>
      <w:r>
        <w:tab/>
        <w:t>Employer’s duties as to employment records</w:t>
      </w:r>
      <w:bookmarkEnd w:id="338"/>
      <w:bookmarkEnd w:id="339"/>
      <w:bookmarkEnd w:id="340"/>
    </w:p>
    <w:p>
      <w:pPr>
        <w:pStyle w:val="Subsection"/>
      </w:pPr>
      <w:r>
        <w:tab/>
        <w:t>(1)</w:t>
      </w:r>
      <w:r>
        <w:tab/>
        <w:t>Subsection (2) applies to an employee during any period when an industrial instrument applies to his or her employment.</w:t>
      </w:r>
    </w:p>
    <w:p>
      <w:pPr>
        <w:pStyle w:val="Subsection"/>
        <w:keepNext/>
      </w:pPr>
      <w:r>
        <w:tab/>
        <w:t>(2)</w:t>
      </w:r>
      <w:r>
        <w:tab/>
        <w:t>An employer must ensure that details are recorded of —</w:t>
      </w:r>
    </w:p>
    <w:p>
      <w:pPr>
        <w:pStyle w:val="Indenta"/>
      </w:pPr>
      <w:r>
        <w:tab/>
        <w:t>(a)</w:t>
      </w:r>
      <w:r>
        <w:tab/>
        <w:t>the employee’s name and, if the employee is under 21 years of age, his or her date of birth; and</w:t>
      </w:r>
    </w:p>
    <w:p>
      <w:pPr>
        <w:pStyle w:val="Indenta"/>
      </w:pPr>
      <w:r>
        <w:tab/>
        <w:t>(b)</w:t>
      </w:r>
      <w:r>
        <w:tab/>
        <w:t>any industrial instrument that applies; and</w:t>
      </w:r>
    </w:p>
    <w:p>
      <w:pPr>
        <w:pStyle w:val="Indenta"/>
      </w:pPr>
      <w:r>
        <w:tab/>
        <w:t>(c)</w:t>
      </w:r>
      <w:r>
        <w:tab/>
        <w:t>the date on which the employee commenced employment with the employer; and</w:t>
      </w:r>
    </w:p>
    <w:p>
      <w:pPr>
        <w:pStyle w:val="Indenta"/>
        <w:keepNext/>
      </w:pPr>
      <w:r>
        <w:tab/>
        <w:t>(d)</w:t>
      </w:r>
      <w:r>
        <w:tab/>
        <w:t>for each day —</w:t>
      </w:r>
    </w:p>
    <w:p>
      <w:pPr>
        <w:pStyle w:val="Indenti"/>
      </w:pPr>
      <w:r>
        <w:tab/>
        <w:t>(i)</w:t>
      </w:r>
      <w:r>
        <w:tab/>
        <w:t>the time at which the employee started and finished work; and</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r>
      <w:r>
        <w:tab/>
        <w:t>and</w:t>
      </w:r>
    </w:p>
    <w:p>
      <w:pPr>
        <w:pStyle w:val="Indenta"/>
      </w:pPr>
      <w:r>
        <w:tab/>
        <w:t>(e)</w:t>
      </w:r>
      <w:r>
        <w:tab/>
        <w:t>for each pay period —</w:t>
      </w:r>
    </w:p>
    <w:p>
      <w:pPr>
        <w:pStyle w:val="Indenti"/>
      </w:pPr>
      <w:r>
        <w:tab/>
        <w:t>(i)</w:t>
      </w:r>
      <w:r>
        <w:tab/>
        <w:t>the employee’s designation; and</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r>
      <w:r>
        <w:tab/>
        <w:t>and</w:t>
      </w:r>
    </w:p>
    <w:p>
      <w:pPr>
        <w:pStyle w:val="Indenta"/>
      </w:pPr>
      <w:r>
        <w:tab/>
        <w:t>(f)</w:t>
      </w:r>
      <w:r>
        <w:tab/>
        <w:t>all leave taken by the employee, whether paid, partly paid or unpaid; and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and</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The employer must ensure that —</w:t>
      </w:r>
    </w:p>
    <w:p>
      <w:pPr>
        <w:pStyle w:val="Indenta"/>
      </w:pPr>
      <w:r>
        <w:tab/>
        <w:t>(a)</w:t>
      </w:r>
      <w:r>
        <w:tab/>
        <w:t>the employment records are kept in accordance with regulations made by the Governor; and</w:t>
      </w:r>
    </w:p>
    <w:p>
      <w:pPr>
        <w:pStyle w:val="Indenta"/>
      </w:pPr>
      <w:r>
        <w:tab/>
        <w:t>(b)</w:t>
      </w:r>
      <w:r>
        <w:tab/>
        <w:t>each entry in relation to long service leave is retained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In this section —</w:t>
      </w:r>
    </w:p>
    <w:p>
      <w:pPr>
        <w:pStyle w:val="Defstart"/>
      </w:pPr>
      <w:r>
        <w:tab/>
      </w:r>
      <w:r>
        <w:rPr>
          <w:rStyle w:val="CharDefText"/>
        </w:rPr>
        <w:t>industrial instrument</w:t>
      </w:r>
      <w:r>
        <w:t xml:space="preserve"> means —</w:t>
      </w:r>
    </w:p>
    <w:p>
      <w:pPr>
        <w:pStyle w:val="Defpara"/>
      </w:pPr>
      <w:r>
        <w:tab/>
        <w:t>(a)</w:t>
      </w:r>
      <w:r>
        <w:tab/>
        <w:t>an award; or</w:t>
      </w:r>
    </w:p>
    <w:p>
      <w:pPr>
        <w:pStyle w:val="Defpara"/>
      </w:pPr>
      <w:r>
        <w:tab/>
        <w:t>(b)</w:t>
      </w:r>
      <w:r>
        <w:tab/>
        <w:t>an order of the Commission under this Act; or</w:t>
      </w:r>
    </w:p>
    <w:p>
      <w:pPr>
        <w:pStyle w:val="Defpara"/>
      </w:pPr>
      <w:r>
        <w:tab/>
        <w:t>(c)</w:t>
      </w:r>
      <w:r>
        <w:tab/>
        <w:t>an industrial agreement; or</w:t>
      </w:r>
    </w:p>
    <w:p>
      <w:pPr>
        <w:pStyle w:val="Defpara"/>
      </w:pPr>
      <w:r>
        <w:tab/>
        <w:t>(d)</w:t>
      </w:r>
      <w:r>
        <w:tab/>
        <w:t>an employer</w:t>
      </w:r>
      <w:r>
        <w:noBreakHyphen/>
        <w:t>employee agreement.</w:t>
      </w:r>
    </w:p>
    <w:p>
      <w:pPr>
        <w:pStyle w:val="Footnotesection"/>
      </w:pPr>
      <w:r>
        <w:tab/>
        <w:t>[Section 49D inserted by No. 20 of 2002 s. 146(1).]</w:t>
      </w:r>
    </w:p>
    <w:p>
      <w:pPr>
        <w:pStyle w:val="Heading5"/>
      </w:pPr>
      <w:bookmarkStart w:id="341" w:name="_Toc471911969"/>
      <w:bookmarkStart w:id="342" w:name="_Toc391894708"/>
      <w:bookmarkStart w:id="343" w:name="_Toc468179180"/>
      <w:r>
        <w:rPr>
          <w:rStyle w:val="CharSectno"/>
        </w:rPr>
        <w:t>49E</w:t>
      </w:r>
      <w:r>
        <w:t>.</w:t>
      </w:r>
      <w:r>
        <w:tab/>
        <w:t>Access to employment records</w:t>
      </w:r>
      <w:bookmarkEnd w:id="341"/>
      <w:bookmarkEnd w:id="342"/>
      <w:bookmarkEnd w:id="343"/>
    </w:p>
    <w:p>
      <w:pPr>
        <w:pStyle w:val="Subsection"/>
      </w:pPr>
      <w:r>
        <w:tab/>
        <w:t>(1)</w:t>
      </w:r>
      <w:r>
        <w:tab/>
        <w:t>An employer, on written request by a relevant person, must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The duty placed on an employer by subsection (1) —</w:t>
      </w:r>
    </w:p>
    <w:p>
      <w:pPr>
        <w:pStyle w:val="Indenta"/>
      </w:pPr>
      <w:r>
        <w:tab/>
        <w:t>(a)</w:t>
      </w:r>
      <w:r>
        <w:tab/>
        <w:t>continues so long as the records are required to be kept under section 49D(3); and</w:t>
      </w:r>
    </w:p>
    <w:p>
      <w:pPr>
        <w:pStyle w:val="Indenta"/>
      </w:pPr>
      <w:r>
        <w:tab/>
        <w:t>(b)</w:t>
      </w:r>
      <w:r>
        <w:tab/>
        <w:t>is not affected by the fact that the employee is no longer employed by the employer or that the industrial instrument no longer applies to him or her; and</w:t>
      </w:r>
    </w:p>
    <w:p>
      <w:pPr>
        <w:pStyle w:val="Indenta"/>
        <w:keepNext/>
      </w:pPr>
      <w:r>
        <w:tab/>
        <w:t>(c)</w:t>
      </w:r>
      <w:r>
        <w:tab/>
        <w:t>includes the further duties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must be complied with not later than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In this section —</w:t>
      </w:r>
    </w:p>
    <w:p>
      <w:pPr>
        <w:pStyle w:val="Defstart"/>
      </w:pPr>
      <w:r>
        <w:tab/>
      </w:r>
      <w:r>
        <w:rPr>
          <w:rStyle w:val="CharDefText"/>
        </w:rPr>
        <w:t>relevant person</w:t>
      </w:r>
      <w:r>
        <w:t xml:space="preserve"> means —</w:t>
      </w:r>
    </w:p>
    <w:p>
      <w:pPr>
        <w:pStyle w:val="Defpara"/>
      </w:pPr>
      <w:r>
        <w:tab/>
        <w:t>(a)</w:t>
      </w:r>
      <w:r>
        <w:tab/>
        <w:t>the employee concerned; and</w:t>
      </w:r>
    </w:p>
    <w:p>
      <w:pPr>
        <w:pStyle w:val="Defpara"/>
      </w:pPr>
      <w:r>
        <w:tab/>
        <w:t>(b)</w:t>
      </w:r>
      <w:r>
        <w:tab/>
        <w:t>if the employee is a represented person, his or her representative; and</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[Section 49E inserted by No. 20 of 2002 s. 146(1).]</w:t>
      </w:r>
    </w:p>
    <w:p>
      <w:pPr>
        <w:pStyle w:val="Heading5"/>
      </w:pPr>
      <w:bookmarkStart w:id="344" w:name="_Toc471911970"/>
      <w:bookmarkStart w:id="345" w:name="_Toc391894709"/>
      <w:bookmarkStart w:id="346" w:name="_Toc468179181"/>
      <w:r>
        <w:rPr>
          <w:rStyle w:val="CharSectno"/>
        </w:rPr>
        <w:t>49F</w:t>
      </w:r>
      <w:r>
        <w:t>.</w:t>
      </w:r>
      <w:r>
        <w:tab/>
        <w:t>Enforcement of this Division</w:t>
      </w:r>
      <w:bookmarkEnd w:id="344"/>
      <w:bookmarkEnd w:id="345"/>
      <w:bookmarkEnd w:id="346"/>
    </w:p>
    <w:p>
      <w:pPr>
        <w:pStyle w:val="Subsection"/>
      </w:pPr>
      <w:r>
        <w:tab/>
      </w:r>
      <w:r>
        <w:tab/>
        <w:t>A contravention of section 49D(2), 49D(3) or 49E(1) is not an offence but those subsections are civil penalty provisions for the purposes of section 83E.</w:t>
      </w:r>
    </w:p>
    <w:p>
      <w:pPr>
        <w:pStyle w:val="Footnotesection"/>
      </w:pPr>
      <w:r>
        <w:tab/>
        <w:t>[Section 49F inserted by No. 20 of 2002 s. 146(1).]</w:t>
      </w:r>
    </w:p>
    <w:p>
      <w:pPr>
        <w:pStyle w:val="Heading3"/>
        <w:spacing w:before="300"/>
      </w:pPr>
      <w:bookmarkStart w:id="347" w:name="_Toc471911971"/>
      <w:bookmarkStart w:id="348" w:name="_Toc391894710"/>
      <w:bookmarkStart w:id="349" w:name="_Toc419713295"/>
      <w:bookmarkStart w:id="350" w:name="_Toc435102939"/>
      <w:bookmarkStart w:id="351" w:name="_Toc452556369"/>
      <w:bookmarkStart w:id="352" w:name="_Toc455413949"/>
      <w:bookmarkStart w:id="353" w:name="_Toc462415379"/>
      <w:bookmarkStart w:id="354" w:name="_Toc462742290"/>
      <w:bookmarkStart w:id="355" w:name="_Toc465085944"/>
      <w:bookmarkStart w:id="356" w:name="_Toc468179182"/>
      <w:r>
        <w:rPr>
          <w:rStyle w:val="CharDivNo"/>
        </w:rPr>
        <w:t>Division 2G</w:t>
      </w:r>
      <w:r>
        <w:t xml:space="preserve"> — </w:t>
      </w:r>
      <w:r>
        <w:rPr>
          <w:rStyle w:val="CharDivText"/>
        </w:rPr>
        <w:t>Right of entry and inspection by authorised representatives</w:t>
      </w:r>
      <w:bookmarkEnd w:id="347"/>
      <w:bookmarkEnd w:id="348"/>
      <w:bookmarkEnd w:id="349"/>
      <w:bookmarkEnd w:id="350"/>
      <w:bookmarkEnd w:id="351"/>
      <w:bookmarkEnd w:id="352"/>
      <w:bookmarkEnd w:id="353"/>
      <w:bookmarkEnd w:id="354"/>
      <w:bookmarkEnd w:id="355"/>
      <w:bookmarkEnd w:id="356"/>
    </w:p>
    <w:p>
      <w:pPr>
        <w:pStyle w:val="Footnoteheading"/>
        <w:tabs>
          <w:tab w:val="left" w:pos="851"/>
        </w:tabs>
      </w:pPr>
      <w:r>
        <w:tab/>
        <w:t>[Heading inserted by No. 20 of 2002 s. 146(1).]</w:t>
      </w:r>
    </w:p>
    <w:p>
      <w:pPr>
        <w:pStyle w:val="Heading5"/>
      </w:pPr>
      <w:bookmarkStart w:id="357" w:name="_Toc471911972"/>
      <w:bookmarkStart w:id="358" w:name="_Toc391894711"/>
      <w:bookmarkStart w:id="359" w:name="_Toc468179183"/>
      <w:r>
        <w:rPr>
          <w:rStyle w:val="CharSectno"/>
        </w:rPr>
        <w:t>49G</w:t>
      </w:r>
      <w:r>
        <w:t>.</w:t>
      </w:r>
      <w:r>
        <w:tab/>
        <w:t>Terms used</w:t>
      </w:r>
      <w:bookmarkEnd w:id="357"/>
      <w:bookmarkEnd w:id="358"/>
      <w:bookmarkEnd w:id="359"/>
    </w:p>
    <w:p>
      <w:pPr>
        <w:pStyle w:val="Subsection"/>
      </w:pPr>
      <w:r>
        <w:tab/>
      </w:r>
      <w:r>
        <w:tab/>
        <w:t>In this Division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[Section 49G inserted by No. 20 of 2002 s. 146(1).]</w:t>
      </w:r>
    </w:p>
    <w:p>
      <w:pPr>
        <w:pStyle w:val="Heading5"/>
      </w:pPr>
      <w:bookmarkStart w:id="360" w:name="_Toc471911973"/>
      <w:bookmarkStart w:id="361" w:name="_Toc391894712"/>
      <w:bookmarkStart w:id="362" w:name="_Toc468179184"/>
      <w:r>
        <w:rPr>
          <w:rStyle w:val="CharSectno"/>
        </w:rPr>
        <w:t>49H</w:t>
      </w:r>
      <w:r>
        <w:t>.</w:t>
      </w:r>
      <w:r>
        <w:tab/>
        <w:t>Entry for discussions with employees</w:t>
      </w:r>
      <w:bookmarkEnd w:id="360"/>
      <w:bookmarkEnd w:id="361"/>
      <w:bookmarkEnd w:id="362"/>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If an award, order or industrial agreement that extends to the relevant employees makes provision as to entry onto premises by an authorised representative and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[Section 49H inserted by No. 20 of 2002 s. 146(1).]</w:t>
      </w:r>
    </w:p>
    <w:p>
      <w:pPr>
        <w:pStyle w:val="Heading5"/>
      </w:pPr>
      <w:bookmarkStart w:id="363" w:name="_Toc471911974"/>
      <w:bookmarkStart w:id="364" w:name="_Toc391894713"/>
      <w:bookmarkStart w:id="365" w:name="_Toc468179185"/>
      <w:r>
        <w:rPr>
          <w:rStyle w:val="CharSectno"/>
        </w:rPr>
        <w:t>49I</w:t>
      </w:r>
      <w:r>
        <w:t>.</w:t>
      </w:r>
      <w:r>
        <w:tab/>
        <w:t>Entry to investigate certain breaches</w:t>
      </w:r>
      <w:bookmarkEnd w:id="363"/>
      <w:bookmarkEnd w:id="364"/>
      <w:bookmarkEnd w:id="365"/>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For the purpose of investigating any such suspected breach, the authorised representative may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 and</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The authorised representative is not entitled to require an employer to produce an employment record of an employee if the employee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A written request under subsection (3)(b)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An authorised representative is not entitled to require the production of employment records or other documents unless, before exercising the power, the authorised representative has given the employer concerned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keepNext/>
        <w:keepLines/>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If the requirement for notice is waived under subsection (7)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[Section 49I inserted by No. 20 of 2002 s. 146(1); amended in Gazette 15 Aug 2003 p. 3686.]</w:t>
      </w:r>
    </w:p>
    <w:p>
      <w:pPr>
        <w:pStyle w:val="Heading5"/>
      </w:pPr>
      <w:bookmarkStart w:id="366" w:name="_Toc471911975"/>
      <w:bookmarkStart w:id="367" w:name="_Toc391894714"/>
      <w:bookmarkStart w:id="368" w:name="_Toc468179186"/>
      <w:r>
        <w:rPr>
          <w:rStyle w:val="CharSectno"/>
        </w:rPr>
        <w:t>49J</w:t>
      </w:r>
      <w:r>
        <w:t>.</w:t>
      </w:r>
      <w:r>
        <w:tab/>
        <w:t>Authorising authorised representatives</w:t>
      </w:r>
      <w:bookmarkEnd w:id="366"/>
      <w:bookmarkEnd w:id="367"/>
      <w:bookmarkEnd w:id="368"/>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keepNext/>
      </w:pPr>
      <w:r>
        <w:tab/>
        <w:t>(4)</w:t>
      </w:r>
      <w:r>
        <w:tab/>
        <w:t>The authority remains in force unless it is revoked or suspended under this section.</w:t>
      </w:r>
    </w:p>
    <w:p>
      <w:pPr>
        <w:pStyle w:val="Subsection"/>
      </w:pPr>
      <w:r>
        <w:tab/>
        <w:t>(5)</w:t>
      </w:r>
      <w:r>
        <w:tab/>
        <w:t>The Commission constituted by a commissioner may, by order, on application by any person, revoke, or suspend for a period determined by the Commission, the authority if satisfied that the person to whom it was issued has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The Registrar must not revoke an authority under subsection (6) if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Despite section 49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[Section 49J inserted by No. 20 of 2002 s. 146(1); amended by No. 36 of 2006 s. 8.]</w:t>
      </w:r>
    </w:p>
    <w:p>
      <w:pPr>
        <w:pStyle w:val="Heading5"/>
        <w:spacing w:before="260"/>
      </w:pPr>
      <w:bookmarkStart w:id="369" w:name="_Toc471911976"/>
      <w:bookmarkStart w:id="370" w:name="_Toc391894715"/>
      <w:bookmarkStart w:id="371" w:name="_Toc468179187"/>
      <w:r>
        <w:rPr>
          <w:rStyle w:val="CharSectno"/>
        </w:rPr>
        <w:t>49K</w:t>
      </w:r>
      <w:r>
        <w:t>.</w:t>
      </w:r>
      <w:r>
        <w:tab/>
        <w:t>No entry to premises used for habitation</w:t>
      </w:r>
      <w:bookmarkEnd w:id="369"/>
      <w:bookmarkEnd w:id="370"/>
      <w:bookmarkEnd w:id="371"/>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[Section 49K inserted by No. 20 of 2002 s. 146(1).]</w:t>
      </w:r>
    </w:p>
    <w:p>
      <w:pPr>
        <w:pStyle w:val="Heading5"/>
        <w:spacing w:before="260"/>
      </w:pPr>
      <w:bookmarkStart w:id="372" w:name="_Toc471911977"/>
      <w:bookmarkStart w:id="373" w:name="_Toc391894716"/>
      <w:bookmarkStart w:id="374" w:name="_Toc468179188"/>
      <w:r>
        <w:rPr>
          <w:rStyle w:val="CharSectno"/>
        </w:rPr>
        <w:t>49L</w:t>
      </w:r>
      <w:r>
        <w:t>.</w:t>
      </w:r>
      <w:r>
        <w:tab/>
        <w:t>Authority must be shown on request</w:t>
      </w:r>
      <w:bookmarkEnd w:id="372"/>
      <w:bookmarkEnd w:id="373"/>
      <w:bookmarkEnd w:id="374"/>
    </w:p>
    <w:p>
      <w:pPr>
        <w:pStyle w:val="Subsection"/>
        <w:keepNext/>
        <w:keepLines/>
      </w:pPr>
      <w:r>
        <w:tab/>
        <w:t>(1)</w:t>
      </w:r>
      <w:r>
        <w:tab/>
        <w:t>If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In this section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[Section 49L inserted by No. 20 of 2002 s. 146(1).]</w:t>
      </w:r>
    </w:p>
    <w:p>
      <w:pPr>
        <w:pStyle w:val="Heading5"/>
        <w:spacing w:before="260"/>
      </w:pPr>
      <w:bookmarkStart w:id="375" w:name="_Toc471911978"/>
      <w:bookmarkStart w:id="376" w:name="_Toc391894717"/>
      <w:bookmarkStart w:id="377" w:name="_Toc468179189"/>
      <w:r>
        <w:rPr>
          <w:rStyle w:val="CharSectno"/>
        </w:rPr>
        <w:t>49M</w:t>
      </w:r>
      <w:r>
        <w:t>.</w:t>
      </w:r>
      <w:r>
        <w:tab/>
        <w:t>Obstructing etc. rights etc. under this Division etc.</w:t>
      </w:r>
      <w:bookmarkEnd w:id="375"/>
      <w:bookmarkEnd w:id="376"/>
      <w:bookmarkEnd w:id="377"/>
    </w:p>
    <w:p>
      <w:pPr>
        <w:pStyle w:val="Subsection"/>
      </w:pPr>
      <w:r>
        <w:tab/>
        <w:t>(1)</w:t>
      </w:r>
      <w:r>
        <w:tab/>
        <w:t>The occupier of premises must not refuse, or intentionally and unduly delay, entry to the premises by a person entitled to enter the premises under section 49H or 49I.</w:t>
      </w:r>
    </w:p>
    <w:p>
      <w:pPr>
        <w:pStyle w:val="Subsection"/>
        <w:spacing w:before="180"/>
      </w:pPr>
      <w:r>
        <w:tab/>
        <w:t>(2)</w:t>
      </w:r>
      <w:r>
        <w:tab/>
        <w:t>A person must not intentionally and unduly hinder or obstruct an authorised representative in the exercise of the powers conferred by this Division.</w:t>
      </w:r>
    </w:p>
    <w:p>
      <w:pPr>
        <w:pStyle w:val="Subsection"/>
        <w:keepNext/>
        <w:spacing w:before="180"/>
      </w:pPr>
      <w:r>
        <w:tab/>
        <w:t>(3)</w:t>
      </w:r>
      <w:r>
        <w:tab/>
        <w:t>A person must not purport to exercise the powers of an authorised representative under this Division if the person is not the holder of a current authority issued by the Registrar under this Division.</w:t>
      </w:r>
    </w:p>
    <w:p>
      <w:pPr>
        <w:pStyle w:val="Footnotesection"/>
        <w:keepNext/>
      </w:pPr>
      <w:r>
        <w:tab/>
        <w:t>[Section 49M inserted by No. 20 of 2002 s. 146(1).]</w:t>
      </w:r>
    </w:p>
    <w:p>
      <w:pPr>
        <w:pStyle w:val="Heading5"/>
        <w:keepLines w:val="0"/>
        <w:spacing w:before="260"/>
      </w:pPr>
      <w:bookmarkStart w:id="378" w:name="_Toc471911979"/>
      <w:bookmarkStart w:id="379" w:name="_Toc391894718"/>
      <w:bookmarkStart w:id="380" w:name="_Toc468179190"/>
      <w:r>
        <w:rPr>
          <w:rStyle w:val="CharSectno"/>
        </w:rPr>
        <w:t>49N</w:t>
      </w:r>
      <w:r>
        <w:t>.</w:t>
      </w:r>
      <w:r>
        <w:tab/>
        <w:t>Entry and inspection, provisions in awards etc. as to</w:t>
      </w:r>
      <w:bookmarkEnd w:id="378"/>
      <w:bookmarkEnd w:id="379"/>
      <w:bookmarkEnd w:id="380"/>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To the extent that the provisions of an award, order or industrial agreement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amended by No. 50 of 2016 s. 16.]</w:t>
      </w:r>
    </w:p>
    <w:p>
      <w:pPr>
        <w:pStyle w:val="Heading5"/>
      </w:pPr>
      <w:bookmarkStart w:id="381" w:name="_Toc471911980"/>
      <w:bookmarkStart w:id="382" w:name="_Toc391894719"/>
      <w:bookmarkStart w:id="383" w:name="_Toc468179191"/>
      <w:r>
        <w:rPr>
          <w:rStyle w:val="CharSectno"/>
        </w:rPr>
        <w:t>49O</w:t>
      </w:r>
      <w:r>
        <w:t>.</w:t>
      </w:r>
      <w:r>
        <w:tab/>
        <w:t>Enforcement of this Division</w:t>
      </w:r>
      <w:bookmarkEnd w:id="381"/>
      <w:bookmarkEnd w:id="382"/>
      <w:bookmarkEnd w:id="383"/>
    </w:p>
    <w:p>
      <w:pPr>
        <w:pStyle w:val="Subsection"/>
      </w:pPr>
      <w:r>
        <w:tab/>
      </w:r>
      <w:r>
        <w:tab/>
        <w:t>A contravention of section 49J(9) or 49M(1), (2) or (3) is not an offence but those subsections are civil penalty provisions for the purposes of section 83E.</w:t>
      </w:r>
    </w:p>
    <w:p>
      <w:pPr>
        <w:pStyle w:val="Footnotesection"/>
        <w:ind w:left="890" w:hanging="890"/>
      </w:pPr>
      <w:r>
        <w:tab/>
        <w:t>[Section 49O inserted by No. 20 of 2002 s. 146(1).]</w:t>
      </w:r>
    </w:p>
    <w:p>
      <w:pPr>
        <w:pStyle w:val="Heading3"/>
        <w:keepLines/>
        <w:spacing w:before="280"/>
      </w:pPr>
      <w:bookmarkStart w:id="384" w:name="_Toc471911981"/>
      <w:bookmarkStart w:id="385" w:name="_Toc391894720"/>
      <w:bookmarkStart w:id="386" w:name="_Toc419713305"/>
      <w:bookmarkStart w:id="387" w:name="_Toc435102949"/>
      <w:bookmarkStart w:id="388" w:name="_Toc452556379"/>
      <w:bookmarkStart w:id="389" w:name="_Toc455413959"/>
      <w:bookmarkStart w:id="390" w:name="_Toc462415389"/>
      <w:bookmarkStart w:id="391" w:name="_Toc462742300"/>
      <w:bookmarkStart w:id="392" w:name="_Toc465085954"/>
      <w:bookmarkStart w:id="393" w:name="_Toc468179192"/>
      <w:r>
        <w:rPr>
          <w:rStyle w:val="CharDivNo"/>
        </w:rPr>
        <w:t>Division 3</w:t>
      </w:r>
      <w:r>
        <w:rPr>
          <w:snapToGrid w:val="0"/>
        </w:rPr>
        <w:t> — </w:t>
      </w:r>
      <w:r>
        <w:rPr>
          <w:rStyle w:val="CharDivText"/>
        </w:rPr>
        <w:t>General Orders</w:t>
      </w:r>
      <w:bookmarkEnd w:id="384"/>
      <w:bookmarkEnd w:id="385"/>
      <w:bookmarkEnd w:id="386"/>
      <w:bookmarkEnd w:id="387"/>
      <w:bookmarkEnd w:id="388"/>
      <w:bookmarkEnd w:id="389"/>
      <w:bookmarkEnd w:id="390"/>
      <w:bookmarkEnd w:id="391"/>
      <w:bookmarkEnd w:id="392"/>
      <w:bookmarkEnd w:id="393"/>
    </w:p>
    <w:p>
      <w:pPr>
        <w:pStyle w:val="Heading5"/>
        <w:rPr>
          <w:snapToGrid w:val="0"/>
        </w:rPr>
      </w:pPr>
      <w:bookmarkStart w:id="394" w:name="_Toc471911982"/>
      <w:bookmarkStart w:id="395" w:name="_Toc391894721"/>
      <w:bookmarkStart w:id="396" w:name="_Toc468179193"/>
      <w:r>
        <w:rPr>
          <w:rStyle w:val="CharSectno"/>
        </w:rPr>
        <w:t>50</w:t>
      </w:r>
      <w:r>
        <w:rPr>
          <w:snapToGrid w:val="0"/>
        </w:rPr>
        <w:t>.</w:t>
      </w:r>
      <w:r>
        <w:rPr>
          <w:snapToGrid w:val="0"/>
        </w:rPr>
        <w:tab/>
        <w:t>General Orders, nature of and making</w:t>
      </w:r>
      <w:bookmarkEnd w:id="394"/>
      <w:bookmarkEnd w:id="395"/>
      <w:bookmarkEnd w:id="396"/>
    </w:p>
    <w:p>
      <w:pPr>
        <w:pStyle w:val="Subsection"/>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UnionsWA</w:t>
      </w:r>
      <w:r>
        <w:rPr>
          <w:snapToGrid w:val="0"/>
        </w:rPr>
        <w:t>, the Chamber, the Mines and Metals Association or the Minister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keepNext/>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by No. 94 of 1984 s. 32 and 66; No. 15 of 1993 s. 18 and 31; No. 20 of 2002 s. 179 and 190(4); No. 36 of 2006 s. 13; No. 53 of 2011 s. 48.]</w:t>
      </w:r>
    </w:p>
    <w:p>
      <w:pPr>
        <w:pStyle w:val="Heading5"/>
      </w:pPr>
      <w:bookmarkStart w:id="397" w:name="_Toc471911983"/>
      <w:bookmarkStart w:id="398" w:name="_Toc391894722"/>
      <w:bookmarkStart w:id="399" w:name="_Toc468179194"/>
      <w:r>
        <w:rPr>
          <w:rStyle w:val="CharSectno"/>
        </w:rPr>
        <w:t>50A</w:t>
      </w:r>
      <w:r>
        <w:t>.</w:t>
      </w:r>
      <w:r>
        <w:tab/>
        <w:t xml:space="preserve">Rates of pay etc. for MCE Act and awards, annual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 as to</w:t>
      </w:r>
      <w:bookmarkEnd w:id="397"/>
      <w:bookmarkEnd w:id="398"/>
      <w:bookmarkEnd w:id="399"/>
    </w:p>
    <w:p>
      <w:pPr>
        <w:pStyle w:val="Subsection"/>
      </w:pPr>
      <w:r>
        <w:tab/>
        <w:t>(1)</w:t>
      </w:r>
      <w:r>
        <w:tab/>
        <w:t xml:space="preserve">The Commission shall before 1 July in each year, of its own motion make a General Order (the </w:t>
      </w:r>
      <w:r>
        <w:rPr>
          <w:rStyle w:val="CharDefText"/>
        </w:rPr>
        <w:t>State Wage order</w:t>
      </w:r>
      <w:r>
        <w:t>) —</w:t>
      </w:r>
    </w:p>
    <w:p>
      <w:pPr>
        <w:pStyle w:val="Indenta"/>
      </w:pPr>
      <w:r>
        <w:tab/>
        <w:t>(a)</w:t>
      </w:r>
      <w:r>
        <w:tab/>
        <w:t>setting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r>
      <w:r>
        <w:tab/>
        <w:t>and</w:t>
      </w:r>
    </w:p>
    <w:p>
      <w:pPr>
        <w:pStyle w:val="Indenta"/>
      </w:pPr>
      <w:r>
        <w:tab/>
        <w:t>(b)</w:t>
      </w:r>
      <w:r>
        <w:tab/>
        <w:t>adjusting rates of wages paid under awards; and</w:t>
      </w:r>
    </w:p>
    <w:p>
      <w:pPr>
        <w:pStyle w:val="Indenta"/>
        <w:keepNext/>
      </w:pPr>
      <w:r>
        <w:tab/>
        <w:t>(c)</w:t>
      </w:r>
      <w:r>
        <w:tab/>
        <w:t>having regard to the statement of principles issued under paragraph (d)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keepNext/>
        <w:keepLines/>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The Commission may, in relation to awards generally or specified awards, do any or all of the following for the purposes of subsection (1)(b)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In making an order under this section, the Commission shall take into consideration —</w:t>
      </w:r>
    </w:p>
    <w:p>
      <w:pPr>
        <w:pStyle w:val="Indenta"/>
      </w:pPr>
      <w:r>
        <w:tab/>
        <w:t>(a)</w:t>
      </w:r>
      <w:r>
        <w:tab/>
        <w:t>the need to —</w:t>
      </w:r>
    </w:p>
    <w:p>
      <w:pPr>
        <w:pStyle w:val="Indenti"/>
      </w:pPr>
      <w:r>
        <w:tab/>
        <w:t>(i)</w:t>
      </w:r>
      <w:r>
        <w:tab/>
        <w:t>ensure that Western Australians have a system of fair wages and conditions of employment; and</w:t>
      </w:r>
    </w:p>
    <w:p>
      <w:pPr>
        <w:pStyle w:val="Indenti"/>
      </w:pPr>
      <w:r>
        <w:tab/>
        <w:t>(ii)</w:t>
      </w:r>
      <w:r>
        <w:tab/>
        <w:t>meet the needs of the low paid; and</w:t>
      </w:r>
    </w:p>
    <w:p>
      <w:pPr>
        <w:pStyle w:val="Indenti"/>
      </w:pPr>
      <w:r>
        <w:tab/>
        <w:t>(iii)</w:t>
      </w:r>
      <w:r>
        <w:tab/>
        <w:t>provide fair wage standards in the context of living standards generally prevailing in the community; and</w:t>
      </w:r>
    </w:p>
    <w:p>
      <w:pPr>
        <w:pStyle w:val="Indenti"/>
      </w:pPr>
      <w:r>
        <w:tab/>
        <w:t>(iv)</w:t>
      </w:r>
      <w:r>
        <w:tab/>
        <w:t>contribute to improved living standards for employees; and</w:t>
      </w:r>
    </w:p>
    <w:p>
      <w:pPr>
        <w:pStyle w:val="Indenti"/>
      </w:pPr>
      <w:r>
        <w:tab/>
        <w:t>(v)</w:t>
      </w:r>
      <w:r>
        <w:tab/>
        <w:t>protect employees who may be unable to reach an industrial agreement; and</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r>
      <w:r>
        <w:tab/>
        <w:t>and</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 and</w:t>
      </w:r>
    </w:p>
    <w:p>
      <w:pPr>
        <w:pStyle w:val="Indenta"/>
      </w:pPr>
      <w:r>
        <w:tab/>
        <w:t>(c)</w:t>
      </w:r>
      <w:r>
        <w:tab/>
        <w:t>to the extent that it is relevant, the state of the national economy; and</w:t>
      </w:r>
    </w:p>
    <w:p>
      <w:pPr>
        <w:pStyle w:val="Indenta"/>
      </w:pPr>
      <w:r>
        <w:tab/>
        <w:t>(d)</w:t>
      </w:r>
      <w:r>
        <w:tab/>
        <w:t>to the extent that it is relevant, the capacity of employers as a whole to bear the costs of increased wages, salaries, allowances and other remuneration; and</w:t>
      </w:r>
    </w:p>
    <w:p>
      <w:pPr>
        <w:pStyle w:val="Indenta"/>
      </w:pPr>
      <w:r>
        <w:tab/>
        <w:t>(e)</w:t>
      </w:r>
      <w:r>
        <w:tab/>
        <w:t>for the purposes of subsection (1)(b) and (c), the need to ensure that the Western Australian award framework represents a system of fair wages and conditions of employment; and</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ind w:left="890" w:hanging="890"/>
      </w:pPr>
      <w:r>
        <w:tab/>
        <w:t>[Section 50A inserted by No. 36 of 2006 s. 14; amended by No. 44 of 2008 s. 53(7)</w:t>
      </w:r>
      <w:r>
        <w:noBreakHyphen/>
        <w:t>(9).]</w:t>
      </w:r>
    </w:p>
    <w:p>
      <w:pPr>
        <w:pStyle w:val="Heading5"/>
      </w:pPr>
      <w:bookmarkStart w:id="400" w:name="_Toc471911984"/>
      <w:bookmarkStart w:id="401" w:name="_Toc391894723"/>
      <w:bookmarkStart w:id="402" w:name="_Toc468179195"/>
      <w:r>
        <w:rPr>
          <w:rStyle w:val="CharSectno"/>
        </w:rPr>
        <w:t>50B</w:t>
      </w:r>
      <w:r>
        <w:t>.</w:t>
      </w:r>
      <w:r>
        <w:tab/>
        <w:t xml:space="preserve">Apprentices, matters relevant to setting rates for in </w:t>
      </w:r>
      <w:smartTag w:uri="urn:schemas-microsoft-com:office:smarttags" w:element="place">
        <w:smartTag w:uri="urn:schemas-microsoft-com:office:smarttags" w:element="City">
          <w:r>
            <w:t>State</w:t>
          </w:r>
        </w:smartTag>
        <w:r>
          <w:t xml:space="preserve"> </w:t>
        </w:r>
        <w:smartTag w:uri="urn:schemas-microsoft-com:office:smarttags" w:element="State">
          <w:r>
            <w:t>Wa</w:t>
          </w:r>
        </w:smartTag>
      </w:smartTag>
      <w:r>
        <w:t>ge order</w:t>
      </w:r>
      <w:bookmarkEnd w:id="400"/>
      <w:bookmarkEnd w:id="401"/>
      <w:bookmarkEnd w:id="402"/>
    </w:p>
    <w:p>
      <w:pPr>
        <w:pStyle w:val="Subsection"/>
      </w:pPr>
      <w:r>
        <w:tab/>
        <w:t>(1)</w:t>
      </w:r>
      <w:r>
        <w:tab/>
        <w:t>For the purposes of section 50A(1)(a)(ii) and (iii), the Commission may —</w:t>
      </w:r>
    </w:p>
    <w:p>
      <w:pPr>
        <w:pStyle w:val="Indenta"/>
      </w:pPr>
      <w:r>
        <w:tab/>
        <w:t>(a)</w:t>
      </w:r>
      <w:r>
        <w:tab/>
        <w:t>set a minimum weekly rate of pay in relation to apprentices generally; or</w:t>
      </w:r>
    </w:p>
    <w:p>
      <w:pPr>
        <w:pStyle w:val="Indenta"/>
      </w:pPr>
      <w:r>
        <w:tab/>
        <w:t>(b)</w:t>
      </w:r>
      <w:r>
        <w:tab/>
        <w:t>subject to subsections (2) and (3), set a minimum weekly rate of pay in relation to apprentices who belong to particular classes of apprentice;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pPr>
      <w:r>
        <w:tab/>
        <w:t>(3)</w:t>
      </w:r>
      <w:r>
        <w:tab/>
        <w:t>The Commission shall ensure that at any particular time there is applicable in relation to each class of apprentice —</w:t>
      </w:r>
    </w:p>
    <w:p>
      <w:pPr>
        <w:pStyle w:val="Indenta"/>
      </w:pPr>
      <w:r>
        <w:tab/>
        <w:t>(a)</w:t>
      </w:r>
      <w:r>
        <w:tab/>
        <w:t>a minimum weekly rate of pay set in respect of that class; or</w:t>
      </w:r>
    </w:p>
    <w:p>
      <w:pPr>
        <w:pStyle w:val="Indenta"/>
      </w:pPr>
      <w:r>
        <w:tab/>
        <w:t>(b)</w:t>
      </w:r>
      <w:r>
        <w:tab/>
        <w:t>the minimum weekly rate of pay in relation to apprentices generally.</w:t>
      </w:r>
    </w:p>
    <w:p>
      <w:pPr>
        <w:pStyle w:val="Subsection"/>
      </w:pPr>
      <w:r>
        <w:tab/>
        <w:t>(4)</w:t>
      </w:r>
      <w:r>
        <w:tab/>
        <w:t>In setting a minimum weekly rate of pay in relation to apprentices generally or in relation to apprentices who belong to a particular class of apprentice, the Commission may use such means as in its opinion are appropriate including, but not limited to —</w:t>
      </w:r>
    </w:p>
    <w:p>
      <w:pPr>
        <w:pStyle w:val="Indenta"/>
      </w:pPr>
      <w:r>
        <w:tab/>
        <w:t>(a)</w:t>
      </w:r>
      <w:r>
        <w:tab/>
        <w:t>setting the rate in figures; or</w:t>
      </w:r>
    </w:p>
    <w:p>
      <w:pPr>
        <w:pStyle w:val="Indenta"/>
        <w:keepNext/>
        <w:keepLines/>
      </w:pPr>
      <w:r>
        <w:tab/>
        <w:t>(b)</w:t>
      </w:r>
      <w:r>
        <w:tab/>
        <w:t>setting the rate as a proportion of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r>
      <w:r>
        <w:tab/>
        <w:t>or</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p>
      <w:pPr>
        <w:pStyle w:val="Ednotesection"/>
      </w:pPr>
      <w:r>
        <w:t>[</w:t>
      </w:r>
      <w:r>
        <w:rPr>
          <w:b/>
        </w:rPr>
        <w:t>51.</w:t>
      </w:r>
      <w:r>
        <w:tab/>
        <w:t>Deleted by No. 36 of 2006 s. 15.]</w:t>
      </w:r>
    </w:p>
    <w:p>
      <w:pPr>
        <w:pStyle w:val="Heading5"/>
        <w:rPr>
          <w:snapToGrid w:val="0"/>
        </w:rPr>
      </w:pPr>
      <w:bookmarkStart w:id="403" w:name="_Toc471911985"/>
      <w:bookmarkStart w:id="404" w:name="_Toc391894724"/>
      <w:bookmarkStart w:id="405" w:name="_Toc468179196"/>
      <w:r>
        <w:rPr>
          <w:rStyle w:val="CharSectno"/>
        </w:rPr>
        <w:t>51A</w:t>
      </w:r>
      <w:r>
        <w:rPr>
          <w:snapToGrid w:val="0"/>
        </w:rPr>
        <w:t>.</w:t>
      </w:r>
      <w:r>
        <w:rPr>
          <w:snapToGrid w:val="0"/>
        </w:rPr>
        <w:tab/>
        <w:t>Public sector discipline, General Orders as to</w:t>
      </w:r>
      <w:bookmarkEnd w:id="403"/>
      <w:bookmarkEnd w:id="404"/>
      <w:bookmarkEnd w:id="405"/>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r>
        <w:t>UnionsWA</w:t>
      </w:r>
      <w:r>
        <w:rPr>
          <w:snapToGrid w:val="0"/>
        </w:rPr>
        <w:t xml:space="preserve"> or an organisation with sufficient interest in the matter —</w:t>
      </w:r>
    </w:p>
    <w:p>
      <w:pPr>
        <w:pStyle w:val="Indenta"/>
        <w:rPr>
          <w:snapToGrid w:val="0"/>
        </w:rPr>
      </w:pPr>
      <w:r>
        <w:rPr>
          <w:snapToGrid w:val="0"/>
        </w:rPr>
        <w:tab/>
        <w:t>(a)</w:t>
      </w:r>
      <w:r>
        <w:rPr>
          <w:snapToGrid w:val="0"/>
        </w:rPr>
        <w:tab/>
        <w:t>make a General Order or General Orders with respect to one or more of the following —</w:t>
      </w:r>
    </w:p>
    <w:p>
      <w:pPr>
        <w:pStyle w:val="Indenti"/>
        <w:rPr>
          <w:snapToGrid w:val="0"/>
        </w:rPr>
      </w:pPr>
      <w:r>
        <w:rPr>
          <w:snapToGrid w:val="0"/>
        </w:rPr>
        <w:tab/>
        <w:t>(i)</w:t>
      </w:r>
      <w:r>
        <w:rPr>
          <w:snapToGrid w:val="0"/>
        </w:rPr>
        <w:tab/>
        <w:t>suspension from duty in employment; and</w:t>
      </w:r>
    </w:p>
    <w:p>
      <w:pPr>
        <w:pStyle w:val="Indenti"/>
        <w:rPr>
          <w:snapToGrid w:val="0"/>
        </w:rPr>
      </w:pPr>
      <w:r>
        <w:rPr>
          <w:snapToGrid w:val="0"/>
        </w:rPr>
        <w:tab/>
        <w:t>(ii)</w:t>
      </w:r>
      <w:r>
        <w:rPr>
          <w:snapToGrid w:val="0"/>
        </w:rPr>
        <w:tab/>
        <w:t>discipline in employment; and</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w:t>
      </w:r>
    </w:p>
    <w:p>
      <w:pPr>
        <w:pStyle w:val="Indenta"/>
        <w:spacing w:before="100"/>
        <w:rPr>
          <w:snapToGrid w:val="0"/>
        </w:rPr>
      </w:pPr>
      <w:r>
        <w:rPr>
          <w:snapToGrid w:val="0"/>
        </w:rPr>
        <w:tab/>
        <w:t>(a)</w:t>
      </w:r>
      <w:r>
        <w:rPr>
          <w:snapToGrid w:val="0"/>
        </w:rPr>
        <w:tab/>
        <w:t>any employee whose conditions of employment may not be determined by the Commission; or</w:t>
      </w:r>
    </w:p>
    <w:p>
      <w:pPr>
        <w:pStyle w:val="Indenta"/>
        <w:keepNext/>
        <w:spacing w:before="100"/>
        <w:rPr>
          <w:snapToGrid w:val="0"/>
        </w:rPr>
      </w:pPr>
      <w:r>
        <w:rPr>
          <w:snapToGrid w:val="0"/>
        </w:rPr>
        <w:tab/>
        <w:t>(b)</w:t>
      </w:r>
      <w:r>
        <w:rPr>
          <w:snapToGrid w:val="0"/>
        </w:rPr>
        <w:tab/>
        <w:t>any employee in relation to whom —</w:t>
      </w:r>
    </w:p>
    <w:p>
      <w:pPr>
        <w:pStyle w:val="Indenti"/>
        <w:spacing w:before="100"/>
        <w:rPr>
          <w:snapToGrid w:val="0"/>
        </w:rPr>
      </w:pPr>
      <w:r>
        <w:rPr>
          <w:snapToGrid w:val="0"/>
        </w:rPr>
        <w:tab/>
        <w:t>(i)</w:t>
      </w:r>
      <w:r>
        <w:rPr>
          <w:snapToGrid w:val="0"/>
        </w:rPr>
        <w:tab/>
        <w:t>there is provision, however expressed, by or under any other Act for or in relation to that matter; and</w:t>
      </w:r>
    </w:p>
    <w:p>
      <w:pPr>
        <w:pStyle w:val="Indenti"/>
        <w:spacing w:before="100"/>
        <w:rPr>
          <w:snapToGrid w:val="0"/>
        </w:rPr>
      </w:pPr>
      <w:r>
        <w:rPr>
          <w:snapToGrid w:val="0"/>
        </w:rPr>
        <w:tab/>
        <w:t>(ii)</w:t>
      </w:r>
      <w:r>
        <w:rPr>
          <w:snapToGrid w:val="0"/>
        </w:rPr>
        <w:tab/>
        <w:t>there is provision by or under that other Act for an appeal in that matter;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ind w:left="890" w:hanging="890"/>
      </w:pPr>
      <w:r>
        <w:tab/>
        <w:t>[Section 51A inserted by No. 94 of 1984 s. 33; amended by No. 53 of 2011 s. 48.]</w:t>
      </w:r>
    </w:p>
    <w:p>
      <w:pPr>
        <w:pStyle w:val="Heading5"/>
      </w:pPr>
      <w:bookmarkStart w:id="406" w:name="_Toc471911986"/>
      <w:bookmarkStart w:id="407" w:name="_Toc391894725"/>
      <w:bookmarkStart w:id="408" w:name="_Toc468179197"/>
      <w:r>
        <w:rPr>
          <w:rStyle w:val="CharSectno"/>
        </w:rPr>
        <w:t>51B</w:t>
      </w:r>
      <w:r>
        <w:t>.</w:t>
      </w:r>
      <w:r>
        <w:tab/>
        <w:t>General Order not to set minimum condition set by MCE Act</w:t>
      </w:r>
      <w:bookmarkEnd w:id="406"/>
      <w:bookmarkEnd w:id="407"/>
      <w:bookmarkEnd w:id="408"/>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260"/>
      </w:pPr>
      <w:bookmarkStart w:id="409" w:name="_Toc471911987"/>
      <w:bookmarkStart w:id="410" w:name="_Toc391894726"/>
      <w:bookmarkStart w:id="411" w:name="_Toc468179198"/>
      <w:r>
        <w:rPr>
          <w:rStyle w:val="CharSectno"/>
        </w:rPr>
        <w:t>51BA</w:t>
      </w:r>
      <w:r>
        <w:t>.</w:t>
      </w:r>
      <w:r>
        <w:tab/>
        <w:t>Notice of hearing to make General Order</w:t>
      </w:r>
      <w:bookmarkEnd w:id="409"/>
      <w:bookmarkEnd w:id="410"/>
      <w:bookmarkEnd w:id="411"/>
    </w:p>
    <w:p>
      <w:pPr>
        <w:pStyle w:val="Subsection"/>
      </w:pPr>
      <w:r>
        <w:tab/>
        <w:t>(1)</w:t>
      </w:r>
      <w:r>
        <w:tab/>
        <w:t>The Commission shall ensure that notice of each initial hearing to be conducted for the purposes of making a General Order under this Division is —</w:t>
      </w:r>
    </w:p>
    <w:p>
      <w:pPr>
        <w:pStyle w:val="Indenta"/>
      </w:pPr>
      <w:r>
        <w:tab/>
        <w:t>(a)</w:t>
      </w:r>
      <w:r>
        <w:tab/>
        <w:t>given by written notice to UnionsWA,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r>
        <w:tab/>
        <w:t>[Section 51BA inserted by No. 36 of 2006 s. 17; amended by No. 53 of 2011 s. 48.]</w:t>
      </w:r>
    </w:p>
    <w:p>
      <w:pPr>
        <w:pStyle w:val="Heading5"/>
        <w:keepLines w:val="0"/>
        <w:spacing w:before="260"/>
      </w:pPr>
      <w:bookmarkStart w:id="412" w:name="_Toc471911988"/>
      <w:bookmarkStart w:id="413" w:name="_Toc391894727"/>
      <w:bookmarkStart w:id="414" w:name="_Toc468179199"/>
      <w:r>
        <w:rPr>
          <w:rStyle w:val="CharSectno"/>
        </w:rPr>
        <w:t>51BB</w:t>
      </w:r>
      <w:r>
        <w:t>.</w:t>
      </w:r>
      <w:r>
        <w:tab/>
        <w:t>Right to be heard before General Order made</w:t>
      </w:r>
      <w:bookmarkEnd w:id="412"/>
      <w:bookmarkEnd w:id="413"/>
      <w:bookmarkEnd w:id="414"/>
    </w:p>
    <w:p>
      <w:pPr>
        <w:pStyle w:val="Subsection"/>
      </w:pPr>
      <w:r>
        <w:tab/>
      </w:r>
      <w:r>
        <w:tab/>
        <w:t>The Commission shall not make a General Order under this Division until it has afforded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r>
        <w:tab/>
        <w:t>[Section 51BB inserted by No. 36 of 2006 s. 17.]</w:t>
      </w:r>
    </w:p>
    <w:p>
      <w:pPr>
        <w:pStyle w:val="Heading5"/>
      </w:pPr>
      <w:bookmarkStart w:id="415" w:name="_Toc471911989"/>
      <w:bookmarkStart w:id="416" w:name="_Toc391894728"/>
      <w:bookmarkStart w:id="417" w:name="_Toc468179200"/>
      <w:r>
        <w:rPr>
          <w:rStyle w:val="CharSectno"/>
        </w:rPr>
        <w:t>51BC</w:t>
      </w:r>
      <w:r>
        <w:t>.</w:t>
      </w:r>
      <w:r>
        <w:tab/>
        <w:t>Commissioner may deal with certain proceedings</w:t>
      </w:r>
      <w:bookmarkEnd w:id="415"/>
      <w:bookmarkEnd w:id="416"/>
      <w:bookmarkEnd w:id="417"/>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r>
        <w:tab/>
        <w:t>[Section 51BC inserted by No. 36 of 2006 s. 17.]</w:t>
      </w:r>
    </w:p>
    <w:p>
      <w:pPr>
        <w:pStyle w:val="Heading5"/>
        <w:spacing w:before="240"/>
      </w:pPr>
      <w:bookmarkStart w:id="418" w:name="_Toc471911990"/>
      <w:bookmarkStart w:id="419" w:name="_Toc391894729"/>
      <w:bookmarkStart w:id="420" w:name="_Toc468179201"/>
      <w:r>
        <w:rPr>
          <w:rStyle w:val="CharSectno"/>
        </w:rPr>
        <w:t>51BD</w:t>
      </w:r>
      <w:r>
        <w:t>.</w:t>
      </w:r>
      <w:r>
        <w:tab/>
        <w:t>Awards etc. affected by General Order, publication of</w:t>
      </w:r>
      <w:bookmarkEnd w:id="418"/>
      <w:bookmarkEnd w:id="419"/>
      <w:bookmarkEnd w:id="420"/>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r>
        <w:tab/>
        <w:t>[Section 51BD inserted by No. 36 of 2006 s. 17.]</w:t>
      </w:r>
    </w:p>
    <w:p>
      <w:pPr>
        <w:pStyle w:val="Heading5"/>
        <w:spacing w:before="240"/>
      </w:pPr>
      <w:bookmarkStart w:id="421" w:name="_Toc471911991"/>
      <w:bookmarkStart w:id="422" w:name="_Toc391894730"/>
      <w:bookmarkStart w:id="423" w:name="_Toc468179202"/>
      <w:r>
        <w:rPr>
          <w:rStyle w:val="CharSectno"/>
        </w:rPr>
        <w:t>51BE</w:t>
      </w:r>
      <w:r>
        <w:t>.</w:t>
      </w:r>
      <w:r>
        <w:tab/>
        <w:t>Publication of order</w:t>
      </w:r>
      <w:bookmarkEnd w:id="421"/>
      <w:bookmarkEnd w:id="422"/>
      <w:bookmarkEnd w:id="423"/>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424" w:name="_Toc471911992"/>
      <w:bookmarkStart w:id="425" w:name="_Toc391894731"/>
      <w:bookmarkStart w:id="426" w:name="_Toc419713316"/>
      <w:bookmarkStart w:id="427" w:name="_Toc435102960"/>
      <w:bookmarkStart w:id="428" w:name="_Toc452556390"/>
      <w:bookmarkStart w:id="429" w:name="_Toc455413970"/>
      <w:bookmarkStart w:id="430" w:name="_Toc462415400"/>
      <w:bookmarkStart w:id="431" w:name="_Toc462742311"/>
      <w:bookmarkStart w:id="432" w:name="_Toc465085965"/>
      <w:bookmarkStart w:id="433" w:name="_Toc468179203"/>
      <w:r>
        <w:rPr>
          <w:rStyle w:val="CharDivNo"/>
        </w:rPr>
        <w:t>Division 3A</w:t>
      </w:r>
      <w:r>
        <w:t xml:space="preserve"> — </w:t>
      </w:r>
      <w:r>
        <w:rPr>
          <w:rStyle w:val="CharDivText"/>
        </w:rPr>
        <w:t>MCE Act functions</w:t>
      </w:r>
      <w:bookmarkEnd w:id="424"/>
      <w:bookmarkEnd w:id="425"/>
      <w:bookmarkEnd w:id="426"/>
      <w:bookmarkEnd w:id="427"/>
      <w:bookmarkEnd w:id="428"/>
      <w:bookmarkEnd w:id="429"/>
      <w:bookmarkEnd w:id="430"/>
      <w:bookmarkEnd w:id="431"/>
      <w:bookmarkEnd w:id="432"/>
      <w:bookmarkEnd w:id="433"/>
    </w:p>
    <w:p>
      <w:pPr>
        <w:pStyle w:val="Footnoteheading"/>
        <w:keepNext/>
        <w:keepLines/>
      </w:pPr>
      <w:r>
        <w:tab/>
        <w:t>[Heading inserted by No. 20 of 2002 s. 181.]</w:t>
      </w:r>
    </w:p>
    <w:p>
      <w:pPr>
        <w:pStyle w:val="Heading4"/>
        <w:keepLines/>
      </w:pPr>
      <w:bookmarkStart w:id="434" w:name="_Toc471911993"/>
      <w:bookmarkStart w:id="435" w:name="_Toc391894732"/>
      <w:bookmarkStart w:id="436" w:name="_Toc419713317"/>
      <w:bookmarkStart w:id="437" w:name="_Toc435102961"/>
      <w:bookmarkStart w:id="438" w:name="_Toc452556391"/>
      <w:bookmarkStart w:id="439" w:name="_Toc455413971"/>
      <w:bookmarkStart w:id="440" w:name="_Toc462415401"/>
      <w:bookmarkStart w:id="441" w:name="_Toc462742312"/>
      <w:bookmarkStart w:id="442" w:name="_Toc465085966"/>
      <w:bookmarkStart w:id="443" w:name="_Toc468179204"/>
      <w:r>
        <w:t>Subdivision 1 — Preliminary</w:t>
      </w:r>
      <w:bookmarkEnd w:id="434"/>
      <w:bookmarkEnd w:id="435"/>
      <w:bookmarkEnd w:id="436"/>
      <w:bookmarkEnd w:id="437"/>
      <w:bookmarkEnd w:id="438"/>
      <w:bookmarkEnd w:id="439"/>
      <w:bookmarkEnd w:id="440"/>
      <w:bookmarkEnd w:id="441"/>
      <w:bookmarkEnd w:id="442"/>
      <w:bookmarkEnd w:id="443"/>
    </w:p>
    <w:p>
      <w:pPr>
        <w:pStyle w:val="Footnoteheading"/>
      </w:pPr>
      <w:r>
        <w:tab/>
        <w:t>[Heading inserted by No. 20 of 2002 s. 181.]</w:t>
      </w:r>
    </w:p>
    <w:p>
      <w:pPr>
        <w:pStyle w:val="Heading5"/>
        <w:spacing w:before="240"/>
      </w:pPr>
      <w:bookmarkStart w:id="444" w:name="_Toc471911994"/>
      <w:bookmarkStart w:id="445" w:name="_Toc391894733"/>
      <w:bookmarkStart w:id="446" w:name="_Toc468179205"/>
      <w:r>
        <w:rPr>
          <w:rStyle w:val="CharSectno"/>
        </w:rPr>
        <w:t>51C</w:t>
      </w:r>
      <w:r>
        <w:t>.</w:t>
      </w:r>
      <w:r>
        <w:tab/>
        <w:t>Term used: Commission</w:t>
      </w:r>
      <w:bookmarkEnd w:id="444"/>
      <w:bookmarkEnd w:id="445"/>
      <w:bookmarkEnd w:id="446"/>
    </w:p>
    <w:p>
      <w:pPr>
        <w:pStyle w:val="Subsection"/>
      </w:pPr>
      <w:r>
        <w:tab/>
        <w:t>(1)</w:t>
      </w:r>
      <w:r>
        <w:tab/>
        <w:t>In this Division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spacing w:before="100"/>
        <w:ind w:left="890" w:hanging="890"/>
      </w:pPr>
      <w:r>
        <w:tab/>
        <w:t>[Section 51C inserted by No. 20 of 2002 s. 181; amended by No. 36 of 2006 s. 18.]</w:t>
      </w:r>
    </w:p>
    <w:p>
      <w:pPr>
        <w:pStyle w:val="Ednotesubdivision"/>
        <w:spacing w:before="200"/>
      </w:pPr>
      <w:r>
        <w:t>[Subdivision 2 (s. 51D</w:t>
      </w:r>
      <w:r>
        <w:noBreakHyphen/>
        <w:t>51H) deleted by No. 36 of 2006 s. 19.]</w:t>
      </w:r>
    </w:p>
    <w:p>
      <w:pPr>
        <w:pStyle w:val="Heading4"/>
        <w:keepLines/>
      </w:pPr>
      <w:bookmarkStart w:id="447" w:name="_Toc471911995"/>
      <w:bookmarkStart w:id="448" w:name="_Toc391894734"/>
      <w:bookmarkStart w:id="449" w:name="_Toc419713319"/>
      <w:bookmarkStart w:id="450" w:name="_Toc435102963"/>
      <w:bookmarkStart w:id="451" w:name="_Toc452556393"/>
      <w:bookmarkStart w:id="452" w:name="_Toc455413973"/>
      <w:bookmarkStart w:id="453" w:name="_Toc462415403"/>
      <w:bookmarkStart w:id="454" w:name="_Toc462742314"/>
      <w:bookmarkStart w:id="455" w:name="_Toc465085968"/>
      <w:bookmarkStart w:id="456" w:name="_Toc468179206"/>
      <w:r>
        <w:t>Subdivision 3 — Casual employees’ loading</w:t>
      </w:r>
      <w:bookmarkEnd w:id="447"/>
      <w:bookmarkEnd w:id="448"/>
      <w:bookmarkEnd w:id="449"/>
      <w:bookmarkEnd w:id="450"/>
      <w:bookmarkEnd w:id="451"/>
      <w:bookmarkEnd w:id="452"/>
      <w:bookmarkEnd w:id="453"/>
      <w:bookmarkEnd w:id="454"/>
      <w:bookmarkEnd w:id="455"/>
      <w:bookmarkEnd w:id="456"/>
    </w:p>
    <w:p>
      <w:pPr>
        <w:pStyle w:val="Footnoteheading"/>
        <w:keepLines/>
        <w:spacing w:before="100"/>
      </w:pPr>
      <w:r>
        <w:tab/>
        <w:t>[Heading inserted by No. 20 of 2002 s. 181.]</w:t>
      </w:r>
    </w:p>
    <w:p>
      <w:pPr>
        <w:pStyle w:val="Heading5"/>
        <w:spacing w:before="200"/>
      </w:pPr>
      <w:bookmarkStart w:id="457" w:name="_Toc471911996"/>
      <w:bookmarkStart w:id="458" w:name="_Toc391894735"/>
      <w:bookmarkStart w:id="459" w:name="_Toc468179207"/>
      <w:r>
        <w:rPr>
          <w:rStyle w:val="CharSectno"/>
        </w:rPr>
        <w:t>51I</w:t>
      </w:r>
      <w:r>
        <w:t>.</w:t>
      </w:r>
      <w:r>
        <w:tab/>
        <w:t>Casual employees’ loading, setting for MCE Act s. 11</w:t>
      </w:r>
      <w:bookmarkEnd w:id="457"/>
      <w:bookmarkEnd w:id="458"/>
      <w:bookmarkEnd w:id="459"/>
    </w:p>
    <w:p>
      <w:pPr>
        <w:pStyle w:val="Subsection"/>
        <w:spacing w:before="140"/>
      </w:pPr>
      <w:r>
        <w:tab/>
        <w:t>(1)</w:t>
      </w:r>
      <w:r>
        <w:tab/>
        <w:t>Subject to subsection (2), the Commission may, by way of order, set a percentage that is higher than 20% to be the prescribed percentage for the purposes of section 11 of the MCE Act.</w:t>
      </w:r>
    </w:p>
    <w:p>
      <w:pPr>
        <w:pStyle w:val="Subsection"/>
        <w:keepNext/>
        <w:spacing w:before="140"/>
      </w:pPr>
      <w:r>
        <w:tab/>
        <w:t>(2)</w:t>
      </w:r>
      <w:r>
        <w:tab/>
        <w:t>An order under subsection (1) can only be made on an application made —</w:t>
      </w:r>
    </w:p>
    <w:p>
      <w:pPr>
        <w:pStyle w:val="Indenta"/>
        <w:spacing w:before="60"/>
      </w:pPr>
      <w:r>
        <w:tab/>
        <w:t>(a)</w:t>
      </w:r>
      <w:r>
        <w:tab/>
        <w:t>by UnionsWA, the Chamber, the Mines and Metals Association or the Minister; and</w:t>
      </w:r>
    </w:p>
    <w:p>
      <w:pPr>
        <w:pStyle w:val="Indenta"/>
        <w:spacing w:before="60"/>
      </w:pPr>
      <w:r>
        <w:tab/>
        <w:t>(b)</w:t>
      </w:r>
      <w:r>
        <w:tab/>
        <w:t>at least 12 months after the determination of the most recent application for an order under subsection (1).</w:t>
      </w:r>
    </w:p>
    <w:p>
      <w:pPr>
        <w:pStyle w:val="Footnotesection"/>
        <w:spacing w:before="100"/>
        <w:ind w:left="890" w:hanging="890"/>
      </w:pPr>
      <w:r>
        <w:tab/>
        <w:t>[Section 51I inserted by No. 20 of 2002 s. 181; amended by No. 53 of 2011 s. 48.]</w:t>
      </w:r>
    </w:p>
    <w:p>
      <w:pPr>
        <w:pStyle w:val="Heading4"/>
      </w:pPr>
      <w:bookmarkStart w:id="460" w:name="_Toc471911997"/>
      <w:bookmarkStart w:id="461" w:name="_Toc391894736"/>
      <w:bookmarkStart w:id="462" w:name="_Toc419713321"/>
      <w:bookmarkStart w:id="463" w:name="_Toc435102965"/>
      <w:bookmarkStart w:id="464" w:name="_Toc452556395"/>
      <w:bookmarkStart w:id="465" w:name="_Toc455413975"/>
      <w:bookmarkStart w:id="466" w:name="_Toc462415405"/>
      <w:bookmarkStart w:id="467" w:name="_Toc462742316"/>
      <w:bookmarkStart w:id="468" w:name="_Toc465085970"/>
      <w:bookmarkStart w:id="469" w:name="_Toc468179208"/>
      <w:r>
        <w:t>Subdivision 4 — Orders under this Division generally</w:t>
      </w:r>
      <w:bookmarkEnd w:id="460"/>
      <w:bookmarkEnd w:id="461"/>
      <w:bookmarkEnd w:id="462"/>
      <w:bookmarkEnd w:id="463"/>
      <w:bookmarkEnd w:id="464"/>
      <w:bookmarkEnd w:id="465"/>
      <w:bookmarkEnd w:id="466"/>
      <w:bookmarkEnd w:id="467"/>
      <w:bookmarkEnd w:id="468"/>
      <w:bookmarkEnd w:id="469"/>
    </w:p>
    <w:p>
      <w:pPr>
        <w:pStyle w:val="Footnoteheading"/>
        <w:spacing w:before="100"/>
      </w:pPr>
      <w:r>
        <w:tab/>
        <w:t>[Heading inserted by No. 20 of 2002 s. 181.]</w:t>
      </w:r>
    </w:p>
    <w:p>
      <w:pPr>
        <w:pStyle w:val="Heading5"/>
        <w:spacing w:before="200"/>
      </w:pPr>
      <w:bookmarkStart w:id="470" w:name="_Toc471911998"/>
      <w:bookmarkStart w:id="471" w:name="_Toc391894737"/>
      <w:bookmarkStart w:id="472" w:name="_Toc468179209"/>
      <w:r>
        <w:rPr>
          <w:rStyle w:val="CharSectno"/>
        </w:rPr>
        <w:t>51J</w:t>
      </w:r>
      <w:r>
        <w:t>.</w:t>
      </w:r>
      <w:r>
        <w:tab/>
        <w:t>Notice of hearings under this Division</w:t>
      </w:r>
      <w:bookmarkEnd w:id="470"/>
      <w:bookmarkEnd w:id="471"/>
      <w:bookmarkEnd w:id="472"/>
    </w:p>
    <w:p>
      <w:pPr>
        <w:pStyle w:val="Subsection"/>
        <w:spacing w:before="140"/>
      </w:pPr>
      <w:r>
        <w:tab/>
      </w:r>
      <w:r>
        <w:tab/>
        <w:t>The Commission shall ensure that notice of each initial hearing to be conducted for the purposes of making or reviewing an order under this Division is given —</w:t>
      </w:r>
    </w:p>
    <w:p>
      <w:pPr>
        <w:pStyle w:val="Indenta"/>
        <w:spacing w:before="60"/>
      </w:pPr>
      <w:r>
        <w:tab/>
        <w:t>(a)</w:t>
      </w:r>
      <w:r>
        <w:tab/>
        <w:t>by giving written notice to UnionsWA,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 amended by No. 53 of 2011 s. 48.]</w:t>
      </w:r>
    </w:p>
    <w:p>
      <w:pPr>
        <w:pStyle w:val="Heading5"/>
      </w:pPr>
      <w:bookmarkStart w:id="473" w:name="_Toc471911999"/>
      <w:bookmarkStart w:id="474" w:name="_Toc391894738"/>
      <w:bookmarkStart w:id="475" w:name="_Toc468179210"/>
      <w:r>
        <w:rPr>
          <w:rStyle w:val="CharSectno"/>
        </w:rPr>
        <w:t>51K</w:t>
      </w:r>
      <w:r>
        <w:t>.</w:t>
      </w:r>
      <w:r>
        <w:tab/>
        <w:t>Right to be heard before order made under this Division</w:t>
      </w:r>
      <w:bookmarkEnd w:id="473"/>
      <w:bookmarkEnd w:id="474"/>
      <w:bookmarkEnd w:id="475"/>
    </w:p>
    <w:p>
      <w:pPr>
        <w:pStyle w:val="Subsection"/>
      </w:pPr>
      <w:r>
        <w:tab/>
      </w:r>
      <w:r>
        <w:tab/>
        <w:t>The Commission shall not make an order under this Division until it has afforded UnionsWA, the Chamber, the Mines and Metals Association, the Minister and any other person permitted by the Commission to be heard, an opportunity to be heard in relation to the matter.</w:t>
      </w:r>
    </w:p>
    <w:p>
      <w:pPr>
        <w:pStyle w:val="Footnotesection"/>
      </w:pPr>
      <w:r>
        <w:tab/>
        <w:t>[Section 51K inserted by No. 20 of 2002 s. 181; amended by No. 53 of 2011 s. 48.]</w:t>
      </w:r>
    </w:p>
    <w:p>
      <w:pPr>
        <w:pStyle w:val="Heading5"/>
      </w:pPr>
      <w:bookmarkStart w:id="476" w:name="_Toc471912000"/>
      <w:bookmarkStart w:id="477" w:name="_Toc391894739"/>
      <w:bookmarkStart w:id="478" w:name="_Toc468179211"/>
      <w:r>
        <w:rPr>
          <w:rStyle w:val="CharSectno"/>
        </w:rPr>
        <w:t>51L</w:t>
      </w:r>
      <w:r>
        <w:t>.</w:t>
      </w:r>
      <w:r>
        <w:tab/>
        <w:t>Orders under this Division, restrictions on</w:t>
      </w:r>
      <w:bookmarkEnd w:id="476"/>
      <w:bookmarkEnd w:id="477"/>
      <w:bookmarkEnd w:id="478"/>
    </w:p>
    <w:p>
      <w:pPr>
        <w:pStyle w:val="Subsection"/>
      </w:pPr>
      <w:r>
        <w:tab/>
      </w:r>
      <w:r>
        <w:tab/>
        <w:t>An order made under this Division shall not —</w:t>
      </w:r>
    </w:p>
    <w:p>
      <w:pPr>
        <w:pStyle w:val="Indenta"/>
        <w:spacing w:before="60"/>
      </w:pPr>
      <w:r>
        <w:tab/>
        <w:t>(a)</w:t>
      </w:r>
      <w:r>
        <w:tab/>
        <w:t>provide for a penalty rate or allowance of any kind; or</w:t>
      </w:r>
    </w:p>
    <w:p>
      <w:pPr>
        <w:pStyle w:val="Indenta"/>
        <w:spacing w:before="60"/>
      </w:pPr>
      <w:r>
        <w:tab/>
        <w:t>(b)</w:t>
      </w:r>
      <w:r>
        <w:tab/>
        <w:t>provide for a loading of any kind other than that referred to in section 51I; or</w:t>
      </w:r>
    </w:p>
    <w:p>
      <w:pPr>
        <w:pStyle w:val="Indenta"/>
        <w:spacing w:before="60"/>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479" w:name="_Toc471912001"/>
      <w:bookmarkStart w:id="480" w:name="_Toc391894740"/>
      <w:bookmarkStart w:id="481" w:name="_Toc468179212"/>
      <w:r>
        <w:rPr>
          <w:rStyle w:val="CharSectno"/>
        </w:rPr>
        <w:t>51M</w:t>
      </w:r>
      <w:r>
        <w:t>.</w:t>
      </w:r>
      <w:r>
        <w:tab/>
        <w:t>Publication of orders</w:t>
      </w:r>
      <w:bookmarkEnd w:id="479"/>
      <w:bookmarkEnd w:id="480"/>
      <w:bookmarkEnd w:id="481"/>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482" w:name="_Toc471912002"/>
      <w:bookmarkStart w:id="483" w:name="_Toc391894741"/>
      <w:bookmarkStart w:id="484" w:name="_Toc468179213"/>
      <w:r>
        <w:rPr>
          <w:rStyle w:val="CharSectno"/>
        </w:rPr>
        <w:t>51N</w:t>
      </w:r>
      <w:r>
        <w:t>.</w:t>
      </w:r>
      <w:r>
        <w:tab/>
        <w:t>Variation and rescission of s. 51I orders</w:t>
      </w:r>
      <w:bookmarkEnd w:id="482"/>
      <w:bookmarkEnd w:id="483"/>
      <w:bookmarkEnd w:id="484"/>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485" w:name="_Toc471912003"/>
      <w:bookmarkStart w:id="486" w:name="_Toc391894742"/>
      <w:bookmarkStart w:id="487" w:name="_Toc419713327"/>
      <w:bookmarkStart w:id="488" w:name="_Toc435102971"/>
      <w:bookmarkStart w:id="489" w:name="_Toc452556401"/>
      <w:bookmarkStart w:id="490" w:name="_Toc455413981"/>
      <w:bookmarkStart w:id="491" w:name="_Toc462415411"/>
      <w:bookmarkStart w:id="492" w:name="_Toc462742322"/>
      <w:bookmarkStart w:id="493" w:name="_Toc465085976"/>
      <w:bookmarkStart w:id="494" w:name="_Toc468179214"/>
      <w:r>
        <w:rPr>
          <w:rStyle w:val="CharDivNo"/>
        </w:rPr>
        <w:t>Division 3B</w:t>
      </w:r>
      <w:r>
        <w:t> — </w:t>
      </w:r>
      <w:r>
        <w:rPr>
          <w:rStyle w:val="CharDivText"/>
        </w:rPr>
        <w:t>Collective agreements and good faith bargaining</w:t>
      </w:r>
      <w:bookmarkEnd w:id="485"/>
      <w:bookmarkEnd w:id="486"/>
      <w:bookmarkEnd w:id="487"/>
      <w:bookmarkEnd w:id="488"/>
      <w:bookmarkEnd w:id="489"/>
      <w:bookmarkEnd w:id="490"/>
      <w:bookmarkEnd w:id="491"/>
      <w:bookmarkEnd w:id="492"/>
      <w:bookmarkEnd w:id="493"/>
      <w:bookmarkEnd w:id="494"/>
    </w:p>
    <w:p>
      <w:pPr>
        <w:pStyle w:val="Footnoteheading"/>
        <w:keepNext/>
        <w:keepLines/>
      </w:pPr>
      <w:r>
        <w:tab/>
        <w:t>[Heading inserted by No. 36 of 2006 s. 25.]</w:t>
      </w:r>
    </w:p>
    <w:p>
      <w:pPr>
        <w:pStyle w:val="Heading5"/>
      </w:pPr>
      <w:bookmarkStart w:id="495" w:name="_Toc471912004"/>
      <w:bookmarkStart w:id="496" w:name="_Toc391894743"/>
      <w:bookmarkStart w:id="497" w:name="_Toc468179215"/>
      <w:r>
        <w:rPr>
          <w:rStyle w:val="CharSectno"/>
        </w:rPr>
        <w:t>51O</w:t>
      </w:r>
      <w:r>
        <w:t>.</w:t>
      </w:r>
      <w:r>
        <w:tab/>
        <w:t>Terms used</w:t>
      </w:r>
      <w:bookmarkEnd w:id="495"/>
      <w:bookmarkEnd w:id="496"/>
      <w:bookmarkEnd w:id="497"/>
    </w:p>
    <w:p>
      <w:pPr>
        <w:pStyle w:val="Subsection"/>
      </w:pPr>
      <w:r>
        <w:tab/>
        <w:t>(1)</w:t>
      </w:r>
      <w:r>
        <w:tab/>
        <w:t xml:space="preserve">In </w:t>
      </w:r>
      <w:r>
        <w:rPr>
          <w:snapToGrid w:val="0"/>
        </w:rPr>
        <w:t>this</w:t>
      </w:r>
      <w:r>
        <w:t xml:space="preserve"> Division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in relation to a proposed collective agreement, means —</w:t>
      </w:r>
    </w:p>
    <w:p>
      <w:pPr>
        <w:pStyle w:val="Defpara"/>
      </w:pPr>
      <w:r>
        <w:tab/>
        <w:t>(a)</w:t>
      </w:r>
      <w:r>
        <w:tab/>
        <w:t>the initiating party;</w:t>
      </w:r>
    </w:p>
    <w:p>
      <w:pPr>
        <w:pStyle w:val="Defpara"/>
      </w:pPr>
      <w:r>
        <w:tab/>
        <w:t>(b)</w:t>
      </w:r>
      <w:r>
        <w:tab/>
        <w:t>if the initiating party is an employer — any organisation that is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keepNext/>
      </w:pPr>
      <w:r>
        <w:tab/>
        <w:t>(2)</w:t>
      </w:r>
      <w:r>
        <w:tab/>
        <w:t xml:space="preserve">In </w:t>
      </w:r>
      <w:r>
        <w:rPr>
          <w:snapToGrid w:val="0"/>
        </w:rPr>
        <w:t>this</w:t>
      </w:r>
      <w:r>
        <w:t xml:space="preserve"> Division each of the following terms has the meaning given to it by the Commonwealth Act —</w:t>
      </w:r>
    </w:p>
    <w:p>
      <w:pPr>
        <w:pStyle w:val="Indenta"/>
        <w:spacing w:before="60"/>
      </w:pPr>
      <w:r>
        <w:tab/>
        <w:t>(a)</w:t>
      </w:r>
      <w:r>
        <w:tab/>
      </w:r>
      <w:r>
        <w:rPr>
          <w:rStyle w:val="CharDefText"/>
        </w:rPr>
        <w:t>collective agreement</w:t>
      </w:r>
      <w:r>
        <w:t>;</w:t>
      </w:r>
    </w:p>
    <w:p>
      <w:pPr>
        <w:pStyle w:val="Indenta"/>
        <w:spacing w:before="60"/>
      </w:pPr>
      <w:r>
        <w:tab/>
        <w:t>(b)</w:t>
      </w:r>
      <w:r>
        <w:tab/>
      </w:r>
      <w:r>
        <w:rPr>
          <w:rStyle w:val="CharDefText"/>
        </w:rPr>
        <w:t>employee</w:t>
      </w:r>
      <w:r>
        <w:t>;</w:t>
      </w:r>
    </w:p>
    <w:p>
      <w:pPr>
        <w:pStyle w:val="Indenta"/>
        <w:keepNext/>
        <w:spacing w:before="60"/>
      </w:pPr>
      <w:r>
        <w:tab/>
        <w:t>(c)</w:t>
      </w:r>
      <w:r>
        <w:tab/>
      </w:r>
      <w:r>
        <w:rPr>
          <w:rStyle w:val="CharDefText"/>
        </w:rPr>
        <w:t>employer</w:t>
      </w:r>
      <w:r>
        <w:t>;</w:t>
      </w:r>
    </w:p>
    <w:p>
      <w:pPr>
        <w:pStyle w:val="Indenta"/>
        <w:spacing w:before="60"/>
      </w:pPr>
      <w:r>
        <w:tab/>
        <w:t>(d)</w:t>
      </w:r>
      <w:r>
        <w:tab/>
      </w:r>
      <w:r>
        <w:rPr>
          <w:rStyle w:val="CharDefText"/>
        </w:rPr>
        <w:t>employment</w:t>
      </w:r>
      <w:r>
        <w:t>;</w:t>
      </w:r>
    </w:p>
    <w:p>
      <w:pPr>
        <w:pStyle w:val="Indenta"/>
        <w:spacing w:before="60"/>
      </w:pPr>
      <w:r>
        <w:tab/>
        <w:t>(e)</w:t>
      </w:r>
      <w:r>
        <w:tab/>
      </w:r>
      <w:r>
        <w:rPr>
          <w:rStyle w:val="CharDefText"/>
        </w:rPr>
        <w:t>nominal expiry date</w:t>
      </w:r>
      <w:r>
        <w:t>.</w:t>
      </w:r>
    </w:p>
    <w:p>
      <w:pPr>
        <w:pStyle w:val="Footnotesection"/>
        <w:spacing w:before="100"/>
        <w:ind w:left="890" w:hanging="890"/>
      </w:pPr>
      <w:r>
        <w:tab/>
        <w:t>[Section 51O inserted by No. 36 of 2006 s. 25.]</w:t>
      </w:r>
    </w:p>
    <w:p>
      <w:pPr>
        <w:pStyle w:val="Heading5"/>
        <w:spacing w:before="240"/>
      </w:pPr>
      <w:bookmarkStart w:id="498" w:name="_Toc471912005"/>
      <w:bookmarkStart w:id="499" w:name="_Toc391894744"/>
      <w:bookmarkStart w:id="500" w:name="_Toc468179216"/>
      <w:r>
        <w:rPr>
          <w:rStyle w:val="CharSectno"/>
        </w:rPr>
        <w:t>51P</w:t>
      </w:r>
      <w:r>
        <w:t>.</w:t>
      </w:r>
      <w:r>
        <w:tab/>
        <w:t>When organisation may represent employees</w:t>
      </w:r>
      <w:bookmarkEnd w:id="498"/>
      <w:bookmarkEnd w:id="499"/>
      <w:bookmarkEnd w:id="500"/>
    </w:p>
    <w:p>
      <w:pPr>
        <w:pStyle w:val="Subsection"/>
        <w:spacing w:before="180"/>
      </w:pPr>
      <w:r>
        <w:tab/>
      </w:r>
      <w:r>
        <w:tab/>
        <w:t>An organisation may act under this Division on behalf of employees whose employment is proposed to be subject to a proposed collective agreement if —</w:t>
      </w:r>
    </w:p>
    <w:p>
      <w:pPr>
        <w:pStyle w:val="Indenta"/>
        <w:spacing w:before="60"/>
      </w:pPr>
      <w:r>
        <w:tab/>
        <w:t>(a)</w:t>
      </w:r>
      <w:r>
        <w:tab/>
        <w:t>at least one of those employees has requested the organisation in writing to act on behalf of the employees; and</w:t>
      </w:r>
    </w:p>
    <w:p>
      <w:pPr>
        <w:pStyle w:val="Indenta"/>
        <w:spacing w:before="60"/>
      </w:pPr>
      <w:r>
        <w:tab/>
        <w:t>(b)</w:t>
      </w:r>
      <w:r>
        <w:tab/>
        <w:t>the employee making the request is a member of the organisation or is eligible to become a member of the organisation.</w:t>
      </w:r>
    </w:p>
    <w:p>
      <w:pPr>
        <w:pStyle w:val="Footnotesection"/>
        <w:spacing w:before="100"/>
        <w:ind w:left="890" w:hanging="890"/>
      </w:pPr>
      <w:r>
        <w:tab/>
        <w:t>[Section 51P inserted by No. 36 of 2006 s. 25.]</w:t>
      </w:r>
    </w:p>
    <w:p>
      <w:pPr>
        <w:pStyle w:val="Heading5"/>
        <w:spacing w:before="240"/>
      </w:pPr>
      <w:bookmarkStart w:id="501" w:name="_Toc471912006"/>
      <w:bookmarkStart w:id="502" w:name="_Toc391894745"/>
      <w:bookmarkStart w:id="503" w:name="_Toc468179217"/>
      <w:r>
        <w:rPr>
          <w:rStyle w:val="CharSectno"/>
        </w:rPr>
        <w:t>51Q</w:t>
      </w:r>
      <w:r>
        <w:t>.</w:t>
      </w:r>
      <w:r>
        <w:tab/>
        <w:t>Bargaining agents, appointment of etc.</w:t>
      </w:r>
      <w:bookmarkEnd w:id="501"/>
      <w:bookmarkEnd w:id="502"/>
      <w:bookmarkEnd w:id="503"/>
    </w:p>
    <w:p>
      <w:pPr>
        <w:pStyle w:val="Subsection"/>
      </w:pPr>
      <w:r>
        <w:tab/>
        <w:t>(1)</w:t>
      </w:r>
      <w:r>
        <w:tab/>
        <w:t>For the purposes of this Division, a person is a bargaining agent if —</w:t>
      </w:r>
    </w:p>
    <w:p>
      <w:pPr>
        <w:pStyle w:val="Indenta"/>
        <w:spacing w:before="60"/>
      </w:pPr>
      <w:r>
        <w:tab/>
        <w:t>(a)</w:t>
      </w:r>
      <w:r>
        <w:tab/>
        <w:t>that person has been appointed in writing by a negotiating party to be that party’s bargaining agent in relation to a proposed collective agreement; and</w:t>
      </w:r>
    </w:p>
    <w:p>
      <w:pPr>
        <w:pStyle w:val="Indenta"/>
        <w:spacing w:before="60"/>
      </w:pPr>
      <w:r>
        <w:tab/>
        <w:t>(b)</w:t>
      </w:r>
      <w:r>
        <w:tab/>
        <w:t>a copy of the appointment has been provided to the other negotiating party; and</w:t>
      </w:r>
    </w:p>
    <w:p>
      <w:pPr>
        <w:pStyle w:val="Indenta"/>
        <w:spacing w:before="60"/>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r>
        <w:tab/>
        <w:t>[Section 51Q inserted by No. 36 of 2006 s. 25; amended by No. 21 of 2008 s. 668(5).]</w:t>
      </w:r>
    </w:p>
    <w:p>
      <w:pPr>
        <w:pStyle w:val="Heading5"/>
      </w:pPr>
      <w:bookmarkStart w:id="504" w:name="_Toc471912007"/>
      <w:bookmarkStart w:id="505" w:name="_Toc391894746"/>
      <w:bookmarkStart w:id="506" w:name="_Toc468179218"/>
      <w:r>
        <w:rPr>
          <w:rStyle w:val="CharSectno"/>
        </w:rPr>
        <w:t>51R</w:t>
      </w:r>
      <w:r>
        <w:t>.</w:t>
      </w:r>
      <w:r>
        <w:tab/>
        <w:t>Bargaining for collective agreement, initiating</w:t>
      </w:r>
      <w:bookmarkEnd w:id="504"/>
      <w:bookmarkEnd w:id="505"/>
      <w:bookmarkEnd w:id="506"/>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A notice complies with this subsection if it is accompanied by particulars of —</w:t>
      </w:r>
    </w:p>
    <w:p>
      <w:pPr>
        <w:pStyle w:val="Indenta"/>
      </w:pPr>
      <w:r>
        <w:tab/>
        <w:t>(a)</w:t>
      </w:r>
      <w:r>
        <w:tab/>
        <w:t>the business to be covered by the proposed collective agreement; and</w:t>
      </w:r>
    </w:p>
    <w:p>
      <w:pPr>
        <w:pStyle w:val="Indenta"/>
      </w:pPr>
      <w:r>
        <w:tab/>
        <w:t>(b)</w:t>
      </w:r>
      <w:r>
        <w:tab/>
        <w:t>the types of employees whose employment will be subject to the proposed collective agreement and the other persons who will be bound by the proposed collective agreement; and</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r>
        <w:tab/>
        <w:t>[Section 51R inserted by No. 36 of 2006 s. 25.]</w:t>
      </w:r>
    </w:p>
    <w:p>
      <w:pPr>
        <w:pStyle w:val="Heading5"/>
      </w:pPr>
      <w:bookmarkStart w:id="507" w:name="_Toc471912008"/>
      <w:bookmarkStart w:id="508" w:name="_Toc391894747"/>
      <w:bookmarkStart w:id="509" w:name="_Toc468179219"/>
      <w:r>
        <w:rPr>
          <w:rStyle w:val="CharSectno"/>
        </w:rPr>
        <w:t>51S</w:t>
      </w:r>
      <w:r>
        <w:t>.</w:t>
      </w:r>
      <w:r>
        <w:tab/>
        <w:t>Bargaining for collective agreement, good faith required etc.</w:t>
      </w:r>
      <w:bookmarkEnd w:id="507"/>
      <w:bookmarkEnd w:id="508"/>
      <w:bookmarkEnd w:id="509"/>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rStyle w:val="CharDefText"/>
        </w:rPr>
        <w:t>bargaining in good faith</w:t>
      </w:r>
      <w:r>
        <w:rPr>
          <w:b/>
        </w:rPr>
        <w:t xml:space="preserve"> </w:t>
      </w:r>
      <w:r>
        <w:t>includes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r>
        <w:tab/>
        <w:t>[Section 51S inserted by No. 36 of 2006 s. 25.]</w:t>
      </w:r>
    </w:p>
    <w:p>
      <w:pPr>
        <w:pStyle w:val="Heading5"/>
      </w:pPr>
      <w:bookmarkStart w:id="510" w:name="_Toc471912009"/>
      <w:bookmarkStart w:id="511" w:name="_Toc391894748"/>
      <w:bookmarkStart w:id="512" w:name="_Toc468179220"/>
      <w:r>
        <w:rPr>
          <w:rStyle w:val="CharSectno"/>
        </w:rPr>
        <w:t>51T</w:t>
      </w:r>
      <w:r>
        <w:t>.</w:t>
      </w:r>
      <w:r>
        <w:tab/>
        <w:t>Application of s. 42D and 42E</w:t>
      </w:r>
      <w:bookmarkEnd w:id="510"/>
      <w:bookmarkEnd w:id="511"/>
      <w:bookmarkEnd w:id="512"/>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513" w:name="_Toc471912010"/>
      <w:bookmarkStart w:id="514" w:name="_Toc391894749"/>
      <w:bookmarkStart w:id="515" w:name="_Toc419713334"/>
      <w:bookmarkStart w:id="516" w:name="_Toc435102978"/>
      <w:bookmarkStart w:id="517" w:name="_Toc452556408"/>
      <w:bookmarkStart w:id="518" w:name="_Toc455413988"/>
      <w:bookmarkStart w:id="519" w:name="_Toc462415418"/>
      <w:bookmarkStart w:id="520" w:name="_Toc462742329"/>
      <w:bookmarkStart w:id="521" w:name="_Toc465085983"/>
      <w:bookmarkStart w:id="522" w:name="_Toc468179221"/>
      <w:r>
        <w:rPr>
          <w:rStyle w:val="CharDivNo"/>
        </w:rPr>
        <w:t>Division 4</w:t>
      </w:r>
      <w:r>
        <w:rPr>
          <w:snapToGrid w:val="0"/>
        </w:rPr>
        <w:t> — </w:t>
      </w:r>
      <w:r>
        <w:rPr>
          <w:rStyle w:val="CharDivText"/>
        </w:rPr>
        <w:t>Industrial organisations and associations</w:t>
      </w:r>
      <w:bookmarkEnd w:id="513"/>
      <w:bookmarkEnd w:id="514"/>
      <w:bookmarkEnd w:id="515"/>
      <w:bookmarkEnd w:id="516"/>
      <w:bookmarkEnd w:id="517"/>
      <w:bookmarkEnd w:id="518"/>
      <w:bookmarkEnd w:id="519"/>
      <w:bookmarkEnd w:id="520"/>
      <w:bookmarkEnd w:id="521"/>
      <w:bookmarkEnd w:id="522"/>
    </w:p>
    <w:p>
      <w:pPr>
        <w:pStyle w:val="Footnoteheading"/>
        <w:keepNext/>
        <w:keepLines/>
        <w:rPr>
          <w:snapToGrid w:val="0"/>
        </w:rPr>
      </w:pPr>
      <w:r>
        <w:rPr>
          <w:snapToGrid w:val="0"/>
        </w:rPr>
        <w:tab/>
        <w:t>[Heading amended by No. 119 of 1987 s. 14.]</w:t>
      </w:r>
    </w:p>
    <w:p>
      <w:pPr>
        <w:pStyle w:val="Heading5"/>
        <w:rPr>
          <w:snapToGrid w:val="0"/>
        </w:rPr>
      </w:pPr>
      <w:bookmarkStart w:id="523" w:name="_Toc471912011"/>
      <w:bookmarkStart w:id="524" w:name="_Toc391894750"/>
      <w:bookmarkStart w:id="525" w:name="_Toc468179222"/>
      <w:r>
        <w:rPr>
          <w:rStyle w:val="CharSectno"/>
        </w:rPr>
        <w:t>52</w:t>
      </w:r>
      <w:r>
        <w:rPr>
          <w:snapToGrid w:val="0"/>
        </w:rPr>
        <w:t>.</w:t>
      </w:r>
      <w:r>
        <w:rPr>
          <w:snapToGrid w:val="0"/>
        </w:rPr>
        <w:tab/>
        <w:t>Terms used</w:t>
      </w:r>
      <w:bookmarkEnd w:id="523"/>
      <w:bookmarkEnd w:id="524"/>
      <w:bookmarkEnd w:id="525"/>
    </w:p>
    <w:p>
      <w:pPr>
        <w:pStyle w:val="Subsection"/>
        <w:keepNext/>
        <w:keepLines/>
        <w:rPr>
          <w:snapToGrid w:val="0"/>
        </w:rPr>
      </w:pPr>
      <w:r>
        <w:rPr>
          <w:snapToGrid w:val="0"/>
        </w:rPr>
        <w:tab/>
      </w:r>
      <w:r>
        <w:rPr>
          <w:snapToGrid w:val="0"/>
        </w:rPr>
        <w:tab/>
        <w:t>In this Division, unless a contrary intention appears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[Section 52 amended by No. 119 of 1987 s. 15.]</w:t>
      </w:r>
    </w:p>
    <w:p>
      <w:pPr>
        <w:pStyle w:val="Heading5"/>
        <w:rPr>
          <w:snapToGrid w:val="0"/>
        </w:rPr>
      </w:pPr>
      <w:bookmarkStart w:id="526" w:name="_Toc471912012"/>
      <w:bookmarkStart w:id="527" w:name="_Toc391894751"/>
      <w:bookmarkStart w:id="528" w:name="_Toc468179223"/>
      <w:r>
        <w:rPr>
          <w:rStyle w:val="CharSectno"/>
        </w:rPr>
        <w:t>53</w:t>
      </w:r>
      <w:r>
        <w:rPr>
          <w:snapToGrid w:val="0"/>
        </w:rPr>
        <w:t>.</w:t>
      </w:r>
      <w:r>
        <w:rPr>
          <w:snapToGrid w:val="0"/>
        </w:rPr>
        <w:tab/>
        <w:t>Organisations of employees, which can be registered</w:t>
      </w:r>
      <w:bookmarkEnd w:id="526"/>
      <w:bookmarkEnd w:id="527"/>
      <w:bookmarkEnd w:id="528"/>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keepLines/>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[Section 53 inserted by No. 94 of 1984 s. 34.]</w:t>
      </w:r>
    </w:p>
    <w:p>
      <w:pPr>
        <w:pStyle w:val="Heading5"/>
        <w:rPr>
          <w:snapToGrid w:val="0"/>
        </w:rPr>
      </w:pPr>
      <w:bookmarkStart w:id="529" w:name="_Toc471912013"/>
      <w:bookmarkStart w:id="530" w:name="_Toc391894752"/>
      <w:bookmarkStart w:id="531" w:name="_Toc468179224"/>
      <w:r>
        <w:rPr>
          <w:rStyle w:val="CharSectno"/>
        </w:rPr>
        <w:t>54</w:t>
      </w:r>
      <w:r>
        <w:rPr>
          <w:snapToGrid w:val="0"/>
        </w:rPr>
        <w:t>.</w:t>
      </w:r>
      <w:r>
        <w:rPr>
          <w:snapToGrid w:val="0"/>
        </w:rPr>
        <w:tab/>
        <w:t>Organisations of employers, which can be registered</w:t>
      </w:r>
      <w:bookmarkEnd w:id="529"/>
      <w:bookmarkEnd w:id="530"/>
      <w:bookmarkEnd w:id="531"/>
    </w:p>
    <w:p>
      <w:pPr>
        <w:pStyle w:val="Subsection"/>
        <w:keepNext/>
        <w:rPr>
          <w:snapToGrid w:val="0"/>
        </w:rPr>
      </w:pPr>
      <w:r>
        <w:rPr>
          <w:snapToGrid w:val="0"/>
        </w:rPr>
        <w:tab/>
        <w:t>(1)</w:t>
      </w:r>
      <w:r>
        <w:rPr>
          <w:snapToGrid w:val="0"/>
        </w:rPr>
        <w:tab/>
        <w:t>Subject to this Act, an unregistered organisation consisting of 2 or more employers who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[Section 54 inserted by No. 94 of 1984 s. 34.]</w:t>
      </w:r>
    </w:p>
    <w:p>
      <w:pPr>
        <w:pStyle w:val="Heading5"/>
        <w:rPr>
          <w:snapToGrid w:val="0"/>
        </w:rPr>
      </w:pPr>
      <w:bookmarkStart w:id="532" w:name="_Toc471912014"/>
      <w:bookmarkStart w:id="533" w:name="_Toc391894753"/>
      <w:bookmarkStart w:id="534" w:name="_Toc468179225"/>
      <w:r>
        <w:rPr>
          <w:rStyle w:val="CharSectno"/>
        </w:rPr>
        <w:t>55</w:t>
      </w:r>
      <w:r>
        <w:rPr>
          <w:snapToGrid w:val="0"/>
        </w:rPr>
        <w:t>.</w:t>
      </w:r>
      <w:r>
        <w:rPr>
          <w:snapToGrid w:val="0"/>
        </w:rPr>
        <w:tab/>
        <w:t>Applications for registration under s. 53 or 54</w:t>
      </w:r>
      <w:bookmarkEnd w:id="532"/>
      <w:bookmarkEnd w:id="533"/>
      <w:bookmarkEnd w:id="534"/>
    </w:p>
    <w:p>
      <w:pPr>
        <w:pStyle w:val="Subsection"/>
        <w:rPr>
          <w:snapToGrid w:val="0"/>
        </w:rPr>
      </w:pPr>
      <w:r>
        <w:rPr>
          <w:snapToGrid w:val="0"/>
        </w:rPr>
        <w:tab/>
        <w:t>(1)</w:t>
      </w:r>
      <w:r>
        <w:rPr>
          <w:snapToGrid w:val="0"/>
        </w:rPr>
        <w:tab/>
        <w:t>An organisation seeking registration under section 53 or 54 shall lodge in the office of the Registrar —</w:t>
      </w:r>
    </w:p>
    <w:p>
      <w:pPr>
        <w:pStyle w:val="Indenta"/>
        <w:rPr>
          <w:snapToGrid w:val="0"/>
        </w:rPr>
      </w:pPr>
      <w:r>
        <w:rPr>
          <w:snapToGrid w:val="0"/>
        </w:rPr>
        <w:tab/>
        <w:t>(a)</w:t>
      </w:r>
      <w:r>
        <w:rPr>
          <w:snapToGrid w:val="0"/>
        </w:rPr>
        <w:tab/>
        <w:t>a list of the officers of the organisation with their addresses; and</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w:t>
      </w:r>
    </w:p>
    <w:p>
      <w:pPr>
        <w:pStyle w:val="Indenta"/>
        <w:rPr>
          <w:snapToGrid w:val="0"/>
        </w:rPr>
      </w:pPr>
      <w:r>
        <w:rPr>
          <w:snapToGrid w:val="0"/>
        </w:rPr>
        <w:tab/>
        <w:t>(a)</w:t>
      </w:r>
      <w:r>
        <w:rPr>
          <w:snapToGrid w:val="0"/>
        </w:rPr>
        <w:tab/>
        <w:t>a notice of the application; and</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w:t>
      </w:r>
    </w:p>
    <w:p>
      <w:pPr>
        <w:pStyle w:val="Indenta"/>
        <w:rPr>
          <w:snapToGrid w:val="0"/>
        </w:rPr>
      </w:pPr>
      <w:r>
        <w:rPr>
          <w:snapToGrid w:val="0"/>
        </w:rPr>
        <w:tab/>
        <w:t>(a)</w:t>
      </w:r>
      <w:r>
        <w:rPr>
          <w:snapToGrid w:val="0"/>
        </w:rPr>
        <w:tab/>
        <w:t>the application has been authorised in accordance with the rules of the organisation; and</w:t>
      </w:r>
    </w:p>
    <w:p>
      <w:pPr>
        <w:pStyle w:val="Indenta"/>
        <w:rPr>
          <w:snapToGrid w:val="0"/>
        </w:rPr>
      </w:pPr>
      <w:r>
        <w:rPr>
          <w:snapToGrid w:val="0"/>
        </w:rPr>
        <w:tab/>
        <w:t>(b)</w:t>
      </w:r>
      <w:r>
        <w:rPr>
          <w:snapToGrid w:val="0"/>
        </w:rPr>
        <w:tab/>
        <w:t>reasonable steps have been taken to adequately inform the members —</w:t>
      </w:r>
    </w:p>
    <w:p>
      <w:pPr>
        <w:pStyle w:val="Indenti"/>
        <w:rPr>
          <w:snapToGrid w:val="0"/>
        </w:rPr>
      </w:pPr>
      <w:r>
        <w:rPr>
          <w:snapToGrid w:val="0"/>
        </w:rPr>
        <w:tab/>
        <w:t>(i)</w:t>
      </w:r>
      <w:r>
        <w:rPr>
          <w:snapToGrid w:val="0"/>
        </w:rPr>
        <w:tab/>
        <w:t>of the intention of the organisation to apply for registration; and</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 and</w:t>
      </w:r>
    </w:p>
    <w:p>
      <w:pPr>
        <w:pStyle w:val="Indenta"/>
        <w:rPr>
          <w:snapToGrid w:val="0"/>
        </w:rPr>
      </w:pPr>
      <w:r>
        <w:rPr>
          <w:snapToGrid w:val="0"/>
        </w:rPr>
        <w:tab/>
        <w:t>(c)</w:t>
      </w:r>
      <w:r>
        <w:rPr>
          <w:snapToGrid w:val="0"/>
        </w:rPr>
        <w:tab/>
        <w:t>in relation to the members of the organisation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[Section 55 amended by No. 94 of 1984 s. 35 and 66; No. 79 of 1995 s. 31; No. 20 of 2002 s. 190(4) and (5).]</w:t>
      </w:r>
    </w:p>
    <w:p>
      <w:pPr>
        <w:pStyle w:val="Heading5"/>
        <w:rPr>
          <w:snapToGrid w:val="0"/>
        </w:rPr>
      </w:pPr>
      <w:bookmarkStart w:id="535" w:name="_Toc471912015"/>
      <w:bookmarkStart w:id="536" w:name="_Toc391894754"/>
      <w:bookmarkStart w:id="537" w:name="_Toc468179226"/>
      <w:r>
        <w:rPr>
          <w:rStyle w:val="CharSectno"/>
        </w:rPr>
        <w:t>56</w:t>
      </w:r>
      <w:r>
        <w:rPr>
          <w:snapToGrid w:val="0"/>
        </w:rPr>
        <w:t>.</w:t>
      </w:r>
      <w:r>
        <w:rPr>
          <w:snapToGrid w:val="0"/>
        </w:rPr>
        <w:tab/>
        <w:t>Rules of organisations to provide for secret ballots etc. at elections</w:t>
      </w:r>
      <w:bookmarkEnd w:id="535"/>
      <w:bookmarkEnd w:id="536"/>
      <w:bookmarkEnd w:id="537"/>
    </w:p>
    <w:p>
      <w:pPr>
        <w:pStyle w:val="Subsection"/>
        <w:rPr>
          <w:snapToGrid w:val="0"/>
        </w:rPr>
      </w:pPr>
      <w:r>
        <w:rPr>
          <w:snapToGrid w:val="0"/>
        </w:rPr>
        <w:tab/>
        <w:t>(1)</w:t>
      </w:r>
      <w:r>
        <w:rPr>
          <w:snapToGrid w:val="0"/>
        </w:rPr>
        <w:tab/>
        <w:t>The rules of an organisation —</w:t>
      </w:r>
    </w:p>
    <w:p>
      <w:pPr>
        <w:pStyle w:val="Indenta"/>
        <w:spacing w:before="60"/>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 and</w:t>
      </w:r>
    </w:p>
    <w:p>
      <w:pPr>
        <w:pStyle w:val="Indenta"/>
        <w:spacing w:before="60"/>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 and</w:t>
      </w:r>
    </w:p>
    <w:p>
      <w:pPr>
        <w:pStyle w:val="Indenta"/>
        <w:spacing w:before="60"/>
        <w:rPr>
          <w:snapToGrid w:val="0"/>
        </w:rPr>
      </w:pPr>
      <w:r>
        <w:rPr>
          <w:snapToGrid w:val="0"/>
        </w:rPr>
        <w:tab/>
        <w:t>(c)</w:t>
      </w:r>
      <w:r>
        <w:rPr>
          <w:snapToGrid w:val="0"/>
        </w:rPr>
        <w:tab/>
        <w:t>shall provide for the election of the holder of each office within the organisation, such election to be either by —</w:t>
      </w:r>
    </w:p>
    <w:p>
      <w:pPr>
        <w:pStyle w:val="Indenti"/>
        <w:spacing w:before="60"/>
        <w:rPr>
          <w:snapToGrid w:val="0"/>
        </w:rPr>
      </w:pPr>
      <w:r>
        <w:rPr>
          <w:snapToGrid w:val="0"/>
        </w:rPr>
        <w:tab/>
        <w:t>(i)</w:t>
      </w:r>
      <w:r>
        <w:rPr>
          <w:snapToGrid w:val="0"/>
        </w:rPr>
        <w:tab/>
        <w:t>a direct voting system; or</w:t>
      </w:r>
    </w:p>
    <w:p>
      <w:pPr>
        <w:pStyle w:val="Indenti"/>
        <w:spacing w:before="60"/>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in relation to any election for office —</w:t>
      </w:r>
    </w:p>
    <w:p>
      <w:pPr>
        <w:pStyle w:val="Indenti"/>
        <w:spacing w:before="60"/>
        <w:rPr>
          <w:snapToGrid w:val="0"/>
        </w:rPr>
      </w:pPr>
      <w:r>
        <w:rPr>
          <w:snapToGrid w:val="0"/>
        </w:rPr>
        <w:tab/>
        <w:t>(i)</w:t>
      </w:r>
      <w:r>
        <w:rPr>
          <w:snapToGrid w:val="0"/>
        </w:rPr>
        <w:tab/>
        <w:t>provide that the election shall be by secret ballot; and</w:t>
      </w:r>
    </w:p>
    <w:p>
      <w:pPr>
        <w:pStyle w:val="Indenti"/>
        <w:spacing w:before="60"/>
        <w:rPr>
          <w:snapToGrid w:val="0"/>
        </w:rPr>
      </w:pPr>
      <w:r>
        <w:rPr>
          <w:snapToGrid w:val="0"/>
        </w:rPr>
        <w:tab/>
        <w:t>(ii)</w:t>
      </w:r>
      <w:r>
        <w:rPr>
          <w:snapToGrid w:val="0"/>
        </w:rPr>
        <w:tab/>
        <w:t>make provision for —</w:t>
      </w:r>
    </w:p>
    <w:p>
      <w:pPr>
        <w:pStyle w:val="IndentI0"/>
        <w:spacing w:before="60"/>
        <w:rPr>
          <w:snapToGrid w:val="0"/>
        </w:rPr>
      </w:pPr>
      <w:r>
        <w:rPr>
          <w:snapToGrid w:val="0"/>
        </w:rPr>
        <w:tab/>
        <w:t>(I)</w:t>
      </w:r>
      <w:r>
        <w:rPr>
          <w:snapToGrid w:val="0"/>
        </w:rPr>
        <w:tab/>
        <w:t>absent voting; and</w:t>
      </w:r>
    </w:p>
    <w:p>
      <w:pPr>
        <w:pStyle w:val="IndentI0"/>
        <w:spacing w:before="60"/>
        <w:rPr>
          <w:snapToGrid w:val="0"/>
        </w:rPr>
      </w:pPr>
      <w:r>
        <w:rPr>
          <w:snapToGrid w:val="0"/>
        </w:rPr>
        <w:tab/>
        <w:t>(II)</w:t>
      </w:r>
      <w:r>
        <w:rPr>
          <w:snapToGrid w:val="0"/>
        </w:rPr>
        <w:tab/>
        <w:t>the manner in which persons may become candidates for election; and</w:t>
      </w:r>
    </w:p>
    <w:p>
      <w:pPr>
        <w:pStyle w:val="IndentI0"/>
        <w:spacing w:before="60"/>
        <w:rPr>
          <w:snapToGrid w:val="0"/>
        </w:rPr>
      </w:pPr>
      <w:r>
        <w:rPr>
          <w:snapToGrid w:val="0"/>
        </w:rPr>
        <w:tab/>
        <w:t>(III)</w:t>
      </w:r>
      <w:r>
        <w:rPr>
          <w:snapToGrid w:val="0"/>
        </w:rPr>
        <w:tab/>
        <w:t>the appointment, conduct and duties of returning officers; and</w:t>
      </w:r>
    </w:p>
    <w:p>
      <w:pPr>
        <w:pStyle w:val="IndentI0"/>
        <w:spacing w:before="60"/>
        <w:rPr>
          <w:snapToGrid w:val="0"/>
        </w:rPr>
      </w:pPr>
      <w:r>
        <w:rPr>
          <w:snapToGrid w:val="0"/>
        </w:rPr>
        <w:tab/>
        <w:t>(IV)</w:t>
      </w:r>
      <w:r>
        <w:rPr>
          <w:snapToGrid w:val="0"/>
        </w:rPr>
        <w:tab/>
        <w:t>the conduct of the ballot; and</w:t>
      </w:r>
    </w:p>
    <w:p>
      <w:pPr>
        <w:pStyle w:val="IndentI0"/>
        <w:spacing w:before="60"/>
        <w:rPr>
          <w:snapToGrid w:val="0"/>
        </w:rPr>
      </w:pPr>
      <w:r>
        <w:rPr>
          <w:snapToGrid w:val="0"/>
        </w:rPr>
        <w:tab/>
        <w:t>(V)</w:t>
      </w:r>
      <w:r>
        <w:rPr>
          <w:snapToGrid w:val="0"/>
        </w:rPr>
        <w:tab/>
        <w:t>the appointment, conduct, and duties of scrutineers to represent the candidates at the ballot; and</w:t>
      </w:r>
    </w:p>
    <w:p>
      <w:pPr>
        <w:pStyle w:val="IndentI0"/>
        <w:spacing w:before="60"/>
        <w:rPr>
          <w:snapToGrid w:val="0"/>
          <w:spacing w:val="-4"/>
        </w:rPr>
      </w:pPr>
      <w:r>
        <w:rPr>
          <w:snapToGrid w:val="0"/>
          <w:spacing w:val="-4"/>
        </w:rPr>
        <w:tab/>
        <w:t>(VI)</w:t>
      </w:r>
      <w:r>
        <w:rPr>
          <w:snapToGrid w:val="0"/>
          <w:spacing w:val="-4"/>
        </w:rPr>
        <w:tab/>
        <w:t>the declaration of the result of the ballot;</w:t>
      </w:r>
    </w:p>
    <w:p>
      <w:pPr>
        <w:pStyle w:val="Indenti"/>
        <w:spacing w:before="60"/>
        <w:rPr>
          <w:snapToGrid w:val="0"/>
        </w:rPr>
      </w:pPr>
      <w:r>
        <w:rPr>
          <w:snapToGrid w:val="0"/>
        </w:rPr>
        <w:tab/>
      </w:r>
      <w:r>
        <w:rPr>
          <w:snapToGrid w:val="0"/>
        </w:rPr>
        <w:tab/>
        <w:t>and</w:t>
      </w:r>
    </w:p>
    <w:p>
      <w:pPr>
        <w:pStyle w:val="Indenti"/>
        <w:spacing w:before="60"/>
        <w:rPr>
          <w:snapToGrid w:val="0"/>
        </w:rPr>
      </w:pPr>
      <w:r>
        <w:rPr>
          <w:snapToGrid w:val="0"/>
        </w:rPr>
        <w:tab/>
        <w:t>(iii)</w:t>
      </w:r>
      <w:r>
        <w:rPr>
          <w:snapToGrid w:val="0"/>
        </w:rPr>
        <w:tab/>
        <w:t>ensure, as far as practicable, that no irregularity can occur in connection with the election;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spacing w:before="60"/>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[Section 56 inserted by No. 94 of 1984 s. 36.]</w:t>
      </w:r>
    </w:p>
    <w:p>
      <w:pPr>
        <w:pStyle w:val="Heading5"/>
        <w:rPr>
          <w:snapToGrid w:val="0"/>
        </w:rPr>
      </w:pPr>
      <w:bookmarkStart w:id="538" w:name="_Toc471912016"/>
      <w:bookmarkStart w:id="539" w:name="_Toc391894755"/>
      <w:bookmarkStart w:id="540" w:name="_Toc468179227"/>
      <w:r>
        <w:rPr>
          <w:rStyle w:val="CharSectno"/>
        </w:rPr>
        <w:t>56A</w:t>
      </w:r>
      <w:r>
        <w:rPr>
          <w:snapToGrid w:val="0"/>
        </w:rPr>
        <w:t>.</w:t>
      </w:r>
      <w:r>
        <w:rPr>
          <w:snapToGrid w:val="0"/>
        </w:rPr>
        <w:tab/>
        <w:t>Casual vacancies, rules as to filling</w:t>
      </w:r>
      <w:bookmarkEnd w:id="538"/>
      <w:bookmarkEnd w:id="539"/>
      <w:bookmarkEnd w:id="540"/>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[Section 56A inserted by No. 94 of 1984 s. 36.]</w:t>
      </w:r>
    </w:p>
    <w:p>
      <w:pPr>
        <w:pStyle w:val="Heading5"/>
        <w:rPr>
          <w:snapToGrid w:val="0"/>
        </w:rPr>
      </w:pPr>
      <w:bookmarkStart w:id="541" w:name="_Toc471912017"/>
      <w:bookmarkStart w:id="542" w:name="_Toc391894756"/>
      <w:bookmarkStart w:id="543" w:name="_Toc468179228"/>
      <w:r>
        <w:rPr>
          <w:rStyle w:val="CharSectno"/>
        </w:rPr>
        <w:t>57</w:t>
      </w:r>
      <w:r>
        <w:rPr>
          <w:snapToGrid w:val="0"/>
        </w:rPr>
        <w:t>.</w:t>
      </w:r>
      <w:r>
        <w:rPr>
          <w:snapToGrid w:val="0"/>
        </w:rPr>
        <w:tab/>
        <w:t>Elections by direct voting system to be by secret postal ballot</w:t>
      </w:r>
      <w:bookmarkEnd w:id="541"/>
      <w:bookmarkEnd w:id="542"/>
      <w:bookmarkEnd w:id="543"/>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[Section 57 amended by No. 94 of 1984 s. 66.]</w:t>
      </w:r>
    </w:p>
    <w:p>
      <w:pPr>
        <w:pStyle w:val="Heading5"/>
        <w:rPr>
          <w:snapToGrid w:val="0"/>
        </w:rPr>
      </w:pPr>
      <w:bookmarkStart w:id="544" w:name="_Toc471912018"/>
      <w:bookmarkStart w:id="545" w:name="_Toc391894757"/>
      <w:bookmarkStart w:id="546" w:name="_Toc468179229"/>
      <w:r>
        <w:rPr>
          <w:rStyle w:val="CharSectno"/>
        </w:rPr>
        <w:t>58</w:t>
      </w:r>
      <w:r>
        <w:rPr>
          <w:snapToGrid w:val="0"/>
        </w:rPr>
        <w:t>.</w:t>
      </w:r>
      <w:r>
        <w:rPr>
          <w:snapToGrid w:val="0"/>
        </w:rPr>
        <w:tab/>
        <w:t>Registering organisations, rules etc.</w:t>
      </w:r>
      <w:bookmarkEnd w:id="544"/>
      <w:bookmarkEnd w:id="545"/>
      <w:bookmarkEnd w:id="546"/>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w:t>
      </w:r>
    </w:p>
    <w:p>
      <w:pPr>
        <w:pStyle w:val="Indenta"/>
        <w:rPr>
          <w:snapToGrid w:val="0"/>
        </w:rPr>
      </w:pPr>
      <w:r>
        <w:rPr>
          <w:snapToGrid w:val="0"/>
        </w:rPr>
        <w:tab/>
        <w:t>(a)</w:t>
      </w:r>
      <w:r>
        <w:rPr>
          <w:snapToGrid w:val="0"/>
        </w:rPr>
        <w:tab/>
        <w:t>its name; and</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w:t>
      </w:r>
    </w:p>
    <w:p>
      <w:pPr>
        <w:pStyle w:val="Indenta"/>
        <w:spacing w:before="60"/>
        <w:rPr>
          <w:snapToGrid w:val="0"/>
        </w:rPr>
      </w:pPr>
      <w:r>
        <w:rPr>
          <w:snapToGrid w:val="0"/>
        </w:rPr>
        <w:tab/>
        <w:t>(a)</w:t>
      </w:r>
      <w:r>
        <w:rPr>
          <w:snapToGrid w:val="0"/>
        </w:rPr>
        <w:tab/>
        <w:t>unconditionally; or</w:t>
      </w:r>
    </w:p>
    <w:p>
      <w:pPr>
        <w:pStyle w:val="Indenta"/>
        <w:spacing w:before="60"/>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spacing w:before="100"/>
        <w:ind w:left="890" w:hanging="890"/>
      </w:pPr>
      <w:r>
        <w:tab/>
        <w:t>[Section 58 amended by No. 94 of 1984 s. 37 and 66.]</w:t>
      </w:r>
    </w:p>
    <w:p>
      <w:pPr>
        <w:pStyle w:val="Heading5"/>
        <w:spacing w:before="180"/>
        <w:rPr>
          <w:snapToGrid w:val="0"/>
        </w:rPr>
      </w:pPr>
      <w:bookmarkStart w:id="547" w:name="_Toc471912019"/>
      <w:bookmarkStart w:id="548" w:name="_Toc391894758"/>
      <w:bookmarkStart w:id="549" w:name="_Toc468179230"/>
      <w:r>
        <w:rPr>
          <w:rStyle w:val="CharSectno"/>
        </w:rPr>
        <w:t>59</w:t>
      </w:r>
      <w:r>
        <w:rPr>
          <w:snapToGrid w:val="0"/>
        </w:rPr>
        <w:t>.</w:t>
      </w:r>
      <w:r>
        <w:rPr>
          <w:snapToGrid w:val="0"/>
        </w:rPr>
        <w:tab/>
        <w:t>Names of registered organisations, restrictions on</w:t>
      </w:r>
      <w:bookmarkEnd w:id="547"/>
      <w:bookmarkEnd w:id="548"/>
      <w:bookmarkEnd w:id="549"/>
    </w:p>
    <w:p>
      <w:pPr>
        <w:pStyle w:val="Subsection"/>
        <w:spacing w:before="14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4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4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100"/>
        <w:ind w:left="890" w:hanging="890"/>
      </w:pPr>
      <w:r>
        <w:tab/>
        <w:t>[Section 59 amended by No. 94 of 1984 s. 66.]</w:t>
      </w:r>
    </w:p>
    <w:p>
      <w:pPr>
        <w:pStyle w:val="Heading5"/>
        <w:rPr>
          <w:snapToGrid w:val="0"/>
        </w:rPr>
      </w:pPr>
      <w:bookmarkStart w:id="550" w:name="_Toc471912020"/>
      <w:bookmarkStart w:id="551" w:name="_Toc391894759"/>
      <w:bookmarkStart w:id="552" w:name="_Toc468179231"/>
      <w:r>
        <w:rPr>
          <w:rStyle w:val="CharSectno"/>
        </w:rPr>
        <w:t>60</w:t>
      </w:r>
      <w:r>
        <w:rPr>
          <w:snapToGrid w:val="0"/>
        </w:rPr>
        <w:t>.</w:t>
      </w:r>
      <w:r>
        <w:rPr>
          <w:snapToGrid w:val="0"/>
        </w:rPr>
        <w:tab/>
        <w:t>Organisation becomes incorporated on registration</w:t>
      </w:r>
      <w:bookmarkEnd w:id="550"/>
      <w:bookmarkEnd w:id="551"/>
      <w:bookmarkEnd w:id="552"/>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[Section 60 amended by No. 94 of 1984 s. 66; No. 119 of 1987 s. 16.]</w:t>
      </w:r>
    </w:p>
    <w:p>
      <w:pPr>
        <w:pStyle w:val="Heading5"/>
        <w:rPr>
          <w:snapToGrid w:val="0"/>
        </w:rPr>
      </w:pPr>
      <w:bookmarkStart w:id="553" w:name="_Toc471912021"/>
      <w:bookmarkStart w:id="554" w:name="_Toc391894760"/>
      <w:bookmarkStart w:id="555" w:name="_Toc468179232"/>
      <w:r>
        <w:rPr>
          <w:rStyle w:val="CharSectno"/>
        </w:rPr>
        <w:t>61</w:t>
      </w:r>
      <w:r>
        <w:rPr>
          <w:snapToGrid w:val="0"/>
        </w:rPr>
        <w:t>.</w:t>
      </w:r>
      <w:r>
        <w:rPr>
          <w:snapToGrid w:val="0"/>
        </w:rPr>
        <w:tab/>
        <w:t>Effect of registration</w:t>
      </w:r>
      <w:bookmarkEnd w:id="553"/>
      <w:bookmarkEnd w:id="554"/>
      <w:bookmarkEnd w:id="555"/>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[Section 61 amended by No. 94 of 1984 s. 66.]</w:t>
      </w:r>
    </w:p>
    <w:p>
      <w:pPr>
        <w:pStyle w:val="Heading5"/>
        <w:rPr>
          <w:snapToGrid w:val="0"/>
        </w:rPr>
      </w:pPr>
      <w:bookmarkStart w:id="556" w:name="_Toc471912022"/>
      <w:bookmarkStart w:id="557" w:name="_Toc391894761"/>
      <w:bookmarkStart w:id="558" w:name="_Toc468179233"/>
      <w:r>
        <w:rPr>
          <w:rStyle w:val="CharSectno"/>
        </w:rPr>
        <w:t>62</w:t>
      </w:r>
      <w:r>
        <w:rPr>
          <w:snapToGrid w:val="0"/>
        </w:rPr>
        <w:t>.</w:t>
      </w:r>
      <w:r>
        <w:rPr>
          <w:snapToGrid w:val="0"/>
        </w:rPr>
        <w:tab/>
        <w:t>Altering registered rules</w:t>
      </w:r>
      <w:bookmarkEnd w:id="556"/>
      <w:bookmarkEnd w:id="557"/>
      <w:bookmarkEnd w:id="558"/>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w:t>
      </w:r>
    </w:p>
    <w:p>
      <w:pPr>
        <w:pStyle w:val="Indenta"/>
        <w:spacing w:before="60"/>
        <w:rPr>
          <w:snapToGrid w:val="0"/>
        </w:rPr>
      </w:pPr>
      <w:r>
        <w:rPr>
          <w:snapToGrid w:val="0"/>
        </w:rPr>
        <w:tab/>
        <w:t>(a)</w:t>
      </w:r>
      <w:r>
        <w:rPr>
          <w:snapToGrid w:val="0"/>
        </w:rPr>
        <w:tab/>
        <w:t>the application has been authorised in accordance with the rules of the organisation; and</w:t>
      </w:r>
    </w:p>
    <w:p>
      <w:pPr>
        <w:pStyle w:val="Indenta"/>
        <w:spacing w:before="60"/>
        <w:rPr>
          <w:snapToGrid w:val="0"/>
        </w:rPr>
      </w:pPr>
      <w:r>
        <w:rPr>
          <w:snapToGrid w:val="0"/>
        </w:rPr>
        <w:tab/>
        <w:t>(b)</w:t>
      </w:r>
      <w:r>
        <w:rPr>
          <w:snapToGrid w:val="0"/>
        </w:rPr>
        <w:tab/>
        <w:t>reasonable steps have been taken to adequately inform the members —</w:t>
      </w:r>
    </w:p>
    <w:p>
      <w:pPr>
        <w:pStyle w:val="Indenti"/>
        <w:spacing w:before="60"/>
        <w:rPr>
          <w:snapToGrid w:val="0"/>
        </w:rPr>
      </w:pPr>
      <w:r>
        <w:rPr>
          <w:snapToGrid w:val="0"/>
        </w:rPr>
        <w:tab/>
        <w:t>(i)</w:t>
      </w:r>
      <w:r>
        <w:rPr>
          <w:snapToGrid w:val="0"/>
        </w:rPr>
        <w:tab/>
        <w:t>of the proposal for alteration and the reasons therefor; and</w:t>
      </w:r>
    </w:p>
    <w:p>
      <w:pPr>
        <w:pStyle w:val="Indenti"/>
        <w:spacing w:before="60"/>
        <w:rPr>
          <w:snapToGrid w:val="0"/>
        </w:rPr>
      </w:pPr>
      <w:r>
        <w:rPr>
          <w:snapToGrid w:val="0"/>
        </w:rPr>
        <w:tab/>
        <w:t>(ii)</w:t>
      </w:r>
      <w:r>
        <w:rPr>
          <w:snapToGrid w:val="0"/>
        </w:rPr>
        <w:tab/>
        <w:t>that the members or any of them may object to the proposed alteration by forwarding a written objection to the Registrar,</w:t>
      </w:r>
    </w:p>
    <w:p>
      <w:pPr>
        <w:pStyle w:val="Indenta"/>
        <w:spacing w:before="60"/>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spacing w:before="60"/>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[Section 62 amended by No. 94 of 1984 s. 38 and 66.]</w:t>
      </w:r>
    </w:p>
    <w:p>
      <w:pPr>
        <w:pStyle w:val="Heading5"/>
        <w:keepNext w:val="0"/>
        <w:keepLines w:val="0"/>
        <w:rPr>
          <w:snapToGrid w:val="0"/>
        </w:rPr>
      </w:pPr>
      <w:bookmarkStart w:id="559" w:name="_Toc471912023"/>
      <w:bookmarkStart w:id="560" w:name="_Toc391894762"/>
      <w:bookmarkStart w:id="561" w:name="_Toc468179234"/>
      <w:r>
        <w:rPr>
          <w:rStyle w:val="CharSectno"/>
        </w:rPr>
        <w:t>63</w:t>
      </w:r>
      <w:r>
        <w:rPr>
          <w:snapToGrid w:val="0"/>
        </w:rPr>
        <w:t>.</w:t>
      </w:r>
      <w:r>
        <w:rPr>
          <w:snapToGrid w:val="0"/>
        </w:rPr>
        <w:tab/>
        <w:t>Records, organisations’ duties as to etc.</w:t>
      </w:r>
      <w:bookmarkEnd w:id="559"/>
      <w:bookmarkEnd w:id="560"/>
      <w:bookmarkEnd w:id="561"/>
    </w:p>
    <w:p>
      <w:pPr>
        <w:pStyle w:val="Subsection"/>
        <w:spacing w:before="120"/>
        <w:rPr>
          <w:snapToGrid w:val="0"/>
        </w:rPr>
      </w:pPr>
      <w:r>
        <w:rPr>
          <w:snapToGrid w:val="0"/>
        </w:rPr>
        <w:tab/>
        <w:t>(1)</w:t>
      </w:r>
      <w:r>
        <w:rPr>
          <w:snapToGrid w:val="0"/>
        </w:rPr>
        <w:tab/>
        <w:t>An organisation shall keep the following records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 and</w:t>
      </w:r>
    </w:p>
    <w:p>
      <w:pPr>
        <w:pStyle w:val="Indenta"/>
        <w:rPr>
          <w:snapToGrid w:val="0"/>
        </w:rPr>
      </w:pPr>
      <w:r>
        <w:rPr>
          <w:snapToGrid w:val="0"/>
        </w:rPr>
        <w:tab/>
        <w:t>(b)</w:t>
      </w:r>
      <w:r>
        <w:rPr>
          <w:snapToGrid w:val="0"/>
        </w:rPr>
        <w:tab/>
        <w:t>a list of the names, residential addresses, and occupations of the persons holding offices in the organisation; and</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spacing w:before="180"/>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spacing w:before="180"/>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spacing w:before="180"/>
      </w:pPr>
      <w:r>
        <w:tab/>
        <w:t>[(4), (5)</w:t>
      </w:r>
      <w:r>
        <w:tab/>
        <w:t>deleted]</w:t>
      </w:r>
    </w:p>
    <w:p>
      <w:pPr>
        <w:pStyle w:val="Subsection"/>
        <w:spacing w:before="180"/>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spacing w:before="180"/>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[Section 63 amended by No. 94 of 1984 s. 39, 65 and 66; No. 79 of 1995 s. 5.]</w:t>
      </w:r>
    </w:p>
    <w:p>
      <w:pPr>
        <w:pStyle w:val="Heading5"/>
        <w:keepLines w:val="0"/>
        <w:rPr>
          <w:snapToGrid w:val="0"/>
        </w:rPr>
      </w:pPr>
      <w:bookmarkStart w:id="562" w:name="_Toc471912024"/>
      <w:bookmarkStart w:id="563" w:name="_Toc391894763"/>
      <w:bookmarkStart w:id="564" w:name="_Toc468179235"/>
      <w:r>
        <w:rPr>
          <w:rStyle w:val="CharSectno"/>
        </w:rPr>
        <w:t>64</w:t>
      </w:r>
      <w:r>
        <w:rPr>
          <w:snapToGrid w:val="0"/>
        </w:rPr>
        <w:t>.</w:t>
      </w:r>
      <w:r>
        <w:rPr>
          <w:snapToGrid w:val="0"/>
        </w:rPr>
        <w:tab/>
        <w:t>Membership register, Registrar may direct rectification of etc.</w:t>
      </w:r>
      <w:bookmarkEnd w:id="562"/>
      <w:bookmarkEnd w:id="563"/>
      <w:bookmarkEnd w:id="564"/>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[Section 64 amended by No. 94 of 1984 s. 65 and 66.]</w:t>
      </w:r>
    </w:p>
    <w:p>
      <w:pPr>
        <w:pStyle w:val="Heading5"/>
        <w:rPr>
          <w:snapToGrid w:val="0"/>
        </w:rPr>
      </w:pPr>
      <w:bookmarkStart w:id="565" w:name="_Toc471912025"/>
      <w:bookmarkStart w:id="566" w:name="_Toc391894764"/>
      <w:bookmarkStart w:id="567" w:name="_Toc468179236"/>
      <w:r>
        <w:rPr>
          <w:rStyle w:val="CharSectno"/>
        </w:rPr>
        <w:t>64A</w:t>
      </w:r>
      <w:r>
        <w:rPr>
          <w:snapToGrid w:val="0"/>
        </w:rPr>
        <w:t>.</w:t>
      </w:r>
      <w:r>
        <w:rPr>
          <w:snapToGrid w:val="0"/>
        </w:rPr>
        <w:tab/>
        <w:t>Resigning from an organisation</w:t>
      </w:r>
      <w:bookmarkEnd w:id="565"/>
      <w:bookmarkEnd w:id="566"/>
      <w:bookmarkEnd w:id="567"/>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[Section 64A inserted by No. 1 of 1995 s. 51.]</w:t>
      </w:r>
    </w:p>
    <w:p>
      <w:pPr>
        <w:pStyle w:val="Heading5"/>
        <w:rPr>
          <w:snapToGrid w:val="0"/>
        </w:rPr>
      </w:pPr>
      <w:bookmarkStart w:id="568" w:name="_Toc471912026"/>
      <w:bookmarkStart w:id="569" w:name="_Toc391894765"/>
      <w:bookmarkStart w:id="570" w:name="_Toc468179237"/>
      <w:r>
        <w:rPr>
          <w:rStyle w:val="CharSectno"/>
        </w:rPr>
        <w:t>64B</w:t>
      </w:r>
      <w:r>
        <w:rPr>
          <w:snapToGrid w:val="0"/>
        </w:rPr>
        <w:t>.</w:t>
      </w:r>
      <w:r>
        <w:rPr>
          <w:snapToGrid w:val="0"/>
        </w:rPr>
        <w:tab/>
        <w:t>Membership ends if subscription not paid</w:t>
      </w:r>
      <w:bookmarkEnd w:id="568"/>
      <w:bookmarkEnd w:id="569"/>
      <w:bookmarkEnd w:id="570"/>
    </w:p>
    <w:p>
      <w:pPr>
        <w:pStyle w:val="Subsection"/>
      </w:pPr>
      <w:r>
        <w:tab/>
        <w:t>(1)</w:t>
      </w:r>
      <w:r>
        <w:tab/>
      </w:r>
      <w:r>
        <w:rPr>
          <w:snapToGrid w:val="0"/>
        </w:rPr>
        <w:t>Where</w:t>
      </w:r>
      <w:r>
        <w:t>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no subscription to continue or renew that membership has been paid to the organisation before, or within 3 months after, that expiry,</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[Section 64B inserted by No. 1 of 1995 s. 51.]</w:t>
      </w:r>
    </w:p>
    <w:p>
      <w:pPr>
        <w:pStyle w:val="Heading5"/>
        <w:rPr>
          <w:snapToGrid w:val="0"/>
        </w:rPr>
      </w:pPr>
      <w:bookmarkStart w:id="571" w:name="_Toc471912027"/>
      <w:bookmarkStart w:id="572" w:name="_Toc391894766"/>
      <w:bookmarkStart w:id="573" w:name="_Toc468179238"/>
      <w:r>
        <w:rPr>
          <w:rStyle w:val="CharSectno"/>
        </w:rPr>
        <w:t>64C</w:t>
      </w:r>
      <w:r>
        <w:rPr>
          <w:snapToGrid w:val="0"/>
        </w:rPr>
        <w:t>.</w:t>
      </w:r>
      <w:r>
        <w:rPr>
          <w:snapToGrid w:val="0"/>
        </w:rPr>
        <w:tab/>
        <w:t>Effect of s. 64A and 64B in relation to organisation’s rules</w:t>
      </w:r>
      <w:bookmarkEnd w:id="571"/>
      <w:bookmarkEnd w:id="572"/>
      <w:bookmarkEnd w:id="573"/>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[Section 64C inserted by No. 1 of 1995 s. 51.]</w:t>
      </w:r>
    </w:p>
    <w:p>
      <w:pPr>
        <w:pStyle w:val="Heading5"/>
        <w:rPr>
          <w:snapToGrid w:val="0"/>
        </w:rPr>
      </w:pPr>
      <w:bookmarkStart w:id="574" w:name="_Toc471912028"/>
      <w:bookmarkStart w:id="575" w:name="_Toc391894767"/>
      <w:bookmarkStart w:id="576" w:name="_Toc468179239"/>
      <w:r>
        <w:rPr>
          <w:rStyle w:val="CharSectno"/>
        </w:rPr>
        <w:t>64D</w:t>
      </w:r>
      <w:r>
        <w:rPr>
          <w:snapToGrid w:val="0"/>
        </w:rPr>
        <w:t>.</w:t>
      </w:r>
      <w:r>
        <w:rPr>
          <w:snapToGrid w:val="0"/>
        </w:rPr>
        <w:tab/>
        <w:t>Purging register, organisation’s rules to provide for</w:t>
      </w:r>
      <w:bookmarkEnd w:id="574"/>
      <w:bookmarkEnd w:id="575"/>
      <w:bookmarkEnd w:id="576"/>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[Section 64D inserted by No. 79 of 1995 s. 32.]</w:t>
      </w:r>
    </w:p>
    <w:p>
      <w:pPr>
        <w:pStyle w:val="Heading5"/>
        <w:rPr>
          <w:snapToGrid w:val="0"/>
        </w:rPr>
      </w:pPr>
      <w:bookmarkStart w:id="577" w:name="_Toc471912029"/>
      <w:bookmarkStart w:id="578" w:name="_Toc391894768"/>
      <w:bookmarkStart w:id="579" w:name="_Toc468179240"/>
      <w:r>
        <w:rPr>
          <w:rStyle w:val="CharSectno"/>
        </w:rPr>
        <w:t>65</w:t>
      </w:r>
      <w:r>
        <w:rPr>
          <w:snapToGrid w:val="0"/>
        </w:rPr>
        <w:t>.</w:t>
      </w:r>
      <w:r>
        <w:rPr>
          <w:snapToGrid w:val="0"/>
        </w:rPr>
        <w:tab/>
        <w:t>Accounts of organisation, audit and filing of</w:t>
      </w:r>
      <w:bookmarkEnd w:id="577"/>
      <w:bookmarkEnd w:id="578"/>
      <w:bookmarkEnd w:id="579"/>
    </w:p>
    <w:p>
      <w:pPr>
        <w:pStyle w:val="Subsection"/>
        <w:rPr>
          <w:snapToGrid w:val="0"/>
        </w:rPr>
      </w:pPr>
      <w:r>
        <w:rPr>
          <w:snapToGrid w:val="0"/>
        </w:rPr>
        <w:tab/>
      </w:r>
      <w:r>
        <w:rPr>
          <w:snapToGrid w:val="0"/>
        </w:rPr>
        <w:tab/>
        <w:t>The secretary of each organisation shall —</w:t>
      </w:r>
    </w:p>
    <w:p>
      <w:pPr>
        <w:pStyle w:val="Indenta"/>
        <w:spacing w:before="60"/>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t xml:space="preserve">the </w:t>
      </w:r>
      <w:r>
        <w:rPr>
          <w:rStyle w:val="CharDefText"/>
        </w:rPr>
        <w:t>auditor</w:t>
      </w:r>
      <w:r>
        <w:rPr>
          <w:snapToGrid w:val="0"/>
        </w:rPr>
        <w:t>) within 6 calendar months after the end of each financial year of that organisation; and</w:t>
      </w:r>
    </w:p>
    <w:p>
      <w:pPr>
        <w:pStyle w:val="Indenta"/>
        <w:spacing w:before="60"/>
        <w:rPr>
          <w:snapToGrid w:val="0"/>
        </w:rPr>
      </w:pPr>
      <w:r>
        <w:rPr>
          <w:snapToGrid w:val="0"/>
        </w:rPr>
        <w:tab/>
        <w:t>(b)</w:t>
      </w:r>
      <w:r>
        <w:rPr>
          <w:snapToGrid w:val="0"/>
        </w:rPr>
        <w:tab/>
        <w:t>within one calendar month after the completion of the audit referred to in paragraph (a), deliver to the Registrar —</w:t>
      </w:r>
    </w:p>
    <w:p>
      <w:pPr>
        <w:pStyle w:val="Indenti"/>
        <w:spacing w:before="60"/>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 and</w:t>
      </w:r>
    </w:p>
    <w:p>
      <w:pPr>
        <w:pStyle w:val="Indenti"/>
        <w:spacing w:before="60"/>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spacing w:before="60"/>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spacing w:before="100"/>
        <w:ind w:left="890" w:hanging="890"/>
      </w:pPr>
      <w:r>
        <w:tab/>
        <w:t>[Section 65 inserted by No. 121 of 1982 s. 22; amended by No. 94 of 1984 s. 65 and 66; No. 79 of 1995 s. 6; No. 10 of 2001 s. 112; No. 74 of 2003 s. 68(2).]</w:t>
      </w:r>
    </w:p>
    <w:p>
      <w:pPr>
        <w:pStyle w:val="Heading5"/>
        <w:rPr>
          <w:snapToGrid w:val="0"/>
        </w:rPr>
      </w:pPr>
      <w:bookmarkStart w:id="580" w:name="_Toc471912030"/>
      <w:bookmarkStart w:id="581" w:name="_Toc391894769"/>
      <w:bookmarkStart w:id="582" w:name="_Toc468179241"/>
      <w:r>
        <w:rPr>
          <w:rStyle w:val="CharSectno"/>
        </w:rPr>
        <w:t>65A</w:t>
      </w:r>
      <w:r>
        <w:rPr>
          <w:snapToGrid w:val="0"/>
        </w:rPr>
        <w:t>.</w:t>
      </w:r>
      <w:r>
        <w:rPr>
          <w:snapToGrid w:val="0"/>
        </w:rPr>
        <w:tab/>
        <w:t>Auditor’s powers</w:t>
      </w:r>
      <w:bookmarkEnd w:id="580"/>
      <w:bookmarkEnd w:id="581"/>
      <w:bookmarkEnd w:id="582"/>
    </w:p>
    <w:p>
      <w:pPr>
        <w:pStyle w:val="Subsection"/>
        <w:spacing w:before="150"/>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spacing w:before="60"/>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[Section 65A inserted by No. 79 of 1995 s. 7.]</w:t>
      </w:r>
    </w:p>
    <w:p>
      <w:pPr>
        <w:pStyle w:val="Heading5"/>
        <w:rPr>
          <w:snapToGrid w:val="0"/>
        </w:rPr>
      </w:pPr>
      <w:bookmarkStart w:id="583" w:name="_Toc471912031"/>
      <w:bookmarkStart w:id="584" w:name="_Toc391894770"/>
      <w:bookmarkStart w:id="585" w:name="_Toc468179242"/>
      <w:r>
        <w:rPr>
          <w:rStyle w:val="CharSectno"/>
        </w:rPr>
        <w:t>66</w:t>
      </w:r>
      <w:r>
        <w:rPr>
          <w:snapToGrid w:val="0"/>
        </w:rPr>
        <w:t>.</w:t>
      </w:r>
      <w:r>
        <w:rPr>
          <w:snapToGrid w:val="0"/>
        </w:rPr>
        <w:tab/>
        <w:t>Rules of organisation etc., President may disallow etc.</w:t>
      </w:r>
      <w:bookmarkEnd w:id="583"/>
      <w:bookmarkEnd w:id="584"/>
      <w:bookmarkEnd w:id="585"/>
    </w:p>
    <w:p>
      <w:pPr>
        <w:pStyle w:val="Subsection"/>
        <w:rPr>
          <w:snapToGrid w:val="0"/>
        </w:rPr>
      </w:pPr>
      <w:r>
        <w:rPr>
          <w:snapToGrid w:val="0"/>
        </w:rPr>
        <w:tab/>
        <w:t>(1)</w:t>
      </w:r>
      <w:r>
        <w:rPr>
          <w:snapToGrid w:val="0"/>
        </w:rPr>
        <w:tab/>
        <w:t>The following persons may apply to the President for an order or direction under this section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w:t>
      </w:r>
    </w:p>
    <w:p>
      <w:pPr>
        <w:pStyle w:val="Indenta"/>
        <w:rPr>
          <w:snapToGrid w:val="0"/>
        </w:rPr>
      </w:pPr>
      <w:r>
        <w:rPr>
          <w:snapToGrid w:val="0"/>
        </w:rPr>
        <w:tab/>
        <w:t>(a)</w:t>
      </w:r>
      <w:r>
        <w:rPr>
          <w:snapToGrid w:val="0"/>
        </w:rPr>
        <w:tab/>
        <w:t>disallow any rule which, in the opinion of the President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 or</w:t>
      </w:r>
    </w:p>
    <w:p>
      <w:pPr>
        <w:pStyle w:val="Indenti"/>
        <w:rPr>
          <w:snapToGrid w:val="0"/>
        </w:rPr>
      </w:pPr>
      <w:r>
        <w:rPr>
          <w:snapToGrid w:val="0"/>
        </w:rPr>
        <w:tab/>
        <w:t>(ii)</w:t>
      </w:r>
      <w:r>
        <w:rPr>
          <w:snapToGrid w:val="0"/>
        </w:rPr>
        <w:tab/>
        <w:t>is tyrannical or oppressive; or</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 or</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 and</w:t>
      </w:r>
    </w:p>
    <w:p>
      <w:pPr>
        <w:pStyle w:val="Indenta"/>
        <w:rPr>
          <w:snapToGrid w:val="0"/>
        </w:rPr>
      </w:pPr>
      <w:r>
        <w:rPr>
          <w:snapToGrid w:val="0"/>
        </w:rPr>
        <w:tab/>
        <w:t>(c)</w:t>
      </w:r>
      <w:r>
        <w:rPr>
          <w:snapToGrid w:val="0"/>
        </w:rPr>
        <w:tab/>
        <w:t>disallow any rule which has not been altered by the organisation after a direction to do so pursuant to paragraph (b); and</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 and</w:t>
      </w:r>
    </w:p>
    <w:p>
      <w:pPr>
        <w:pStyle w:val="Indenta"/>
        <w:rPr>
          <w:snapToGrid w:val="0"/>
        </w:rPr>
      </w:pPr>
      <w:r>
        <w:rPr>
          <w:snapToGrid w:val="0"/>
        </w:rPr>
        <w:tab/>
        <w:t>(d)</w:t>
      </w:r>
      <w:r>
        <w:rPr>
          <w:snapToGrid w:val="0"/>
        </w:rPr>
        <w:tab/>
        <w:t>declare the true interpretation of any rule; and</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connection with an inquiry under paragraph (e)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[Section 66 amended by No. 94 of 1984 s. 40 and 66; No. 119 of 1987 s. 17; No. 1 of 1995 s. 52 and 53; No. 79 of 1995 s. 33; No. 3 of 1997 s. 12.]</w:t>
      </w:r>
    </w:p>
    <w:p>
      <w:pPr>
        <w:pStyle w:val="Heading5"/>
        <w:rPr>
          <w:snapToGrid w:val="0"/>
        </w:rPr>
      </w:pPr>
      <w:bookmarkStart w:id="586" w:name="_Toc471912032"/>
      <w:bookmarkStart w:id="587" w:name="_Toc391894771"/>
      <w:bookmarkStart w:id="588" w:name="_Toc468179243"/>
      <w:r>
        <w:rPr>
          <w:rStyle w:val="CharSectno"/>
        </w:rPr>
        <w:t>67</w:t>
      </w:r>
      <w:r>
        <w:rPr>
          <w:snapToGrid w:val="0"/>
        </w:rPr>
        <w:t>.</w:t>
      </w:r>
      <w:r>
        <w:rPr>
          <w:snapToGrid w:val="0"/>
        </w:rPr>
        <w:tab/>
        <w:t>Industrial associations, registering</w:t>
      </w:r>
      <w:bookmarkEnd w:id="586"/>
      <w:bookmarkEnd w:id="587"/>
      <w:bookmarkEnd w:id="588"/>
    </w:p>
    <w:p>
      <w:pPr>
        <w:pStyle w:val="Subsection"/>
        <w:spacing w:before="120"/>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spacing w:before="120"/>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spacing w:before="120"/>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[Section 67 inserted by No. 94 of 1984 s. 41.]</w:t>
      </w:r>
    </w:p>
    <w:p>
      <w:pPr>
        <w:pStyle w:val="Heading5"/>
        <w:rPr>
          <w:snapToGrid w:val="0"/>
        </w:rPr>
      </w:pPr>
      <w:bookmarkStart w:id="589" w:name="_Toc471912033"/>
      <w:bookmarkStart w:id="590" w:name="_Toc391894772"/>
      <w:bookmarkStart w:id="591" w:name="_Toc468179244"/>
      <w:r>
        <w:rPr>
          <w:rStyle w:val="CharSectno"/>
        </w:rPr>
        <w:t>68</w:t>
      </w:r>
      <w:r>
        <w:rPr>
          <w:snapToGrid w:val="0"/>
        </w:rPr>
        <w:t>.</w:t>
      </w:r>
      <w:r>
        <w:rPr>
          <w:snapToGrid w:val="0"/>
        </w:rPr>
        <w:tab/>
        <w:t>Functions of office in organisation, declaration as to</w:t>
      </w:r>
      <w:bookmarkEnd w:id="589"/>
      <w:bookmarkEnd w:id="590"/>
      <w:bookmarkEnd w:id="591"/>
    </w:p>
    <w:p>
      <w:pPr>
        <w:pStyle w:val="Subsection"/>
        <w:spacing w:before="140"/>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[Section 68 amended by No. 94 of 1984 s. 66.]</w:t>
      </w:r>
    </w:p>
    <w:p>
      <w:pPr>
        <w:pStyle w:val="Heading5"/>
        <w:keepLines w:val="0"/>
        <w:rPr>
          <w:snapToGrid w:val="0"/>
        </w:rPr>
      </w:pPr>
      <w:bookmarkStart w:id="592" w:name="_Toc471912034"/>
      <w:bookmarkStart w:id="593" w:name="_Toc391894773"/>
      <w:bookmarkStart w:id="594" w:name="_Toc468179245"/>
      <w:r>
        <w:rPr>
          <w:rStyle w:val="CharSectno"/>
        </w:rPr>
        <w:t>69</w:t>
      </w:r>
      <w:r>
        <w:rPr>
          <w:snapToGrid w:val="0"/>
        </w:rPr>
        <w:t>.</w:t>
      </w:r>
      <w:r>
        <w:rPr>
          <w:snapToGrid w:val="0"/>
        </w:rPr>
        <w:tab/>
        <w:t>Election, conduct of by Registrar or Electoral Commissioner</w:t>
      </w:r>
      <w:bookmarkEnd w:id="592"/>
      <w:bookmarkEnd w:id="593"/>
      <w:bookmarkEnd w:id="594"/>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w:t>
      </w:r>
    </w:p>
    <w:p>
      <w:pPr>
        <w:pStyle w:val="Indenta"/>
        <w:rPr>
          <w:snapToGrid w:val="0"/>
        </w:rPr>
      </w:pPr>
      <w:r>
        <w:rPr>
          <w:snapToGrid w:val="0"/>
        </w:rPr>
        <w:tab/>
        <w:t>(a)</w:t>
      </w:r>
      <w:r>
        <w:rPr>
          <w:snapToGrid w:val="0"/>
        </w:rPr>
        <w:tab/>
        <w:t>to ensure that no irregularities occur in or in connection with the election; or</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[Section 69 amended by No. 94 of 1984 s. 42, 65 and 66; No. 98 of 1985 s. 3; No. 6 of 1993 s. 11; No. 1 of 1995 s. 53; No. 77 of 2006 s. 4.]</w:t>
      </w:r>
    </w:p>
    <w:p>
      <w:pPr>
        <w:pStyle w:val="Heading5"/>
        <w:rPr>
          <w:snapToGrid w:val="0"/>
        </w:rPr>
      </w:pPr>
      <w:bookmarkStart w:id="595" w:name="_Toc471912035"/>
      <w:bookmarkStart w:id="596" w:name="_Toc391894774"/>
      <w:bookmarkStart w:id="597" w:name="_Toc468179246"/>
      <w:r>
        <w:rPr>
          <w:rStyle w:val="CharSectno"/>
        </w:rPr>
        <w:t>70</w:t>
      </w:r>
      <w:r>
        <w:rPr>
          <w:snapToGrid w:val="0"/>
        </w:rPr>
        <w:t>.</w:t>
      </w:r>
      <w:r>
        <w:rPr>
          <w:snapToGrid w:val="0"/>
        </w:rPr>
        <w:tab/>
        <w:t>Offences in relation to elections</w:t>
      </w:r>
      <w:bookmarkEnd w:id="595"/>
      <w:bookmarkEnd w:id="596"/>
      <w:bookmarkEnd w:id="597"/>
    </w:p>
    <w:p>
      <w:pPr>
        <w:pStyle w:val="Subsection"/>
        <w:rPr>
          <w:snapToGrid w:val="0"/>
        </w:rPr>
      </w:pPr>
      <w:r>
        <w:rPr>
          <w:snapToGrid w:val="0"/>
        </w:rPr>
        <w:tab/>
        <w:t>(1)</w:t>
      </w:r>
      <w:r>
        <w:rPr>
          <w:snapToGrid w:val="0"/>
        </w:rPr>
        <w:tab/>
        <w:t>A person shall not, without lawful authority or excuse, in or in connection with an election for an office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 or</w:t>
      </w:r>
    </w:p>
    <w:p>
      <w:pPr>
        <w:pStyle w:val="Indenta"/>
        <w:rPr>
          <w:snapToGrid w:val="0"/>
        </w:rPr>
      </w:pPr>
      <w:r>
        <w:rPr>
          <w:snapToGrid w:val="0"/>
        </w:rPr>
        <w:tab/>
        <w:t>(b)</w:t>
      </w:r>
      <w:r>
        <w:rPr>
          <w:snapToGrid w:val="0"/>
        </w:rPr>
        <w:tab/>
        <w:t>destroy, deface, alter, take, or otherwise interfere with a nomination paper, ballot paper, or envelope; or</w:t>
      </w:r>
    </w:p>
    <w:p>
      <w:pPr>
        <w:pStyle w:val="Indenta"/>
        <w:keepNext/>
        <w:rPr>
          <w:snapToGrid w:val="0"/>
        </w:rPr>
      </w:pPr>
      <w:r>
        <w:rPr>
          <w:snapToGrid w:val="0"/>
        </w:rPr>
        <w:tab/>
        <w:t>(c)</w:t>
      </w:r>
      <w:r>
        <w:rPr>
          <w:snapToGrid w:val="0"/>
        </w:rPr>
        <w:tab/>
        <w:t>put or deliver a ballot paper or other paper —</w:t>
      </w:r>
    </w:p>
    <w:p>
      <w:pPr>
        <w:pStyle w:val="Indenti"/>
        <w:rPr>
          <w:snapToGrid w:val="0"/>
        </w:rPr>
      </w:pPr>
      <w:r>
        <w:rPr>
          <w:snapToGrid w:val="0"/>
        </w:rPr>
        <w:tab/>
        <w:t>(i)</w:t>
      </w:r>
      <w:r>
        <w:rPr>
          <w:snapToGrid w:val="0"/>
        </w:rPr>
        <w:tab/>
        <w:t>into a ballot box or other ballot receptacle; or</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record a vote which he is not entitled to record; or</w:t>
      </w:r>
    </w:p>
    <w:p>
      <w:pPr>
        <w:pStyle w:val="Indenta"/>
        <w:rPr>
          <w:snapToGrid w:val="0"/>
        </w:rPr>
      </w:pPr>
      <w:r>
        <w:rPr>
          <w:snapToGrid w:val="0"/>
        </w:rPr>
        <w:tab/>
        <w:t>(e)</w:t>
      </w:r>
      <w:r>
        <w:rPr>
          <w:snapToGrid w:val="0"/>
        </w:rPr>
        <w:tab/>
        <w:t>record more than one vote; or</w:t>
      </w:r>
    </w:p>
    <w:p>
      <w:pPr>
        <w:pStyle w:val="Indenta"/>
        <w:rPr>
          <w:snapToGrid w:val="0"/>
        </w:rPr>
      </w:pPr>
      <w:r>
        <w:rPr>
          <w:snapToGrid w:val="0"/>
        </w:rPr>
        <w:tab/>
        <w:t>(f)</w:t>
      </w:r>
      <w:r>
        <w:rPr>
          <w:snapToGrid w:val="0"/>
        </w:rPr>
        <w:tab/>
        <w:t>forge or utter, knowing it to be forged, a nomination paper, ballot paper, or envelope; or</w:t>
      </w:r>
    </w:p>
    <w:p>
      <w:pPr>
        <w:pStyle w:val="Indenta"/>
        <w:rPr>
          <w:snapToGrid w:val="0"/>
        </w:rPr>
      </w:pPr>
      <w:r>
        <w:rPr>
          <w:snapToGrid w:val="0"/>
        </w:rPr>
        <w:tab/>
        <w:t>(g)</w:t>
      </w:r>
      <w:r>
        <w:rPr>
          <w:snapToGrid w:val="0"/>
        </w:rPr>
        <w:tab/>
        <w:t>supply a ballot paper; or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w:t>
      </w:r>
    </w:p>
    <w:p>
      <w:pPr>
        <w:pStyle w:val="Indenti"/>
        <w:rPr>
          <w:snapToGrid w:val="0"/>
        </w:rPr>
      </w:pPr>
      <w:r>
        <w:rPr>
          <w:snapToGrid w:val="0"/>
        </w:rPr>
        <w:tab/>
        <w:t>(i)</w:t>
      </w:r>
      <w:r>
        <w:rPr>
          <w:snapToGrid w:val="0"/>
        </w:rPr>
        <w:tab/>
        <w:t>candidature or withdrawal of candidature; or</w:t>
      </w:r>
    </w:p>
    <w:p>
      <w:pPr>
        <w:pStyle w:val="Indenti"/>
        <w:rPr>
          <w:snapToGrid w:val="0"/>
        </w:rPr>
      </w:pPr>
      <w:r>
        <w:rPr>
          <w:snapToGrid w:val="0"/>
        </w:rPr>
        <w:tab/>
        <w:t>(ii)</w:t>
      </w:r>
      <w:r>
        <w:rPr>
          <w:snapToGrid w:val="0"/>
        </w:rPr>
        <w:tab/>
        <w:t>a vote or an omission to vote; or</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w:t>
      </w:r>
    </w:p>
    <w:p>
      <w:pPr>
        <w:pStyle w:val="Heading5"/>
        <w:rPr>
          <w:snapToGrid w:val="0"/>
        </w:rPr>
      </w:pPr>
      <w:bookmarkStart w:id="598" w:name="_Toc471912036"/>
      <w:bookmarkStart w:id="599" w:name="_Toc391894775"/>
      <w:bookmarkStart w:id="600" w:name="_Toc468179247"/>
      <w:r>
        <w:rPr>
          <w:rStyle w:val="CharSectno"/>
        </w:rPr>
        <w:t>71</w:t>
      </w:r>
      <w:r>
        <w:rPr>
          <w:snapToGrid w:val="0"/>
        </w:rPr>
        <w:t>.</w:t>
      </w:r>
      <w:r>
        <w:rPr>
          <w:snapToGrid w:val="0"/>
        </w:rPr>
        <w:tab/>
        <w:t>State branches of Federal organisations, rules of as to membership and offices</w:t>
      </w:r>
      <w:bookmarkEnd w:id="598"/>
      <w:bookmarkEnd w:id="599"/>
      <w:bookmarkEnd w:id="600"/>
    </w:p>
    <w:p>
      <w:pPr>
        <w:pStyle w:val="Subsection"/>
        <w:rPr>
          <w:snapToGrid w:val="0"/>
        </w:rPr>
      </w:pPr>
      <w:r>
        <w:rPr>
          <w:snapToGrid w:val="0"/>
        </w:rPr>
        <w:tab/>
        <w:t>(1)</w:t>
      </w:r>
      <w:r>
        <w:rPr>
          <w:snapToGrid w:val="0"/>
        </w:rPr>
        <w:tab/>
        <w:t>In this section —</w:t>
      </w:r>
    </w:p>
    <w:p>
      <w:pPr>
        <w:pStyle w:val="Defstart"/>
      </w:pPr>
      <w:r>
        <w:rPr>
          <w:b/>
        </w:rPr>
        <w:tab/>
      </w:r>
      <w:r>
        <w:rPr>
          <w:rStyle w:val="CharDefText"/>
        </w:rPr>
        <w:t>Branch</w:t>
      </w:r>
      <w:r>
        <w:t xml:space="preserve"> means the Western Australian Branch of an organisation of employees registered under the </w:t>
      </w:r>
      <w:r>
        <w:rPr>
          <w:i/>
        </w:rPr>
        <w:t>Fair Work (Registered Organisations) Act 2009</w:t>
      </w:r>
      <w:r>
        <w:t xml:space="preserve"> (Commonwealth);</w:t>
      </w:r>
    </w:p>
    <w:p>
      <w:pPr>
        <w:pStyle w:val="Defstart"/>
      </w:pPr>
      <w:r>
        <w:rPr>
          <w:b/>
        </w:rPr>
        <w:tab/>
      </w:r>
      <w:r>
        <w:rPr>
          <w:rStyle w:val="CharDefText"/>
        </w:rPr>
        <w:t>counterpart Federal body</w:t>
      </w:r>
      <w:r>
        <w:t>, in relation to a State organisation, means a Branch the rules of which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4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40"/>
        <w:rPr>
          <w:snapToGrid w:val="0"/>
        </w:rPr>
      </w:pPr>
      <w:r>
        <w:rPr>
          <w:snapToGrid w:val="0"/>
        </w:rPr>
        <w:tab/>
        <w:t>(3)</w:t>
      </w:r>
      <w:r>
        <w:rPr>
          <w:snapToGrid w:val="0"/>
        </w:rPr>
        <w:tab/>
        <w:t>The Full Bench may form the opinion that the rules referred to in subsection (2) are substantially the same notwithstanding that a person who is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3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30"/>
        <w:rPr>
          <w:snapToGrid w:val="0"/>
        </w:rPr>
      </w:pPr>
      <w:r>
        <w:rPr>
          <w:snapToGrid w:val="0"/>
        </w:rPr>
        <w:tab/>
        <w:t>(5)</w:t>
      </w:r>
      <w:r>
        <w:rPr>
          <w:snapToGrid w:val="0"/>
        </w:rPr>
        <w:tab/>
        <w:t>Where, after the coming into operation of this section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40"/>
        <w:rPr>
          <w:snapToGrid w:val="0"/>
        </w:rPr>
      </w:pPr>
      <w:r>
        <w:rPr>
          <w:snapToGrid w:val="0"/>
        </w:rPr>
        <w:tab/>
      </w:r>
      <w:r>
        <w:rPr>
          <w:snapToGrid w:val="0"/>
        </w:rPr>
        <w:tab/>
        <w:t>the Registrar shall issue the State organisation with a certificate which declares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4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w:t>
      </w:r>
    </w:p>
    <w:p>
      <w:pPr>
        <w:pStyle w:val="Indenta"/>
        <w:rPr>
          <w:snapToGrid w:val="0"/>
        </w:rPr>
      </w:pPr>
      <w:r>
        <w:rPr>
          <w:snapToGrid w:val="0"/>
        </w:rPr>
        <w:tab/>
        <w:t>(a)</w:t>
      </w:r>
      <w:r>
        <w:rPr>
          <w:snapToGrid w:val="0"/>
        </w:rPr>
        <w:tab/>
        <w:t>sealed with the respective seals of the State organisation and the other organisation concerned; and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w:t>
      </w:r>
    </w:p>
    <w:p>
      <w:pPr>
        <w:pStyle w:val="Indenta"/>
        <w:rPr>
          <w:snapToGrid w:val="0"/>
        </w:rPr>
      </w:pPr>
      <w:r>
        <w:rPr>
          <w:snapToGrid w:val="0"/>
        </w:rPr>
        <w:tab/>
        <w:t>(a)</w:t>
      </w:r>
      <w:r>
        <w:rPr>
          <w:snapToGrid w:val="0"/>
        </w:rPr>
        <w:tab/>
        <w:t>register the memorandum as an alteration to the rules of the State organisation; and</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 and</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[Section 71 amended by No. 94 of 1984 s. 66; No. 119 of 1987 s. 18; No. 1 of 1995 s. 53; No. 74 of 2003 s. 68(3); No. 53 of 2011 s. 34.]</w:t>
      </w:r>
    </w:p>
    <w:p>
      <w:pPr>
        <w:pStyle w:val="Heading5"/>
        <w:rPr>
          <w:snapToGrid w:val="0"/>
        </w:rPr>
      </w:pPr>
      <w:bookmarkStart w:id="601" w:name="_Toc471912037"/>
      <w:bookmarkStart w:id="602" w:name="_Toc391894776"/>
      <w:bookmarkStart w:id="603" w:name="_Toc468179248"/>
      <w:r>
        <w:rPr>
          <w:rStyle w:val="CharSectno"/>
        </w:rPr>
        <w:t>71A</w:t>
      </w:r>
      <w:r>
        <w:rPr>
          <w:snapToGrid w:val="0"/>
        </w:rPr>
        <w:t>.</w:t>
      </w:r>
      <w:r>
        <w:rPr>
          <w:snapToGrid w:val="0"/>
        </w:rPr>
        <w:tab/>
        <w:t>Rules of Federal organisation, State organisation may adopt</w:t>
      </w:r>
      <w:bookmarkEnd w:id="601"/>
      <w:bookmarkEnd w:id="602"/>
      <w:bookmarkEnd w:id="603"/>
    </w:p>
    <w:p>
      <w:pPr>
        <w:pStyle w:val="Subsection"/>
        <w:rPr>
          <w:snapToGrid w:val="0"/>
        </w:rPr>
      </w:pPr>
      <w:r>
        <w:rPr>
          <w:snapToGrid w:val="0"/>
        </w:rPr>
        <w:tab/>
        <w:t>(1)</w:t>
      </w:r>
      <w:r>
        <w:rPr>
          <w:snapToGrid w:val="0"/>
        </w:rPr>
        <w:tab/>
        <w:t>In this section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t xml:space="preserve">the </w:t>
      </w:r>
      <w:r>
        <w:rPr>
          <w:rStyle w:val="CharDefText"/>
        </w:rPr>
        <w:t>State rules</w:t>
      </w:r>
      <w:r>
        <w:rPr>
          <w:snapToGrid w:val="0"/>
        </w:rPr>
        <w:t xml:space="preserve">) by including in the State rules a provision (in this section referred to as </w:t>
      </w:r>
      <w:r>
        <w:t xml:space="preserve">the </w:t>
      </w:r>
      <w:r>
        <w:rPr>
          <w:rStyle w:val="CharDefText"/>
        </w:rPr>
        <w:t>adopting provision</w:t>
      </w:r>
      <w:r>
        <w:rPr>
          <w:snapToGrid w:val="0"/>
        </w:rPr>
        <w:t>) stating that all of the rules of its counterpart Federal body other than —</w:t>
      </w:r>
    </w:p>
    <w:p>
      <w:pPr>
        <w:pStyle w:val="Indenta"/>
        <w:rPr>
          <w:snapToGrid w:val="0"/>
        </w:rPr>
      </w:pPr>
      <w:r>
        <w:rPr>
          <w:snapToGrid w:val="0"/>
        </w:rPr>
        <w:tab/>
        <w:t>(a)</w:t>
      </w:r>
      <w:r>
        <w:rPr>
          <w:snapToGrid w:val="0"/>
        </w:rPr>
        <w:tab/>
        <w:t>a rule relating to the name of the State organisation; and</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[Section 71A inserted by No. 99 of 1990 s. 9.]</w:t>
      </w:r>
    </w:p>
    <w:p>
      <w:pPr>
        <w:pStyle w:val="Heading5"/>
        <w:rPr>
          <w:snapToGrid w:val="0"/>
        </w:rPr>
      </w:pPr>
      <w:bookmarkStart w:id="604" w:name="_Toc471912038"/>
      <w:bookmarkStart w:id="605" w:name="_Toc391894777"/>
      <w:bookmarkStart w:id="606" w:name="_Toc468179249"/>
      <w:r>
        <w:rPr>
          <w:rStyle w:val="CharSectno"/>
        </w:rPr>
        <w:t>72</w:t>
      </w:r>
      <w:r>
        <w:rPr>
          <w:snapToGrid w:val="0"/>
        </w:rPr>
        <w:t>.</w:t>
      </w:r>
      <w:r>
        <w:rPr>
          <w:snapToGrid w:val="0"/>
        </w:rPr>
        <w:tab/>
        <w:t>Amalgamated organisations, registration of</w:t>
      </w:r>
      <w:bookmarkEnd w:id="604"/>
      <w:bookmarkEnd w:id="605"/>
      <w:bookmarkEnd w:id="606"/>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rPr>
          <w:snapToGrid w:val="0"/>
        </w:rPr>
      </w:pPr>
      <w:r>
        <w:rPr>
          <w:snapToGrid w:val="0"/>
        </w:rPr>
        <w:tab/>
        <w:t>(5)</w:t>
      </w:r>
      <w:r>
        <w:rPr>
          <w:snapToGrid w:val="0"/>
        </w:rPr>
        <w:tab/>
        <w:t>On and from the date on which an organisation is registered under this section —</w:t>
      </w:r>
    </w:p>
    <w:p>
      <w:pPr>
        <w:pStyle w:val="Indenta"/>
        <w:rPr>
          <w:snapToGrid w:val="0"/>
        </w:rPr>
      </w:pPr>
      <w:r>
        <w:rPr>
          <w:snapToGrid w:val="0"/>
        </w:rPr>
        <w:tab/>
        <w:t>(a)</w:t>
      </w:r>
      <w:r>
        <w:rPr>
          <w:snapToGrid w:val="0"/>
        </w:rPr>
        <w:tab/>
        <w:t>the registration of each of the amalgamating organisations is cancelled; and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 and</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[Section 72 inserted by No. 94 of 1984 s. 43; amended by No. 1 of 1995 s. 53; No. 79 of 1995 s. 34.]</w:t>
      </w:r>
    </w:p>
    <w:p>
      <w:pPr>
        <w:pStyle w:val="Heading5"/>
        <w:rPr>
          <w:snapToGrid w:val="0"/>
        </w:rPr>
      </w:pPr>
      <w:bookmarkStart w:id="607" w:name="_Toc471912039"/>
      <w:bookmarkStart w:id="608" w:name="_Toc391894778"/>
      <w:bookmarkStart w:id="609" w:name="_Toc468179250"/>
      <w:r>
        <w:rPr>
          <w:rStyle w:val="CharSectno"/>
        </w:rPr>
        <w:t>72A</w:t>
      </w:r>
      <w:r>
        <w:rPr>
          <w:snapToGrid w:val="0"/>
        </w:rPr>
        <w:t>.</w:t>
      </w:r>
      <w:r>
        <w:rPr>
          <w:snapToGrid w:val="0"/>
        </w:rPr>
        <w:tab/>
        <w:t>Employee organisations, orders as to whom they represent</w:t>
      </w:r>
      <w:bookmarkEnd w:id="607"/>
      <w:bookmarkEnd w:id="608"/>
      <w:bookmarkEnd w:id="609"/>
    </w:p>
    <w:p>
      <w:pPr>
        <w:pStyle w:val="Subsection"/>
        <w:keepNext/>
        <w:keepLines/>
        <w:rPr>
          <w:snapToGrid w:val="0"/>
        </w:rPr>
      </w:pPr>
      <w:r>
        <w:rPr>
          <w:snapToGrid w:val="0"/>
        </w:rPr>
        <w:tab/>
        <w:t>(1)</w:t>
      </w:r>
      <w:r>
        <w:rPr>
          <w:snapToGrid w:val="0"/>
        </w:rPr>
        <w:tab/>
        <w:t>In this section —</w:t>
      </w:r>
    </w:p>
    <w:p>
      <w:pPr>
        <w:pStyle w:val="Defstart"/>
      </w:pPr>
      <w:r>
        <w:rPr>
          <w:b/>
        </w:rPr>
        <w:tab/>
      </w:r>
      <w:r>
        <w:rPr>
          <w:rStyle w:val="CharDefText"/>
        </w:rPr>
        <w:t>enterprise</w:t>
      </w:r>
      <w:r>
        <w:t xml:space="preserve"> means —</w:t>
      </w:r>
    </w:p>
    <w:p>
      <w:pPr>
        <w:pStyle w:val="Defpara"/>
      </w:pPr>
      <w:r>
        <w:tab/>
        <w:t>(a)</w:t>
      </w:r>
      <w:r>
        <w:tab/>
        <w:t>a business, or part of a business, that is carried on by a single employer; or</w:t>
      </w:r>
    </w:p>
    <w:p>
      <w:pPr>
        <w:pStyle w:val="Defpara"/>
      </w:pPr>
      <w:r>
        <w:tab/>
        <w:t>(b)</w:t>
      </w:r>
      <w:r>
        <w:tab/>
        <w:t>a business, or part of a business, that is carried on by 2 or more employers as a joint venture or single enterprise; or</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610" w:name="_Toc471912040"/>
      <w:bookmarkStart w:id="611" w:name="_Toc391894779"/>
      <w:bookmarkStart w:id="612" w:name="_Toc468179251"/>
      <w:r>
        <w:rPr>
          <w:rStyle w:val="CharSectno"/>
        </w:rPr>
        <w:t>72B</w:t>
      </w:r>
      <w:r>
        <w:rPr>
          <w:snapToGrid w:val="0"/>
        </w:rPr>
        <w:t xml:space="preserve">. </w:t>
      </w:r>
      <w:r>
        <w:rPr>
          <w:snapToGrid w:val="0"/>
        </w:rPr>
        <w:tab/>
        <w:t>AMA may represent interests of medical practitioners</w:t>
      </w:r>
      <w:bookmarkEnd w:id="610"/>
      <w:bookmarkEnd w:id="611"/>
      <w:bookmarkEnd w:id="612"/>
    </w:p>
    <w:p>
      <w:pPr>
        <w:pStyle w:val="Subsection"/>
        <w:rPr>
          <w:snapToGrid w:val="0"/>
        </w:rPr>
      </w:pPr>
      <w:r>
        <w:rPr>
          <w:snapToGrid w:val="0"/>
        </w:rPr>
        <w:tab/>
        <w:t>(1)</w:t>
      </w:r>
      <w:r>
        <w:rPr>
          <w:snapToGrid w:val="0"/>
        </w:rPr>
        <w:tab/>
        <w:t>In this section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[Section 72B inserted by No. 79 of 1995 s. 36; amended by No. 22 of 2008 Sch. 3 cl. 30(2); No. 35 of 2010 s. 99.]</w:t>
      </w:r>
    </w:p>
    <w:p>
      <w:pPr>
        <w:pStyle w:val="Heading5"/>
        <w:rPr>
          <w:snapToGrid w:val="0"/>
        </w:rPr>
      </w:pPr>
      <w:bookmarkStart w:id="613" w:name="_Toc471912041"/>
      <w:bookmarkStart w:id="614" w:name="_Toc391894780"/>
      <w:bookmarkStart w:id="615" w:name="_Toc468179252"/>
      <w:r>
        <w:rPr>
          <w:rStyle w:val="CharSectno"/>
        </w:rPr>
        <w:t>73</w:t>
      </w:r>
      <w:r>
        <w:rPr>
          <w:snapToGrid w:val="0"/>
        </w:rPr>
        <w:t>.</w:t>
      </w:r>
      <w:r>
        <w:rPr>
          <w:snapToGrid w:val="0"/>
        </w:rPr>
        <w:tab/>
        <w:t>Cancelling and suspending registration of organisation, procedure for</w:t>
      </w:r>
      <w:bookmarkEnd w:id="613"/>
      <w:bookmarkEnd w:id="614"/>
      <w:bookmarkEnd w:id="615"/>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w:t>
      </w:r>
    </w:p>
    <w:p>
      <w:pPr>
        <w:pStyle w:val="Indenta"/>
        <w:spacing w:before="70"/>
        <w:rPr>
          <w:snapToGrid w:val="0"/>
        </w:rPr>
      </w:pPr>
      <w:r>
        <w:rPr>
          <w:snapToGrid w:val="0"/>
        </w:rPr>
        <w:tab/>
        <w:t>(a)</w:t>
      </w:r>
      <w:r>
        <w:rPr>
          <w:snapToGrid w:val="0"/>
        </w:rPr>
        <w:tab/>
        <w:t>where the request is made by the Minister and is accompanied by a declaration made by him that in his opinion —</w:t>
      </w:r>
    </w:p>
    <w:p>
      <w:pPr>
        <w:pStyle w:val="Indenti"/>
        <w:spacing w:before="70"/>
        <w:rPr>
          <w:snapToGrid w:val="0"/>
        </w:rPr>
      </w:pPr>
      <w:r>
        <w:rPr>
          <w:snapToGrid w:val="0"/>
        </w:rPr>
        <w:tab/>
        <w:t>(i)</w:t>
      </w:r>
      <w:r>
        <w:rPr>
          <w:snapToGrid w:val="0"/>
        </w:rPr>
        <w:tab/>
        <w:t>the safety, health, or welfare of the community or a part of it is at risk; or</w:t>
      </w:r>
    </w:p>
    <w:p>
      <w:pPr>
        <w:pStyle w:val="Indenti"/>
        <w:spacing w:before="70"/>
        <w:rPr>
          <w:snapToGrid w:val="0"/>
        </w:rPr>
      </w:pPr>
      <w:r>
        <w:rPr>
          <w:snapToGrid w:val="0"/>
        </w:rPr>
        <w:tab/>
        <w:t>(ii)</w:t>
      </w:r>
      <w:r>
        <w:rPr>
          <w:snapToGrid w:val="0"/>
        </w:rPr>
        <w:tab/>
        <w:t xml:space="preserve">a number of a group or class of employees who are, or are eligible to be, members of the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p>
    <w:p>
      <w:pPr>
        <w:pStyle w:val="Indenta"/>
        <w:spacing w:before="70"/>
        <w:rPr>
          <w:snapToGrid w:val="0"/>
        </w:rPr>
      </w:pPr>
      <w:r>
        <w:rPr>
          <w:snapToGrid w:val="0"/>
        </w:rPr>
        <w:tab/>
      </w:r>
      <w:r>
        <w:rPr>
          <w:snapToGrid w:val="0"/>
        </w:rPr>
        <w:tab/>
        <w:t>the Commission shall give a direction under that subsection; and</w:t>
      </w:r>
    </w:p>
    <w:p>
      <w:pPr>
        <w:pStyle w:val="Indenta"/>
        <w:spacing w:before="70"/>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w:t>
      </w:r>
    </w:p>
    <w:p>
      <w:pPr>
        <w:pStyle w:val="Indenta"/>
        <w:rPr>
          <w:snapToGrid w:val="0"/>
        </w:rPr>
      </w:pPr>
      <w:r>
        <w:rPr>
          <w:snapToGrid w:val="0"/>
        </w:rPr>
        <w:tab/>
        <w:t>(a)</w:t>
      </w:r>
      <w:r>
        <w:rPr>
          <w:snapToGrid w:val="0"/>
        </w:rPr>
        <w:tab/>
        <w:t>an order cancelling the registration of the organisation; or</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 xml:space="preserve">On the return of a summons issued following a declaration by the Minister under subsection (3)(a)(ii), if it appears to the Full Bench that a number of a group or class of employees who are, or are qualified to be, members of an organisation is bound by an award </w:t>
      </w:r>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 </w:t>
      </w:r>
      <w:r>
        <w:rPr>
          <w:snapToGrid w:val="0"/>
        </w:rPr>
        <w:t>the Full Bench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 or</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by No. 121 of 1982 s. 23; No. 94 of 1984 s. 44 and 66; No. 119 of 1987 s. 19; No. 15 of 1993 s. 21; No. 3 of 1997 s. 9 and 19; No. 20 of 2002 s. 193(2) and 194(6); No. 53 of 2011 s. 35; amended in Gazette 15 Aug 2003 p. 3686.]</w:t>
      </w:r>
    </w:p>
    <w:p>
      <w:pPr>
        <w:pStyle w:val="Heading3"/>
        <w:rPr>
          <w:snapToGrid w:val="0"/>
        </w:rPr>
      </w:pPr>
      <w:bookmarkStart w:id="616" w:name="_Toc471912042"/>
      <w:bookmarkStart w:id="617" w:name="_Toc391894781"/>
      <w:bookmarkStart w:id="618" w:name="_Toc419713366"/>
      <w:bookmarkStart w:id="619" w:name="_Toc435103010"/>
      <w:bookmarkStart w:id="620" w:name="_Toc452556440"/>
      <w:bookmarkStart w:id="621" w:name="_Toc455414020"/>
      <w:bookmarkStart w:id="622" w:name="_Toc462415450"/>
      <w:bookmarkStart w:id="623" w:name="_Toc462742361"/>
      <w:bookmarkStart w:id="624" w:name="_Toc465086015"/>
      <w:bookmarkStart w:id="625" w:name="_Toc468179253"/>
      <w:r>
        <w:rPr>
          <w:rStyle w:val="CharDivNo"/>
        </w:rPr>
        <w:t>Division 5</w:t>
      </w:r>
      <w:r>
        <w:rPr>
          <w:snapToGrid w:val="0"/>
        </w:rPr>
        <w:t> — </w:t>
      </w:r>
      <w:r>
        <w:rPr>
          <w:rStyle w:val="CharDivText"/>
        </w:rPr>
        <w:t>Duties of officers of organisations</w:t>
      </w:r>
      <w:bookmarkEnd w:id="616"/>
      <w:bookmarkEnd w:id="617"/>
      <w:bookmarkEnd w:id="618"/>
      <w:bookmarkEnd w:id="619"/>
      <w:bookmarkEnd w:id="620"/>
      <w:bookmarkEnd w:id="621"/>
      <w:bookmarkEnd w:id="622"/>
      <w:bookmarkEnd w:id="623"/>
      <w:bookmarkEnd w:id="624"/>
      <w:bookmarkEnd w:id="625"/>
    </w:p>
    <w:p>
      <w:pPr>
        <w:pStyle w:val="Footnoteheading"/>
      </w:pPr>
      <w:r>
        <w:tab/>
        <w:t>[Heading inserted by No. 79 of 1995 s. 8(1); amended by No. 3 of 1997 s. 4; No. 20 of 2002 s. 192(1).]</w:t>
      </w:r>
    </w:p>
    <w:p>
      <w:pPr>
        <w:pStyle w:val="Heading5"/>
        <w:rPr>
          <w:snapToGrid w:val="0"/>
        </w:rPr>
      </w:pPr>
      <w:bookmarkStart w:id="626" w:name="_Toc471912043"/>
      <w:bookmarkStart w:id="627" w:name="_Toc391894782"/>
      <w:bookmarkStart w:id="628" w:name="_Toc468179254"/>
      <w:r>
        <w:rPr>
          <w:rStyle w:val="CharSectno"/>
        </w:rPr>
        <w:t>74</w:t>
      </w:r>
      <w:r>
        <w:rPr>
          <w:snapToGrid w:val="0"/>
        </w:rPr>
        <w:t>.</w:t>
      </w:r>
      <w:r>
        <w:rPr>
          <w:snapToGrid w:val="0"/>
        </w:rPr>
        <w:tab/>
        <w:t>Finance official’s duties</w:t>
      </w:r>
      <w:bookmarkEnd w:id="626"/>
      <w:bookmarkEnd w:id="627"/>
      <w:bookmarkEnd w:id="628"/>
    </w:p>
    <w:p>
      <w:pPr>
        <w:pStyle w:val="Subsection"/>
        <w:rPr>
          <w:snapToGrid w:val="0"/>
        </w:rPr>
      </w:pPr>
      <w:r>
        <w:rPr>
          <w:snapToGrid w:val="0"/>
        </w:rPr>
        <w:tab/>
        <w:t>(1)</w:t>
      </w:r>
      <w:r>
        <w:rPr>
          <w:snapToGrid w:val="0"/>
        </w:rPr>
        <w:tab/>
        <w:t>In this section and in section 77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[Section 74 inserted by No. 79 of 1995 s. 8(1); amended by No. 3 of 1997 s. 5; No. 20 of 2002 s. 192(2).]</w:t>
      </w:r>
    </w:p>
    <w:p>
      <w:pPr>
        <w:pStyle w:val="Heading5"/>
        <w:keepLines w:val="0"/>
        <w:rPr>
          <w:snapToGrid w:val="0"/>
        </w:rPr>
      </w:pPr>
      <w:bookmarkStart w:id="629" w:name="_Toc471912044"/>
      <w:bookmarkStart w:id="630" w:name="_Toc391894783"/>
      <w:bookmarkStart w:id="631" w:name="_Toc468179255"/>
      <w:r>
        <w:rPr>
          <w:rStyle w:val="CharSectno"/>
        </w:rPr>
        <w:t>75</w:t>
      </w:r>
      <w:r>
        <w:rPr>
          <w:snapToGrid w:val="0"/>
        </w:rPr>
        <w:t>.</w:t>
      </w:r>
      <w:r>
        <w:rPr>
          <w:snapToGrid w:val="0"/>
        </w:rPr>
        <w:tab/>
        <w:t>Auditor to report on compliance with s. 74 duties</w:t>
      </w:r>
      <w:bookmarkEnd w:id="629"/>
      <w:bookmarkEnd w:id="630"/>
      <w:bookmarkEnd w:id="631"/>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spacing w:before="100"/>
        <w:ind w:left="890" w:hanging="890"/>
      </w:pPr>
      <w:r>
        <w:tab/>
        <w:t>[Section 75 inserted by No. 79 of 1995 s. 8(1).]</w:t>
      </w:r>
    </w:p>
    <w:p>
      <w:pPr>
        <w:pStyle w:val="Heading5"/>
        <w:rPr>
          <w:snapToGrid w:val="0"/>
        </w:rPr>
      </w:pPr>
      <w:bookmarkStart w:id="632" w:name="_Toc471912045"/>
      <w:bookmarkStart w:id="633" w:name="_Toc391894784"/>
      <w:bookmarkStart w:id="634" w:name="_Toc468179256"/>
      <w:r>
        <w:rPr>
          <w:rStyle w:val="CharSectno"/>
        </w:rPr>
        <w:t>76</w:t>
      </w:r>
      <w:r>
        <w:rPr>
          <w:snapToGrid w:val="0"/>
        </w:rPr>
        <w:t>.</w:t>
      </w:r>
      <w:r>
        <w:rPr>
          <w:snapToGrid w:val="0"/>
        </w:rPr>
        <w:tab/>
        <w:t>Organisation’s rules not to conflict with s. 74 or 75</w:t>
      </w:r>
      <w:bookmarkEnd w:id="632"/>
      <w:bookmarkEnd w:id="633"/>
      <w:bookmarkEnd w:id="634"/>
    </w:p>
    <w:p>
      <w:pPr>
        <w:pStyle w:val="Subsection"/>
        <w:spacing w:before="120"/>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spacing w:before="100"/>
        <w:ind w:left="890" w:hanging="890"/>
      </w:pPr>
      <w:r>
        <w:tab/>
        <w:t>[Section 76 inserted by No. 79 of 1995 s. 8(1).]</w:t>
      </w:r>
    </w:p>
    <w:p>
      <w:pPr>
        <w:pStyle w:val="Heading5"/>
        <w:rPr>
          <w:snapToGrid w:val="0"/>
        </w:rPr>
      </w:pPr>
      <w:bookmarkStart w:id="635" w:name="_Toc471912046"/>
      <w:bookmarkStart w:id="636" w:name="_Toc391894785"/>
      <w:bookmarkStart w:id="637" w:name="_Toc468179257"/>
      <w:r>
        <w:rPr>
          <w:rStyle w:val="CharSectno"/>
        </w:rPr>
        <w:t>77</w:t>
      </w:r>
      <w:r>
        <w:rPr>
          <w:snapToGrid w:val="0"/>
        </w:rPr>
        <w:t>.</w:t>
      </w:r>
      <w:r>
        <w:rPr>
          <w:snapToGrid w:val="0"/>
        </w:rPr>
        <w:tab/>
        <w:t>Duty under s. 74, enforcing</w:t>
      </w:r>
      <w:bookmarkEnd w:id="635"/>
      <w:bookmarkEnd w:id="636"/>
      <w:bookmarkEnd w:id="637"/>
    </w:p>
    <w:p>
      <w:pPr>
        <w:pStyle w:val="Subsection"/>
        <w:spacing w:before="120"/>
        <w:rPr>
          <w:snapToGrid w:val="0"/>
        </w:rPr>
      </w:pPr>
      <w:r>
        <w:rPr>
          <w:snapToGrid w:val="0"/>
        </w:rPr>
        <w:tab/>
        <w:t>(1)</w:t>
      </w:r>
      <w:r>
        <w:rPr>
          <w:snapToGrid w:val="0"/>
        </w:rPr>
        <w:tab/>
        <w:t>If a person who is or has been a finance official of an organisation (</w:t>
      </w:r>
      <w:r>
        <w:t xml:space="preserve">the </w:t>
      </w:r>
      <w:r>
        <w:rPr>
          <w:rStyle w:val="CharDefText"/>
        </w:rPr>
        <w:t>respondent</w:t>
      </w:r>
      <w:r>
        <w:rPr>
          <w:snapToGrid w:val="0"/>
        </w:rPr>
        <w:t>) contravenes or fails to comply with section 74 —</w:t>
      </w:r>
    </w:p>
    <w:p>
      <w:pPr>
        <w:pStyle w:val="Indenta"/>
        <w:spacing w:before="60"/>
        <w:rPr>
          <w:snapToGrid w:val="0"/>
        </w:rPr>
      </w:pPr>
      <w:r>
        <w:rPr>
          <w:snapToGrid w:val="0"/>
        </w:rPr>
        <w:tab/>
        <w:t>(a)</w:t>
      </w:r>
      <w:r>
        <w:rPr>
          <w:snapToGrid w:val="0"/>
        </w:rPr>
        <w:tab/>
        <w:t>the organisation; or</w:t>
      </w:r>
    </w:p>
    <w:p>
      <w:pPr>
        <w:pStyle w:val="Indenta"/>
        <w:spacing w:before="60"/>
        <w:rPr>
          <w:snapToGrid w:val="0"/>
        </w:rPr>
      </w:pPr>
      <w:r>
        <w:rPr>
          <w:snapToGrid w:val="0"/>
        </w:rPr>
        <w:tab/>
        <w:t>(b)</w:t>
      </w:r>
      <w:r>
        <w:rPr>
          <w:snapToGrid w:val="0"/>
        </w:rPr>
        <w:tab/>
        <w:t>an officer of the organisation; or</w:t>
      </w:r>
    </w:p>
    <w:p>
      <w:pPr>
        <w:pStyle w:val="Indenta"/>
        <w:spacing w:before="60"/>
        <w:rPr>
          <w:snapToGrid w:val="0"/>
        </w:rPr>
      </w:pPr>
      <w:r>
        <w:rPr>
          <w:snapToGrid w:val="0"/>
        </w:rPr>
        <w:tab/>
        <w:t>(c)</w:t>
      </w:r>
      <w:r>
        <w:rPr>
          <w:snapToGrid w:val="0"/>
        </w:rPr>
        <w:tab/>
        <w:t>a member of the organisation; or</w:t>
      </w:r>
    </w:p>
    <w:p>
      <w:pPr>
        <w:pStyle w:val="Indenta"/>
        <w:spacing w:before="60"/>
        <w:rPr>
          <w:snapToGrid w:val="0"/>
        </w:rPr>
      </w:pPr>
      <w:r>
        <w:rPr>
          <w:snapToGrid w:val="0"/>
        </w:rPr>
        <w:tab/>
        <w:t>(d)</w:t>
      </w:r>
      <w:r>
        <w:rPr>
          <w:snapToGrid w:val="0"/>
        </w:rPr>
        <w:tab/>
        <w:t>the Registrar or a deputy registrar; or</w:t>
      </w:r>
    </w:p>
    <w:p>
      <w:pPr>
        <w:pStyle w:val="Indenta"/>
        <w:spacing w:before="60"/>
        <w:rPr>
          <w:snapToGrid w:val="0"/>
        </w:rPr>
      </w:pPr>
      <w:r>
        <w:rPr>
          <w:snapToGrid w:val="0"/>
        </w:rPr>
        <w:tab/>
        <w:t>(e)</w:t>
      </w:r>
      <w:r>
        <w:rPr>
          <w:snapToGrid w:val="0"/>
        </w:rPr>
        <w:tab/>
        <w:t>an industrial inspector,</w:t>
      </w:r>
    </w:p>
    <w:p>
      <w:pPr>
        <w:pStyle w:val="Subsection"/>
        <w:spacing w:before="120"/>
        <w:rPr>
          <w:snapToGrid w:val="0"/>
        </w:rPr>
      </w:pPr>
      <w:r>
        <w:rPr>
          <w:snapToGrid w:val="0"/>
        </w:rPr>
        <w:tab/>
      </w:r>
      <w:r>
        <w:rPr>
          <w:snapToGrid w:val="0"/>
        </w:rPr>
        <w:tab/>
        <w:t>may apply in the prescribed manner to an industrial magistrate’s court for the enforcement of section 74.</w:t>
      </w:r>
    </w:p>
    <w:p>
      <w:pPr>
        <w:pStyle w:val="Subsection"/>
        <w:spacing w:before="120"/>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rPr>
          <w:snapToGrid w:val="0"/>
        </w:rPr>
      </w:pPr>
      <w:r>
        <w:rPr>
          <w:snapToGrid w:val="0"/>
        </w:rPr>
        <w:tab/>
        <w:t>(4)</w:t>
      </w:r>
      <w:r>
        <w:rPr>
          <w:snapToGrid w:val="0"/>
        </w:rPr>
        <w:tab/>
        <w:t>The industrial magistrate’s court may, by order, dismiss an application under subsection (1).</w:t>
      </w:r>
    </w:p>
    <w:p>
      <w:pPr>
        <w:pStyle w:val="Subsection"/>
        <w:rPr>
          <w:snapToGrid w:val="0"/>
        </w:rPr>
      </w:pPr>
      <w:r>
        <w:rPr>
          <w:snapToGrid w:val="0"/>
        </w:rPr>
        <w:tab/>
        <w:t>(5)</w:t>
      </w:r>
      <w:r>
        <w:rPr>
          <w:snapToGrid w:val="0"/>
        </w:rPr>
        <w:tab/>
        <w:t>Subject to subsection (6) an order under subsection (2) or (4) may be made with or without costs.</w:t>
      </w:r>
    </w:p>
    <w:p>
      <w:pPr>
        <w:pStyle w:val="Subsection"/>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rPr>
          <w:rFonts w:ascii="Times" w:hAnsi="Times"/>
          <w:snapToGrid w:val="0"/>
        </w:rPr>
      </w:pPr>
      <w:r>
        <w:rPr>
          <w:snapToGrid w:val="0"/>
        </w:rPr>
        <w:tab/>
      </w:r>
      <w:r>
        <w:rPr>
          <w:rFonts w:ascii="Times" w:hAnsi="Times"/>
          <w:snapToGrid w:val="0"/>
        </w:rPr>
        <w:t>(7)</w:t>
      </w:r>
      <w:r>
        <w:rPr>
          <w:rFonts w:ascii="Times" w:hAnsi="Times"/>
          <w:snapToGrid w:val="0"/>
        </w:rPr>
        <w:tab/>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[Section 77 inserted by No. 79 of 1995 s. 8(1); amended by No. 3 of 1997 s. 6.]</w:t>
      </w:r>
    </w:p>
    <w:p>
      <w:pPr>
        <w:pStyle w:val="Heading5"/>
        <w:rPr>
          <w:snapToGrid w:val="0"/>
        </w:rPr>
      </w:pPr>
      <w:bookmarkStart w:id="638" w:name="_Toc471912047"/>
      <w:bookmarkStart w:id="639" w:name="_Toc391894786"/>
      <w:bookmarkStart w:id="640" w:name="_Toc468179258"/>
      <w:r>
        <w:rPr>
          <w:rStyle w:val="CharSectno"/>
        </w:rPr>
        <w:t>78</w:t>
      </w:r>
      <w:r>
        <w:rPr>
          <w:snapToGrid w:val="0"/>
        </w:rPr>
        <w:t>.</w:t>
      </w:r>
      <w:r>
        <w:rPr>
          <w:snapToGrid w:val="0"/>
        </w:rPr>
        <w:tab/>
        <w:t>Failure to comply with s. 77(2)(e) order</w:t>
      </w:r>
      <w:bookmarkEnd w:id="638"/>
      <w:bookmarkEnd w:id="639"/>
      <w:bookmarkEnd w:id="640"/>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ind w:left="890" w:hanging="890"/>
      </w:pPr>
      <w:r>
        <w:tab/>
        <w:t>[Section 78 inserted by No. 3 of 1997 s. 7.]</w:t>
      </w:r>
    </w:p>
    <w:p>
      <w:pPr>
        <w:pStyle w:val="Heading5"/>
        <w:rPr>
          <w:snapToGrid w:val="0"/>
        </w:rPr>
      </w:pPr>
      <w:bookmarkStart w:id="641" w:name="_Toc471912048"/>
      <w:bookmarkStart w:id="642" w:name="_Toc391894787"/>
      <w:bookmarkStart w:id="643" w:name="_Toc468179259"/>
      <w:r>
        <w:rPr>
          <w:rStyle w:val="CharSectno"/>
        </w:rPr>
        <w:t>79</w:t>
      </w:r>
      <w:r>
        <w:rPr>
          <w:snapToGrid w:val="0"/>
        </w:rPr>
        <w:t>.</w:t>
      </w:r>
      <w:r>
        <w:rPr>
          <w:snapToGrid w:val="0"/>
        </w:rPr>
        <w:tab/>
        <w:t>Proceedings under s. 77, effect on or of other proceedings</w:t>
      </w:r>
      <w:bookmarkEnd w:id="641"/>
      <w:bookmarkEnd w:id="642"/>
      <w:bookmarkEnd w:id="643"/>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[Section 79 inserted by No. 3 of 1997 s. 7.]</w:t>
      </w:r>
    </w:p>
    <w:p>
      <w:pPr>
        <w:pStyle w:val="Heading5"/>
        <w:rPr>
          <w:snapToGrid w:val="0"/>
        </w:rPr>
      </w:pPr>
      <w:bookmarkStart w:id="644" w:name="_Toc471912049"/>
      <w:bookmarkStart w:id="645" w:name="_Toc391894788"/>
      <w:bookmarkStart w:id="646" w:name="_Toc468179260"/>
      <w:r>
        <w:rPr>
          <w:rStyle w:val="CharSectno"/>
        </w:rPr>
        <w:t>80</w:t>
      </w:r>
      <w:r>
        <w:rPr>
          <w:snapToGrid w:val="0"/>
        </w:rPr>
        <w:t>.</w:t>
      </w:r>
      <w:r>
        <w:rPr>
          <w:snapToGrid w:val="0"/>
        </w:rPr>
        <w:tab/>
        <w:t>Disqualification from office for breach of s. 74 duty</w:t>
      </w:r>
      <w:bookmarkEnd w:id="644"/>
      <w:bookmarkEnd w:id="645"/>
      <w:bookmarkEnd w:id="646"/>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647" w:name="_Toc471912050"/>
      <w:bookmarkStart w:id="648" w:name="_Toc391894789"/>
      <w:bookmarkStart w:id="649" w:name="_Toc419713374"/>
      <w:bookmarkStart w:id="650" w:name="_Toc435103018"/>
      <w:bookmarkStart w:id="651" w:name="_Toc452556448"/>
      <w:bookmarkStart w:id="652" w:name="_Toc455414028"/>
      <w:bookmarkStart w:id="653" w:name="_Toc462415458"/>
      <w:bookmarkStart w:id="654" w:name="_Toc462742369"/>
      <w:bookmarkStart w:id="655" w:name="_Toc465086023"/>
      <w:bookmarkStart w:id="656" w:name="_Toc468179261"/>
      <w:r>
        <w:rPr>
          <w:rStyle w:val="CharPartNo"/>
        </w:rPr>
        <w:t>Part IIA</w:t>
      </w:r>
      <w:r>
        <w:t> — </w:t>
      </w:r>
      <w:r>
        <w:rPr>
          <w:rStyle w:val="CharPartText"/>
        </w:rPr>
        <w:t>Constituent authorities</w:t>
      </w:r>
      <w:bookmarkEnd w:id="647"/>
      <w:bookmarkEnd w:id="648"/>
      <w:bookmarkEnd w:id="649"/>
      <w:bookmarkEnd w:id="650"/>
      <w:bookmarkEnd w:id="651"/>
      <w:bookmarkEnd w:id="652"/>
      <w:bookmarkEnd w:id="653"/>
      <w:bookmarkEnd w:id="654"/>
      <w:bookmarkEnd w:id="655"/>
      <w:bookmarkEnd w:id="656"/>
    </w:p>
    <w:p>
      <w:pPr>
        <w:pStyle w:val="Footnoteheading"/>
        <w:rPr>
          <w:snapToGrid w:val="0"/>
        </w:rPr>
      </w:pPr>
      <w:r>
        <w:rPr>
          <w:snapToGrid w:val="0"/>
        </w:rPr>
        <w:tab/>
        <w:t>[Heading inserted by No. 94 of 1984 s. 47.]</w:t>
      </w:r>
    </w:p>
    <w:p>
      <w:pPr>
        <w:pStyle w:val="Ednotedivision"/>
      </w:pPr>
      <w:r>
        <w:t>[Division 1 (s. 73A, 80A, 80B) deleted by No. 1 of 1995 s. 10.]</w:t>
      </w:r>
    </w:p>
    <w:p>
      <w:pPr>
        <w:pStyle w:val="Heading3"/>
      </w:pPr>
      <w:bookmarkStart w:id="657" w:name="_Toc471912051"/>
      <w:bookmarkStart w:id="658" w:name="_Toc391894790"/>
      <w:bookmarkStart w:id="659" w:name="_Toc419713375"/>
      <w:bookmarkStart w:id="660" w:name="_Toc435103019"/>
      <w:bookmarkStart w:id="661" w:name="_Toc452556449"/>
      <w:bookmarkStart w:id="662" w:name="_Toc455414029"/>
      <w:bookmarkStart w:id="663" w:name="_Toc462415459"/>
      <w:bookmarkStart w:id="664" w:name="_Toc462742370"/>
      <w:bookmarkStart w:id="665" w:name="_Toc465086024"/>
      <w:bookmarkStart w:id="666" w:name="_Toc468179262"/>
      <w:r>
        <w:rPr>
          <w:rStyle w:val="CharDivNo"/>
        </w:rPr>
        <w:t>Division 2</w:t>
      </w:r>
      <w:r>
        <w:rPr>
          <w:snapToGrid w:val="0"/>
        </w:rPr>
        <w:t> — </w:t>
      </w:r>
      <w:r>
        <w:rPr>
          <w:rStyle w:val="CharDivText"/>
        </w:rPr>
        <w:t>Public service arbitrator and appeal boards</w:t>
      </w:r>
      <w:bookmarkEnd w:id="657"/>
      <w:bookmarkEnd w:id="658"/>
      <w:bookmarkEnd w:id="659"/>
      <w:bookmarkEnd w:id="660"/>
      <w:bookmarkEnd w:id="661"/>
      <w:bookmarkEnd w:id="662"/>
      <w:bookmarkEnd w:id="663"/>
      <w:bookmarkEnd w:id="664"/>
      <w:bookmarkEnd w:id="665"/>
      <w:bookmarkEnd w:id="666"/>
    </w:p>
    <w:p>
      <w:pPr>
        <w:pStyle w:val="Footnoteheading"/>
        <w:rPr>
          <w:snapToGrid w:val="0"/>
        </w:rPr>
      </w:pPr>
      <w:r>
        <w:rPr>
          <w:snapToGrid w:val="0"/>
        </w:rPr>
        <w:tab/>
        <w:t>[Heading inserted by No. 94 of 1984 s. 47.]</w:t>
      </w:r>
    </w:p>
    <w:p>
      <w:pPr>
        <w:pStyle w:val="Heading5"/>
        <w:rPr>
          <w:snapToGrid w:val="0"/>
        </w:rPr>
      </w:pPr>
      <w:bookmarkStart w:id="667" w:name="_Toc471912052"/>
      <w:bookmarkStart w:id="668" w:name="_Toc391894791"/>
      <w:bookmarkStart w:id="669" w:name="_Toc468179263"/>
      <w:r>
        <w:rPr>
          <w:rStyle w:val="CharSectno"/>
        </w:rPr>
        <w:t>80C</w:t>
      </w:r>
      <w:r>
        <w:rPr>
          <w:snapToGrid w:val="0"/>
        </w:rPr>
        <w:t>.</w:t>
      </w:r>
      <w:r>
        <w:rPr>
          <w:snapToGrid w:val="0"/>
        </w:rPr>
        <w:tab/>
        <w:t>Terms used and construction and application of Division</w:t>
      </w:r>
      <w:bookmarkEnd w:id="667"/>
      <w:bookmarkEnd w:id="668"/>
      <w:bookmarkEnd w:id="669"/>
    </w:p>
    <w:p>
      <w:pPr>
        <w:pStyle w:val="Subsection"/>
        <w:rPr>
          <w:snapToGrid w:val="0"/>
        </w:rPr>
      </w:pPr>
      <w:r>
        <w:rPr>
          <w:snapToGrid w:val="0"/>
        </w:rPr>
        <w:tab/>
        <w:t>(1)</w:t>
      </w:r>
      <w:r>
        <w:rPr>
          <w:snapToGrid w:val="0"/>
        </w:rPr>
        <w:tab/>
        <w:t>For the purposes of this Division, unless the contrary intention appears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w:t>
      </w:r>
    </w:p>
    <w:p>
      <w:pPr>
        <w:pStyle w:val="Defpara"/>
      </w:pPr>
      <w:r>
        <w:tab/>
        <w:t>(a)</w:t>
      </w:r>
      <w:r>
        <w:tab/>
        <w:t>in relation to a government officer who is a public service officer, means the employing authority of that public service officer; and</w:t>
      </w:r>
    </w:p>
    <w:p>
      <w:pPr>
        <w:pStyle w:val="Defpara"/>
      </w:pPr>
      <w:r>
        <w:tab/>
        <w:t>(aa)</w:t>
      </w:r>
      <w:r>
        <w:tab/>
        <w:t xml:space="preserve">in relation to a government officer who is an employee within the meaning of the </w:t>
      </w:r>
      <w:r>
        <w:rPr>
          <w:i/>
        </w:rPr>
        <w:t>Health Services Act 2016</w:t>
      </w:r>
      <w:r>
        <w:t xml:space="preserve"> section 6, means the employing authority of the employee;</w:t>
      </w:r>
    </w:p>
    <w:p>
      <w:pPr>
        <w:pStyle w:val="Defpara"/>
      </w:pPr>
      <w:r>
        <w:tab/>
        <w:t>(b)</w:t>
      </w:r>
      <w:r>
        <w:tab/>
        <w:t>in relation to any other government officer, means the public authority by whom or by which that government officer is employed;</w:t>
      </w:r>
    </w:p>
    <w:p>
      <w:pPr>
        <w:pStyle w:val="Defstart"/>
      </w:pPr>
      <w:r>
        <w:tab/>
      </w:r>
      <w:r>
        <w:rPr>
          <w:rStyle w:val="CharDefText"/>
        </w:rPr>
        <w:t>employing authority</w:t>
      </w:r>
      <w:r>
        <w:t xml:space="preserve"> means — </w:t>
      </w:r>
    </w:p>
    <w:p>
      <w:pPr>
        <w:pStyle w:val="Defpara"/>
      </w:pPr>
      <w:r>
        <w:tab/>
        <w:t>(a)</w:t>
      </w:r>
      <w:r>
        <w:tab/>
        <w:t xml:space="preserve">in relation to a government officer who is an employee within the meaning of the </w:t>
      </w:r>
      <w:r>
        <w:rPr>
          <w:i/>
        </w:rPr>
        <w:t>Health Services Act 2016</w:t>
      </w:r>
      <w:r>
        <w:t xml:space="preserve"> section 6, an employing authority within the meaning of section 103 of that Act;</w:t>
      </w:r>
    </w:p>
    <w:p>
      <w:pPr>
        <w:pStyle w:val="Defpara"/>
      </w:pPr>
      <w:r>
        <w:tab/>
        <w:t>(b)</w:t>
      </w:r>
      <w:r>
        <w:tab/>
        <w:t xml:space="preserve">in relation to any other government officer, an employing authority within the meaning of the </w:t>
      </w:r>
      <w:r>
        <w:rPr>
          <w:i/>
        </w:rPr>
        <w:t>Public Sector Management Act 1994</w:t>
      </w:r>
      <w:r>
        <w:t xml:space="preserve"> section 5;</w:t>
      </w:r>
    </w:p>
    <w:p>
      <w:pPr>
        <w:pStyle w:val="Defstart"/>
      </w:pPr>
      <w:r>
        <w:rPr>
          <w:b/>
        </w:rPr>
        <w:tab/>
      </w:r>
      <w:r>
        <w:rPr>
          <w:rStyle w:val="CharDefText"/>
        </w:rPr>
        <w:t>government officer</w:t>
      </w:r>
      <w:r>
        <w:t xml:space="preserve"> means —</w:t>
      </w:r>
    </w:p>
    <w:p>
      <w:pPr>
        <w:pStyle w:val="Defpara"/>
      </w:pPr>
      <w:r>
        <w:tab/>
        <w:t>(a)</w:t>
      </w:r>
      <w:r>
        <w:tab/>
        <w:t>every public service officer; and</w:t>
      </w:r>
    </w:p>
    <w:p>
      <w:pPr>
        <w:pStyle w:val="Defpara"/>
      </w:pPr>
      <w:r>
        <w:tab/>
        <w:t>(aa)</w:t>
      </w:r>
      <w:r>
        <w:tab/>
        <w:t xml:space="preserve">each member of the Governor’s Establishment within the meaning of the </w:t>
      </w:r>
      <w:r>
        <w:rPr>
          <w:i/>
        </w:rPr>
        <w:t>Governor’s Establishment Act 1992</w:t>
      </w:r>
      <w:r>
        <w:t>; and</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 and</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w:t>
      </w:r>
    </w:p>
    <w:p>
      <w:pPr>
        <w:pStyle w:val="Defpara"/>
      </w:pPr>
      <w:r>
        <w:tab/>
        <w:t>(d)</w:t>
      </w:r>
      <w:r>
        <w:tab/>
        <w:t>any teacher; or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w:t>
      </w:r>
      <w:r>
        <w:rPr>
          <w:i/>
        </w:rPr>
        <w:t>1994</w:t>
      </w:r>
      <w:r>
        <w:t xml:space="preserve"> and the </w:t>
      </w:r>
      <w:r>
        <w:rPr>
          <w:i/>
        </w:rPr>
        <w:t>Health Services Act 2016</w:t>
      </w:r>
      <w:r>
        <w:t>.</w:t>
      </w:r>
    </w:p>
    <w:p>
      <w:pPr>
        <w:pStyle w:val="Subsection"/>
        <w:keepNext/>
        <w:rPr>
          <w:snapToGrid w:val="0"/>
        </w:rPr>
      </w:pPr>
      <w:r>
        <w:rPr>
          <w:snapToGrid w:val="0"/>
        </w:rPr>
        <w:tab/>
        <w:t>(3)</w:t>
      </w:r>
      <w:r>
        <w:rPr>
          <w:snapToGrid w:val="0"/>
        </w:rPr>
        <w:tab/>
        <w:t>Sections 80E and 80F do not apply to a government officer if and when he occupies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[Section 80C inserted by No. 94 of 1984 s. 47; amended by No. 40 of 1992 s. 9(1); No. 32 of 1994 s. 14; No. 103 of 1994 s. 18; No. 1 of 1995 s. 11; No. 79 of 1995 s. 36; No. 36 of 1999 s. 247; No. 11 of 2016 s. 295(3)-(5).]</w:t>
      </w:r>
    </w:p>
    <w:p>
      <w:pPr>
        <w:pStyle w:val="Heading5"/>
        <w:rPr>
          <w:snapToGrid w:val="0"/>
        </w:rPr>
      </w:pPr>
      <w:bookmarkStart w:id="670" w:name="_Toc471912053"/>
      <w:bookmarkStart w:id="671" w:name="_Toc391894792"/>
      <w:bookmarkStart w:id="672" w:name="_Toc468179264"/>
      <w:r>
        <w:rPr>
          <w:rStyle w:val="CharSectno"/>
        </w:rPr>
        <w:t>80D</w:t>
      </w:r>
      <w:r>
        <w:rPr>
          <w:snapToGrid w:val="0"/>
        </w:rPr>
        <w:t>.</w:t>
      </w:r>
      <w:r>
        <w:rPr>
          <w:snapToGrid w:val="0"/>
        </w:rPr>
        <w:tab/>
        <w:t>Public service arbitrators, appointment of etc.</w:t>
      </w:r>
      <w:bookmarkEnd w:id="670"/>
      <w:bookmarkEnd w:id="671"/>
      <w:bookmarkEnd w:id="672"/>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[Section 80D inserted by No. 94 of 1984 s. 47.]</w:t>
      </w:r>
    </w:p>
    <w:p>
      <w:pPr>
        <w:pStyle w:val="Heading5"/>
        <w:rPr>
          <w:snapToGrid w:val="0"/>
        </w:rPr>
      </w:pPr>
      <w:bookmarkStart w:id="673" w:name="_Toc471912054"/>
      <w:bookmarkStart w:id="674" w:name="_Toc391894793"/>
      <w:bookmarkStart w:id="675" w:name="_Toc468179265"/>
      <w:r>
        <w:rPr>
          <w:rStyle w:val="CharSectno"/>
        </w:rPr>
        <w:t>80E</w:t>
      </w:r>
      <w:r>
        <w:rPr>
          <w:snapToGrid w:val="0"/>
        </w:rPr>
        <w:t xml:space="preserve">. </w:t>
      </w:r>
      <w:r>
        <w:rPr>
          <w:snapToGrid w:val="0"/>
        </w:rPr>
        <w:tab/>
        <w:t>Jurisdiction of Arbitrator</w:t>
      </w:r>
      <w:bookmarkEnd w:id="673"/>
      <w:bookmarkEnd w:id="674"/>
      <w:bookmarkEnd w:id="675"/>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An Arbitrator also has the jurisdiction conferred on an Arbitrator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pPr>
      <w:r>
        <w:tab/>
        <w:t>(4)</w:t>
      </w:r>
      <w:r>
        <w:tab/>
        <w:t>The jurisdiction referred to in subsection (3) is to be exercised in accordance with the relevant provisions of Part VID, and the provisions of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pPr>
      <w:r>
        <w:tab/>
        <w:t>(7)</w:t>
      </w:r>
      <w:r>
        <w:tab/>
        <w:t xml:space="preserve">Despite subsections (1) and (6), an Arbitrator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ind w:left="890" w:hanging="890"/>
      </w:pPr>
      <w:r>
        <w:tab/>
        <w:t>[Section 80E inserted by No. 94 of 1984 s. 47; amended by No. 99 of 1990 s. 12; No. 1 of 1995 s. 28; No. 20 of 2002 s. 9; No. 8 of 2014 s. 5.]</w:t>
      </w:r>
    </w:p>
    <w:p>
      <w:pPr>
        <w:pStyle w:val="Heading5"/>
        <w:rPr>
          <w:snapToGrid w:val="0"/>
        </w:rPr>
      </w:pPr>
      <w:bookmarkStart w:id="676" w:name="_Toc471912055"/>
      <w:bookmarkStart w:id="677" w:name="_Toc391894794"/>
      <w:bookmarkStart w:id="678" w:name="_Toc468179266"/>
      <w:r>
        <w:rPr>
          <w:rStyle w:val="CharSectno"/>
        </w:rPr>
        <w:t>80F</w:t>
      </w:r>
      <w:r>
        <w:rPr>
          <w:snapToGrid w:val="0"/>
        </w:rPr>
        <w:t>.</w:t>
      </w:r>
      <w:r>
        <w:rPr>
          <w:snapToGrid w:val="0"/>
        </w:rPr>
        <w:tab/>
        <w:t>Who may refer matters to Arbitrator</w:t>
      </w:r>
      <w:bookmarkEnd w:id="676"/>
      <w:bookmarkEnd w:id="677"/>
      <w:bookmarkEnd w:id="678"/>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employee agreement may refer to an Arbitrator where an Arbitrator is the relevant industrial authority under Part VID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[Section 80F inserted by No. 94 of 1984 s. 47; amended by No. 20 of 2002 s. 10.]</w:t>
      </w:r>
    </w:p>
    <w:p>
      <w:pPr>
        <w:pStyle w:val="Heading5"/>
        <w:rPr>
          <w:snapToGrid w:val="0"/>
        </w:rPr>
      </w:pPr>
      <w:bookmarkStart w:id="679" w:name="_Toc471912056"/>
      <w:bookmarkStart w:id="680" w:name="_Toc391894795"/>
      <w:bookmarkStart w:id="681" w:name="_Toc468179267"/>
      <w:r>
        <w:rPr>
          <w:rStyle w:val="CharSectno"/>
        </w:rPr>
        <w:t>80G</w:t>
      </w:r>
      <w:r>
        <w:rPr>
          <w:snapToGrid w:val="0"/>
        </w:rPr>
        <w:t xml:space="preserve">. </w:t>
      </w:r>
      <w:r>
        <w:rPr>
          <w:snapToGrid w:val="0"/>
        </w:rPr>
        <w:tab/>
        <w:t>Part II Div. 2 to 2G, application of</w:t>
      </w:r>
      <w:bookmarkEnd w:id="679"/>
      <w:bookmarkEnd w:id="680"/>
      <w:bookmarkEnd w:id="681"/>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[Section 80G inserted by No. 94 of 1984 s. 47; amended by No. 20 of 2002 s. 121(4).]</w:t>
      </w:r>
    </w:p>
    <w:p>
      <w:pPr>
        <w:pStyle w:val="Heading5"/>
        <w:rPr>
          <w:snapToGrid w:val="0"/>
        </w:rPr>
      </w:pPr>
      <w:bookmarkStart w:id="682" w:name="_Toc471912057"/>
      <w:bookmarkStart w:id="683" w:name="_Toc391894796"/>
      <w:bookmarkStart w:id="684" w:name="_Toc468179268"/>
      <w:r>
        <w:rPr>
          <w:rStyle w:val="CharSectno"/>
        </w:rPr>
        <w:t>80H</w:t>
      </w:r>
      <w:r>
        <w:rPr>
          <w:snapToGrid w:val="0"/>
        </w:rPr>
        <w:t>.</w:t>
      </w:r>
      <w:r>
        <w:rPr>
          <w:snapToGrid w:val="0"/>
        </w:rPr>
        <w:tab/>
        <w:t>Public Service Appeal Board, members of etc.</w:t>
      </w:r>
      <w:bookmarkEnd w:id="682"/>
      <w:bookmarkEnd w:id="683"/>
      <w:bookmarkEnd w:id="684"/>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w:t>
      </w:r>
    </w:p>
    <w:p>
      <w:pPr>
        <w:pStyle w:val="Indenta"/>
        <w:rPr>
          <w:snapToGrid w:val="0"/>
        </w:rPr>
      </w:pPr>
      <w:r>
        <w:rPr>
          <w:snapToGrid w:val="0"/>
        </w:rPr>
        <w:tab/>
        <w:t>(a)</w:t>
      </w:r>
      <w:r>
        <w:rPr>
          <w:snapToGrid w:val="0"/>
        </w:rPr>
        <w:tab/>
        <w:t>the President,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w:t>
      </w:r>
    </w:p>
    <w:p>
      <w:pPr>
        <w:pStyle w:val="Indenta"/>
        <w:rPr>
          <w:snapToGrid w:val="0"/>
        </w:rPr>
      </w:pPr>
      <w:r>
        <w:rPr>
          <w:snapToGrid w:val="0"/>
        </w:rPr>
        <w:tab/>
        <w:t>(a)</w:t>
      </w:r>
      <w:r>
        <w:rPr>
          <w:snapToGrid w:val="0"/>
        </w:rPr>
        <w:tab/>
        <w:t>a public service arbitrator, who shall be the chairman; and</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r>
        <w:rPr>
          <w:i/>
        </w:rPr>
        <w:t>Fair Work (Registered Organisations) Act 2009</w:t>
      </w:r>
      <w:r>
        <w:t xml:space="preserve"> (Commonwealth)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by No. 94 of 1984 s. 47; amended by No 32 of 1994 s. 14; No. 79 of 1995 s. 67(2); No. 53 of 2011 s. 36.]</w:t>
      </w:r>
    </w:p>
    <w:p>
      <w:pPr>
        <w:pStyle w:val="Heading5"/>
        <w:rPr>
          <w:snapToGrid w:val="0"/>
        </w:rPr>
      </w:pPr>
      <w:bookmarkStart w:id="685" w:name="_Toc471912058"/>
      <w:bookmarkStart w:id="686" w:name="_Toc391894797"/>
      <w:bookmarkStart w:id="687" w:name="_Toc468179269"/>
      <w:r>
        <w:rPr>
          <w:rStyle w:val="CharSectno"/>
        </w:rPr>
        <w:t>80I</w:t>
      </w:r>
      <w:r>
        <w:rPr>
          <w:snapToGrid w:val="0"/>
        </w:rPr>
        <w:t>.</w:t>
      </w:r>
      <w:r>
        <w:rPr>
          <w:snapToGrid w:val="0"/>
        </w:rPr>
        <w:tab/>
        <w:t>Board’s jurisdiction</w:t>
      </w:r>
      <w:bookmarkEnd w:id="685"/>
      <w:bookmarkEnd w:id="686"/>
      <w:bookmarkEnd w:id="687"/>
    </w:p>
    <w:p>
      <w:pPr>
        <w:pStyle w:val="Subsection"/>
        <w:rPr>
          <w:snapToGrid w:val="0"/>
        </w:rPr>
      </w:pPr>
      <w:r>
        <w:rPr>
          <w:snapToGrid w:val="0"/>
        </w:rPr>
        <w:tab/>
        <w:t>(1)</w:t>
      </w:r>
      <w:r>
        <w:rPr>
          <w:snapToGrid w:val="0"/>
        </w:rPr>
        <w:tab/>
        <w:t xml:space="preserve">Subject to </w:t>
      </w:r>
      <w:r>
        <w:t xml:space="preserve">the </w:t>
      </w:r>
      <w:r>
        <w:rPr>
          <w:i/>
        </w:rPr>
        <w:t>Public Sector Management Act 1994</w:t>
      </w:r>
      <w:r>
        <w:t xml:space="preserve"> section 52, the </w:t>
      </w:r>
      <w:r>
        <w:rPr>
          <w:i/>
          <w:szCs w:val="24"/>
        </w:rPr>
        <w:t>Health Services Act 2016</w:t>
      </w:r>
      <w:r>
        <w:rPr>
          <w:i/>
          <w:sz w:val="22"/>
          <w:szCs w:val="22"/>
        </w:rPr>
        <w:t xml:space="preserve"> </w:t>
      </w:r>
      <w:r>
        <w:rPr>
          <w:szCs w:val="24"/>
        </w:rPr>
        <w:t>section 118</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under the </w:t>
      </w:r>
      <w:r>
        <w:rPr>
          <w:i/>
          <w:snapToGrid w:val="0"/>
        </w:rPr>
        <w:t>Public Sector Management Act 1994</w:t>
      </w:r>
      <w:r>
        <w:rPr>
          <w:snapToGrid w:val="0"/>
        </w:rPr>
        <w:t xml:space="preserve"> section 78 against a decision </w:t>
      </w:r>
      <w:r>
        <w:t>or finding</w:t>
      </w:r>
      <w:r>
        <w:rPr>
          <w:snapToGrid w:val="0"/>
        </w:rPr>
        <w:t xml:space="preserve"> referred to in subsection (1)(b) of that section;</w:t>
      </w:r>
    </w:p>
    <w:p>
      <w:pPr>
        <w:pStyle w:val="Indenta"/>
        <w:rPr>
          <w:snapToGrid w:val="0"/>
          <w:szCs w:val="24"/>
        </w:rPr>
      </w:pPr>
      <w:r>
        <w:tab/>
        <w:t>(c)</w:t>
      </w:r>
      <w:r>
        <w:tab/>
        <w:t>an appeal by a government officer</w:t>
      </w:r>
      <w:r>
        <w:rPr>
          <w:szCs w:val="24"/>
        </w:rPr>
        <w:t xml:space="preserve"> under the </w:t>
      </w:r>
      <w:r>
        <w:rPr>
          <w:i/>
          <w:szCs w:val="24"/>
        </w:rPr>
        <w:t xml:space="preserve">Health Services Act 2016 </w:t>
      </w:r>
      <w:r>
        <w:rPr>
          <w:szCs w:val="24"/>
        </w:rPr>
        <w:t>section 172 against a decision or finding referred to in subsection (1)(b) of that section;</w:t>
      </w:r>
    </w:p>
    <w:p>
      <w:pPr>
        <w:pStyle w:val="Indenta"/>
        <w:rPr>
          <w:snapToGrid w:val="0"/>
        </w:rPr>
      </w:pPr>
      <w:r>
        <w:rPr>
          <w:snapToGrid w:val="0"/>
        </w:rPr>
        <w:tab/>
        <w:t>(d)</w:t>
      </w:r>
      <w:r>
        <w:rPr>
          <w:snapToGrid w:val="0"/>
        </w:rPr>
        <w:tab/>
        <w:t xml:space="preserve">an appeal, other than an appeal under </w:t>
      </w:r>
      <w:r>
        <w:t xml:space="preserve">the </w:t>
      </w:r>
      <w:r>
        <w:rPr>
          <w:i/>
        </w:rPr>
        <w:t xml:space="preserve">Public Sector Management Act 1994 </w:t>
      </w:r>
      <w:r>
        <w:t xml:space="preserve">section 78(1) or the </w:t>
      </w:r>
      <w:r>
        <w:rPr>
          <w:i/>
        </w:rPr>
        <w:t xml:space="preserve">Health Services Act 2016 </w:t>
      </w:r>
      <w:r>
        <w:t>section 172(2),</w:t>
      </w:r>
      <w:r>
        <w:rPr>
          <w:snapToGrid w:val="0"/>
        </w:rPr>
        <w:t xml:space="preserve"> by a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and (d).</w:t>
      </w:r>
    </w:p>
    <w:p>
      <w:pPr>
        <w:pStyle w:val="Ednotesubsection"/>
      </w:pPr>
      <w:r>
        <w:tab/>
        <w:t>[(2)</w:t>
      </w:r>
      <w:r>
        <w:tab/>
        <w:t>deleted]</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w:t>
      </w:r>
      <w:r>
        <w:t xml:space="preserve">the </w:t>
      </w:r>
      <w:r>
        <w:rPr>
          <w:i/>
        </w:rPr>
        <w:t xml:space="preserve">Public Sector Management Act 1994 </w:t>
      </w:r>
      <w:r>
        <w:t>section 94 or 95A.</w:t>
      </w:r>
    </w:p>
    <w:p>
      <w:pPr>
        <w:pStyle w:val="Footnotesection"/>
      </w:pPr>
      <w:r>
        <w:tab/>
        <w:t>[Section 80I inserted by No. 94 of 1984 s. 47; amended by No. 32 of 1994 s. 14; No. 1 of 1995 s. 29; No. 39 of 2010 s. 109; No. 8 of 2014 s. 6; No. 11 of 2016 s. 295(6).]</w:t>
      </w:r>
    </w:p>
    <w:p>
      <w:pPr>
        <w:pStyle w:val="Heading5"/>
        <w:spacing w:before="240"/>
        <w:rPr>
          <w:snapToGrid w:val="0"/>
        </w:rPr>
      </w:pPr>
      <w:bookmarkStart w:id="688" w:name="_Toc471912059"/>
      <w:bookmarkStart w:id="689" w:name="_Toc391894798"/>
      <w:bookmarkStart w:id="690" w:name="_Toc468179270"/>
      <w:r>
        <w:rPr>
          <w:rStyle w:val="CharSectno"/>
        </w:rPr>
        <w:t>80J</w:t>
      </w:r>
      <w:r>
        <w:rPr>
          <w:snapToGrid w:val="0"/>
        </w:rPr>
        <w:t>.</w:t>
      </w:r>
      <w:r>
        <w:rPr>
          <w:snapToGrid w:val="0"/>
        </w:rPr>
        <w:tab/>
        <w:t>Institution of appeals under s. 80I</w:t>
      </w:r>
      <w:bookmarkEnd w:id="688"/>
      <w:bookmarkEnd w:id="689"/>
      <w:bookmarkEnd w:id="690"/>
    </w:p>
    <w:p>
      <w:pPr>
        <w:pStyle w:val="Subsection"/>
        <w:spacing w:before="180"/>
        <w:rPr>
          <w:snapToGrid w:val="0"/>
        </w:rPr>
      </w:pPr>
      <w:r>
        <w:rPr>
          <w:snapToGrid w:val="0"/>
        </w:rPr>
        <w:tab/>
      </w:r>
      <w:r>
        <w:rPr>
          <w:snapToGrid w:val="0"/>
        </w:rPr>
        <w:tab/>
        <w:t>An appeal under section 80I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[Section 80J inserted by No. 94 of 1984 s. 47; amended by No. 32 of 1994 s. 14.]</w:t>
      </w:r>
    </w:p>
    <w:p>
      <w:pPr>
        <w:pStyle w:val="Heading5"/>
        <w:spacing w:before="240"/>
        <w:rPr>
          <w:snapToGrid w:val="0"/>
        </w:rPr>
      </w:pPr>
      <w:bookmarkStart w:id="691" w:name="_Toc471912060"/>
      <w:bookmarkStart w:id="692" w:name="_Toc391894799"/>
      <w:bookmarkStart w:id="693" w:name="_Toc468179271"/>
      <w:r>
        <w:rPr>
          <w:rStyle w:val="CharSectno"/>
        </w:rPr>
        <w:t>80K</w:t>
      </w:r>
      <w:r>
        <w:rPr>
          <w:snapToGrid w:val="0"/>
        </w:rPr>
        <w:t>.</w:t>
      </w:r>
      <w:r>
        <w:rPr>
          <w:snapToGrid w:val="0"/>
        </w:rPr>
        <w:tab/>
        <w:t>Proceedings of Board</w:t>
      </w:r>
      <w:bookmarkEnd w:id="691"/>
      <w:bookmarkEnd w:id="692"/>
      <w:bookmarkEnd w:id="693"/>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[Section 80K inserted by No. 94 of 1984 s. 47.]</w:t>
      </w:r>
    </w:p>
    <w:p>
      <w:pPr>
        <w:pStyle w:val="Heading5"/>
        <w:rPr>
          <w:snapToGrid w:val="0"/>
        </w:rPr>
      </w:pPr>
      <w:bookmarkStart w:id="694" w:name="_Toc471912061"/>
      <w:bookmarkStart w:id="695" w:name="_Toc391894800"/>
      <w:bookmarkStart w:id="696" w:name="_Toc468179272"/>
      <w:r>
        <w:rPr>
          <w:rStyle w:val="CharSectno"/>
        </w:rPr>
        <w:t>80L</w:t>
      </w:r>
      <w:r>
        <w:rPr>
          <w:snapToGrid w:val="0"/>
        </w:rPr>
        <w:t>.</w:t>
      </w:r>
      <w:r>
        <w:rPr>
          <w:snapToGrid w:val="0"/>
        </w:rPr>
        <w:tab/>
        <w:t>Certain provisions of Part II Div. 2 apply</w:t>
      </w:r>
      <w:bookmarkEnd w:id="694"/>
      <w:bookmarkEnd w:id="695"/>
      <w:bookmarkEnd w:id="696"/>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w:t>
      </w:r>
    </w:p>
    <w:p>
      <w:pPr>
        <w:pStyle w:val="MiscOpen"/>
        <w:rPr>
          <w:snapToGrid w:val="0"/>
        </w:rPr>
      </w:pPr>
      <w:r>
        <w:rPr>
          <w:snapToGrid w:val="0"/>
        </w:rPr>
        <w:tab/>
        <w:t>“</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[Section 80L inserted by No. 94 of 1984 s. 47; amended by No. 20 of 2002 s. 153.]</w:t>
      </w:r>
    </w:p>
    <w:p>
      <w:pPr>
        <w:pStyle w:val="Heading3"/>
      </w:pPr>
      <w:bookmarkStart w:id="697" w:name="_Toc471912062"/>
      <w:bookmarkStart w:id="698" w:name="_Toc391894801"/>
      <w:bookmarkStart w:id="699" w:name="_Toc419713386"/>
      <w:bookmarkStart w:id="700" w:name="_Toc435103030"/>
      <w:bookmarkStart w:id="701" w:name="_Toc452556460"/>
      <w:bookmarkStart w:id="702" w:name="_Toc455414040"/>
      <w:bookmarkStart w:id="703" w:name="_Toc462415470"/>
      <w:bookmarkStart w:id="704" w:name="_Toc462742381"/>
      <w:bookmarkStart w:id="705" w:name="_Toc465086035"/>
      <w:bookmarkStart w:id="706" w:name="_Toc468179273"/>
      <w:r>
        <w:rPr>
          <w:rStyle w:val="CharDivNo"/>
        </w:rPr>
        <w:t>Division 3</w:t>
      </w:r>
      <w:r>
        <w:rPr>
          <w:snapToGrid w:val="0"/>
        </w:rPr>
        <w:t> — </w:t>
      </w:r>
      <w:r>
        <w:rPr>
          <w:rStyle w:val="CharDivText"/>
        </w:rPr>
        <w:t>Railways Classification Board</w:t>
      </w:r>
      <w:bookmarkEnd w:id="697"/>
      <w:bookmarkEnd w:id="698"/>
      <w:bookmarkEnd w:id="699"/>
      <w:bookmarkEnd w:id="700"/>
      <w:bookmarkEnd w:id="701"/>
      <w:bookmarkEnd w:id="702"/>
      <w:bookmarkEnd w:id="703"/>
      <w:bookmarkEnd w:id="704"/>
      <w:bookmarkEnd w:id="705"/>
      <w:bookmarkEnd w:id="706"/>
    </w:p>
    <w:p>
      <w:pPr>
        <w:pStyle w:val="Footnoteheading"/>
        <w:keepNext/>
        <w:rPr>
          <w:snapToGrid w:val="0"/>
        </w:rPr>
      </w:pPr>
      <w:r>
        <w:rPr>
          <w:snapToGrid w:val="0"/>
        </w:rPr>
        <w:tab/>
        <w:t>[Heading inserted by No. 94 of 1984 s. 47.]</w:t>
      </w:r>
    </w:p>
    <w:p>
      <w:pPr>
        <w:pStyle w:val="Heading5"/>
        <w:rPr>
          <w:snapToGrid w:val="0"/>
        </w:rPr>
      </w:pPr>
      <w:bookmarkStart w:id="707" w:name="_Toc471912063"/>
      <w:bookmarkStart w:id="708" w:name="_Toc391894802"/>
      <w:bookmarkStart w:id="709" w:name="_Toc468179274"/>
      <w:r>
        <w:rPr>
          <w:rStyle w:val="CharSectno"/>
        </w:rPr>
        <w:t>80M</w:t>
      </w:r>
      <w:r>
        <w:rPr>
          <w:snapToGrid w:val="0"/>
        </w:rPr>
        <w:t xml:space="preserve">. </w:t>
      </w:r>
      <w:r>
        <w:rPr>
          <w:snapToGrid w:val="0"/>
        </w:rPr>
        <w:tab/>
        <w:t>Terms used</w:t>
      </w:r>
      <w:bookmarkEnd w:id="707"/>
      <w:bookmarkEnd w:id="708"/>
      <w:bookmarkEnd w:id="709"/>
    </w:p>
    <w:p>
      <w:pPr>
        <w:pStyle w:val="Subsection"/>
        <w:rPr>
          <w:snapToGrid w:val="0"/>
        </w:rPr>
      </w:pPr>
      <w:r>
        <w:rPr>
          <w:snapToGrid w:val="0"/>
        </w:rPr>
        <w:tab/>
        <w:t>(1)</w:t>
      </w:r>
      <w:r>
        <w:rPr>
          <w:snapToGrid w:val="0"/>
        </w:rPr>
        <w:tab/>
        <w:t>In this Division unless the contrary intention appears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[Section 80M inserted by No. 94 of 1984 s. 47; amended by No. 31 of 2003 s. 147(2) and (5).]</w:t>
      </w:r>
    </w:p>
    <w:p>
      <w:pPr>
        <w:pStyle w:val="Heading5"/>
        <w:rPr>
          <w:snapToGrid w:val="0"/>
        </w:rPr>
      </w:pPr>
      <w:bookmarkStart w:id="710" w:name="_Toc471912064"/>
      <w:bookmarkStart w:id="711" w:name="_Toc391894803"/>
      <w:bookmarkStart w:id="712" w:name="_Toc468179275"/>
      <w:r>
        <w:rPr>
          <w:rStyle w:val="CharSectno"/>
        </w:rPr>
        <w:t>80N</w:t>
      </w:r>
      <w:r>
        <w:rPr>
          <w:snapToGrid w:val="0"/>
        </w:rPr>
        <w:t>.</w:t>
      </w:r>
      <w:r>
        <w:rPr>
          <w:snapToGrid w:val="0"/>
        </w:rPr>
        <w:tab/>
        <w:t>Railways Classification Board, members of etc.</w:t>
      </w:r>
      <w:bookmarkEnd w:id="710"/>
      <w:bookmarkEnd w:id="711"/>
      <w:bookmarkEnd w:id="712"/>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 and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[Section 80N inserted by No. 94 of 1984 s. 47; amended by No. 31 of 2003 s. 147(3) and (5).]</w:t>
      </w:r>
    </w:p>
    <w:p>
      <w:pPr>
        <w:pStyle w:val="Heading5"/>
        <w:rPr>
          <w:snapToGrid w:val="0"/>
        </w:rPr>
      </w:pPr>
      <w:bookmarkStart w:id="713" w:name="_Toc471912065"/>
      <w:bookmarkStart w:id="714" w:name="_Toc391894804"/>
      <w:bookmarkStart w:id="715" w:name="_Toc468179276"/>
      <w:r>
        <w:rPr>
          <w:rStyle w:val="CharSectno"/>
        </w:rPr>
        <w:t>80O</w:t>
      </w:r>
      <w:r>
        <w:rPr>
          <w:snapToGrid w:val="0"/>
        </w:rPr>
        <w:t>.</w:t>
      </w:r>
      <w:r>
        <w:rPr>
          <w:snapToGrid w:val="0"/>
        </w:rPr>
        <w:tab/>
        <w:t>Terms of office etc.</w:t>
      </w:r>
      <w:bookmarkEnd w:id="713"/>
      <w:bookmarkEnd w:id="714"/>
      <w:bookmarkEnd w:id="715"/>
    </w:p>
    <w:p>
      <w:pPr>
        <w:pStyle w:val="Subsection"/>
        <w:rPr>
          <w:snapToGrid w:val="0"/>
        </w:rPr>
      </w:pPr>
      <w:r>
        <w:rPr>
          <w:snapToGrid w:val="0"/>
        </w:rPr>
        <w:tab/>
        <w:t>(1)</w:t>
      </w:r>
      <w:r>
        <w:rPr>
          <w:snapToGrid w:val="0"/>
        </w:rPr>
        <w:tab/>
        <w:t>Subject to this Act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[Section 80O inserted by No. 94 of 1984 s. 47; amended by No. 31 of 2003 s. 147(4) and (5); No. 18 of 2009 s. 45.]</w:t>
      </w:r>
    </w:p>
    <w:p>
      <w:pPr>
        <w:pStyle w:val="Heading5"/>
        <w:rPr>
          <w:snapToGrid w:val="0"/>
        </w:rPr>
      </w:pPr>
      <w:bookmarkStart w:id="716" w:name="_Toc471912066"/>
      <w:bookmarkStart w:id="717" w:name="_Toc391894805"/>
      <w:bookmarkStart w:id="718" w:name="_Toc468179277"/>
      <w:r>
        <w:rPr>
          <w:rStyle w:val="CharSectno"/>
        </w:rPr>
        <w:t>80P</w:t>
      </w:r>
      <w:r>
        <w:rPr>
          <w:snapToGrid w:val="0"/>
        </w:rPr>
        <w:t>.</w:t>
      </w:r>
      <w:r>
        <w:rPr>
          <w:snapToGrid w:val="0"/>
        </w:rPr>
        <w:tab/>
        <w:t>Extending appointments</w:t>
      </w:r>
      <w:bookmarkEnd w:id="716"/>
      <w:bookmarkEnd w:id="717"/>
      <w:bookmarkEnd w:id="718"/>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[Section 80P inserted by No. 94 of 1984 s. 47.]</w:t>
      </w:r>
    </w:p>
    <w:p>
      <w:pPr>
        <w:pStyle w:val="Heading5"/>
        <w:rPr>
          <w:snapToGrid w:val="0"/>
        </w:rPr>
      </w:pPr>
      <w:bookmarkStart w:id="719" w:name="_Toc471912067"/>
      <w:bookmarkStart w:id="720" w:name="_Toc391894806"/>
      <w:bookmarkStart w:id="721" w:name="_Toc468179278"/>
      <w:r>
        <w:rPr>
          <w:rStyle w:val="CharSectno"/>
        </w:rPr>
        <w:t>80Q</w:t>
      </w:r>
      <w:r>
        <w:rPr>
          <w:snapToGrid w:val="0"/>
        </w:rPr>
        <w:t xml:space="preserve">. </w:t>
      </w:r>
      <w:r>
        <w:rPr>
          <w:snapToGrid w:val="0"/>
        </w:rPr>
        <w:tab/>
        <w:t>Validity of acts of Board</w:t>
      </w:r>
      <w:bookmarkEnd w:id="719"/>
      <w:bookmarkEnd w:id="720"/>
      <w:bookmarkEnd w:id="721"/>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[Section 80Q inserted by No. 94 of 1984 s. 47.]</w:t>
      </w:r>
    </w:p>
    <w:p>
      <w:pPr>
        <w:pStyle w:val="Heading5"/>
        <w:rPr>
          <w:snapToGrid w:val="0"/>
        </w:rPr>
      </w:pPr>
      <w:bookmarkStart w:id="722" w:name="_Toc471912068"/>
      <w:bookmarkStart w:id="723" w:name="_Toc391894807"/>
      <w:bookmarkStart w:id="724" w:name="_Toc468179279"/>
      <w:r>
        <w:rPr>
          <w:rStyle w:val="CharSectno"/>
        </w:rPr>
        <w:t>80R</w:t>
      </w:r>
      <w:r>
        <w:rPr>
          <w:snapToGrid w:val="0"/>
        </w:rPr>
        <w:t>.</w:t>
      </w:r>
      <w:r>
        <w:rPr>
          <w:snapToGrid w:val="0"/>
        </w:rPr>
        <w:tab/>
        <w:t>Board’s jurisdiction</w:t>
      </w:r>
      <w:bookmarkEnd w:id="722"/>
      <w:bookmarkEnd w:id="723"/>
      <w:bookmarkEnd w:id="724"/>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w:t>
      </w:r>
    </w:p>
    <w:p>
      <w:pPr>
        <w:pStyle w:val="Indenta"/>
        <w:rPr>
          <w:snapToGrid w:val="0"/>
        </w:rPr>
      </w:pPr>
      <w:r>
        <w:rPr>
          <w:snapToGrid w:val="0"/>
        </w:rPr>
        <w:tab/>
        <w:t>(a)</w:t>
      </w:r>
      <w:r>
        <w:rPr>
          <w:snapToGrid w:val="0"/>
        </w:rPr>
        <w:tab/>
        <w:t>to classify all salaried positions; and</w:t>
      </w:r>
    </w:p>
    <w:p>
      <w:pPr>
        <w:pStyle w:val="Indenta"/>
        <w:rPr>
          <w:snapToGrid w:val="0"/>
        </w:rPr>
      </w:pPr>
      <w:r>
        <w:rPr>
          <w:snapToGrid w:val="0"/>
        </w:rPr>
        <w:tab/>
        <w:t>(b)</w:t>
      </w:r>
      <w:r>
        <w:rPr>
          <w:snapToGrid w:val="0"/>
        </w:rPr>
        <w:tab/>
        <w:t>to create classes and to provide the minimum and maximum salaries of all salaried positions in any class; and</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 and</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 and</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The Board also has the jurisdiction conferred on it as a relevant industrial authority by —</w:t>
      </w:r>
    </w:p>
    <w:p>
      <w:pPr>
        <w:pStyle w:val="Indenta"/>
      </w:pPr>
      <w:r>
        <w:tab/>
        <w:t>(a)</w:t>
      </w:r>
      <w:r>
        <w:tab/>
        <w:t>Part VID Division 5 Subdivision 3; and</w:t>
      </w:r>
    </w:p>
    <w:p>
      <w:pPr>
        <w:pStyle w:val="Indenta"/>
      </w:pPr>
      <w:r>
        <w:tab/>
        <w:t>(b)</w:t>
      </w:r>
      <w:r>
        <w:tab/>
        <w:t>section 97WI; and</w:t>
      </w:r>
    </w:p>
    <w:p>
      <w:pPr>
        <w:pStyle w:val="Indenta"/>
      </w:pPr>
      <w:r>
        <w:tab/>
        <w:t>(c)</w:t>
      </w:r>
      <w:r>
        <w:tab/>
        <w:t>section 97WK.</w:t>
      </w:r>
    </w:p>
    <w:p>
      <w:pPr>
        <w:pStyle w:val="Subsection"/>
        <w:keepNext/>
        <w:keepLines/>
      </w:pPr>
      <w:r>
        <w:tab/>
        <w:t>(2d)</w:t>
      </w:r>
      <w:r>
        <w:tab/>
        <w:t>The jurisdiction referred to in subsection (2c) is to be exercised in accordance with the relevant provisions of Part VID, and the provisions of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keepNext/>
      </w:pPr>
      <w:r>
        <w:tab/>
        <w:t>(4)</w:t>
      </w:r>
      <w:r>
        <w:tab/>
        <w:t xml:space="preserve">Despite subsections (1) and (3), the Board does not have jurisdiction to enquire into or deal with, or refer to the Commission in Court Session or the Full Bench the following — </w:t>
      </w:r>
    </w:p>
    <w:p>
      <w:pPr>
        <w:pStyle w:val="Indenta"/>
      </w:pPr>
      <w:r>
        <w:tab/>
        <w:t>(a)</w:t>
      </w:r>
      <w:r>
        <w:tab/>
        <w:t xml:space="preserve">any matter in respect of which a decision is, or may be, made under regulations referred to in the </w:t>
      </w:r>
      <w:r>
        <w:rPr>
          <w:i/>
        </w:rPr>
        <w:t>Public Sector Management Act 1994</w:t>
      </w:r>
      <w:r>
        <w:t xml:space="preserve"> section 94 or 95A;</w:t>
      </w:r>
    </w:p>
    <w:p>
      <w:pPr>
        <w:pStyle w:val="Indenta"/>
        <w:rPr>
          <w:snapToGrid w:val="0"/>
        </w:rPr>
      </w:pPr>
      <w:r>
        <w:tab/>
        <w:t>(b)</w:t>
      </w:r>
      <w:r>
        <w:tab/>
        <w:t xml:space="preserve">any matter in respect of which a procedure referred to in the </w:t>
      </w:r>
      <w:r>
        <w:rPr>
          <w:i/>
        </w:rPr>
        <w:t>Public Sector Management Act 1994</w:t>
      </w:r>
      <w:r>
        <w:t xml:space="preserve"> section 97(1)(a) is, or may be, prescribed under that Act.</w:t>
      </w:r>
    </w:p>
    <w:p>
      <w:pPr>
        <w:pStyle w:val="Footnotesection"/>
      </w:pPr>
      <w:r>
        <w:tab/>
        <w:t>[Section 80R inserted by No. 94 of 1984 s. 47; amended by No. 99 of 1990 s. 13; No. 1 of 1995 s. 36; No. 20 of 2002 s. 11; No. 31 of 2003 s. 147(5); No. 8 of 2014 s. 7.]</w:t>
      </w:r>
    </w:p>
    <w:p>
      <w:pPr>
        <w:pStyle w:val="Heading5"/>
        <w:rPr>
          <w:snapToGrid w:val="0"/>
        </w:rPr>
      </w:pPr>
      <w:bookmarkStart w:id="725" w:name="_Toc471912069"/>
      <w:bookmarkStart w:id="726" w:name="_Toc391894808"/>
      <w:bookmarkStart w:id="727" w:name="_Toc468179280"/>
      <w:r>
        <w:rPr>
          <w:rStyle w:val="CharSectno"/>
        </w:rPr>
        <w:t>80S</w:t>
      </w:r>
      <w:r>
        <w:rPr>
          <w:snapToGrid w:val="0"/>
        </w:rPr>
        <w:t>.</w:t>
      </w:r>
      <w:r>
        <w:rPr>
          <w:snapToGrid w:val="0"/>
        </w:rPr>
        <w:tab/>
        <w:t>Who may refer matters to Board</w:t>
      </w:r>
      <w:bookmarkEnd w:id="725"/>
      <w:bookmarkEnd w:id="726"/>
      <w:bookmarkEnd w:id="727"/>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employee agreement may refer to the Board where the Board is the relevant industrial authority under Part VID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[Section 80S inserted by No. 94 of 1984 s. 47; amended by No. 20 of 2002 s. 12; No. 31 of 2003 s. 147(5).]</w:t>
      </w:r>
    </w:p>
    <w:p>
      <w:pPr>
        <w:pStyle w:val="Ednotesection"/>
      </w:pPr>
      <w:r>
        <w:t>[</w:t>
      </w:r>
      <w:r>
        <w:rPr>
          <w:b/>
        </w:rPr>
        <w:t>80T.</w:t>
      </w:r>
      <w:r>
        <w:tab/>
        <w:t>Deleted by No. 1 of 1995 s. 30.]</w:t>
      </w:r>
    </w:p>
    <w:p>
      <w:pPr>
        <w:pStyle w:val="Heading5"/>
        <w:rPr>
          <w:snapToGrid w:val="0"/>
        </w:rPr>
      </w:pPr>
      <w:bookmarkStart w:id="728" w:name="_Toc471912070"/>
      <w:bookmarkStart w:id="729" w:name="_Toc391894809"/>
      <w:bookmarkStart w:id="730" w:name="_Toc468179281"/>
      <w:r>
        <w:rPr>
          <w:rStyle w:val="CharSectno"/>
        </w:rPr>
        <w:t>80U</w:t>
      </w:r>
      <w:r>
        <w:rPr>
          <w:snapToGrid w:val="0"/>
        </w:rPr>
        <w:t>.</w:t>
      </w:r>
      <w:r>
        <w:rPr>
          <w:snapToGrid w:val="0"/>
        </w:rPr>
        <w:tab/>
        <w:t>Vacant salaried position, reclassification of</w:t>
      </w:r>
      <w:bookmarkEnd w:id="728"/>
      <w:bookmarkEnd w:id="729"/>
      <w:bookmarkEnd w:id="730"/>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[Section 80U inserted by No. 94 of 1984 s. 47; amended by No. 31 of 2003 s. 147(5).]</w:t>
      </w:r>
    </w:p>
    <w:p>
      <w:pPr>
        <w:pStyle w:val="Heading5"/>
        <w:rPr>
          <w:snapToGrid w:val="0"/>
        </w:rPr>
      </w:pPr>
      <w:bookmarkStart w:id="731" w:name="_Toc471912071"/>
      <w:bookmarkStart w:id="732" w:name="_Toc391894810"/>
      <w:bookmarkStart w:id="733" w:name="_Toc468179282"/>
      <w:r>
        <w:rPr>
          <w:rStyle w:val="CharSectno"/>
        </w:rPr>
        <w:t>80V</w:t>
      </w:r>
      <w:r>
        <w:rPr>
          <w:snapToGrid w:val="0"/>
        </w:rPr>
        <w:t xml:space="preserve">. </w:t>
      </w:r>
      <w:r>
        <w:rPr>
          <w:snapToGrid w:val="0"/>
        </w:rPr>
        <w:tab/>
        <w:t>Proceedings of Board</w:t>
      </w:r>
      <w:bookmarkEnd w:id="731"/>
      <w:bookmarkEnd w:id="732"/>
      <w:bookmarkEnd w:id="733"/>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[Section 80V inserted by No. 94 of 1984 s. 47.]</w:t>
      </w:r>
    </w:p>
    <w:p>
      <w:pPr>
        <w:pStyle w:val="Heading5"/>
        <w:rPr>
          <w:snapToGrid w:val="0"/>
        </w:rPr>
      </w:pPr>
      <w:bookmarkStart w:id="734" w:name="_Toc471912072"/>
      <w:bookmarkStart w:id="735" w:name="_Toc391894811"/>
      <w:bookmarkStart w:id="736" w:name="_Toc468179283"/>
      <w:r>
        <w:rPr>
          <w:rStyle w:val="CharSectno"/>
        </w:rPr>
        <w:t>80W</w:t>
      </w:r>
      <w:r>
        <w:rPr>
          <w:snapToGrid w:val="0"/>
        </w:rPr>
        <w:t>.</w:t>
      </w:r>
      <w:r>
        <w:rPr>
          <w:snapToGrid w:val="0"/>
        </w:rPr>
        <w:tab/>
        <w:t>Part II Div. 2 to 2G, application of</w:t>
      </w:r>
      <w:bookmarkEnd w:id="734"/>
      <w:bookmarkEnd w:id="735"/>
      <w:bookmarkEnd w:id="736"/>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[Section 80W inserted by No. 94 of 1984 s. 47; amended by No. 79 of 1995 s. 14; No. 20 of 2002 s. 121(5).]</w:t>
      </w:r>
    </w:p>
    <w:p>
      <w:pPr>
        <w:pStyle w:val="Ednotedivision"/>
      </w:pPr>
      <w:r>
        <w:t>[Division 4 (s. 80X</w:t>
      </w:r>
      <w:r>
        <w:noBreakHyphen/>
        <w:t>80Z, 80ZA</w:t>
      </w:r>
      <w:r>
        <w:noBreakHyphen/>
        <w:t>80ZD) deleted by No. 1 of 1995 s. 31.]</w:t>
      </w:r>
    </w:p>
    <w:p>
      <w:pPr>
        <w:pStyle w:val="Heading2"/>
      </w:pPr>
      <w:bookmarkStart w:id="737" w:name="_Toc471912073"/>
      <w:bookmarkStart w:id="738" w:name="_Toc391894812"/>
      <w:bookmarkStart w:id="739" w:name="_Toc419713397"/>
      <w:bookmarkStart w:id="740" w:name="_Toc435103041"/>
      <w:bookmarkStart w:id="741" w:name="_Toc452556471"/>
      <w:bookmarkStart w:id="742" w:name="_Toc455414051"/>
      <w:bookmarkStart w:id="743" w:name="_Toc462415481"/>
      <w:bookmarkStart w:id="744" w:name="_Toc462742392"/>
      <w:bookmarkStart w:id="745" w:name="_Toc465086046"/>
      <w:bookmarkStart w:id="746" w:name="_Toc468179284"/>
      <w:r>
        <w:rPr>
          <w:rStyle w:val="CharPartNo"/>
        </w:rPr>
        <w:t>Part IIB</w:t>
      </w:r>
      <w:r>
        <w:rPr>
          <w:rStyle w:val="CharDivNo"/>
        </w:rPr>
        <w:t> </w:t>
      </w:r>
      <w:r>
        <w:t>—</w:t>
      </w:r>
      <w:r>
        <w:rPr>
          <w:rStyle w:val="CharDivText"/>
        </w:rPr>
        <w:t> </w:t>
      </w:r>
      <w:r>
        <w:rPr>
          <w:rStyle w:val="CharPartText"/>
        </w:rPr>
        <w:t>Enquiries</w:t>
      </w:r>
      <w:bookmarkEnd w:id="737"/>
      <w:bookmarkEnd w:id="738"/>
      <w:bookmarkEnd w:id="739"/>
      <w:bookmarkEnd w:id="740"/>
      <w:bookmarkEnd w:id="741"/>
      <w:bookmarkEnd w:id="742"/>
      <w:bookmarkEnd w:id="743"/>
      <w:bookmarkEnd w:id="744"/>
      <w:bookmarkEnd w:id="745"/>
      <w:bookmarkEnd w:id="746"/>
    </w:p>
    <w:p>
      <w:pPr>
        <w:pStyle w:val="Footnoteheading"/>
        <w:rPr>
          <w:snapToGrid w:val="0"/>
        </w:rPr>
      </w:pPr>
      <w:r>
        <w:rPr>
          <w:snapToGrid w:val="0"/>
        </w:rPr>
        <w:tab/>
        <w:t>[Heading inserted by No. 94 of 1984 s. 47.]</w:t>
      </w:r>
    </w:p>
    <w:p>
      <w:pPr>
        <w:pStyle w:val="Heading5"/>
        <w:rPr>
          <w:snapToGrid w:val="0"/>
        </w:rPr>
      </w:pPr>
      <w:bookmarkStart w:id="747" w:name="_Toc471912074"/>
      <w:bookmarkStart w:id="748" w:name="_Toc391894813"/>
      <w:bookmarkStart w:id="749" w:name="_Toc468179285"/>
      <w:r>
        <w:rPr>
          <w:rStyle w:val="CharSectno"/>
        </w:rPr>
        <w:t>80ZE</w:t>
      </w:r>
      <w:r>
        <w:rPr>
          <w:snapToGrid w:val="0"/>
        </w:rPr>
        <w:t>.</w:t>
      </w:r>
      <w:r>
        <w:rPr>
          <w:snapToGrid w:val="0"/>
        </w:rPr>
        <w:tab/>
        <w:t>Minister may refer matter to Commission for enquiry</w:t>
      </w:r>
      <w:bookmarkEnd w:id="747"/>
      <w:bookmarkEnd w:id="748"/>
      <w:bookmarkEnd w:id="749"/>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[Section 80ZE inserted by No. 94 of 1984 s. 47; amended by No. 15 of 1993 s. 22; amended in Gazette 15 Aug 2003 p. 3686.]</w:t>
      </w:r>
    </w:p>
    <w:p>
      <w:pPr>
        <w:pStyle w:val="Heading2"/>
      </w:pPr>
      <w:bookmarkStart w:id="750" w:name="_Toc471912075"/>
      <w:bookmarkStart w:id="751" w:name="_Toc391894814"/>
      <w:bookmarkStart w:id="752" w:name="_Toc419713399"/>
      <w:bookmarkStart w:id="753" w:name="_Toc435103043"/>
      <w:bookmarkStart w:id="754" w:name="_Toc452556473"/>
      <w:bookmarkStart w:id="755" w:name="_Toc455414053"/>
      <w:bookmarkStart w:id="756" w:name="_Toc462415483"/>
      <w:bookmarkStart w:id="757" w:name="_Toc462742394"/>
      <w:bookmarkStart w:id="758" w:name="_Toc465086048"/>
      <w:bookmarkStart w:id="759" w:name="_Toc468179286"/>
      <w:r>
        <w:rPr>
          <w:rStyle w:val="CharPartNo"/>
        </w:rPr>
        <w:t>Part IIC</w:t>
      </w:r>
      <w:r>
        <w:rPr>
          <w:rStyle w:val="CharDivNo"/>
        </w:rPr>
        <w:t> </w:t>
      </w:r>
      <w:r>
        <w:t>—</w:t>
      </w:r>
      <w:r>
        <w:rPr>
          <w:rStyle w:val="CharDivText"/>
        </w:rPr>
        <w:t> </w:t>
      </w:r>
      <w:r>
        <w:rPr>
          <w:rStyle w:val="CharPartText"/>
        </w:rPr>
        <w:t>Arrangements with other industrial authorities</w:t>
      </w:r>
      <w:bookmarkEnd w:id="750"/>
      <w:bookmarkEnd w:id="751"/>
      <w:bookmarkEnd w:id="752"/>
      <w:bookmarkEnd w:id="753"/>
      <w:bookmarkEnd w:id="754"/>
      <w:bookmarkEnd w:id="755"/>
      <w:bookmarkEnd w:id="756"/>
      <w:bookmarkEnd w:id="757"/>
      <w:bookmarkEnd w:id="758"/>
      <w:bookmarkEnd w:id="759"/>
    </w:p>
    <w:p>
      <w:pPr>
        <w:pStyle w:val="Footnoteheading"/>
        <w:spacing w:before="100"/>
        <w:rPr>
          <w:snapToGrid w:val="0"/>
        </w:rPr>
      </w:pPr>
      <w:r>
        <w:rPr>
          <w:snapToGrid w:val="0"/>
        </w:rPr>
        <w:tab/>
        <w:t>[Heading inserted by No. 94 of 1984 s. 47.]</w:t>
      </w:r>
    </w:p>
    <w:p>
      <w:pPr>
        <w:pStyle w:val="Heading5"/>
        <w:rPr>
          <w:snapToGrid w:val="0"/>
        </w:rPr>
      </w:pPr>
      <w:bookmarkStart w:id="760" w:name="_Toc471912076"/>
      <w:bookmarkStart w:id="761" w:name="_Toc391894815"/>
      <w:bookmarkStart w:id="762" w:name="_Toc468179287"/>
      <w:r>
        <w:rPr>
          <w:rStyle w:val="CharSectno"/>
        </w:rPr>
        <w:t>80ZF</w:t>
      </w:r>
      <w:r>
        <w:rPr>
          <w:snapToGrid w:val="0"/>
        </w:rPr>
        <w:t>.</w:t>
      </w:r>
      <w:r>
        <w:rPr>
          <w:snapToGrid w:val="0"/>
        </w:rPr>
        <w:tab/>
      </w:r>
      <w:r>
        <w:t xml:space="preserve">Term used: Fair Work </w:t>
      </w:r>
      <w:smartTag w:uri="urn:schemas-microsoft-com:office:smarttags" w:element="place">
        <w:smartTag w:uri="urn:schemas-microsoft-com:office:smarttags" w:element="country-region">
          <w:r>
            <w:t>Australia</w:t>
          </w:r>
        </w:smartTag>
      </w:smartTag>
      <w:bookmarkEnd w:id="760"/>
      <w:bookmarkEnd w:id="761"/>
      <w:bookmarkEnd w:id="762"/>
    </w:p>
    <w:p>
      <w:pPr>
        <w:pStyle w:val="Subsection"/>
        <w:rPr>
          <w:snapToGrid w:val="0"/>
        </w:rPr>
      </w:pPr>
      <w:r>
        <w:rPr>
          <w:snapToGrid w:val="0"/>
        </w:rPr>
        <w:tab/>
      </w:r>
      <w:r>
        <w:rPr>
          <w:snapToGrid w:val="0"/>
        </w:rPr>
        <w:tab/>
        <w:t xml:space="preserve">In this Part a reference to </w:t>
      </w:r>
      <w:r>
        <w:rPr>
          <w:rStyle w:val="CharDefText"/>
        </w:rPr>
        <w:t>Fair Work Australia</w:t>
      </w:r>
      <w:r>
        <w:rPr>
          <w:snapToGrid w:val="0"/>
        </w:rPr>
        <w:t xml:space="preserve"> includes a reference to a member of</w:t>
      </w:r>
      <w:r>
        <w:t xml:space="preserve"> Fair Work Australia</w:t>
      </w:r>
      <w:r>
        <w:rPr>
          <w:snapToGrid w:val="0"/>
        </w:rPr>
        <w:t>.</w:t>
      </w:r>
    </w:p>
    <w:p>
      <w:pPr>
        <w:pStyle w:val="Footnotesection"/>
        <w:spacing w:before="100"/>
        <w:ind w:left="890" w:hanging="890"/>
      </w:pPr>
      <w:r>
        <w:tab/>
        <w:t>[Section 80ZF inserted by No. 94 of 1984 s. 47; amended by No. 53 of 2011 s. 39.]</w:t>
      </w:r>
    </w:p>
    <w:p>
      <w:pPr>
        <w:pStyle w:val="Heading5"/>
        <w:rPr>
          <w:snapToGrid w:val="0"/>
        </w:rPr>
      </w:pPr>
      <w:bookmarkStart w:id="763" w:name="_Toc471912077"/>
      <w:bookmarkStart w:id="764" w:name="_Toc391894816"/>
      <w:bookmarkStart w:id="765" w:name="_Toc468179288"/>
      <w:r>
        <w:rPr>
          <w:rStyle w:val="CharSectno"/>
        </w:rPr>
        <w:t>80ZG</w:t>
      </w:r>
      <w:r>
        <w:rPr>
          <w:snapToGrid w:val="0"/>
        </w:rPr>
        <w:t>.</w:t>
      </w:r>
      <w:r>
        <w:rPr>
          <w:snapToGrid w:val="0"/>
        </w:rPr>
        <w:tab/>
        <w:t xml:space="preserve">Joint proceedings of Commission and Fair Work </w:t>
      </w:r>
      <w:smartTag w:uri="urn:schemas-microsoft-com:office:smarttags" w:element="place">
        <w:smartTag w:uri="urn:schemas-microsoft-com:office:smarttags" w:element="country-region">
          <w:r>
            <w:rPr>
              <w:snapToGrid w:val="0"/>
            </w:rPr>
            <w:t>Australia</w:t>
          </w:r>
        </w:smartTag>
      </w:smartTag>
      <w:bookmarkEnd w:id="763"/>
      <w:bookmarkEnd w:id="764"/>
      <w:bookmarkEnd w:id="765"/>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w:t>
      </w:r>
    </w:p>
    <w:p>
      <w:pPr>
        <w:pStyle w:val="Indenta"/>
        <w:spacing w:before="60"/>
        <w:rPr>
          <w:snapToGrid w:val="0"/>
        </w:rPr>
      </w:pPr>
      <w:r>
        <w:rPr>
          <w:snapToGrid w:val="0"/>
        </w:rPr>
        <w:tab/>
        <w:t>(a)</w:t>
      </w:r>
      <w:r>
        <w:rPr>
          <w:snapToGrid w:val="0"/>
        </w:rPr>
        <w:tab/>
      </w:r>
      <w:r>
        <w:t xml:space="preserve">Fair Work </w:t>
      </w:r>
      <w:smartTag w:uri="urn:schemas-microsoft-com:office:smarttags" w:element="place">
        <w:smartTag w:uri="urn:schemas-microsoft-com:office:smarttags" w:element="country-region">
          <w:r>
            <w:t>Australia</w:t>
          </w:r>
        </w:smartTag>
      </w:smartTag>
      <w:r>
        <w:rPr>
          <w:snapToGrid w:val="0"/>
        </w:rPr>
        <w:t>; and</w:t>
      </w:r>
    </w:p>
    <w:p>
      <w:pPr>
        <w:pStyle w:val="Indenta"/>
        <w:spacing w:before="60"/>
        <w:rPr>
          <w:snapToGrid w:val="0"/>
        </w:rPr>
      </w:pPr>
      <w:r>
        <w:rPr>
          <w:snapToGrid w:val="0"/>
        </w:rPr>
        <w:tab/>
        <w:t>(b)</w:t>
      </w:r>
      <w:r>
        <w:rPr>
          <w:snapToGrid w:val="0"/>
        </w:rPr>
        <w:tab/>
        <w:t xml:space="preserve">the parties to an industrial dispute in relation to which </w:t>
      </w:r>
      <w:r>
        <w:t>Fair Work Australia</w:t>
      </w:r>
      <w:r>
        <w:rPr>
          <w:snapToGrid w:val="0"/>
        </w:rPr>
        <w:t xml:space="preserve"> is exercising power; and</w:t>
      </w:r>
    </w:p>
    <w:p>
      <w:pPr>
        <w:pStyle w:val="Indenta"/>
        <w:spacing w:before="60"/>
        <w:rPr>
          <w:snapToGrid w:val="0"/>
        </w:rPr>
      </w:pPr>
      <w:r>
        <w:rPr>
          <w:snapToGrid w:val="0"/>
        </w:rPr>
        <w:tab/>
        <w:t>(c)</w:t>
      </w:r>
      <w:r>
        <w:rPr>
          <w:snapToGrid w:val="0"/>
        </w:rPr>
        <w:tab/>
        <w:t>any witness summoned by</w:t>
      </w:r>
      <w:r>
        <w:t xml:space="preserve"> Fair Work Australia</w:t>
      </w:r>
      <w:r>
        <w:rPr>
          <w:snapToGrid w:val="0"/>
        </w:rPr>
        <w:t>,</w:t>
      </w:r>
    </w:p>
    <w:p>
      <w:pPr>
        <w:pStyle w:val="Subsection"/>
        <w:spacing w:before="120"/>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Fair Work Australia</w:t>
      </w:r>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r>
        <w:t>Fair Work Australia</w:t>
      </w:r>
      <w:r>
        <w:rPr>
          <w:snapToGrid w:val="0"/>
        </w:rPr>
        <w:t xml:space="preserve"> or a person referred to in subsection (1)(b) or (c).</w:t>
      </w:r>
    </w:p>
    <w:p>
      <w:pPr>
        <w:pStyle w:val="Footnotesection"/>
        <w:spacing w:before="100"/>
        <w:ind w:left="890" w:hanging="890"/>
      </w:pPr>
      <w:r>
        <w:tab/>
        <w:t>[Section 80ZG inserted by No. 94 of 1984 s. 47; amended by No. 53 of 2011 s. 39.]</w:t>
      </w:r>
    </w:p>
    <w:p>
      <w:pPr>
        <w:pStyle w:val="Heading5"/>
        <w:rPr>
          <w:snapToGrid w:val="0"/>
        </w:rPr>
      </w:pPr>
      <w:bookmarkStart w:id="766" w:name="_Toc471912078"/>
      <w:bookmarkStart w:id="767" w:name="_Toc391894817"/>
      <w:bookmarkStart w:id="768" w:name="_Toc468179289"/>
      <w:r>
        <w:rPr>
          <w:rStyle w:val="CharSectno"/>
        </w:rPr>
        <w:t>80ZH</w:t>
      </w:r>
      <w:r>
        <w:rPr>
          <w:snapToGrid w:val="0"/>
        </w:rPr>
        <w:t>.</w:t>
      </w:r>
      <w:r>
        <w:rPr>
          <w:snapToGrid w:val="0"/>
        </w:rPr>
        <w:tab/>
      </w:r>
      <w:r>
        <w:t xml:space="preserve">Referring industrial matters to Fair Work </w:t>
      </w:r>
      <w:smartTag w:uri="urn:schemas-microsoft-com:office:smarttags" w:element="place">
        <w:smartTag w:uri="urn:schemas-microsoft-com:office:smarttags" w:element="country-region">
          <w:r>
            <w:t>Australia</w:t>
          </w:r>
        </w:smartTag>
      </w:smartTag>
      <w:r>
        <w:t xml:space="preserve"> for determination under this Act</w:t>
      </w:r>
      <w:bookmarkEnd w:id="766"/>
      <w:bookmarkEnd w:id="767"/>
      <w:bookmarkEnd w:id="768"/>
    </w:p>
    <w:p>
      <w:pPr>
        <w:pStyle w:val="Subsection"/>
        <w:rPr>
          <w:snapToGrid w:val="0"/>
        </w:rPr>
      </w:pPr>
      <w:r>
        <w:rPr>
          <w:snapToGrid w:val="0"/>
        </w:rPr>
        <w:tab/>
        <w:t>(1)</w:t>
      </w:r>
      <w:r>
        <w:rPr>
          <w:snapToGrid w:val="0"/>
        </w:rPr>
        <w:tab/>
        <w:t xml:space="preserve">The Chief Commissioner may, where in his opinion it is appropriate to do so, request the President of </w:t>
      </w:r>
      <w:r>
        <w:t>Fair Work Australia</w:t>
      </w:r>
      <w:r>
        <w:rPr>
          <w:snapToGrid w:val="0"/>
        </w:rPr>
        <w:t xml:space="preserve"> to nominate a member of </w:t>
      </w:r>
      <w:r>
        <w:t>Fair Work Australia</w:t>
      </w:r>
      <w:r>
        <w:rPr>
          <w:snapToGrid w:val="0"/>
        </w:rPr>
        <w:t xml:space="preserve"> 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r>
        <w:t>Fair Work Australia</w:t>
      </w:r>
      <w:r>
        <w:rPr>
          <w:snapToGrid w:val="0"/>
        </w:rPr>
        <w:t xml:space="preserve"> nominates a member of</w:t>
      </w:r>
      <w:r>
        <w:t xml:space="preserve"> Fair Work Australia</w:t>
      </w:r>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r>
        <w:t>Fair Work Australia</w:t>
      </w:r>
      <w:r>
        <w:rPr>
          <w:snapToGrid w:val="0"/>
        </w:rPr>
        <w:t xml:space="preserve">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r>
        <w:t>Fair Work Australia</w:t>
      </w:r>
      <w:r>
        <w:rPr>
          <w:snapToGrid w:val="0"/>
        </w:rPr>
        <w:t xml:space="preserve">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by No. 94 of 1984 s. 47; amended by No. 53 of 2011 s. 39.]</w:t>
      </w:r>
    </w:p>
    <w:p>
      <w:pPr>
        <w:pStyle w:val="Heading5"/>
        <w:rPr>
          <w:snapToGrid w:val="0"/>
        </w:rPr>
      </w:pPr>
      <w:bookmarkStart w:id="769" w:name="_Toc471912079"/>
      <w:bookmarkStart w:id="770" w:name="_Toc391894818"/>
      <w:bookmarkStart w:id="771" w:name="_Toc468179290"/>
      <w:r>
        <w:rPr>
          <w:rStyle w:val="CharSectno"/>
        </w:rPr>
        <w:t>80ZI</w:t>
      </w:r>
      <w:r>
        <w:rPr>
          <w:snapToGrid w:val="0"/>
        </w:rPr>
        <w:t xml:space="preserve">. </w:t>
      </w:r>
      <w:r>
        <w:rPr>
          <w:snapToGrid w:val="0"/>
        </w:rPr>
        <w:tab/>
        <w:t>Conferences with other industrial authorities</w:t>
      </w:r>
      <w:bookmarkEnd w:id="769"/>
      <w:bookmarkEnd w:id="770"/>
      <w:bookmarkEnd w:id="771"/>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he may confer with </w:t>
      </w:r>
      <w:r>
        <w:t>Fair Work Australia</w:t>
      </w:r>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r>
        <w:t>Fair Work Australia</w:t>
      </w:r>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by No. 94 of 1984 s. 47; amended by No. 53 of 2011 s. 39.]</w:t>
      </w:r>
    </w:p>
    <w:p>
      <w:pPr>
        <w:pStyle w:val="Heading5"/>
        <w:rPr>
          <w:snapToGrid w:val="0"/>
        </w:rPr>
      </w:pPr>
      <w:bookmarkStart w:id="772" w:name="_Toc471912080"/>
      <w:bookmarkStart w:id="773" w:name="_Toc391894819"/>
      <w:bookmarkStart w:id="774" w:name="_Toc468179291"/>
      <w:r>
        <w:rPr>
          <w:rStyle w:val="CharSectno"/>
        </w:rPr>
        <w:t>80ZJ</w:t>
      </w:r>
      <w:r>
        <w:rPr>
          <w:snapToGrid w:val="0"/>
        </w:rPr>
        <w:t>.</w:t>
      </w:r>
      <w:r>
        <w:rPr>
          <w:snapToGrid w:val="0"/>
        </w:rPr>
        <w:tab/>
      </w:r>
      <w:r>
        <w:t xml:space="preserve">Commission may exercise powers conferred by </w:t>
      </w:r>
      <w:r>
        <w:rPr>
          <w:i/>
        </w:rPr>
        <w:t>Fair Work Act 2009</w:t>
      </w:r>
      <w:r>
        <w:t xml:space="preserve"> (Cwlth) etc.</w:t>
      </w:r>
      <w:bookmarkEnd w:id="772"/>
      <w:bookmarkEnd w:id="773"/>
      <w:bookmarkEnd w:id="774"/>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r>
        <w:rPr>
          <w:i/>
        </w:rPr>
        <w:t>Fair Work Act 2009</w:t>
      </w:r>
      <w:r>
        <w:t xml:space="preserve"> (Commonwealth)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by No. 94 of 1984 s. 47; amended by No. 53 of 2011 s. 37.]</w:t>
      </w:r>
    </w:p>
    <w:p>
      <w:pPr>
        <w:pStyle w:val="Heading2"/>
      </w:pPr>
      <w:bookmarkStart w:id="775" w:name="_Toc471912081"/>
      <w:bookmarkStart w:id="776" w:name="_Toc391894820"/>
      <w:bookmarkStart w:id="777" w:name="_Toc419713405"/>
      <w:bookmarkStart w:id="778" w:name="_Toc435103049"/>
      <w:bookmarkStart w:id="779" w:name="_Toc452556479"/>
      <w:bookmarkStart w:id="780" w:name="_Toc455414059"/>
      <w:bookmarkStart w:id="781" w:name="_Toc462415489"/>
      <w:bookmarkStart w:id="782" w:name="_Toc462742400"/>
      <w:bookmarkStart w:id="783" w:name="_Toc465086054"/>
      <w:bookmarkStart w:id="784" w:name="_Toc468179292"/>
      <w:r>
        <w:rPr>
          <w:rStyle w:val="CharPartNo"/>
        </w:rPr>
        <w:t>Part III</w:t>
      </w:r>
      <w:r>
        <w:rPr>
          <w:rStyle w:val="CharDivNo"/>
        </w:rPr>
        <w:t> </w:t>
      </w:r>
      <w:r>
        <w:t>—</w:t>
      </w:r>
      <w:r>
        <w:rPr>
          <w:rStyle w:val="CharDivText"/>
        </w:rPr>
        <w:t> </w:t>
      </w:r>
      <w:r>
        <w:rPr>
          <w:rStyle w:val="CharPartText"/>
        </w:rPr>
        <w:t>Enforcement of Act, awards, industrial agreements and orders</w:t>
      </w:r>
      <w:bookmarkEnd w:id="775"/>
      <w:bookmarkEnd w:id="776"/>
      <w:bookmarkEnd w:id="777"/>
      <w:bookmarkEnd w:id="778"/>
      <w:bookmarkEnd w:id="779"/>
      <w:bookmarkEnd w:id="780"/>
      <w:bookmarkEnd w:id="781"/>
      <w:bookmarkEnd w:id="782"/>
      <w:bookmarkEnd w:id="783"/>
      <w:bookmarkEnd w:id="784"/>
    </w:p>
    <w:p>
      <w:pPr>
        <w:pStyle w:val="Footnoteheading"/>
        <w:rPr>
          <w:snapToGrid w:val="0"/>
        </w:rPr>
      </w:pPr>
      <w:r>
        <w:rPr>
          <w:snapToGrid w:val="0"/>
        </w:rPr>
        <w:tab/>
        <w:t>[Heading amended by No. 94 of 1984 s. 48.]</w:t>
      </w:r>
    </w:p>
    <w:p>
      <w:pPr>
        <w:pStyle w:val="Heading5"/>
        <w:rPr>
          <w:snapToGrid w:val="0"/>
        </w:rPr>
      </w:pPr>
      <w:bookmarkStart w:id="785" w:name="_Toc471912082"/>
      <w:bookmarkStart w:id="786" w:name="_Toc391894821"/>
      <w:bookmarkStart w:id="787" w:name="_Toc468179293"/>
      <w:r>
        <w:rPr>
          <w:rStyle w:val="CharSectno"/>
        </w:rPr>
        <w:t>81</w:t>
      </w:r>
      <w:r>
        <w:rPr>
          <w:snapToGrid w:val="0"/>
        </w:rPr>
        <w:t>.</w:t>
      </w:r>
      <w:r>
        <w:rPr>
          <w:snapToGrid w:val="0"/>
        </w:rPr>
        <w:tab/>
        <w:t>Industrial magistrate’s courts established</w:t>
      </w:r>
      <w:bookmarkEnd w:id="785"/>
      <w:bookmarkEnd w:id="786"/>
      <w:bookmarkEnd w:id="787"/>
    </w:p>
    <w:p>
      <w:pPr>
        <w:pStyle w:val="Subsection"/>
        <w:spacing w:before="140"/>
        <w:rPr>
          <w:snapToGrid w:val="0"/>
        </w:rPr>
      </w:pPr>
      <w:r>
        <w:rPr>
          <w:snapToGrid w:val="0"/>
        </w:rPr>
        <w:tab/>
        <w:t>(1)</w:t>
      </w:r>
      <w:r>
        <w:rPr>
          <w:snapToGrid w:val="0"/>
        </w:rPr>
        <w:tab/>
        <w:t>The Governor may by proclamation establish an industrial magistrate’s court at any place within the State.</w:t>
      </w:r>
    </w:p>
    <w:p>
      <w:pPr>
        <w:pStyle w:val="Subsection"/>
        <w:spacing w:before="140"/>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spacing w:before="140"/>
        <w:rPr>
          <w:snapToGrid w:val="0"/>
        </w:rPr>
      </w:pPr>
      <w:r>
        <w:rPr>
          <w:snapToGrid w:val="0"/>
        </w:rPr>
        <w:tab/>
        <w:t>(3)</w:t>
      </w:r>
      <w:r>
        <w:rPr>
          <w:snapToGrid w:val="0"/>
        </w:rPr>
        <w:tab/>
        <w:t>The Governor may by proclamation disestablish an industrial magistrate’s court.</w:t>
      </w:r>
    </w:p>
    <w:p>
      <w:pPr>
        <w:pStyle w:val="Subsection"/>
        <w:spacing w:before="140"/>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[Section 81 inserted by No. 44 of 1991 s. 6.]</w:t>
      </w:r>
    </w:p>
    <w:p>
      <w:pPr>
        <w:pStyle w:val="Heading5"/>
        <w:rPr>
          <w:snapToGrid w:val="0"/>
        </w:rPr>
      </w:pPr>
      <w:bookmarkStart w:id="788" w:name="_Toc471912083"/>
      <w:bookmarkStart w:id="789" w:name="_Toc391894822"/>
      <w:bookmarkStart w:id="790" w:name="_Toc468179294"/>
      <w:r>
        <w:rPr>
          <w:rStyle w:val="CharSectno"/>
        </w:rPr>
        <w:t>81A</w:t>
      </w:r>
      <w:r>
        <w:rPr>
          <w:snapToGrid w:val="0"/>
        </w:rPr>
        <w:t>.</w:t>
      </w:r>
      <w:r>
        <w:rPr>
          <w:snapToGrid w:val="0"/>
        </w:rPr>
        <w:tab/>
        <w:t xml:space="preserve">Jurisdiction under this Act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788"/>
      <w:bookmarkEnd w:id="789"/>
      <w:bookmarkEnd w:id="790"/>
    </w:p>
    <w:p>
      <w:pPr>
        <w:pStyle w:val="Subsection"/>
        <w:spacing w:before="140"/>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[Section 81A inserted by No. 79 of 1995 s. 19; amended by No. 3 of 1997 s. 8, 18, and 21(1); No. 20 of 2002 s. 13, 160(1), 193(3) and 195(2).]</w:t>
      </w:r>
    </w:p>
    <w:p>
      <w:pPr>
        <w:pStyle w:val="Heading5"/>
        <w:rPr>
          <w:snapToGrid w:val="0"/>
        </w:rPr>
      </w:pPr>
      <w:bookmarkStart w:id="791" w:name="_Toc471912084"/>
      <w:bookmarkStart w:id="792" w:name="_Toc391894823"/>
      <w:bookmarkStart w:id="793" w:name="_Toc468179295"/>
      <w:r>
        <w:rPr>
          <w:rStyle w:val="CharSectno"/>
        </w:rPr>
        <w:t>81AA</w:t>
      </w:r>
      <w:r>
        <w:rPr>
          <w:snapToGrid w:val="0"/>
        </w:rPr>
        <w:t>.</w:t>
      </w:r>
      <w:r>
        <w:rPr>
          <w:snapToGrid w:val="0"/>
        </w:rPr>
        <w:tab/>
        <w:t xml:space="preserve">Jurisdiction under other Acts of </w:t>
      </w:r>
      <w:smartTag w:uri="urn:schemas-microsoft-com:office:smarttags" w:element="State">
        <w:smartTag w:uri="urn:schemas-microsoft-com:office:smarttags" w:element="place">
          <w:r>
            <w:rPr>
              <w:snapToGrid w:val="0"/>
            </w:rPr>
            <w:t>ind</w:t>
          </w:r>
        </w:smartTag>
      </w:smartTag>
      <w:r>
        <w:rPr>
          <w:snapToGrid w:val="0"/>
        </w:rPr>
        <w:t>ustrial magistrate’s court</w:t>
      </w:r>
      <w:bookmarkEnd w:id="791"/>
      <w:bookmarkEnd w:id="792"/>
      <w:bookmarkEnd w:id="793"/>
    </w:p>
    <w:p>
      <w:pPr>
        <w:pStyle w:val="Subsection"/>
        <w:keepNext/>
        <w:spacing w:before="140"/>
      </w:pPr>
      <w:r>
        <w:rPr>
          <w:snapToGrid w:val="0"/>
        </w:rPr>
        <w:tab/>
      </w:r>
      <w:r>
        <w:rPr>
          <w:snapToGrid w:val="0"/>
        </w:rPr>
        <w:tab/>
        <w:t xml:space="preserve">In addition to its jurisdiction under this Act, an industrial magistrate’s court has the jurisdiction conferred </w:t>
      </w:r>
      <w:r>
        <w:t>on it by the following —</w:t>
      </w:r>
    </w:p>
    <w:p>
      <w:pPr>
        <w:pStyle w:val="Indenta"/>
      </w:pPr>
      <w:r>
        <w:tab/>
        <w:t>(a)</w:t>
      </w:r>
      <w:r>
        <w:tab/>
        <w:t xml:space="preserve">the </w:t>
      </w:r>
      <w:r>
        <w:rPr>
          <w:i/>
        </w:rPr>
        <w:t>Construction Industry Portable Paid Long Service Leave Act 1985</w:t>
      </w:r>
      <w:r>
        <w:t xml:space="preserve"> section 53;</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t>[(bb)</w:t>
      </w:r>
      <w:r>
        <w:rPr>
          <w:snapToGrid w:val="0"/>
        </w:rPr>
        <w:tab/>
        <w:t>deleted]</w:t>
      </w:r>
    </w:p>
    <w:p>
      <w:pPr>
        <w:pStyle w:val="Indenta"/>
      </w:pPr>
      <w:r>
        <w:tab/>
        <w:t>(bc)</w:t>
      </w:r>
      <w:r>
        <w:tab/>
        <w:t xml:space="preserve">section 196(2) of the </w:t>
      </w:r>
      <w:r>
        <w:rPr>
          <w:i/>
        </w:rPr>
        <w:t>Children and Community Services Act 2004</w:t>
      </w:r>
      <w:r>
        <w:t>.</w:t>
      </w:r>
    </w:p>
    <w:p>
      <w:pPr>
        <w:pStyle w:val="Ednotepara"/>
        <w:spacing w:before="80"/>
        <w:rPr>
          <w:snapToGrid w:val="0"/>
        </w:rPr>
      </w:pPr>
      <w:r>
        <w:rPr>
          <w:snapToGrid w:val="0"/>
        </w:rPr>
        <w:tab/>
        <w:t>[(b)</w:t>
      </w:r>
      <w:r>
        <w:rPr>
          <w:snapToGrid w:val="0"/>
        </w:rPr>
        <w:tab/>
        <w:t>deleted]</w:t>
      </w:r>
    </w:p>
    <w:p>
      <w:pPr>
        <w:pStyle w:val="Footnotesection"/>
      </w:pPr>
      <w:r>
        <w:tab/>
        <w:t>[Section 81AA inserted by No. 15 of 1993 s. 24; amended by No. 79 of 1995 s. 20; No. 20 of 2002 s. 113(2) and 182; No. 34 of 2004 s. 251; No. 36 of 2006 s. 68; No. 53 of 2011 s. 29 and 42.]</w:t>
      </w:r>
    </w:p>
    <w:p>
      <w:pPr>
        <w:pStyle w:val="Heading5"/>
        <w:rPr>
          <w:snapToGrid w:val="0"/>
        </w:rPr>
      </w:pPr>
      <w:bookmarkStart w:id="794" w:name="_Toc471912085"/>
      <w:bookmarkStart w:id="795" w:name="_Toc391894824"/>
      <w:bookmarkStart w:id="796" w:name="_Toc468179296"/>
      <w:r>
        <w:rPr>
          <w:rStyle w:val="CharSectno"/>
        </w:rPr>
        <w:t>81B</w:t>
      </w:r>
      <w:r>
        <w:rPr>
          <w:snapToGrid w:val="0"/>
        </w:rPr>
        <w:t>.</w:t>
      </w:r>
      <w:r>
        <w:rPr>
          <w:snapToGrid w:val="0"/>
        </w:rPr>
        <w:tab/>
        <w:t>Industrial magistrate’s courts, constitution of</w:t>
      </w:r>
      <w:bookmarkEnd w:id="794"/>
      <w:bookmarkEnd w:id="795"/>
      <w:bookmarkEnd w:id="796"/>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w:t>
      </w:r>
    </w:p>
    <w:p>
      <w:pPr>
        <w:pStyle w:val="Defstart"/>
      </w:pPr>
      <w:r>
        <w:rPr>
          <w:b/>
        </w:rPr>
        <w:tab/>
      </w:r>
      <w:r>
        <w:rPr>
          <w:rStyle w:val="CharDefText"/>
        </w:rPr>
        <w:t>Chief Magistrate</w:t>
      </w:r>
      <w:r>
        <w:t xml:space="preserve"> means the Chief Magistrate of the </w:t>
      </w:r>
      <w:smartTag w:uri="urn:schemas-microsoft-com:office:smarttags" w:element="address">
        <w:smartTag w:uri="urn:schemas-microsoft-com:office:smarttags" w:element="Street">
          <w:r>
            <w:t>Magistrates Court</w:t>
          </w:r>
        </w:smartTag>
      </w:smartTag>
      <w:r>
        <w:t>.</w:t>
      </w:r>
    </w:p>
    <w:p>
      <w:pPr>
        <w:pStyle w:val="Footnotesection"/>
      </w:pPr>
      <w:r>
        <w:tab/>
        <w:t>[Section 81B inserted by No. 44 of 1991 s. 6; amended by No. 59 of 2004 s. 112.]</w:t>
      </w:r>
    </w:p>
    <w:p>
      <w:pPr>
        <w:pStyle w:val="Heading5"/>
        <w:rPr>
          <w:snapToGrid w:val="0"/>
        </w:rPr>
      </w:pPr>
      <w:bookmarkStart w:id="797" w:name="_Toc471912086"/>
      <w:bookmarkStart w:id="798" w:name="_Toc391894825"/>
      <w:bookmarkStart w:id="799" w:name="_Toc468179297"/>
      <w:r>
        <w:rPr>
          <w:rStyle w:val="CharSectno"/>
        </w:rPr>
        <w:t>81C</w:t>
      </w:r>
      <w:r>
        <w:rPr>
          <w:snapToGrid w:val="0"/>
        </w:rPr>
        <w:t>.</w:t>
      </w:r>
      <w:r>
        <w:rPr>
          <w:snapToGrid w:val="0"/>
        </w:rPr>
        <w:tab/>
        <w:t xml:space="preserve">Sittings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797"/>
      <w:bookmarkEnd w:id="798"/>
      <w:bookmarkEnd w:id="799"/>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[Section 81C inserted by No. 44 of 1991 s. 6.]</w:t>
      </w:r>
    </w:p>
    <w:p>
      <w:pPr>
        <w:pStyle w:val="Heading5"/>
        <w:rPr>
          <w:snapToGrid w:val="0"/>
        </w:rPr>
      </w:pPr>
      <w:bookmarkStart w:id="800" w:name="_Toc471912087"/>
      <w:bookmarkStart w:id="801" w:name="_Toc391894826"/>
      <w:bookmarkStart w:id="802" w:name="_Toc468179298"/>
      <w:r>
        <w:rPr>
          <w:rStyle w:val="CharSectno"/>
        </w:rPr>
        <w:t>81CA</w:t>
      </w:r>
      <w:r>
        <w:rPr>
          <w:snapToGrid w:val="0"/>
        </w:rPr>
        <w:t>.</w:t>
      </w:r>
      <w:r>
        <w:rPr>
          <w:snapToGrid w:val="0"/>
        </w:rPr>
        <w:tab/>
        <w:t xml:space="preserve">Procedure etc. of </w:t>
      </w:r>
      <w:smartTag w:uri="urn:schemas-microsoft-com:office:smarttags" w:element="State">
        <w:smartTag w:uri="urn:schemas-microsoft-com:office:smarttags" w:element="place">
          <w:r>
            <w:rPr>
              <w:snapToGrid w:val="0"/>
            </w:rPr>
            <w:t>ind</w:t>
          </w:r>
        </w:smartTag>
      </w:smartTag>
      <w:r>
        <w:rPr>
          <w:snapToGrid w:val="0"/>
        </w:rPr>
        <w:t>ustrial magistrate’s courts</w:t>
      </w:r>
      <w:bookmarkEnd w:id="800"/>
      <w:bookmarkEnd w:id="801"/>
      <w:bookmarkEnd w:id="802"/>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jurisdiction</w:t>
      </w:r>
      <w:r>
        <w:t xml:space="preserve"> means the jurisdiction of an industrial magistrate’s court under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 or</w:t>
      </w:r>
    </w:p>
    <w:p>
      <w:pPr>
        <w:pStyle w:val="Defpara"/>
      </w:pPr>
      <w:r>
        <w:tab/>
        <w:t>(c)</w:t>
      </w:r>
      <w:r>
        <w:tab/>
        <w:t xml:space="preserve">the </w:t>
      </w:r>
      <w:r>
        <w:rPr>
          <w:i/>
        </w:rPr>
        <w:t>Construction Industry Portable Paid Long Service Leave Act 1985</w:t>
      </w:r>
      <w:r>
        <w:t xml:space="preserve"> section 53;</w:t>
      </w:r>
    </w:p>
    <w:p>
      <w:pPr>
        <w:pStyle w:val="Defstart"/>
      </w:pPr>
      <w:r>
        <w:rPr>
          <w:b/>
        </w:rPr>
        <w:tab/>
      </w:r>
      <w:r>
        <w:rPr>
          <w:rStyle w:val="CharDefText"/>
        </w:rPr>
        <w:t>prosecution jurisdiction</w:t>
      </w:r>
      <w:r>
        <w:t xml:space="preserve"> means the jurisdiction of an industrial magistrate’s court under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78; No. 36 of 2006 s. 69; No. 5 of 2008 s. 61; No. 53 of 2011 s. 30.]</w:t>
      </w:r>
    </w:p>
    <w:p>
      <w:pPr>
        <w:pStyle w:val="Heading5"/>
      </w:pPr>
      <w:bookmarkStart w:id="803" w:name="_Toc471912088"/>
      <w:bookmarkStart w:id="804" w:name="_Toc391894827"/>
      <w:bookmarkStart w:id="805" w:name="_Toc468179299"/>
      <w:r>
        <w:rPr>
          <w:rStyle w:val="CharSectno"/>
        </w:rPr>
        <w:t>81CB</w:t>
      </w:r>
      <w:r>
        <w:t>.</w:t>
      </w:r>
      <w:r>
        <w:tab/>
        <w:t>Industrial magistrate’s court judgments, enforcement of</w:t>
      </w:r>
      <w:bookmarkEnd w:id="803"/>
      <w:bookmarkEnd w:id="804"/>
      <w:bookmarkEnd w:id="805"/>
    </w:p>
    <w:p>
      <w:pPr>
        <w:pStyle w:val="Subsection"/>
      </w:pPr>
      <w:r>
        <w:tab/>
        <w:t>(1)</w:t>
      </w:r>
      <w:r>
        <w:tab/>
        <w:t>In this section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806" w:name="_Toc471912089"/>
      <w:bookmarkStart w:id="807" w:name="_Toc391894828"/>
      <w:bookmarkStart w:id="808" w:name="_Toc468179300"/>
      <w:r>
        <w:rPr>
          <w:rStyle w:val="CharSectno"/>
        </w:rPr>
        <w:t>81D</w:t>
      </w:r>
      <w:r>
        <w:rPr>
          <w:snapToGrid w:val="0"/>
        </w:rPr>
        <w:t xml:space="preserve">. </w:t>
      </w:r>
      <w:r>
        <w:rPr>
          <w:snapToGrid w:val="0"/>
        </w:rPr>
        <w:tab/>
        <w:t>Clerks of industrial magistrate’s courts</w:t>
      </w:r>
      <w:bookmarkEnd w:id="806"/>
      <w:bookmarkEnd w:id="807"/>
      <w:bookmarkEnd w:id="808"/>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address">
        <w:smartTag w:uri="urn:schemas-microsoft-com:office:smarttags" w:element="Street">
          <w:r>
            <w:t>Magistrates Court</w:t>
          </w:r>
        </w:smartTag>
      </w:smartTag>
      <w:r>
        <w:t xml:space="preserve"> has for the purposes of the civil jurisdiction of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Footnotesection"/>
        <w:spacing w:before="100"/>
        <w:ind w:left="890" w:hanging="890"/>
      </w:pPr>
      <w:r>
        <w:tab/>
        <w:t>[Section 81D inserted by No. 44 of 1991 s. 6; amended by No. 15 of 1993 s. 25; No. 79 of 1995 s. 22; No. 59 of 2004 s. 109; No. 84 of 2004 s. 78.]</w:t>
      </w:r>
    </w:p>
    <w:p>
      <w:pPr>
        <w:pStyle w:val="Heading5"/>
      </w:pPr>
      <w:bookmarkStart w:id="809" w:name="_Toc471912090"/>
      <w:bookmarkStart w:id="810" w:name="_Toc391894829"/>
      <w:bookmarkStart w:id="811" w:name="_Toc468179301"/>
      <w:r>
        <w:rPr>
          <w:rStyle w:val="CharSectno"/>
        </w:rPr>
        <w:t>81E</w:t>
      </w:r>
      <w:r>
        <w:t>.</w:t>
      </w:r>
      <w:r>
        <w:tab/>
        <w:t xml:space="preserve">Representation of parties in </w:t>
      </w:r>
      <w:smartTag w:uri="urn:schemas-microsoft-com:office:smarttags" w:element="State">
        <w:smartTag w:uri="urn:schemas-microsoft-com:office:smarttags" w:element="place">
          <w:r>
            <w:t>ind</w:t>
          </w:r>
        </w:smartTag>
      </w:smartTag>
      <w:r>
        <w:t>ustrial magistrate’s court</w:t>
      </w:r>
      <w:bookmarkEnd w:id="809"/>
      <w:bookmarkEnd w:id="810"/>
      <w:bookmarkEnd w:id="811"/>
    </w:p>
    <w:p>
      <w:pPr>
        <w:pStyle w:val="Subsection"/>
        <w:spacing w:before="140"/>
      </w:pPr>
      <w:r>
        <w:tab/>
      </w:r>
      <w:r>
        <w:tab/>
        <w:t>In proceedings before an industrial magistrate’s court a party may —</w:t>
      </w:r>
    </w:p>
    <w:p>
      <w:pPr>
        <w:pStyle w:val="Indenta"/>
        <w:spacing w:before="60"/>
      </w:pPr>
      <w:r>
        <w:tab/>
        <w:t>(a)</w:t>
      </w:r>
      <w:r>
        <w:tab/>
        <w:t>appear in person; or</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812" w:name="_Toc471912091"/>
      <w:bookmarkStart w:id="813" w:name="_Toc391894830"/>
      <w:bookmarkStart w:id="814" w:name="_Toc468179302"/>
      <w:r>
        <w:rPr>
          <w:rStyle w:val="CharSectno"/>
        </w:rPr>
        <w:t>81F</w:t>
      </w:r>
      <w:r>
        <w:t>.</w:t>
      </w:r>
      <w:r>
        <w:tab/>
        <w:t>Industrial magistrate’s court records, access to</w:t>
      </w:r>
      <w:bookmarkEnd w:id="812"/>
      <w:bookmarkEnd w:id="813"/>
      <w:bookmarkEnd w:id="814"/>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address">
        <w:smartTag w:uri="urn:schemas-microsoft-com:office:smarttags" w:element="Street">
          <w:r>
            <w:rPr>
              <w:i/>
            </w:rPr>
            <w:t>Magistrates Court</w:t>
          </w:r>
        </w:smartTag>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[Section 81F inserted by No. 59 of 2004 s. 110.]</w:t>
      </w:r>
    </w:p>
    <w:p>
      <w:pPr>
        <w:pStyle w:val="Heading5"/>
        <w:rPr>
          <w:snapToGrid w:val="0"/>
        </w:rPr>
      </w:pPr>
      <w:bookmarkStart w:id="815" w:name="_Toc471912092"/>
      <w:bookmarkStart w:id="816" w:name="_Toc391894831"/>
      <w:bookmarkStart w:id="817" w:name="_Toc468179303"/>
      <w:r>
        <w:rPr>
          <w:rStyle w:val="CharSectno"/>
        </w:rPr>
        <w:t>82</w:t>
      </w:r>
      <w:r>
        <w:rPr>
          <w:snapToGrid w:val="0"/>
        </w:rPr>
        <w:t>.</w:t>
      </w:r>
      <w:r>
        <w:rPr>
          <w:snapToGrid w:val="0"/>
        </w:rPr>
        <w:tab/>
        <w:t>Jurisdiction of Full Bench</w:t>
      </w:r>
      <w:bookmarkEnd w:id="815"/>
      <w:bookmarkEnd w:id="816"/>
      <w:bookmarkEnd w:id="817"/>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Subsection (2) does not apply to the enforcement of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[Section 82 inserted by No. 44 of 1991 s. 6; amended by No. 20 of 2002 s. 154.]</w:t>
      </w:r>
    </w:p>
    <w:p>
      <w:pPr>
        <w:pStyle w:val="Heading5"/>
        <w:rPr>
          <w:snapToGrid w:val="0"/>
        </w:rPr>
      </w:pPr>
      <w:bookmarkStart w:id="818" w:name="_Toc471912093"/>
      <w:bookmarkStart w:id="819" w:name="_Toc391894832"/>
      <w:bookmarkStart w:id="820" w:name="_Toc468179304"/>
      <w:r>
        <w:rPr>
          <w:rStyle w:val="CharSectno"/>
        </w:rPr>
        <w:t>82A</w:t>
      </w:r>
      <w:r>
        <w:rPr>
          <w:snapToGrid w:val="0"/>
        </w:rPr>
        <w:t>.</w:t>
      </w:r>
      <w:r>
        <w:rPr>
          <w:snapToGrid w:val="0"/>
        </w:rPr>
        <w:tab/>
        <w:t>Time limit for certain applications</w:t>
      </w:r>
      <w:bookmarkEnd w:id="818"/>
      <w:bookmarkEnd w:id="819"/>
      <w:bookmarkEnd w:id="820"/>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[Section 82A inserted by No. 94 of 1984 s. 50; amended by No. 79 of 1995 s. 23; No. 20 of 2002 s. 160(3).]</w:t>
      </w:r>
    </w:p>
    <w:p>
      <w:pPr>
        <w:pStyle w:val="Heading5"/>
      </w:pPr>
      <w:bookmarkStart w:id="821" w:name="_Toc471912094"/>
      <w:bookmarkStart w:id="822" w:name="_Toc391894833"/>
      <w:bookmarkStart w:id="823" w:name="_Toc468179305"/>
      <w:r>
        <w:rPr>
          <w:rStyle w:val="CharSectno"/>
        </w:rPr>
        <w:t>83</w:t>
      </w:r>
      <w:r>
        <w:t>.</w:t>
      </w:r>
      <w:r>
        <w:tab/>
        <w:t>Enforcing awards etc.</w:t>
      </w:r>
      <w:bookmarkEnd w:id="821"/>
      <w:bookmarkEnd w:id="822"/>
      <w:bookmarkEnd w:id="823"/>
    </w:p>
    <w:p>
      <w:pPr>
        <w:pStyle w:val="Subsection"/>
      </w:pPr>
      <w:r>
        <w:tab/>
        <w:t>(1)</w:t>
      </w:r>
      <w:r>
        <w:tab/>
        <w:t>Subject to this Act, where a person contravenes or fails to comply with a provision of an instrument to which this section applies any of the following may apply in the prescribed manner to an industrial magistrate’s court for the enforcement of the provision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In this section —</w:t>
      </w:r>
    </w:p>
    <w:p>
      <w:pPr>
        <w:pStyle w:val="Defstart"/>
      </w:pPr>
      <w:r>
        <w:tab/>
      </w:r>
      <w:r>
        <w:rPr>
          <w:rStyle w:val="CharDefText"/>
        </w:rPr>
        <w:t>instrument to which this section applies</w:t>
      </w:r>
      <w:r>
        <w:t xml:space="preserve"> means —</w:t>
      </w:r>
    </w:p>
    <w:p>
      <w:pPr>
        <w:pStyle w:val="Defpara"/>
      </w:pPr>
      <w:r>
        <w:tab/>
        <w:t>(a)</w:t>
      </w:r>
      <w:r>
        <w:tab/>
        <w:t>an award; and</w:t>
      </w:r>
    </w:p>
    <w:p>
      <w:pPr>
        <w:pStyle w:val="Defpara"/>
      </w:pPr>
      <w:r>
        <w:tab/>
        <w:t>(b)</w:t>
      </w:r>
      <w:r>
        <w:tab/>
        <w:t>an industrial agreement; and</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On the hearing of an application under subsection (1) the industrial magistrate’s court may, by order —</w:t>
      </w:r>
    </w:p>
    <w:p>
      <w:pPr>
        <w:pStyle w:val="Indenta"/>
      </w:pPr>
      <w:r>
        <w:tab/>
        <w:t>(a)</w:t>
      </w:r>
      <w:r>
        <w:tab/>
        <w:t>if the contravention or failure to comply is proved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keepNext/>
      </w:pPr>
      <w:r>
        <w:tab/>
        <w:t>(6)</w:t>
      </w:r>
      <w:r>
        <w:tab/>
        <w:t>An order under subsection (5) —</w:t>
      </w:r>
    </w:p>
    <w:p>
      <w:pPr>
        <w:pStyle w:val="Indenta"/>
        <w:spacing w:before="60"/>
      </w:pPr>
      <w:r>
        <w:tab/>
        <w:t>(a)</w:t>
      </w:r>
      <w:r>
        <w:tab/>
        <w:t>may be made subject to any terms and conditions the court thinks appropriate; and</w:t>
      </w:r>
    </w:p>
    <w:p>
      <w:pPr>
        <w:pStyle w:val="Indenta"/>
        <w:spacing w:before="6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w:t>
      </w:r>
    </w:p>
    <w:p>
      <w:pPr>
        <w:pStyle w:val="Heading5"/>
      </w:pPr>
      <w:bookmarkStart w:id="824" w:name="_Toc471912095"/>
      <w:bookmarkStart w:id="825" w:name="_Toc391894834"/>
      <w:bookmarkStart w:id="826" w:name="_Toc468179306"/>
      <w:r>
        <w:rPr>
          <w:rStyle w:val="CharSectno"/>
        </w:rPr>
        <w:t>83A</w:t>
      </w:r>
      <w:r>
        <w:t>.</w:t>
      </w:r>
      <w:r>
        <w:tab/>
        <w:t>Underpayment of employee, orders to remedy</w:t>
      </w:r>
      <w:bookmarkEnd w:id="824"/>
      <w:bookmarkEnd w:id="825"/>
      <w:bookmarkEnd w:id="826"/>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An order may only be made under subsection (1) —</w:t>
      </w:r>
    </w:p>
    <w:p>
      <w:pPr>
        <w:pStyle w:val="Indenta"/>
        <w:spacing w:before="60"/>
      </w:pPr>
      <w:r>
        <w:tab/>
        <w:t>(a)</w:t>
      </w:r>
      <w:r>
        <w:tab/>
        <w:t>in respect of any amount relating to a period not being more than 6 years prior to the commencement of the proceedings; or</w:t>
      </w:r>
    </w:p>
    <w:p>
      <w:pPr>
        <w:pStyle w:val="Indenta"/>
        <w:spacing w:before="60"/>
      </w:pPr>
      <w:r>
        <w:tab/>
        <w:t>(b)</w:t>
      </w:r>
      <w:r>
        <w:tab/>
        <w:t>if the employer concerned appears to the industrial magistrate’s court, or has been found under section 83E, to have contravened section 102(1)(a) or (b) by reason of having failed —</w:t>
      </w:r>
    </w:p>
    <w:p>
      <w:pPr>
        <w:pStyle w:val="Indenti"/>
        <w:spacing w:before="60"/>
      </w:pPr>
      <w:r>
        <w:tab/>
        <w:t>(i)</w:t>
      </w:r>
      <w:r>
        <w:tab/>
        <w:t>to produce or exhibit a record relevant to the proceedings; or</w:t>
      </w:r>
    </w:p>
    <w:p>
      <w:pPr>
        <w:pStyle w:val="Indenti"/>
        <w:spacing w:before="60"/>
      </w:pPr>
      <w:r>
        <w:tab/>
        <w:t>(ii)</w:t>
      </w:r>
      <w:r>
        <w:tab/>
        <w:t>to allow such a record to be examined; or</w:t>
      </w:r>
    </w:p>
    <w:p>
      <w:pPr>
        <w:pStyle w:val="Indenti"/>
        <w:spacing w:before="60"/>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spacing w:before="100"/>
        <w:ind w:left="890" w:hanging="890"/>
      </w:pPr>
      <w:r>
        <w:tab/>
        <w:t>[Section 83A inserted by No. 20 of 2002 s. 155(1).]</w:t>
      </w:r>
    </w:p>
    <w:p>
      <w:pPr>
        <w:pStyle w:val="Heading5"/>
      </w:pPr>
      <w:bookmarkStart w:id="827" w:name="_Toc471912096"/>
      <w:bookmarkStart w:id="828" w:name="_Toc391894835"/>
      <w:bookmarkStart w:id="829" w:name="_Toc468179307"/>
      <w:r>
        <w:rPr>
          <w:rStyle w:val="CharSectno"/>
        </w:rPr>
        <w:t>83B</w:t>
      </w:r>
      <w:r>
        <w:t>.</w:t>
      </w:r>
      <w:r>
        <w:tab/>
        <w:t>Unfair dismissal, enforcing s. 23A order as to</w:t>
      </w:r>
      <w:bookmarkEnd w:id="827"/>
      <w:bookmarkEnd w:id="828"/>
      <w:bookmarkEnd w:id="829"/>
    </w:p>
    <w:p>
      <w:pPr>
        <w:pStyle w:val="Subsection"/>
      </w:pPr>
      <w:r>
        <w:tab/>
        <w:t>(1)</w:t>
      </w:r>
      <w:r>
        <w:tab/>
        <w:t>Where an employer contravenes or fails to comply with an order made under section 23A any of the following may apply in the prescribed manner to an industrial magistrate’s court for the enforcement of the order —</w:t>
      </w:r>
    </w:p>
    <w:p>
      <w:pPr>
        <w:pStyle w:val="Indenta"/>
        <w:spacing w:before="60"/>
      </w:pPr>
      <w:r>
        <w:tab/>
        <w:t>(a)</w:t>
      </w:r>
      <w:r>
        <w:tab/>
        <w:t>the Registrar or a deputy registrar; and</w:t>
      </w:r>
    </w:p>
    <w:p>
      <w:pPr>
        <w:pStyle w:val="Indenta"/>
        <w:spacing w:before="60"/>
      </w:pPr>
      <w:r>
        <w:tab/>
        <w:t>(b)</w:t>
      </w:r>
      <w:r>
        <w:tab/>
        <w:t>an industrial inspector; and</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spacing w:before="150"/>
      </w:pPr>
      <w:r>
        <w:tab/>
        <w:t>(2)</w:t>
      </w:r>
      <w:r>
        <w:tab/>
        <w:t>No fee is payable for the filing of an application under subsection (1).</w:t>
      </w:r>
    </w:p>
    <w:p>
      <w:pPr>
        <w:pStyle w:val="Subsection"/>
        <w:spacing w:before="150"/>
      </w:pPr>
      <w:r>
        <w:tab/>
        <w:t>(3)</w:t>
      </w:r>
      <w:r>
        <w:tab/>
        <w:t>On an application under subsection (1) in respect of a contravention or failure to comply with an order under section 23A(3) or (4), the industrial magistrate’s court may —</w:t>
      </w:r>
    </w:p>
    <w:p>
      <w:pPr>
        <w:pStyle w:val="Indenta"/>
        <w:spacing w:before="60"/>
      </w:pPr>
      <w:r>
        <w:tab/>
        <w:t>(a)</w:t>
      </w:r>
      <w:r>
        <w:tab/>
        <w:t>if the contravention or failure to comply is proved, make an order for whichever of the following type of remedy was requested in the application —</w:t>
      </w:r>
    </w:p>
    <w:p>
      <w:pPr>
        <w:pStyle w:val="Indenti"/>
        <w:spacing w:before="60"/>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On an application under subsection (1) in respect of a contravention or failure to comply with an order under section 23A(5), (6) or (12), the industrial magistrate’s court may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The industrial magistrate’s court may, in addition to making an order under subsection (3)(a) or (4)(a) —</w:t>
      </w:r>
    </w:p>
    <w:p>
      <w:pPr>
        <w:pStyle w:val="Indenta"/>
      </w:pPr>
      <w:r>
        <w:tab/>
        <w:t>(a)</w:t>
      </w:r>
      <w:r>
        <w:tab/>
        <w:t>issue a caution or impose such penalty as the industrial magistrate’s court thinks just but not exceeding $5 000; and</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An order under subsection (3)(a) or (4)(a)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The amount ordered to be paid under subsection (3)(a)(ii)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In deciding an amount for the purposes of making an order under subsection (3)(a)(ii), the industrial magistrate’s court is to have regard to —</w:t>
      </w:r>
    </w:p>
    <w:p>
      <w:pPr>
        <w:pStyle w:val="Indenta"/>
      </w:pPr>
      <w:r>
        <w:tab/>
        <w:t>(a)</w:t>
      </w:r>
      <w:r>
        <w:tab/>
        <w:t>the efforts (if any) of the employer and employee to mitigate the loss suffered by the former employee as a result of the dismissal; and</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w:t>
      </w:r>
    </w:p>
    <w:p>
      <w:pPr>
        <w:pStyle w:val="Heading5"/>
        <w:spacing w:before="180"/>
      </w:pPr>
      <w:bookmarkStart w:id="830" w:name="_Toc471912097"/>
      <w:bookmarkStart w:id="831" w:name="_Toc391894836"/>
      <w:bookmarkStart w:id="832" w:name="_Toc468179308"/>
      <w:r>
        <w:rPr>
          <w:rStyle w:val="CharSectno"/>
        </w:rPr>
        <w:t>83C</w:t>
      </w:r>
      <w:r>
        <w:t>.</w:t>
      </w:r>
      <w:r>
        <w:tab/>
        <w:t>Costs of enforcement orders under s. 83, 83A and 83B</w:t>
      </w:r>
      <w:bookmarkEnd w:id="830"/>
      <w:bookmarkEnd w:id="831"/>
      <w:bookmarkEnd w:id="832"/>
    </w:p>
    <w:p>
      <w:pPr>
        <w:pStyle w:val="Subsection"/>
        <w:spacing w:before="140"/>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spacing w:before="140"/>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spacing w:before="100"/>
        <w:ind w:left="890" w:hanging="890"/>
      </w:pPr>
      <w:r>
        <w:tab/>
        <w:t>[Section 83C inserted by No. 20 of 2002 s. 155(1).]</w:t>
      </w:r>
    </w:p>
    <w:p>
      <w:pPr>
        <w:pStyle w:val="Heading5"/>
        <w:rPr>
          <w:snapToGrid w:val="0"/>
        </w:rPr>
      </w:pPr>
      <w:bookmarkStart w:id="833" w:name="_Toc471912098"/>
      <w:bookmarkStart w:id="834" w:name="_Toc391894837"/>
      <w:bookmarkStart w:id="835" w:name="_Toc468179309"/>
      <w:r>
        <w:rPr>
          <w:rStyle w:val="CharSectno"/>
        </w:rPr>
        <w:t>83D</w:t>
      </w:r>
      <w:r>
        <w:rPr>
          <w:snapToGrid w:val="0"/>
        </w:rPr>
        <w:t>.</w:t>
      </w:r>
      <w:r>
        <w:rPr>
          <w:snapToGrid w:val="0"/>
        </w:rPr>
        <w:tab/>
        <w:t>Offences under this Act, jurisdiction as to</w:t>
      </w:r>
      <w:bookmarkEnd w:id="833"/>
      <w:bookmarkEnd w:id="834"/>
      <w:bookmarkEnd w:id="835"/>
    </w:p>
    <w:p>
      <w:pPr>
        <w:pStyle w:val="Subsection"/>
        <w:spacing w:before="140"/>
      </w:pPr>
      <w:r>
        <w:tab/>
        <w:t>(1)</w:t>
      </w:r>
      <w:r>
        <w:tab/>
        <w:t>An industrial magistrate’s court has jurisdiction to hear and determine any charge of an offence under this Act other than an offence under section 80(3).</w:t>
      </w:r>
    </w:p>
    <w:p>
      <w:pPr>
        <w:pStyle w:val="Subsection"/>
        <w:spacing w:before="140"/>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spacing w:before="140"/>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spacing w:before="100"/>
        <w:ind w:left="890" w:hanging="890"/>
      </w:pPr>
      <w:r>
        <w:tab/>
        <w:t>[Section 83D inserted as section 83A by No. 79 of 1995 s. 25; renumbered as section 83D by No. 20 of 2002 s. 156; amended by No. 59 of 2004 s. 112; No. 84 of 2004 s. 78 and 80; No. 5 of 2008 s. 63.]</w:t>
      </w:r>
    </w:p>
    <w:p>
      <w:pPr>
        <w:pStyle w:val="Heading5"/>
      </w:pPr>
      <w:bookmarkStart w:id="836" w:name="_Toc471912099"/>
      <w:bookmarkStart w:id="837" w:name="_Toc391894838"/>
      <w:bookmarkStart w:id="838" w:name="_Toc468179310"/>
      <w:r>
        <w:rPr>
          <w:rStyle w:val="CharSectno"/>
        </w:rPr>
        <w:t>83E</w:t>
      </w:r>
      <w:r>
        <w:t>.</w:t>
      </w:r>
      <w:r>
        <w:tab/>
        <w:t>Civil penalty provision, proceedings for contravening</w:t>
      </w:r>
      <w:bookmarkEnd w:id="836"/>
      <w:bookmarkEnd w:id="837"/>
      <w:bookmarkEnd w:id="838"/>
    </w:p>
    <w:p>
      <w:pPr>
        <w:pStyle w:val="Subsection"/>
        <w:spacing w:before="140"/>
      </w:pPr>
      <w:r>
        <w:tab/>
        <w:t>(1)</w:t>
      </w:r>
      <w:r>
        <w:tab/>
        <w:t>If a person contravenes a civil penalty provision, an industrial magistrate’s court may make an order imposing a penalty on the person, not exceeding —</w:t>
      </w:r>
    </w:p>
    <w:p>
      <w:pPr>
        <w:pStyle w:val="Indenta"/>
        <w:spacing w:before="60"/>
      </w:pPr>
      <w:r>
        <w:tab/>
        <w:t>(a)</w:t>
      </w:r>
      <w:r>
        <w:tab/>
        <w:t>in the case of an employer, organisation or association, $5 000; and</w:t>
      </w:r>
    </w:p>
    <w:p>
      <w:pPr>
        <w:pStyle w:val="Indenta"/>
      </w:pPr>
      <w:r>
        <w:tab/>
        <w:t>(b)</w:t>
      </w:r>
      <w:r>
        <w:tab/>
        <w:t>in any other case, $1 000.</w:t>
      </w:r>
    </w:p>
    <w:p>
      <w:pPr>
        <w:pStyle w:val="Subsection"/>
        <w:spacing w:before="180"/>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spacing w:before="180"/>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spacing w:before="180"/>
      </w:pPr>
      <w:r>
        <w:tab/>
        <w:t>(4)</w:t>
      </w:r>
      <w:r>
        <w:tab/>
        <w:t>An order under subsection (2)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spacing w:before="180"/>
      </w:pPr>
      <w:r>
        <w:tab/>
        <w:t>(5)</w:t>
      </w:r>
      <w:r>
        <w:tab/>
        <w:t>An interim order may be made under subsection (2) pending final determination of an application under this section.</w:t>
      </w:r>
    </w:p>
    <w:p>
      <w:pPr>
        <w:pStyle w:val="Subsection"/>
        <w:spacing w:before="180"/>
      </w:pPr>
      <w:r>
        <w:tab/>
        <w:t>(6)</w:t>
      </w:r>
      <w:r>
        <w:tab/>
        <w:t>Except as provided in subsections (6a) and (7A), an application for an order under this section may be made by —</w:t>
      </w:r>
    </w:p>
    <w:p>
      <w:pPr>
        <w:pStyle w:val="Indenta"/>
      </w:pPr>
      <w:r>
        <w:tab/>
        <w:t>(a)</w:t>
      </w:r>
      <w:r>
        <w:tab/>
        <w:t>a person directly affected by the contravention or, if that person is a represented person, his or her representative; or</w:t>
      </w:r>
    </w:p>
    <w:p>
      <w:pPr>
        <w:pStyle w:val="Indenta"/>
      </w:pPr>
      <w:r>
        <w:tab/>
        <w:t>(b)</w:t>
      </w:r>
      <w:r>
        <w:tab/>
        <w:t>an organisation or association of which a person who comes within paragraph (a) is a member; or</w:t>
      </w:r>
    </w:p>
    <w:p>
      <w:pPr>
        <w:pStyle w:val="Indenta"/>
      </w:pPr>
      <w:r>
        <w:tab/>
        <w:t>(c)</w:t>
      </w:r>
      <w:r>
        <w:tab/>
        <w:t>the Registrar or a deputy registrar; or</w:t>
      </w:r>
    </w:p>
    <w:p>
      <w:pPr>
        <w:pStyle w:val="Indenta"/>
      </w:pPr>
      <w:r>
        <w:tab/>
        <w:t>(d)</w:t>
      </w:r>
      <w:r>
        <w:tab/>
        <w:t>an industrial inspector.</w:t>
      </w:r>
    </w:p>
    <w:p>
      <w:pPr>
        <w:pStyle w:val="Subsection"/>
        <w:spacing w:before="180"/>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
        </w:rPr>
      </w:pPr>
      <w:r>
        <w:tab/>
        <w:t>(7A)</w:t>
      </w:r>
      <w:r>
        <w:tab/>
        <w:t xml:space="preserve">In the case of a contravention of a provision under the </w:t>
      </w:r>
      <w:r>
        <w:rPr>
          <w:i/>
        </w:rPr>
        <w:t>Construction Industry Portable Paid Long Service Leave Act 1985</w:t>
      </w:r>
      <w:r>
        <w:t xml:space="preserve"> that is a civil penalty provision</w:t>
      </w:r>
      <w:r>
        <w:rPr>
          <w:i/>
        </w:rPr>
        <w:t> —</w:t>
      </w:r>
    </w:p>
    <w:p>
      <w:pPr>
        <w:pStyle w:val="Indenta"/>
      </w:pPr>
      <w:r>
        <w:tab/>
        <w:t>(a)</w:t>
      </w:r>
      <w:r>
        <w:tab/>
        <w:t>subsection (6) does not apply; and</w:t>
      </w:r>
    </w:p>
    <w:p>
      <w:pPr>
        <w:pStyle w:val="Indenta"/>
      </w:pPr>
      <w:r>
        <w:tab/>
        <w:t>(b)</w:t>
      </w:r>
      <w:r>
        <w:tab/>
        <w:t>an application for an order under this section may be made, with the written consent of the Construction Industry Long Service Leave Payments Board established under section 5 of that Act, by an officer of the Board.</w:t>
      </w:r>
    </w:p>
    <w:p>
      <w:pPr>
        <w:pStyle w:val="Subsection"/>
      </w:pPr>
      <w:r>
        <w:tab/>
        <w:t>(7)</w:t>
      </w:r>
      <w:r>
        <w:tab/>
        <w:t>An application under subsection (6) or (7A)(b)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by No. 20 of 2002 s. 157; amended by No. 36 of 2006 s. 70; No. 53 of 2011 s. 31.]</w:t>
      </w:r>
    </w:p>
    <w:p>
      <w:pPr>
        <w:pStyle w:val="Heading5"/>
      </w:pPr>
      <w:bookmarkStart w:id="839" w:name="_Toc471912100"/>
      <w:bookmarkStart w:id="840" w:name="_Toc391894839"/>
      <w:bookmarkStart w:id="841" w:name="_Toc468179311"/>
      <w:r>
        <w:rPr>
          <w:rStyle w:val="CharSectno"/>
        </w:rPr>
        <w:t>83F</w:t>
      </w:r>
      <w:r>
        <w:t>.</w:t>
      </w:r>
      <w:r>
        <w:tab/>
        <w:t>Costs and penalties, payment of</w:t>
      </w:r>
      <w:bookmarkEnd w:id="839"/>
      <w:bookmarkEnd w:id="840"/>
      <w:bookmarkEnd w:id="841"/>
    </w:p>
    <w:p>
      <w:pPr>
        <w:pStyle w:val="Subsection"/>
      </w:pPr>
      <w:r>
        <w:tab/>
        <w:t>(1)</w:t>
      </w:r>
      <w:r>
        <w:tab/>
        <w:t>Where the industrial magistrate’s court, by an order made under section 83, 83A, 83B or 83E, imposes a penalty or costs the industrial magistrate’s court shall state in the order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An industrial magistrate’s court imposing a penalty by order under section 83, 83A, 83B or 83E may order that the amount of the penalty, or part of that amount, be paid to —</w:t>
      </w:r>
    </w:p>
    <w:p>
      <w:pPr>
        <w:pStyle w:val="Indenta"/>
      </w:pPr>
      <w:r>
        <w:tab/>
        <w:t>(a)</w:t>
      </w:r>
      <w:r>
        <w:tab/>
        <w:t>a person directly affected by the conduct to which the contravention relates; or</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[Section 83F inserted by No. 20 of 2002 s. 157.]</w:t>
      </w:r>
    </w:p>
    <w:p>
      <w:pPr>
        <w:pStyle w:val="Heading5"/>
        <w:keepNext w:val="0"/>
        <w:keepLines w:val="0"/>
        <w:rPr>
          <w:snapToGrid w:val="0"/>
        </w:rPr>
      </w:pPr>
      <w:bookmarkStart w:id="842" w:name="_Toc471912101"/>
      <w:bookmarkStart w:id="843" w:name="_Toc391894840"/>
      <w:bookmarkStart w:id="844" w:name="_Toc468179312"/>
      <w:r>
        <w:rPr>
          <w:rStyle w:val="CharSectno"/>
        </w:rPr>
        <w:t>84</w:t>
      </w:r>
      <w:r>
        <w:rPr>
          <w:snapToGrid w:val="0"/>
        </w:rPr>
        <w:t>.</w:t>
      </w:r>
      <w:r>
        <w:rPr>
          <w:snapToGrid w:val="0"/>
        </w:rPr>
        <w:tab/>
        <w:t>Appeal from industrial magistrate’s court to Full Bench</w:t>
      </w:r>
      <w:bookmarkEnd w:id="842"/>
      <w:bookmarkEnd w:id="843"/>
      <w:bookmarkEnd w:id="844"/>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w:t>
      </w:r>
    </w:p>
    <w:p>
      <w:pPr>
        <w:pStyle w:val="Indenta"/>
        <w:rPr>
          <w:snapToGrid w:val="0"/>
        </w:rPr>
      </w:pPr>
      <w:r>
        <w:rPr>
          <w:snapToGrid w:val="0"/>
        </w:rPr>
        <w:tab/>
        <w:t>(a)</w:t>
      </w:r>
      <w:r>
        <w:rPr>
          <w:snapToGrid w:val="0"/>
        </w:rPr>
        <w:tab/>
        <w:t>may confirm, reverse, vary, amend, rescind, set aside, or quash the decision the subject of the appeal; and</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[Section 84 amended by No. 94 of 1984 s. 66; No. 44 of 1991 s. 8; No. 15 of 1993 s. 26; No. 20 of 2002 s. 113(4).]</w:t>
      </w:r>
    </w:p>
    <w:p>
      <w:pPr>
        <w:pStyle w:val="Heading5"/>
        <w:rPr>
          <w:snapToGrid w:val="0"/>
        </w:rPr>
      </w:pPr>
      <w:bookmarkStart w:id="845" w:name="_Toc471912102"/>
      <w:bookmarkStart w:id="846" w:name="_Toc391894841"/>
      <w:bookmarkStart w:id="847" w:name="_Toc468179313"/>
      <w:r>
        <w:rPr>
          <w:rStyle w:val="CharSectno"/>
        </w:rPr>
        <w:t>84A</w:t>
      </w:r>
      <w:r>
        <w:rPr>
          <w:snapToGrid w:val="0"/>
        </w:rPr>
        <w:t>.</w:t>
      </w:r>
      <w:r>
        <w:rPr>
          <w:snapToGrid w:val="0"/>
        </w:rPr>
        <w:tab/>
        <w:t>Certain contraventions of Act, enforcement of before Full Bench</w:t>
      </w:r>
      <w:bookmarkEnd w:id="845"/>
      <w:bookmarkEnd w:id="846"/>
      <w:bookmarkEnd w:id="847"/>
    </w:p>
    <w:p>
      <w:pPr>
        <w:pStyle w:val="Subsection"/>
        <w:rPr>
          <w:snapToGrid w:val="0"/>
        </w:rPr>
      </w:pPr>
      <w:r>
        <w:rPr>
          <w:snapToGrid w:val="0"/>
        </w:rPr>
        <w:tab/>
        <w:t>(1)</w:t>
      </w:r>
      <w:r>
        <w:rPr>
          <w:snapToGrid w:val="0"/>
        </w:rPr>
        <w:tab/>
        <w:t>Subject to this section, if a person contravenes or fails to comply with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w:t>
      </w:r>
    </w:p>
    <w:p>
      <w:pPr>
        <w:pStyle w:val="Indenti"/>
        <w:rPr>
          <w:snapToGrid w:val="0"/>
        </w:rPr>
      </w:pPr>
      <w:r>
        <w:rPr>
          <w:snapToGrid w:val="0"/>
        </w:rPr>
        <w:tab/>
        <w:t>(i)</w:t>
      </w:r>
      <w:r>
        <w:rPr>
          <w:snapToGrid w:val="0"/>
        </w:rPr>
        <w:tab/>
        <w:t>the Minister; or</w:t>
      </w:r>
    </w:p>
    <w:p>
      <w:pPr>
        <w:pStyle w:val="Indenti"/>
        <w:rPr>
          <w:snapToGrid w:val="0"/>
        </w:rPr>
      </w:pPr>
      <w:r>
        <w:rPr>
          <w:snapToGrid w:val="0"/>
        </w:rPr>
        <w:tab/>
        <w:t>(ii)</w:t>
      </w:r>
      <w:r>
        <w:rPr>
          <w:snapToGrid w:val="0"/>
        </w:rPr>
        <w:tab/>
        <w:t>the Registrar or a deputy registrar; or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Subsection (1) does not apply to a contravention of or a failure to comply with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w:t>
      </w:r>
    </w:p>
    <w:p>
      <w:pPr>
        <w:pStyle w:val="Indenta"/>
        <w:rPr>
          <w:snapToGrid w:val="0"/>
        </w:rPr>
      </w:pPr>
      <w:r>
        <w:rPr>
          <w:snapToGrid w:val="0"/>
        </w:rPr>
        <w:tab/>
        <w:t>(a)</w:t>
      </w:r>
      <w:r>
        <w:rPr>
          <w:snapToGrid w:val="0"/>
        </w:rPr>
        <w:tab/>
        <w:t>if the contravention or failure to comply is proved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[Section 84A inserted by No. 94 of 1984 s. 52; amended by No. 119 of 1987 s. 21; No. 79 of 1995 s. 8(2); No. 20 of 2002 s. 134 and 158; No. 36 of 2006 s. 26.]</w:t>
      </w:r>
    </w:p>
    <w:p>
      <w:pPr>
        <w:pStyle w:val="Ednotepart"/>
        <w:rPr>
          <w:b/>
        </w:rPr>
      </w:pPr>
      <w:r>
        <w:t>[Part IIIA (s. 84B</w:t>
      </w:r>
      <w:r>
        <w:noBreakHyphen/>
        <w:t>84O) deleted</w:t>
      </w:r>
      <w:r>
        <w:rPr>
          <w:b/>
        </w:rPr>
        <w:t xml:space="preserve"> </w:t>
      </w:r>
      <w:r>
        <w:t>by No. 20 of 2002 s. 193(1).]</w:t>
      </w:r>
    </w:p>
    <w:p>
      <w:pPr>
        <w:pStyle w:val="Heading2"/>
      </w:pPr>
      <w:bookmarkStart w:id="848" w:name="_Toc471912103"/>
      <w:bookmarkStart w:id="849" w:name="_Toc391894842"/>
      <w:bookmarkStart w:id="850" w:name="_Toc419713427"/>
      <w:bookmarkStart w:id="851" w:name="_Toc435103071"/>
      <w:bookmarkStart w:id="852" w:name="_Toc452556501"/>
      <w:bookmarkStart w:id="853" w:name="_Toc455414081"/>
      <w:bookmarkStart w:id="854" w:name="_Toc462415511"/>
      <w:bookmarkStart w:id="855" w:name="_Toc462742422"/>
      <w:bookmarkStart w:id="856" w:name="_Toc465086076"/>
      <w:bookmarkStart w:id="857" w:name="_Toc468179314"/>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848"/>
      <w:bookmarkEnd w:id="849"/>
      <w:bookmarkEnd w:id="850"/>
      <w:bookmarkEnd w:id="851"/>
      <w:bookmarkEnd w:id="852"/>
      <w:bookmarkEnd w:id="853"/>
      <w:bookmarkEnd w:id="854"/>
      <w:bookmarkEnd w:id="855"/>
      <w:bookmarkEnd w:id="856"/>
      <w:bookmarkEnd w:id="857"/>
    </w:p>
    <w:p>
      <w:pPr>
        <w:pStyle w:val="Heading5"/>
        <w:rPr>
          <w:snapToGrid w:val="0"/>
        </w:rPr>
      </w:pPr>
      <w:bookmarkStart w:id="858" w:name="_Toc471912104"/>
      <w:bookmarkStart w:id="859" w:name="_Toc391894843"/>
      <w:bookmarkStart w:id="860" w:name="_Toc468179315"/>
      <w:r>
        <w:rPr>
          <w:rStyle w:val="CharSectno"/>
        </w:rPr>
        <w:t>85</w:t>
      </w:r>
      <w:r>
        <w:rPr>
          <w:snapToGrid w:val="0"/>
        </w:rPr>
        <w:t>.</w:t>
      </w:r>
      <w:r>
        <w:rPr>
          <w:snapToGrid w:val="0"/>
        </w:rPr>
        <w:tab/>
        <w:t>Constitution of Court</w:t>
      </w:r>
      <w:bookmarkEnd w:id="858"/>
      <w:bookmarkEnd w:id="859"/>
      <w:bookmarkEnd w:id="860"/>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w:t>
      </w:r>
    </w:p>
    <w:p>
      <w:pPr>
        <w:pStyle w:val="Indenta"/>
        <w:rPr>
          <w:snapToGrid w:val="0"/>
        </w:rPr>
      </w:pPr>
      <w:r>
        <w:rPr>
          <w:snapToGrid w:val="0"/>
        </w:rPr>
        <w:tab/>
        <w:t>(a)</w:t>
      </w:r>
      <w:r>
        <w:rPr>
          <w:snapToGrid w:val="0"/>
        </w:rPr>
        <w:tab/>
        <w:t>a judge who shall be the presiding judge; and</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pPr>
      <w:r>
        <w:tab/>
        <w:t>(7)</w:t>
      </w:r>
      <w:r>
        <w:tab/>
        <w:t>Subject to subsection (9), the chief executive officer of the Registrar’s Department is to be the clerk of the Court.</w:t>
      </w:r>
    </w:p>
    <w:p>
      <w:pPr>
        <w:pStyle w:val="Subsection"/>
      </w:pPr>
      <w:r>
        <w:tab/>
        <w:t>(8)</w:t>
      </w:r>
      <w:r>
        <w:tab/>
        <w:t xml:space="preserve">The </w:t>
      </w:r>
      <w:r>
        <w:rPr>
          <w:i/>
          <w:iCs/>
        </w:rPr>
        <w:t>Public Sector Management Act 1994</w:t>
      </w:r>
      <w:r>
        <w:t xml:space="preserve"> section 32(1) does not apply to the performance of functions of the clerk of the Court by the chief executive officer of the Registrar’s Department.</w:t>
      </w:r>
    </w:p>
    <w:p>
      <w:pPr>
        <w:pStyle w:val="Subsection"/>
      </w:pPr>
      <w:r>
        <w:tab/>
        <w:t>(9)</w:t>
      </w:r>
      <w:r>
        <w:tab/>
        <w:t>The chief executive officer of the Registrar’s Department may designate a Registrar’s Department officer as the clerk of the Court.</w:t>
      </w:r>
    </w:p>
    <w:p>
      <w:pPr>
        <w:pStyle w:val="Footnotesection"/>
      </w:pPr>
      <w:r>
        <w:tab/>
        <w:t>[Section 85 amended by No. 94 of 1984 s. 53; No. 32 of 1994 s. 14; No. 53 of 2011 s. 43.]</w:t>
      </w:r>
    </w:p>
    <w:p>
      <w:pPr>
        <w:pStyle w:val="Heading5"/>
        <w:rPr>
          <w:snapToGrid w:val="0"/>
        </w:rPr>
      </w:pPr>
      <w:bookmarkStart w:id="861" w:name="_Toc471912105"/>
      <w:bookmarkStart w:id="862" w:name="_Toc391894844"/>
      <w:bookmarkStart w:id="863" w:name="_Toc468179316"/>
      <w:r>
        <w:rPr>
          <w:rStyle w:val="CharSectno"/>
        </w:rPr>
        <w:t>86</w:t>
      </w:r>
      <w:r>
        <w:rPr>
          <w:snapToGrid w:val="0"/>
        </w:rPr>
        <w:t>.</w:t>
      </w:r>
      <w:r>
        <w:rPr>
          <w:snapToGrid w:val="0"/>
        </w:rPr>
        <w:tab/>
        <w:t>Jurisdiction of Court</w:t>
      </w:r>
      <w:bookmarkEnd w:id="861"/>
      <w:bookmarkEnd w:id="862"/>
      <w:bookmarkEnd w:id="863"/>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864" w:name="_Toc471912106"/>
      <w:bookmarkStart w:id="865" w:name="_Toc391894845"/>
      <w:bookmarkStart w:id="866" w:name="_Toc468179317"/>
      <w:r>
        <w:rPr>
          <w:rStyle w:val="CharSectno"/>
        </w:rPr>
        <w:t>87</w:t>
      </w:r>
      <w:r>
        <w:rPr>
          <w:snapToGrid w:val="0"/>
        </w:rPr>
        <w:t>.</w:t>
      </w:r>
      <w:r>
        <w:rPr>
          <w:snapToGrid w:val="0"/>
        </w:rPr>
        <w:tab/>
        <w:t>Decision of Court</w:t>
      </w:r>
      <w:bookmarkEnd w:id="864"/>
      <w:bookmarkEnd w:id="865"/>
      <w:bookmarkEnd w:id="866"/>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[Section 87 amended by No. 94 of 1984 s. 66.]</w:t>
      </w:r>
    </w:p>
    <w:p>
      <w:pPr>
        <w:pStyle w:val="Heading5"/>
      </w:pPr>
      <w:bookmarkStart w:id="867" w:name="_Toc471912107"/>
      <w:bookmarkStart w:id="868" w:name="_Toc391894846"/>
      <w:bookmarkStart w:id="869" w:name="_Toc468179318"/>
      <w:r>
        <w:rPr>
          <w:rStyle w:val="CharSectno"/>
        </w:rPr>
        <w:t>88</w:t>
      </w:r>
      <w:r>
        <w:t>.</w:t>
      </w:r>
      <w:r>
        <w:tab/>
        <w:t>Judgments, enforcement of</w:t>
      </w:r>
      <w:bookmarkEnd w:id="867"/>
      <w:bookmarkEnd w:id="868"/>
      <w:bookmarkEnd w:id="869"/>
    </w:p>
    <w:p>
      <w:pPr>
        <w:pStyle w:val="Subsection"/>
      </w:pPr>
      <w:r>
        <w:tab/>
        <w:t>(1)</w:t>
      </w:r>
      <w:r>
        <w:tab/>
        <w:t>In this section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spacing w:before="100"/>
        <w:ind w:left="890" w:hanging="890"/>
      </w:pPr>
      <w:r>
        <w:tab/>
        <w:t>[Section 88 inserted by No. 59 of 2004 s. 111.]</w:t>
      </w:r>
    </w:p>
    <w:p>
      <w:pPr>
        <w:pStyle w:val="Ednotesection"/>
        <w:ind w:left="890" w:hanging="890"/>
      </w:pPr>
      <w:r>
        <w:t>[</w:t>
      </w:r>
      <w:r>
        <w:rPr>
          <w:b/>
        </w:rPr>
        <w:t>89.</w:t>
      </w:r>
      <w:r>
        <w:rPr>
          <w:b/>
        </w:rPr>
        <w:tab/>
      </w:r>
      <w:r>
        <w:t>Deleted by No. 59 of 2004 s. 111.]</w:t>
      </w:r>
    </w:p>
    <w:p>
      <w:pPr>
        <w:pStyle w:val="Heading5"/>
        <w:rPr>
          <w:snapToGrid w:val="0"/>
        </w:rPr>
      </w:pPr>
      <w:bookmarkStart w:id="870" w:name="_Toc471912108"/>
      <w:bookmarkStart w:id="871" w:name="_Toc391894847"/>
      <w:bookmarkStart w:id="872" w:name="_Toc468179319"/>
      <w:r>
        <w:rPr>
          <w:rStyle w:val="CharSectno"/>
        </w:rPr>
        <w:t>90</w:t>
      </w:r>
      <w:r>
        <w:rPr>
          <w:snapToGrid w:val="0"/>
        </w:rPr>
        <w:t>.</w:t>
      </w:r>
      <w:r>
        <w:rPr>
          <w:snapToGrid w:val="0"/>
        </w:rPr>
        <w:tab/>
        <w:t>Appeal from Commission to Court</w:t>
      </w:r>
      <w:bookmarkEnd w:id="870"/>
      <w:bookmarkEnd w:id="871"/>
      <w:bookmarkEnd w:id="872"/>
    </w:p>
    <w:p>
      <w:pPr>
        <w:pStyle w:val="Subsection"/>
      </w:pPr>
      <w:r>
        <w:tab/>
        <w:t>(1)</w:t>
      </w:r>
      <w:r>
        <w:tab/>
        <w:t>Subject to this section, an appeal lies to the Court in the manner prescribed from any decision of the President, the Full Bench, or the Commission in Court Session —</w:t>
      </w:r>
    </w:p>
    <w:p>
      <w:pPr>
        <w:pStyle w:val="Indenta"/>
        <w:spacing w:before="60"/>
      </w:pPr>
      <w:r>
        <w:tab/>
        <w:t>(a)</w:t>
      </w:r>
      <w:r>
        <w:tab/>
        <w:t>on the ground that the decision is in excess of jurisdiction in that the matter the subject of the decision is not an industrial matter; or</w:t>
      </w:r>
    </w:p>
    <w:p>
      <w:pPr>
        <w:pStyle w:val="Indenta"/>
        <w:spacing w:before="60"/>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spacing w:before="60"/>
      </w:pPr>
      <w:r>
        <w:tab/>
        <w:t>(c)</w:t>
      </w:r>
      <w:r>
        <w:tab/>
        <w:t>on the ground that the appellant has been denied the right to be heard,</w:t>
      </w:r>
    </w:p>
    <w:p>
      <w:pPr>
        <w:pStyle w:val="Subsection"/>
        <w:spacing w:before="120"/>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w:t>
      </w:r>
    </w:p>
    <w:p>
      <w:pPr>
        <w:pStyle w:val="Indenta"/>
        <w:spacing w:before="60"/>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spacing w:before="180"/>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spacing w:before="180"/>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spacing w:before="180"/>
        <w:rPr>
          <w:snapToGrid w:val="0"/>
        </w:rPr>
      </w:pPr>
      <w:r>
        <w:rPr>
          <w:snapToGrid w:val="0"/>
        </w:rPr>
        <w:tab/>
        <w:t>(4)</w:t>
      </w:r>
      <w:r>
        <w:rPr>
          <w:snapToGrid w:val="0"/>
        </w:rPr>
        <w:tab/>
        <w:t>The Court may at any time, if it considers that to do so will not prejudice any party to an appeal under this section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[Section 90 amended by No. 94 of 1984 s. 54; No. 119 of 1987 s. 22; No. 20 of 2002 s. 126; No. 8 of 2009 s. 77(5).]</w:t>
      </w:r>
    </w:p>
    <w:p>
      <w:pPr>
        <w:pStyle w:val="Heading5"/>
        <w:spacing w:before="260"/>
        <w:rPr>
          <w:snapToGrid w:val="0"/>
        </w:rPr>
      </w:pPr>
      <w:bookmarkStart w:id="873" w:name="_Toc471912109"/>
      <w:bookmarkStart w:id="874" w:name="_Toc391894848"/>
      <w:bookmarkStart w:id="875" w:name="_Toc468179320"/>
      <w:r>
        <w:rPr>
          <w:rStyle w:val="CharSectno"/>
        </w:rPr>
        <w:t>91</w:t>
      </w:r>
      <w:r>
        <w:rPr>
          <w:snapToGrid w:val="0"/>
        </w:rPr>
        <w:t>.</w:t>
      </w:r>
      <w:r>
        <w:rPr>
          <w:snapToGrid w:val="0"/>
        </w:rPr>
        <w:tab/>
        <w:t>Representation before Court</w:t>
      </w:r>
      <w:bookmarkEnd w:id="873"/>
      <w:bookmarkEnd w:id="874"/>
      <w:bookmarkEnd w:id="875"/>
    </w:p>
    <w:p>
      <w:pPr>
        <w:pStyle w:val="Subsection"/>
        <w:spacing w:before="180"/>
        <w:rPr>
          <w:snapToGrid w:val="0"/>
        </w:rPr>
      </w:pPr>
      <w:r>
        <w:rPr>
          <w:snapToGrid w:val="0"/>
        </w:rPr>
        <w:tab/>
        <w:t>(1)</w:t>
      </w:r>
      <w:r>
        <w:rPr>
          <w:snapToGrid w:val="0"/>
        </w:rPr>
        <w:tab/>
        <w:t>Subject to this section, in proceedings before the Court under this Act, a party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spacing w:before="180"/>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876" w:name="_Toc471912110"/>
      <w:bookmarkStart w:id="877" w:name="_Toc391894849"/>
      <w:bookmarkStart w:id="878" w:name="_Toc468179321"/>
      <w:r>
        <w:rPr>
          <w:rStyle w:val="CharSectno"/>
        </w:rPr>
        <w:t>92</w:t>
      </w:r>
      <w:r>
        <w:rPr>
          <w:snapToGrid w:val="0"/>
        </w:rPr>
        <w:t>.</w:t>
      </w:r>
      <w:r>
        <w:rPr>
          <w:snapToGrid w:val="0"/>
        </w:rPr>
        <w:tab/>
        <w:t>Contempt, Court’s powers as to</w:t>
      </w:r>
      <w:bookmarkEnd w:id="876"/>
      <w:bookmarkEnd w:id="877"/>
      <w:bookmarkEnd w:id="878"/>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[Section 92 amended by No. 121 of 1982 s. 28.]</w:t>
      </w:r>
    </w:p>
    <w:p>
      <w:pPr>
        <w:pStyle w:val="Heading2"/>
      </w:pPr>
      <w:bookmarkStart w:id="879" w:name="_Toc471912111"/>
      <w:bookmarkStart w:id="880" w:name="_Toc391894850"/>
      <w:bookmarkStart w:id="881" w:name="_Toc419713435"/>
      <w:bookmarkStart w:id="882" w:name="_Toc435103079"/>
      <w:bookmarkStart w:id="883" w:name="_Toc452556509"/>
      <w:bookmarkStart w:id="884" w:name="_Toc455414089"/>
      <w:bookmarkStart w:id="885" w:name="_Toc462415519"/>
      <w:bookmarkStart w:id="886" w:name="_Toc462742430"/>
      <w:bookmarkStart w:id="887" w:name="_Toc465086084"/>
      <w:bookmarkStart w:id="888" w:name="_Toc468179322"/>
      <w:r>
        <w:rPr>
          <w:rStyle w:val="CharPartNo"/>
        </w:rPr>
        <w:t>Part V</w:t>
      </w:r>
      <w:r>
        <w:rPr>
          <w:rStyle w:val="CharDivNo"/>
        </w:rPr>
        <w:t> </w:t>
      </w:r>
      <w:r>
        <w:t>—</w:t>
      </w:r>
      <w:r>
        <w:rPr>
          <w:rStyle w:val="CharDivText"/>
        </w:rPr>
        <w:t> </w:t>
      </w:r>
      <w:r>
        <w:rPr>
          <w:rStyle w:val="CharPartText"/>
        </w:rPr>
        <w:t>The Registrar and other officers of the Commission</w:t>
      </w:r>
      <w:bookmarkEnd w:id="879"/>
      <w:bookmarkEnd w:id="880"/>
      <w:bookmarkEnd w:id="881"/>
      <w:bookmarkEnd w:id="882"/>
      <w:bookmarkEnd w:id="883"/>
      <w:bookmarkEnd w:id="884"/>
      <w:bookmarkEnd w:id="885"/>
      <w:bookmarkEnd w:id="886"/>
      <w:bookmarkEnd w:id="887"/>
      <w:bookmarkEnd w:id="888"/>
    </w:p>
    <w:p>
      <w:pPr>
        <w:pStyle w:val="Footnoteheading"/>
        <w:rPr>
          <w:snapToGrid w:val="0"/>
        </w:rPr>
      </w:pPr>
      <w:r>
        <w:rPr>
          <w:snapToGrid w:val="0"/>
        </w:rPr>
        <w:tab/>
        <w:t>[Heading amended by No. 94 of 1984 s. 55.]</w:t>
      </w:r>
    </w:p>
    <w:p>
      <w:pPr>
        <w:pStyle w:val="Heading5"/>
        <w:rPr>
          <w:snapToGrid w:val="0"/>
        </w:rPr>
      </w:pPr>
      <w:bookmarkStart w:id="889" w:name="_Toc471912112"/>
      <w:bookmarkStart w:id="890" w:name="_Toc391894851"/>
      <w:bookmarkStart w:id="891" w:name="_Toc468179323"/>
      <w:r>
        <w:rPr>
          <w:rStyle w:val="CharSectno"/>
        </w:rPr>
        <w:t>93</w:t>
      </w:r>
      <w:r>
        <w:rPr>
          <w:snapToGrid w:val="0"/>
        </w:rPr>
        <w:t>.</w:t>
      </w:r>
      <w:r>
        <w:rPr>
          <w:snapToGrid w:val="0"/>
        </w:rPr>
        <w:tab/>
        <w:t>Appointment and duties of officers</w:t>
      </w:r>
      <w:bookmarkEnd w:id="889"/>
      <w:bookmarkEnd w:id="890"/>
      <w:bookmarkEnd w:id="891"/>
    </w:p>
    <w:p>
      <w:pPr>
        <w:pStyle w:val="Subsection"/>
      </w:pPr>
      <w:r>
        <w:tab/>
        <w:t>(1)</w:t>
      </w:r>
      <w:r>
        <w:tab/>
        <w:t>Subject to subsection (1AB), the chief executive officer of the Registrar’s Department is to be the Registrar.</w:t>
      </w:r>
    </w:p>
    <w:p>
      <w:pPr>
        <w:pStyle w:val="Subsection"/>
      </w:pPr>
      <w:r>
        <w:tab/>
        <w:t>(1AA)</w:t>
      </w:r>
      <w:r>
        <w:tab/>
        <w:t xml:space="preserve">The </w:t>
      </w:r>
      <w:r>
        <w:rPr>
          <w:i/>
          <w:iCs/>
        </w:rPr>
        <w:t>Public Sector Management Act 1994</w:t>
      </w:r>
      <w:r>
        <w:t xml:space="preserve"> section 32(1) does not apply to the performance of functions of the Registrar by the chief executive officer of the Registrar’s Department.</w:t>
      </w:r>
    </w:p>
    <w:p>
      <w:pPr>
        <w:pStyle w:val="Subsection"/>
      </w:pPr>
      <w:r>
        <w:tab/>
        <w:t>(1AB)</w:t>
      </w:r>
      <w:r>
        <w:tab/>
        <w:t>The chief executive officer of the Registrar’s Department may, after consultation with the Chief Commissioner, designate a Registrar’s Department officer as the Registrar.</w:t>
      </w:r>
    </w:p>
    <w:p>
      <w:pPr>
        <w:pStyle w:val="Subsection"/>
      </w:pPr>
      <w:r>
        <w:tab/>
        <w:t>(1AC)</w:t>
      </w:r>
      <w:r>
        <w:tab/>
        <w:t>The Registrar may designate a Registrar’s Department officer as a deputy registrar.</w:t>
      </w:r>
    </w:p>
    <w:p>
      <w:pPr>
        <w:pStyle w:val="Subsection"/>
      </w:pPr>
      <w:r>
        <w:tab/>
        <w:t>(1AD)</w:t>
      </w:r>
      <w:r>
        <w:tab/>
        <w:t>There are to be as many deputy registrars as are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r>
        <w:t>public service officers.</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w:t>
      </w:r>
    </w:p>
    <w:p>
      <w:pPr>
        <w:pStyle w:val="Indenta"/>
      </w:pPr>
      <w:r>
        <w:tab/>
        <w:t>(a)</w:t>
      </w:r>
      <w:r>
        <w:tab/>
        <w:t>in a newspaper circulating throughout the State; or</w:t>
      </w:r>
    </w:p>
    <w:p>
      <w:pPr>
        <w:pStyle w:val="Indenta"/>
        <w:keepNext/>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w:t>
      </w:r>
    </w:p>
    <w:p>
      <w:pPr>
        <w:pStyle w:val="Indenta"/>
        <w:rPr>
          <w:snapToGrid w:val="0"/>
        </w:rPr>
      </w:pPr>
      <w:r>
        <w:rPr>
          <w:snapToGrid w:val="0"/>
        </w:rPr>
        <w:tab/>
        <w:t>(a)</w:t>
      </w:r>
      <w:r>
        <w:rPr>
          <w:snapToGrid w:val="0"/>
        </w:rPr>
        <w:tab/>
        <w:t>maintain at the premises of the Commission up to date consolidations of all awards and industrial agreements; and</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(9); No. 53 of 2011 s. 44.]</w:t>
      </w:r>
    </w:p>
    <w:p>
      <w:pPr>
        <w:pStyle w:val="Heading5"/>
        <w:rPr>
          <w:snapToGrid w:val="0"/>
        </w:rPr>
      </w:pPr>
      <w:bookmarkStart w:id="892" w:name="_Toc471912113"/>
      <w:bookmarkStart w:id="893" w:name="_Toc391894852"/>
      <w:bookmarkStart w:id="894" w:name="_Toc468179324"/>
      <w:r>
        <w:rPr>
          <w:rStyle w:val="CharSectno"/>
        </w:rPr>
        <w:t>94</w:t>
      </w:r>
      <w:r>
        <w:rPr>
          <w:snapToGrid w:val="0"/>
        </w:rPr>
        <w:t>.</w:t>
      </w:r>
      <w:r>
        <w:rPr>
          <w:snapToGrid w:val="0"/>
        </w:rPr>
        <w:tab/>
        <w:t>Authority of officers to do acts as directed</w:t>
      </w:r>
      <w:bookmarkEnd w:id="892"/>
      <w:bookmarkEnd w:id="893"/>
      <w:bookmarkEnd w:id="894"/>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[Section 94 amended by No. 1 of 1995 s. 53.]</w:t>
      </w:r>
    </w:p>
    <w:p>
      <w:pPr>
        <w:pStyle w:val="Heading5"/>
        <w:rPr>
          <w:snapToGrid w:val="0"/>
        </w:rPr>
      </w:pPr>
      <w:bookmarkStart w:id="895" w:name="_Toc471912114"/>
      <w:bookmarkStart w:id="896" w:name="_Toc391894853"/>
      <w:bookmarkStart w:id="897" w:name="_Toc468179325"/>
      <w:r>
        <w:rPr>
          <w:rStyle w:val="CharSectno"/>
        </w:rPr>
        <w:t>95</w:t>
      </w:r>
      <w:r>
        <w:rPr>
          <w:snapToGrid w:val="0"/>
        </w:rPr>
        <w:t>.</w:t>
      </w:r>
      <w:r>
        <w:rPr>
          <w:snapToGrid w:val="0"/>
        </w:rPr>
        <w:tab/>
        <w:t>Deputy registrar’s functions</w:t>
      </w:r>
      <w:bookmarkEnd w:id="895"/>
      <w:bookmarkEnd w:id="896"/>
      <w:bookmarkEnd w:id="897"/>
    </w:p>
    <w:p>
      <w:pPr>
        <w:pStyle w:val="Subsection"/>
        <w:rPr>
          <w:snapToGrid w:val="0"/>
        </w:rPr>
      </w:pPr>
      <w:r>
        <w:rPr>
          <w:snapToGrid w:val="0"/>
        </w:rPr>
        <w:tab/>
        <w:t>(1)</w:t>
      </w:r>
      <w:r>
        <w:rPr>
          <w:snapToGrid w:val="0"/>
        </w:rPr>
        <w:tab/>
        <w:t>A deputy registrar shall have and may exercise such powers and authorities and discharge such duties of the Registrar as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[Section 95 inserted by No. 94 of 1984 s. 57.]</w:t>
      </w:r>
    </w:p>
    <w:p>
      <w:pPr>
        <w:pStyle w:val="Heading5"/>
      </w:pPr>
      <w:bookmarkStart w:id="898" w:name="_Toc471912115"/>
      <w:bookmarkStart w:id="899" w:name="_Toc391894854"/>
      <w:bookmarkStart w:id="900" w:name="_Toc468179326"/>
      <w:r>
        <w:rPr>
          <w:rStyle w:val="CharSectno"/>
        </w:rPr>
        <w:t>96</w:t>
      </w:r>
      <w:r>
        <w:t>.</w:t>
      </w:r>
      <w:r>
        <w:tab/>
        <w:t>Delegation by Commission to Registrar</w:t>
      </w:r>
      <w:bookmarkEnd w:id="898"/>
      <w:bookmarkEnd w:id="899"/>
      <w:bookmarkEnd w:id="900"/>
    </w:p>
    <w:p>
      <w:pPr>
        <w:pStyle w:val="Subsection"/>
      </w:pPr>
      <w:r>
        <w:tab/>
        <w:t>(1)</w:t>
      </w:r>
      <w:r>
        <w:tab/>
        <w:t>In this section —</w:t>
      </w:r>
    </w:p>
    <w:p>
      <w:pPr>
        <w:pStyle w:val="Defstart"/>
      </w:pPr>
      <w:r>
        <w:tab/>
      </w:r>
      <w:r>
        <w:rPr>
          <w:rStyle w:val="CharDefText"/>
        </w:rPr>
        <w:t>Registrar</w:t>
      </w:r>
      <w:r>
        <w:t xml:space="preserve"> means the Registrar or a deputy registrar.</w:t>
      </w:r>
    </w:p>
    <w:p>
      <w:pPr>
        <w:pStyle w:val="Subsection"/>
      </w:pPr>
      <w:r>
        <w:tab/>
        <w:t>(2)</w:t>
      </w:r>
      <w:r>
        <w:tab/>
        <w:t>Subject to subsection (3), the regulations may provide for and in relation to the delegation to a Registrar of all or any of the functions of the Commission in relation to the following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The powers of the Commission —</w:t>
      </w:r>
    </w:p>
    <w:p>
      <w:pPr>
        <w:pStyle w:val="Indenta"/>
      </w:pPr>
      <w:r>
        <w:tab/>
        <w:t>(a)</w:t>
      </w:r>
      <w:r>
        <w:tab/>
        <w:t>to make an order under section 23A; and</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The Commission constituted by a commissioner may, on application under subsection (9), review the direction, determination or order and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901" w:name="_Toc471912116"/>
      <w:bookmarkStart w:id="902" w:name="_Toc391894855"/>
      <w:bookmarkStart w:id="903" w:name="_Toc419713440"/>
      <w:bookmarkStart w:id="904" w:name="_Toc435103084"/>
      <w:bookmarkStart w:id="905" w:name="_Toc452556514"/>
      <w:bookmarkStart w:id="906" w:name="_Toc455414094"/>
      <w:bookmarkStart w:id="907" w:name="_Toc462415524"/>
      <w:bookmarkStart w:id="908" w:name="_Toc462742435"/>
      <w:bookmarkStart w:id="909" w:name="_Toc465086089"/>
      <w:bookmarkStart w:id="910" w:name="_Toc468179327"/>
      <w:r>
        <w:rPr>
          <w:rStyle w:val="CharPartNo"/>
        </w:rPr>
        <w:t>Part VIA</w:t>
      </w:r>
      <w:r>
        <w:t xml:space="preserve"> — </w:t>
      </w:r>
      <w:r>
        <w:rPr>
          <w:rStyle w:val="CharPartText"/>
        </w:rPr>
        <w:t>Freedom of association</w:t>
      </w:r>
      <w:bookmarkEnd w:id="901"/>
      <w:bookmarkEnd w:id="902"/>
      <w:bookmarkEnd w:id="903"/>
      <w:bookmarkEnd w:id="904"/>
      <w:bookmarkEnd w:id="905"/>
      <w:bookmarkEnd w:id="906"/>
      <w:bookmarkEnd w:id="907"/>
      <w:bookmarkEnd w:id="908"/>
      <w:bookmarkEnd w:id="909"/>
      <w:bookmarkEnd w:id="910"/>
    </w:p>
    <w:p>
      <w:pPr>
        <w:pStyle w:val="Footnoteheading"/>
        <w:rPr>
          <w:snapToGrid w:val="0"/>
        </w:rPr>
      </w:pPr>
      <w:r>
        <w:rPr>
          <w:snapToGrid w:val="0"/>
        </w:rPr>
        <w:tab/>
        <w:t>[Heading inserted by No. 15 of 1993 s. 28.]</w:t>
      </w:r>
    </w:p>
    <w:p>
      <w:pPr>
        <w:pStyle w:val="Heading5"/>
        <w:rPr>
          <w:snapToGrid w:val="0"/>
        </w:rPr>
      </w:pPr>
      <w:bookmarkStart w:id="911" w:name="_Toc471912117"/>
      <w:bookmarkStart w:id="912" w:name="_Toc391894856"/>
      <w:bookmarkStart w:id="913" w:name="_Toc468179328"/>
      <w:r>
        <w:rPr>
          <w:rStyle w:val="CharSectno"/>
        </w:rPr>
        <w:t>96A</w:t>
      </w:r>
      <w:r>
        <w:rPr>
          <w:snapToGrid w:val="0"/>
        </w:rPr>
        <w:t>.</w:t>
      </w:r>
      <w:r>
        <w:rPr>
          <w:snapToGrid w:val="0"/>
        </w:rPr>
        <w:tab/>
        <w:t>Terms used</w:t>
      </w:r>
      <w:bookmarkEnd w:id="911"/>
      <w:bookmarkEnd w:id="912"/>
      <w:bookmarkEnd w:id="913"/>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w:t>
      </w:r>
    </w:p>
    <w:p>
      <w:pPr>
        <w:pStyle w:val="Defpara"/>
      </w:pPr>
      <w:r>
        <w:tab/>
        <w:t>(a)</w:t>
      </w:r>
      <w:r>
        <w:tab/>
        <w:t>an organisation of employees, whether constituted, incorporated or registered under this Act or any other Act or under any Commonwealth Act and by whatever name called; or</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[Section 96A inserted by No. 15 of 1993 s. 28.]</w:t>
      </w:r>
    </w:p>
    <w:p>
      <w:pPr>
        <w:pStyle w:val="Heading5"/>
        <w:rPr>
          <w:snapToGrid w:val="0"/>
        </w:rPr>
      </w:pPr>
      <w:bookmarkStart w:id="914" w:name="_Toc471912118"/>
      <w:bookmarkStart w:id="915" w:name="_Toc391894857"/>
      <w:bookmarkStart w:id="916" w:name="_Toc468179329"/>
      <w:r>
        <w:rPr>
          <w:rStyle w:val="CharSectno"/>
        </w:rPr>
        <w:t>96B</w:t>
      </w:r>
      <w:r>
        <w:rPr>
          <w:snapToGrid w:val="0"/>
        </w:rPr>
        <w:t>.</w:t>
      </w:r>
      <w:r>
        <w:rPr>
          <w:snapToGrid w:val="0"/>
        </w:rPr>
        <w:tab/>
        <w:t>Awards etc. not to contain certain provisions about membership of organisations</w:t>
      </w:r>
      <w:bookmarkEnd w:id="914"/>
      <w:bookmarkEnd w:id="915"/>
      <w:bookmarkEnd w:id="916"/>
    </w:p>
    <w:p>
      <w:pPr>
        <w:pStyle w:val="Subsection"/>
        <w:rPr>
          <w:snapToGrid w:val="0"/>
        </w:rPr>
      </w:pPr>
      <w:r>
        <w:rPr>
          <w:snapToGrid w:val="0"/>
        </w:rPr>
        <w:tab/>
        <w:t>(1)</w:t>
      </w:r>
      <w:r>
        <w:rPr>
          <w:snapToGrid w:val="0"/>
        </w:rPr>
        <w:tab/>
        <w:t>An award, industrial agreement or order under this Act, or any arrangement between persons relating to employment must not —</w:t>
      </w:r>
    </w:p>
    <w:p>
      <w:pPr>
        <w:pStyle w:val="Indenta"/>
        <w:rPr>
          <w:snapToGrid w:val="0"/>
        </w:rPr>
      </w:pPr>
      <w:r>
        <w:rPr>
          <w:snapToGrid w:val="0"/>
        </w:rPr>
        <w:tab/>
        <w:t>(a)</w:t>
      </w:r>
      <w:r>
        <w:rPr>
          <w:snapToGrid w:val="0"/>
        </w:rPr>
        <w:tab/>
        <w:t>require a person —</w:t>
      </w:r>
    </w:p>
    <w:p>
      <w:pPr>
        <w:pStyle w:val="Indenti"/>
        <w:rPr>
          <w:snapToGrid w:val="0"/>
        </w:rPr>
      </w:pPr>
      <w:r>
        <w:rPr>
          <w:snapToGrid w:val="0"/>
        </w:rPr>
        <w:tab/>
        <w:t>(i)</w:t>
      </w:r>
      <w:r>
        <w:rPr>
          <w:snapToGrid w:val="0"/>
        </w:rPr>
        <w:tab/>
        <w:t>to become or remain a member of an organisation; or</w:t>
      </w:r>
    </w:p>
    <w:p>
      <w:pPr>
        <w:pStyle w:val="Indenti"/>
        <w:rPr>
          <w:snapToGrid w:val="0"/>
        </w:rPr>
      </w:pPr>
      <w:r>
        <w:rPr>
          <w:snapToGrid w:val="0"/>
        </w:rPr>
        <w:tab/>
        <w:t>(ii)</w:t>
      </w:r>
      <w:r>
        <w:rPr>
          <w:snapToGrid w:val="0"/>
        </w:rPr>
        <w:tab/>
        <w:t>to cease to be a member of an organisation; or</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spacing w:before="140"/>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917" w:name="_Toc471912119"/>
      <w:bookmarkStart w:id="918" w:name="_Toc391894858"/>
      <w:bookmarkStart w:id="919" w:name="_Toc468179330"/>
      <w:r>
        <w:rPr>
          <w:rStyle w:val="CharSectno"/>
        </w:rPr>
        <w:t>96C</w:t>
      </w:r>
      <w:r>
        <w:rPr>
          <w:snapToGrid w:val="0"/>
        </w:rPr>
        <w:t>.</w:t>
      </w:r>
      <w:r>
        <w:rPr>
          <w:snapToGrid w:val="0"/>
        </w:rPr>
        <w:tab/>
        <w:t>Discrimination because of membership of organisation, offence</w:t>
      </w:r>
      <w:bookmarkEnd w:id="917"/>
      <w:bookmarkEnd w:id="918"/>
      <w:bookmarkEnd w:id="919"/>
    </w:p>
    <w:p>
      <w:pPr>
        <w:pStyle w:val="Subsection"/>
        <w:spacing w:before="140"/>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spacing w:before="140"/>
        <w:rPr>
          <w:snapToGrid w:val="0"/>
        </w:rPr>
      </w:pPr>
      <w:r>
        <w:rPr>
          <w:snapToGrid w:val="0"/>
        </w:rPr>
        <w:tab/>
        <w:t>(2)</w:t>
      </w:r>
      <w:r>
        <w:rPr>
          <w:snapToGrid w:val="0"/>
        </w:rPr>
        <w:tab/>
        <w:t>A person must not conspire with another person to commit an offence against subsection (1).</w:t>
      </w:r>
    </w:p>
    <w:p>
      <w:pPr>
        <w:pStyle w:val="Subsection"/>
        <w:spacing w:before="140"/>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spacing w:before="60"/>
        <w:rPr>
          <w:snapToGrid w:val="0"/>
        </w:rPr>
      </w:pPr>
      <w:r>
        <w:rPr>
          <w:snapToGrid w:val="0"/>
        </w:rPr>
        <w:tab/>
        <w:t>(a)</w:t>
      </w:r>
      <w:r>
        <w:rPr>
          <w:snapToGrid w:val="0"/>
        </w:rPr>
        <w:tab/>
        <w:t>in the case of an individual, not less than $400 nor more than $5 000;</w:t>
      </w:r>
    </w:p>
    <w:p>
      <w:pPr>
        <w:pStyle w:val="Penpara"/>
        <w:keepNext/>
        <w:keepLines/>
        <w:spacing w:before="60"/>
        <w:rPr>
          <w:snapToGrid w:val="0"/>
        </w:rPr>
      </w:pPr>
      <w:r>
        <w:rPr>
          <w:snapToGrid w:val="0"/>
        </w:rPr>
        <w:tab/>
        <w:t>(b)</w:t>
      </w:r>
      <w:r>
        <w:rPr>
          <w:snapToGrid w:val="0"/>
        </w:rPr>
        <w:tab/>
        <w:t>in any other case, not less than $1 000 nor more than $10 000; and a daily penalty of $500.</w:t>
      </w:r>
    </w:p>
    <w:p>
      <w:pPr>
        <w:pStyle w:val="Footnotesection"/>
      </w:pPr>
      <w:r>
        <w:tab/>
        <w:t>[Section 96C inserted by No. 15 of 1993 s. 28.]</w:t>
      </w:r>
    </w:p>
    <w:p>
      <w:pPr>
        <w:pStyle w:val="Heading5"/>
        <w:rPr>
          <w:snapToGrid w:val="0"/>
        </w:rPr>
      </w:pPr>
      <w:bookmarkStart w:id="920" w:name="_Toc471912120"/>
      <w:bookmarkStart w:id="921" w:name="_Toc391894859"/>
      <w:bookmarkStart w:id="922" w:name="_Toc468179331"/>
      <w:r>
        <w:rPr>
          <w:rStyle w:val="CharSectno"/>
        </w:rPr>
        <w:t>96D</w:t>
      </w:r>
      <w:r>
        <w:rPr>
          <w:snapToGrid w:val="0"/>
        </w:rPr>
        <w:t>.</w:t>
      </w:r>
      <w:r>
        <w:rPr>
          <w:snapToGrid w:val="0"/>
        </w:rPr>
        <w:tab/>
        <w:t>Discriminatory etc. acts against persons performing work for employers because of membership or non</w:t>
      </w:r>
      <w:r>
        <w:rPr>
          <w:snapToGrid w:val="0"/>
        </w:rPr>
        <w:noBreakHyphen/>
        <w:t>membership of employee organisation, offence</w:t>
      </w:r>
      <w:bookmarkEnd w:id="920"/>
      <w:bookmarkEnd w:id="921"/>
      <w:bookmarkEnd w:id="922"/>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w:t>
      </w:r>
    </w:p>
    <w:p>
      <w:pPr>
        <w:pStyle w:val="Indenta"/>
        <w:spacing w:before="70"/>
        <w:rPr>
          <w:snapToGrid w:val="0"/>
        </w:rPr>
      </w:pPr>
      <w:r>
        <w:rPr>
          <w:snapToGrid w:val="0"/>
        </w:rPr>
        <w:tab/>
        <w:t>(a)</w:t>
      </w:r>
      <w:r>
        <w:rPr>
          <w:snapToGrid w:val="0"/>
        </w:rPr>
        <w:tab/>
        <w:t>intimidate, prejudice, or threaten to prejudice, or attempt to induce another person to intimidate or prejudice, a person who performs work for an employer; or</w:t>
      </w:r>
    </w:p>
    <w:p>
      <w:pPr>
        <w:pStyle w:val="Indenta"/>
        <w:spacing w:before="70"/>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spacing w:before="70"/>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spacing w:before="70"/>
        <w:rPr>
          <w:snapToGrid w:val="0"/>
        </w:rPr>
      </w:pPr>
      <w:r>
        <w:rPr>
          <w:snapToGrid w:val="0"/>
        </w:rPr>
        <w:tab/>
        <w:t>(a)</w:t>
      </w:r>
      <w:r>
        <w:rPr>
          <w:snapToGrid w:val="0"/>
        </w:rPr>
        <w:tab/>
        <w:t>in the case of an individual, not less than $400 nor more than $5 000;</w:t>
      </w:r>
    </w:p>
    <w:p>
      <w:pPr>
        <w:pStyle w:val="Penpara"/>
        <w:spacing w:before="70"/>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w:t>
      </w:r>
    </w:p>
    <w:p>
      <w:pPr>
        <w:pStyle w:val="Indenta"/>
        <w:spacing w:before="70"/>
        <w:rPr>
          <w:snapToGrid w:val="0"/>
        </w:rPr>
      </w:pPr>
      <w:r>
        <w:rPr>
          <w:snapToGrid w:val="0"/>
        </w:rPr>
        <w:tab/>
        <w:t>(a)</w:t>
      </w:r>
      <w:r>
        <w:rPr>
          <w:snapToGrid w:val="0"/>
        </w:rPr>
        <w:tab/>
        <w:t>that the person is or is intending to become a member or officer of an organisation of employees; or</w:t>
      </w:r>
    </w:p>
    <w:p>
      <w:pPr>
        <w:pStyle w:val="Indenta"/>
        <w:spacing w:before="70"/>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[Section 96D inserted by No. 15 of 1993 s. 28.]</w:t>
      </w:r>
    </w:p>
    <w:p>
      <w:pPr>
        <w:pStyle w:val="Heading5"/>
        <w:rPr>
          <w:snapToGrid w:val="0"/>
        </w:rPr>
      </w:pPr>
      <w:bookmarkStart w:id="923" w:name="_Toc471912121"/>
      <w:bookmarkStart w:id="924" w:name="_Toc391894860"/>
      <w:bookmarkStart w:id="925" w:name="_Toc468179332"/>
      <w:r>
        <w:rPr>
          <w:rStyle w:val="CharSectno"/>
        </w:rPr>
        <w:t>96E</w:t>
      </w:r>
      <w:r>
        <w:rPr>
          <w:snapToGrid w:val="0"/>
        </w:rPr>
        <w:t>.</w:t>
      </w:r>
      <w:r>
        <w:rPr>
          <w:snapToGrid w:val="0"/>
        </w:rPr>
        <w:tab/>
        <w:t>Discriminatory etc. acts against persons because of non</w:t>
      </w:r>
      <w:r>
        <w:rPr>
          <w:snapToGrid w:val="0"/>
        </w:rPr>
        <w:noBreakHyphen/>
        <w:t>membership of employee organisation, offence</w:t>
      </w:r>
      <w:bookmarkEnd w:id="923"/>
      <w:bookmarkEnd w:id="924"/>
      <w:bookmarkEnd w:id="925"/>
    </w:p>
    <w:p>
      <w:pPr>
        <w:pStyle w:val="Subsection"/>
        <w:rPr>
          <w:snapToGrid w:val="0"/>
        </w:rPr>
      </w:pPr>
      <w:r>
        <w:rPr>
          <w:snapToGrid w:val="0"/>
        </w:rPr>
        <w:tab/>
        <w:t>(1)</w:t>
      </w:r>
      <w:r>
        <w:rPr>
          <w:snapToGrid w:val="0"/>
        </w:rPr>
        <w:tab/>
        <w:t>A person, including an organisation of employees, must not threaten that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discriminatory action</w:t>
      </w:r>
      <w:r>
        <w:t>, in relation to a person, means —</w:t>
      </w:r>
    </w:p>
    <w:p>
      <w:pPr>
        <w:pStyle w:val="Defpara"/>
      </w:pPr>
      <w:r>
        <w:tab/>
        <w:t>(a)</w:t>
      </w:r>
      <w:r>
        <w:tab/>
        <w:t>refusing to make use of, or refusing to agree to make use of, any service offered by the person; or</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[Section 96E inserted by No. 15 of 1993 s. 28.]</w:t>
      </w:r>
    </w:p>
    <w:p>
      <w:pPr>
        <w:pStyle w:val="Heading5"/>
        <w:keepLines w:val="0"/>
        <w:rPr>
          <w:snapToGrid w:val="0"/>
        </w:rPr>
      </w:pPr>
      <w:bookmarkStart w:id="926" w:name="_Toc471912122"/>
      <w:bookmarkStart w:id="927" w:name="_Toc391894861"/>
      <w:bookmarkStart w:id="928" w:name="_Toc468179333"/>
      <w:r>
        <w:rPr>
          <w:rStyle w:val="CharSectno"/>
        </w:rPr>
        <w:t>96F</w:t>
      </w:r>
      <w:r>
        <w:rPr>
          <w:snapToGrid w:val="0"/>
        </w:rPr>
        <w:t>.</w:t>
      </w:r>
      <w:r>
        <w:rPr>
          <w:snapToGrid w:val="0"/>
        </w:rPr>
        <w:tab/>
        <w:t>Penalties under s. 96C, 96D and 96E, provisions about</w:t>
      </w:r>
      <w:bookmarkEnd w:id="926"/>
      <w:bookmarkEnd w:id="927"/>
      <w:bookmarkEnd w:id="928"/>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 and</w:t>
      </w:r>
    </w:p>
    <w:p>
      <w:pPr>
        <w:pStyle w:val="Indenta"/>
        <w:rPr>
          <w:snapToGrid w:val="0"/>
        </w:rPr>
      </w:pPr>
      <w:r>
        <w:rPr>
          <w:snapToGrid w:val="0"/>
        </w:rPr>
        <w:tab/>
        <w:t>(b)</w:t>
      </w:r>
      <w:r>
        <w:rPr>
          <w:snapToGrid w:val="0"/>
        </w:rPr>
        <w:tab/>
        <w:t>the organisation concerned shall not be joined as an applicant in any proceeding referred to in paragraph (a); and</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[Section 96F inserted by No. 15 of 1993 s. 28; amended by No. 78 of 1995 s. 53.]</w:t>
      </w:r>
    </w:p>
    <w:p>
      <w:pPr>
        <w:pStyle w:val="Heading5"/>
        <w:rPr>
          <w:snapToGrid w:val="0"/>
        </w:rPr>
      </w:pPr>
      <w:bookmarkStart w:id="929" w:name="_Toc471912123"/>
      <w:bookmarkStart w:id="930" w:name="_Toc391894862"/>
      <w:bookmarkStart w:id="931" w:name="_Toc468179334"/>
      <w:r>
        <w:rPr>
          <w:rStyle w:val="CharSectno"/>
        </w:rPr>
        <w:t>96G</w:t>
      </w:r>
      <w:r>
        <w:rPr>
          <w:snapToGrid w:val="0"/>
        </w:rPr>
        <w:t>.</w:t>
      </w:r>
      <w:r>
        <w:rPr>
          <w:snapToGrid w:val="0"/>
        </w:rPr>
        <w:tab/>
        <w:t>Criminal responsibility of officers etc. for offences in s. 96C, 96D and 96E</w:t>
      </w:r>
      <w:bookmarkEnd w:id="929"/>
      <w:bookmarkEnd w:id="930"/>
      <w:bookmarkEnd w:id="931"/>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932" w:name="_Toc471912124"/>
      <w:bookmarkStart w:id="933" w:name="_Toc391894863"/>
      <w:bookmarkStart w:id="934" w:name="_Toc468179335"/>
      <w:r>
        <w:rPr>
          <w:rStyle w:val="CharSectno"/>
        </w:rPr>
        <w:t>96H</w:t>
      </w:r>
      <w:r>
        <w:rPr>
          <w:snapToGrid w:val="0"/>
        </w:rPr>
        <w:t>.</w:t>
      </w:r>
      <w:r>
        <w:rPr>
          <w:snapToGrid w:val="0"/>
        </w:rPr>
        <w:tab/>
        <w:t>Criminal responsibility of corporations etc. for offences in s. 96C, 96D and 96E</w:t>
      </w:r>
      <w:bookmarkEnd w:id="932"/>
      <w:bookmarkEnd w:id="933"/>
      <w:bookmarkEnd w:id="934"/>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In this section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935" w:name="_Toc471912125"/>
      <w:bookmarkStart w:id="936" w:name="_Toc391894864"/>
      <w:bookmarkStart w:id="937" w:name="_Toc468179336"/>
      <w:r>
        <w:rPr>
          <w:rStyle w:val="CharSectno"/>
        </w:rPr>
        <w:t>96I</w:t>
      </w:r>
      <w:r>
        <w:rPr>
          <w:snapToGrid w:val="0"/>
        </w:rPr>
        <w:t>.</w:t>
      </w:r>
      <w:r>
        <w:rPr>
          <w:snapToGrid w:val="0"/>
        </w:rPr>
        <w:tab/>
        <w:t>Evidentiary provisions for s. 96C, 96D and 96E</w:t>
      </w:r>
      <w:bookmarkEnd w:id="935"/>
      <w:bookmarkEnd w:id="936"/>
      <w:bookmarkEnd w:id="937"/>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938" w:name="_Toc471912126"/>
      <w:bookmarkStart w:id="939" w:name="_Toc391894865"/>
      <w:bookmarkStart w:id="940" w:name="_Toc468179337"/>
      <w:r>
        <w:rPr>
          <w:rStyle w:val="CharSectno"/>
        </w:rPr>
        <w:t>96J</w:t>
      </w:r>
      <w:r>
        <w:rPr>
          <w:snapToGrid w:val="0"/>
        </w:rPr>
        <w:t>.</w:t>
      </w:r>
      <w:r>
        <w:rPr>
          <w:snapToGrid w:val="0"/>
        </w:rPr>
        <w:tab/>
        <w:t>Court may order compliance with s. 96C, 96D or 96E</w:t>
      </w:r>
      <w:bookmarkEnd w:id="938"/>
      <w:bookmarkEnd w:id="939"/>
      <w:bookmarkEnd w:id="940"/>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deleted]</w:t>
      </w:r>
    </w:p>
    <w:p>
      <w:pPr>
        <w:pStyle w:val="Subsection"/>
        <w:rPr>
          <w:snapToGrid w:val="0"/>
        </w:rPr>
      </w:pPr>
      <w:r>
        <w:rPr>
          <w:snapToGrid w:val="0"/>
        </w:rPr>
        <w:tab/>
        <w:t>(4)</w:t>
      </w:r>
      <w:r>
        <w:rPr>
          <w:snapToGrid w:val="0"/>
        </w:rPr>
        <w:tab/>
        <w:t xml:space="preserve">A person who fails to comply with an order under this section is to be taken to commit a contempt of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941" w:name="_Toc471912127"/>
      <w:bookmarkStart w:id="942" w:name="_Toc391894866"/>
      <w:bookmarkStart w:id="943" w:name="_Toc468179338"/>
      <w:r>
        <w:rPr>
          <w:rStyle w:val="CharSectno"/>
        </w:rPr>
        <w:t>96K</w:t>
      </w:r>
      <w:r>
        <w:rPr>
          <w:snapToGrid w:val="0"/>
        </w:rPr>
        <w:t>.</w:t>
      </w:r>
      <w:r>
        <w:rPr>
          <w:snapToGrid w:val="0"/>
        </w:rPr>
        <w:tab/>
        <w:t>Appeal against decision under s. 96J</w:t>
      </w:r>
      <w:bookmarkEnd w:id="941"/>
      <w:bookmarkEnd w:id="942"/>
      <w:bookmarkEnd w:id="943"/>
    </w:p>
    <w:p>
      <w:pPr>
        <w:pStyle w:val="Subsection"/>
        <w:rPr>
          <w:snapToGrid w:val="0"/>
        </w:rPr>
      </w:pPr>
      <w:r>
        <w:rPr>
          <w:snapToGrid w:val="0"/>
        </w:rPr>
        <w:tab/>
        <w:t>(1)</w:t>
      </w:r>
      <w:r>
        <w:rPr>
          <w:snapToGrid w:val="0"/>
        </w:rPr>
        <w:tab/>
        <w:t xml:space="preserve">A party to proceedings under section 96J may appeal to the </w:t>
      </w:r>
      <w:smartTag w:uri="urn:schemas-microsoft-com:office:smarttags" w:element="Street">
        <w:smartTag w:uri="urn:schemas-microsoft-com:office:smarttags" w:element="address">
          <w:r>
            <w:rPr>
              <w:snapToGrid w:val="0"/>
            </w:rPr>
            <w:t>Industrial Appeal Court</w:t>
          </w:r>
        </w:smartTag>
      </w:smartTag>
      <w:r>
        <w:rPr>
          <w:snapToGrid w:val="0"/>
        </w:rPr>
        <w:t xml:space="preserve"> against a decision of the industrial magistrate’s court in those proceedings in the manner and in the time prescribed by regulations made by the </w:t>
      </w:r>
      <w:smartTag w:uri="urn:schemas-microsoft-com:office:smarttags" w:element="Street">
        <w:smartTag w:uri="urn:schemas-microsoft-com:office:smarttags" w:element="address">
          <w:r>
            <w:rPr>
              <w:snapToGrid w:val="0"/>
            </w:rPr>
            <w:t>Industrial Appeal Court</w:t>
          </w:r>
        </w:smartTag>
      </w:smartTag>
      <w:r>
        <w:rPr>
          <w:snapToGrid w:val="0"/>
        </w:rPr>
        <w:t xml:space="preserve"> under section 113.</w:t>
      </w:r>
    </w:p>
    <w:p>
      <w:pPr>
        <w:pStyle w:val="Subsection"/>
        <w:rPr>
          <w:snapToGrid w:val="0"/>
        </w:rPr>
      </w:pPr>
      <w:r>
        <w:rPr>
          <w:snapToGrid w:val="0"/>
        </w:rPr>
        <w:tab/>
        <w:t>(2)</w:t>
      </w:r>
      <w:r>
        <w:rPr>
          <w:snapToGrid w:val="0"/>
        </w:rPr>
        <w:tab/>
        <w:t xml:space="preserve">On the hearing of the appeal the </w:t>
      </w:r>
      <w:smartTag w:uri="urn:schemas-microsoft-com:office:smarttags" w:element="Street">
        <w:smartTag w:uri="urn:schemas-microsoft-com:office:smarttags" w:element="address">
          <w:r>
            <w:rPr>
              <w:snapToGrid w:val="0"/>
            </w:rPr>
            <w:t>Industrial Appeal Court</w:t>
          </w:r>
        </w:smartTag>
      </w:smartTag>
      <w:r>
        <w:rPr>
          <w:snapToGrid w:val="0"/>
        </w:rPr>
        <w:t xml:space="preserve"> may —</w:t>
      </w:r>
    </w:p>
    <w:p>
      <w:pPr>
        <w:pStyle w:val="Indenta"/>
        <w:spacing w:before="60"/>
        <w:rPr>
          <w:snapToGrid w:val="0"/>
        </w:rPr>
      </w:pPr>
      <w:r>
        <w:rPr>
          <w:snapToGrid w:val="0"/>
        </w:rPr>
        <w:tab/>
        <w:t>(a)</w:t>
      </w:r>
      <w:r>
        <w:rPr>
          <w:snapToGrid w:val="0"/>
        </w:rPr>
        <w:tab/>
        <w:t>confirm the decision; or</w:t>
      </w:r>
    </w:p>
    <w:p>
      <w:pPr>
        <w:pStyle w:val="Indenta"/>
        <w:spacing w:before="60"/>
        <w:rPr>
          <w:snapToGrid w:val="0"/>
        </w:rPr>
      </w:pPr>
      <w:r>
        <w:rPr>
          <w:snapToGrid w:val="0"/>
        </w:rPr>
        <w:tab/>
        <w:t>(b)</w:t>
      </w:r>
      <w:r>
        <w:rPr>
          <w:snapToGrid w:val="0"/>
        </w:rPr>
        <w:tab/>
        <w:t>vary the decision; or</w:t>
      </w:r>
    </w:p>
    <w:p>
      <w:pPr>
        <w:pStyle w:val="Indenta"/>
        <w:spacing w:before="60"/>
        <w:rPr>
          <w:snapToGrid w:val="0"/>
        </w:rPr>
      </w:pPr>
      <w:r>
        <w:rPr>
          <w:snapToGrid w:val="0"/>
        </w:rPr>
        <w:tab/>
        <w:t>(c)</w:t>
      </w:r>
      <w:r>
        <w:rPr>
          <w:snapToGrid w:val="0"/>
        </w:rPr>
        <w:tab/>
        <w:t>set aside the decision and if it thinks fit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[Section 96K inserted by No. 15 of 1993 s. 28.]</w:t>
      </w:r>
    </w:p>
    <w:p>
      <w:pPr>
        <w:pStyle w:val="Heading5"/>
        <w:rPr>
          <w:snapToGrid w:val="0"/>
        </w:rPr>
      </w:pPr>
      <w:bookmarkStart w:id="944" w:name="_Toc471912128"/>
      <w:bookmarkStart w:id="945" w:name="_Toc391894867"/>
      <w:bookmarkStart w:id="946" w:name="_Toc468179339"/>
      <w:r>
        <w:rPr>
          <w:rStyle w:val="CharSectno"/>
        </w:rPr>
        <w:t>96L</w:t>
      </w:r>
      <w:r>
        <w:rPr>
          <w:snapToGrid w:val="0"/>
        </w:rPr>
        <w:t>.</w:t>
      </w:r>
      <w:r>
        <w:rPr>
          <w:snapToGrid w:val="0"/>
        </w:rPr>
        <w:tab/>
        <w:t>Other court orders after conviction under s. 96C, 96D or 96E</w:t>
      </w:r>
      <w:bookmarkEnd w:id="944"/>
      <w:bookmarkEnd w:id="945"/>
      <w:bookmarkEnd w:id="946"/>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w:t>
      </w:r>
    </w:p>
    <w:p>
      <w:pPr>
        <w:pStyle w:val="Indenta"/>
        <w:spacing w:before="60"/>
        <w:rPr>
          <w:snapToGrid w:val="0"/>
        </w:rPr>
      </w:pPr>
      <w:r>
        <w:rPr>
          <w:snapToGrid w:val="0"/>
        </w:rPr>
        <w:tab/>
        <w:t>(a)</w:t>
      </w:r>
      <w:r>
        <w:rPr>
          <w:snapToGrid w:val="0"/>
        </w:rPr>
        <w:tab/>
        <w:t>if the person so convicted is an employer, order the employer —</w:t>
      </w:r>
    </w:p>
    <w:p>
      <w:pPr>
        <w:pStyle w:val="Indenti"/>
        <w:spacing w:before="60"/>
        <w:rPr>
          <w:snapToGrid w:val="0"/>
        </w:rPr>
      </w:pPr>
      <w:r>
        <w:rPr>
          <w:snapToGrid w:val="0"/>
        </w:rPr>
        <w:tab/>
        <w:t>(i)</w:t>
      </w:r>
      <w:r>
        <w:rPr>
          <w:snapToGrid w:val="0"/>
        </w:rPr>
        <w:tab/>
        <w:t>to reinstate the complainant if he or she was dismissed from employment; or</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947" w:name="_Toc471912129"/>
      <w:bookmarkStart w:id="948" w:name="_Toc391894868"/>
      <w:bookmarkStart w:id="949" w:name="_Toc419713453"/>
      <w:bookmarkStart w:id="950" w:name="_Toc435103097"/>
      <w:bookmarkStart w:id="951" w:name="_Toc452556527"/>
      <w:bookmarkStart w:id="952" w:name="_Toc455414107"/>
      <w:bookmarkStart w:id="953" w:name="_Toc462415537"/>
      <w:bookmarkStart w:id="954" w:name="_Toc462742448"/>
      <w:bookmarkStart w:id="955" w:name="_Toc465086102"/>
      <w:bookmarkStart w:id="956" w:name="_Toc468179340"/>
      <w:r>
        <w:rPr>
          <w:rStyle w:val="CharPartNo"/>
        </w:rPr>
        <w:t>Part VID</w:t>
      </w:r>
      <w:r>
        <w:t> — </w:t>
      </w:r>
      <w:r>
        <w:rPr>
          <w:rStyle w:val="CharPartText"/>
        </w:rPr>
        <w:t>Employer</w:t>
      </w:r>
      <w:r>
        <w:rPr>
          <w:rStyle w:val="CharPartText"/>
        </w:rPr>
        <w:noBreakHyphen/>
        <w:t>employee agreements</w:t>
      </w:r>
      <w:bookmarkEnd w:id="947"/>
      <w:bookmarkEnd w:id="948"/>
      <w:bookmarkEnd w:id="949"/>
      <w:bookmarkEnd w:id="950"/>
      <w:bookmarkEnd w:id="951"/>
      <w:bookmarkEnd w:id="952"/>
      <w:bookmarkEnd w:id="953"/>
      <w:bookmarkEnd w:id="954"/>
      <w:bookmarkEnd w:id="955"/>
      <w:bookmarkEnd w:id="956"/>
    </w:p>
    <w:p>
      <w:pPr>
        <w:pStyle w:val="Footnoteheading"/>
        <w:tabs>
          <w:tab w:val="left" w:pos="851"/>
        </w:tabs>
      </w:pPr>
      <w:r>
        <w:tab/>
        <w:t>[Heading inserted by No. 20 of 2002 s. 4.]</w:t>
      </w:r>
    </w:p>
    <w:p>
      <w:pPr>
        <w:pStyle w:val="Heading3"/>
        <w:spacing w:before="260"/>
      </w:pPr>
      <w:bookmarkStart w:id="957" w:name="_Toc471912130"/>
      <w:bookmarkStart w:id="958" w:name="_Toc391894869"/>
      <w:bookmarkStart w:id="959" w:name="_Toc419713454"/>
      <w:bookmarkStart w:id="960" w:name="_Toc435103098"/>
      <w:bookmarkStart w:id="961" w:name="_Toc452556528"/>
      <w:bookmarkStart w:id="962" w:name="_Toc455414108"/>
      <w:bookmarkStart w:id="963" w:name="_Toc462415538"/>
      <w:bookmarkStart w:id="964" w:name="_Toc462742449"/>
      <w:bookmarkStart w:id="965" w:name="_Toc465086103"/>
      <w:bookmarkStart w:id="966" w:name="_Toc468179341"/>
      <w:r>
        <w:rPr>
          <w:rStyle w:val="CharDivNo"/>
        </w:rPr>
        <w:t>Division 1</w:t>
      </w:r>
      <w:r>
        <w:t> — </w:t>
      </w:r>
      <w:r>
        <w:rPr>
          <w:rStyle w:val="CharDivText"/>
        </w:rPr>
        <w:t>Preliminary</w:t>
      </w:r>
      <w:bookmarkEnd w:id="957"/>
      <w:bookmarkEnd w:id="958"/>
      <w:bookmarkEnd w:id="959"/>
      <w:bookmarkEnd w:id="960"/>
      <w:bookmarkEnd w:id="961"/>
      <w:bookmarkEnd w:id="962"/>
      <w:bookmarkEnd w:id="963"/>
      <w:bookmarkEnd w:id="964"/>
      <w:bookmarkEnd w:id="965"/>
      <w:bookmarkEnd w:id="966"/>
    </w:p>
    <w:p>
      <w:pPr>
        <w:pStyle w:val="Footnoteheading"/>
        <w:tabs>
          <w:tab w:val="left" w:pos="851"/>
        </w:tabs>
      </w:pPr>
      <w:r>
        <w:tab/>
        <w:t>[Heading inserted by No. 20 of 2002 s. 4.]</w:t>
      </w:r>
    </w:p>
    <w:p>
      <w:pPr>
        <w:pStyle w:val="Heading5"/>
        <w:spacing w:before="240"/>
      </w:pPr>
      <w:bookmarkStart w:id="967" w:name="_Toc471912131"/>
      <w:bookmarkStart w:id="968" w:name="_Toc391894870"/>
      <w:bookmarkStart w:id="969" w:name="_Toc468179342"/>
      <w:r>
        <w:rPr>
          <w:rStyle w:val="CharSectno"/>
        </w:rPr>
        <w:t>97U</w:t>
      </w:r>
      <w:r>
        <w:t>.</w:t>
      </w:r>
      <w:r>
        <w:tab/>
        <w:t>Terms used</w:t>
      </w:r>
      <w:bookmarkEnd w:id="967"/>
      <w:bookmarkEnd w:id="968"/>
      <w:bookmarkEnd w:id="969"/>
    </w:p>
    <w:p>
      <w:pPr>
        <w:pStyle w:val="Subsection"/>
        <w:spacing w:before="180"/>
        <w:rPr>
          <w:b/>
        </w:rPr>
      </w:pPr>
      <w:r>
        <w:tab/>
        <w:t>(1)</w:t>
      </w:r>
      <w:r>
        <w:tab/>
        <w:t>In this Part, unless the contrary intention appears</w:t>
      </w:r>
      <w:r>
        <w:rPr>
          <w:b/>
        </w:rPr>
        <w:t> —</w:t>
      </w:r>
    </w:p>
    <w:p>
      <w:pPr>
        <w:pStyle w:val="Defstart"/>
      </w:pPr>
      <w:r>
        <w:tab/>
      </w:r>
      <w:r>
        <w:rPr>
          <w:rStyle w:val="CharDefText"/>
        </w:rPr>
        <w:t>award</w:t>
      </w:r>
      <w:r>
        <w:t>, except in section 97UG(2)(c), Division 6 Subdivision 1 and sections 97YA(1)(a) and 97YB(2)(a), includes an industrial agreement or order of the Commission under this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w:t>
      </w:r>
    </w:p>
    <w:p>
      <w:pPr>
        <w:pStyle w:val="Defpara"/>
      </w:pPr>
      <w:r>
        <w:tab/>
        <w:t>(a)</w:t>
      </w:r>
      <w:r>
        <w:tab/>
        <w:t>that are provided for persons with disabilities who are eligible for the Supported Wage System; and</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in relation to an EEA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w:t>
      </w:r>
    </w:p>
    <w:p>
      <w:pPr>
        <w:pStyle w:val="Defpara"/>
        <w:spacing w:before="70"/>
      </w:pPr>
      <w:r>
        <w:tab/>
        <w:t>(a)</w:t>
      </w:r>
      <w:r>
        <w:tab/>
        <w:t>where the EEA relates to employment as a government officer to whom Part IIA Division 2 applies, the Commission constituted by a public service arbitrator under that Division; and</w:t>
      </w:r>
    </w:p>
    <w:p>
      <w:pPr>
        <w:pStyle w:val="Defpara"/>
        <w:spacing w:before="70"/>
      </w:pPr>
      <w:r>
        <w:tab/>
        <w:t>(b)</w:t>
      </w:r>
      <w:r>
        <w:tab/>
        <w:t>where the EEA relates to employment as a railway officer to whom Part IIA Division 3 applies, the Commission constituted by the Railways Classification Board under that Division; and</w:t>
      </w:r>
    </w:p>
    <w:p>
      <w:pPr>
        <w:pStyle w:val="Defpara"/>
        <w:spacing w:before="70"/>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 amended by No. 50 of 2016 s. 7.]</w:t>
      </w:r>
    </w:p>
    <w:p>
      <w:pPr>
        <w:pStyle w:val="Heading3"/>
      </w:pPr>
      <w:bookmarkStart w:id="970" w:name="_Toc471912132"/>
      <w:bookmarkStart w:id="971" w:name="_Toc391894871"/>
      <w:bookmarkStart w:id="972" w:name="_Toc419713456"/>
      <w:bookmarkStart w:id="973" w:name="_Toc435103100"/>
      <w:bookmarkStart w:id="974" w:name="_Toc452556530"/>
      <w:bookmarkStart w:id="975" w:name="_Toc455414110"/>
      <w:bookmarkStart w:id="976" w:name="_Toc462415540"/>
      <w:bookmarkStart w:id="977" w:name="_Toc462742451"/>
      <w:bookmarkStart w:id="978" w:name="_Toc465086105"/>
      <w:bookmarkStart w:id="979" w:name="_Toc468179343"/>
      <w:r>
        <w:rPr>
          <w:rStyle w:val="CharDivNo"/>
        </w:rPr>
        <w:t>Division 2 </w:t>
      </w:r>
      <w:r>
        <w:t>— </w:t>
      </w:r>
      <w:r>
        <w:rPr>
          <w:rStyle w:val="CharDivText"/>
        </w:rPr>
        <w:t>The making of an EEA</w:t>
      </w:r>
      <w:bookmarkEnd w:id="970"/>
      <w:bookmarkEnd w:id="971"/>
      <w:bookmarkEnd w:id="972"/>
      <w:bookmarkEnd w:id="973"/>
      <w:bookmarkEnd w:id="974"/>
      <w:bookmarkEnd w:id="975"/>
      <w:bookmarkEnd w:id="976"/>
      <w:bookmarkEnd w:id="977"/>
      <w:bookmarkEnd w:id="978"/>
      <w:bookmarkEnd w:id="979"/>
    </w:p>
    <w:p>
      <w:pPr>
        <w:pStyle w:val="Footnoteheading"/>
        <w:tabs>
          <w:tab w:val="left" w:pos="851"/>
        </w:tabs>
      </w:pPr>
      <w:r>
        <w:tab/>
        <w:t>[Heading inserted by No. 20 of 2002 s. 4.]</w:t>
      </w:r>
    </w:p>
    <w:p>
      <w:pPr>
        <w:pStyle w:val="Heading5"/>
      </w:pPr>
      <w:bookmarkStart w:id="980" w:name="_Toc471912133"/>
      <w:bookmarkStart w:id="981" w:name="_Toc391894872"/>
      <w:bookmarkStart w:id="982" w:name="_Toc468179344"/>
      <w:r>
        <w:rPr>
          <w:rStyle w:val="CharSectno"/>
        </w:rPr>
        <w:t>97UA</w:t>
      </w:r>
      <w:r>
        <w:t>.</w:t>
      </w:r>
      <w:r>
        <w:tab/>
        <w:t>Employer and employee may make EEA</w:t>
      </w:r>
      <w:bookmarkEnd w:id="980"/>
      <w:bookmarkEnd w:id="981"/>
      <w:bookmarkEnd w:id="982"/>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983" w:name="_Toc471912134"/>
      <w:bookmarkStart w:id="984" w:name="_Toc391894873"/>
      <w:bookmarkStart w:id="985" w:name="_Toc468179345"/>
      <w:r>
        <w:rPr>
          <w:rStyle w:val="CharSectno"/>
        </w:rPr>
        <w:t>97UB</w:t>
      </w:r>
      <w:r>
        <w:t>.</w:t>
      </w:r>
      <w:r>
        <w:tab/>
        <w:t>EEA may deal with post</w:t>
      </w:r>
      <w:r>
        <w:noBreakHyphen/>
        <w:t>employment matters</w:t>
      </w:r>
      <w:bookmarkEnd w:id="983"/>
      <w:bookmarkEnd w:id="984"/>
      <w:bookmarkEnd w:id="985"/>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pPr>
      <w:bookmarkStart w:id="986" w:name="_Toc471912135"/>
      <w:bookmarkStart w:id="987" w:name="_Toc391894874"/>
      <w:bookmarkStart w:id="988" w:name="_Toc468179346"/>
      <w:r>
        <w:rPr>
          <w:rStyle w:val="CharSectno"/>
        </w:rPr>
        <w:t>97UC</w:t>
      </w:r>
      <w:r>
        <w:t>.</w:t>
      </w:r>
      <w:r>
        <w:tab/>
        <w:t>Other provisions about making EEA</w:t>
      </w:r>
      <w:bookmarkEnd w:id="986"/>
      <w:bookmarkEnd w:id="987"/>
      <w:bookmarkEnd w:id="988"/>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The matters that may be dealt with in EEAs made with certain categories of employees are subject to the restrictions in —</w:t>
      </w:r>
    </w:p>
    <w:p>
      <w:pPr>
        <w:pStyle w:val="Indenta"/>
      </w:pPr>
      <w:r>
        <w:tab/>
        <w:t>(a)</w:t>
      </w:r>
      <w:r>
        <w:tab/>
        <w:t>section 99(2)</w:t>
      </w:r>
      <w:r>
        <w:rPr>
          <w:vertAlign w:val="superscript"/>
        </w:rPr>
        <w:t> 9</w:t>
      </w:r>
      <w:r>
        <w:t xml:space="preserve">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pPr>
      <w:bookmarkStart w:id="989" w:name="_Toc471912136"/>
      <w:bookmarkStart w:id="990" w:name="_Toc391894875"/>
      <w:bookmarkStart w:id="991" w:name="_Toc468179347"/>
      <w:r>
        <w:rPr>
          <w:rStyle w:val="CharSectno"/>
        </w:rPr>
        <w:t>97UD</w:t>
      </w:r>
      <w:r>
        <w:t>.</w:t>
      </w:r>
      <w:r>
        <w:tab/>
        <w:t>Making of EEA by person with a mental disability</w:t>
      </w:r>
      <w:bookmarkEnd w:id="989"/>
      <w:bookmarkEnd w:id="990"/>
      <w:bookmarkEnd w:id="991"/>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An EEA so made has effect as if —</w:t>
      </w:r>
    </w:p>
    <w:p>
      <w:pPr>
        <w:pStyle w:val="Indenta"/>
      </w:pPr>
      <w:r>
        <w:tab/>
        <w:t>(a)</w:t>
      </w:r>
      <w:r>
        <w:tab/>
        <w:t>it were made by the represented person; and</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pPr>
      <w:bookmarkStart w:id="992" w:name="_Toc471912137"/>
      <w:bookmarkStart w:id="993" w:name="_Toc391894876"/>
      <w:bookmarkStart w:id="994" w:name="_Toc468179348"/>
      <w:r>
        <w:rPr>
          <w:rStyle w:val="CharSectno"/>
        </w:rPr>
        <w:t>97UE</w:t>
      </w:r>
      <w:r>
        <w:t>.</w:t>
      </w:r>
      <w:r>
        <w:tab/>
        <w:t>Effect of EEA</w:t>
      </w:r>
      <w:bookmarkEnd w:id="992"/>
      <w:bookmarkEnd w:id="993"/>
      <w:bookmarkEnd w:id="994"/>
    </w:p>
    <w:p>
      <w:pPr>
        <w:pStyle w:val="Subsection"/>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An EEA, while it has effect, does not displace any contract of employment between an employer and an employee, but the EEA has effect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995" w:name="_Toc471912138"/>
      <w:bookmarkStart w:id="996" w:name="_Toc391894877"/>
      <w:bookmarkStart w:id="997" w:name="_Toc468179349"/>
      <w:r>
        <w:rPr>
          <w:rStyle w:val="CharSectno"/>
        </w:rPr>
        <w:t>97UF</w:t>
      </w:r>
      <w:r>
        <w:t>.</w:t>
      </w:r>
      <w:r>
        <w:tab/>
        <w:t>EEA not to be made while industrial agreement in operation</w:t>
      </w:r>
      <w:bookmarkEnd w:id="995"/>
      <w:bookmarkEnd w:id="996"/>
      <w:bookmarkEnd w:id="997"/>
    </w:p>
    <w:p>
      <w:pPr>
        <w:pStyle w:val="Subsection"/>
      </w:pPr>
      <w:r>
        <w:tab/>
        <w:t>(1)</w:t>
      </w:r>
      <w:r>
        <w:tab/>
        <w:t xml:space="preserve">An EEA </w:t>
      </w:r>
      <w:r>
        <w:rPr>
          <w:snapToGrid w:val="0"/>
        </w:rPr>
        <w:t>in</w:t>
      </w:r>
      <w:r>
        <w:t xml:space="preserve"> respect of the employment of an employee cannot be made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(1) does not apply to an EEA if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Ednotesubsection"/>
      </w:pPr>
      <w:r>
        <w:tab/>
        <w:t>[(4)</w:t>
      </w:r>
      <w:r>
        <w:tab/>
        <w:t>deleted]</w:t>
      </w:r>
    </w:p>
    <w:p>
      <w:pPr>
        <w:pStyle w:val="Footnotesection"/>
      </w:pPr>
      <w:r>
        <w:tab/>
        <w:t>[Section 97UF inserted by No. 20 of 2002 s. 4; amended by No. 50 of 2016 s. 8.]</w:t>
      </w:r>
    </w:p>
    <w:p>
      <w:pPr>
        <w:pStyle w:val="Heading5"/>
      </w:pPr>
      <w:bookmarkStart w:id="998" w:name="_Toc471912139"/>
      <w:bookmarkStart w:id="999" w:name="_Toc391894878"/>
      <w:bookmarkStart w:id="1000" w:name="_Toc468179350"/>
      <w:r>
        <w:rPr>
          <w:rStyle w:val="CharSectno"/>
        </w:rPr>
        <w:t>97UG</w:t>
      </w:r>
      <w:r>
        <w:t>.</w:t>
      </w:r>
      <w:r>
        <w:tab/>
        <w:t>Documents etc. to be given to employee before EEA signed</w:t>
      </w:r>
      <w:bookmarkEnd w:id="998"/>
      <w:bookmarkEnd w:id="999"/>
      <w:bookmarkEnd w:id="1000"/>
    </w:p>
    <w:p>
      <w:pPr>
        <w:pStyle w:val="Subsection"/>
      </w:pPr>
      <w:r>
        <w:tab/>
        <w:t>(1)</w:t>
      </w:r>
      <w:r>
        <w:tab/>
        <w:t>An employer must not make an EEA with an employee unless he or she has given a copy of certain documents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The documents are —</w:t>
      </w:r>
    </w:p>
    <w:p>
      <w:pPr>
        <w:pStyle w:val="Indenta"/>
      </w:pPr>
      <w:r>
        <w:tab/>
        <w:t>(a)</w:t>
      </w:r>
      <w:r>
        <w:tab/>
        <w:t>the proposed EEA; and</w:t>
      </w:r>
    </w:p>
    <w:p>
      <w:pPr>
        <w:pStyle w:val="Indenta"/>
      </w:pPr>
      <w:r>
        <w:tab/>
        <w:t>(b)</w:t>
      </w:r>
      <w:r>
        <w:tab/>
        <w:t>the information statement prescribed under section 97UI; and</w:t>
      </w:r>
    </w:p>
    <w:p>
      <w:pPr>
        <w:pStyle w:val="Indenta"/>
      </w:pPr>
      <w:r>
        <w:tab/>
        <w:t>(c)</w:t>
      </w:r>
      <w:r>
        <w:tab/>
        <w:t>any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It is sufficient for the purposes of subsections (1) and (2)(c)(i) if the employer gives a document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The documents must be given under subsection (1) —</w:t>
      </w:r>
    </w:p>
    <w:p>
      <w:pPr>
        <w:pStyle w:val="Indenta"/>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In subsections (2)(c)(i) and (3) —</w:t>
      </w:r>
    </w:p>
    <w:p>
      <w:pPr>
        <w:pStyle w:val="Defstart"/>
      </w:pPr>
      <w:r>
        <w:tab/>
      </w:r>
      <w:r>
        <w:rPr>
          <w:rStyle w:val="CharDefText"/>
        </w:rPr>
        <w:t>award</w:t>
      </w:r>
      <w:r>
        <w:t xml:space="preserve"> includes an enterprise order.</w:t>
      </w:r>
    </w:p>
    <w:p>
      <w:pPr>
        <w:pStyle w:val="Footnotesection"/>
        <w:spacing w:before="100"/>
        <w:ind w:left="890" w:hanging="890"/>
      </w:pPr>
      <w:r>
        <w:tab/>
        <w:t>[Section 97UG inserted by No. 20 of 2002 s. 4; amended by No. 50 of 2016 s. 9.]</w:t>
      </w:r>
    </w:p>
    <w:p>
      <w:pPr>
        <w:pStyle w:val="Heading5"/>
        <w:spacing w:before="240"/>
      </w:pPr>
      <w:bookmarkStart w:id="1001" w:name="_Toc471912140"/>
      <w:bookmarkStart w:id="1002" w:name="_Toc391894879"/>
      <w:bookmarkStart w:id="1003" w:name="_Toc468179351"/>
      <w:r>
        <w:rPr>
          <w:rStyle w:val="CharSectno"/>
        </w:rPr>
        <w:t>97UH</w:t>
      </w:r>
      <w:r>
        <w:t>.</w:t>
      </w:r>
      <w:r>
        <w:tab/>
        <w:t>Application of s. 97UG if draft EEA amended</w:t>
      </w:r>
      <w:bookmarkEnd w:id="1001"/>
      <w:bookmarkEnd w:id="1002"/>
      <w:bookmarkEnd w:id="1003"/>
    </w:p>
    <w:p>
      <w:pPr>
        <w:pStyle w:val="Subsection"/>
        <w:keepNext/>
        <w:keepLines/>
      </w:pPr>
      <w:r>
        <w:tab/>
      </w:r>
      <w:r>
        <w:tab/>
        <w:t>If —</w:t>
      </w:r>
    </w:p>
    <w:p>
      <w:pPr>
        <w:pStyle w:val="Indenta"/>
        <w:spacing w:before="100"/>
      </w:pPr>
      <w:r>
        <w:tab/>
        <w:t>(a)</w:t>
      </w:r>
      <w:r>
        <w:tab/>
        <w:t>an employer has complied with section 97UG in relation to a proposed EEA; and</w:t>
      </w:r>
    </w:p>
    <w:p>
      <w:pPr>
        <w:pStyle w:val="Indenta"/>
        <w:spacing w:before="100"/>
      </w:pPr>
      <w:r>
        <w:tab/>
        <w:t>(b)</w:t>
      </w:r>
      <w:r>
        <w:tab/>
        <w:t>the proposed EEA is later amended, whether once or more than once, before it is signed —</w:t>
      </w:r>
    </w:p>
    <w:p>
      <w:pPr>
        <w:pStyle w:val="Indenti"/>
        <w:spacing w:before="100"/>
      </w:pPr>
      <w:r>
        <w:tab/>
        <w:t>(i)</w:t>
      </w:r>
      <w:r>
        <w:tab/>
        <w:t>by the employee or his or her representative; and</w:t>
      </w:r>
    </w:p>
    <w:p>
      <w:pPr>
        <w:pStyle w:val="Indenti"/>
        <w:keepNext/>
        <w:spacing w:before="100"/>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Lines w:val="0"/>
      </w:pPr>
      <w:bookmarkStart w:id="1004" w:name="_Toc471912141"/>
      <w:bookmarkStart w:id="1005" w:name="_Toc391894880"/>
      <w:bookmarkStart w:id="1006" w:name="_Toc468179352"/>
      <w:r>
        <w:rPr>
          <w:rStyle w:val="CharSectno"/>
        </w:rPr>
        <w:t>97UI</w:t>
      </w:r>
      <w:r>
        <w:t>.</w:t>
      </w:r>
      <w:r>
        <w:tab/>
        <w:t>EEA information statement, form of (s. 97UG(2)(b))</w:t>
      </w:r>
      <w:bookmarkEnd w:id="1004"/>
      <w:bookmarkEnd w:id="1005"/>
      <w:bookmarkEnd w:id="1006"/>
    </w:p>
    <w:p>
      <w:pPr>
        <w:pStyle w:val="Subsection"/>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The form must include information about the following matters —</w:t>
      </w:r>
    </w:p>
    <w:p>
      <w:pPr>
        <w:pStyle w:val="Indenta"/>
      </w:pPr>
      <w:r>
        <w:tab/>
        <w:t>(a)</w:t>
      </w:r>
      <w:r>
        <w:tab/>
        <w:t>the effect of section 97UE; and</w:t>
      </w:r>
    </w:p>
    <w:p>
      <w:pPr>
        <w:pStyle w:val="Indenta"/>
      </w:pPr>
      <w:r>
        <w:tab/>
        <w:t>(b)</w:t>
      </w:r>
      <w:r>
        <w:tab/>
        <w:t>the employee’s rights under section 97UJ in relation to bargaining agents; and</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1007" w:name="_Toc471912142"/>
      <w:bookmarkStart w:id="1008" w:name="_Toc391894881"/>
      <w:bookmarkStart w:id="1009" w:name="_Toc468179353"/>
      <w:r>
        <w:rPr>
          <w:rStyle w:val="CharSectno"/>
        </w:rPr>
        <w:t>97UJ</w:t>
      </w:r>
      <w:r>
        <w:t>.</w:t>
      </w:r>
      <w:r>
        <w:tab/>
        <w:t>Bargaining agents, appointing etc.</w:t>
      </w:r>
      <w:bookmarkEnd w:id="1007"/>
      <w:bookmarkEnd w:id="1008"/>
      <w:bookmarkEnd w:id="1009"/>
    </w:p>
    <w:p>
      <w:pPr>
        <w:pStyle w:val="Subsection"/>
      </w:pPr>
      <w:r>
        <w:tab/>
        <w:t>(1)</w:t>
      </w:r>
      <w:r>
        <w:tab/>
        <w:t>An employer or employee may, by instrument in writing, appoint a person to be his or her bargaining agent —</w:t>
      </w:r>
    </w:p>
    <w:p>
      <w:pPr>
        <w:pStyle w:val="Indenta"/>
      </w:pPr>
      <w:r>
        <w:tab/>
        <w:t>(a)</w:t>
      </w:r>
      <w:r>
        <w:tab/>
        <w:t>for the negotiation and making of an EEA; or</w:t>
      </w:r>
    </w:p>
    <w:p>
      <w:pPr>
        <w:pStyle w:val="Indenta"/>
      </w:pPr>
      <w:r>
        <w:tab/>
        <w:t>(b)</w:t>
      </w:r>
      <w:r>
        <w:tab/>
        <w:t>in connection with the registration of an EEA; or</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a bargaining agent is authorised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pPr>
      <w:bookmarkStart w:id="1010" w:name="_Toc471912143"/>
      <w:bookmarkStart w:id="1011" w:name="_Toc391894882"/>
      <w:bookmarkStart w:id="1012" w:name="_Toc468179354"/>
      <w:r>
        <w:rPr>
          <w:rStyle w:val="CharSectno"/>
        </w:rPr>
        <w:t>97UK</w:t>
      </w:r>
      <w:r>
        <w:t>.</w:t>
      </w:r>
      <w:r>
        <w:tab/>
        <w:t>Prohibited conduct relating to bargaining agents</w:t>
      </w:r>
      <w:bookmarkEnd w:id="1010"/>
      <w:bookmarkEnd w:id="1011"/>
      <w:bookmarkEnd w:id="1012"/>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An employer or employee or a representative must not coerce or induce, or attempt to coerce or induce, the other party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60"/>
      </w:pPr>
      <w:bookmarkStart w:id="1013" w:name="_Toc471912144"/>
      <w:bookmarkStart w:id="1014" w:name="_Toc391894883"/>
      <w:bookmarkStart w:id="1015" w:name="_Toc419713468"/>
      <w:bookmarkStart w:id="1016" w:name="_Toc435103112"/>
      <w:bookmarkStart w:id="1017" w:name="_Toc452556542"/>
      <w:bookmarkStart w:id="1018" w:name="_Toc455414122"/>
      <w:bookmarkStart w:id="1019" w:name="_Toc462415552"/>
      <w:bookmarkStart w:id="1020" w:name="_Toc462742463"/>
      <w:bookmarkStart w:id="1021" w:name="_Toc465086117"/>
      <w:bookmarkStart w:id="1022" w:name="_Toc468179355"/>
      <w:r>
        <w:rPr>
          <w:rStyle w:val="CharDivNo"/>
        </w:rPr>
        <w:t>Division 3</w:t>
      </w:r>
      <w:r>
        <w:t> — </w:t>
      </w:r>
      <w:r>
        <w:rPr>
          <w:rStyle w:val="CharDivText"/>
        </w:rPr>
        <w:t>Form and content of EEA</w:t>
      </w:r>
      <w:bookmarkEnd w:id="1013"/>
      <w:bookmarkEnd w:id="1014"/>
      <w:bookmarkEnd w:id="1015"/>
      <w:bookmarkEnd w:id="1016"/>
      <w:bookmarkEnd w:id="1017"/>
      <w:bookmarkEnd w:id="1018"/>
      <w:bookmarkEnd w:id="1019"/>
      <w:bookmarkEnd w:id="1020"/>
      <w:bookmarkEnd w:id="1021"/>
      <w:bookmarkEnd w:id="1022"/>
    </w:p>
    <w:p>
      <w:pPr>
        <w:pStyle w:val="Footnoteheading"/>
        <w:tabs>
          <w:tab w:val="left" w:pos="851"/>
        </w:tabs>
      </w:pPr>
      <w:r>
        <w:tab/>
        <w:t>[Heading inserted by No. 20 of 2002 s. 4.]</w:t>
      </w:r>
    </w:p>
    <w:p>
      <w:pPr>
        <w:pStyle w:val="Heading5"/>
      </w:pPr>
      <w:bookmarkStart w:id="1023" w:name="_Toc471912145"/>
      <w:bookmarkStart w:id="1024" w:name="_Toc391894884"/>
      <w:bookmarkStart w:id="1025" w:name="_Toc468179356"/>
      <w:r>
        <w:rPr>
          <w:rStyle w:val="CharSectno"/>
        </w:rPr>
        <w:t>97UL</w:t>
      </w:r>
      <w:r>
        <w:t>.</w:t>
      </w:r>
      <w:r>
        <w:tab/>
        <w:t>Form of EEA</w:t>
      </w:r>
      <w:bookmarkEnd w:id="1023"/>
      <w:bookmarkEnd w:id="1024"/>
      <w:bookmarkEnd w:id="1025"/>
    </w:p>
    <w:p>
      <w:pPr>
        <w:pStyle w:val="Subsection"/>
      </w:pPr>
      <w:r>
        <w:tab/>
        <w:t>(1)</w:t>
      </w:r>
      <w:r>
        <w:tab/>
        <w:t>An EEA must —</w:t>
      </w:r>
    </w:p>
    <w:p>
      <w:pPr>
        <w:pStyle w:val="Indenta"/>
      </w:pPr>
      <w:r>
        <w:tab/>
        <w:t>(a)</w:t>
      </w:r>
      <w:r>
        <w:tab/>
        <w:t>be in writing; and</w:t>
      </w:r>
    </w:p>
    <w:p>
      <w:pPr>
        <w:pStyle w:val="Indenta"/>
      </w:pPr>
      <w:r>
        <w:tab/>
        <w:t>(b)</w:t>
      </w:r>
      <w:r>
        <w:tab/>
        <w:t>name the employer and employee who are parties to it; and</w:t>
      </w:r>
    </w:p>
    <w:p>
      <w:pPr>
        <w:pStyle w:val="Indenta"/>
      </w:pPr>
      <w:r>
        <w:tab/>
        <w:t>(c)</w:t>
      </w:r>
      <w:r>
        <w:tab/>
        <w:t>specify whether the employment to which it relates is full</w:t>
      </w:r>
      <w:r>
        <w:noBreakHyphen/>
        <w:t>time, part</w:t>
      </w:r>
      <w:r>
        <w:noBreakHyphen/>
        <w:t>time or casual; and</w:t>
      </w:r>
    </w:p>
    <w:p>
      <w:pPr>
        <w:pStyle w:val="Indenta"/>
      </w:pPr>
      <w:r>
        <w:tab/>
        <w:t>(d)</w:t>
      </w:r>
      <w:r>
        <w:tab/>
        <w:t>be signed by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The signature of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1026" w:name="_Toc471912146"/>
      <w:bookmarkStart w:id="1027" w:name="_Toc391894885"/>
      <w:bookmarkStart w:id="1028" w:name="_Toc468179357"/>
      <w:r>
        <w:rPr>
          <w:rStyle w:val="CharSectno"/>
        </w:rPr>
        <w:t>97UM</w:t>
      </w:r>
      <w:r>
        <w:t>.</w:t>
      </w:r>
      <w:r>
        <w:tab/>
        <w:t>Additional formalities for EEA made with employee under 18</w:t>
      </w:r>
      <w:bookmarkEnd w:id="1026"/>
      <w:bookmarkEnd w:id="1027"/>
      <w:bookmarkEnd w:id="1028"/>
    </w:p>
    <w:p>
      <w:pPr>
        <w:pStyle w:val="Subsection"/>
      </w:pPr>
      <w:r>
        <w:tab/>
        <w:t>(1)</w:t>
      </w:r>
      <w:r>
        <w:tab/>
        <w:t>This section applies to an EEA made with a person as the employee who —</w:t>
      </w:r>
    </w:p>
    <w:p>
      <w:pPr>
        <w:pStyle w:val="Indenta"/>
      </w:pPr>
      <w:r>
        <w:tab/>
        <w:t>(a)</w:t>
      </w:r>
      <w:r>
        <w:tab/>
        <w:t>is under 18 years of age; and</w:t>
      </w:r>
    </w:p>
    <w:p>
      <w:pPr>
        <w:pStyle w:val="Indenta"/>
      </w:pPr>
      <w:r>
        <w:tab/>
        <w:t>(b)</w:t>
      </w:r>
      <w:r>
        <w:tab/>
        <w:t>is not a represented person.</w:t>
      </w:r>
    </w:p>
    <w:p>
      <w:pPr>
        <w:pStyle w:val="Subsection"/>
      </w:pPr>
      <w:r>
        <w:tab/>
        <w:t>(2)</w:t>
      </w:r>
      <w:r>
        <w:tab/>
        <w:t>For the purposes of this Act or any other law, the EEA can only have effect if after it has been signed by the employee it is also signed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1029" w:name="_Toc471912147"/>
      <w:bookmarkStart w:id="1030" w:name="_Toc391894886"/>
      <w:bookmarkStart w:id="1031" w:name="_Toc468179358"/>
      <w:r>
        <w:rPr>
          <w:rStyle w:val="CharSectno"/>
        </w:rPr>
        <w:t>97UN</w:t>
      </w:r>
      <w:r>
        <w:t>.</w:t>
      </w:r>
      <w:r>
        <w:tab/>
        <w:t>EEA must provide for resolution of disputes</w:t>
      </w:r>
      <w:bookmarkEnd w:id="1029"/>
      <w:bookmarkEnd w:id="1030"/>
      <w:bookmarkEnd w:id="1031"/>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1032" w:name="_Toc471912148"/>
      <w:bookmarkStart w:id="1033" w:name="_Toc391894887"/>
      <w:bookmarkStart w:id="1034" w:name="_Toc468179359"/>
      <w:r>
        <w:rPr>
          <w:rStyle w:val="CharSectno"/>
        </w:rPr>
        <w:t>97UO</w:t>
      </w:r>
      <w:r>
        <w:t>.</w:t>
      </w:r>
      <w:r>
        <w:tab/>
        <w:t>EEA dispute provisions, content of</w:t>
      </w:r>
      <w:bookmarkEnd w:id="1032"/>
      <w:bookmarkEnd w:id="1033"/>
      <w:bookmarkEnd w:id="1034"/>
    </w:p>
    <w:p>
      <w:pPr>
        <w:pStyle w:val="Subsection"/>
      </w:pPr>
      <w:r>
        <w:tab/>
        <w:t>(1)</w:t>
      </w:r>
      <w:r>
        <w:tab/>
        <w:t xml:space="preserve">EEA </w:t>
      </w:r>
      <w:r>
        <w:rPr>
          <w:snapToGrid w:val="0"/>
        </w:rPr>
        <w:t>dispute</w:t>
      </w:r>
      <w:r>
        <w:t xml:space="preserve"> provisions must, if section 97UP does not apply —</w:t>
      </w:r>
    </w:p>
    <w:p>
      <w:pPr>
        <w:pStyle w:val="Indenta"/>
      </w:pPr>
      <w:r>
        <w:tab/>
        <w:t>(a)</w:t>
      </w:r>
      <w:r>
        <w:tab/>
        <w:t>provide for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r>
      <w:r>
        <w:tab/>
        <w:t>and</w:t>
      </w:r>
    </w:p>
    <w:p>
      <w:pPr>
        <w:pStyle w:val="Indenta"/>
      </w:pPr>
      <w:r>
        <w:tab/>
        <w:t>(b)</w:t>
      </w:r>
      <w:r>
        <w:tab/>
        <w:t>provide for the appointment of an arbitrator by —</w:t>
      </w:r>
    </w:p>
    <w:p>
      <w:pPr>
        <w:pStyle w:val="Indenti"/>
      </w:pPr>
      <w:r>
        <w:tab/>
        <w:t>(i)</w:t>
      </w:r>
      <w:r>
        <w:tab/>
        <w:t>naming the arbitrator, and if desired any alternate arbitrator; or</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w:t>
      </w:r>
    </w:p>
    <w:p>
      <w:pPr>
        <w:pStyle w:val="Indenta"/>
      </w:pPr>
      <w:r>
        <w:tab/>
        <w:t>(a)</w:t>
      </w:r>
      <w:r>
        <w:tab/>
        <w:t>require the parties to confer together and make a genuine attempt to settle any question, dispute or difficulty that arises out of or in the course of the employment; and</w:t>
      </w:r>
    </w:p>
    <w:p>
      <w:pPr>
        <w:pStyle w:val="Indenta"/>
      </w:pPr>
      <w:r>
        <w:tab/>
        <w:t>(b)</w:t>
      </w:r>
      <w:r>
        <w:tab/>
        <w:t>comply with any requirement of the regulations that specifies any step, series of steps or process that is to be part of the EEA dispute provisions; and</w:t>
      </w:r>
    </w:p>
    <w:p>
      <w:pPr>
        <w:pStyle w:val="Indenta"/>
      </w:pPr>
      <w:r>
        <w:tab/>
        <w:t>(c)</w:t>
      </w:r>
      <w:r>
        <w:tab/>
        <w:t>comply with any requirement of the regulations that limits the time that the EEA dispute provisions may allow for —</w:t>
      </w:r>
    </w:p>
    <w:p>
      <w:pPr>
        <w:pStyle w:val="Indenti"/>
      </w:pPr>
      <w:r>
        <w:tab/>
        <w:t>(i)</w:t>
      </w:r>
      <w:r>
        <w:tab/>
        <w:t>doing any act; or</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1035" w:name="_Toc471912149"/>
      <w:bookmarkStart w:id="1036" w:name="_Toc391894888"/>
      <w:bookmarkStart w:id="1037" w:name="_Toc468179360"/>
      <w:r>
        <w:rPr>
          <w:rStyle w:val="CharSectno"/>
        </w:rPr>
        <w:t>97UP</w:t>
      </w:r>
      <w:r>
        <w:t>.</w:t>
      </w:r>
      <w:r>
        <w:tab/>
        <w:t>Industrial authority may be specified as arbitrator</w:t>
      </w:r>
      <w:bookmarkEnd w:id="1035"/>
      <w:bookmarkEnd w:id="1036"/>
      <w:bookmarkEnd w:id="1037"/>
    </w:p>
    <w:p>
      <w:pPr>
        <w:pStyle w:val="Subsection"/>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1038" w:name="_Toc471912150"/>
      <w:bookmarkStart w:id="1039" w:name="_Toc391894889"/>
      <w:bookmarkStart w:id="1040" w:name="_Toc419713474"/>
      <w:bookmarkStart w:id="1041" w:name="_Toc435103118"/>
      <w:bookmarkStart w:id="1042" w:name="_Toc452556548"/>
      <w:bookmarkStart w:id="1043" w:name="_Toc455414128"/>
      <w:bookmarkStart w:id="1044" w:name="_Toc462415558"/>
      <w:bookmarkStart w:id="1045" w:name="_Toc462742469"/>
      <w:bookmarkStart w:id="1046" w:name="_Toc465086123"/>
      <w:bookmarkStart w:id="1047" w:name="_Toc468179361"/>
      <w:r>
        <w:rPr>
          <w:rStyle w:val="CharDivNo"/>
        </w:rPr>
        <w:t>Division 4 </w:t>
      </w:r>
      <w:r>
        <w:t>— </w:t>
      </w:r>
      <w:r>
        <w:rPr>
          <w:rStyle w:val="CharDivText"/>
        </w:rPr>
        <w:t>Commencement, duration and variation</w:t>
      </w:r>
      <w:bookmarkEnd w:id="1038"/>
      <w:bookmarkEnd w:id="1039"/>
      <w:bookmarkEnd w:id="1040"/>
      <w:bookmarkEnd w:id="1041"/>
      <w:bookmarkEnd w:id="1042"/>
      <w:bookmarkEnd w:id="1043"/>
      <w:bookmarkEnd w:id="1044"/>
      <w:bookmarkEnd w:id="1045"/>
      <w:bookmarkEnd w:id="1046"/>
      <w:bookmarkEnd w:id="1047"/>
    </w:p>
    <w:p>
      <w:pPr>
        <w:pStyle w:val="Footnoteheading"/>
        <w:tabs>
          <w:tab w:val="left" w:pos="851"/>
        </w:tabs>
      </w:pPr>
      <w:r>
        <w:tab/>
        <w:t>[Heading inserted by No. 20 of 2002 s. 4.]</w:t>
      </w:r>
    </w:p>
    <w:p>
      <w:pPr>
        <w:pStyle w:val="Heading5"/>
      </w:pPr>
      <w:bookmarkStart w:id="1048" w:name="_Toc471912151"/>
      <w:bookmarkStart w:id="1049" w:name="_Toc391894890"/>
      <w:bookmarkStart w:id="1050" w:name="_Toc468179362"/>
      <w:r>
        <w:rPr>
          <w:rStyle w:val="CharSectno"/>
        </w:rPr>
        <w:t>97UQ</w:t>
      </w:r>
      <w:r>
        <w:t>.</w:t>
      </w:r>
      <w:r>
        <w:tab/>
        <w:t>New employee, when EEA commences</w:t>
      </w:r>
      <w:bookmarkEnd w:id="1048"/>
      <w:bookmarkEnd w:id="1049"/>
      <w:bookmarkEnd w:id="1050"/>
    </w:p>
    <w:p>
      <w:pPr>
        <w:pStyle w:val="Subsection"/>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pPr>
      <w:r>
        <w:tab/>
        <w:t>(2)</w:t>
      </w:r>
      <w:r>
        <w:tab/>
        <w:t>An EEA referred to in subsection (1) takes effect on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pPr>
      <w:bookmarkStart w:id="1051" w:name="_Toc471912152"/>
      <w:bookmarkStart w:id="1052" w:name="_Toc391894891"/>
      <w:bookmarkStart w:id="1053" w:name="_Toc468179363"/>
      <w:r>
        <w:rPr>
          <w:rStyle w:val="CharSectno"/>
        </w:rPr>
        <w:t>97UR</w:t>
      </w:r>
      <w:r>
        <w:t>.</w:t>
      </w:r>
      <w:r>
        <w:tab/>
        <w:t>Existing employee, when EEA commences</w:t>
      </w:r>
      <w:bookmarkEnd w:id="1051"/>
      <w:bookmarkEnd w:id="1052"/>
      <w:bookmarkEnd w:id="1053"/>
    </w:p>
    <w:p>
      <w:pPr>
        <w:pStyle w:val="Subsection"/>
      </w:pPr>
      <w:r>
        <w:tab/>
        <w:t>(1)</w:t>
      </w:r>
      <w:r>
        <w:tab/>
        <w:t>An EEA made with an existing employee does not have effect unless it is registered under Division 5.</w:t>
      </w:r>
    </w:p>
    <w:p>
      <w:pPr>
        <w:pStyle w:val="Subsection"/>
      </w:pPr>
      <w:r>
        <w:tab/>
        <w:t>(2)</w:t>
      </w:r>
      <w:r>
        <w:tab/>
        <w:t>An EEA referred to in subsection (1) takes effect on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1054" w:name="_Toc471912153"/>
      <w:bookmarkStart w:id="1055" w:name="_Toc391894892"/>
      <w:bookmarkStart w:id="1056" w:name="_Toc468179364"/>
      <w:r>
        <w:rPr>
          <w:rStyle w:val="CharSectno"/>
        </w:rPr>
        <w:t>97US</w:t>
      </w:r>
      <w:r>
        <w:t>.</w:t>
      </w:r>
      <w:r>
        <w:tab/>
        <w:t>Expiry of EEA</w:t>
      </w:r>
      <w:bookmarkEnd w:id="1054"/>
      <w:bookmarkEnd w:id="1055"/>
      <w:bookmarkEnd w:id="1056"/>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1057" w:name="_Toc471912154"/>
      <w:bookmarkStart w:id="1058" w:name="_Toc391894893"/>
      <w:bookmarkStart w:id="1059" w:name="_Toc468179365"/>
      <w:r>
        <w:rPr>
          <w:rStyle w:val="CharSectno"/>
        </w:rPr>
        <w:t>97UT</w:t>
      </w:r>
      <w:r>
        <w:t>.</w:t>
      </w:r>
      <w:r>
        <w:tab/>
        <w:t>Employment conditions applicable on expiry of EEA</w:t>
      </w:r>
      <w:bookmarkEnd w:id="1057"/>
      <w:bookmarkEnd w:id="1058"/>
      <w:bookmarkEnd w:id="1059"/>
    </w:p>
    <w:p>
      <w:pPr>
        <w:pStyle w:val="Subsection"/>
      </w:pPr>
      <w:r>
        <w:tab/>
        <w:t>(1)</w:t>
      </w:r>
      <w:r>
        <w:tab/>
        <w:t>On the expiry of an EEA —</w:t>
      </w:r>
    </w:p>
    <w:p>
      <w:pPr>
        <w:pStyle w:val="Indenta"/>
      </w:pPr>
      <w:r>
        <w:tab/>
        <w:t>(a)</w:t>
      </w:r>
      <w:r>
        <w:tab/>
        <w:t>any relevant award provisions extend to the employee unless a new EEA then takes effect; and</w:t>
      </w:r>
    </w:p>
    <w:p>
      <w:pPr>
        <w:pStyle w:val="Indenta"/>
      </w:pPr>
      <w:r>
        <w:tab/>
        <w:t>(b)</w:t>
      </w:r>
      <w:r>
        <w:tab/>
        <w:t>to the extent that paragraph (a) does not apply, the employment of the employee becomes subject to a contract of employment containing the same provisions as those of the EEA that has expired other than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1060" w:name="_Toc471912155"/>
      <w:bookmarkStart w:id="1061" w:name="_Toc391894894"/>
      <w:bookmarkStart w:id="1062" w:name="_Toc468179366"/>
      <w:r>
        <w:rPr>
          <w:rStyle w:val="CharSectno"/>
        </w:rPr>
        <w:t>97UU</w:t>
      </w:r>
      <w:r>
        <w:t>.</w:t>
      </w:r>
      <w:r>
        <w:tab/>
        <w:t>EEA cannot be varied</w:t>
      </w:r>
      <w:bookmarkEnd w:id="1060"/>
      <w:bookmarkEnd w:id="1061"/>
      <w:bookmarkEnd w:id="1062"/>
    </w:p>
    <w:p>
      <w:pPr>
        <w:pStyle w:val="Subsection"/>
        <w:keepNext/>
      </w:pPr>
      <w:r>
        <w:tab/>
        <w:t>(1)</w:t>
      </w:r>
      <w:r>
        <w:tab/>
        <w:t>The parties to an EEA cannot vary the provisions of the EEA once it has been signed by —</w:t>
      </w:r>
    </w:p>
    <w:p>
      <w:pPr>
        <w:pStyle w:val="Indenta"/>
      </w:pPr>
      <w:r>
        <w:tab/>
        <w:t>(a)</w:t>
      </w:r>
      <w:r>
        <w:tab/>
        <w:t>the employer; and</w:t>
      </w:r>
    </w:p>
    <w:p>
      <w:pPr>
        <w:pStyle w:val="Indenta"/>
      </w:pPr>
      <w:r>
        <w:tab/>
        <w:t>(b)</w:t>
      </w:r>
      <w:r>
        <w:tab/>
        <w:t>the employee or, where applicable, his or her representative,</w:t>
      </w:r>
    </w:p>
    <w:p>
      <w:pPr>
        <w:pStyle w:val="Subsection"/>
      </w:pPr>
      <w:r>
        <w:tab/>
      </w:r>
      <w:r>
        <w:tab/>
        <w:t>or, if section 97UM applies to the EEA, once it has been signed by the employer, the employee and the section 97UM signatory.</w:t>
      </w:r>
    </w:p>
    <w:p>
      <w:pPr>
        <w:pStyle w:val="Subsection"/>
      </w:pPr>
      <w:r>
        <w:tab/>
        <w:t>(2)</w:t>
      </w:r>
      <w:r>
        <w:tab/>
        <w:t>Subsection (1) applies even though the EEA has not taken effect.</w:t>
      </w:r>
    </w:p>
    <w:p>
      <w:pPr>
        <w:pStyle w:val="Subsection"/>
        <w:keepNext/>
      </w:pPr>
      <w:r>
        <w:tab/>
        <w:t>(3)</w:t>
      </w:r>
      <w:r>
        <w:tab/>
        <w:t>However, subsection (1) does not affect the provisions of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pPr>
      <w:bookmarkStart w:id="1063" w:name="_Toc471912156"/>
      <w:bookmarkStart w:id="1064" w:name="_Toc391894895"/>
      <w:bookmarkStart w:id="1065" w:name="_Toc468179367"/>
      <w:r>
        <w:rPr>
          <w:rStyle w:val="CharSectno"/>
        </w:rPr>
        <w:t>97UV</w:t>
      </w:r>
      <w:r>
        <w:t>.</w:t>
      </w:r>
      <w:r>
        <w:tab/>
        <w:t>Cancelling EEA</w:t>
      </w:r>
      <w:bookmarkEnd w:id="1063"/>
      <w:bookmarkEnd w:id="1064"/>
      <w:bookmarkEnd w:id="1065"/>
    </w:p>
    <w:p>
      <w:pPr>
        <w:pStyle w:val="Subsection"/>
      </w:pPr>
      <w:r>
        <w:tab/>
        <w:t>(1)</w:t>
      </w:r>
      <w:r>
        <w:tab/>
        <w:t>The parties to an EEA may at any time make an agreement in writing cancelling the EEA with effect on and from a specified day.</w:t>
      </w:r>
    </w:p>
    <w:p>
      <w:pPr>
        <w:pStyle w:val="Subsection"/>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pPr>
      <w:bookmarkStart w:id="1066" w:name="_Toc471912157"/>
      <w:bookmarkStart w:id="1067" w:name="_Toc391894896"/>
      <w:bookmarkStart w:id="1068" w:name="_Toc468179368"/>
      <w:r>
        <w:rPr>
          <w:rStyle w:val="CharSectno"/>
        </w:rPr>
        <w:t>97UW</w:t>
      </w:r>
      <w:r>
        <w:t>.</w:t>
      </w:r>
      <w:r>
        <w:tab/>
        <w:t>Termination of employment, effect of on EEA</w:t>
      </w:r>
      <w:bookmarkEnd w:id="1066"/>
      <w:bookmarkEnd w:id="1067"/>
      <w:bookmarkEnd w:id="1068"/>
    </w:p>
    <w:p>
      <w:pPr>
        <w:pStyle w:val="Subsection"/>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1069" w:name="_Toc471912158"/>
      <w:bookmarkStart w:id="1070" w:name="_Toc391894897"/>
      <w:bookmarkStart w:id="1071" w:name="_Toc419713482"/>
      <w:bookmarkStart w:id="1072" w:name="_Toc435103126"/>
      <w:bookmarkStart w:id="1073" w:name="_Toc452556556"/>
      <w:bookmarkStart w:id="1074" w:name="_Toc455414136"/>
      <w:bookmarkStart w:id="1075" w:name="_Toc462415566"/>
      <w:bookmarkStart w:id="1076" w:name="_Toc462742477"/>
      <w:bookmarkStart w:id="1077" w:name="_Toc465086131"/>
      <w:bookmarkStart w:id="1078" w:name="_Toc468179369"/>
      <w:r>
        <w:rPr>
          <w:rStyle w:val="CharDivNo"/>
        </w:rPr>
        <w:t>Division 5</w:t>
      </w:r>
      <w:r>
        <w:t> — </w:t>
      </w:r>
      <w:r>
        <w:rPr>
          <w:rStyle w:val="CharDivText"/>
        </w:rPr>
        <w:t>Registration of EEAs</w:t>
      </w:r>
      <w:bookmarkEnd w:id="1069"/>
      <w:bookmarkEnd w:id="1070"/>
      <w:bookmarkEnd w:id="1071"/>
      <w:bookmarkEnd w:id="1072"/>
      <w:bookmarkEnd w:id="1073"/>
      <w:bookmarkEnd w:id="1074"/>
      <w:bookmarkEnd w:id="1075"/>
      <w:bookmarkEnd w:id="1076"/>
      <w:bookmarkEnd w:id="1077"/>
      <w:bookmarkEnd w:id="1078"/>
    </w:p>
    <w:p>
      <w:pPr>
        <w:pStyle w:val="Footnoteheading"/>
        <w:keepNext/>
        <w:keepLines/>
        <w:tabs>
          <w:tab w:val="left" w:pos="851"/>
        </w:tabs>
      </w:pPr>
      <w:r>
        <w:tab/>
        <w:t>[Heading inserted by No. 20 of 2002 s. 4.]</w:t>
      </w:r>
    </w:p>
    <w:p>
      <w:pPr>
        <w:pStyle w:val="Heading4"/>
        <w:keepLines/>
        <w:spacing w:before="260"/>
      </w:pPr>
      <w:bookmarkStart w:id="1079" w:name="_Toc471912159"/>
      <w:bookmarkStart w:id="1080" w:name="_Toc391894898"/>
      <w:bookmarkStart w:id="1081" w:name="_Toc419713483"/>
      <w:bookmarkStart w:id="1082" w:name="_Toc435103127"/>
      <w:bookmarkStart w:id="1083" w:name="_Toc452556557"/>
      <w:bookmarkStart w:id="1084" w:name="_Toc455414137"/>
      <w:bookmarkStart w:id="1085" w:name="_Toc462415567"/>
      <w:bookmarkStart w:id="1086" w:name="_Toc462742478"/>
      <w:bookmarkStart w:id="1087" w:name="_Toc465086132"/>
      <w:bookmarkStart w:id="1088" w:name="_Toc468179370"/>
      <w:r>
        <w:t>Subdivision 1 — Preliminary</w:t>
      </w:r>
      <w:bookmarkEnd w:id="1079"/>
      <w:bookmarkEnd w:id="1080"/>
      <w:bookmarkEnd w:id="1081"/>
      <w:bookmarkEnd w:id="1082"/>
      <w:bookmarkEnd w:id="1083"/>
      <w:bookmarkEnd w:id="1084"/>
      <w:bookmarkEnd w:id="1085"/>
      <w:bookmarkEnd w:id="1086"/>
      <w:bookmarkEnd w:id="1087"/>
      <w:bookmarkEnd w:id="1088"/>
    </w:p>
    <w:p>
      <w:pPr>
        <w:pStyle w:val="Footnoteheading"/>
        <w:keepLines/>
        <w:tabs>
          <w:tab w:val="left" w:pos="851"/>
        </w:tabs>
      </w:pPr>
      <w:r>
        <w:tab/>
        <w:t>[Heading inserted by No. 20 of 2002 s. 4.]</w:t>
      </w:r>
    </w:p>
    <w:p>
      <w:pPr>
        <w:pStyle w:val="Heading5"/>
        <w:keepNext w:val="0"/>
        <w:spacing w:before="240"/>
      </w:pPr>
      <w:bookmarkStart w:id="1089" w:name="_Toc471912160"/>
      <w:bookmarkStart w:id="1090" w:name="_Toc391894899"/>
      <w:bookmarkStart w:id="1091" w:name="_Toc468179371"/>
      <w:r>
        <w:rPr>
          <w:rStyle w:val="CharSectno"/>
        </w:rPr>
        <w:t>97UX</w:t>
      </w:r>
      <w:r>
        <w:t>.</w:t>
      </w:r>
      <w:r>
        <w:tab/>
        <w:t>Delegation by Registrar</w:t>
      </w:r>
      <w:bookmarkEnd w:id="1089"/>
      <w:bookmarkEnd w:id="1090"/>
      <w:bookmarkEnd w:id="1091"/>
    </w:p>
    <w:p>
      <w:pPr>
        <w:pStyle w:val="Subsection"/>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A delegation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spacing w:before="280"/>
      </w:pPr>
      <w:bookmarkStart w:id="1092" w:name="_Toc471912161"/>
      <w:bookmarkStart w:id="1093" w:name="_Toc391894900"/>
      <w:bookmarkStart w:id="1094" w:name="_Toc419713485"/>
      <w:bookmarkStart w:id="1095" w:name="_Toc435103129"/>
      <w:bookmarkStart w:id="1096" w:name="_Toc452556559"/>
      <w:bookmarkStart w:id="1097" w:name="_Toc455414139"/>
      <w:bookmarkStart w:id="1098" w:name="_Toc462415569"/>
      <w:bookmarkStart w:id="1099" w:name="_Toc462742480"/>
      <w:bookmarkStart w:id="1100" w:name="_Toc465086134"/>
      <w:bookmarkStart w:id="1101" w:name="_Toc468179372"/>
      <w:r>
        <w:t>Subdivision 2 — Registration</w:t>
      </w:r>
      <w:bookmarkEnd w:id="1092"/>
      <w:bookmarkEnd w:id="1093"/>
      <w:bookmarkEnd w:id="1094"/>
      <w:bookmarkEnd w:id="1095"/>
      <w:bookmarkEnd w:id="1096"/>
      <w:bookmarkEnd w:id="1097"/>
      <w:bookmarkEnd w:id="1098"/>
      <w:bookmarkEnd w:id="1099"/>
      <w:bookmarkEnd w:id="1100"/>
      <w:bookmarkEnd w:id="1101"/>
    </w:p>
    <w:p>
      <w:pPr>
        <w:pStyle w:val="Footnoteheading"/>
        <w:keepNext/>
        <w:keepLines/>
        <w:tabs>
          <w:tab w:val="left" w:pos="851"/>
        </w:tabs>
      </w:pPr>
      <w:r>
        <w:tab/>
        <w:t>[Heading inserted by No. 20 of 2002 s. 4.]</w:t>
      </w:r>
    </w:p>
    <w:p>
      <w:pPr>
        <w:pStyle w:val="Heading5"/>
      </w:pPr>
      <w:bookmarkStart w:id="1102" w:name="_Toc471912162"/>
      <w:bookmarkStart w:id="1103" w:name="_Toc391894901"/>
      <w:bookmarkStart w:id="1104" w:name="_Toc468179373"/>
      <w:r>
        <w:rPr>
          <w:rStyle w:val="CharSectno"/>
        </w:rPr>
        <w:t>97UY</w:t>
      </w:r>
      <w:r>
        <w:t>.</w:t>
      </w:r>
      <w:r>
        <w:tab/>
        <w:t>Lodgment of EEA for registration</w:t>
      </w:r>
      <w:bookmarkEnd w:id="1102"/>
      <w:bookmarkEnd w:id="1103"/>
      <w:bookmarkEnd w:id="1104"/>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The Registrar is not to accept an EEA for registration if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In subsection (2) —</w:t>
      </w:r>
    </w:p>
    <w:p>
      <w:pPr>
        <w:pStyle w:val="Defstart"/>
        <w:keepNext/>
      </w:pPr>
      <w:r>
        <w:tab/>
      </w:r>
      <w:r>
        <w:rPr>
          <w:rStyle w:val="CharDefText"/>
        </w:rPr>
        <w:t>day of execution</w:t>
      </w:r>
      <w:r>
        <w:t xml:space="preserve"> means —</w:t>
      </w:r>
    </w:p>
    <w:p>
      <w:pPr>
        <w:pStyle w:val="Defpara"/>
      </w:pPr>
      <w:r>
        <w:tab/>
        <w:t>(a)</w:t>
      </w:r>
      <w:r>
        <w:tab/>
        <w:t>the day on which the EEA was signed by —</w:t>
      </w:r>
    </w:p>
    <w:p>
      <w:pPr>
        <w:pStyle w:val="Defsubpara"/>
        <w:keepLines w:val="0"/>
      </w:pPr>
      <w:r>
        <w:tab/>
        <w:t>(i)</w:t>
      </w:r>
      <w:r>
        <w:tab/>
        <w:t>the employer; and</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1105" w:name="_Toc471912163"/>
      <w:bookmarkStart w:id="1106" w:name="_Toc391894902"/>
      <w:bookmarkStart w:id="1107" w:name="_Toc468179374"/>
      <w:r>
        <w:rPr>
          <w:rStyle w:val="CharSectno"/>
        </w:rPr>
        <w:t>97UZ</w:t>
      </w:r>
      <w:r>
        <w:t>.</w:t>
      </w:r>
      <w:r>
        <w:tab/>
        <w:t>EEA with new employee, effect of not lodging</w:t>
      </w:r>
      <w:bookmarkEnd w:id="1105"/>
      <w:bookmarkEnd w:id="1106"/>
      <w:bookmarkEnd w:id="1107"/>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1108" w:name="_Toc471912164"/>
      <w:bookmarkStart w:id="1109" w:name="_Toc391894903"/>
      <w:bookmarkStart w:id="1110" w:name="_Toc468179375"/>
      <w:r>
        <w:rPr>
          <w:rStyle w:val="CharSectno"/>
        </w:rPr>
        <w:t>97V</w:t>
      </w:r>
      <w:r>
        <w:rPr>
          <w:snapToGrid w:val="0"/>
        </w:rPr>
        <w:t>.</w:t>
      </w:r>
      <w:r>
        <w:rPr>
          <w:snapToGrid w:val="0"/>
        </w:rPr>
        <w:tab/>
        <w:t>Recovery of money if s. 97UZ applies</w:t>
      </w:r>
      <w:bookmarkEnd w:id="1108"/>
      <w:bookmarkEnd w:id="1109"/>
      <w:bookmarkEnd w:id="1110"/>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w:t>
      </w:r>
    </w:p>
    <w:p>
      <w:pPr>
        <w:pStyle w:val="Indenta"/>
        <w:spacing w:before="70"/>
        <w:rPr>
          <w:snapToGrid w:val="0"/>
        </w:rPr>
      </w:pPr>
      <w:r>
        <w:rPr>
          <w:snapToGrid w:val="0"/>
        </w:rPr>
        <w:tab/>
        <w:t>(a)</w:t>
      </w:r>
      <w:r>
        <w:rPr>
          <w:snapToGrid w:val="0"/>
        </w:rPr>
        <w:tab/>
        <w:t>would have been entitled to receive; or</w:t>
      </w:r>
    </w:p>
    <w:p>
      <w:pPr>
        <w:pStyle w:val="Indenta"/>
        <w:spacing w:before="70"/>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tab/>
        <w:t>(3)</w:t>
      </w:r>
      <w:r>
        <w:tab/>
        <w:t>An amount referred to in subsection (1) may be recovered by action in an industrial magistrate’s court.</w:t>
      </w:r>
    </w:p>
    <w:p>
      <w:pPr>
        <w:pStyle w:val="Footnotesection"/>
        <w:spacing w:before="100"/>
        <w:ind w:left="890" w:hanging="890"/>
      </w:pPr>
      <w:r>
        <w:tab/>
        <w:t>[Section 97V inserted by No. 20 of 2002 s. 4.]</w:t>
      </w:r>
    </w:p>
    <w:p>
      <w:pPr>
        <w:pStyle w:val="Heading5"/>
      </w:pPr>
      <w:bookmarkStart w:id="1111" w:name="_Toc471912165"/>
      <w:bookmarkStart w:id="1112" w:name="_Toc391894904"/>
      <w:bookmarkStart w:id="1113" w:name="_Toc468179376"/>
      <w:r>
        <w:rPr>
          <w:rStyle w:val="CharSectno"/>
        </w:rPr>
        <w:t>97VA</w:t>
      </w:r>
      <w:r>
        <w:t>.</w:t>
      </w:r>
      <w:r>
        <w:tab/>
        <w:t>Employment conditions of new employee if EEA not lodged</w:t>
      </w:r>
      <w:bookmarkEnd w:id="1111"/>
      <w:bookmarkEnd w:id="1112"/>
      <w:bookmarkEnd w:id="1113"/>
    </w:p>
    <w:p>
      <w:pPr>
        <w:pStyle w:val="Subsection"/>
      </w:pPr>
      <w:r>
        <w:tab/>
        <w:t>(1)</w:t>
      </w:r>
      <w:r>
        <w:tab/>
        <w:t xml:space="preserve">If an EEA ceases to </w:t>
      </w:r>
      <w:r>
        <w:rPr>
          <w:snapToGrid w:val="0"/>
        </w:rPr>
        <w:t>have</w:t>
      </w:r>
      <w:r>
        <w:t xml:space="preserve"> effect under section 97UZ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not lodged for registration within the allowed period,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w:t>
      </w:r>
    </w:p>
    <w:p>
      <w:pPr>
        <w:pStyle w:val="Indenta"/>
        <w:spacing w:before="70"/>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1114" w:name="_Toc471912166"/>
      <w:bookmarkStart w:id="1115" w:name="_Toc391894905"/>
      <w:bookmarkStart w:id="1116" w:name="_Toc468179377"/>
      <w:r>
        <w:rPr>
          <w:rStyle w:val="CharSectno"/>
        </w:rPr>
        <w:t>97VB</w:t>
      </w:r>
      <w:r>
        <w:t>.</w:t>
      </w:r>
      <w:r>
        <w:tab/>
        <w:t>Registrar to be satisfied EEA is in order for registration</w:t>
      </w:r>
      <w:bookmarkEnd w:id="1114"/>
      <w:bookmarkEnd w:id="1115"/>
      <w:bookmarkEnd w:id="1116"/>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pPr>
      <w:bookmarkStart w:id="1117" w:name="_Toc471912167"/>
      <w:bookmarkStart w:id="1118" w:name="_Toc391894906"/>
      <w:bookmarkStart w:id="1119" w:name="_Toc468179378"/>
      <w:r>
        <w:rPr>
          <w:rStyle w:val="CharSectno"/>
        </w:rPr>
        <w:t>97VC</w:t>
      </w:r>
      <w:r>
        <w:t>.</w:t>
      </w:r>
      <w:r>
        <w:tab/>
        <w:t>Registrar’s powers for s. 97VB</w:t>
      </w:r>
      <w:bookmarkEnd w:id="1117"/>
      <w:bookmarkEnd w:id="1118"/>
      <w:bookmarkEnd w:id="1119"/>
    </w:p>
    <w:p>
      <w:pPr>
        <w:pStyle w:val="Subsection"/>
      </w:pPr>
      <w:r>
        <w:tab/>
        <w:t>(1)</w:t>
      </w:r>
      <w:r>
        <w:tab/>
        <w:t>The Registrar may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keepNext/>
      </w:pPr>
      <w:r>
        <w:tab/>
        <w:t>(5)</w:t>
      </w:r>
      <w:r>
        <w:tab/>
        <w:t>In this section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pPr>
      <w:bookmarkStart w:id="1120" w:name="_Toc471912168"/>
      <w:bookmarkStart w:id="1121" w:name="_Toc391894907"/>
      <w:bookmarkStart w:id="1122" w:name="_Toc468179379"/>
      <w:r>
        <w:rPr>
          <w:rStyle w:val="CharSectno"/>
        </w:rPr>
        <w:t>97VD</w:t>
      </w:r>
      <w:r>
        <w:t>.</w:t>
      </w:r>
      <w:r>
        <w:tab/>
        <w:t>Registrar to notify parties of certain deficiencies in EEA</w:t>
      </w:r>
      <w:bookmarkEnd w:id="1120"/>
      <w:bookmarkEnd w:id="1121"/>
      <w:bookmarkEnd w:id="1122"/>
    </w:p>
    <w:p>
      <w:pPr>
        <w:pStyle w:val="Subsection"/>
      </w:pPr>
      <w:r>
        <w:tab/>
        <w:t>(1)</w:t>
      </w:r>
      <w:r>
        <w:tab/>
        <w:t>This section applies where the Registrar is not satisfied that an EEA is in order for registration for one or more of the following reasons —</w:t>
      </w:r>
    </w:p>
    <w:p>
      <w:pPr>
        <w:pStyle w:val="Indenta"/>
      </w:pPr>
      <w:r>
        <w:tab/>
        <w:t>(a)</w:t>
      </w:r>
      <w:r>
        <w:tab/>
        <w:t>it does not comply with section 97UL, 97UN or 97US;</w:t>
      </w:r>
    </w:p>
    <w:p>
      <w:pPr>
        <w:pStyle w:val="Indenta"/>
        <w:keepNext/>
      </w:pPr>
      <w:r>
        <w:tab/>
        <w:t>(b)</w:t>
      </w:r>
      <w:r>
        <w:tab/>
        <w:t>it does not pass the no</w:t>
      </w:r>
      <w:r>
        <w:noBreakHyphen/>
        <w:t>disadvantage test;</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Registrar must give notice in writing to the parties setting out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240"/>
      </w:pPr>
      <w:bookmarkStart w:id="1123" w:name="_Toc471912169"/>
      <w:bookmarkStart w:id="1124" w:name="_Toc391894908"/>
      <w:bookmarkStart w:id="1125" w:name="_Toc468179380"/>
      <w:r>
        <w:rPr>
          <w:rStyle w:val="CharSectno"/>
        </w:rPr>
        <w:t>97VE</w:t>
      </w:r>
      <w:r>
        <w:t>.</w:t>
      </w:r>
      <w:r>
        <w:tab/>
        <w:t>Parties may correct deficiencies in EEA</w:t>
      </w:r>
      <w:bookmarkEnd w:id="1123"/>
      <w:bookmarkEnd w:id="1124"/>
      <w:bookmarkEnd w:id="1125"/>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If —</w:t>
      </w:r>
    </w:p>
    <w:p>
      <w:pPr>
        <w:pStyle w:val="Indenta"/>
      </w:pPr>
      <w:r>
        <w:tab/>
        <w:t>(a)</w:t>
      </w:r>
      <w:r>
        <w:tab/>
        <w:t>the Registrar has given a notice under section 97VD; but</w:t>
      </w:r>
    </w:p>
    <w:p>
      <w:pPr>
        <w:pStyle w:val="Indenta"/>
        <w:keepNext/>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1126" w:name="_Toc471912170"/>
      <w:bookmarkStart w:id="1127" w:name="_Toc391894909"/>
      <w:bookmarkStart w:id="1128" w:name="_Toc468179381"/>
      <w:r>
        <w:rPr>
          <w:rStyle w:val="CharSectno"/>
        </w:rPr>
        <w:t>97VF</w:t>
      </w:r>
      <w:r>
        <w:t>.</w:t>
      </w:r>
      <w:r>
        <w:tab/>
        <w:t>Registration of EEA</w:t>
      </w:r>
      <w:bookmarkEnd w:id="1126"/>
      <w:bookmarkEnd w:id="1127"/>
      <w:bookmarkEnd w:id="1128"/>
    </w:p>
    <w:p>
      <w:pPr>
        <w:pStyle w:val="Subsection"/>
      </w:pPr>
      <w:r>
        <w:tab/>
        <w:t>(1)</w:t>
      </w:r>
      <w:r>
        <w:tab/>
        <w:t>If the Registrar is satisfied that an EEA is in order for registration, the Registrar must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1129" w:name="_Toc471912171"/>
      <w:bookmarkStart w:id="1130" w:name="_Toc391894910"/>
      <w:bookmarkStart w:id="1131" w:name="_Toc468179382"/>
      <w:r>
        <w:rPr>
          <w:rStyle w:val="CharSectno"/>
        </w:rPr>
        <w:t>97VG</w:t>
      </w:r>
      <w:r>
        <w:t>.</w:t>
      </w:r>
      <w:r>
        <w:tab/>
        <w:t>Refusal of registration of EEA</w:t>
      </w:r>
      <w:bookmarkEnd w:id="1129"/>
      <w:bookmarkEnd w:id="1130"/>
      <w:bookmarkEnd w:id="1131"/>
    </w:p>
    <w:p>
      <w:pPr>
        <w:pStyle w:val="Subsection"/>
      </w:pPr>
      <w:r>
        <w:tab/>
      </w:r>
      <w:r>
        <w:tab/>
        <w:t>If the Registrar is not satisfied that an EEA is in order for registration, the Registrar must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pPr>
      <w:bookmarkStart w:id="1132" w:name="_Toc471912172"/>
      <w:bookmarkStart w:id="1133" w:name="_Toc391894911"/>
      <w:bookmarkStart w:id="1134" w:name="_Toc468179383"/>
      <w:r>
        <w:rPr>
          <w:rStyle w:val="CharSectno"/>
        </w:rPr>
        <w:t>97VH</w:t>
      </w:r>
      <w:r>
        <w:t>.</w:t>
      </w:r>
      <w:r>
        <w:tab/>
        <w:t>When refusal has effect</w:t>
      </w:r>
      <w:bookmarkEnd w:id="1132"/>
      <w:bookmarkEnd w:id="1133"/>
      <w:bookmarkEnd w:id="1134"/>
    </w:p>
    <w:p>
      <w:pPr>
        <w:pStyle w:val="Subsection"/>
      </w:pPr>
      <w:r>
        <w:tab/>
        <w:t>(1)</w:t>
      </w:r>
      <w:r>
        <w:tab/>
        <w:t xml:space="preserve">A refusal of </w:t>
      </w:r>
      <w:r>
        <w:rPr>
          <w:snapToGrid w:val="0"/>
        </w:rPr>
        <w:t>registration</w:t>
      </w:r>
      <w:r>
        <w:t xml:space="preserve"> comes into force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pPr>
      <w:r>
        <w:tab/>
        <w:t>(2)</w:t>
      </w:r>
      <w:r>
        <w:tab/>
        <w:t xml:space="preserve">For the </w:t>
      </w:r>
      <w:r>
        <w:rPr>
          <w:snapToGrid w:val="0"/>
        </w:rPr>
        <w:t xml:space="preserve">purpose </w:t>
      </w:r>
      <w:r>
        <w:t>of subsection (1)(b) an appeal fails if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spacing w:before="100"/>
        <w:ind w:left="890" w:hanging="890"/>
      </w:pPr>
      <w:r>
        <w:tab/>
        <w:t>[Section 97VH inserted by No. 20 of 2002 s. 4.]</w:t>
      </w:r>
    </w:p>
    <w:p>
      <w:pPr>
        <w:pStyle w:val="Heading5"/>
        <w:spacing w:before="180"/>
      </w:pPr>
      <w:bookmarkStart w:id="1135" w:name="_Toc471912173"/>
      <w:bookmarkStart w:id="1136" w:name="_Toc391894912"/>
      <w:bookmarkStart w:id="1137" w:name="_Toc468179384"/>
      <w:r>
        <w:rPr>
          <w:rStyle w:val="CharSectno"/>
        </w:rPr>
        <w:t>97VI</w:t>
      </w:r>
      <w:r>
        <w:t>.</w:t>
      </w:r>
      <w:r>
        <w:tab/>
        <w:t>EEA for new employee refused registration, effect ceases</w:t>
      </w:r>
      <w:bookmarkEnd w:id="1135"/>
      <w:bookmarkEnd w:id="1136"/>
      <w:bookmarkEnd w:id="1137"/>
    </w:p>
    <w:p>
      <w:pPr>
        <w:pStyle w:val="Subsection"/>
      </w:pPr>
      <w:r>
        <w:tab/>
      </w:r>
      <w:r>
        <w:tab/>
        <w:t>If an EEA made with a new employee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spacing w:before="120"/>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spacing w:before="100"/>
        <w:ind w:left="890" w:hanging="890"/>
      </w:pPr>
      <w:r>
        <w:tab/>
        <w:t>[Section 97VI inserted by No. 20 of 2002 s. 4.]</w:t>
      </w:r>
    </w:p>
    <w:p>
      <w:pPr>
        <w:pStyle w:val="Heading5"/>
        <w:rPr>
          <w:snapToGrid w:val="0"/>
        </w:rPr>
      </w:pPr>
      <w:bookmarkStart w:id="1138" w:name="_Toc471912174"/>
      <w:bookmarkStart w:id="1139" w:name="_Toc391894913"/>
      <w:bookmarkStart w:id="1140" w:name="_Toc468179385"/>
      <w:r>
        <w:rPr>
          <w:rStyle w:val="CharSectno"/>
        </w:rPr>
        <w:t>97VJ</w:t>
      </w:r>
      <w:r>
        <w:rPr>
          <w:snapToGrid w:val="0"/>
        </w:rPr>
        <w:t>.</w:t>
      </w:r>
      <w:r>
        <w:rPr>
          <w:snapToGrid w:val="0"/>
        </w:rPr>
        <w:tab/>
        <w:t>Recovery of money if s. 97VI applies</w:t>
      </w:r>
      <w:bookmarkEnd w:id="1138"/>
      <w:bookmarkEnd w:id="1139"/>
      <w:bookmarkEnd w:id="1140"/>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spacing w:before="100"/>
        <w:ind w:left="890" w:hanging="890"/>
      </w:pPr>
      <w:r>
        <w:tab/>
        <w:t>[Section 97VJ inserted by No. 20 of 2002 s. 4.]</w:t>
      </w:r>
    </w:p>
    <w:p>
      <w:pPr>
        <w:pStyle w:val="Heading5"/>
      </w:pPr>
      <w:bookmarkStart w:id="1141" w:name="_Toc471912175"/>
      <w:bookmarkStart w:id="1142" w:name="_Toc391894914"/>
      <w:bookmarkStart w:id="1143" w:name="_Toc468179386"/>
      <w:r>
        <w:rPr>
          <w:rStyle w:val="CharSectno"/>
        </w:rPr>
        <w:t>97VK</w:t>
      </w:r>
      <w:r>
        <w:t>.</w:t>
      </w:r>
      <w:r>
        <w:tab/>
        <w:t>Employment conditions of new employee if registration refused</w:t>
      </w:r>
      <w:bookmarkEnd w:id="1141"/>
      <w:bookmarkEnd w:id="1142"/>
      <w:bookmarkEnd w:id="1143"/>
    </w:p>
    <w:p>
      <w:pPr>
        <w:pStyle w:val="Subsection"/>
      </w:pPr>
      <w:r>
        <w:tab/>
        <w:t>(1)</w:t>
      </w:r>
      <w:r>
        <w:tab/>
        <w:t xml:space="preserve">If an EEA ceases to </w:t>
      </w:r>
      <w:r>
        <w:rPr>
          <w:snapToGrid w:val="0"/>
        </w:rPr>
        <w:t>have</w:t>
      </w:r>
      <w:r>
        <w:t xml:space="preserve"> effect under section 97VI —</w:t>
      </w:r>
    </w:p>
    <w:p>
      <w:pPr>
        <w:pStyle w:val="Indenta"/>
      </w:pPr>
      <w:r>
        <w:tab/>
        <w:t>(a)</w:t>
      </w:r>
      <w:r>
        <w:tab/>
        <w:t>any relevant award provisions extend to the employee; or</w:t>
      </w:r>
    </w:p>
    <w:p>
      <w:pPr>
        <w:pStyle w:val="Indenta"/>
      </w:pPr>
      <w:r>
        <w:tab/>
        <w:t>(b)</w:t>
      </w:r>
      <w:r>
        <w:tab/>
        <w:t>if there are no such provisions, his or her employment becomes subject to a contract of employment containing the same provisions as those of the EEA that was refused registration, other than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1144" w:name="_Toc471912176"/>
      <w:bookmarkStart w:id="1145" w:name="_Toc391894915"/>
      <w:bookmarkStart w:id="1146" w:name="_Toc468179387"/>
      <w:r>
        <w:rPr>
          <w:rStyle w:val="CharSectno"/>
        </w:rPr>
        <w:t>97VL</w:t>
      </w:r>
      <w:r>
        <w:t>.</w:t>
      </w:r>
      <w:r>
        <w:tab/>
        <w:t>Registrar to provide copy of registered EEA</w:t>
      </w:r>
      <w:bookmarkEnd w:id="1144"/>
      <w:bookmarkEnd w:id="1145"/>
      <w:bookmarkEnd w:id="1146"/>
    </w:p>
    <w:p>
      <w:pPr>
        <w:pStyle w:val="Subsection"/>
      </w:pPr>
      <w:r>
        <w:tab/>
        <w:t>(1)</w:t>
      </w:r>
      <w:r>
        <w:tab/>
        <w:t xml:space="preserve">The Registrar </w:t>
      </w:r>
      <w:r>
        <w:rPr>
          <w:snapToGrid w:val="0"/>
        </w:rPr>
        <w:t>must</w:t>
      </w:r>
      <w:r>
        <w:t xml:space="preserve"> give a copy of an EEA that is registered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1147" w:name="_Toc471912177"/>
      <w:bookmarkStart w:id="1148" w:name="_Toc391894916"/>
      <w:bookmarkStart w:id="1149" w:name="_Toc419713501"/>
      <w:bookmarkStart w:id="1150" w:name="_Toc435103145"/>
      <w:bookmarkStart w:id="1151" w:name="_Toc452556575"/>
      <w:bookmarkStart w:id="1152" w:name="_Toc455414155"/>
      <w:bookmarkStart w:id="1153" w:name="_Toc462415585"/>
      <w:bookmarkStart w:id="1154" w:name="_Toc462742496"/>
      <w:bookmarkStart w:id="1155" w:name="_Toc465086150"/>
      <w:bookmarkStart w:id="1156" w:name="_Toc468179388"/>
      <w:r>
        <w:t>Subdivision 3 — Appeal against refusal of registration</w:t>
      </w:r>
      <w:bookmarkEnd w:id="1147"/>
      <w:bookmarkEnd w:id="1148"/>
      <w:bookmarkEnd w:id="1149"/>
      <w:bookmarkEnd w:id="1150"/>
      <w:bookmarkEnd w:id="1151"/>
      <w:bookmarkEnd w:id="1152"/>
      <w:bookmarkEnd w:id="1153"/>
      <w:bookmarkEnd w:id="1154"/>
      <w:bookmarkEnd w:id="1155"/>
      <w:bookmarkEnd w:id="1156"/>
    </w:p>
    <w:p>
      <w:pPr>
        <w:pStyle w:val="Footnoteheading"/>
        <w:tabs>
          <w:tab w:val="left" w:pos="851"/>
        </w:tabs>
      </w:pPr>
      <w:r>
        <w:tab/>
        <w:t>[Heading inserted by No. 20 of 2002 s. 4.]</w:t>
      </w:r>
    </w:p>
    <w:p>
      <w:pPr>
        <w:pStyle w:val="Heading5"/>
        <w:spacing w:before="180"/>
      </w:pPr>
      <w:bookmarkStart w:id="1157" w:name="_Toc471912178"/>
      <w:bookmarkStart w:id="1158" w:name="_Toc391894917"/>
      <w:bookmarkStart w:id="1159" w:name="_Toc468179389"/>
      <w:r>
        <w:rPr>
          <w:rStyle w:val="CharSectno"/>
        </w:rPr>
        <w:t>97VM</w:t>
      </w:r>
      <w:r>
        <w:t>.</w:t>
      </w:r>
      <w:r>
        <w:tab/>
        <w:t>Appeal against refusal of registration</w:t>
      </w:r>
      <w:bookmarkEnd w:id="1157"/>
      <w:bookmarkEnd w:id="1158"/>
      <w:bookmarkEnd w:id="1159"/>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1160" w:name="_Toc471912179"/>
      <w:bookmarkStart w:id="1161" w:name="_Toc391894918"/>
      <w:bookmarkStart w:id="1162" w:name="_Toc468179390"/>
      <w:r>
        <w:rPr>
          <w:rStyle w:val="CharSectno"/>
        </w:rPr>
        <w:t>97VN</w:t>
      </w:r>
      <w:r>
        <w:t>.</w:t>
      </w:r>
      <w:r>
        <w:tab/>
        <w:t>Relevant industrial authority to notify parties of certain deficiencies in EEA</w:t>
      </w:r>
      <w:bookmarkEnd w:id="1160"/>
      <w:bookmarkEnd w:id="1161"/>
      <w:bookmarkEnd w:id="1162"/>
    </w:p>
    <w:p>
      <w:pPr>
        <w:pStyle w:val="Subsection"/>
      </w:pPr>
      <w:r>
        <w:tab/>
        <w:t>(1)</w:t>
      </w:r>
      <w:r>
        <w:tab/>
        <w:t>This section applies on an appeal against a refusal by the Registrar to register an EEA for one or more of the following reasons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disadvantage test;</w:t>
      </w:r>
    </w:p>
    <w:p>
      <w:pPr>
        <w:pStyle w:val="Indenta"/>
        <w:spacing w:before="60"/>
      </w:pPr>
      <w:r>
        <w:tab/>
        <w:t>(c)</w:t>
      </w:r>
      <w:r>
        <w:tab/>
        <w:t>it purports to provide for a condition of employment that is less favourable to the employee than a minimum condition of employment under the MCE Act.</w:t>
      </w:r>
    </w:p>
    <w:p>
      <w:pPr>
        <w:pStyle w:val="Subsection"/>
      </w:pPr>
      <w:r>
        <w:tab/>
        <w:t>(2)</w:t>
      </w:r>
      <w:r>
        <w:tab/>
        <w:t>Where this section applies the relevant industrial authority may give notice in writing to the parties setting out —</w:t>
      </w:r>
    </w:p>
    <w:p>
      <w:pPr>
        <w:pStyle w:val="Indenta"/>
        <w:spacing w:before="60"/>
      </w:pPr>
      <w:r>
        <w:tab/>
        <w:t>(a)</w:t>
      </w:r>
      <w:r>
        <w:tab/>
        <w:t>the deficiencies in the EEA that, in the opinion of that authority, make it necessary for registration to be refused; and</w:t>
      </w:r>
    </w:p>
    <w:p>
      <w:pPr>
        <w:pStyle w:val="Indenta"/>
        <w:spacing w:before="60"/>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1163" w:name="_Toc471912180"/>
      <w:bookmarkStart w:id="1164" w:name="_Toc391894919"/>
      <w:bookmarkStart w:id="1165" w:name="_Toc468179391"/>
      <w:r>
        <w:rPr>
          <w:rStyle w:val="CharSectno"/>
        </w:rPr>
        <w:t>97VO</w:t>
      </w:r>
      <w:r>
        <w:t>.</w:t>
      </w:r>
      <w:r>
        <w:tab/>
        <w:t>Parties may correct deficiencies in EEA</w:t>
      </w:r>
      <w:bookmarkEnd w:id="1163"/>
      <w:bookmarkEnd w:id="1164"/>
      <w:bookmarkEnd w:id="1165"/>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If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spacing w:before="120"/>
      </w:pPr>
      <w:r>
        <w:tab/>
      </w:r>
      <w:r>
        <w:tab/>
        <w:t>the authority may cause it to be registered by disposing of the appeal in the manner provided for by section 97VP(2)(b)(i).</w:t>
      </w:r>
    </w:p>
    <w:p>
      <w:pPr>
        <w:pStyle w:val="Subsection"/>
      </w:pPr>
      <w:r>
        <w:tab/>
        <w:t>(3)</w:t>
      </w:r>
      <w:r>
        <w:tab/>
        <w:t>If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spacing w:before="120"/>
      </w:pPr>
      <w:r>
        <w:tab/>
      </w:r>
      <w:r>
        <w:tab/>
        <w:t>the authority must dispose of the appeal in the manner provided for by section 97VP(2)(a).</w:t>
      </w:r>
    </w:p>
    <w:p>
      <w:pPr>
        <w:pStyle w:val="Footnotesection"/>
        <w:ind w:left="890" w:hanging="890"/>
      </w:pPr>
      <w:r>
        <w:tab/>
        <w:t>[Section 97VO inserted by No. 20 of 2002 s. 4.]</w:t>
      </w:r>
    </w:p>
    <w:p>
      <w:pPr>
        <w:pStyle w:val="Heading5"/>
      </w:pPr>
      <w:bookmarkStart w:id="1166" w:name="_Toc471912181"/>
      <w:bookmarkStart w:id="1167" w:name="_Toc391894920"/>
      <w:bookmarkStart w:id="1168" w:name="_Toc468179392"/>
      <w:r>
        <w:rPr>
          <w:rStyle w:val="CharSectno"/>
        </w:rPr>
        <w:t>97VP</w:t>
      </w:r>
      <w:r>
        <w:t>.</w:t>
      </w:r>
      <w:r>
        <w:tab/>
        <w:t>Determination of appeal</w:t>
      </w:r>
      <w:bookmarkEnd w:id="1166"/>
      <w:bookmarkEnd w:id="1167"/>
      <w:bookmarkEnd w:id="1168"/>
    </w:p>
    <w:p>
      <w:pPr>
        <w:pStyle w:val="Subsection"/>
      </w:pPr>
      <w:r>
        <w:tab/>
        <w:t>(1)</w:t>
      </w:r>
      <w:r>
        <w:tab/>
        <w:t>In determining an appeal the relevant industrial authority is not limited to the material that was before the Registrar, but may inform itself in such manner as it thinks fit.</w:t>
      </w:r>
    </w:p>
    <w:p>
      <w:pPr>
        <w:pStyle w:val="Subsection"/>
      </w:pPr>
      <w:r>
        <w:tab/>
        <w:t>(2)</w:t>
      </w:r>
      <w:r>
        <w:tab/>
        <w:t>On the determination of an appeal the relevant industrial authority may —</w:t>
      </w:r>
    </w:p>
    <w:p>
      <w:pPr>
        <w:pStyle w:val="Indenta"/>
      </w:pPr>
      <w:r>
        <w:tab/>
        <w:t>(a)</w:t>
      </w:r>
      <w:r>
        <w:tab/>
        <w:t>confirm the refusal of registration; or</w:t>
      </w:r>
    </w:p>
    <w:p>
      <w:pPr>
        <w:pStyle w:val="Indenta"/>
      </w:pPr>
      <w:r>
        <w:tab/>
        <w:t>(b)</w:t>
      </w:r>
      <w:r>
        <w:tab/>
        <w:t>set aside the refusal and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1169" w:name="_Toc471912182"/>
      <w:bookmarkStart w:id="1170" w:name="_Toc391894921"/>
      <w:bookmarkStart w:id="1171" w:name="_Toc468179393"/>
      <w:r>
        <w:rPr>
          <w:rStyle w:val="CharSectno"/>
        </w:rPr>
        <w:t>97VQ</w:t>
      </w:r>
      <w:r>
        <w:t>.</w:t>
      </w:r>
      <w:r>
        <w:tab/>
        <w:t>Procedure on appeal</w:t>
      </w:r>
      <w:bookmarkEnd w:id="1169"/>
      <w:bookmarkEnd w:id="1170"/>
      <w:bookmarkEnd w:id="1171"/>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1172" w:name="_Toc471912183"/>
      <w:bookmarkStart w:id="1173" w:name="_Toc391894922"/>
      <w:bookmarkStart w:id="1174" w:name="_Toc419713507"/>
      <w:bookmarkStart w:id="1175" w:name="_Toc435103151"/>
      <w:bookmarkStart w:id="1176" w:name="_Toc452556581"/>
      <w:bookmarkStart w:id="1177" w:name="_Toc455414161"/>
      <w:bookmarkStart w:id="1178" w:name="_Toc462415591"/>
      <w:bookmarkStart w:id="1179" w:name="_Toc462742502"/>
      <w:bookmarkStart w:id="1180" w:name="_Toc465086156"/>
      <w:bookmarkStart w:id="1181" w:name="_Toc468179394"/>
      <w:r>
        <w:rPr>
          <w:rStyle w:val="CharDivNo"/>
        </w:rPr>
        <w:t>Division 6</w:t>
      </w:r>
      <w:r>
        <w:t> — </w:t>
      </w:r>
      <w:r>
        <w:rPr>
          <w:rStyle w:val="CharDivText"/>
        </w:rPr>
        <w:t>No</w:t>
      </w:r>
      <w:r>
        <w:rPr>
          <w:rStyle w:val="CharDivText"/>
        </w:rPr>
        <w:noBreakHyphen/>
        <w:t>disadvantage test</w:t>
      </w:r>
      <w:bookmarkEnd w:id="1172"/>
      <w:bookmarkEnd w:id="1173"/>
      <w:bookmarkEnd w:id="1174"/>
      <w:bookmarkEnd w:id="1175"/>
      <w:bookmarkEnd w:id="1176"/>
      <w:bookmarkEnd w:id="1177"/>
      <w:bookmarkEnd w:id="1178"/>
      <w:bookmarkEnd w:id="1179"/>
      <w:bookmarkEnd w:id="1180"/>
      <w:bookmarkEnd w:id="1181"/>
    </w:p>
    <w:p>
      <w:pPr>
        <w:pStyle w:val="Footnoteheading"/>
        <w:keepNext/>
        <w:tabs>
          <w:tab w:val="left" w:pos="851"/>
        </w:tabs>
      </w:pPr>
      <w:r>
        <w:tab/>
        <w:t>[Heading inserted by No. 20 of 2002 s. 4.]</w:t>
      </w:r>
    </w:p>
    <w:p>
      <w:pPr>
        <w:pStyle w:val="Heading4"/>
      </w:pPr>
      <w:bookmarkStart w:id="1182" w:name="_Toc471912184"/>
      <w:bookmarkStart w:id="1183" w:name="_Toc391894923"/>
      <w:bookmarkStart w:id="1184" w:name="_Toc419713508"/>
      <w:bookmarkStart w:id="1185" w:name="_Toc435103152"/>
      <w:bookmarkStart w:id="1186" w:name="_Toc452556582"/>
      <w:bookmarkStart w:id="1187" w:name="_Toc455414162"/>
      <w:bookmarkStart w:id="1188" w:name="_Toc462415592"/>
      <w:bookmarkStart w:id="1189" w:name="_Toc462742503"/>
      <w:bookmarkStart w:id="1190" w:name="_Toc465086157"/>
      <w:bookmarkStart w:id="1191" w:name="_Toc468179395"/>
      <w:r>
        <w:t>Subdivision 1 — Definition</w:t>
      </w:r>
      <w:bookmarkEnd w:id="1182"/>
      <w:bookmarkEnd w:id="1183"/>
      <w:bookmarkEnd w:id="1184"/>
      <w:bookmarkEnd w:id="1185"/>
      <w:bookmarkEnd w:id="1186"/>
      <w:bookmarkEnd w:id="1187"/>
      <w:bookmarkEnd w:id="1188"/>
      <w:bookmarkEnd w:id="1189"/>
      <w:bookmarkEnd w:id="1190"/>
      <w:bookmarkEnd w:id="1191"/>
    </w:p>
    <w:p>
      <w:pPr>
        <w:pStyle w:val="Footnoteheading"/>
        <w:keepNext/>
        <w:tabs>
          <w:tab w:val="left" w:pos="851"/>
        </w:tabs>
      </w:pPr>
      <w:r>
        <w:tab/>
        <w:t>[Heading inserted by No. 20 of 2002 s. 4.]</w:t>
      </w:r>
    </w:p>
    <w:p>
      <w:pPr>
        <w:pStyle w:val="Heading5"/>
      </w:pPr>
      <w:bookmarkStart w:id="1192" w:name="_Toc471912185"/>
      <w:bookmarkStart w:id="1193" w:name="_Toc391894924"/>
      <w:bookmarkStart w:id="1194" w:name="_Toc468179396"/>
      <w:r>
        <w:rPr>
          <w:rStyle w:val="CharSectno"/>
        </w:rPr>
        <w:t>97VR</w:t>
      </w:r>
      <w:r>
        <w:t>.</w:t>
      </w:r>
      <w:r>
        <w:tab/>
        <w:t>Terms used</w:t>
      </w:r>
      <w:bookmarkEnd w:id="1192"/>
      <w:bookmarkEnd w:id="1193"/>
      <w:bookmarkEnd w:id="1194"/>
    </w:p>
    <w:p>
      <w:pPr>
        <w:pStyle w:val="Subsection"/>
      </w:pPr>
      <w:r>
        <w:tab/>
      </w:r>
      <w:r>
        <w:tab/>
        <w:t>In this Subdivision —</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 amended by No. 50 of 2016 s. 10.]</w:t>
      </w:r>
    </w:p>
    <w:p>
      <w:pPr>
        <w:pStyle w:val="Heading5"/>
      </w:pPr>
      <w:bookmarkStart w:id="1195" w:name="_Toc471912186"/>
      <w:bookmarkStart w:id="1196" w:name="_Toc391894925"/>
      <w:bookmarkStart w:id="1197" w:name="_Toc468179397"/>
      <w:r>
        <w:rPr>
          <w:rStyle w:val="CharSectno"/>
        </w:rPr>
        <w:t>97VS</w:t>
      </w:r>
      <w:r>
        <w:t>.</w:t>
      </w:r>
      <w:r>
        <w:tab/>
        <w:t>No</w:t>
      </w:r>
      <w:r>
        <w:noBreakHyphen/>
        <w:t>disadvantage test defined</w:t>
      </w:r>
      <w:bookmarkEnd w:id="1195"/>
      <w:bookmarkEnd w:id="1196"/>
      <w:bookmarkEnd w:id="1197"/>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An EEA disadvantages an employee as mentioned in subsection (1) only if its provisions result, on balance, in a reduction in the overall entitlements of the employee under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Despite subsection (2), an EEA is to be taken to disadvantage the employee as mentioned in subsection (1) if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Subsection (2) applies to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If the Registrar is satisfied that there is no award that would otherwise extend to the employee, subsection (2) applies to —</w:t>
      </w:r>
    </w:p>
    <w:p>
      <w:pPr>
        <w:pStyle w:val="Indenta"/>
      </w:pPr>
      <w:r>
        <w:tab/>
        <w:t>(a)</w:t>
      </w:r>
      <w:r>
        <w:tab/>
        <w:t xml:space="preserve">any award, including an award made under the </w:t>
      </w:r>
      <w:r>
        <w:rPr>
          <w:i/>
        </w:rPr>
        <w:t>Fair Work Act 2009</w:t>
      </w:r>
      <w:r>
        <w:t xml:space="preserve"> (Commonwealth) or continued in existence under the </w:t>
      </w:r>
      <w:r>
        <w:rPr>
          <w:i/>
        </w:rPr>
        <w:t>Fair Work (Transitional Provisions and Consequential Amendments) Act 2009</w:t>
      </w:r>
      <w:r>
        <w:t xml:space="preserve"> (Commonwealth), that the Registrar determines, whether under section 97VT or otherwise, to be a comparable award; and</w:t>
      </w:r>
    </w:p>
    <w:p>
      <w:pPr>
        <w:pStyle w:val="Indenta"/>
      </w:pPr>
      <w:r>
        <w:tab/>
        <w:t>(b)</w:t>
      </w:r>
      <w:r>
        <w:tab/>
        <w:t>a relevant order.</w:t>
      </w:r>
    </w:p>
    <w:p>
      <w:pPr>
        <w:pStyle w:val="Subsection"/>
      </w:pPr>
      <w:r>
        <w:tab/>
        <w:t>(6)</w:t>
      </w:r>
      <w:r>
        <w:tab/>
        <w:t>If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PermNoteHeading"/>
      </w:pPr>
      <w:r>
        <w:tab/>
        <w:t>Note:</w:t>
      </w:r>
    </w:p>
    <w:p>
      <w:pPr>
        <w:pStyle w:val="PermNoteText"/>
      </w:pPr>
      <w:r>
        <w:tab/>
      </w:r>
      <w:r>
        <w:tab/>
      </w:r>
      <w:r>
        <w:rPr>
          <w:rFonts w:ascii="Times New Roman" w:hAnsi="Times New Roman"/>
          <w:sz w:val="20"/>
        </w:rPr>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 amended by No. 53 of 2011 s. 38.]</w:t>
      </w:r>
    </w:p>
    <w:p>
      <w:pPr>
        <w:pStyle w:val="Heading5"/>
      </w:pPr>
      <w:bookmarkStart w:id="1198" w:name="_Toc471912187"/>
      <w:bookmarkStart w:id="1199" w:name="_Toc391894926"/>
      <w:bookmarkStart w:id="1200" w:name="_Toc468179398"/>
      <w:r>
        <w:rPr>
          <w:rStyle w:val="CharSectno"/>
        </w:rPr>
        <w:t>97VT</w:t>
      </w:r>
      <w:r>
        <w:t>.</w:t>
      </w:r>
      <w:r>
        <w:tab/>
        <w:t>Determining which award etc. is relevant for s. 97VS</w:t>
      </w:r>
      <w:bookmarkEnd w:id="1198"/>
      <w:bookmarkEnd w:id="1199"/>
      <w:bookmarkEnd w:id="1200"/>
    </w:p>
    <w:p>
      <w:pPr>
        <w:pStyle w:val="Subsection"/>
      </w:pPr>
      <w:r>
        <w:tab/>
        <w:t>(1)</w:t>
      </w:r>
      <w:r>
        <w:tab/>
        <w:t>If an employer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Upon such an application being made the Registrar must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spacing w:before="260"/>
      </w:pPr>
      <w:bookmarkStart w:id="1201" w:name="_Toc471912188"/>
      <w:bookmarkStart w:id="1202" w:name="_Toc391894927"/>
      <w:bookmarkStart w:id="1203" w:name="_Toc468179399"/>
      <w:r>
        <w:rPr>
          <w:rStyle w:val="CharSectno"/>
        </w:rPr>
        <w:t>97VU</w:t>
      </w:r>
      <w:r>
        <w:t>.</w:t>
      </w:r>
      <w:r>
        <w:tab/>
        <w:t>All entitlements to be considered</w:t>
      </w:r>
      <w:bookmarkEnd w:id="1201"/>
      <w:bookmarkEnd w:id="1202"/>
      <w:bookmarkEnd w:id="1203"/>
    </w:p>
    <w:p>
      <w:pPr>
        <w:pStyle w:val="Subsection"/>
      </w:pPr>
      <w:r>
        <w:tab/>
      </w:r>
      <w:r>
        <w:tab/>
        <w:t>In comparing the entitlements of an employee under an EEA to the entitlements that would be provided to the employee under —</w:t>
      </w:r>
    </w:p>
    <w:p>
      <w:pPr>
        <w:pStyle w:val="Indenta"/>
        <w:spacing w:before="100"/>
      </w:pPr>
      <w:r>
        <w:tab/>
        <w:t>(a)</w:t>
      </w:r>
      <w:r>
        <w:tab/>
        <w:t>an award or a comparable award; or</w:t>
      </w:r>
    </w:p>
    <w:p>
      <w:pPr>
        <w:pStyle w:val="Indenta"/>
        <w:spacing w:before="100"/>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spacing w:before="260"/>
      </w:pPr>
      <w:bookmarkStart w:id="1204" w:name="_Toc471912189"/>
      <w:bookmarkStart w:id="1205" w:name="_Toc391894928"/>
      <w:bookmarkStart w:id="1206" w:name="_Toc468179400"/>
      <w:r>
        <w:rPr>
          <w:rStyle w:val="CharSectno"/>
        </w:rPr>
        <w:t>97VV</w:t>
      </w:r>
      <w:r>
        <w:t>.</w:t>
      </w:r>
      <w:r>
        <w:tab/>
        <w:t>Application of test if Supported Wage System applies</w:t>
      </w:r>
      <w:bookmarkEnd w:id="1204"/>
      <w:bookmarkEnd w:id="1205"/>
      <w:bookmarkEnd w:id="1206"/>
    </w:p>
    <w:p>
      <w:pPr>
        <w:pStyle w:val="Subsection"/>
      </w:pPr>
      <w:r>
        <w:tab/>
      </w:r>
      <w:r>
        <w:tab/>
        <w:t>An EEA does not disadvantage an employee in relation to his or her employment by reason only of a reduction of the employee’s wages if —</w:t>
      </w:r>
    </w:p>
    <w:p>
      <w:pPr>
        <w:pStyle w:val="Indenta"/>
        <w:spacing w:before="100"/>
      </w:pPr>
      <w:r>
        <w:tab/>
        <w:t>(a)</w:t>
      </w:r>
      <w:r>
        <w:tab/>
        <w:t>the employee is eligible for the Supported Wage System; and</w:t>
      </w:r>
    </w:p>
    <w:p>
      <w:pPr>
        <w:pStyle w:val="Indenta"/>
        <w:spacing w:before="100"/>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1207" w:name="_Toc471912190"/>
      <w:bookmarkStart w:id="1208" w:name="_Toc391894929"/>
      <w:bookmarkStart w:id="1209" w:name="_Toc419713514"/>
      <w:bookmarkStart w:id="1210" w:name="_Toc435103158"/>
      <w:bookmarkStart w:id="1211" w:name="_Toc452556588"/>
      <w:bookmarkStart w:id="1212" w:name="_Toc455414168"/>
      <w:bookmarkStart w:id="1213" w:name="_Toc462415598"/>
      <w:bookmarkStart w:id="1214" w:name="_Toc462742509"/>
      <w:bookmarkStart w:id="1215" w:name="_Toc465086163"/>
      <w:bookmarkStart w:id="1216" w:name="_Toc468179401"/>
      <w:r>
        <w:t>Subdivision 2 — Principles to be followed in application of no</w:t>
      </w:r>
      <w:r>
        <w:noBreakHyphen/>
        <w:t>disadvantage test</w:t>
      </w:r>
      <w:bookmarkEnd w:id="1207"/>
      <w:bookmarkEnd w:id="1208"/>
      <w:bookmarkEnd w:id="1209"/>
      <w:bookmarkEnd w:id="1210"/>
      <w:bookmarkEnd w:id="1211"/>
      <w:bookmarkEnd w:id="1212"/>
      <w:bookmarkEnd w:id="1213"/>
      <w:bookmarkEnd w:id="1214"/>
      <w:bookmarkEnd w:id="1215"/>
      <w:bookmarkEnd w:id="1216"/>
    </w:p>
    <w:p>
      <w:pPr>
        <w:pStyle w:val="Footnoteheading"/>
        <w:keepNext/>
        <w:tabs>
          <w:tab w:val="left" w:pos="851"/>
        </w:tabs>
        <w:spacing w:before="100"/>
      </w:pPr>
      <w:r>
        <w:tab/>
        <w:t>[Heading inserted by No. 20 of 2002 s. 4.]</w:t>
      </w:r>
    </w:p>
    <w:p>
      <w:pPr>
        <w:pStyle w:val="Heading5"/>
      </w:pPr>
      <w:bookmarkStart w:id="1217" w:name="_Toc471912191"/>
      <w:bookmarkStart w:id="1218" w:name="_Toc391894930"/>
      <w:bookmarkStart w:id="1219" w:name="_Toc468179402"/>
      <w:r>
        <w:rPr>
          <w:rStyle w:val="CharSectno"/>
        </w:rPr>
        <w:t>97VW</w:t>
      </w:r>
      <w:r>
        <w:t>.</w:t>
      </w:r>
      <w:r>
        <w:tab/>
      </w:r>
      <w:r>
        <w:rPr>
          <w:snapToGrid w:val="0"/>
        </w:rPr>
        <w:t>Term used: Commission</w:t>
      </w:r>
      <w:bookmarkEnd w:id="1217"/>
      <w:bookmarkEnd w:id="1218"/>
      <w:bookmarkEnd w:id="1219"/>
    </w:p>
    <w:p>
      <w:pPr>
        <w:pStyle w:val="Subsection"/>
      </w:pPr>
      <w:r>
        <w:tab/>
      </w:r>
      <w:r>
        <w:tab/>
        <w:t>In this Subdivision —</w:t>
      </w:r>
    </w:p>
    <w:p>
      <w:pPr>
        <w:pStyle w:val="Defstart"/>
      </w:pPr>
      <w:r>
        <w:tab/>
      </w:r>
      <w:r>
        <w:rPr>
          <w:rStyle w:val="CharDefText"/>
        </w:rPr>
        <w:t>Commission</w:t>
      </w:r>
      <w:r>
        <w:t xml:space="preserve"> means the Commission in Court Session.</w:t>
      </w:r>
    </w:p>
    <w:p>
      <w:pPr>
        <w:pStyle w:val="Footnotesection"/>
        <w:spacing w:before="100"/>
        <w:ind w:left="890" w:hanging="890"/>
      </w:pPr>
      <w:r>
        <w:tab/>
        <w:t>[Section 97VW inserted by No. 20 of 2002 s. 4.]</w:t>
      </w:r>
    </w:p>
    <w:p>
      <w:pPr>
        <w:pStyle w:val="Heading5"/>
      </w:pPr>
      <w:bookmarkStart w:id="1220" w:name="_Toc471912192"/>
      <w:bookmarkStart w:id="1221" w:name="_Toc391894931"/>
      <w:bookmarkStart w:id="1222" w:name="_Toc468179403"/>
      <w:r>
        <w:rPr>
          <w:rStyle w:val="CharSectno"/>
        </w:rPr>
        <w:t>97VX</w:t>
      </w:r>
      <w:r>
        <w:t>.</w:t>
      </w:r>
      <w:r>
        <w:tab/>
        <w:t>Commission to establish principles and guidelines</w:t>
      </w:r>
      <w:bookmarkEnd w:id="1220"/>
      <w:bookmarkEnd w:id="1221"/>
      <w:bookmarkEnd w:id="1222"/>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spacing w:before="60"/>
      </w:pPr>
      <w:r>
        <w:tab/>
        <w:t>(a)</w:t>
      </w:r>
      <w:r>
        <w:tab/>
        <w:t>in a newspaper circulating throughout the State; or</w:t>
      </w:r>
    </w:p>
    <w:p>
      <w:pPr>
        <w:pStyle w:val="Indenta"/>
        <w:spacing w:before="60"/>
      </w:pPr>
      <w:r>
        <w:tab/>
        <w:t>(b)</w:t>
      </w:r>
      <w:r>
        <w:tab/>
        <w:t>on an internet website maintained by the Commission.</w:t>
      </w:r>
    </w:p>
    <w:p>
      <w:pPr>
        <w:pStyle w:val="Footnotesection"/>
        <w:spacing w:before="100"/>
        <w:ind w:left="890" w:hanging="890"/>
      </w:pPr>
      <w:r>
        <w:tab/>
        <w:t>[Section 97VX inserted by No. 20 of 2002 s. 4.]</w:t>
      </w:r>
    </w:p>
    <w:p>
      <w:pPr>
        <w:pStyle w:val="Heading5"/>
      </w:pPr>
      <w:bookmarkStart w:id="1223" w:name="_Toc471912193"/>
      <w:bookmarkStart w:id="1224" w:name="_Toc391894932"/>
      <w:bookmarkStart w:id="1225" w:name="_Toc468179404"/>
      <w:r>
        <w:rPr>
          <w:rStyle w:val="CharSectno"/>
        </w:rPr>
        <w:t>97VY</w:t>
      </w:r>
      <w:r>
        <w:t>.</w:t>
      </w:r>
      <w:r>
        <w:tab/>
        <w:t>Registrar and Commission to give effect to s. 97VX instrument</w:t>
      </w:r>
      <w:bookmarkEnd w:id="1223"/>
      <w:bookmarkEnd w:id="1224"/>
      <w:bookmarkEnd w:id="1225"/>
    </w:p>
    <w:p>
      <w:pPr>
        <w:pStyle w:val="Subsection"/>
        <w:spacing w:before="140"/>
      </w:pPr>
      <w:r>
        <w:tab/>
      </w:r>
      <w:r>
        <w:tab/>
        <w:t>The provisions of an instrument under section 97VX are to be complied with —</w:t>
      </w:r>
    </w:p>
    <w:p>
      <w:pPr>
        <w:pStyle w:val="Indenta"/>
        <w:spacing w:before="60"/>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spacing w:before="100"/>
        <w:ind w:left="890" w:hanging="890"/>
      </w:pPr>
      <w:r>
        <w:tab/>
        <w:t>[Section 97VY inserted by No. 20 of 2002 s. 4.]</w:t>
      </w:r>
    </w:p>
    <w:p>
      <w:pPr>
        <w:pStyle w:val="Heading5"/>
        <w:spacing w:before="260"/>
      </w:pPr>
      <w:bookmarkStart w:id="1226" w:name="_Toc471912194"/>
      <w:bookmarkStart w:id="1227" w:name="_Toc391894933"/>
      <w:bookmarkStart w:id="1228" w:name="_Toc468179405"/>
      <w:r>
        <w:rPr>
          <w:rStyle w:val="CharSectno"/>
        </w:rPr>
        <w:t>97VZ</w:t>
      </w:r>
      <w:r>
        <w:t>.</w:t>
      </w:r>
      <w:r>
        <w:tab/>
        <w:t>Minister or peak industry body may seek amendment etc. of s. 97VX instrument</w:t>
      </w:r>
      <w:bookmarkEnd w:id="1226"/>
      <w:bookmarkEnd w:id="1227"/>
      <w:bookmarkEnd w:id="1228"/>
    </w:p>
    <w:p>
      <w:pPr>
        <w:pStyle w:val="Subsection"/>
      </w:pPr>
      <w:r>
        <w:tab/>
        <w:t>(1)</w:t>
      </w:r>
      <w:r>
        <w:tab/>
        <w:t>The Minister or a peak industrial body may at any time apply to the Commission to have the instrument under section 97VX —</w:t>
      </w:r>
    </w:p>
    <w:p>
      <w:pPr>
        <w:pStyle w:val="Indenta"/>
        <w:spacing w:before="60"/>
      </w:pPr>
      <w:r>
        <w:tab/>
        <w:t>(a)</w:t>
      </w:r>
      <w:r>
        <w:tab/>
        <w:t>amended so that it makes provision to the effect set out in the application; or</w:t>
      </w:r>
    </w:p>
    <w:p>
      <w:pPr>
        <w:pStyle w:val="Indenta"/>
        <w:spacing w:before="60"/>
      </w:pPr>
      <w:r>
        <w:tab/>
        <w:t>(b)</w:t>
      </w:r>
      <w:r>
        <w:tab/>
        <w:t>replaced by a new instrument that makes provision to the effect set out in the application.</w:t>
      </w:r>
    </w:p>
    <w:p>
      <w:pPr>
        <w:pStyle w:val="Subsection"/>
      </w:pPr>
      <w:r>
        <w:tab/>
        <w:t>(2)</w:t>
      </w:r>
      <w:r>
        <w:tab/>
        <w:t>If an application is so made the Commission may —</w:t>
      </w:r>
    </w:p>
    <w:p>
      <w:pPr>
        <w:pStyle w:val="Indenta"/>
        <w:spacing w:before="60"/>
      </w:pPr>
      <w:r>
        <w:tab/>
        <w:t>(a)</w:t>
      </w:r>
      <w:r>
        <w:tab/>
        <w:t>exercise its powers under section 97VX(4); or</w:t>
      </w:r>
    </w:p>
    <w:p>
      <w:pPr>
        <w:pStyle w:val="Indenta"/>
        <w:spacing w:before="60"/>
      </w:pPr>
      <w:r>
        <w:tab/>
        <w:t>(b)</w:t>
      </w:r>
      <w:r>
        <w:tab/>
        <w:t>decline to do so.</w:t>
      </w:r>
    </w:p>
    <w:p>
      <w:pPr>
        <w:pStyle w:val="Subsection"/>
      </w:pPr>
      <w:r>
        <w:tab/>
        <w:t>(3)</w:t>
      </w:r>
      <w:r>
        <w:tab/>
        <w:t>In subsection (1) —</w:t>
      </w:r>
    </w:p>
    <w:p>
      <w:pPr>
        <w:pStyle w:val="Defstart"/>
      </w:pPr>
      <w:r>
        <w:tab/>
      </w:r>
      <w:r>
        <w:rPr>
          <w:rStyle w:val="CharDefText"/>
        </w:rPr>
        <w:t>peak industrial body</w:t>
      </w:r>
      <w:r>
        <w:t xml:space="preserve"> means UnionsWA, the Chamber and the Mines and Metals Association.</w:t>
      </w:r>
    </w:p>
    <w:p>
      <w:pPr>
        <w:pStyle w:val="Footnotesection"/>
        <w:spacing w:before="100"/>
        <w:ind w:left="890" w:hanging="890"/>
      </w:pPr>
      <w:r>
        <w:tab/>
        <w:t>[Section 97VZ inserted by No. 20 of 2002 s. 4; amended by No. 53 of 2011 s. 48.]</w:t>
      </w:r>
    </w:p>
    <w:p>
      <w:pPr>
        <w:pStyle w:val="Heading5"/>
      </w:pPr>
      <w:bookmarkStart w:id="1229" w:name="_Toc471912195"/>
      <w:bookmarkStart w:id="1230" w:name="_Toc391894934"/>
      <w:bookmarkStart w:id="1231" w:name="_Toc468179406"/>
      <w:r>
        <w:rPr>
          <w:rStyle w:val="CharSectno"/>
        </w:rPr>
        <w:t>97W</w:t>
      </w:r>
      <w:r>
        <w:t>.</w:t>
      </w:r>
      <w:r>
        <w:tab/>
        <w:t>Public comment to be sought before s. 97VX instrument amended etc.</w:t>
      </w:r>
      <w:bookmarkEnd w:id="1229"/>
      <w:bookmarkEnd w:id="1230"/>
      <w:bookmarkEnd w:id="1231"/>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spacing w:before="100"/>
        <w:ind w:left="890" w:hanging="890"/>
      </w:pPr>
      <w:r>
        <w:tab/>
        <w:t>[Section 97W inserted by No. 20 of 2002 s. 4.]</w:t>
      </w:r>
    </w:p>
    <w:p>
      <w:pPr>
        <w:pStyle w:val="Heading5"/>
      </w:pPr>
      <w:bookmarkStart w:id="1232" w:name="_Toc471912196"/>
      <w:bookmarkStart w:id="1233" w:name="_Toc391894935"/>
      <w:bookmarkStart w:id="1234" w:name="_Toc468179407"/>
      <w:r>
        <w:rPr>
          <w:rStyle w:val="CharSectno"/>
        </w:rPr>
        <w:t>97WA</w:t>
      </w:r>
      <w:r>
        <w:t>.</w:t>
      </w:r>
      <w:r>
        <w:tab/>
        <w:t>How public comment to be sought</w:t>
      </w:r>
      <w:bookmarkEnd w:id="1232"/>
      <w:bookmarkEnd w:id="1233"/>
      <w:bookmarkEnd w:id="1234"/>
    </w:p>
    <w:p>
      <w:pPr>
        <w:pStyle w:val="Subsection"/>
      </w:pPr>
      <w:r>
        <w:tab/>
        <w:t>(1)</w:t>
      </w:r>
      <w:r>
        <w:tab/>
        <w:t xml:space="preserve">Where this section applies the Commission must make available for public comment a draft (the </w:t>
      </w:r>
      <w:r>
        <w:rPr>
          <w:rStyle w:val="CharDefText"/>
        </w:rPr>
        <w:t>exposure draft</w:t>
      </w:r>
      <w:r>
        <w:t>)</w:t>
      </w:r>
      <w:r>
        <w:rPr>
          <w:b/>
        </w:rPr>
        <w:t xml:space="preserve"> </w:t>
      </w:r>
      <w:r>
        <w:t>of —</w:t>
      </w:r>
    </w:p>
    <w:p>
      <w:pPr>
        <w:pStyle w:val="Indenta"/>
        <w:spacing w:before="100"/>
      </w:pPr>
      <w:r>
        <w:tab/>
        <w:t>(a)</w:t>
      </w:r>
      <w:r>
        <w:tab/>
        <w:t>any proposed amendment to the instrument under section 97VX; or</w:t>
      </w:r>
    </w:p>
    <w:p>
      <w:pPr>
        <w:pStyle w:val="Indenta"/>
        <w:spacing w:before="100"/>
      </w:pPr>
      <w:r>
        <w:tab/>
        <w:t>(b)</w:t>
      </w:r>
      <w:r>
        <w:tab/>
        <w:t>the instrument that is proposed to be substituted for that instrument,</w:t>
      </w:r>
    </w:p>
    <w:p>
      <w:pPr>
        <w:pStyle w:val="Subsection"/>
      </w:pPr>
      <w:r>
        <w:tab/>
      </w:r>
      <w:r>
        <w:tab/>
        <w:t>as the case may be.</w:t>
      </w:r>
    </w:p>
    <w:p>
      <w:pPr>
        <w:pStyle w:val="Subsection"/>
      </w:pPr>
      <w:r>
        <w:tab/>
        <w:t>(2)</w:t>
      </w:r>
      <w:r>
        <w:tab/>
        <w:t>The Commission must —</w:t>
      </w:r>
    </w:p>
    <w:p>
      <w:pPr>
        <w:pStyle w:val="Indenta"/>
        <w:spacing w:before="100"/>
      </w:pPr>
      <w:r>
        <w:tab/>
        <w:t>(a)</w:t>
      </w:r>
      <w:r>
        <w:tab/>
        <w:t>cause a notice giving a general description of the exposure draft to be published in a daily newspaper circulating throughout the State; and</w:t>
      </w:r>
    </w:p>
    <w:p>
      <w:pPr>
        <w:pStyle w:val="Indenta"/>
        <w:spacing w:before="100"/>
      </w:pPr>
      <w:r>
        <w:tab/>
        <w:t>(b)</w:t>
      </w:r>
      <w:r>
        <w:tab/>
        <w:t>include in the notice the following information —</w:t>
      </w:r>
    </w:p>
    <w:p>
      <w:pPr>
        <w:pStyle w:val="Indenti"/>
        <w:spacing w:before="100"/>
      </w:pPr>
      <w:r>
        <w:tab/>
        <w:t>(i)</w:t>
      </w:r>
      <w:r>
        <w:tab/>
        <w:t>the places at which a copy of the exposure draft may be obtained; and</w:t>
      </w:r>
    </w:p>
    <w:p>
      <w:pPr>
        <w:pStyle w:val="Indenti"/>
        <w:spacing w:before="100"/>
      </w:pPr>
      <w:r>
        <w:tab/>
        <w:t>(ii)</w:t>
      </w:r>
      <w:r>
        <w:tab/>
        <w:t>a statement that written submissions on the exposure draft may be made to the Commission by any person within a specified period; and</w:t>
      </w:r>
    </w:p>
    <w:p>
      <w:pPr>
        <w:pStyle w:val="Indenti"/>
        <w:spacing w:before="100"/>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1235" w:name="_Toc471912197"/>
      <w:bookmarkStart w:id="1236" w:name="_Toc391894936"/>
      <w:bookmarkStart w:id="1237" w:name="_Toc419713521"/>
      <w:bookmarkStart w:id="1238" w:name="_Toc435103165"/>
      <w:bookmarkStart w:id="1239" w:name="_Toc452556595"/>
      <w:bookmarkStart w:id="1240" w:name="_Toc455414175"/>
      <w:bookmarkStart w:id="1241" w:name="_Toc462415605"/>
      <w:bookmarkStart w:id="1242" w:name="_Toc462742516"/>
      <w:bookmarkStart w:id="1243" w:name="_Toc465086170"/>
      <w:bookmarkStart w:id="1244" w:name="_Toc468179408"/>
      <w:r>
        <w:rPr>
          <w:rStyle w:val="CharDivNo"/>
        </w:rPr>
        <w:t>Division 7</w:t>
      </w:r>
      <w:r>
        <w:t> — </w:t>
      </w:r>
      <w:r>
        <w:rPr>
          <w:rStyle w:val="CharDivText"/>
        </w:rPr>
        <w:t>Register</w:t>
      </w:r>
      <w:bookmarkEnd w:id="1235"/>
      <w:bookmarkEnd w:id="1236"/>
      <w:bookmarkEnd w:id="1237"/>
      <w:bookmarkEnd w:id="1238"/>
      <w:bookmarkEnd w:id="1239"/>
      <w:bookmarkEnd w:id="1240"/>
      <w:bookmarkEnd w:id="1241"/>
      <w:bookmarkEnd w:id="1242"/>
      <w:bookmarkEnd w:id="1243"/>
      <w:bookmarkEnd w:id="1244"/>
    </w:p>
    <w:p>
      <w:pPr>
        <w:pStyle w:val="Footnoteheading"/>
        <w:keepNext/>
        <w:tabs>
          <w:tab w:val="left" w:pos="851"/>
        </w:tabs>
        <w:spacing w:before="100"/>
      </w:pPr>
      <w:r>
        <w:tab/>
        <w:t>[Heading inserted by No. 20 of 2002 s. 4.]</w:t>
      </w:r>
    </w:p>
    <w:p>
      <w:pPr>
        <w:pStyle w:val="Heading5"/>
      </w:pPr>
      <w:bookmarkStart w:id="1245" w:name="_Toc471912198"/>
      <w:bookmarkStart w:id="1246" w:name="_Toc391894937"/>
      <w:bookmarkStart w:id="1247" w:name="_Toc468179409"/>
      <w:r>
        <w:rPr>
          <w:rStyle w:val="CharSectno"/>
        </w:rPr>
        <w:t>97WB</w:t>
      </w:r>
      <w:r>
        <w:t>.</w:t>
      </w:r>
      <w:r>
        <w:tab/>
      </w:r>
      <w:r>
        <w:rPr>
          <w:snapToGrid w:val="0"/>
        </w:rPr>
        <w:t>Terms used</w:t>
      </w:r>
      <w:bookmarkEnd w:id="1245"/>
      <w:bookmarkEnd w:id="1246"/>
      <w:bookmarkEnd w:id="1247"/>
    </w:p>
    <w:p>
      <w:pPr>
        <w:pStyle w:val="Subsection"/>
      </w:pPr>
      <w:r>
        <w:tab/>
        <w:t>(1)</w:t>
      </w:r>
      <w:r>
        <w:tab/>
        <w:t>In this Division —</w:t>
      </w:r>
    </w:p>
    <w:p>
      <w:pPr>
        <w:pStyle w:val="Defstart"/>
      </w:pPr>
      <w:r>
        <w:tab/>
      </w:r>
      <w:r>
        <w:rPr>
          <w:rStyle w:val="CharDefText"/>
        </w:rPr>
        <w:t>protected information</w:t>
      </w:r>
      <w:r>
        <w:t xml:space="preserve"> means —</w:t>
      </w:r>
    </w:p>
    <w:p>
      <w:pPr>
        <w:pStyle w:val="Defpara"/>
      </w:pPr>
      <w:r>
        <w:tab/>
        <w:t>(a)</w:t>
      </w:r>
      <w:r>
        <w:tab/>
        <w:t>the name of the employee under an EEA; and</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In subsection (1)(a) and (b)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1248" w:name="_Toc471912199"/>
      <w:bookmarkStart w:id="1249" w:name="_Toc391894938"/>
      <w:bookmarkStart w:id="1250" w:name="_Toc468179410"/>
      <w:r>
        <w:rPr>
          <w:rStyle w:val="CharSectno"/>
        </w:rPr>
        <w:t>97WC</w:t>
      </w:r>
      <w:r>
        <w:t>.</w:t>
      </w:r>
      <w:r>
        <w:tab/>
        <w:t>Register of EEAs</w:t>
      </w:r>
      <w:bookmarkEnd w:id="1248"/>
      <w:bookmarkEnd w:id="1249"/>
      <w:bookmarkEnd w:id="1250"/>
    </w:p>
    <w:p>
      <w:pPr>
        <w:pStyle w:val="Subsection"/>
      </w:pPr>
      <w:r>
        <w:tab/>
        <w:t>(1)</w:t>
      </w:r>
      <w:r>
        <w:tab/>
        <w:t>The Registrar must keep a register for the purposes of Division 5.</w:t>
      </w:r>
    </w:p>
    <w:p>
      <w:pPr>
        <w:pStyle w:val="Subsection"/>
      </w:pPr>
      <w:r>
        <w:tab/>
        <w:t>(2)</w:t>
      </w:r>
      <w:r>
        <w:tab/>
        <w:t>The register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1251" w:name="_Toc471912200"/>
      <w:bookmarkStart w:id="1252" w:name="_Toc391894939"/>
      <w:bookmarkStart w:id="1253" w:name="_Toc468179411"/>
      <w:r>
        <w:rPr>
          <w:rStyle w:val="CharSectno"/>
        </w:rPr>
        <w:t>97WD</w:t>
      </w:r>
      <w:r>
        <w:t>.</w:t>
      </w:r>
      <w:r>
        <w:tab/>
        <w:t>Inspection of register</w:t>
      </w:r>
      <w:bookmarkEnd w:id="1251"/>
      <w:bookmarkEnd w:id="1252"/>
      <w:bookmarkEnd w:id="1253"/>
    </w:p>
    <w:p>
      <w:pPr>
        <w:pStyle w:val="Subsection"/>
        <w:spacing w:before="120"/>
      </w:pPr>
      <w:r>
        <w:tab/>
        <w:t>(1)</w:t>
      </w:r>
      <w:r>
        <w:tab/>
        <w:t>The Registrar must allow any person, on payment of the fee (if any) prescribed by the regulations, to inspect an EEA registered under Division 5.</w:t>
      </w:r>
    </w:p>
    <w:p>
      <w:pPr>
        <w:pStyle w:val="Subsection"/>
        <w:spacing w:before="120"/>
      </w:pPr>
      <w:r>
        <w:tab/>
        <w:t>(2)</w:t>
      </w:r>
      <w:r>
        <w:tab/>
        <w:t>Subsection (1) does not include the inspection of protected information.</w:t>
      </w:r>
    </w:p>
    <w:p>
      <w:pPr>
        <w:pStyle w:val="Footnotesection"/>
        <w:spacing w:before="80"/>
        <w:ind w:left="890" w:hanging="890"/>
      </w:pPr>
      <w:r>
        <w:tab/>
        <w:t>[Section 97WD inserted by No. 20 of 2002 s. 4.]</w:t>
      </w:r>
    </w:p>
    <w:p>
      <w:pPr>
        <w:pStyle w:val="Heading5"/>
      </w:pPr>
      <w:bookmarkStart w:id="1254" w:name="_Toc471912201"/>
      <w:bookmarkStart w:id="1255" w:name="_Toc391894940"/>
      <w:bookmarkStart w:id="1256" w:name="_Toc468179412"/>
      <w:r>
        <w:rPr>
          <w:rStyle w:val="CharSectno"/>
        </w:rPr>
        <w:t>97WE</w:t>
      </w:r>
      <w:r>
        <w:t>.</w:t>
      </w:r>
      <w:r>
        <w:tab/>
        <w:t>Commission may exempt an EEA from inspection</w:t>
      </w:r>
      <w:bookmarkEnd w:id="1254"/>
      <w:bookmarkEnd w:id="1255"/>
      <w:bookmarkEnd w:id="1256"/>
    </w:p>
    <w:p>
      <w:pPr>
        <w:pStyle w:val="Subsection"/>
        <w:spacing w:before="120"/>
      </w:pPr>
      <w:r>
        <w:tab/>
        <w:t>(1)</w:t>
      </w:r>
      <w:r>
        <w:tab/>
        <w:t>The Commission may, by order —</w:t>
      </w:r>
    </w:p>
    <w:p>
      <w:pPr>
        <w:pStyle w:val="Indenta"/>
        <w:spacing w:before="60"/>
      </w:pPr>
      <w:r>
        <w:tab/>
        <w:t>(a)</w:t>
      </w:r>
      <w:r>
        <w:tab/>
        <w:t>exempt the provisions of an EEA, or any particular provision, from the operation of section 97WD(1); or</w:t>
      </w:r>
    </w:p>
    <w:p>
      <w:pPr>
        <w:pStyle w:val="Indenta"/>
        <w:spacing w:before="60"/>
      </w:pPr>
      <w:r>
        <w:tab/>
        <w:t>(b)</w:t>
      </w:r>
      <w:r>
        <w:tab/>
        <w:t>vary an order so made,</w:t>
      </w:r>
    </w:p>
    <w:p>
      <w:pPr>
        <w:pStyle w:val="Subsection"/>
        <w:spacing w:before="120"/>
      </w:pPr>
      <w:r>
        <w:tab/>
      </w:r>
      <w:r>
        <w:tab/>
        <w:t>if it considers that it is in the public interest to do so.</w:t>
      </w:r>
    </w:p>
    <w:p>
      <w:pPr>
        <w:pStyle w:val="Subsection"/>
        <w:spacing w:before="120"/>
      </w:pPr>
      <w:r>
        <w:tab/>
        <w:t>(2)</w:t>
      </w:r>
      <w:r>
        <w:tab/>
        <w:t>An order under subsection (1) may be revoked by the Commission if it considers that the continuation of the order is no longer in the public interest.</w:t>
      </w:r>
    </w:p>
    <w:p>
      <w:pPr>
        <w:pStyle w:val="Subsection"/>
        <w:spacing w:before="120"/>
      </w:pPr>
      <w:r>
        <w:tab/>
        <w:t>(3)</w:t>
      </w:r>
      <w:r>
        <w:tab/>
        <w:t>The powers of the Commission under this section are exercisable on application made by a party to the EEA concerned.</w:t>
      </w:r>
    </w:p>
    <w:p>
      <w:pPr>
        <w:pStyle w:val="Subsection"/>
        <w:spacing w:before="120"/>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80"/>
        <w:ind w:left="890" w:hanging="890"/>
      </w:pPr>
      <w:r>
        <w:tab/>
        <w:t>[Section 97WE inserted by No. 20 of 2002 s. 4.]</w:t>
      </w:r>
    </w:p>
    <w:p>
      <w:pPr>
        <w:pStyle w:val="Heading5"/>
      </w:pPr>
      <w:bookmarkStart w:id="1257" w:name="_Toc471912202"/>
      <w:bookmarkStart w:id="1258" w:name="_Toc391894941"/>
      <w:bookmarkStart w:id="1259" w:name="_Toc468179413"/>
      <w:r>
        <w:rPr>
          <w:rStyle w:val="CharSectno"/>
        </w:rPr>
        <w:t>97WF</w:t>
      </w:r>
      <w:r>
        <w:t>.</w:t>
      </w:r>
      <w:r>
        <w:tab/>
        <w:t>Protected information not to be disclosed</w:t>
      </w:r>
      <w:bookmarkEnd w:id="1257"/>
      <w:bookmarkEnd w:id="1258"/>
      <w:bookmarkEnd w:id="1259"/>
    </w:p>
    <w:p>
      <w:pPr>
        <w:pStyle w:val="Subsection"/>
        <w:spacing w:before="120"/>
      </w:pPr>
      <w:r>
        <w:tab/>
        <w:t>(1)</w:t>
      </w:r>
      <w:r>
        <w:tab/>
        <w:t>A person to whom this subsection applies must not, directly or indirectly, record, disclose or make use of protected information obtained in the course of performing functions under this Part except —</w:t>
      </w:r>
    </w:p>
    <w:p>
      <w:pPr>
        <w:pStyle w:val="Indenta"/>
        <w:spacing w:before="60"/>
      </w:pPr>
      <w:r>
        <w:tab/>
        <w:t>(a)</w:t>
      </w:r>
      <w:r>
        <w:tab/>
        <w:t>in the course of performing those functions; or</w:t>
      </w:r>
    </w:p>
    <w:p>
      <w:pPr>
        <w:pStyle w:val="Indenta"/>
        <w:spacing w:before="60"/>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1260" w:name="_Toc471912203"/>
      <w:bookmarkStart w:id="1261" w:name="_Toc391894942"/>
      <w:bookmarkStart w:id="1262" w:name="_Toc468179414"/>
      <w:r>
        <w:rPr>
          <w:rStyle w:val="CharSectno"/>
        </w:rPr>
        <w:t>97WG</w:t>
      </w:r>
      <w:r>
        <w:t>.</w:t>
      </w:r>
      <w:r>
        <w:tab/>
        <w:t>Certified copies of EEAs</w:t>
      </w:r>
      <w:bookmarkEnd w:id="1260"/>
      <w:bookmarkEnd w:id="1261"/>
      <w:bookmarkEnd w:id="1262"/>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A document that purports to be a certified copy of an EEA issued by the Registrar or a deputy registrar is to be taken to be such a copy unless the contrary is proved.</w:t>
      </w:r>
    </w:p>
    <w:p>
      <w:pPr>
        <w:pStyle w:val="Footnotesection"/>
        <w:ind w:left="890" w:hanging="890"/>
      </w:pPr>
      <w:r>
        <w:tab/>
        <w:t>[Section 97WG inserted by No. 20 of 2002 s. 4.]</w:t>
      </w:r>
    </w:p>
    <w:p>
      <w:pPr>
        <w:pStyle w:val="Heading3"/>
        <w:keepLines/>
      </w:pPr>
      <w:bookmarkStart w:id="1263" w:name="_Toc471912204"/>
      <w:bookmarkStart w:id="1264" w:name="_Toc391894943"/>
      <w:bookmarkStart w:id="1265" w:name="_Toc419713528"/>
      <w:bookmarkStart w:id="1266" w:name="_Toc435103172"/>
      <w:bookmarkStart w:id="1267" w:name="_Toc452556602"/>
      <w:bookmarkStart w:id="1268" w:name="_Toc455414182"/>
      <w:bookmarkStart w:id="1269" w:name="_Toc462415612"/>
      <w:bookmarkStart w:id="1270" w:name="_Toc462742523"/>
      <w:bookmarkStart w:id="1271" w:name="_Toc465086177"/>
      <w:bookmarkStart w:id="1272" w:name="_Toc468179415"/>
      <w:r>
        <w:rPr>
          <w:rStyle w:val="CharDivNo"/>
        </w:rPr>
        <w:t>Division 8</w:t>
      </w:r>
      <w:r>
        <w:t> — </w:t>
      </w:r>
      <w:r>
        <w:rPr>
          <w:rStyle w:val="CharDivText"/>
        </w:rPr>
        <w:t>Disputes</w:t>
      </w:r>
      <w:bookmarkEnd w:id="1263"/>
      <w:bookmarkEnd w:id="1264"/>
      <w:bookmarkEnd w:id="1265"/>
      <w:bookmarkEnd w:id="1266"/>
      <w:bookmarkEnd w:id="1267"/>
      <w:bookmarkEnd w:id="1268"/>
      <w:bookmarkEnd w:id="1269"/>
      <w:bookmarkEnd w:id="1270"/>
      <w:bookmarkEnd w:id="1271"/>
      <w:bookmarkEnd w:id="1272"/>
    </w:p>
    <w:p>
      <w:pPr>
        <w:pStyle w:val="Footnoteheading"/>
        <w:keepNext/>
        <w:keepLines/>
        <w:tabs>
          <w:tab w:val="left" w:pos="851"/>
        </w:tabs>
      </w:pPr>
      <w:r>
        <w:tab/>
        <w:t>[Heading inserted by No. 20 of 2002 s. 4.]</w:t>
      </w:r>
    </w:p>
    <w:p>
      <w:pPr>
        <w:pStyle w:val="Heading5"/>
      </w:pPr>
      <w:bookmarkStart w:id="1273" w:name="_Toc471912205"/>
      <w:bookmarkStart w:id="1274" w:name="_Toc391894944"/>
      <w:bookmarkStart w:id="1275" w:name="_Toc468179416"/>
      <w:r>
        <w:rPr>
          <w:rStyle w:val="CharSectno"/>
        </w:rPr>
        <w:t>97WH</w:t>
      </w:r>
      <w:r>
        <w:t>.</w:t>
      </w:r>
      <w:r>
        <w:tab/>
      </w:r>
      <w:r>
        <w:rPr>
          <w:snapToGrid w:val="0"/>
        </w:rPr>
        <w:t>Terms used</w:t>
      </w:r>
      <w:bookmarkEnd w:id="1273"/>
      <w:bookmarkEnd w:id="1274"/>
      <w:bookmarkEnd w:id="1275"/>
    </w:p>
    <w:p>
      <w:pPr>
        <w:pStyle w:val="Subsection"/>
      </w:pPr>
      <w:r>
        <w:tab/>
      </w:r>
      <w:r>
        <w:tab/>
        <w:t>In this Division —</w:t>
      </w:r>
    </w:p>
    <w:p>
      <w:pPr>
        <w:pStyle w:val="Defstart"/>
      </w:pPr>
      <w:r>
        <w:tab/>
      </w:r>
      <w:r>
        <w:rPr>
          <w:rStyle w:val="CharDefText"/>
        </w:rPr>
        <w:t>arbitrator</w:t>
      </w:r>
      <w:r>
        <w:t xml:space="preserve"> means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1276" w:name="_Toc471912206"/>
      <w:bookmarkStart w:id="1277" w:name="_Toc391894945"/>
      <w:bookmarkStart w:id="1278" w:name="_Toc468179417"/>
      <w:r>
        <w:rPr>
          <w:rStyle w:val="CharSectno"/>
        </w:rPr>
        <w:t>97WI</w:t>
      </w:r>
      <w:r>
        <w:t>.</w:t>
      </w:r>
      <w:r>
        <w:tab/>
        <w:t>Arbitration jurisdiction of relevant industrial authority</w:t>
      </w:r>
      <w:bookmarkEnd w:id="1276"/>
      <w:bookmarkEnd w:id="1277"/>
      <w:bookmarkEnd w:id="1278"/>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In conducting an arbitration the relevant industrial authority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1279" w:name="_Toc471912207"/>
      <w:bookmarkStart w:id="1280" w:name="_Toc391894946"/>
      <w:bookmarkStart w:id="1281" w:name="_Toc468179418"/>
      <w:r>
        <w:rPr>
          <w:rStyle w:val="CharSectno"/>
        </w:rPr>
        <w:t>97WJ</w:t>
      </w:r>
      <w:r>
        <w:t>.</w:t>
      </w:r>
      <w:r>
        <w:tab/>
        <w:t>Representation of parties</w:t>
      </w:r>
      <w:bookmarkEnd w:id="1279"/>
      <w:bookmarkEnd w:id="1280"/>
      <w:bookmarkEnd w:id="1281"/>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1282" w:name="_Toc471912208"/>
      <w:bookmarkStart w:id="1283" w:name="_Toc391894947"/>
      <w:bookmarkStart w:id="1284" w:name="_Toc468179419"/>
      <w:r>
        <w:rPr>
          <w:rStyle w:val="CharSectno"/>
        </w:rPr>
        <w:t>97WK</w:t>
      </w:r>
      <w:r>
        <w:t>.</w:t>
      </w:r>
      <w:r>
        <w:tab/>
        <w:t xml:space="preserve">Alleged delay in dispute resolution, referral of to relevant </w:t>
      </w:r>
      <w:smartTag w:uri="urn:schemas-microsoft-com:office:smarttags" w:element="State">
        <w:smartTag w:uri="urn:schemas-microsoft-com:office:smarttags" w:element="place">
          <w:r>
            <w:t>ind</w:t>
          </w:r>
        </w:smartTag>
      </w:smartTag>
      <w:r>
        <w:t>ustrial authority etc.</w:t>
      </w:r>
      <w:bookmarkEnd w:id="1282"/>
      <w:bookmarkEnd w:id="1283"/>
      <w:bookmarkEnd w:id="1284"/>
    </w:p>
    <w:p>
      <w:pPr>
        <w:pStyle w:val="Subsection"/>
      </w:pPr>
      <w:r>
        <w:tab/>
        <w:t>(1)</w:t>
      </w:r>
      <w:r>
        <w:tab/>
        <w:t>This section applies if —</w:t>
      </w:r>
    </w:p>
    <w:p>
      <w:pPr>
        <w:pStyle w:val="Indenta"/>
      </w:pPr>
      <w:r>
        <w:tab/>
        <w:t>(a)</w:t>
      </w:r>
      <w:r>
        <w:tab/>
        <w:t xml:space="preserve">a dispute has arisen (the </w:t>
      </w:r>
      <w:r>
        <w:rPr>
          <w:rStyle w:val="CharDefText"/>
        </w:rPr>
        <w:t>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A referral under subsection (2) operates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The relevant industrial authority —</w:t>
      </w:r>
    </w:p>
    <w:p>
      <w:pPr>
        <w:pStyle w:val="Indenta"/>
        <w:spacing w:before="70"/>
      </w:pPr>
      <w:r>
        <w:tab/>
        <w:t>(a)</w:t>
      </w:r>
      <w:r>
        <w:tab/>
        <w:t>has jurisdiction to act under subsection (4) despite the EEA dispute provisions; and</w:t>
      </w:r>
    </w:p>
    <w:p>
      <w:pPr>
        <w:pStyle w:val="Indenta"/>
        <w:spacing w:before="70"/>
      </w:pPr>
      <w:r>
        <w:tab/>
        <w:t>(b)</w:t>
      </w:r>
      <w:r>
        <w:tab/>
        <w:t>when doing so has the same powers and duties in respect of the original dispute as an arbitrator acting under those provisions would have had.</w:t>
      </w:r>
    </w:p>
    <w:p>
      <w:pPr>
        <w:pStyle w:val="Subsection"/>
      </w:pPr>
      <w:r>
        <w:tab/>
        <w:t>(6)</w:t>
      </w:r>
      <w:r>
        <w:tab/>
        <w:t>If the relevant industrial authority is not satisfied that the allegation is proved —</w:t>
      </w:r>
    </w:p>
    <w:p>
      <w:pPr>
        <w:pStyle w:val="Indenta"/>
        <w:spacing w:before="70"/>
      </w:pPr>
      <w:r>
        <w:tab/>
        <w:t>(a)</w:t>
      </w:r>
      <w:r>
        <w:tab/>
        <w:t>the authority must order that the matter be dismissed; and</w:t>
      </w:r>
    </w:p>
    <w:p>
      <w:pPr>
        <w:pStyle w:val="Indenta"/>
        <w:spacing w:before="70"/>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1285" w:name="_Toc471912209"/>
      <w:bookmarkStart w:id="1286" w:name="_Toc391894948"/>
      <w:bookmarkStart w:id="1287" w:name="_Toc468179420"/>
      <w:r>
        <w:rPr>
          <w:rStyle w:val="CharSectno"/>
        </w:rPr>
        <w:t>97WL</w:t>
      </w:r>
      <w:r>
        <w:t>.</w:t>
      </w:r>
      <w:r>
        <w:tab/>
        <w:t>Several disputes may be subject of one arbitration</w:t>
      </w:r>
      <w:bookmarkEnd w:id="1285"/>
      <w:bookmarkEnd w:id="1286"/>
      <w:bookmarkEnd w:id="1287"/>
    </w:p>
    <w:p>
      <w:pPr>
        <w:pStyle w:val="Subsection"/>
      </w:pPr>
      <w:r>
        <w:tab/>
        <w:t>(1)</w:t>
      </w:r>
      <w:r>
        <w:tab/>
        <w:t>This section applies where —</w:t>
      </w:r>
    </w:p>
    <w:p>
      <w:pPr>
        <w:pStyle w:val="Indenta"/>
      </w:pPr>
      <w:r>
        <w:tab/>
        <w:t>(a)</w:t>
      </w:r>
      <w:r>
        <w:tab/>
        <w:t>2 or more employees have a dispute with the same employer; and</w:t>
      </w:r>
    </w:p>
    <w:p>
      <w:pPr>
        <w:pStyle w:val="Indenta"/>
        <w:spacing w:before="60"/>
      </w:pPr>
      <w:r>
        <w:tab/>
        <w:t>(b)</w:t>
      </w:r>
      <w:r>
        <w:tab/>
        <w:t>the issues involved are substantially the same or similar in each case; and</w:t>
      </w:r>
    </w:p>
    <w:p>
      <w:pPr>
        <w:pStyle w:val="Indenta"/>
        <w:spacing w:before="60"/>
      </w:pPr>
      <w:r>
        <w:tab/>
        <w:t>(c)</w:t>
      </w:r>
      <w:r>
        <w:tab/>
        <w:t>the EEA dispute provisions in each EEA are substantially the same.</w:t>
      </w:r>
    </w:p>
    <w:p>
      <w:pPr>
        <w:pStyle w:val="Subsection"/>
        <w:spacing w:before="120"/>
      </w:pPr>
      <w:r>
        <w:tab/>
        <w:t>(2)</w:t>
      </w:r>
      <w:r>
        <w:tab/>
        <w:t>The employees may agree in writing that, subject to the approval of the arbitrator, all matters are to be heard and determined at the same time in one arbitration proceeding.</w:t>
      </w:r>
    </w:p>
    <w:p>
      <w:pPr>
        <w:pStyle w:val="Subsection"/>
        <w:spacing w:before="120"/>
      </w:pPr>
      <w:r>
        <w:tab/>
        <w:t>(3)</w:t>
      </w:r>
      <w:r>
        <w:tab/>
        <w:t>An agreement under subsection (2) must be made before an arbitrator has entered on the arbitration.</w:t>
      </w:r>
    </w:p>
    <w:p>
      <w:pPr>
        <w:pStyle w:val="Subsection"/>
        <w:spacing w:before="120"/>
      </w:pPr>
      <w:r>
        <w:tab/>
        <w:t>(4)</w:t>
      </w:r>
      <w:r>
        <w:tab/>
        <w:t>Subject to the approval mentioned in subsection (2), the employer must ensure that effect is given to the agreement, so long as it remains in force.</w:t>
      </w:r>
    </w:p>
    <w:p>
      <w:pPr>
        <w:pStyle w:val="Footnotesection"/>
        <w:spacing w:before="80"/>
        <w:ind w:left="890" w:hanging="890"/>
      </w:pPr>
      <w:r>
        <w:tab/>
        <w:t>[Section 97WL inserted by No. 20 of 2002 s. 4.]</w:t>
      </w:r>
    </w:p>
    <w:p>
      <w:pPr>
        <w:pStyle w:val="Heading5"/>
        <w:spacing w:before="180"/>
      </w:pPr>
      <w:bookmarkStart w:id="1288" w:name="_Toc471912210"/>
      <w:bookmarkStart w:id="1289" w:name="_Toc391894949"/>
      <w:bookmarkStart w:id="1290" w:name="_Toc468179421"/>
      <w:r>
        <w:rPr>
          <w:rStyle w:val="CharSectno"/>
        </w:rPr>
        <w:t>97WM</w:t>
      </w:r>
      <w:r>
        <w:t>.</w:t>
      </w:r>
      <w:r>
        <w:tab/>
        <w:t>Arbitrator’s power to obtain information</w:t>
      </w:r>
      <w:bookmarkEnd w:id="1288"/>
      <w:bookmarkEnd w:id="1289"/>
      <w:bookmarkEnd w:id="1290"/>
    </w:p>
    <w:p>
      <w:pPr>
        <w:pStyle w:val="Subsection"/>
        <w:spacing w:before="120"/>
      </w:pPr>
      <w:r>
        <w:tab/>
      </w:r>
      <w:r>
        <w:tab/>
        <w:t>An arbitrator acting under EEA dispute provisions is an authorised person within the meaning of that term in Schedule 5.</w:t>
      </w:r>
    </w:p>
    <w:p>
      <w:pPr>
        <w:pStyle w:val="Footnotesection"/>
        <w:spacing w:before="80"/>
        <w:ind w:left="890" w:hanging="890"/>
      </w:pPr>
      <w:r>
        <w:tab/>
        <w:t>[Section 97WM inserted by No. 20 of 2002 s. 4.]</w:t>
      </w:r>
    </w:p>
    <w:p>
      <w:pPr>
        <w:pStyle w:val="Heading5"/>
        <w:spacing w:before="180"/>
      </w:pPr>
      <w:bookmarkStart w:id="1291" w:name="_Toc471912211"/>
      <w:bookmarkStart w:id="1292" w:name="_Toc391894950"/>
      <w:bookmarkStart w:id="1293" w:name="_Toc468179422"/>
      <w:r>
        <w:rPr>
          <w:rStyle w:val="CharSectno"/>
        </w:rPr>
        <w:t>97WN</w:t>
      </w:r>
      <w:r>
        <w:t>.</w:t>
      </w:r>
      <w:r>
        <w:tab/>
        <w:t>Orders and determinations of arbitrators</w:t>
      </w:r>
      <w:bookmarkEnd w:id="1291"/>
      <w:bookmarkEnd w:id="1292"/>
      <w:bookmarkEnd w:id="1293"/>
    </w:p>
    <w:p>
      <w:pPr>
        <w:pStyle w:val="Subsection"/>
        <w:spacing w:before="120"/>
      </w:pPr>
      <w:r>
        <w:tab/>
        <w:t>(1)</w:t>
      </w:r>
      <w:r>
        <w:tab/>
        <w:t>This section applies where —</w:t>
      </w:r>
    </w:p>
    <w:p>
      <w:pPr>
        <w:pStyle w:val="Indenta"/>
        <w:spacing w:before="60"/>
      </w:pPr>
      <w:r>
        <w:tab/>
        <w:t>(a)</w:t>
      </w:r>
      <w:r>
        <w:tab/>
        <w:t>a dispute has been referred to an arbitrator under EEA dispute provisions; or</w:t>
      </w:r>
    </w:p>
    <w:p>
      <w:pPr>
        <w:pStyle w:val="Indenta"/>
        <w:spacing w:before="60"/>
      </w:pPr>
      <w:r>
        <w:tab/>
        <w:t>(b)</w:t>
      </w:r>
      <w:r>
        <w:tab/>
        <w:t>a relevant industrial authority is acting under section 97WK(4).</w:t>
      </w:r>
    </w:p>
    <w:p>
      <w:pPr>
        <w:pStyle w:val="Subsection"/>
        <w:spacing w:before="120"/>
      </w:pPr>
      <w:r>
        <w:tab/>
        <w:t>(2)</w:t>
      </w:r>
      <w:r>
        <w:tab/>
        <w:t>The powers conferred by this section are subject to the limitations that they do not empower an arbitrator —</w:t>
      </w:r>
    </w:p>
    <w:p>
      <w:pPr>
        <w:pStyle w:val="Indenta"/>
        <w:spacing w:before="60"/>
      </w:pPr>
      <w:r>
        <w:tab/>
        <w:t>(a)</w:t>
      </w:r>
      <w:r>
        <w:tab/>
        <w:t>to enforce an EEA by making any order or determination that an industrial magistrate’s court may make under section 83; or</w:t>
      </w:r>
    </w:p>
    <w:p>
      <w:pPr>
        <w:pStyle w:val="Indenta"/>
        <w:spacing w:before="60"/>
      </w:pPr>
      <w:r>
        <w:tab/>
        <w:t>(b)</w:t>
      </w:r>
      <w:r>
        <w:tab/>
        <w:t>to make an order or determination that is in conflict, or is inconsistent, with the EEA or the contract of employment concerned.</w:t>
      </w:r>
    </w:p>
    <w:p>
      <w:pPr>
        <w:pStyle w:val="Subsection"/>
      </w:pPr>
      <w:r>
        <w:tab/>
        <w:t>(3)</w:t>
      </w:r>
      <w:r>
        <w:tab/>
        <w:t>An arbitrator may —</w:t>
      </w:r>
    </w:p>
    <w:p>
      <w:pPr>
        <w:pStyle w:val="Indenta"/>
        <w:spacing w:before="60"/>
      </w:pPr>
      <w:r>
        <w:tab/>
        <w:t>(a)</w:t>
      </w:r>
      <w:r>
        <w:tab/>
        <w:t>make one or more of the orders or determinations described in subsection (4); or</w:t>
      </w:r>
    </w:p>
    <w:p>
      <w:pPr>
        <w:pStyle w:val="Indenta"/>
        <w:spacing w:before="60"/>
      </w:pPr>
      <w:r>
        <w:tab/>
        <w:t>(b)</w:t>
      </w:r>
      <w:r>
        <w:tab/>
        <w:t>refuse to make any order or determination if he or she considers that —</w:t>
      </w:r>
    </w:p>
    <w:p>
      <w:pPr>
        <w:pStyle w:val="Indenti"/>
        <w:spacing w:before="60"/>
      </w:pPr>
      <w:r>
        <w:tab/>
        <w:t>(i)</w:t>
      </w:r>
      <w:r>
        <w:tab/>
        <w:t>the referral was vexatious; or</w:t>
      </w:r>
    </w:p>
    <w:p>
      <w:pPr>
        <w:pStyle w:val="Indenti"/>
        <w:spacing w:before="60"/>
      </w:pPr>
      <w:r>
        <w:tab/>
        <w:t>(ii)</w:t>
      </w:r>
      <w:r>
        <w:tab/>
        <w:t>the subject matter of the dispute is lacking in substance.</w:t>
      </w:r>
    </w:p>
    <w:p>
      <w:pPr>
        <w:pStyle w:val="Subsection"/>
      </w:pPr>
      <w:r>
        <w:tab/>
        <w:t>(4)</w:t>
      </w:r>
      <w:r>
        <w:tab/>
        <w:t>An arbitrator may —</w:t>
      </w:r>
    </w:p>
    <w:p>
      <w:pPr>
        <w:pStyle w:val="Indenta"/>
        <w:spacing w:before="70"/>
      </w:pPr>
      <w:r>
        <w:tab/>
        <w:t>(a)</w:t>
      </w:r>
      <w:r>
        <w:tab/>
        <w:t>determine the meaning or effect of the EEA concerned; or</w:t>
      </w:r>
    </w:p>
    <w:p>
      <w:pPr>
        <w:pStyle w:val="Indenta"/>
        <w:spacing w:before="70"/>
      </w:pPr>
      <w:r>
        <w:tab/>
        <w:t>(b)</w:t>
      </w:r>
      <w:r>
        <w:tab/>
        <w:t>order a party —</w:t>
      </w:r>
    </w:p>
    <w:p>
      <w:pPr>
        <w:pStyle w:val="Indenti"/>
        <w:spacing w:before="70"/>
      </w:pPr>
      <w:r>
        <w:tab/>
        <w:t>(i)</w:t>
      </w:r>
      <w:r>
        <w:tab/>
        <w:t>to do a specified thing; or</w:t>
      </w:r>
    </w:p>
    <w:p>
      <w:pPr>
        <w:pStyle w:val="Indenti"/>
        <w:spacing w:before="70"/>
      </w:pPr>
      <w:r>
        <w:tab/>
        <w:t>(ii)</w:t>
      </w:r>
      <w:r>
        <w:tab/>
        <w:t>cease any specified activity;</w:t>
      </w:r>
    </w:p>
    <w:p>
      <w:pPr>
        <w:pStyle w:val="Indenta"/>
        <w:spacing w:before="70"/>
      </w:pPr>
      <w:r>
        <w:tab/>
      </w:r>
      <w:r>
        <w:tab/>
        <w:t>or</w:t>
      </w:r>
    </w:p>
    <w:p>
      <w:pPr>
        <w:pStyle w:val="Indenta"/>
        <w:spacing w:before="70"/>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1294" w:name="_Toc471912212"/>
      <w:bookmarkStart w:id="1295" w:name="_Toc391894951"/>
      <w:bookmarkStart w:id="1296" w:name="_Toc468179423"/>
      <w:r>
        <w:rPr>
          <w:rStyle w:val="CharSectno"/>
        </w:rPr>
        <w:t>97WO</w:t>
      </w:r>
      <w:r>
        <w:t>.</w:t>
      </w:r>
      <w:r>
        <w:tab/>
        <w:t>Orders and determinations, form of etc.</w:t>
      </w:r>
      <w:bookmarkEnd w:id="1294"/>
      <w:bookmarkEnd w:id="1295"/>
      <w:bookmarkEnd w:id="1296"/>
    </w:p>
    <w:p>
      <w:pPr>
        <w:pStyle w:val="Subsection"/>
      </w:pPr>
      <w:r>
        <w:tab/>
      </w:r>
      <w:r>
        <w:tab/>
        <w:t>An order or determination of an arbitrator —</w:t>
      </w:r>
    </w:p>
    <w:p>
      <w:pPr>
        <w:pStyle w:val="Indenta"/>
        <w:spacing w:before="70"/>
      </w:pPr>
      <w:r>
        <w:tab/>
        <w:t>(a)</w:t>
      </w:r>
      <w:r>
        <w:tab/>
        <w:t>must be in writing and accompanied by the reasons for its making; and</w:t>
      </w:r>
    </w:p>
    <w:p>
      <w:pPr>
        <w:pStyle w:val="Indenta"/>
        <w:spacing w:before="70"/>
      </w:pPr>
      <w:r>
        <w:tab/>
        <w:t>(b)</w:t>
      </w:r>
      <w:r>
        <w:tab/>
        <w:t>is final and not subject to appeal; and</w:t>
      </w:r>
    </w:p>
    <w:p>
      <w:pPr>
        <w:pStyle w:val="Indenta"/>
        <w:spacing w:before="70"/>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1297" w:name="_Toc471912213"/>
      <w:bookmarkStart w:id="1298" w:name="_Toc391894952"/>
      <w:bookmarkStart w:id="1299" w:name="_Toc468179424"/>
      <w:r>
        <w:rPr>
          <w:rStyle w:val="CharSectno"/>
        </w:rPr>
        <w:t>97WP</w:t>
      </w:r>
      <w:r>
        <w:t>.</w:t>
      </w:r>
      <w:r>
        <w:tab/>
        <w:t>Enforcing orders and determinations</w:t>
      </w:r>
      <w:bookmarkEnd w:id="1297"/>
      <w:bookmarkEnd w:id="1298"/>
      <w:bookmarkEnd w:id="1299"/>
    </w:p>
    <w:p>
      <w:pPr>
        <w:pStyle w:val="Subsection"/>
        <w:spacing w:before="140"/>
      </w:pPr>
      <w:r>
        <w:tab/>
        <w:t>(1)</w:t>
      </w:r>
      <w:r>
        <w:tab/>
        <w:t>An order or determination referred to in section 97WN(4)(b) and (c) made by an arbitrator that is a relevant industrial authority is enforceable under section 83.</w:t>
      </w:r>
    </w:p>
    <w:p>
      <w:pPr>
        <w:pStyle w:val="Subsection"/>
        <w:spacing w:before="140"/>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spacing w:before="140"/>
      </w:pPr>
      <w:r>
        <w:tab/>
        <w:t>(3)</w:t>
      </w:r>
      <w:r>
        <w:tab/>
        <w:t>An order or determination lodged under subsection (2) is enforceable under section 83 as if it were an order of the Commission.</w:t>
      </w:r>
    </w:p>
    <w:p>
      <w:pPr>
        <w:pStyle w:val="Footnotesection"/>
        <w:spacing w:before="100"/>
        <w:ind w:left="890" w:hanging="890"/>
      </w:pPr>
      <w:r>
        <w:tab/>
        <w:t>[Section 97WP inserted by No. 20 of 2002 s. 4.]</w:t>
      </w:r>
    </w:p>
    <w:p>
      <w:pPr>
        <w:pStyle w:val="Heading5"/>
      </w:pPr>
      <w:bookmarkStart w:id="1300" w:name="_Toc471912214"/>
      <w:bookmarkStart w:id="1301" w:name="_Toc391894953"/>
      <w:bookmarkStart w:id="1302" w:name="_Toc468179425"/>
      <w:r>
        <w:rPr>
          <w:rStyle w:val="CharSectno"/>
        </w:rPr>
        <w:t>97WQ</w:t>
      </w:r>
      <w:r>
        <w:t>.</w:t>
      </w:r>
      <w:r>
        <w:tab/>
        <w:t>Industrial magistrate’s court not bound by arbitrator’s interpretation of EEA</w:t>
      </w:r>
      <w:bookmarkEnd w:id="1300"/>
      <w:bookmarkEnd w:id="1301"/>
      <w:bookmarkEnd w:id="1302"/>
    </w:p>
    <w:p>
      <w:pPr>
        <w:pStyle w:val="Subsection"/>
        <w:spacing w:before="140"/>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100"/>
        <w:ind w:left="890" w:hanging="890"/>
      </w:pPr>
      <w:r>
        <w:tab/>
        <w:t>[Section 97WQ inserted by No. 20 of 2002 s. 4.]</w:t>
      </w:r>
    </w:p>
    <w:p>
      <w:pPr>
        <w:pStyle w:val="Heading3"/>
      </w:pPr>
      <w:bookmarkStart w:id="1303" w:name="_Toc471912215"/>
      <w:bookmarkStart w:id="1304" w:name="_Toc391894954"/>
      <w:bookmarkStart w:id="1305" w:name="_Toc419713539"/>
      <w:bookmarkStart w:id="1306" w:name="_Toc435103183"/>
      <w:bookmarkStart w:id="1307" w:name="_Toc452556613"/>
      <w:bookmarkStart w:id="1308" w:name="_Toc455414193"/>
      <w:bookmarkStart w:id="1309" w:name="_Toc462415623"/>
      <w:bookmarkStart w:id="1310" w:name="_Toc462742534"/>
      <w:bookmarkStart w:id="1311" w:name="_Toc465086188"/>
      <w:bookmarkStart w:id="1312" w:name="_Toc468179426"/>
      <w:r>
        <w:rPr>
          <w:rStyle w:val="CharDivNo"/>
        </w:rPr>
        <w:t>Division 9</w:t>
      </w:r>
      <w:r>
        <w:t> — </w:t>
      </w:r>
      <w:r>
        <w:rPr>
          <w:rStyle w:val="CharDivText"/>
        </w:rPr>
        <w:t>EEAs for persons with mental disabilities</w:t>
      </w:r>
      <w:bookmarkEnd w:id="1303"/>
      <w:bookmarkEnd w:id="1304"/>
      <w:bookmarkEnd w:id="1305"/>
      <w:bookmarkEnd w:id="1306"/>
      <w:bookmarkEnd w:id="1307"/>
      <w:bookmarkEnd w:id="1308"/>
      <w:bookmarkEnd w:id="1309"/>
      <w:bookmarkEnd w:id="1310"/>
      <w:bookmarkEnd w:id="1311"/>
      <w:bookmarkEnd w:id="1312"/>
    </w:p>
    <w:p>
      <w:pPr>
        <w:pStyle w:val="Footnoteheading"/>
        <w:keepNext/>
        <w:tabs>
          <w:tab w:val="left" w:pos="851"/>
        </w:tabs>
        <w:spacing w:before="80"/>
      </w:pPr>
      <w:r>
        <w:tab/>
        <w:t>[Heading inserted by No. 20 of 2002 s. 4.]</w:t>
      </w:r>
    </w:p>
    <w:p>
      <w:pPr>
        <w:pStyle w:val="Heading4"/>
      </w:pPr>
      <w:bookmarkStart w:id="1313" w:name="_Toc471912216"/>
      <w:bookmarkStart w:id="1314" w:name="_Toc391894955"/>
      <w:bookmarkStart w:id="1315" w:name="_Toc419713540"/>
      <w:bookmarkStart w:id="1316" w:name="_Toc435103184"/>
      <w:bookmarkStart w:id="1317" w:name="_Toc452556614"/>
      <w:bookmarkStart w:id="1318" w:name="_Toc455414194"/>
      <w:bookmarkStart w:id="1319" w:name="_Toc462415624"/>
      <w:bookmarkStart w:id="1320" w:name="_Toc462742535"/>
      <w:bookmarkStart w:id="1321" w:name="_Toc465086189"/>
      <w:bookmarkStart w:id="1322" w:name="_Toc468179427"/>
      <w:r>
        <w:t>Subdivision 1 — Preliminary</w:t>
      </w:r>
      <w:bookmarkEnd w:id="1313"/>
      <w:bookmarkEnd w:id="1314"/>
      <w:bookmarkEnd w:id="1315"/>
      <w:bookmarkEnd w:id="1316"/>
      <w:bookmarkEnd w:id="1317"/>
      <w:bookmarkEnd w:id="1318"/>
      <w:bookmarkEnd w:id="1319"/>
      <w:bookmarkEnd w:id="1320"/>
      <w:bookmarkEnd w:id="1321"/>
      <w:bookmarkEnd w:id="1322"/>
    </w:p>
    <w:p>
      <w:pPr>
        <w:pStyle w:val="Footnoteheading"/>
        <w:tabs>
          <w:tab w:val="left" w:pos="851"/>
        </w:tabs>
        <w:spacing w:before="80"/>
      </w:pPr>
      <w:r>
        <w:tab/>
        <w:t>[Heading inserted by No. 20 of 2002 s. 4.]</w:t>
      </w:r>
    </w:p>
    <w:p>
      <w:pPr>
        <w:pStyle w:val="Heading5"/>
      </w:pPr>
      <w:bookmarkStart w:id="1323" w:name="_Toc471912217"/>
      <w:bookmarkStart w:id="1324" w:name="_Toc391894956"/>
      <w:bookmarkStart w:id="1325" w:name="_Toc468179428"/>
      <w:r>
        <w:rPr>
          <w:rStyle w:val="CharSectno"/>
        </w:rPr>
        <w:t>97WR</w:t>
      </w:r>
      <w:r>
        <w:t>.</w:t>
      </w:r>
      <w:r>
        <w:tab/>
        <w:t>Terms used</w:t>
      </w:r>
      <w:bookmarkEnd w:id="1323"/>
      <w:bookmarkEnd w:id="1324"/>
      <w:bookmarkEnd w:id="1325"/>
    </w:p>
    <w:p>
      <w:pPr>
        <w:pStyle w:val="Subsection"/>
        <w:spacing w:before="140"/>
      </w:pPr>
      <w:r>
        <w:tab/>
      </w:r>
      <w:r>
        <w:tab/>
        <w:t>In this Division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keepNext/>
      </w:pPr>
      <w:r>
        <w:tab/>
      </w:r>
      <w:r>
        <w:rPr>
          <w:rStyle w:val="CharDefText"/>
        </w:rPr>
        <w:t>mental disability</w:t>
      </w:r>
      <w:r>
        <w:t xml:space="preserve"> includes —</w:t>
      </w:r>
    </w:p>
    <w:p>
      <w:pPr>
        <w:pStyle w:val="Defpara"/>
      </w:pPr>
      <w:r>
        <w:tab/>
        <w:t>(a)</w:t>
      </w:r>
      <w:r>
        <w:tab/>
        <w:t>an intellectual disability; or</w:t>
      </w:r>
    </w:p>
    <w:p>
      <w:pPr>
        <w:pStyle w:val="Defpara"/>
      </w:pPr>
      <w:r>
        <w:tab/>
        <w:t>(b)</w:t>
      </w:r>
      <w:r>
        <w:tab/>
        <w:t>a psychiatric condition; or</w:t>
      </w:r>
    </w:p>
    <w:p>
      <w:pPr>
        <w:pStyle w:val="Defpara"/>
      </w:pPr>
      <w:r>
        <w:tab/>
        <w:t>(c)</w:t>
      </w:r>
      <w:r>
        <w:tab/>
        <w:t>an acquired brain injury; or</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spacing w:before="260"/>
      </w:pPr>
      <w:bookmarkStart w:id="1326" w:name="_Toc471912218"/>
      <w:bookmarkStart w:id="1327" w:name="_Toc391894957"/>
      <w:bookmarkStart w:id="1328" w:name="_Toc468179429"/>
      <w:r>
        <w:rPr>
          <w:rStyle w:val="CharSectno"/>
        </w:rPr>
        <w:t>97WS</w:t>
      </w:r>
      <w:r>
        <w:t>.</w:t>
      </w:r>
      <w:r>
        <w:tab/>
      </w:r>
      <w:r>
        <w:rPr>
          <w:i/>
        </w:rPr>
        <w:t>Guardianship and Administration Act 1990</w:t>
      </w:r>
      <w:r>
        <w:t>, relationship of this Division to</w:t>
      </w:r>
      <w:bookmarkEnd w:id="1326"/>
      <w:bookmarkEnd w:id="1327"/>
      <w:bookmarkEnd w:id="1328"/>
    </w:p>
    <w:p>
      <w:pPr>
        <w:pStyle w:val="Subsection"/>
      </w:pPr>
      <w:r>
        <w:tab/>
        <w:t>(1)</w:t>
      </w:r>
      <w:r>
        <w:tab/>
        <w:t>An order cannot be made under section 97WZ or 97XN approving a representative of a person if a guardianship order is in force under which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The making of a guardianship order in respect of a person automatically revokes an order under section 97WZ or 97XN approving a representative of the person if under the guardianship order there is appointed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1329" w:name="_Toc471912219"/>
      <w:bookmarkStart w:id="1330" w:name="_Toc391894958"/>
      <w:bookmarkStart w:id="1331" w:name="_Toc468179430"/>
      <w:r>
        <w:rPr>
          <w:rStyle w:val="CharSectno"/>
        </w:rPr>
        <w:t>97WT</w:t>
      </w:r>
      <w:r>
        <w:t>.</w:t>
      </w:r>
      <w:r>
        <w:tab/>
        <w:t>Registrar to notify Public Advocate of applications and orders for approval of representative</w:t>
      </w:r>
      <w:bookmarkEnd w:id="1329"/>
      <w:bookmarkEnd w:id="1330"/>
      <w:bookmarkEnd w:id="1331"/>
    </w:p>
    <w:p>
      <w:pPr>
        <w:pStyle w:val="Subsection"/>
      </w:pPr>
      <w:r>
        <w:tab/>
        <w:t>(1)</w:t>
      </w:r>
      <w:r>
        <w:tab/>
        <w:t>The Registrar must give the Public Advocate notice in writing of every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A notice under subsection (1)(a) must identify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A notice under subsection (1)(b) must identify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1332" w:name="_Toc471912220"/>
      <w:bookmarkStart w:id="1333" w:name="_Toc391894959"/>
      <w:bookmarkStart w:id="1334" w:name="_Toc468179431"/>
      <w:r>
        <w:rPr>
          <w:rStyle w:val="CharSectno"/>
        </w:rPr>
        <w:t>97WU</w:t>
      </w:r>
      <w:r>
        <w:t>.</w:t>
      </w:r>
      <w:r>
        <w:tab/>
        <w:t>Public Advocate to notify Registrar of relevant guardianship orders</w:t>
      </w:r>
      <w:bookmarkEnd w:id="1332"/>
      <w:bookmarkEnd w:id="1333"/>
      <w:bookmarkEnd w:id="1334"/>
    </w:p>
    <w:p>
      <w:pPr>
        <w:pStyle w:val="Subsection"/>
      </w:pPr>
      <w:r>
        <w:tab/>
        <w:t>(1)</w:t>
      </w:r>
      <w:r>
        <w:tab/>
        <w:t>Where the Public Advocate receives a notice under section 97WT he or she must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A guardianship order is relevant for the purposes of subsection (1) if it appoints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Where the Public Advocate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1335" w:name="_Toc471912221"/>
      <w:bookmarkStart w:id="1336" w:name="_Toc391894960"/>
      <w:bookmarkStart w:id="1337" w:name="_Toc419713545"/>
      <w:bookmarkStart w:id="1338" w:name="_Toc435103189"/>
      <w:bookmarkStart w:id="1339" w:name="_Toc452556619"/>
      <w:bookmarkStart w:id="1340" w:name="_Toc455414199"/>
      <w:bookmarkStart w:id="1341" w:name="_Toc462415629"/>
      <w:bookmarkStart w:id="1342" w:name="_Toc462742540"/>
      <w:bookmarkStart w:id="1343" w:name="_Toc465086194"/>
      <w:bookmarkStart w:id="1344" w:name="_Toc468179432"/>
      <w:r>
        <w:t>Subdivision 2 — Approval of person to act on behalf of person with a mental disability</w:t>
      </w:r>
      <w:bookmarkEnd w:id="1335"/>
      <w:bookmarkEnd w:id="1336"/>
      <w:bookmarkEnd w:id="1337"/>
      <w:bookmarkEnd w:id="1338"/>
      <w:bookmarkEnd w:id="1339"/>
      <w:bookmarkEnd w:id="1340"/>
      <w:bookmarkEnd w:id="1341"/>
      <w:bookmarkEnd w:id="1342"/>
      <w:bookmarkEnd w:id="1343"/>
      <w:bookmarkEnd w:id="1344"/>
    </w:p>
    <w:p>
      <w:pPr>
        <w:pStyle w:val="Footnoteheading"/>
        <w:tabs>
          <w:tab w:val="left" w:pos="851"/>
        </w:tabs>
      </w:pPr>
      <w:r>
        <w:tab/>
        <w:t>[Heading inserted by No. 20 of 2002 s. 4.]</w:t>
      </w:r>
    </w:p>
    <w:p>
      <w:pPr>
        <w:pStyle w:val="Heading5"/>
      </w:pPr>
      <w:bookmarkStart w:id="1345" w:name="_Toc471912222"/>
      <w:bookmarkStart w:id="1346" w:name="_Toc391894961"/>
      <w:bookmarkStart w:id="1347" w:name="_Toc468179433"/>
      <w:r>
        <w:rPr>
          <w:rStyle w:val="CharSectno"/>
        </w:rPr>
        <w:t>97WV</w:t>
      </w:r>
      <w:r>
        <w:t>.</w:t>
      </w:r>
      <w:r>
        <w:tab/>
        <w:t>Application for approval</w:t>
      </w:r>
      <w:bookmarkEnd w:id="1345"/>
      <w:bookmarkEnd w:id="1346"/>
      <w:bookmarkEnd w:id="1347"/>
    </w:p>
    <w:p>
      <w:pPr>
        <w:pStyle w:val="Subsection"/>
      </w:pPr>
      <w:r>
        <w:tab/>
        <w:t>(1)</w:t>
      </w:r>
      <w:r>
        <w:tab/>
        <w:t>This section applies to a person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An application may be made to the Registrar by or on behalf of a person to whom this section applies for an order approving a person to act on his or her behalf in relation to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 xml:space="preserve">The person sought to be approved (the </w:t>
      </w:r>
      <w:r>
        <w:rPr>
          <w:rStyle w:val="CharDefText"/>
        </w:rPr>
        <w:t>proposed representative</w:t>
      </w:r>
      <w:r>
        <w:t>) must be one who satisfies the requirements of section 97WY.</w:t>
      </w:r>
    </w:p>
    <w:p>
      <w:pPr>
        <w:pStyle w:val="Footnotesection"/>
      </w:pPr>
      <w:r>
        <w:tab/>
        <w:t>[Section 97WV inserted by No. 20 of 2002 s. 4.]</w:t>
      </w:r>
    </w:p>
    <w:p>
      <w:pPr>
        <w:pStyle w:val="Heading5"/>
      </w:pPr>
      <w:bookmarkStart w:id="1348" w:name="_Toc471912223"/>
      <w:bookmarkStart w:id="1349" w:name="_Toc391894962"/>
      <w:bookmarkStart w:id="1350" w:name="_Toc468179434"/>
      <w:r>
        <w:rPr>
          <w:rStyle w:val="CharSectno"/>
        </w:rPr>
        <w:t>97WW</w:t>
      </w:r>
      <w:r>
        <w:t>.</w:t>
      </w:r>
      <w:r>
        <w:tab/>
        <w:t>Requirements for s. 97WV application</w:t>
      </w:r>
      <w:bookmarkEnd w:id="1348"/>
      <w:bookmarkEnd w:id="1349"/>
      <w:bookmarkEnd w:id="1350"/>
    </w:p>
    <w:p>
      <w:pPr>
        <w:pStyle w:val="Subsection"/>
      </w:pPr>
      <w:r>
        <w:tab/>
        <w:t>(1)</w:t>
      </w:r>
      <w:r>
        <w:tab/>
        <w:t>An application under section 97WV must be made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An application must be accompanied by a certificate in respect of the person with a mental disability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1351" w:name="_Toc471912224"/>
      <w:bookmarkStart w:id="1352" w:name="_Toc391894963"/>
      <w:bookmarkStart w:id="1353" w:name="_Toc468179435"/>
      <w:r>
        <w:rPr>
          <w:rStyle w:val="CharSectno"/>
        </w:rPr>
        <w:t>97WX</w:t>
      </w:r>
      <w:r>
        <w:t>.</w:t>
      </w:r>
      <w:r>
        <w:tab/>
        <w:t>Forms for s. 97WW to be prescribed</w:t>
      </w:r>
      <w:bookmarkEnd w:id="1351"/>
      <w:bookmarkEnd w:id="1352"/>
      <w:bookmarkEnd w:id="1353"/>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1354" w:name="_Toc471912225"/>
      <w:bookmarkStart w:id="1355" w:name="_Toc391894964"/>
      <w:bookmarkStart w:id="1356" w:name="_Toc468179436"/>
      <w:r>
        <w:rPr>
          <w:rStyle w:val="CharSectno"/>
        </w:rPr>
        <w:t>97WY</w:t>
      </w:r>
      <w:r>
        <w:t>.</w:t>
      </w:r>
      <w:r>
        <w:tab/>
        <w:t>Who may be approved as a representative</w:t>
      </w:r>
      <w:bookmarkEnd w:id="1354"/>
      <w:bookmarkEnd w:id="1355"/>
      <w:bookmarkEnd w:id="1356"/>
    </w:p>
    <w:p>
      <w:pPr>
        <w:pStyle w:val="Subsection"/>
      </w:pPr>
      <w:r>
        <w:tab/>
        <w:t>(1)</w:t>
      </w:r>
      <w:r>
        <w:tab/>
        <w:t>A person may be approved under section 97WZ or 97XN only if he or she —</w:t>
      </w:r>
    </w:p>
    <w:p>
      <w:pPr>
        <w:pStyle w:val="Indenta"/>
      </w:pPr>
      <w:r>
        <w:tab/>
        <w:t>(a)</w:t>
      </w:r>
      <w:r>
        <w:tab/>
        <w:t>is the spouse, or de facto partner, of the person with a mental disability and has reached 18 years of age; or</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mentioned person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1357" w:name="_Toc471912226"/>
      <w:bookmarkStart w:id="1358" w:name="_Toc391894965"/>
      <w:bookmarkStart w:id="1359" w:name="_Toc468179437"/>
      <w:r>
        <w:rPr>
          <w:rStyle w:val="CharSectno"/>
        </w:rPr>
        <w:t>97WZ</w:t>
      </w:r>
      <w:r>
        <w:t>.</w:t>
      </w:r>
      <w:r>
        <w:tab/>
        <w:t>Approval of representative</w:t>
      </w:r>
      <w:bookmarkEnd w:id="1357"/>
      <w:bookmarkEnd w:id="1358"/>
      <w:bookmarkEnd w:id="1359"/>
    </w:p>
    <w:p>
      <w:pPr>
        <w:pStyle w:val="Subsection"/>
      </w:pPr>
      <w:r>
        <w:tab/>
        <w:t>(1)</w:t>
      </w:r>
      <w:r>
        <w:tab/>
        <w:t>Where an application is made under section 97WV, the Registrar must make an order approving the proposed representative if he or she is satisfied that —</w:t>
      </w:r>
    </w:p>
    <w:p>
      <w:pPr>
        <w:pStyle w:val="Indenta"/>
      </w:pPr>
      <w:r>
        <w:tab/>
        <w:t>(a)</w:t>
      </w:r>
      <w:r>
        <w:tab/>
        <w:t>the application is not one that is prohibited by section 97WS(1); and</w:t>
      </w:r>
    </w:p>
    <w:p>
      <w:pPr>
        <w:pStyle w:val="Indenta"/>
      </w:pPr>
      <w:r>
        <w:tab/>
        <w:t>(b)</w:t>
      </w:r>
      <w:r>
        <w:tab/>
        <w:t>section 97WW has been complied with; and</w:t>
      </w:r>
    </w:p>
    <w:p>
      <w:pPr>
        <w:pStyle w:val="Indenta"/>
        <w:keepNext/>
        <w:keepLines/>
      </w:pPr>
      <w:r>
        <w:tab/>
        <w:t>(c)</w:t>
      </w:r>
      <w:r>
        <w:tab/>
        <w:t>the proposed representative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The Registrar is to rely on the certificate given under section 97WW(3) and it is not his or her function to be satisfied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keepNext/>
      </w:pPr>
      <w:r>
        <w:tab/>
        <w:t>(3)</w:t>
      </w:r>
      <w:r>
        <w:tab/>
        <w:t>The Registrar must give notice in writing of the making of an order under subsection (1)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1360" w:name="_Toc471912227"/>
      <w:bookmarkStart w:id="1361" w:name="_Toc391894966"/>
      <w:bookmarkStart w:id="1362" w:name="_Toc468179438"/>
      <w:r>
        <w:rPr>
          <w:rStyle w:val="CharSectno"/>
        </w:rPr>
        <w:t>97X</w:t>
      </w:r>
      <w:r>
        <w:t>.</w:t>
      </w:r>
      <w:r>
        <w:tab/>
        <w:t>Effect of s. 97WZ order</w:t>
      </w:r>
      <w:bookmarkEnd w:id="1360"/>
      <w:bookmarkEnd w:id="1361"/>
      <w:bookmarkEnd w:id="1362"/>
    </w:p>
    <w:p>
      <w:pPr>
        <w:pStyle w:val="Subsection"/>
      </w:pPr>
      <w:r>
        <w:tab/>
      </w:r>
      <w:r>
        <w:tab/>
        <w:t xml:space="preserve">An order under section 97WZ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w:t>
      </w:r>
      <w:r>
        <w:rPr>
          <w:b/>
        </w:rPr>
        <w:t xml:space="preserve"> </w:t>
      </w:r>
      <w:r>
        <w:t>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1363" w:name="_Toc471912228"/>
      <w:bookmarkStart w:id="1364" w:name="_Toc391894967"/>
      <w:bookmarkStart w:id="1365" w:name="_Toc468179439"/>
      <w:r>
        <w:rPr>
          <w:rStyle w:val="CharSectno"/>
        </w:rPr>
        <w:t>97XA</w:t>
      </w:r>
      <w:r>
        <w:t>.</w:t>
      </w:r>
      <w:r>
        <w:tab/>
        <w:t>Refusal of approval</w:t>
      </w:r>
      <w:bookmarkEnd w:id="1363"/>
      <w:bookmarkEnd w:id="1364"/>
      <w:bookmarkEnd w:id="1365"/>
    </w:p>
    <w:p>
      <w:pPr>
        <w:pStyle w:val="Subsection"/>
      </w:pPr>
      <w:r>
        <w:tab/>
      </w:r>
      <w:r>
        <w:tab/>
        <w:t>If the Registrar is not satisfied as mentioned in section 97WZ(1)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1366" w:name="_Toc471912229"/>
      <w:bookmarkStart w:id="1367" w:name="_Toc391894968"/>
      <w:bookmarkStart w:id="1368" w:name="_Toc468179440"/>
      <w:r>
        <w:rPr>
          <w:rStyle w:val="CharSectno"/>
        </w:rPr>
        <w:t>97XB</w:t>
      </w:r>
      <w:r>
        <w:t>.</w:t>
      </w:r>
      <w:r>
        <w:tab/>
        <w:t>Appeal against refusal of approval</w:t>
      </w:r>
      <w:bookmarkEnd w:id="1366"/>
      <w:bookmarkEnd w:id="1367"/>
      <w:bookmarkEnd w:id="1368"/>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spacing w:before="100"/>
        <w:ind w:left="890" w:hanging="890"/>
      </w:pPr>
      <w:r>
        <w:tab/>
        <w:t>[Section 97XB inserted by No. 20 of 2002 s. 4.]</w:t>
      </w:r>
    </w:p>
    <w:p>
      <w:pPr>
        <w:pStyle w:val="Heading5"/>
      </w:pPr>
      <w:bookmarkStart w:id="1369" w:name="_Toc471912230"/>
      <w:bookmarkStart w:id="1370" w:name="_Toc391894969"/>
      <w:bookmarkStart w:id="1371" w:name="_Toc468179441"/>
      <w:r>
        <w:rPr>
          <w:rStyle w:val="CharSectno"/>
        </w:rPr>
        <w:t>97XC</w:t>
      </w:r>
      <w:r>
        <w:t>.</w:t>
      </w:r>
      <w:r>
        <w:tab/>
        <w:t>Determination of appeal</w:t>
      </w:r>
      <w:bookmarkEnd w:id="1369"/>
      <w:bookmarkEnd w:id="1370"/>
      <w:bookmarkEnd w:id="1371"/>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On the determination of an appeal the Commission may —</w:t>
      </w:r>
    </w:p>
    <w:p>
      <w:pPr>
        <w:pStyle w:val="Indenta"/>
        <w:spacing w:before="60"/>
      </w:pPr>
      <w:r>
        <w:tab/>
        <w:t>(a)</w:t>
      </w:r>
      <w:r>
        <w:tab/>
        <w:t>confirm the refusal to make an order; or</w:t>
      </w:r>
    </w:p>
    <w:p>
      <w:pPr>
        <w:pStyle w:val="Indenta"/>
        <w:spacing w:before="60"/>
      </w:pPr>
      <w:r>
        <w:tab/>
        <w:t>(b)</w:t>
      </w:r>
      <w:r>
        <w:tab/>
        <w:t>quash the Registrar’s determination and make an order approving the proposed representative; or</w:t>
      </w:r>
    </w:p>
    <w:p>
      <w:pPr>
        <w:pStyle w:val="Indenta"/>
        <w:spacing w:before="60"/>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spacing w:before="100"/>
        <w:ind w:left="890" w:hanging="890"/>
      </w:pPr>
      <w:r>
        <w:tab/>
        <w:t>[Section 97XC inserted by No. 20 of 2002 s. 4.]</w:t>
      </w:r>
    </w:p>
    <w:p>
      <w:pPr>
        <w:pStyle w:val="Heading4"/>
      </w:pPr>
      <w:bookmarkStart w:id="1372" w:name="_Toc471912231"/>
      <w:bookmarkStart w:id="1373" w:name="_Toc391894970"/>
      <w:bookmarkStart w:id="1374" w:name="_Toc419713555"/>
      <w:bookmarkStart w:id="1375" w:name="_Toc435103199"/>
      <w:bookmarkStart w:id="1376" w:name="_Toc452556629"/>
      <w:bookmarkStart w:id="1377" w:name="_Toc455414209"/>
      <w:bookmarkStart w:id="1378" w:name="_Toc462415639"/>
      <w:bookmarkStart w:id="1379" w:name="_Toc462742550"/>
      <w:bookmarkStart w:id="1380" w:name="_Toc465086204"/>
      <w:bookmarkStart w:id="1381" w:name="_Toc468179442"/>
      <w:r>
        <w:t>Subdivision 3 — Functions of representative</w:t>
      </w:r>
      <w:bookmarkEnd w:id="1372"/>
      <w:bookmarkEnd w:id="1373"/>
      <w:bookmarkEnd w:id="1374"/>
      <w:bookmarkEnd w:id="1375"/>
      <w:bookmarkEnd w:id="1376"/>
      <w:bookmarkEnd w:id="1377"/>
      <w:bookmarkEnd w:id="1378"/>
      <w:bookmarkEnd w:id="1379"/>
      <w:bookmarkEnd w:id="1380"/>
      <w:bookmarkEnd w:id="1381"/>
    </w:p>
    <w:p>
      <w:pPr>
        <w:pStyle w:val="Footnoteheading"/>
        <w:keepNext/>
        <w:tabs>
          <w:tab w:val="left" w:pos="851"/>
        </w:tabs>
        <w:spacing w:before="100"/>
      </w:pPr>
      <w:r>
        <w:tab/>
        <w:t>[Heading inserted by No. 20 of 2002 s. 4.]</w:t>
      </w:r>
    </w:p>
    <w:p>
      <w:pPr>
        <w:pStyle w:val="Heading5"/>
      </w:pPr>
      <w:bookmarkStart w:id="1382" w:name="_Toc471912232"/>
      <w:bookmarkStart w:id="1383" w:name="_Toc391894971"/>
      <w:bookmarkStart w:id="1384" w:name="_Toc468179443"/>
      <w:r>
        <w:rPr>
          <w:rStyle w:val="CharSectno"/>
        </w:rPr>
        <w:t>97XD</w:t>
      </w:r>
      <w:r>
        <w:t>.</w:t>
      </w:r>
      <w:r>
        <w:tab/>
        <w:t>Functions</w:t>
      </w:r>
      <w:bookmarkEnd w:id="1382"/>
      <w:bookmarkEnd w:id="1383"/>
      <w:bookmarkEnd w:id="1384"/>
    </w:p>
    <w:p>
      <w:pPr>
        <w:pStyle w:val="Subsection"/>
      </w:pPr>
      <w:r>
        <w:tab/>
        <w:t>(1)</w:t>
      </w:r>
      <w:r>
        <w:tab/>
        <w:t>In addition to his or her functions under section 97UD, a representative —</w:t>
      </w:r>
    </w:p>
    <w:p>
      <w:pPr>
        <w:pStyle w:val="Indenta"/>
        <w:spacing w:before="60"/>
      </w:pPr>
      <w:r>
        <w:tab/>
        <w:t>(a)</w:t>
      </w:r>
      <w:r>
        <w:tab/>
        <w:t>may act on behalf of the represented person in relation to the operation and enforcement of an EEA; and</w:t>
      </w:r>
    </w:p>
    <w:p>
      <w:pPr>
        <w:pStyle w:val="Indenta"/>
        <w:spacing w:before="60"/>
      </w:pPr>
      <w:r>
        <w:tab/>
        <w:t>(b)</w:t>
      </w:r>
      <w:r>
        <w:tab/>
        <w:t>in particular, may perform any function described in subsection (2) on behalf of the represented person.</w:t>
      </w:r>
    </w:p>
    <w:p>
      <w:pPr>
        <w:pStyle w:val="Subsection"/>
      </w:pPr>
      <w:r>
        <w:tab/>
        <w:t>(2)</w:t>
      </w:r>
      <w:r>
        <w:tab/>
        <w:t>The functions referred to in subsection (1)(b) are —</w:t>
      </w:r>
    </w:p>
    <w:p>
      <w:pPr>
        <w:pStyle w:val="Indenta"/>
      </w:pPr>
      <w:r>
        <w:tab/>
        <w:t>(a)</w:t>
      </w:r>
      <w:r>
        <w:tab/>
        <w:t>to make a request under section 97UH; and</w:t>
      </w:r>
    </w:p>
    <w:p>
      <w:pPr>
        <w:pStyle w:val="Indenta"/>
      </w:pPr>
      <w:r>
        <w:tab/>
        <w:t>(b)</w:t>
      </w:r>
      <w:r>
        <w:tab/>
        <w:t>to appoint, or terminate the appointment of, a bargaining agent under section 97UJ; and</w:t>
      </w:r>
    </w:p>
    <w:p>
      <w:pPr>
        <w:pStyle w:val="Indenta"/>
      </w:pPr>
      <w:r>
        <w:tab/>
        <w:t>(c)</w:t>
      </w:r>
      <w:r>
        <w:tab/>
        <w:t>to make a cancellation agreement; and</w:t>
      </w:r>
    </w:p>
    <w:p>
      <w:pPr>
        <w:pStyle w:val="Indenta"/>
      </w:pPr>
      <w:r>
        <w:tab/>
        <w:t>(d)</w:t>
      </w:r>
      <w:r>
        <w:tab/>
        <w:t>to make and lodge a revised EEA under section 97VE(1) or 97VO(1); and</w:t>
      </w:r>
    </w:p>
    <w:p>
      <w:pPr>
        <w:pStyle w:val="Indenta"/>
      </w:pPr>
      <w:r>
        <w:tab/>
        <w:t>(e)</w:t>
      </w:r>
      <w:r>
        <w:tab/>
        <w:t>to recover any amount referred to in section 97V or 97VJ; and</w:t>
      </w:r>
    </w:p>
    <w:p>
      <w:pPr>
        <w:pStyle w:val="Indenta"/>
      </w:pPr>
      <w:r>
        <w:tab/>
        <w:t>(f)</w:t>
      </w:r>
      <w:r>
        <w:tab/>
        <w:t>to bring an appeal under section 97VM; and</w:t>
      </w:r>
    </w:p>
    <w:p>
      <w:pPr>
        <w:pStyle w:val="Indenta"/>
      </w:pPr>
      <w:r>
        <w:tab/>
        <w:t>(g)</w:t>
      </w:r>
      <w:r>
        <w:tab/>
        <w:t>to make an application referred to in section 97WE(3); and</w:t>
      </w:r>
    </w:p>
    <w:p>
      <w:pPr>
        <w:pStyle w:val="Indenta"/>
      </w:pPr>
      <w:r>
        <w:tab/>
        <w:t>(h)</w:t>
      </w:r>
      <w:r>
        <w:tab/>
        <w:t>to give a written authority for the purposes of section 97WF(1)(d); and</w:t>
      </w:r>
    </w:p>
    <w:p>
      <w:pPr>
        <w:pStyle w:val="Indenta"/>
      </w:pPr>
      <w:r>
        <w:tab/>
        <w:t>(i)</w:t>
      </w:r>
      <w:r>
        <w:tab/>
        <w:t>to act on behalf of the represented person for the purpose of carrying out any EEA dispute provision; and</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1385" w:name="_Toc471912233"/>
      <w:bookmarkStart w:id="1386" w:name="_Toc391894972"/>
      <w:bookmarkStart w:id="1387" w:name="_Toc468179444"/>
      <w:r>
        <w:rPr>
          <w:rStyle w:val="CharSectno"/>
        </w:rPr>
        <w:t>97XE</w:t>
      </w:r>
      <w:r>
        <w:t>.</w:t>
      </w:r>
      <w:r>
        <w:tab/>
        <w:t>Effect of acts of representative</w:t>
      </w:r>
      <w:bookmarkEnd w:id="1385"/>
      <w:bookmarkEnd w:id="1386"/>
      <w:bookmarkEnd w:id="1387"/>
    </w:p>
    <w:p>
      <w:pPr>
        <w:pStyle w:val="Subsection"/>
      </w:pPr>
      <w:r>
        <w:tab/>
      </w:r>
      <w:r>
        <w:tab/>
        <w:t>The performance of a function referred to in section 97XD by a representative has effect as if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1388" w:name="_Toc471912234"/>
      <w:bookmarkStart w:id="1389" w:name="_Toc391894973"/>
      <w:bookmarkStart w:id="1390" w:name="_Toc468179445"/>
      <w:r>
        <w:rPr>
          <w:rStyle w:val="CharSectno"/>
        </w:rPr>
        <w:t>97XF</w:t>
      </w:r>
      <w:r>
        <w:t>.</w:t>
      </w:r>
      <w:r>
        <w:tab/>
        <w:t>Duties of representative</w:t>
      </w:r>
      <w:bookmarkEnd w:id="1388"/>
      <w:bookmarkEnd w:id="1389"/>
      <w:bookmarkEnd w:id="1390"/>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Without limiting subsection (1), a representative acts in the best interests of the represented person if he or she acts as far as possible —</w:t>
      </w:r>
    </w:p>
    <w:p>
      <w:pPr>
        <w:pStyle w:val="Indenta"/>
        <w:spacing w:before="70"/>
      </w:pPr>
      <w:r>
        <w:tab/>
        <w:t>(a)</w:t>
      </w:r>
      <w:r>
        <w:tab/>
        <w:t>as an advocate of the represented person in relation to any EEA; and</w:t>
      </w:r>
    </w:p>
    <w:p>
      <w:pPr>
        <w:pStyle w:val="Indenta"/>
        <w:spacing w:before="70"/>
      </w:pPr>
      <w:r>
        <w:tab/>
        <w:t>(b)</w:t>
      </w:r>
      <w:r>
        <w:tab/>
        <w:t>in such a way as to encourage the represented person to become capable of making reasonable decisions on matters pertaining to an employer</w:t>
      </w:r>
      <w:r>
        <w:noBreakHyphen/>
        <w:t>employee relationship; and</w:t>
      </w:r>
    </w:p>
    <w:p>
      <w:pPr>
        <w:pStyle w:val="Indenta"/>
        <w:spacing w:before="70"/>
      </w:pPr>
      <w:r>
        <w:tab/>
        <w:t>(c)</w:t>
      </w:r>
      <w:r>
        <w:tab/>
        <w:t>in such a way as to protect the represented person from abuse or exploitation in employment; and</w:t>
      </w:r>
    </w:p>
    <w:p>
      <w:pPr>
        <w:pStyle w:val="Indenta"/>
        <w:spacing w:before="70"/>
      </w:pPr>
      <w:r>
        <w:tab/>
        <w:t>(d)</w:t>
      </w:r>
      <w:r>
        <w:tab/>
        <w:t>in consultation with, and taking into account the wishes of, the represented person.</w:t>
      </w:r>
    </w:p>
    <w:p>
      <w:pPr>
        <w:pStyle w:val="Subsection"/>
      </w:pPr>
      <w:r>
        <w:tab/>
        <w:t>(3)</w:t>
      </w:r>
      <w:r>
        <w:tab/>
        <w:t>A failure of a representative to observe the duty mentioned in subsection (1) does not give rise to any liability on the part of the representative, but this does not affect the operation of —</w:t>
      </w:r>
    </w:p>
    <w:p>
      <w:pPr>
        <w:pStyle w:val="Indenta"/>
        <w:spacing w:before="60"/>
      </w:pPr>
      <w:r>
        <w:tab/>
        <w:t>(a)</w:t>
      </w:r>
      <w:r>
        <w:tab/>
        <w:t>Subdivision 4; or</w:t>
      </w:r>
    </w:p>
    <w:p>
      <w:pPr>
        <w:pStyle w:val="Indenta"/>
        <w:spacing w:before="60"/>
      </w:pPr>
      <w:r>
        <w:tab/>
        <w:t>(b)</w:t>
      </w:r>
      <w:r>
        <w:tab/>
        <w:t>any other written law.</w:t>
      </w:r>
    </w:p>
    <w:p>
      <w:pPr>
        <w:pStyle w:val="Footnotesection"/>
      </w:pPr>
      <w:r>
        <w:tab/>
        <w:t>[Section 97XF inserted by No. 20 of 2002 s. 4.]</w:t>
      </w:r>
    </w:p>
    <w:p>
      <w:pPr>
        <w:pStyle w:val="Heading4"/>
      </w:pPr>
      <w:bookmarkStart w:id="1391" w:name="_Toc471912235"/>
      <w:bookmarkStart w:id="1392" w:name="_Toc391894974"/>
      <w:bookmarkStart w:id="1393" w:name="_Toc419713559"/>
      <w:bookmarkStart w:id="1394" w:name="_Toc435103203"/>
      <w:bookmarkStart w:id="1395" w:name="_Toc452556633"/>
      <w:bookmarkStart w:id="1396" w:name="_Toc455414213"/>
      <w:bookmarkStart w:id="1397" w:name="_Toc462415643"/>
      <w:bookmarkStart w:id="1398" w:name="_Toc462742554"/>
      <w:bookmarkStart w:id="1399" w:name="_Toc465086208"/>
      <w:bookmarkStart w:id="1400" w:name="_Toc468179446"/>
      <w:r>
        <w:t>Subdivision 4 — Termination of representative’s authority to act</w:t>
      </w:r>
      <w:bookmarkEnd w:id="1391"/>
      <w:bookmarkEnd w:id="1392"/>
      <w:bookmarkEnd w:id="1393"/>
      <w:bookmarkEnd w:id="1394"/>
      <w:bookmarkEnd w:id="1395"/>
      <w:bookmarkEnd w:id="1396"/>
      <w:bookmarkEnd w:id="1397"/>
      <w:bookmarkEnd w:id="1398"/>
      <w:bookmarkEnd w:id="1399"/>
      <w:bookmarkEnd w:id="1400"/>
    </w:p>
    <w:p>
      <w:pPr>
        <w:pStyle w:val="Footnoteheading"/>
        <w:tabs>
          <w:tab w:val="left" w:pos="851"/>
        </w:tabs>
      </w:pPr>
      <w:r>
        <w:tab/>
        <w:t>[Heading inserted by No. 20 of 2002 s. 4.]</w:t>
      </w:r>
    </w:p>
    <w:p>
      <w:pPr>
        <w:pStyle w:val="Heading5"/>
      </w:pPr>
      <w:bookmarkStart w:id="1401" w:name="_Toc471912236"/>
      <w:bookmarkStart w:id="1402" w:name="_Toc391894975"/>
      <w:bookmarkStart w:id="1403" w:name="_Toc468179447"/>
      <w:r>
        <w:rPr>
          <w:rStyle w:val="CharSectno"/>
        </w:rPr>
        <w:t>97XG</w:t>
      </w:r>
      <w:r>
        <w:t>.</w:t>
      </w:r>
      <w:r>
        <w:tab/>
        <w:t>Duration of order approving representative</w:t>
      </w:r>
      <w:bookmarkEnd w:id="1401"/>
      <w:bookmarkEnd w:id="1402"/>
      <w:bookmarkEnd w:id="1403"/>
    </w:p>
    <w:p>
      <w:pPr>
        <w:pStyle w:val="Subsection"/>
      </w:pPr>
      <w:r>
        <w:tab/>
      </w:r>
      <w:r>
        <w:tab/>
        <w:t>An order under section 97WZ(1) or 97XN(1) remains in force until —</w:t>
      </w:r>
    </w:p>
    <w:p>
      <w:pPr>
        <w:pStyle w:val="Indenta"/>
        <w:spacing w:before="70"/>
      </w:pPr>
      <w:r>
        <w:tab/>
        <w:t>(a)</w:t>
      </w:r>
      <w:r>
        <w:tab/>
        <w:t>the representative resigns in accordance with section 97XH; or</w:t>
      </w:r>
    </w:p>
    <w:p>
      <w:pPr>
        <w:pStyle w:val="Indenta"/>
        <w:spacing w:before="70"/>
      </w:pPr>
      <w:r>
        <w:tab/>
        <w:t>(b)</w:t>
      </w:r>
      <w:r>
        <w:tab/>
        <w:t>the order is revoked —</w:t>
      </w:r>
    </w:p>
    <w:p>
      <w:pPr>
        <w:pStyle w:val="Indenti"/>
        <w:spacing w:before="70"/>
      </w:pPr>
      <w:r>
        <w:tab/>
        <w:t>(i)</w:t>
      </w:r>
      <w:r>
        <w:tab/>
        <w:t>by operation of section 97WS(2); or</w:t>
      </w:r>
    </w:p>
    <w:p>
      <w:pPr>
        <w:pStyle w:val="Indenti"/>
        <w:spacing w:before="70"/>
      </w:pPr>
      <w:r>
        <w:tab/>
        <w:t>(ii)</w:t>
      </w:r>
      <w:r>
        <w:tab/>
        <w:t xml:space="preserve">by an order (a </w:t>
      </w:r>
      <w:r>
        <w:rPr>
          <w:rStyle w:val="CharDefText"/>
        </w:rPr>
        <w:t>revocation order</w:t>
      </w:r>
      <w:r>
        <w:t>) made under section 97XK.</w:t>
      </w:r>
    </w:p>
    <w:p>
      <w:pPr>
        <w:pStyle w:val="Footnotesection"/>
      </w:pPr>
      <w:r>
        <w:tab/>
        <w:t>[Section 97XG inserted by No. 20 of 2002 s. 4.]</w:t>
      </w:r>
    </w:p>
    <w:p>
      <w:pPr>
        <w:pStyle w:val="Heading5"/>
      </w:pPr>
      <w:bookmarkStart w:id="1404" w:name="_Toc471912237"/>
      <w:bookmarkStart w:id="1405" w:name="_Toc391894976"/>
      <w:bookmarkStart w:id="1406" w:name="_Toc468179448"/>
      <w:r>
        <w:rPr>
          <w:rStyle w:val="CharSectno"/>
        </w:rPr>
        <w:t>97XH</w:t>
      </w:r>
      <w:r>
        <w:t>.</w:t>
      </w:r>
      <w:r>
        <w:tab/>
        <w:t>Resignation of representative</w:t>
      </w:r>
      <w:bookmarkEnd w:id="1404"/>
      <w:bookmarkEnd w:id="1405"/>
      <w:bookmarkEnd w:id="1406"/>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The resignation has effect —</w:t>
      </w:r>
    </w:p>
    <w:p>
      <w:pPr>
        <w:pStyle w:val="Indenta"/>
        <w:spacing w:before="60"/>
      </w:pPr>
      <w:r>
        <w:tab/>
        <w:t>(a)</w:t>
      </w:r>
      <w:r>
        <w:tab/>
        <w:t>on the day on which notice in writing of the approval is given to the representative by the Registrar; or</w:t>
      </w:r>
    </w:p>
    <w:p>
      <w:pPr>
        <w:pStyle w:val="Indenta"/>
        <w:spacing w:before="60"/>
      </w:pPr>
      <w:r>
        <w:tab/>
        <w:t>(b)</w:t>
      </w:r>
      <w:r>
        <w:tab/>
        <w:t>on a later day specified by the Registrar in that notice.</w:t>
      </w:r>
    </w:p>
    <w:p>
      <w:pPr>
        <w:pStyle w:val="Footnotesection"/>
        <w:spacing w:before="100"/>
        <w:ind w:left="890" w:hanging="890"/>
      </w:pPr>
      <w:r>
        <w:tab/>
        <w:t>[Section 97XH inserted by No. 20 of 2002 s. 4.]</w:t>
      </w:r>
    </w:p>
    <w:p>
      <w:pPr>
        <w:pStyle w:val="Heading5"/>
      </w:pPr>
      <w:bookmarkStart w:id="1407" w:name="_Toc471912238"/>
      <w:bookmarkStart w:id="1408" w:name="_Toc391894977"/>
      <w:bookmarkStart w:id="1409" w:name="_Toc468179449"/>
      <w:r>
        <w:rPr>
          <w:rStyle w:val="CharSectno"/>
        </w:rPr>
        <w:t>97XI</w:t>
      </w:r>
      <w:r>
        <w:t>.</w:t>
      </w:r>
      <w:r>
        <w:tab/>
        <w:t>Revocation order, application to SAT for</w:t>
      </w:r>
      <w:bookmarkEnd w:id="1407"/>
      <w:bookmarkEnd w:id="1408"/>
      <w:bookmarkEnd w:id="1409"/>
    </w:p>
    <w:p>
      <w:pPr>
        <w:pStyle w:val="Subsection"/>
      </w:pPr>
      <w:r>
        <w:tab/>
        <w:t>(1)</w:t>
      </w:r>
      <w:r>
        <w:tab/>
        <w:t xml:space="preserve">An application may be made to the State Administrative Tribunal for an order (a </w:t>
      </w:r>
      <w:r>
        <w:rPr>
          <w:rStyle w:val="CharDefText"/>
        </w:rPr>
        <w:t>revocation order</w:t>
      </w:r>
      <w:r>
        <w:t>) revoking an order under section 97WZ(1) or 97XN(1).</w:t>
      </w:r>
    </w:p>
    <w:p>
      <w:pPr>
        <w:pStyle w:val="Subsection"/>
        <w:keepNext/>
      </w:pPr>
      <w:r>
        <w:tab/>
        <w:t>(2)</w:t>
      </w:r>
      <w:r>
        <w:tab/>
        <w:t>The application may be made by —</w:t>
      </w:r>
    </w:p>
    <w:p>
      <w:pPr>
        <w:pStyle w:val="Indenta"/>
        <w:spacing w:before="60"/>
      </w:pPr>
      <w:r>
        <w:tab/>
        <w:t>(a)</w:t>
      </w:r>
      <w:r>
        <w:tab/>
        <w:t>the represented person or a person acting on his or her behalf; or</w:t>
      </w:r>
    </w:p>
    <w:p>
      <w:pPr>
        <w:pStyle w:val="Indenta"/>
        <w:spacing w:before="60"/>
      </w:pPr>
      <w:r>
        <w:tab/>
        <w:t>(b)</w:t>
      </w:r>
      <w:r>
        <w:tab/>
        <w:t>any other person who satisfies the State Administrative Tribunal that he or she has a sufficient interest in the application.</w:t>
      </w:r>
    </w:p>
    <w:p>
      <w:pPr>
        <w:pStyle w:val="Subsection"/>
      </w:pPr>
      <w:r>
        <w:tab/>
        <w:t>(3)</w:t>
      </w:r>
      <w:r>
        <w:tab/>
        <w:t>The application may only be made on one or more of the following grounds —</w:t>
      </w:r>
    </w:p>
    <w:p>
      <w:pPr>
        <w:pStyle w:val="Indenta"/>
        <w:spacing w:before="60"/>
      </w:pPr>
      <w:r>
        <w:tab/>
        <w:t>(a)</w:t>
      </w:r>
      <w:r>
        <w:tab/>
        <w:t>that the represented person is no longer a person to whom section 97WV(1)(b) applies;</w:t>
      </w:r>
    </w:p>
    <w:p>
      <w:pPr>
        <w:pStyle w:val="Indenta"/>
        <w:spacing w:before="60"/>
      </w:pPr>
      <w:r>
        <w:tab/>
        <w:t>(b)</w:t>
      </w:r>
      <w:r>
        <w:tab/>
        <w:t>that the representative has failed to act in the best interests of the represented person;</w:t>
      </w:r>
    </w:p>
    <w:p>
      <w:pPr>
        <w:pStyle w:val="Indenta"/>
        <w:spacing w:before="60"/>
      </w:pPr>
      <w:r>
        <w:tab/>
        <w:t>(c)</w:t>
      </w:r>
      <w:r>
        <w:tab/>
        <w:t>that it is for some other reason no longer in the interests of the represented person for the representative to act on his or her behalf.</w:t>
      </w:r>
    </w:p>
    <w:p>
      <w:pPr>
        <w:pStyle w:val="Footnotesection"/>
        <w:spacing w:before="100"/>
        <w:ind w:left="890" w:hanging="890"/>
      </w:pPr>
      <w:r>
        <w:tab/>
        <w:t>[Section 97XI inserted by No. 20 of 2002 s. 4; amended by No. 55 of 2004 s. 469(5) and (10).]</w:t>
      </w:r>
    </w:p>
    <w:p>
      <w:pPr>
        <w:pStyle w:val="Heading5"/>
      </w:pPr>
      <w:bookmarkStart w:id="1410" w:name="_Toc471912239"/>
      <w:bookmarkStart w:id="1411" w:name="_Toc391894978"/>
      <w:bookmarkStart w:id="1412" w:name="_Toc468179450"/>
      <w:r>
        <w:rPr>
          <w:rStyle w:val="CharSectno"/>
        </w:rPr>
        <w:t>97XJ</w:t>
      </w:r>
      <w:r>
        <w:t>.</w:t>
      </w:r>
      <w:r>
        <w:tab/>
        <w:t>Right to be heard on s. 97XI application</w:t>
      </w:r>
      <w:bookmarkEnd w:id="1410"/>
      <w:bookmarkEnd w:id="1411"/>
      <w:bookmarkEnd w:id="1412"/>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1413" w:name="_Toc471912240"/>
      <w:bookmarkStart w:id="1414" w:name="_Toc391894979"/>
      <w:bookmarkStart w:id="1415" w:name="_Toc468179451"/>
      <w:r>
        <w:rPr>
          <w:rStyle w:val="CharSectno"/>
        </w:rPr>
        <w:t>97XK</w:t>
      </w:r>
      <w:r>
        <w:t>.</w:t>
      </w:r>
      <w:r>
        <w:tab/>
        <w:t>SAT may make revocation order</w:t>
      </w:r>
      <w:bookmarkEnd w:id="1413"/>
      <w:bookmarkEnd w:id="1414"/>
      <w:bookmarkEnd w:id="1415"/>
    </w:p>
    <w:p>
      <w:pPr>
        <w:pStyle w:val="Subsection"/>
      </w:pPr>
      <w:r>
        <w:tab/>
        <w:t>(1)</w:t>
      </w:r>
      <w:r>
        <w:tab/>
        <w:t>Where an application is made to it under section 97XI, the State Administrative Tribunal must make a revocation order if it is satisfied that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An order under subsection (1) or (2) takes effect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1416" w:name="_Toc471912241"/>
      <w:bookmarkStart w:id="1417" w:name="_Toc391894980"/>
      <w:bookmarkStart w:id="1418" w:name="_Toc468179452"/>
      <w:r>
        <w:rPr>
          <w:rStyle w:val="CharSectno"/>
        </w:rPr>
        <w:t>97XL</w:t>
      </w:r>
      <w:r>
        <w:t>.</w:t>
      </w:r>
      <w:r>
        <w:tab/>
      </w:r>
      <w:r>
        <w:rPr>
          <w:i/>
        </w:rPr>
        <w:t>Guardianship and Administration Act 1990</w:t>
      </w:r>
      <w:r>
        <w:t>, application of for s. 97XK</w:t>
      </w:r>
      <w:bookmarkEnd w:id="1416"/>
      <w:bookmarkEnd w:id="1417"/>
      <w:bookmarkEnd w:id="1418"/>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1419" w:name="_Toc471912242"/>
      <w:bookmarkStart w:id="1420" w:name="_Toc391894981"/>
      <w:bookmarkStart w:id="1421" w:name="_Toc419713566"/>
      <w:bookmarkStart w:id="1422" w:name="_Toc435103210"/>
      <w:bookmarkStart w:id="1423" w:name="_Toc452556640"/>
      <w:bookmarkStart w:id="1424" w:name="_Toc455414220"/>
      <w:bookmarkStart w:id="1425" w:name="_Toc462415650"/>
      <w:bookmarkStart w:id="1426" w:name="_Toc462742561"/>
      <w:bookmarkStart w:id="1427" w:name="_Toc465086215"/>
      <w:bookmarkStart w:id="1428" w:name="_Toc468179453"/>
      <w:r>
        <w:t>Subdivision 5 — Approval of new representative</w:t>
      </w:r>
      <w:bookmarkEnd w:id="1419"/>
      <w:bookmarkEnd w:id="1420"/>
      <w:bookmarkEnd w:id="1421"/>
      <w:bookmarkEnd w:id="1422"/>
      <w:bookmarkEnd w:id="1423"/>
      <w:bookmarkEnd w:id="1424"/>
      <w:bookmarkEnd w:id="1425"/>
      <w:bookmarkEnd w:id="1426"/>
      <w:bookmarkEnd w:id="1427"/>
      <w:bookmarkEnd w:id="1428"/>
    </w:p>
    <w:p>
      <w:pPr>
        <w:pStyle w:val="Footnoteheading"/>
        <w:tabs>
          <w:tab w:val="left" w:pos="851"/>
        </w:tabs>
      </w:pPr>
      <w:r>
        <w:tab/>
        <w:t>[Heading inserted by No. 20 of 2002 s. 4.]</w:t>
      </w:r>
    </w:p>
    <w:p>
      <w:pPr>
        <w:pStyle w:val="Heading5"/>
      </w:pPr>
      <w:bookmarkStart w:id="1429" w:name="_Toc471912243"/>
      <w:bookmarkStart w:id="1430" w:name="_Toc391894982"/>
      <w:bookmarkStart w:id="1431" w:name="_Toc468179454"/>
      <w:r>
        <w:rPr>
          <w:rStyle w:val="CharSectno"/>
        </w:rPr>
        <w:t>97XM</w:t>
      </w:r>
      <w:r>
        <w:t>.</w:t>
      </w:r>
      <w:r>
        <w:tab/>
        <w:t>Application for new approval where representative dies or approval is revoked</w:t>
      </w:r>
      <w:bookmarkEnd w:id="1429"/>
      <w:bookmarkEnd w:id="1430"/>
      <w:bookmarkEnd w:id="1431"/>
    </w:p>
    <w:p>
      <w:pPr>
        <w:pStyle w:val="Subsection"/>
      </w:pPr>
      <w:r>
        <w:tab/>
        <w:t>(1)</w:t>
      </w:r>
      <w:r>
        <w:tab/>
        <w:t>This section applies where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spacing w:before="180"/>
      </w:pPr>
      <w:r>
        <w:tab/>
        <w:t>(3)</w:t>
      </w:r>
      <w:r>
        <w:tab/>
        <w:t xml:space="preserve">The person sought to be approved (the </w:t>
      </w:r>
      <w:r>
        <w:rPr>
          <w:rStyle w:val="CharDefText"/>
        </w:rPr>
        <w:t>proposed representative</w:t>
      </w:r>
      <w:r>
        <w:t>)</w:t>
      </w:r>
      <w:r>
        <w:rPr>
          <w:b/>
        </w:rPr>
        <w:t xml:space="preserve"> </w:t>
      </w:r>
      <w:r>
        <w:t>must be one who satisfies the requirements of section 97WY.</w:t>
      </w:r>
    </w:p>
    <w:p>
      <w:pPr>
        <w:pStyle w:val="Subsection"/>
        <w:spacing w:before="180"/>
      </w:pPr>
      <w:r>
        <w:tab/>
        <w:t>(4)</w:t>
      </w:r>
      <w:r>
        <w:tab/>
        <w:t>The application must be made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pPr>
      <w:bookmarkStart w:id="1432" w:name="_Toc471912244"/>
      <w:bookmarkStart w:id="1433" w:name="_Toc391894983"/>
      <w:bookmarkStart w:id="1434" w:name="_Toc468179455"/>
      <w:r>
        <w:rPr>
          <w:rStyle w:val="CharSectno"/>
        </w:rPr>
        <w:t>97XN</w:t>
      </w:r>
      <w:r>
        <w:t>.</w:t>
      </w:r>
      <w:r>
        <w:tab/>
        <w:t>Approval of representative</w:t>
      </w:r>
      <w:bookmarkEnd w:id="1432"/>
      <w:bookmarkEnd w:id="1433"/>
      <w:bookmarkEnd w:id="1434"/>
    </w:p>
    <w:p>
      <w:pPr>
        <w:pStyle w:val="Subsection"/>
        <w:spacing w:before="180"/>
      </w:pPr>
      <w:r>
        <w:tab/>
        <w:t>(1)</w:t>
      </w:r>
      <w:r>
        <w:tab/>
        <w:t>Where an application is made under section 97XM, the Registrar must make an order approving the proposed representative if he or she is satisfied that —</w:t>
      </w:r>
    </w:p>
    <w:p>
      <w:pPr>
        <w:pStyle w:val="Indenta"/>
      </w:pPr>
      <w:r>
        <w:tab/>
        <w:t>(a)</w:t>
      </w:r>
      <w:r>
        <w:tab/>
        <w:t>the circumstances mentioned in subsection (1)(a) or (b) of that section apply; and</w:t>
      </w:r>
    </w:p>
    <w:p>
      <w:pPr>
        <w:pStyle w:val="Indenta"/>
      </w:pPr>
      <w:r>
        <w:tab/>
        <w:t>(b)</w:t>
      </w:r>
      <w:r>
        <w:tab/>
        <w:t>the application is not one that is prohibited by section 97WS(1); and</w:t>
      </w:r>
    </w:p>
    <w:p>
      <w:pPr>
        <w:pStyle w:val="Indenta"/>
      </w:pPr>
      <w:r>
        <w:tab/>
        <w:t>(c)</w:t>
      </w:r>
      <w:r>
        <w:tab/>
        <w:t>section 97XM(4) has been complied with; and</w:t>
      </w:r>
    </w:p>
    <w:p>
      <w:pPr>
        <w:pStyle w:val="Indenta"/>
      </w:pPr>
      <w:r>
        <w:tab/>
        <w:t>(d)</w:t>
      </w:r>
      <w:r>
        <w:tab/>
        <w:t>the proposed representative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The Registrar must give notice in writing of an order within 7 days after it is made to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1435" w:name="_Toc471912245"/>
      <w:bookmarkStart w:id="1436" w:name="_Toc391894984"/>
      <w:bookmarkStart w:id="1437" w:name="_Toc468179456"/>
      <w:r>
        <w:rPr>
          <w:rStyle w:val="CharSectno"/>
        </w:rPr>
        <w:t>97XO</w:t>
      </w:r>
      <w:r>
        <w:t>.</w:t>
      </w:r>
      <w:r>
        <w:tab/>
        <w:t>Effect of s. 97XN order</w:t>
      </w:r>
      <w:bookmarkEnd w:id="1435"/>
      <w:bookmarkEnd w:id="1436"/>
      <w:bookmarkEnd w:id="1437"/>
    </w:p>
    <w:p>
      <w:pPr>
        <w:pStyle w:val="Subsection"/>
      </w:pPr>
      <w:r>
        <w:tab/>
      </w:r>
      <w:r>
        <w:tab/>
        <w:t xml:space="preserve">An order under section 97XN authorises the person approved by the order (the </w:t>
      </w:r>
      <w:r>
        <w:rPr>
          <w:rStyle w:val="CharDefText"/>
        </w:rPr>
        <w:t>representative</w:t>
      </w:r>
      <w:r>
        <w:t xml:space="preserve">), so long as the order remains in force, to act on behalf of the person with a mental disability (the </w:t>
      </w:r>
      <w:r>
        <w:rPr>
          <w:rStyle w:val="CharDefText"/>
        </w:rPr>
        <w:t>represented person</w:t>
      </w:r>
      <w:r>
        <w:t>) in relation to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1438" w:name="_Toc471912246"/>
      <w:bookmarkStart w:id="1439" w:name="_Toc391894985"/>
      <w:bookmarkStart w:id="1440" w:name="_Toc468179457"/>
      <w:r>
        <w:rPr>
          <w:rStyle w:val="CharSectno"/>
        </w:rPr>
        <w:t>97XP</w:t>
      </w:r>
      <w:r>
        <w:t>.</w:t>
      </w:r>
      <w:r>
        <w:tab/>
        <w:t>Refusal of approval</w:t>
      </w:r>
      <w:bookmarkEnd w:id="1438"/>
      <w:bookmarkEnd w:id="1439"/>
      <w:bookmarkEnd w:id="1440"/>
    </w:p>
    <w:p>
      <w:pPr>
        <w:pStyle w:val="Subsection"/>
        <w:keepNext/>
        <w:keepLines/>
      </w:pPr>
      <w:r>
        <w:tab/>
      </w:r>
      <w:r>
        <w:tab/>
        <w:t>If the Registrar is not satisfied as mentioned in section 97XN(1) he or she must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1441" w:name="_Toc471912247"/>
      <w:bookmarkStart w:id="1442" w:name="_Toc391894986"/>
      <w:bookmarkStart w:id="1443" w:name="_Toc468179458"/>
      <w:r>
        <w:rPr>
          <w:rStyle w:val="CharSectno"/>
        </w:rPr>
        <w:t>97XQ</w:t>
      </w:r>
      <w:r>
        <w:t>.</w:t>
      </w:r>
      <w:r>
        <w:tab/>
        <w:t>Appeal against refusal of approval</w:t>
      </w:r>
      <w:bookmarkEnd w:id="1441"/>
      <w:bookmarkEnd w:id="1442"/>
      <w:bookmarkEnd w:id="1443"/>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1444" w:name="_Toc471912248"/>
      <w:bookmarkStart w:id="1445" w:name="_Toc391894987"/>
      <w:bookmarkStart w:id="1446" w:name="_Toc419713572"/>
      <w:bookmarkStart w:id="1447" w:name="_Toc435103216"/>
      <w:bookmarkStart w:id="1448" w:name="_Toc452556646"/>
      <w:bookmarkStart w:id="1449" w:name="_Toc455414226"/>
      <w:bookmarkStart w:id="1450" w:name="_Toc462415656"/>
      <w:bookmarkStart w:id="1451" w:name="_Toc462742567"/>
      <w:bookmarkStart w:id="1452" w:name="_Toc465086221"/>
      <w:bookmarkStart w:id="1453" w:name="_Toc468179459"/>
      <w:r>
        <w:t>Subdivision 6 — Miscellaneous</w:t>
      </w:r>
      <w:bookmarkEnd w:id="1444"/>
      <w:bookmarkEnd w:id="1445"/>
      <w:bookmarkEnd w:id="1446"/>
      <w:bookmarkEnd w:id="1447"/>
      <w:bookmarkEnd w:id="1448"/>
      <w:bookmarkEnd w:id="1449"/>
      <w:bookmarkEnd w:id="1450"/>
      <w:bookmarkEnd w:id="1451"/>
      <w:bookmarkEnd w:id="1452"/>
      <w:bookmarkEnd w:id="1453"/>
    </w:p>
    <w:p>
      <w:pPr>
        <w:pStyle w:val="Footnoteheading"/>
        <w:keepNext/>
        <w:tabs>
          <w:tab w:val="left" w:pos="851"/>
        </w:tabs>
      </w:pPr>
      <w:r>
        <w:tab/>
        <w:t>[Heading inserted by No. 20 of 2002 s. 4.]</w:t>
      </w:r>
    </w:p>
    <w:p>
      <w:pPr>
        <w:pStyle w:val="Heading5"/>
      </w:pPr>
      <w:bookmarkStart w:id="1454" w:name="_Toc471912249"/>
      <w:bookmarkStart w:id="1455" w:name="_Toc391894988"/>
      <w:bookmarkStart w:id="1456" w:name="_Toc468179460"/>
      <w:r>
        <w:rPr>
          <w:rStyle w:val="CharSectno"/>
        </w:rPr>
        <w:t>97XR</w:t>
      </w:r>
      <w:r>
        <w:t>.</w:t>
      </w:r>
      <w:r>
        <w:tab/>
        <w:t>Registrar’s powers for s. 97WV and 97XM</w:t>
      </w:r>
      <w:bookmarkEnd w:id="1454"/>
      <w:bookmarkEnd w:id="1455"/>
      <w:bookmarkEnd w:id="1456"/>
    </w:p>
    <w:p>
      <w:pPr>
        <w:pStyle w:val="Subsection"/>
      </w:pPr>
      <w:r>
        <w:tab/>
      </w:r>
      <w:r>
        <w:tab/>
        <w:t>For the purpose of determining an application under section 97WV or 97XM, the Registrar may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1457" w:name="_Toc471912250"/>
      <w:bookmarkStart w:id="1458" w:name="_Toc391894989"/>
      <w:bookmarkStart w:id="1459" w:name="_Toc468179461"/>
      <w:r>
        <w:rPr>
          <w:rStyle w:val="CharSectno"/>
        </w:rPr>
        <w:t>97XS</w:t>
      </w:r>
      <w:r>
        <w:t>.</w:t>
      </w:r>
      <w:r>
        <w:tab/>
        <w:t>EEA not affected by revocation of order or vacancy in position of representative</w:t>
      </w:r>
      <w:bookmarkEnd w:id="1457"/>
      <w:bookmarkEnd w:id="1458"/>
      <w:bookmarkEnd w:id="1459"/>
    </w:p>
    <w:p>
      <w:pPr>
        <w:pStyle w:val="Subsection"/>
      </w:pPr>
      <w:r>
        <w:tab/>
      </w:r>
      <w:r>
        <w:tab/>
        <w:t>An EEA to which a represented person is a party is not affected by —</w:t>
      </w:r>
    </w:p>
    <w:p>
      <w:pPr>
        <w:pStyle w:val="Indenta"/>
      </w:pPr>
      <w:r>
        <w:tab/>
        <w:t>(a)</w:t>
      </w:r>
      <w:r>
        <w:tab/>
        <w:t>the operation of section 97WS(2); or</w:t>
      </w:r>
    </w:p>
    <w:p>
      <w:pPr>
        <w:pStyle w:val="Indenta"/>
      </w:pPr>
      <w:r>
        <w:tab/>
        <w:t>(b)</w:t>
      </w:r>
      <w:r>
        <w:tab/>
        <w:t>the fact that the position of representative is vacant because of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1460" w:name="_Toc471912251"/>
      <w:bookmarkStart w:id="1461" w:name="_Toc391894990"/>
      <w:bookmarkStart w:id="1462" w:name="_Toc468179462"/>
      <w:r>
        <w:rPr>
          <w:rStyle w:val="CharSectno"/>
        </w:rPr>
        <w:t>97XT</w:t>
      </w:r>
      <w:r>
        <w:t>.</w:t>
      </w:r>
      <w:r>
        <w:tab/>
        <w:t>Register of s. 97WZ and 97XN orders</w:t>
      </w:r>
      <w:bookmarkEnd w:id="1460"/>
      <w:bookmarkEnd w:id="1461"/>
      <w:bookmarkEnd w:id="1462"/>
    </w:p>
    <w:p>
      <w:pPr>
        <w:pStyle w:val="Subsection"/>
      </w:pPr>
      <w:r>
        <w:tab/>
        <w:t>(1)</w:t>
      </w:r>
      <w:r>
        <w:tab/>
        <w:t>The Registrar must keep a register for the purposes of this Division.</w:t>
      </w:r>
    </w:p>
    <w:p>
      <w:pPr>
        <w:pStyle w:val="Subsection"/>
      </w:pPr>
      <w:r>
        <w:tab/>
        <w:t>(2)</w:t>
      </w:r>
      <w:r>
        <w:tab/>
        <w:t>The register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1463" w:name="_Toc471912252"/>
      <w:bookmarkStart w:id="1464" w:name="_Toc391894991"/>
      <w:bookmarkStart w:id="1465" w:name="_Toc468179463"/>
      <w:r>
        <w:rPr>
          <w:rStyle w:val="CharSectno"/>
        </w:rPr>
        <w:t>97XU</w:t>
      </w:r>
      <w:r>
        <w:t>.</w:t>
      </w:r>
      <w:r>
        <w:tab/>
        <w:t>Certified copies of registered entry</w:t>
      </w:r>
      <w:bookmarkEnd w:id="1463"/>
      <w:bookmarkEnd w:id="1464"/>
      <w:bookmarkEnd w:id="1465"/>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A document that purports to be a certified copy of an entry in the register issued by the Registrar or a deputy registrar is to be taken to be such a copy unless the contrary is proved.</w:t>
      </w:r>
    </w:p>
    <w:p>
      <w:pPr>
        <w:pStyle w:val="Footnotesection"/>
      </w:pPr>
      <w:r>
        <w:tab/>
        <w:t>[Section 97XU inserted by No. 20 of 2002 s. 4.]</w:t>
      </w:r>
    </w:p>
    <w:p>
      <w:pPr>
        <w:pStyle w:val="Heading5"/>
      </w:pPr>
      <w:bookmarkStart w:id="1466" w:name="_Toc471912253"/>
      <w:bookmarkStart w:id="1467" w:name="_Toc391894992"/>
      <w:bookmarkStart w:id="1468" w:name="_Toc468179464"/>
      <w:r>
        <w:rPr>
          <w:rStyle w:val="CharSectno"/>
        </w:rPr>
        <w:t>97XV</w:t>
      </w:r>
      <w:r>
        <w:t>.</w:t>
      </w:r>
      <w:r>
        <w:tab/>
        <w:t>Information obtained under this Division not to be disclosed</w:t>
      </w:r>
      <w:bookmarkEnd w:id="1466"/>
      <w:bookmarkEnd w:id="1467"/>
      <w:bookmarkEnd w:id="1468"/>
    </w:p>
    <w:p>
      <w:pPr>
        <w:pStyle w:val="Subsection"/>
      </w:pPr>
      <w:r>
        <w:tab/>
        <w:t>(1)</w:t>
      </w:r>
      <w:r>
        <w:tab/>
        <w:t>A person to whom this subsection applies must not, directly or indirectly, record, disclose or make use of information obtained in the course of performing functions under this Division except —</w:t>
      </w:r>
    </w:p>
    <w:p>
      <w:pPr>
        <w:pStyle w:val="Indenta"/>
      </w:pPr>
      <w:r>
        <w:tab/>
        <w:t>(a)</w:t>
      </w:r>
      <w:r>
        <w:tab/>
        <w:t>in the course of performing those functions; or</w:t>
      </w:r>
    </w:p>
    <w:p>
      <w:pPr>
        <w:pStyle w:val="Indenta"/>
        <w:rPr>
          <w:b/>
        </w:rPr>
      </w:pPr>
      <w:r>
        <w:tab/>
        <w:t>(b)</w:t>
      </w:r>
      <w:r>
        <w:tab/>
        <w:t>as required or allowed by this Act or any other written law; or</w:t>
      </w:r>
    </w:p>
    <w:p>
      <w:pPr>
        <w:pStyle w:val="Indenta"/>
      </w:pPr>
      <w:r>
        <w:rPr>
          <w:b/>
        </w:rPr>
        <w:tab/>
      </w:r>
      <w:r>
        <w:t>(c)</w:t>
      </w:r>
      <w:r>
        <w:tab/>
        <w:t>for the purpose of proceedings in a court; or</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Subsection (1) applies to a person who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1469" w:name="_Toc471912254"/>
      <w:bookmarkStart w:id="1470" w:name="_Toc391894993"/>
      <w:bookmarkStart w:id="1471" w:name="_Toc468179465"/>
      <w:r>
        <w:rPr>
          <w:rStyle w:val="CharSectno"/>
        </w:rPr>
        <w:t>97XW</w:t>
      </w:r>
      <w:r>
        <w:t>.</w:t>
      </w:r>
      <w:r>
        <w:tab/>
        <w:t>Procedure in proceedings under this Division</w:t>
      </w:r>
      <w:bookmarkEnd w:id="1469"/>
      <w:bookmarkEnd w:id="1470"/>
      <w:bookmarkEnd w:id="1471"/>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1472" w:name="_Toc471912255"/>
      <w:bookmarkStart w:id="1473" w:name="_Toc391894994"/>
      <w:bookmarkStart w:id="1474" w:name="_Toc419713579"/>
      <w:bookmarkStart w:id="1475" w:name="_Toc435103223"/>
      <w:bookmarkStart w:id="1476" w:name="_Toc452556653"/>
      <w:bookmarkStart w:id="1477" w:name="_Toc455414233"/>
      <w:bookmarkStart w:id="1478" w:name="_Toc462415663"/>
      <w:bookmarkStart w:id="1479" w:name="_Toc462742574"/>
      <w:bookmarkStart w:id="1480" w:name="_Toc465086228"/>
      <w:bookmarkStart w:id="1481" w:name="_Toc468179466"/>
      <w:r>
        <w:rPr>
          <w:rStyle w:val="CharDivNo"/>
        </w:rPr>
        <w:t>Division 10</w:t>
      </w:r>
      <w:r>
        <w:t> — </w:t>
      </w:r>
      <w:r>
        <w:rPr>
          <w:rStyle w:val="CharDivText"/>
        </w:rPr>
        <w:t>Certain conduct prohibited</w:t>
      </w:r>
      <w:bookmarkEnd w:id="1472"/>
      <w:bookmarkEnd w:id="1473"/>
      <w:bookmarkEnd w:id="1474"/>
      <w:bookmarkEnd w:id="1475"/>
      <w:bookmarkEnd w:id="1476"/>
      <w:bookmarkEnd w:id="1477"/>
      <w:bookmarkEnd w:id="1478"/>
      <w:bookmarkEnd w:id="1479"/>
      <w:bookmarkEnd w:id="1480"/>
      <w:bookmarkEnd w:id="1481"/>
    </w:p>
    <w:p>
      <w:pPr>
        <w:pStyle w:val="Footnoteheading"/>
        <w:tabs>
          <w:tab w:val="left" w:pos="851"/>
        </w:tabs>
      </w:pPr>
      <w:r>
        <w:tab/>
        <w:t>[Heading inserted by No. 20 of 2002 s. 4.]</w:t>
      </w:r>
    </w:p>
    <w:p>
      <w:pPr>
        <w:pStyle w:val="Heading5"/>
      </w:pPr>
      <w:bookmarkStart w:id="1482" w:name="_Toc471912256"/>
      <w:bookmarkStart w:id="1483" w:name="_Toc391894995"/>
      <w:bookmarkStart w:id="1484" w:name="_Toc468179467"/>
      <w:r>
        <w:rPr>
          <w:rStyle w:val="CharSectno"/>
        </w:rPr>
        <w:t>97XX</w:t>
      </w:r>
      <w:r>
        <w:t>.</w:t>
      </w:r>
      <w:r>
        <w:tab/>
        <w:t>Purpose of this Division</w:t>
      </w:r>
      <w:bookmarkEnd w:id="1482"/>
      <w:bookmarkEnd w:id="1483"/>
      <w:bookmarkEnd w:id="1484"/>
    </w:p>
    <w:p>
      <w:pPr>
        <w:pStyle w:val="Subsection"/>
      </w:pPr>
      <w:r>
        <w:tab/>
      </w:r>
      <w:r>
        <w:tab/>
        <w:t>The purpose of this Division is to ensure, as far as possible, that employees are given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1485" w:name="_Toc471912257"/>
      <w:bookmarkStart w:id="1486" w:name="_Toc391894996"/>
      <w:bookmarkStart w:id="1487" w:name="_Toc468179468"/>
      <w:r>
        <w:rPr>
          <w:rStyle w:val="CharSectno"/>
        </w:rPr>
        <w:t>97XY</w:t>
      </w:r>
      <w:r>
        <w:t>.</w:t>
      </w:r>
      <w:r>
        <w:tab/>
        <w:t>Enforcing prohibitions in this Division</w:t>
      </w:r>
      <w:bookmarkEnd w:id="1485"/>
      <w:bookmarkEnd w:id="1486"/>
      <w:bookmarkEnd w:id="1487"/>
    </w:p>
    <w:p>
      <w:pPr>
        <w:pStyle w:val="Subsection"/>
      </w:pPr>
      <w:r>
        <w:tab/>
      </w:r>
      <w:r>
        <w:tab/>
        <w:t>A contravention of section 97XZ, 97Y, 97YB, 97YD, 97YE or 97YF is not an offence but those sections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1488" w:name="_Toc471912258"/>
      <w:bookmarkStart w:id="1489" w:name="_Toc391894997"/>
      <w:bookmarkStart w:id="1490" w:name="_Toc468179469"/>
      <w:r>
        <w:rPr>
          <w:rStyle w:val="CharSectno"/>
        </w:rPr>
        <w:t>97XZ</w:t>
      </w:r>
      <w:r>
        <w:t>.</w:t>
      </w:r>
      <w:r>
        <w:tab/>
        <w:t>Making employment etc. conditional on EEA being entered into prohibited</w:t>
      </w:r>
      <w:bookmarkEnd w:id="1488"/>
      <w:bookmarkEnd w:id="1489"/>
      <w:bookmarkEnd w:id="1490"/>
    </w:p>
    <w:p>
      <w:pPr>
        <w:pStyle w:val="Subsection"/>
      </w:pPr>
      <w:r>
        <w:tab/>
        <w:t>(1)</w:t>
      </w:r>
      <w:r>
        <w:tab/>
        <w:t>Except as provided by section 97YA, a person must not —</w:t>
      </w:r>
    </w:p>
    <w:p>
      <w:pPr>
        <w:pStyle w:val="Indenta"/>
      </w:pPr>
      <w:r>
        <w:tab/>
        <w:t>(a)</w:t>
      </w:r>
      <w:r>
        <w:tab/>
        <w:t>offer a person —</w:t>
      </w:r>
    </w:p>
    <w:p>
      <w:pPr>
        <w:pStyle w:val="Indenti"/>
      </w:pPr>
      <w:r>
        <w:tab/>
        <w:t>(i)</w:t>
      </w:r>
      <w:r>
        <w:tab/>
        <w:t>employment; or</w:t>
      </w:r>
    </w:p>
    <w:p>
      <w:pPr>
        <w:pStyle w:val="Indenti"/>
      </w:pPr>
      <w:r>
        <w:tab/>
        <w:t>(ii)</w:t>
      </w:r>
      <w:r>
        <w:tab/>
        <w:t>a promotion or transfer in employment;</w:t>
      </w:r>
    </w:p>
    <w:p>
      <w:pPr>
        <w:pStyle w:val="Indenta"/>
      </w:pPr>
      <w:r>
        <w:tab/>
      </w:r>
      <w:r>
        <w:tab/>
        <w:t>or</w:t>
      </w:r>
    </w:p>
    <w:p>
      <w:pPr>
        <w:pStyle w:val="Indenta"/>
      </w:pPr>
      <w:r>
        <w:tab/>
        <w:t>(b)</w:t>
      </w:r>
      <w:r>
        <w:tab/>
        <w:t>intimate to a person that he or she will be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Except as provided by section 97YA, a person must not —</w:t>
      </w:r>
    </w:p>
    <w:p>
      <w:pPr>
        <w:pStyle w:val="Indenta"/>
        <w:spacing w:before="70"/>
      </w:pPr>
      <w:r>
        <w:tab/>
        <w:t>(a)</w:t>
      </w:r>
      <w:r>
        <w:tab/>
        <w:t>offer a represented person —</w:t>
      </w:r>
    </w:p>
    <w:p>
      <w:pPr>
        <w:pStyle w:val="Indenti"/>
        <w:spacing w:before="70"/>
      </w:pPr>
      <w:r>
        <w:tab/>
        <w:t>(i)</w:t>
      </w:r>
      <w:r>
        <w:tab/>
        <w:t>employment; or</w:t>
      </w:r>
    </w:p>
    <w:p>
      <w:pPr>
        <w:pStyle w:val="Indenti"/>
        <w:spacing w:before="70"/>
      </w:pPr>
      <w:r>
        <w:tab/>
        <w:t>(ii)</w:t>
      </w:r>
      <w:r>
        <w:tab/>
        <w:t>a promotion or transfer in employment;</w:t>
      </w:r>
    </w:p>
    <w:p>
      <w:pPr>
        <w:pStyle w:val="Indenta"/>
        <w:spacing w:before="70"/>
      </w:pPr>
      <w:r>
        <w:tab/>
      </w:r>
      <w:r>
        <w:tab/>
        <w:t>or</w:t>
      </w:r>
    </w:p>
    <w:p>
      <w:pPr>
        <w:pStyle w:val="Indenta"/>
        <w:spacing w:before="70"/>
      </w:pPr>
      <w:r>
        <w:tab/>
        <w:t>(b)</w:t>
      </w:r>
      <w:r>
        <w:tab/>
        <w:t>intimate to the representative of a represented person that the represented person will be —</w:t>
      </w:r>
    </w:p>
    <w:p>
      <w:pPr>
        <w:pStyle w:val="Indenti"/>
        <w:spacing w:before="70"/>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1491" w:name="_Toc471912259"/>
      <w:bookmarkStart w:id="1492" w:name="_Toc391894998"/>
      <w:bookmarkStart w:id="1493" w:name="_Toc468179470"/>
      <w:r>
        <w:rPr>
          <w:rStyle w:val="CharSectno"/>
        </w:rPr>
        <w:t>97Y</w:t>
      </w:r>
      <w:r>
        <w:t>.</w:t>
      </w:r>
      <w:r>
        <w:tab/>
        <w:t>Certain advertising prohibited</w:t>
      </w:r>
      <w:bookmarkEnd w:id="1491"/>
      <w:bookmarkEnd w:id="1492"/>
      <w:bookmarkEnd w:id="1493"/>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1494" w:name="_Toc471912260"/>
      <w:bookmarkStart w:id="1495" w:name="_Toc391894999"/>
      <w:bookmarkStart w:id="1496" w:name="_Toc468179471"/>
      <w:r>
        <w:rPr>
          <w:rStyle w:val="CharSectno"/>
        </w:rPr>
        <w:t>97YA</w:t>
      </w:r>
      <w:r>
        <w:t>.</w:t>
      </w:r>
      <w:r>
        <w:tab/>
        <w:t>Exception to s. 97XZ and 97YB</w:t>
      </w:r>
      <w:bookmarkEnd w:id="1494"/>
      <w:bookmarkEnd w:id="1495"/>
      <w:bookmarkEnd w:id="1496"/>
    </w:p>
    <w:p>
      <w:pPr>
        <w:pStyle w:val="Subsection"/>
      </w:pPr>
      <w:r>
        <w:tab/>
        <w:t>(1)</w:t>
      </w:r>
      <w:r>
        <w:tab/>
        <w:t>Section 97XZ(1) or (2) or 97YB does not apply to an offer of employment made, or an intimation of employment given, that would otherwise come within that provision if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Ednotesubsection"/>
      </w:pPr>
      <w:r>
        <w:tab/>
        <w:t>[(3)</w:t>
      </w:r>
      <w:r>
        <w:tab/>
        <w:t>deleted]</w:t>
      </w:r>
    </w:p>
    <w:p>
      <w:pPr>
        <w:pStyle w:val="Footnotesection"/>
      </w:pPr>
      <w:r>
        <w:tab/>
        <w:t>[Section 97YA inserted by No. 20 of 2002 s. 4; amended by No. 50 of 2016 s. 11.]</w:t>
      </w:r>
    </w:p>
    <w:p>
      <w:pPr>
        <w:pStyle w:val="Heading5"/>
      </w:pPr>
      <w:bookmarkStart w:id="1497" w:name="_Toc471912261"/>
      <w:bookmarkStart w:id="1498" w:name="_Toc391895000"/>
      <w:bookmarkStart w:id="1499" w:name="_Toc468179472"/>
      <w:r>
        <w:rPr>
          <w:rStyle w:val="CharSectno"/>
        </w:rPr>
        <w:t>97YB</w:t>
      </w:r>
      <w:r>
        <w:t>.</w:t>
      </w:r>
      <w:r>
        <w:tab/>
        <w:t>Employer offering EEA to also offer other employment arrangements</w:t>
      </w:r>
      <w:bookmarkEnd w:id="1497"/>
      <w:bookmarkEnd w:id="1498"/>
      <w:bookmarkEnd w:id="1499"/>
    </w:p>
    <w:p>
      <w:pPr>
        <w:pStyle w:val="Subsection"/>
      </w:pPr>
      <w:r>
        <w:tab/>
        <w:t>(1)</w:t>
      </w:r>
      <w:r>
        <w:tab/>
        <w:t>This section applies where —</w:t>
      </w:r>
    </w:p>
    <w:p>
      <w:pPr>
        <w:pStyle w:val="Indenta"/>
      </w:pPr>
      <w:r>
        <w:tab/>
        <w:t>(a)</w:t>
      </w:r>
      <w:r>
        <w:tab/>
        <w:t>a person offers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Where this section applies the person must also offer the employee the choice of the employment or continued employment being —</w:t>
      </w:r>
    </w:p>
    <w:p>
      <w:pPr>
        <w:pStyle w:val="Indenta"/>
      </w:pPr>
      <w:r>
        <w:tab/>
        <w:t>(a)</w:t>
      </w:r>
      <w:r>
        <w:tab/>
        <w:t>under any relevant award or enterprise order; or</w:t>
      </w:r>
    </w:p>
    <w:p>
      <w:pPr>
        <w:pStyle w:val="Indenta"/>
      </w:pPr>
      <w:r>
        <w:tab/>
        <w:t>(b)</w:t>
      </w:r>
      <w:r>
        <w:tab/>
        <w:t>if there is no such award or enterprise order, under a contract of employment containing the same provisions as those of the proposed EEA other than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1500" w:name="_Toc471912262"/>
      <w:bookmarkStart w:id="1501" w:name="_Toc391895001"/>
      <w:bookmarkStart w:id="1502" w:name="_Toc468179473"/>
      <w:r>
        <w:rPr>
          <w:rStyle w:val="CharSectno"/>
        </w:rPr>
        <w:t>97YC</w:t>
      </w:r>
      <w:r>
        <w:t>.</w:t>
      </w:r>
      <w:r>
        <w:tab/>
        <w:t>Order for compliance with s. 97YB</w:t>
      </w:r>
      <w:bookmarkEnd w:id="1500"/>
      <w:bookmarkEnd w:id="1501"/>
      <w:bookmarkEnd w:id="1502"/>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1503" w:name="_Toc471912263"/>
      <w:bookmarkStart w:id="1504" w:name="_Toc391895002"/>
      <w:bookmarkStart w:id="1505" w:name="_Toc468179474"/>
      <w:r>
        <w:rPr>
          <w:rStyle w:val="CharSectno"/>
        </w:rPr>
        <w:t>97YD</w:t>
      </w:r>
      <w:r>
        <w:t>.</w:t>
      </w:r>
      <w:r>
        <w:tab/>
        <w:t>Threats and intimidation as to EEA prohibited</w:t>
      </w:r>
      <w:bookmarkEnd w:id="1503"/>
      <w:bookmarkEnd w:id="1504"/>
      <w:bookmarkEnd w:id="1505"/>
    </w:p>
    <w:p>
      <w:pPr>
        <w:pStyle w:val="Subsection"/>
        <w:spacing w:before="120"/>
      </w:pPr>
      <w:r>
        <w:tab/>
        <w:t>(1)</w:t>
      </w:r>
      <w:r>
        <w:tab/>
        <w:t>A person must not by threats or intimidation persuade or attempt to persuade another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A person must not intimidate an employee, or threaten injury or harm to the person or property of an employee, because the employee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A person must not intimidate a representative, or threaten injury or harm to the person or property of a representative, because the represented person is or is not a party 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1506" w:name="_Toc471912264"/>
      <w:bookmarkStart w:id="1507" w:name="_Toc391895003"/>
      <w:bookmarkStart w:id="1508" w:name="_Toc468179475"/>
      <w:r>
        <w:rPr>
          <w:rStyle w:val="CharSectno"/>
        </w:rPr>
        <w:t>97YE</w:t>
      </w:r>
      <w:r>
        <w:t>.</w:t>
      </w:r>
      <w:r>
        <w:tab/>
        <w:t>Misinformation prohibited</w:t>
      </w:r>
      <w:bookmarkEnd w:id="1506"/>
      <w:bookmarkEnd w:id="1507"/>
      <w:bookmarkEnd w:id="1508"/>
    </w:p>
    <w:p>
      <w:pPr>
        <w:pStyle w:val="Subsection"/>
        <w:keepNext/>
      </w:pPr>
      <w:r>
        <w:tab/>
      </w:r>
      <w:r>
        <w:tab/>
        <w:t>A person must not make or give to another person any misleading statement or information with intent to persuade that other person to enter into, or not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1509" w:name="_Toc471912265"/>
      <w:bookmarkStart w:id="1510" w:name="_Toc391895004"/>
      <w:bookmarkStart w:id="1511" w:name="_Toc468179476"/>
      <w:r>
        <w:rPr>
          <w:rStyle w:val="CharSectno"/>
        </w:rPr>
        <w:t>97YF</w:t>
      </w:r>
      <w:r>
        <w:t>.</w:t>
      </w:r>
      <w:r>
        <w:tab/>
        <w:t>Dismissal etc. because of refusal to make or cancel EEA prohibited</w:t>
      </w:r>
      <w:bookmarkEnd w:id="1509"/>
      <w:bookmarkEnd w:id="1510"/>
      <w:bookmarkEnd w:id="1511"/>
    </w:p>
    <w:p>
      <w:pPr>
        <w:pStyle w:val="Subsection"/>
      </w:pPr>
      <w:r>
        <w:tab/>
      </w:r>
      <w:r>
        <w:tab/>
        <w:t>An employer must not —</w:t>
      </w:r>
    </w:p>
    <w:p>
      <w:pPr>
        <w:pStyle w:val="Indenta"/>
      </w:pPr>
      <w:r>
        <w:tab/>
        <w:t>(a)</w:t>
      </w:r>
      <w:r>
        <w:tab/>
        <w:t>dismiss an employee; or</w:t>
      </w:r>
    </w:p>
    <w:p>
      <w:pPr>
        <w:pStyle w:val="Indenta"/>
      </w:pPr>
      <w:r>
        <w:tab/>
        <w:t>(b)</w:t>
      </w:r>
      <w:r>
        <w:tab/>
        <w:t>alter an employee’s position to his or her disadvantage; or</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for the reason, or for reasons that include the reason, that the employee, or where applicable the representative of a represented person, has refused to enter into —</w:t>
      </w:r>
    </w:p>
    <w:p>
      <w:pPr>
        <w:pStyle w:val="Indenta"/>
      </w:pPr>
      <w:r>
        <w:tab/>
        <w:t>(e)</w:t>
      </w:r>
      <w:r>
        <w:tab/>
        <w:t>an EEA; or</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1512" w:name="_Toc471912266"/>
      <w:bookmarkStart w:id="1513" w:name="_Toc391895005"/>
      <w:bookmarkStart w:id="1514" w:name="_Toc468179477"/>
      <w:r>
        <w:rPr>
          <w:rStyle w:val="CharSectno"/>
        </w:rPr>
        <w:t>97YG</w:t>
      </w:r>
      <w:r>
        <w:t>.</w:t>
      </w:r>
      <w:r>
        <w:tab/>
        <w:t>Breach of s. 97YF, court orders that may be made for</w:t>
      </w:r>
      <w:bookmarkEnd w:id="1512"/>
      <w:bookmarkEnd w:id="1513"/>
      <w:bookmarkEnd w:id="1514"/>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The court may order the employer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The court does not have jurisdiction under subsection (2) to order that there be paid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pPr>
      <w:r>
        <w:tab/>
        <w:t>(6)</w:t>
      </w:r>
      <w:r>
        <w:tab/>
        <w:t>For the purposes of subsection (5)(a) the court may calculate the amount on the basis of an average rate received during any relevant period of employment.</w:t>
      </w:r>
    </w:p>
    <w:p>
      <w:pPr>
        <w:pStyle w:val="Subsection"/>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pPr>
      <w:bookmarkStart w:id="1515" w:name="_Toc471912267"/>
      <w:bookmarkStart w:id="1516" w:name="_Toc391895006"/>
      <w:bookmarkStart w:id="1517" w:name="_Toc468179478"/>
      <w:r>
        <w:rPr>
          <w:rStyle w:val="CharSectno"/>
        </w:rPr>
        <w:t>97YH</w:t>
      </w:r>
      <w:r>
        <w:t>.</w:t>
      </w:r>
      <w:r>
        <w:tab/>
        <w:t>Burden of proof in s. 97YF proceedings</w:t>
      </w:r>
      <w:bookmarkEnd w:id="1515"/>
      <w:bookmarkEnd w:id="1516"/>
      <w:bookmarkEnd w:id="1517"/>
    </w:p>
    <w:p>
      <w:pPr>
        <w:pStyle w:val="Subsection"/>
      </w:pPr>
      <w:r>
        <w:tab/>
      </w:r>
      <w:r>
        <w:tab/>
        <w:t>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w:t>
      </w:r>
    </w:p>
    <w:p>
      <w:pPr>
        <w:pStyle w:val="Indenta"/>
      </w:pPr>
      <w:r>
        <w:tab/>
        <w:t>(a)</w:t>
      </w:r>
      <w:r>
        <w:tab/>
        <w:t>an EEA; or</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1518" w:name="_Toc471912268"/>
      <w:bookmarkStart w:id="1519" w:name="_Toc391895007"/>
      <w:bookmarkStart w:id="1520" w:name="_Toc419713592"/>
      <w:bookmarkStart w:id="1521" w:name="_Toc435103236"/>
      <w:bookmarkStart w:id="1522" w:name="_Toc452556666"/>
      <w:bookmarkStart w:id="1523" w:name="_Toc455414246"/>
      <w:bookmarkStart w:id="1524" w:name="_Toc462415676"/>
      <w:bookmarkStart w:id="1525" w:name="_Toc462742587"/>
      <w:bookmarkStart w:id="1526" w:name="_Toc465086241"/>
      <w:bookmarkStart w:id="1527" w:name="_Toc468179479"/>
      <w:r>
        <w:rPr>
          <w:rStyle w:val="CharDivNo"/>
        </w:rPr>
        <w:t>Division 11</w:t>
      </w:r>
      <w:r>
        <w:t> — </w:t>
      </w:r>
      <w:r>
        <w:rPr>
          <w:rStyle w:val="CharDivText"/>
        </w:rPr>
        <w:t>General</w:t>
      </w:r>
      <w:bookmarkEnd w:id="1518"/>
      <w:bookmarkEnd w:id="1519"/>
      <w:bookmarkEnd w:id="1520"/>
      <w:bookmarkEnd w:id="1521"/>
      <w:bookmarkEnd w:id="1522"/>
      <w:bookmarkEnd w:id="1523"/>
      <w:bookmarkEnd w:id="1524"/>
      <w:bookmarkEnd w:id="1525"/>
      <w:bookmarkEnd w:id="1526"/>
      <w:bookmarkEnd w:id="1527"/>
    </w:p>
    <w:p>
      <w:pPr>
        <w:pStyle w:val="Footnoteheading"/>
        <w:keepNext/>
        <w:tabs>
          <w:tab w:val="left" w:pos="851"/>
        </w:tabs>
      </w:pPr>
      <w:r>
        <w:tab/>
        <w:t>[Heading inserted by No. 20 of 2002 s. 4.]</w:t>
      </w:r>
    </w:p>
    <w:p>
      <w:pPr>
        <w:pStyle w:val="Heading5"/>
      </w:pPr>
      <w:bookmarkStart w:id="1528" w:name="_Toc471912269"/>
      <w:bookmarkStart w:id="1529" w:name="_Toc391895008"/>
      <w:bookmarkStart w:id="1530" w:name="_Toc468179480"/>
      <w:r>
        <w:rPr>
          <w:rStyle w:val="CharSectno"/>
        </w:rPr>
        <w:t>97YI</w:t>
      </w:r>
      <w:r>
        <w:t>.</w:t>
      </w:r>
      <w:r>
        <w:tab/>
        <w:t>Review of Div. 5, 6 and 7</w:t>
      </w:r>
      <w:bookmarkEnd w:id="1528"/>
      <w:bookmarkEnd w:id="1529"/>
      <w:bookmarkEnd w:id="1530"/>
    </w:p>
    <w:p>
      <w:pPr>
        <w:pStyle w:val="Subsection"/>
      </w:pPr>
      <w:r>
        <w:tab/>
        <w:t>(1)</w:t>
      </w:r>
      <w:r>
        <w:tab/>
        <w:t>The Commission in Court Session, as required by subsection (2), is to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A review is to be carried out at such times as the Minister may in writing request.</w:t>
      </w:r>
    </w:p>
    <w:p>
      <w:pPr>
        <w:pStyle w:val="Footnotesection"/>
      </w:pPr>
      <w:r>
        <w:tab/>
        <w:t>[Section 97YI inserted by No. 20 of 2002 s. 4; amended by No. 50 of 2016 s. 17.]</w:t>
      </w:r>
    </w:p>
    <w:p>
      <w:pPr>
        <w:pStyle w:val="Heading5"/>
      </w:pPr>
      <w:bookmarkStart w:id="1531" w:name="_Toc471912270"/>
      <w:bookmarkStart w:id="1532" w:name="_Toc391895009"/>
      <w:bookmarkStart w:id="1533" w:name="_Toc468179481"/>
      <w:r>
        <w:rPr>
          <w:rStyle w:val="CharSectno"/>
        </w:rPr>
        <w:t>97YJ</w:t>
      </w:r>
      <w:r>
        <w:t>.</w:t>
      </w:r>
      <w:r>
        <w:tab/>
        <w:t>Regulations</w:t>
      </w:r>
      <w:bookmarkEnd w:id="1531"/>
      <w:bookmarkEnd w:id="1532"/>
      <w:bookmarkEnd w:id="1533"/>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1534" w:name="_Toc471912271"/>
      <w:bookmarkStart w:id="1535" w:name="_Toc391895010"/>
      <w:bookmarkStart w:id="1536" w:name="_Toc419713595"/>
      <w:bookmarkStart w:id="1537" w:name="_Toc435103239"/>
      <w:bookmarkStart w:id="1538" w:name="_Toc452556669"/>
      <w:bookmarkStart w:id="1539" w:name="_Toc455414249"/>
      <w:bookmarkStart w:id="1540" w:name="_Toc462415679"/>
      <w:bookmarkStart w:id="1541" w:name="_Toc462742590"/>
      <w:bookmarkStart w:id="1542" w:name="_Toc465086244"/>
      <w:bookmarkStart w:id="1543" w:name="_Toc468179482"/>
      <w:r>
        <w:rPr>
          <w:rStyle w:val="CharPartNo"/>
        </w:rPr>
        <w:t>Part VII</w:t>
      </w:r>
      <w:r>
        <w:rPr>
          <w:rStyle w:val="CharDivNo"/>
        </w:rPr>
        <w:t> </w:t>
      </w:r>
      <w:r>
        <w:t>—</w:t>
      </w:r>
      <w:r>
        <w:rPr>
          <w:rStyle w:val="CharDivText"/>
        </w:rPr>
        <w:t> </w:t>
      </w:r>
      <w:r>
        <w:rPr>
          <w:rStyle w:val="CharPartText"/>
        </w:rPr>
        <w:t>Miscellaneous</w:t>
      </w:r>
      <w:bookmarkEnd w:id="1534"/>
      <w:bookmarkEnd w:id="1535"/>
      <w:bookmarkEnd w:id="1536"/>
      <w:bookmarkEnd w:id="1537"/>
      <w:bookmarkEnd w:id="1538"/>
      <w:bookmarkEnd w:id="1539"/>
      <w:bookmarkEnd w:id="1540"/>
      <w:bookmarkEnd w:id="1541"/>
      <w:bookmarkEnd w:id="1542"/>
      <w:bookmarkEnd w:id="1543"/>
    </w:p>
    <w:p>
      <w:pPr>
        <w:pStyle w:val="Heading5"/>
        <w:rPr>
          <w:snapToGrid w:val="0"/>
        </w:rPr>
      </w:pPr>
      <w:bookmarkStart w:id="1544" w:name="_Toc471912272"/>
      <w:bookmarkStart w:id="1545" w:name="_Toc391895011"/>
      <w:bookmarkStart w:id="1546" w:name="_Toc468179483"/>
      <w:r>
        <w:rPr>
          <w:rStyle w:val="CharSectno"/>
        </w:rPr>
        <w:t>98</w:t>
      </w:r>
      <w:r>
        <w:rPr>
          <w:snapToGrid w:val="0"/>
        </w:rPr>
        <w:t>.</w:t>
      </w:r>
      <w:r>
        <w:rPr>
          <w:snapToGrid w:val="0"/>
        </w:rPr>
        <w:tab/>
        <w:t>Industrial inspectors, designation and functions of etc.</w:t>
      </w:r>
      <w:bookmarkEnd w:id="1544"/>
      <w:bookmarkEnd w:id="1545"/>
      <w:bookmarkEnd w:id="1546"/>
    </w:p>
    <w:p>
      <w:pPr>
        <w:pStyle w:val="Subsection"/>
      </w:pPr>
      <w:r>
        <w:tab/>
        <w:t>(1)</w:t>
      </w:r>
      <w:r>
        <w:tab/>
        <w:t>The CEO may designate a departmental officer as an industrial inspector.</w:t>
      </w:r>
    </w:p>
    <w:p>
      <w:pPr>
        <w:pStyle w:val="Subsection"/>
      </w:pPr>
      <w:r>
        <w:tab/>
        <w:t>(2A)</w:t>
      </w:r>
      <w:r>
        <w:tab/>
        <w:t>There are to be as many industrial inspectors as are necessary to perform the functions conferred on industrial inspectors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 and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 and</w:t>
      </w:r>
    </w:p>
    <w:p>
      <w:pPr>
        <w:pStyle w:val="Indenta"/>
        <w:rPr>
          <w:snapToGrid w:val="0"/>
        </w:rPr>
      </w:pPr>
      <w:r>
        <w:rPr>
          <w:snapToGrid w:val="0"/>
        </w:rPr>
        <w:tab/>
        <w:t>(c)</w:t>
      </w:r>
      <w:r>
        <w:rPr>
          <w:snapToGrid w:val="0"/>
        </w:rPr>
        <w:tab/>
        <w:t>take with him into an industrial location any person he may require to provide assistance which he considers to be necessary; and</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 and</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 and</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 and</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w:t>
      </w:r>
    </w:p>
    <w:p>
      <w:pPr>
        <w:pStyle w:val="Defpara"/>
        <w:spacing w:before="60"/>
      </w:pPr>
      <w:r>
        <w:tab/>
        <w:t>(a)</w:t>
      </w:r>
      <w:r>
        <w:tab/>
        <w:t>an award; and</w:t>
      </w:r>
    </w:p>
    <w:p>
      <w:pPr>
        <w:pStyle w:val="Defpara"/>
        <w:spacing w:before="60"/>
      </w:pPr>
      <w:r>
        <w:tab/>
        <w:t>(b)</w:t>
      </w:r>
      <w:r>
        <w:tab/>
        <w:t>an industrial agreement; and</w:t>
      </w:r>
    </w:p>
    <w:p>
      <w:pPr>
        <w:pStyle w:val="Defpara"/>
        <w:spacing w:before="60"/>
      </w:pPr>
      <w:r>
        <w:tab/>
        <w:t>(c)</w:t>
      </w:r>
      <w:r>
        <w:tab/>
        <w:t>an order made by the Commission; and</w:t>
      </w:r>
    </w:p>
    <w:p>
      <w:pPr>
        <w:pStyle w:val="Defpara"/>
        <w:spacing w:before="60"/>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[Section 98 amended by No. 121 of 1982 s. 32; No. 32 of 1994 s. 14; No. 79 of 1995 s. 38; No. 20 of 2002 s. 147; No. 14 of 2005 s. 9; No. 53 of 2011 s. 45.]</w:t>
      </w:r>
    </w:p>
    <w:p>
      <w:pPr>
        <w:pStyle w:val="Heading5"/>
      </w:pPr>
      <w:bookmarkStart w:id="1547" w:name="_Toc471912273"/>
      <w:bookmarkStart w:id="1548" w:name="_Toc391895012"/>
      <w:bookmarkStart w:id="1549" w:name="_Toc468179484"/>
      <w:r>
        <w:rPr>
          <w:rStyle w:val="CharSectno"/>
        </w:rPr>
        <w:t>99A</w:t>
      </w:r>
      <w:r>
        <w:t>.</w:t>
      </w:r>
      <w:r>
        <w:tab/>
        <w:t xml:space="preserve">Identity cards for </w:t>
      </w:r>
      <w:smartTag w:uri="urn:schemas-microsoft-com:office:smarttags" w:element="State">
        <w:smartTag w:uri="urn:schemas-microsoft-com:office:smarttags" w:element="place">
          <w:r>
            <w:t>ind</w:t>
          </w:r>
        </w:smartTag>
      </w:smartTag>
      <w:r>
        <w:t>ustrial inspectors</w:t>
      </w:r>
      <w:bookmarkEnd w:id="1547"/>
      <w:bookmarkEnd w:id="1548"/>
      <w:bookmarkEnd w:id="1549"/>
    </w:p>
    <w:p>
      <w:pPr>
        <w:pStyle w:val="Subsection"/>
      </w:pPr>
      <w:r>
        <w:tab/>
        <w:t>(1)</w:t>
      </w:r>
      <w:r>
        <w:tab/>
        <w:t>Every industrial inspector is to be provided with an identity card signed by the CEO or a departmental officer authorised in that behalf by the CEO.</w:t>
      </w:r>
    </w:p>
    <w:p>
      <w:pPr>
        <w:pStyle w:val="Subsection"/>
      </w:pPr>
      <w:r>
        <w:tab/>
        <w:t>(2)</w:t>
      </w:r>
      <w:r>
        <w:tab/>
        <w:t>An identity card purporting to have been provided under subsection (1) is, without proof of the signature of the person purporting to have signed it or of the person’s authority to have signed it, evidence in a court —</w:t>
      </w:r>
    </w:p>
    <w:p>
      <w:pPr>
        <w:pStyle w:val="Indenta"/>
        <w:spacing w:before="60"/>
      </w:pPr>
      <w:r>
        <w:tab/>
        <w:t>(a)</w:t>
      </w:r>
      <w:r>
        <w:tab/>
        <w:t>of the appointment to which the identity card purports to relate; and</w:t>
      </w:r>
    </w:p>
    <w:p>
      <w:pPr>
        <w:pStyle w:val="Indenta"/>
        <w:spacing w:before="60"/>
      </w:pPr>
      <w:r>
        <w:tab/>
        <w:t>(b)</w:t>
      </w:r>
      <w:r>
        <w:tab/>
        <w:t>of any other matter specified on the identity card.</w:t>
      </w:r>
    </w:p>
    <w:p>
      <w:pPr>
        <w:pStyle w:val="Subsection"/>
      </w:pPr>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p>
    <w:p>
      <w:pPr>
        <w:pStyle w:val="Penstart"/>
      </w:pPr>
      <w:r>
        <w:tab/>
        <w:t>Penalty: a fine of $2 000.</w:t>
      </w:r>
    </w:p>
    <w:p>
      <w:pPr>
        <w:pStyle w:val="Footnotesection"/>
      </w:pPr>
      <w:r>
        <w:tab/>
        <w:t>[Section 99A inserted by No. 53 of 2011 s. 46.]</w:t>
      </w:r>
    </w:p>
    <w:p>
      <w:pPr>
        <w:pStyle w:val="Heading5"/>
      </w:pPr>
      <w:bookmarkStart w:id="1550" w:name="_Toc471912274"/>
      <w:bookmarkStart w:id="1551" w:name="_Toc391895013"/>
      <w:bookmarkStart w:id="1552" w:name="_Toc468179485"/>
      <w:r>
        <w:rPr>
          <w:rStyle w:val="CharSectno"/>
        </w:rPr>
        <w:t>99B</w:t>
      </w:r>
      <w:r>
        <w:t>.</w:t>
      </w:r>
      <w:r>
        <w:tab/>
        <w:t>Production of identity card</w:t>
      </w:r>
      <w:bookmarkEnd w:id="1550"/>
      <w:bookmarkEnd w:id="1551"/>
      <w:bookmarkEnd w:id="1552"/>
    </w:p>
    <w:p>
      <w:pPr>
        <w:pStyle w:val="Subsection"/>
      </w:pPr>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p>
    <w:p>
      <w:pPr>
        <w:pStyle w:val="Subsection"/>
      </w:pPr>
      <w:r>
        <w:tab/>
        <w:t>(2)</w:t>
      </w:r>
      <w:r>
        <w:tab/>
        <w:t>Subsection (1) only applies if the industrial inspector is in the physical presence of the person in respect of whom the power has been, or is about to be, exercised.</w:t>
      </w:r>
    </w:p>
    <w:p>
      <w:pPr>
        <w:pStyle w:val="Subsection"/>
      </w:pPr>
      <w:r>
        <w:tab/>
        <w:t>(3)</w:t>
      </w:r>
      <w:r>
        <w:tab/>
        <w:t>If for any reason it is not practicable to comply with subsection (1), the industrial inspector must produce the identity card for inspection by the person at the first reasonable opportunity.</w:t>
      </w:r>
    </w:p>
    <w:p>
      <w:pPr>
        <w:pStyle w:val="Footnotesection"/>
      </w:pPr>
      <w:r>
        <w:tab/>
        <w:t>[Section 99B inserted by No. 53 of 2011 s. 46.]</w:t>
      </w:r>
    </w:p>
    <w:p>
      <w:pPr>
        <w:pStyle w:val="Heading5"/>
      </w:pPr>
      <w:bookmarkStart w:id="1553" w:name="_Toc471912275"/>
      <w:bookmarkStart w:id="1554" w:name="_Toc391895014"/>
      <w:bookmarkStart w:id="1555" w:name="_Toc468179486"/>
      <w:r>
        <w:rPr>
          <w:rStyle w:val="CharSectno"/>
        </w:rPr>
        <w:t>99C</w:t>
      </w:r>
      <w:r>
        <w:t>.</w:t>
      </w:r>
      <w:r>
        <w:tab/>
        <w:t>Staff for Department</w:t>
      </w:r>
      <w:bookmarkEnd w:id="1553"/>
      <w:bookmarkEnd w:id="1554"/>
      <w:bookmarkEnd w:id="1555"/>
    </w:p>
    <w:p>
      <w:pPr>
        <w:pStyle w:val="Subsection"/>
      </w:pPr>
      <w:r>
        <w:tab/>
        <w:t>(1)</w:t>
      </w:r>
      <w:r>
        <w:tab/>
        <w:t>In this section —</w:t>
      </w:r>
    </w:p>
    <w:p>
      <w:pPr>
        <w:pStyle w:val="Defstart"/>
      </w:pPr>
      <w:r>
        <w:tab/>
      </w:r>
      <w:r>
        <w:rPr>
          <w:rStyle w:val="CharDefText"/>
        </w:rPr>
        <w:t>employed</w:t>
      </w:r>
      <w:r>
        <w:t xml:space="preserve"> in the Department or the Registrar’s Department includes seconded to perform functions or services for, or duties in the service of, that department.</w:t>
      </w:r>
    </w:p>
    <w:p>
      <w:pPr>
        <w:pStyle w:val="Subsection"/>
      </w:pPr>
      <w:r>
        <w:tab/>
        <w:t>(2)</w:t>
      </w:r>
      <w:r>
        <w:tab/>
        <w:t>As many public service officers are to be employed in the Department as are necessary for the purposes of this Act.</w:t>
      </w:r>
    </w:p>
    <w:p>
      <w:pPr>
        <w:pStyle w:val="Subsection"/>
      </w:pPr>
      <w:r>
        <w:tab/>
        <w:t>(3)</w:t>
      </w:r>
      <w:r>
        <w:tab/>
        <w:t>As many public service officers are to be employed in the Registrar’s Department as are necessary —</w:t>
      </w:r>
    </w:p>
    <w:p>
      <w:pPr>
        <w:pStyle w:val="Indenta"/>
      </w:pPr>
      <w:r>
        <w:tab/>
        <w:t>(a)</w:t>
      </w:r>
      <w:r>
        <w:tab/>
        <w:t>for the performance of the Court’s functions; and</w:t>
      </w:r>
    </w:p>
    <w:p>
      <w:pPr>
        <w:pStyle w:val="Indenta"/>
      </w:pPr>
      <w:r>
        <w:tab/>
        <w:t>(b)</w:t>
      </w:r>
      <w:r>
        <w:tab/>
        <w:t>for the performance of the Commission’s functions; and</w:t>
      </w:r>
    </w:p>
    <w:p>
      <w:pPr>
        <w:pStyle w:val="Indenta"/>
      </w:pPr>
      <w:r>
        <w:tab/>
        <w:t>(c)</w:t>
      </w:r>
      <w:r>
        <w:tab/>
        <w:t>otherwise for the purposes of this Act.</w:t>
      </w:r>
    </w:p>
    <w:p>
      <w:pPr>
        <w:pStyle w:val="Footnotesection"/>
      </w:pPr>
      <w:r>
        <w:tab/>
        <w:t>[Section 99C inserted by No. 53 of 2011 s. 46.]</w:t>
      </w:r>
    </w:p>
    <w:p>
      <w:pPr>
        <w:pStyle w:val="Heading5"/>
      </w:pPr>
      <w:bookmarkStart w:id="1556" w:name="_Toc471912276"/>
      <w:bookmarkStart w:id="1557" w:name="_Toc391895015"/>
      <w:bookmarkStart w:id="1558" w:name="_Toc468179487"/>
      <w:r>
        <w:rPr>
          <w:rStyle w:val="CharSectno"/>
        </w:rPr>
        <w:t>99D</w:t>
      </w:r>
      <w:r>
        <w:t>.</w:t>
      </w:r>
      <w:r>
        <w:tab/>
        <w:t>Designation of officers, generally</w:t>
      </w:r>
      <w:bookmarkEnd w:id="1556"/>
      <w:bookmarkEnd w:id="1557"/>
      <w:bookmarkEnd w:id="1558"/>
    </w:p>
    <w:p>
      <w:pPr>
        <w:pStyle w:val="Subsection"/>
        <w:keepNext/>
      </w:pPr>
      <w:r>
        <w:tab/>
        <w:t>(1)</w:t>
      </w:r>
      <w:r>
        <w:tab/>
        <w:t>This section applies to the following —</w:t>
      </w:r>
    </w:p>
    <w:p>
      <w:pPr>
        <w:pStyle w:val="Indenta"/>
      </w:pPr>
      <w:r>
        <w:tab/>
        <w:t>(a)</w:t>
      </w:r>
      <w:r>
        <w:tab/>
        <w:t>the designation of a person under section 85(9) to be the clerk of the Court;</w:t>
      </w:r>
    </w:p>
    <w:p>
      <w:pPr>
        <w:pStyle w:val="Indenta"/>
      </w:pPr>
      <w:r>
        <w:tab/>
        <w:t>(b)</w:t>
      </w:r>
      <w:r>
        <w:tab/>
        <w:t>the designation of a person under section 93(1AB) to be the Registrar;</w:t>
      </w:r>
    </w:p>
    <w:p>
      <w:pPr>
        <w:pStyle w:val="Indenta"/>
      </w:pPr>
      <w:r>
        <w:tab/>
        <w:t>(c)</w:t>
      </w:r>
      <w:r>
        <w:tab/>
        <w:t>the designation of a person under section 93(1AC) to be a deputy registrar;</w:t>
      </w:r>
    </w:p>
    <w:p>
      <w:pPr>
        <w:pStyle w:val="Indenta"/>
      </w:pPr>
      <w:r>
        <w:tab/>
        <w:t>(d)</w:t>
      </w:r>
      <w:r>
        <w:tab/>
        <w:t>the designation of a person under section 98(1) to be an industrial inspector.</w:t>
      </w:r>
    </w:p>
    <w:p>
      <w:pPr>
        <w:pStyle w:val="Subsection"/>
      </w:pPr>
      <w:r>
        <w:tab/>
        <w:t>(2)</w:t>
      </w:r>
      <w:r>
        <w:tab/>
        <w:t xml:space="preserve">A designation is to be in writing and the </w:t>
      </w:r>
      <w:r>
        <w:rPr>
          <w:i/>
        </w:rPr>
        <w:t>Interpretation Act 1984</w:t>
      </w:r>
      <w:r>
        <w:t xml:space="preserve"> section 52 applies to it in the same way as that section applies to an appointment.</w:t>
      </w:r>
    </w:p>
    <w:p>
      <w:pPr>
        <w:pStyle w:val="Subsection"/>
      </w:pPr>
      <w:r>
        <w:tab/>
        <w:t>(3)</w:t>
      </w:r>
      <w:r>
        <w:tab/>
        <w:t>A designation referred to in subsection (1)(a), (b) or (c) ceases to have effect if the person designated ceases to be a Registrar’s Department officer.</w:t>
      </w:r>
    </w:p>
    <w:p>
      <w:pPr>
        <w:pStyle w:val="Subsection"/>
      </w:pPr>
      <w:r>
        <w:tab/>
        <w:t>(4)</w:t>
      </w:r>
      <w:r>
        <w:tab/>
        <w:t>A designation referred to in subsection (1)(d) ceases to have effect if the person designated ceases to be a departmental officer.</w:t>
      </w:r>
    </w:p>
    <w:p>
      <w:pPr>
        <w:pStyle w:val="Subsection"/>
      </w:pPr>
      <w:r>
        <w:tab/>
        <w:t>(5)</w:t>
      </w:r>
      <w:r>
        <w:tab/>
        <w:t>The chief executive officer of the Registrar’s Department, the Registrar or the Minister, as the case may be, may, in writing, delegate the power to make a designation to another person.</w:t>
      </w:r>
    </w:p>
    <w:p>
      <w:pPr>
        <w:pStyle w:val="Footnotesection"/>
      </w:pPr>
      <w:r>
        <w:tab/>
        <w:t>[Section 99D inserted by No. 53 of 2011 s. 46.]</w:t>
      </w:r>
    </w:p>
    <w:p>
      <w:pPr>
        <w:pStyle w:val="Heading5"/>
        <w:rPr>
          <w:snapToGrid w:val="0"/>
        </w:rPr>
      </w:pPr>
      <w:bookmarkStart w:id="1559" w:name="_Toc471912277"/>
      <w:bookmarkStart w:id="1560" w:name="_Toc391895016"/>
      <w:bookmarkStart w:id="1561" w:name="_Toc468179488"/>
      <w:r>
        <w:rPr>
          <w:rStyle w:val="CharSectno"/>
        </w:rPr>
        <w:t>99</w:t>
      </w:r>
      <w:r>
        <w:rPr>
          <w:snapToGrid w:val="0"/>
        </w:rPr>
        <w:t>.</w:t>
      </w:r>
      <w:r>
        <w:rPr>
          <w:snapToGrid w:val="0"/>
        </w:rPr>
        <w:tab/>
        <w:t>Wage rates in awards not affected by repeal of basic wage provisions</w:t>
      </w:r>
      <w:bookmarkEnd w:id="1559"/>
      <w:bookmarkEnd w:id="1560"/>
      <w:bookmarkEnd w:id="1561"/>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1562" w:name="_Toc471912278"/>
      <w:bookmarkStart w:id="1563" w:name="_Toc391895017"/>
      <w:bookmarkStart w:id="1564" w:name="_Toc468179489"/>
      <w:r>
        <w:rPr>
          <w:rStyle w:val="CharSectno"/>
        </w:rPr>
        <w:t>102</w:t>
      </w:r>
      <w:r>
        <w:rPr>
          <w:snapToGrid w:val="0"/>
        </w:rPr>
        <w:t>.</w:t>
      </w:r>
      <w:r>
        <w:rPr>
          <w:snapToGrid w:val="0"/>
        </w:rPr>
        <w:tab/>
        <w:t>Obstruction etc. prohibited</w:t>
      </w:r>
      <w:bookmarkEnd w:id="1562"/>
      <w:bookmarkEnd w:id="1563"/>
      <w:bookmarkEnd w:id="1564"/>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being lawfully required to do so fail to produce or exhibit, or allow to be examined, a record; or</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 or</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102 amended by No. 121 of 1982 s. 34; No. 94 of 1984 s. 65; No. 1 of 1995 s. 53; No. 20 of 2002 s. 148 and 159.]</w:t>
      </w:r>
    </w:p>
    <w:p>
      <w:pPr>
        <w:pStyle w:val="Heading5"/>
        <w:spacing w:before="240"/>
        <w:rPr>
          <w:snapToGrid w:val="0"/>
        </w:rPr>
      </w:pPr>
      <w:bookmarkStart w:id="1565" w:name="_Toc471912279"/>
      <w:bookmarkStart w:id="1566" w:name="_Toc391895018"/>
      <w:bookmarkStart w:id="1567" w:name="_Toc468179490"/>
      <w:r>
        <w:rPr>
          <w:rStyle w:val="CharSectno"/>
        </w:rPr>
        <w:t>102A</w:t>
      </w:r>
      <w:r>
        <w:rPr>
          <w:snapToGrid w:val="0"/>
        </w:rPr>
        <w:t>.</w:t>
      </w:r>
      <w:r>
        <w:rPr>
          <w:snapToGrid w:val="0"/>
        </w:rPr>
        <w:tab/>
        <w:t>Institution of certain proceedings, powers of Registrar etc. for</w:t>
      </w:r>
      <w:bookmarkEnd w:id="1565"/>
      <w:bookmarkEnd w:id="1566"/>
      <w:bookmarkEnd w:id="1567"/>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[Section 102A inserted by No. 94 of 1984 s. 60; amended by No. 79 of 1995 s. 8(2) and 39; No. 20 of 2002 s. 160(5) and (6).]</w:t>
      </w:r>
    </w:p>
    <w:p>
      <w:pPr>
        <w:pStyle w:val="Heading5"/>
        <w:keepLines w:val="0"/>
        <w:rPr>
          <w:snapToGrid w:val="0"/>
        </w:rPr>
      </w:pPr>
      <w:bookmarkStart w:id="1568" w:name="_Toc471912280"/>
      <w:bookmarkStart w:id="1569" w:name="_Toc391895019"/>
      <w:bookmarkStart w:id="1570" w:name="_Toc468179491"/>
      <w:r>
        <w:rPr>
          <w:rStyle w:val="CharSectno"/>
        </w:rPr>
        <w:t>103</w:t>
      </w:r>
      <w:r>
        <w:rPr>
          <w:snapToGrid w:val="0"/>
        </w:rPr>
        <w:t>.</w:t>
      </w:r>
      <w:r>
        <w:rPr>
          <w:snapToGrid w:val="0"/>
        </w:rPr>
        <w:tab/>
        <w:t>Certain applications may relate to more than one breach</w:t>
      </w:r>
      <w:bookmarkEnd w:id="1568"/>
      <w:bookmarkEnd w:id="1569"/>
      <w:bookmarkEnd w:id="1570"/>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[Section 103 inserted by No. 94 of 1984 s. 60; amended by No. 44 of 1991 s. 8; No. 79 of 1995 s. 8(2); No. 20 of 2002 s. 15 and 160(7).]</w:t>
      </w:r>
    </w:p>
    <w:p>
      <w:pPr>
        <w:pStyle w:val="Heading5"/>
        <w:rPr>
          <w:snapToGrid w:val="0"/>
        </w:rPr>
      </w:pPr>
      <w:bookmarkStart w:id="1571" w:name="_Toc471912281"/>
      <w:bookmarkStart w:id="1572" w:name="_Toc391895020"/>
      <w:bookmarkStart w:id="1573" w:name="_Toc468179492"/>
      <w:r>
        <w:rPr>
          <w:rStyle w:val="CharSectno"/>
        </w:rPr>
        <w:t>104</w:t>
      </w:r>
      <w:r>
        <w:rPr>
          <w:snapToGrid w:val="0"/>
        </w:rPr>
        <w:t>.</w:t>
      </w:r>
      <w:r>
        <w:rPr>
          <w:snapToGrid w:val="0"/>
        </w:rPr>
        <w:tab/>
        <w:t>Prosecutions</w:t>
      </w:r>
      <w:bookmarkEnd w:id="1571"/>
      <w:bookmarkEnd w:id="1572"/>
      <w:bookmarkEnd w:id="1573"/>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[Section 104 inserted by No. 79 of 1995 s. 40; amended by No. 84 of 2004 s. 80.]</w:t>
      </w:r>
    </w:p>
    <w:p>
      <w:pPr>
        <w:pStyle w:val="Heading5"/>
        <w:rPr>
          <w:snapToGrid w:val="0"/>
        </w:rPr>
      </w:pPr>
      <w:bookmarkStart w:id="1574" w:name="_Toc471912282"/>
      <w:bookmarkStart w:id="1575" w:name="_Toc391895021"/>
      <w:bookmarkStart w:id="1576" w:name="_Toc468179493"/>
      <w:r>
        <w:rPr>
          <w:rStyle w:val="CharSectno"/>
        </w:rPr>
        <w:t>105</w:t>
      </w:r>
      <w:r>
        <w:rPr>
          <w:snapToGrid w:val="0"/>
        </w:rPr>
        <w:t>.</w:t>
      </w:r>
      <w:r>
        <w:rPr>
          <w:snapToGrid w:val="0"/>
        </w:rPr>
        <w:tab/>
        <w:t>Awards etc., evidence of</w:t>
      </w:r>
      <w:bookmarkEnd w:id="1574"/>
      <w:bookmarkEnd w:id="1575"/>
      <w:bookmarkEnd w:id="1576"/>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[Section 105 amended by No. 94 of 1984 s. 66.]</w:t>
      </w:r>
    </w:p>
    <w:p>
      <w:pPr>
        <w:pStyle w:val="Heading5"/>
        <w:rPr>
          <w:snapToGrid w:val="0"/>
        </w:rPr>
      </w:pPr>
      <w:bookmarkStart w:id="1577" w:name="_Toc471912283"/>
      <w:bookmarkStart w:id="1578" w:name="_Toc391895022"/>
      <w:bookmarkStart w:id="1579" w:name="_Toc468179494"/>
      <w:r>
        <w:rPr>
          <w:rStyle w:val="CharSectno"/>
        </w:rPr>
        <w:t>106</w:t>
      </w:r>
      <w:r>
        <w:rPr>
          <w:snapToGrid w:val="0"/>
        </w:rPr>
        <w:t>.</w:t>
      </w:r>
      <w:r>
        <w:rPr>
          <w:snapToGrid w:val="0"/>
        </w:rPr>
        <w:tab/>
        <w:t>Official signatures and appointments, judicial notice of</w:t>
      </w:r>
      <w:bookmarkEnd w:id="1577"/>
      <w:bookmarkEnd w:id="1578"/>
      <w:bookmarkEnd w:id="1579"/>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w:t>
      </w:r>
    </w:p>
    <w:p>
      <w:pPr>
        <w:pStyle w:val="Indenta"/>
        <w:rPr>
          <w:snapToGrid w:val="0"/>
        </w:rPr>
      </w:pPr>
      <w:r>
        <w:rPr>
          <w:snapToGrid w:val="0"/>
        </w:rPr>
        <w:tab/>
        <w:t>(a)</w:t>
      </w:r>
      <w:r>
        <w:rPr>
          <w:snapToGrid w:val="0"/>
        </w:rPr>
        <w:tab/>
        <w:t>the official signature of any person holding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[Section 106 amended by No. 121 of 1982 s. 36; No. 94 of 1984 s. 66; No. 44 of 1991 s. 8.]</w:t>
      </w:r>
    </w:p>
    <w:p>
      <w:pPr>
        <w:pStyle w:val="Heading5"/>
        <w:rPr>
          <w:snapToGrid w:val="0"/>
        </w:rPr>
      </w:pPr>
      <w:bookmarkStart w:id="1580" w:name="_Toc471912284"/>
      <w:bookmarkStart w:id="1581" w:name="_Toc391895023"/>
      <w:bookmarkStart w:id="1582" w:name="_Toc468179495"/>
      <w:r>
        <w:rPr>
          <w:rStyle w:val="CharSectno"/>
        </w:rPr>
        <w:t>107</w:t>
      </w:r>
      <w:r>
        <w:rPr>
          <w:snapToGrid w:val="0"/>
        </w:rPr>
        <w:t xml:space="preserve">. </w:t>
      </w:r>
      <w:r>
        <w:rPr>
          <w:snapToGrid w:val="0"/>
        </w:rPr>
        <w:tab/>
        <w:t>No costs to be awarded against Registrar, deputy registrar or industrial inspector</w:t>
      </w:r>
      <w:bookmarkEnd w:id="1580"/>
      <w:bookmarkEnd w:id="1581"/>
      <w:bookmarkEnd w:id="1582"/>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[Section 107 amended by No. 94 of 1984 s. 66.]</w:t>
      </w:r>
    </w:p>
    <w:p>
      <w:pPr>
        <w:pStyle w:val="Heading5"/>
        <w:rPr>
          <w:snapToGrid w:val="0"/>
        </w:rPr>
      </w:pPr>
      <w:bookmarkStart w:id="1583" w:name="_Toc471912285"/>
      <w:bookmarkStart w:id="1584" w:name="_Toc391895024"/>
      <w:bookmarkStart w:id="1585" w:name="_Toc468179496"/>
      <w:r>
        <w:rPr>
          <w:rStyle w:val="CharSectno"/>
        </w:rPr>
        <w:t>108</w:t>
      </w:r>
      <w:r>
        <w:rPr>
          <w:snapToGrid w:val="0"/>
        </w:rPr>
        <w:t xml:space="preserve">. </w:t>
      </w:r>
      <w:r>
        <w:rPr>
          <w:snapToGrid w:val="0"/>
        </w:rPr>
        <w:tab/>
        <w:t>Organisations and associations not affected by certain Imperial Acts</w:t>
      </w:r>
      <w:bookmarkEnd w:id="1583"/>
      <w:bookmarkEnd w:id="1584"/>
      <w:bookmarkEnd w:id="1585"/>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[Section 108 amended by No. 94 of 1984 s. 66.]</w:t>
      </w:r>
    </w:p>
    <w:p>
      <w:pPr>
        <w:pStyle w:val="Heading5"/>
        <w:rPr>
          <w:snapToGrid w:val="0"/>
        </w:rPr>
      </w:pPr>
      <w:bookmarkStart w:id="1586" w:name="_Toc471912286"/>
      <w:bookmarkStart w:id="1587" w:name="_Toc391895025"/>
      <w:bookmarkStart w:id="1588" w:name="_Toc468179497"/>
      <w:r>
        <w:rPr>
          <w:rStyle w:val="CharSectno"/>
        </w:rPr>
        <w:t>109</w:t>
      </w:r>
      <w:r>
        <w:rPr>
          <w:snapToGrid w:val="0"/>
        </w:rPr>
        <w:t>.</w:t>
      </w:r>
      <w:r>
        <w:rPr>
          <w:snapToGrid w:val="0"/>
        </w:rPr>
        <w:tab/>
        <w:t>Dues payable to organisation or association may be sued for</w:t>
      </w:r>
      <w:bookmarkEnd w:id="1586"/>
      <w:bookmarkEnd w:id="1587"/>
      <w:bookmarkEnd w:id="1588"/>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[Section 109 amended by No. 94 of 1984 s. 66; No. 79 of 1995 s. 41.]</w:t>
      </w:r>
    </w:p>
    <w:p>
      <w:pPr>
        <w:pStyle w:val="Heading5"/>
        <w:rPr>
          <w:snapToGrid w:val="0"/>
        </w:rPr>
      </w:pPr>
      <w:bookmarkStart w:id="1589" w:name="_Toc471912287"/>
      <w:bookmarkStart w:id="1590" w:name="_Toc391895026"/>
      <w:bookmarkStart w:id="1591" w:name="_Toc468179498"/>
      <w:r>
        <w:rPr>
          <w:rStyle w:val="CharSectno"/>
        </w:rPr>
        <w:t>110</w:t>
      </w:r>
      <w:r>
        <w:rPr>
          <w:snapToGrid w:val="0"/>
        </w:rPr>
        <w:t>.</w:t>
      </w:r>
      <w:r>
        <w:rPr>
          <w:snapToGrid w:val="0"/>
        </w:rPr>
        <w:tab/>
        <w:t>Disputes between organisation or association and its members, how to be determined</w:t>
      </w:r>
      <w:bookmarkEnd w:id="1589"/>
      <w:bookmarkEnd w:id="1590"/>
      <w:bookmarkEnd w:id="1591"/>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[Section 110 amended by No. 94 of 1984 s. 66; No. 44 of 1991 s. 8.]</w:t>
      </w:r>
    </w:p>
    <w:p>
      <w:pPr>
        <w:pStyle w:val="Heading5"/>
        <w:rPr>
          <w:snapToGrid w:val="0"/>
        </w:rPr>
      </w:pPr>
      <w:bookmarkStart w:id="1592" w:name="_Toc471912288"/>
      <w:bookmarkStart w:id="1593" w:name="_Toc391895027"/>
      <w:bookmarkStart w:id="1594" w:name="_Toc468179499"/>
      <w:r>
        <w:rPr>
          <w:rStyle w:val="CharSectno"/>
        </w:rPr>
        <w:t>111</w:t>
      </w:r>
      <w:r>
        <w:rPr>
          <w:snapToGrid w:val="0"/>
        </w:rPr>
        <w:t>.</w:t>
      </w:r>
      <w:r>
        <w:rPr>
          <w:snapToGrid w:val="0"/>
        </w:rPr>
        <w:tab/>
        <w:t>No premiums etc. to be taken for employment</w:t>
      </w:r>
      <w:bookmarkEnd w:id="1592"/>
      <w:bookmarkEnd w:id="1593"/>
      <w:bookmarkEnd w:id="1594"/>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111 amended by No. 94 of 1984 s. 65 and 66; No. 1 of 1995 s. 53; No. 79 of 1995 s. 27.]</w:t>
      </w:r>
    </w:p>
    <w:p>
      <w:pPr>
        <w:pStyle w:val="Heading5"/>
        <w:rPr>
          <w:snapToGrid w:val="0"/>
        </w:rPr>
      </w:pPr>
      <w:bookmarkStart w:id="1595" w:name="_Toc471912289"/>
      <w:bookmarkStart w:id="1596" w:name="_Toc391895028"/>
      <w:bookmarkStart w:id="1597" w:name="_Toc468179500"/>
      <w:r>
        <w:rPr>
          <w:rStyle w:val="CharSectno"/>
        </w:rPr>
        <w:t>112</w:t>
      </w:r>
      <w:r>
        <w:rPr>
          <w:snapToGrid w:val="0"/>
        </w:rPr>
        <w:t>.</w:t>
      </w:r>
      <w:r>
        <w:rPr>
          <w:snapToGrid w:val="0"/>
        </w:rPr>
        <w:tab/>
        <w:t>Certain rules of organisation as to penalties invalid</w:t>
      </w:r>
      <w:bookmarkEnd w:id="1595"/>
      <w:bookmarkEnd w:id="1596"/>
      <w:bookmarkEnd w:id="1597"/>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[Section 112 amended by No. 94 of 1984 s. 65 and 66; No. 1 of 1995 s. 53; No. 79 of 1995 s. 28.]</w:t>
      </w:r>
    </w:p>
    <w:p>
      <w:pPr>
        <w:pStyle w:val="Heading5"/>
      </w:pPr>
      <w:bookmarkStart w:id="1598" w:name="_Toc471912290"/>
      <w:bookmarkStart w:id="1599" w:name="_Toc391895029"/>
      <w:bookmarkStart w:id="1600" w:name="_Toc468179501"/>
      <w:r>
        <w:rPr>
          <w:rStyle w:val="CharSectno"/>
        </w:rPr>
        <w:t>112A</w:t>
      </w:r>
      <w:r>
        <w:t>.</w:t>
      </w:r>
      <w:r>
        <w:tab/>
        <w:t>Industrial agents, registration of</w:t>
      </w:r>
      <w:bookmarkEnd w:id="1598"/>
      <w:bookmarkEnd w:id="1599"/>
      <w:bookmarkEnd w:id="1600"/>
    </w:p>
    <w:p>
      <w:pPr>
        <w:pStyle w:val="Subsection"/>
      </w:pPr>
      <w:r>
        <w:tab/>
        <w:t>(1)</w:t>
      </w:r>
      <w:r>
        <w:tab/>
        <w:t>In this section a reference to carrying on business as an industrial agent is a reference to carrying on business as a person who does either or both of the following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Despite subsection (1), a reference to carrying on business as an industrial agent does not include —</w:t>
      </w:r>
    </w:p>
    <w:p>
      <w:pPr>
        <w:pStyle w:val="Indenta"/>
      </w:pPr>
      <w:r>
        <w:tab/>
        <w:t>(a)</w:t>
      </w:r>
      <w:r>
        <w:tab/>
        <w:t>carrying on business by an organisation, UnionsWA, the Chamber or the Mines and Metals Association; or</w:t>
      </w:r>
    </w:p>
    <w:p>
      <w:pPr>
        <w:pStyle w:val="Indenta"/>
      </w:pPr>
      <w:r>
        <w:tab/>
        <w:t>(b)</w:t>
      </w:r>
      <w:r>
        <w:tab/>
        <w:t>carrying on business as a person who acts as a bargaining agent within the meaning of section 42B(4); or</w:t>
      </w:r>
    </w:p>
    <w:p>
      <w:pPr>
        <w:pStyle w:val="Indenta"/>
      </w:pPr>
      <w:r>
        <w:tab/>
        <w:t>(c)</w:t>
      </w:r>
      <w:r>
        <w:tab/>
        <w:t>carrying on business as a person who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a person who is —</w:t>
      </w:r>
    </w:p>
    <w:p>
      <w:pPr>
        <w:pStyle w:val="Indenta"/>
      </w:pPr>
      <w:r>
        <w:tab/>
        <w:t>(a)</w:t>
      </w:r>
      <w:r>
        <w:tab/>
        <w:t>registered under this section; or</w:t>
      </w:r>
    </w:p>
    <w:p>
      <w:pPr>
        <w:pStyle w:val="Indenta"/>
      </w:pPr>
      <w:r>
        <w:tab/>
        <w:t>(b)</w:t>
      </w:r>
      <w:r>
        <w:tab/>
        <w:t>acting under a contract of employment for a person who is registered under this section; or</w:t>
      </w:r>
    </w:p>
    <w:p>
      <w:pPr>
        <w:pStyle w:val="Indenta"/>
      </w:pPr>
      <w:r>
        <w:tab/>
        <w:t>(c)</w:t>
      </w:r>
      <w:r>
        <w:tab/>
        <w:t>an employee or officer of any organisation, UnionsWA, the Chamber, the Mines and Metals Association, or a prescribed body or class of body, acting on behalf of that body,</w:t>
      </w:r>
    </w:p>
    <w:p>
      <w:pPr>
        <w:pStyle w:val="Subsection"/>
      </w:pPr>
      <w:r>
        <w:tab/>
      </w:r>
      <w:r>
        <w:tab/>
        <w:t>is authorised to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keepNext/>
      </w:pPr>
      <w:r>
        <w:tab/>
        <w:t>(5)</w:t>
      </w:r>
      <w:r>
        <w:tab/>
        <w:t>Regulations made by the Governor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a code of conduct for persons registered under this section; and</w:t>
      </w:r>
    </w:p>
    <w:p>
      <w:pPr>
        <w:pStyle w:val="Indenta"/>
      </w:pPr>
      <w:r>
        <w:tab/>
        <w:t>(c)</w:t>
      </w:r>
      <w:r>
        <w:tab/>
        <w:t>prescribe the circumstances in which, and the procedures by which, a person may be disqualified from obtaining registration, or registration may be cancelled; and</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 No. 53 of 2011 s. 48.]</w:t>
      </w:r>
    </w:p>
    <w:p>
      <w:pPr>
        <w:pStyle w:val="Heading5"/>
        <w:rPr>
          <w:snapToGrid w:val="0"/>
        </w:rPr>
      </w:pPr>
      <w:bookmarkStart w:id="1601" w:name="_Toc471912291"/>
      <w:bookmarkStart w:id="1602" w:name="_Toc391895030"/>
      <w:bookmarkStart w:id="1603" w:name="_Toc468179502"/>
      <w:r>
        <w:rPr>
          <w:rStyle w:val="CharSectno"/>
        </w:rPr>
        <w:t>113</w:t>
      </w:r>
      <w:r>
        <w:rPr>
          <w:snapToGrid w:val="0"/>
        </w:rPr>
        <w:t>.</w:t>
      </w:r>
      <w:r>
        <w:rPr>
          <w:snapToGrid w:val="0"/>
        </w:rPr>
        <w:tab/>
        <w:t>Regulations</w:t>
      </w:r>
      <w:bookmarkEnd w:id="1601"/>
      <w:bookmarkEnd w:id="1602"/>
      <w:bookmarkEnd w:id="1603"/>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 and</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 and</w:t>
      </w:r>
    </w:p>
    <w:p>
      <w:pPr>
        <w:pStyle w:val="Indenta"/>
        <w:spacing w:before="90"/>
      </w:pPr>
      <w:r>
        <w:tab/>
        <w:t>(ba)</w:t>
      </w:r>
      <w:r>
        <w:tab/>
        <w:t>prescribing the practice and procedure to be followed in the mediation of a claim of harsh, oppressive or unfair dismissal, and other matters related to that mediation; and</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w:t>
      </w:r>
    </w:p>
    <w:p>
      <w:pPr>
        <w:pStyle w:val="Indenti"/>
        <w:spacing w:before="90"/>
        <w:rPr>
          <w:snapToGrid w:val="0"/>
        </w:rPr>
      </w:pPr>
      <w:r>
        <w:rPr>
          <w:snapToGrid w:val="0"/>
        </w:rPr>
        <w:tab/>
        <w:t>(i)</w:t>
      </w:r>
      <w:r>
        <w:rPr>
          <w:snapToGrid w:val="0"/>
        </w:rPr>
        <w:tab/>
        <w:t>the times and places for the sitting of the Court and the Commission; and</w:t>
      </w:r>
    </w:p>
    <w:p>
      <w:pPr>
        <w:pStyle w:val="Indenti"/>
        <w:spacing w:before="90"/>
        <w:rPr>
          <w:snapToGrid w:val="0"/>
        </w:rPr>
      </w:pPr>
      <w:r>
        <w:rPr>
          <w:snapToGrid w:val="0"/>
        </w:rPr>
        <w:tab/>
        <w:t>(ii)</w:t>
      </w:r>
      <w:r>
        <w:rPr>
          <w:snapToGrid w:val="0"/>
        </w:rPr>
        <w:tab/>
        <w:t>the summoning of parties and of witnesses; and</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r>
      <w:r>
        <w:tab/>
        <w:t>and</w:t>
      </w:r>
    </w:p>
    <w:p>
      <w:pPr>
        <w:pStyle w:val="Indenta"/>
        <w:spacing w:before="90"/>
      </w:pPr>
      <w:r>
        <w:tab/>
        <w:t>(d)</w:t>
      </w:r>
      <w:r>
        <w:tab/>
        <w:t>without limiting paragraph (c), regulating the practice and procedure to be followed in relation to —</w:t>
      </w:r>
    </w:p>
    <w:p>
      <w:pPr>
        <w:pStyle w:val="Indenti"/>
        <w:spacing w:before="90"/>
      </w:pPr>
      <w:r>
        <w:tab/>
        <w:t>(i)</w:t>
      </w:r>
      <w:r>
        <w:tab/>
        <w:t xml:space="preserve">appeals under section 33P of the </w:t>
      </w:r>
      <w:r>
        <w:rPr>
          <w:i/>
        </w:rPr>
        <w:t>Police Act 1892</w:t>
      </w:r>
      <w:r>
        <w:t>; and</w:t>
      </w:r>
    </w:p>
    <w:p>
      <w:pPr>
        <w:pStyle w:val="Indenti"/>
        <w:keepNext/>
      </w:pPr>
      <w:r>
        <w:tab/>
        <w:t>(ii)</w:t>
      </w:r>
      <w:r>
        <w:tab/>
        <w:t>the referral, bringing, hearing and determination of matters, claims and appeals under —</w:t>
      </w:r>
    </w:p>
    <w:p>
      <w:pPr>
        <w:pStyle w:val="IndentI0"/>
      </w:pPr>
      <w:r>
        <w:tab/>
        <w:t>(I)</w:t>
      </w:r>
      <w:r>
        <w:tab/>
        <w:t xml:space="preserve">the </w:t>
      </w:r>
      <w:r>
        <w:rPr>
          <w:i/>
        </w:rPr>
        <w:t>Occupational Safety and Health Act 1984</w:t>
      </w:r>
      <w:r>
        <w:t>; and</w:t>
      </w:r>
    </w:p>
    <w:p>
      <w:pPr>
        <w:pStyle w:val="IndentI0"/>
      </w:pPr>
      <w:r>
        <w:tab/>
        <w:t>(II)</w:t>
      </w:r>
      <w:r>
        <w:tab/>
        <w:t xml:space="preserve">the </w:t>
      </w:r>
      <w:r>
        <w:rPr>
          <w:i/>
        </w:rPr>
        <w:t>Mines Safety and Inspection Act 1994</w:t>
      </w:r>
      <w:r>
        <w:t>; and</w:t>
      </w:r>
    </w:p>
    <w:p>
      <w:pPr>
        <w:pStyle w:val="IndentI0"/>
      </w:pPr>
      <w:r>
        <w:tab/>
        <w:t>(IIIA)</w:t>
      </w:r>
      <w:r>
        <w:tab/>
        <w:t xml:space="preserve">the </w:t>
      </w:r>
      <w:r>
        <w:rPr>
          <w:i/>
        </w:rPr>
        <w:t>Owner</w:t>
      </w:r>
      <w:r>
        <w:rPr>
          <w:i/>
        </w:rPr>
        <w:noBreakHyphen/>
        <w:t>Drivers (Contracts and Disputes) Act 2007</w:t>
      </w:r>
      <w:r>
        <w:t>; and</w:t>
      </w:r>
    </w:p>
    <w:p>
      <w:pPr>
        <w:pStyle w:val="IndentI0"/>
      </w:pPr>
      <w:r>
        <w:tab/>
        <w:t>(III)</w:t>
      </w:r>
      <w:r>
        <w:tab/>
        <w:t xml:space="preserve">the </w:t>
      </w:r>
      <w:r>
        <w:rPr>
          <w:i/>
          <w:iCs/>
        </w:rPr>
        <w:t>Petroleum and Geothermal Energy Resources Act 1967</w:t>
      </w:r>
      <w:r>
        <w:t>; and</w:t>
      </w:r>
    </w:p>
    <w:p>
      <w:pPr>
        <w:pStyle w:val="IndentI0"/>
      </w:pPr>
      <w:r>
        <w:tab/>
        <w:t>(IV)</w:t>
      </w:r>
      <w:r>
        <w:tab/>
        <w:t xml:space="preserve">the </w:t>
      </w:r>
      <w:r>
        <w:rPr>
          <w:i/>
          <w:iCs/>
        </w:rPr>
        <w:t>Petroleum Pipelines Act 1969</w:t>
      </w:r>
      <w:r>
        <w:t>; and</w:t>
      </w:r>
    </w:p>
    <w:p>
      <w:pPr>
        <w:pStyle w:val="IndentI0"/>
      </w:pPr>
      <w:r>
        <w:tab/>
        <w:t>(V)</w:t>
      </w:r>
      <w:r>
        <w:tab/>
        <w:t xml:space="preserve">the </w:t>
      </w:r>
      <w:r>
        <w:rPr>
          <w:i/>
          <w:iCs/>
        </w:rPr>
        <w:t>Petroleum (Submerged Lands) Act 1982</w:t>
      </w:r>
      <w:r>
        <w: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 and</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10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64; No. 53 of 2011 s. 47.]</w:t>
      </w:r>
    </w:p>
    <w:p>
      <w:pPr>
        <w:pStyle w:val="Heading5"/>
        <w:rPr>
          <w:snapToGrid w:val="0"/>
        </w:rPr>
      </w:pPr>
      <w:bookmarkStart w:id="1604" w:name="_Toc471912292"/>
      <w:bookmarkStart w:id="1605" w:name="_Toc391895031"/>
      <w:bookmarkStart w:id="1606" w:name="_Toc468179503"/>
      <w:r>
        <w:rPr>
          <w:rStyle w:val="CharSectno"/>
        </w:rPr>
        <w:t>114</w:t>
      </w:r>
      <w:r>
        <w:rPr>
          <w:snapToGrid w:val="0"/>
        </w:rPr>
        <w:t>.</w:t>
      </w:r>
      <w:r>
        <w:rPr>
          <w:snapToGrid w:val="0"/>
        </w:rPr>
        <w:tab/>
        <w:t>Contracting out from awards etc. prohibited</w:t>
      </w:r>
      <w:bookmarkEnd w:id="1604"/>
      <w:bookmarkEnd w:id="1605"/>
      <w:bookmarkEnd w:id="1606"/>
    </w:p>
    <w:p>
      <w:pPr>
        <w:pStyle w:val="Subsection"/>
        <w:spacing w:before="140"/>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spacing w:before="140"/>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spacing w:before="100"/>
        <w:ind w:left="890" w:hanging="890"/>
      </w:pPr>
      <w:r>
        <w:tab/>
        <w:t>[Section 114 amended by No. 94 of 1984 s. 62; No. 119 of 1987 s. 24; No. 15 of 1993 s. 29; amended in Gazette 15 Aug 2003 p. 3686.]</w:t>
      </w:r>
    </w:p>
    <w:p>
      <w:pPr>
        <w:pStyle w:val="Heading5"/>
      </w:pPr>
      <w:bookmarkStart w:id="1607" w:name="_Toc471912293"/>
      <w:bookmarkStart w:id="1608" w:name="_Toc391895032"/>
      <w:bookmarkStart w:id="1609" w:name="_Toc468179504"/>
      <w:r>
        <w:rPr>
          <w:rStyle w:val="CharSectno"/>
        </w:rPr>
        <w:t>115</w:t>
      </w:r>
      <w:r>
        <w:t>.</w:t>
      </w:r>
      <w:r>
        <w:tab/>
        <w:t>Police officers, application of Act to (Sch. 3)</w:t>
      </w:r>
      <w:bookmarkEnd w:id="1607"/>
      <w:bookmarkEnd w:id="1608"/>
      <w:bookmarkEnd w:id="1609"/>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610" w:name="_Toc471912294"/>
      <w:bookmarkStart w:id="1611" w:name="_Toc391895033"/>
      <w:bookmarkStart w:id="1612" w:name="_Toc419713618"/>
      <w:bookmarkStart w:id="1613" w:name="_Toc435103262"/>
      <w:bookmarkStart w:id="1614" w:name="_Toc452556692"/>
      <w:bookmarkStart w:id="1615" w:name="_Toc455414272"/>
      <w:bookmarkStart w:id="1616" w:name="_Toc462415702"/>
      <w:bookmarkStart w:id="1617" w:name="_Toc462742613"/>
      <w:bookmarkStart w:id="1618" w:name="_Toc465086267"/>
      <w:bookmarkStart w:id="1619" w:name="_Toc468179505"/>
      <w:r>
        <w:rPr>
          <w:rStyle w:val="CharSchNo"/>
        </w:rPr>
        <w:t>Schedule 1</w:t>
      </w:r>
      <w:r>
        <w:t> — </w:t>
      </w:r>
      <w:r>
        <w:rPr>
          <w:rStyle w:val="CharSchText"/>
        </w:rPr>
        <w:t>Matters to be published in the “</w:t>
      </w:r>
      <w:r>
        <w:rPr>
          <w:rStyle w:val="CharSchText"/>
          <w:i/>
          <w:iCs/>
        </w:rPr>
        <w:t>Western Australian Industrial Gazette</w:t>
      </w:r>
      <w:r>
        <w:rPr>
          <w:rStyle w:val="CharSchText"/>
        </w:rPr>
        <w:t>”</w:t>
      </w:r>
      <w:bookmarkEnd w:id="1610"/>
      <w:bookmarkEnd w:id="1611"/>
      <w:bookmarkEnd w:id="1612"/>
      <w:bookmarkEnd w:id="1613"/>
      <w:bookmarkEnd w:id="1614"/>
      <w:bookmarkEnd w:id="1615"/>
      <w:bookmarkEnd w:id="1616"/>
      <w:bookmarkEnd w:id="1617"/>
      <w:bookmarkEnd w:id="1618"/>
      <w:bookmarkEnd w:id="1619"/>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w:t>
      </w:r>
    </w:p>
    <w:p>
      <w:pPr>
        <w:pStyle w:val="yMiscellaneousBody"/>
        <w:tabs>
          <w:tab w:val="left" w:pos="851"/>
          <w:tab w:val="left" w:pos="1418"/>
        </w:tabs>
        <w:ind w:left="1418" w:hanging="1418"/>
        <w:rPr>
          <w:snapToGrid w:val="0"/>
        </w:rPr>
      </w:pPr>
      <w:r>
        <w:rPr>
          <w:snapToGrid w:val="0"/>
        </w:rPr>
        <w:tab/>
        <w:t>(a)</w:t>
      </w:r>
      <w:r>
        <w:rPr>
          <w:snapToGrid w:val="0"/>
        </w:rPr>
        <w:tab/>
        <w:t>the Court; and</w:t>
      </w:r>
    </w:p>
    <w:p>
      <w:pPr>
        <w:pStyle w:val="yMiscellaneousBody"/>
        <w:tabs>
          <w:tab w:val="left" w:pos="851"/>
          <w:tab w:val="left" w:pos="1418"/>
        </w:tabs>
        <w:ind w:left="1418" w:hanging="1418"/>
        <w:rPr>
          <w:snapToGrid w:val="0"/>
        </w:rPr>
      </w:pPr>
      <w:r>
        <w:rPr>
          <w:snapToGrid w:val="0"/>
        </w:rPr>
        <w:tab/>
        <w:t>(b)</w:t>
      </w:r>
      <w:r>
        <w:rPr>
          <w:snapToGrid w:val="0"/>
        </w:rPr>
        <w:tab/>
        <w:t>the Full Bench; and</w:t>
      </w:r>
    </w:p>
    <w:p>
      <w:pPr>
        <w:pStyle w:val="yMiscellaneousBody"/>
        <w:tabs>
          <w:tab w:val="left" w:pos="851"/>
          <w:tab w:val="left" w:pos="1418"/>
        </w:tabs>
        <w:ind w:left="1418" w:hanging="1418"/>
        <w:rPr>
          <w:snapToGrid w:val="0"/>
        </w:rPr>
      </w:pPr>
      <w:r>
        <w:rPr>
          <w:snapToGrid w:val="0"/>
        </w:rPr>
        <w:tab/>
        <w:t>(c)</w:t>
      </w:r>
      <w:r>
        <w:rPr>
          <w:snapToGrid w:val="0"/>
        </w:rPr>
        <w:tab/>
        <w:t>the President; and</w:t>
      </w:r>
    </w:p>
    <w:p>
      <w:pPr>
        <w:pStyle w:val="yMiscellaneousBody"/>
        <w:tabs>
          <w:tab w:val="left" w:pos="851"/>
          <w:tab w:val="left" w:pos="1418"/>
        </w:tabs>
        <w:ind w:left="1418" w:hanging="1418"/>
        <w:rPr>
          <w:snapToGrid w:val="0"/>
        </w:rPr>
      </w:pPr>
      <w:r>
        <w:rPr>
          <w:snapToGrid w:val="0"/>
        </w:rPr>
        <w:tab/>
        <w:t>(d)</w:t>
      </w:r>
      <w:r>
        <w:rPr>
          <w:snapToGrid w:val="0"/>
        </w:rPr>
        <w:tab/>
        <w:t>the Commission; and</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[Schedule 1 amended by No. 94 of 1984 s. 66; No. 15 of 1993 s. 30; No. 79 of 1995 s. 42; No. 20 of 2002 s. 113(5) and 190(10).]</w:t>
      </w:r>
    </w:p>
    <w:p>
      <w:pPr>
        <w:pStyle w:val="yEdnoteschedule"/>
      </w:pPr>
      <w:r>
        <w:t>[Schedule 2 deleted by No. 20 of 2002 s. 194(7).]</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outlineLvl w:val="0"/>
      </w:pPr>
      <w:bookmarkStart w:id="1621" w:name="_Toc471912295"/>
      <w:bookmarkStart w:id="1622" w:name="_Toc391895034"/>
      <w:bookmarkStart w:id="1623" w:name="_Toc419713619"/>
      <w:bookmarkStart w:id="1624" w:name="_Toc435103263"/>
      <w:bookmarkStart w:id="1625" w:name="_Toc452556693"/>
      <w:bookmarkStart w:id="1626" w:name="_Toc455414273"/>
      <w:bookmarkStart w:id="1627" w:name="_Toc462415703"/>
      <w:bookmarkStart w:id="1628" w:name="_Toc462742614"/>
      <w:bookmarkStart w:id="1629" w:name="_Toc465086268"/>
      <w:bookmarkStart w:id="1630" w:name="_Toc468179506"/>
      <w:r>
        <w:rPr>
          <w:rStyle w:val="CharSchNo"/>
        </w:rPr>
        <w:t>Schedule 3</w:t>
      </w:r>
      <w:r>
        <w:t> — </w:t>
      </w:r>
      <w:r>
        <w:rPr>
          <w:rStyle w:val="CharSchText"/>
        </w:rPr>
        <w:t>Police officers</w:t>
      </w:r>
      <w:bookmarkEnd w:id="1621"/>
      <w:bookmarkEnd w:id="1622"/>
      <w:bookmarkEnd w:id="1623"/>
      <w:bookmarkEnd w:id="1624"/>
      <w:bookmarkEnd w:id="1625"/>
      <w:bookmarkEnd w:id="1626"/>
      <w:bookmarkEnd w:id="1627"/>
      <w:bookmarkEnd w:id="1628"/>
      <w:bookmarkEnd w:id="1629"/>
      <w:bookmarkEnd w:id="1630"/>
    </w:p>
    <w:p>
      <w:pPr>
        <w:pStyle w:val="yShoulderClause"/>
      </w:pPr>
      <w:r>
        <w:t>[s. 115]</w:t>
      </w:r>
    </w:p>
    <w:p>
      <w:pPr>
        <w:pStyle w:val="yFootnoteheading"/>
      </w:pPr>
      <w:r>
        <w:tab/>
        <w:t>[Heading inserted by No. 58 of 2000 s. 5.]</w:t>
      </w:r>
    </w:p>
    <w:p>
      <w:pPr>
        <w:pStyle w:val="yHeading5"/>
        <w:spacing w:before="160"/>
        <w:outlineLvl w:val="0"/>
      </w:pPr>
      <w:bookmarkStart w:id="1631" w:name="_Toc471912296"/>
      <w:bookmarkStart w:id="1632" w:name="_Toc391895035"/>
      <w:bookmarkStart w:id="1633" w:name="_Toc468179507"/>
      <w:r>
        <w:rPr>
          <w:rStyle w:val="CharSClsNo"/>
        </w:rPr>
        <w:t>1</w:t>
      </w:r>
      <w:r>
        <w:t>.</w:t>
      </w:r>
      <w:r>
        <w:tab/>
        <w:t>Term used: Arbitrator</w:t>
      </w:r>
      <w:bookmarkEnd w:id="1631"/>
      <w:bookmarkEnd w:id="1632"/>
      <w:bookmarkEnd w:id="1633"/>
    </w:p>
    <w:p>
      <w:pPr>
        <w:pStyle w:val="ySubsection"/>
        <w:spacing w:before="120"/>
      </w:pPr>
      <w:r>
        <w:tab/>
      </w:r>
      <w:r>
        <w:tab/>
        <w:t>In this Schedule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1634" w:name="_Toc471912297"/>
      <w:bookmarkStart w:id="1635" w:name="_Toc391895036"/>
      <w:bookmarkStart w:id="1636" w:name="_Toc468179508"/>
      <w:r>
        <w:rPr>
          <w:rStyle w:val="CharSClsNo"/>
        </w:rPr>
        <w:t>2</w:t>
      </w:r>
      <w:r>
        <w:t>.</w:t>
      </w:r>
      <w:r>
        <w:tab/>
        <w:t>Application of Act to police officer</w:t>
      </w:r>
      <w:bookmarkEnd w:id="1634"/>
      <w:bookmarkEnd w:id="1635"/>
      <w:bookmarkEnd w:id="1636"/>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this Act is taken to have applied to and in respect of a police officer, and to have had effect accordingly, as if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1637" w:name="_Toc471912298"/>
      <w:bookmarkStart w:id="1638" w:name="_Toc391895037"/>
      <w:bookmarkStart w:id="1639" w:name="_Toc468179509"/>
      <w:r>
        <w:rPr>
          <w:rStyle w:val="CharSClsNo"/>
        </w:rPr>
        <w:t>3</w:t>
      </w:r>
      <w:r>
        <w:t>.</w:t>
      </w:r>
      <w:r>
        <w:tab/>
        <w:t xml:space="preserve">Western Australian Police </w:t>
      </w:r>
      <w:smartTag w:uri="urn:schemas-microsoft-com:office:smarttags" w:element="place">
        <w:r>
          <w:t>Union</w:t>
        </w:r>
      </w:smartTag>
      <w:r>
        <w:t xml:space="preserve"> of Workers, status of</w:t>
      </w:r>
      <w:bookmarkEnd w:id="1637"/>
      <w:bookmarkEnd w:id="1638"/>
      <w:bookmarkEnd w:id="1639"/>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1640" w:name="_Toc471912299"/>
      <w:bookmarkStart w:id="1641" w:name="_Toc391895038"/>
      <w:bookmarkStart w:id="1642" w:name="_Toc419713623"/>
      <w:bookmarkStart w:id="1643" w:name="_Toc435103267"/>
      <w:bookmarkStart w:id="1644" w:name="_Toc452556697"/>
      <w:bookmarkStart w:id="1645" w:name="_Toc455414277"/>
      <w:bookmarkStart w:id="1646" w:name="_Toc462415707"/>
      <w:bookmarkStart w:id="1647" w:name="_Toc462742618"/>
      <w:bookmarkStart w:id="1648" w:name="_Toc465086272"/>
      <w:bookmarkStart w:id="1649" w:name="_Toc468179510"/>
      <w:r>
        <w:rPr>
          <w:rStyle w:val="CharSchNo"/>
        </w:rPr>
        <w:t>Schedule 4</w:t>
      </w:r>
      <w:r>
        <w:t> — </w:t>
      </w:r>
      <w:r>
        <w:rPr>
          <w:rStyle w:val="CharSchText"/>
        </w:rPr>
        <w:t>Registration requirements for EEAs</w:t>
      </w:r>
      <w:bookmarkEnd w:id="1640"/>
      <w:bookmarkEnd w:id="1641"/>
      <w:bookmarkEnd w:id="1642"/>
      <w:bookmarkEnd w:id="1643"/>
      <w:bookmarkEnd w:id="1644"/>
      <w:bookmarkEnd w:id="1645"/>
      <w:bookmarkEnd w:id="1646"/>
      <w:bookmarkEnd w:id="1647"/>
      <w:bookmarkEnd w:id="1648"/>
      <w:bookmarkEnd w:id="1649"/>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1650" w:name="_Toc471912300"/>
      <w:bookmarkStart w:id="1651" w:name="_Toc391895039"/>
      <w:bookmarkStart w:id="1652" w:name="_Toc468179511"/>
      <w:r>
        <w:rPr>
          <w:rStyle w:val="CharSClsNo"/>
        </w:rPr>
        <w:t>1</w:t>
      </w:r>
      <w:r>
        <w:t>.</w:t>
      </w:r>
      <w:r>
        <w:tab/>
        <w:t>When EEA is in order for registration</w:t>
      </w:r>
      <w:bookmarkEnd w:id="1650"/>
      <w:bookmarkEnd w:id="1651"/>
      <w:bookmarkEnd w:id="1652"/>
    </w:p>
    <w:p>
      <w:pPr>
        <w:pStyle w:val="ySubsection"/>
      </w:pPr>
      <w:r>
        <w:tab/>
        <w:t>(1)</w:t>
      </w:r>
      <w:r>
        <w:tab/>
        <w:t>An EEA is in order for registration if —</w:t>
      </w:r>
    </w:p>
    <w:p>
      <w:pPr>
        <w:pStyle w:val="yIndenta"/>
      </w:pPr>
      <w:r>
        <w:tab/>
        <w:t>(a)</w:t>
      </w:r>
      <w:r>
        <w:tab/>
        <w:t>section 97UF(1) does not apply to it; and</w:t>
      </w:r>
    </w:p>
    <w:p>
      <w:pPr>
        <w:pStyle w:val="yIndenta"/>
      </w:pPr>
      <w:r>
        <w:tab/>
        <w:t>(b)</w:t>
      </w:r>
      <w:r>
        <w:tab/>
        <w:t>it complies with sections 97UL, 97UN and 97US; and</w:t>
      </w:r>
    </w:p>
    <w:p>
      <w:pPr>
        <w:pStyle w:val="yIndenta"/>
      </w:pPr>
      <w:r>
        <w:tab/>
        <w:t>(c)</w:t>
      </w:r>
      <w:r>
        <w:tab/>
        <w:t>if section 97UM applies, it has been signed in accordance with, and by a person who meets the requirements of, section 97UM(2); and</w:t>
      </w:r>
    </w:p>
    <w:p>
      <w:pPr>
        <w:pStyle w:val="yIndenta"/>
      </w:pPr>
      <w:r>
        <w:tab/>
        <w:t>(d)</w:t>
      </w:r>
      <w:r>
        <w:tab/>
        <w:t>the employer has complied with section 97UG; and</w:t>
      </w:r>
    </w:p>
    <w:p>
      <w:pPr>
        <w:pStyle w:val="yIndenta"/>
      </w:pPr>
      <w:r>
        <w:tab/>
        <w:t>(e)</w:t>
      </w:r>
      <w:r>
        <w:tab/>
        <w:t>it passes the no</w:t>
      </w:r>
      <w:r>
        <w:noBreakHyphen/>
        <w:t>disadvantage test; and</w:t>
      </w:r>
    </w:p>
    <w:p>
      <w:pPr>
        <w:pStyle w:val="yIndenta"/>
      </w:pPr>
      <w:r>
        <w:tab/>
        <w:t>(f)</w:t>
      </w:r>
      <w:r>
        <w:tab/>
        <w:t>it does not purport to provide for a condition of employment that is less favourable to the employee than a minimum condition of employment under the MCE Act; and</w:t>
      </w:r>
    </w:p>
    <w:p>
      <w:pPr>
        <w:pStyle w:val="PermNoteHeading"/>
      </w:pPr>
      <w:r>
        <w:tab/>
        <w:t>Note:</w:t>
      </w:r>
    </w:p>
    <w:p>
      <w:pPr>
        <w:pStyle w:val="PermNoteText"/>
      </w:pPr>
      <w:r>
        <w:tab/>
      </w:r>
      <w:r>
        <w:tab/>
      </w:r>
      <w:r>
        <w:rPr>
          <w:rFonts w:ascii="Times New Roman" w:hAnsi="Times New Roman"/>
          <w:sz w:val="20"/>
        </w:rPr>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in relation to the making of the EEA, the employer did not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 and</w:t>
      </w:r>
    </w:p>
    <w:p>
      <w:pPr>
        <w:pStyle w:val="yIndenta"/>
      </w:pPr>
      <w:r>
        <w:tab/>
        <w:t>(h)</w:t>
      </w:r>
      <w:r>
        <w:tab/>
        <w:t>in relation to the making of the EEA, the employer did not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 and</w:t>
      </w:r>
    </w:p>
    <w:p>
      <w:pPr>
        <w:pStyle w:val="yIndenta"/>
      </w:pPr>
      <w:r>
        <w:tab/>
        <w:t>(i)</w:t>
      </w:r>
      <w:r>
        <w:tab/>
        <w:t>each party appears to understand his or her rights and obligations under the EEA; and</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Subclause (1)(g) does not apply to an offer of employment made, or an intimation of employment given, that would otherwise come within that provision if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In subclause (1)(i) and (k) —</w:t>
      </w:r>
    </w:p>
    <w:p>
      <w:pPr>
        <w:pStyle w:val="yDefstart"/>
      </w:pPr>
      <w:r>
        <w:tab/>
      </w:r>
      <w:r>
        <w:rPr>
          <w:rStyle w:val="CharDefText"/>
        </w:rPr>
        <w:t>party</w:t>
      </w:r>
      <w:r>
        <w:t xml:space="preserve"> means —</w:t>
      </w:r>
    </w:p>
    <w:p>
      <w:pPr>
        <w:pStyle w:val="yDefpara"/>
      </w:pPr>
      <w:r>
        <w:tab/>
        <w:t>(a)</w:t>
      </w:r>
      <w:r>
        <w:tab/>
        <w:t>the employer and the employee; or</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1653" w:name="_Toc471912301"/>
      <w:bookmarkStart w:id="1654" w:name="_Toc391895040"/>
      <w:bookmarkStart w:id="1655" w:name="_Toc419713625"/>
      <w:bookmarkStart w:id="1656" w:name="_Toc435103269"/>
      <w:bookmarkStart w:id="1657" w:name="_Toc452556699"/>
      <w:bookmarkStart w:id="1658" w:name="_Toc455414279"/>
      <w:bookmarkStart w:id="1659" w:name="_Toc462415709"/>
      <w:bookmarkStart w:id="1660" w:name="_Toc462742620"/>
      <w:bookmarkStart w:id="1661" w:name="_Toc465086274"/>
      <w:bookmarkStart w:id="1662" w:name="_Toc468179512"/>
      <w:r>
        <w:rPr>
          <w:rStyle w:val="CharSchNo"/>
        </w:rPr>
        <w:t>Schedule 5</w:t>
      </w:r>
      <w:r>
        <w:t> — </w:t>
      </w:r>
      <w:r>
        <w:rPr>
          <w:rStyle w:val="CharSchText"/>
        </w:rPr>
        <w:t>Powers to obtain information, and related provisions</w:t>
      </w:r>
      <w:bookmarkEnd w:id="1653"/>
      <w:bookmarkEnd w:id="1654"/>
      <w:bookmarkEnd w:id="1655"/>
      <w:bookmarkEnd w:id="1656"/>
      <w:bookmarkEnd w:id="1657"/>
      <w:bookmarkEnd w:id="1658"/>
      <w:bookmarkEnd w:id="1659"/>
      <w:bookmarkEnd w:id="1660"/>
      <w:bookmarkEnd w:id="1661"/>
      <w:bookmarkEnd w:id="1662"/>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1663" w:name="_Toc471912302"/>
      <w:bookmarkStart w:id="1664" w:name="_Toc391895041"/>
      <w:bookmarkStart w:id="1665" w:name="_Toc468179513"/>
      <w:r>
        <w:rPr>
          <w:rStyle w:val="CharSClsNo"/>
        </w:rPr>
        <w:t>1</w:t>
      </w:r>
      <w:r>
        <w:rPr>
          <w:snapToGrid w:val="0"/>
        </w:rPr>
        <w:t>.</w:t>
      </w:r>
      <w:r>
        <w:rPr>
          <w:snapToGrid w:val="0"/>
        </w:rPr>
        <w:tab/>
        <w:t xml:space="preserve">Authorised person’s powers to obtain </w:t>
      </w:r>
      <w:r>
        <w:t>information</w:t>
      </w:r>
      <w:bookmarkEnd w:id="1663"/>
      <w:bookmarkEnd w:id="1664"/>
      <w:bookmarkEnd w:id="1665"/>
    </w:p>
    <w:p>
      <w:pPr>
        <w:pStyle w:val="ySubsection"/>
        <w:rPr>
          <w:snapToGrid w:val="0"/>
        </w:rPr>
      </w:pPr>
      <w:r>
        <w:tab/>
      </w:r>
      <w:r>
        <w:tab/>
        <w:t xml:space="preserve">An authorised person </w:t>
      </w:r>
      <w:r>
        <w:rPr>
          <w:snapToGrid w:val="0"/>
        </w:rPr>
        <w:t>may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1666" w:name="_Toc471912303"/>
      <w:bookmarkStart w:id="1667" w:name="_Toc391895042"/>
      <w:bookmarkStart w:id="1668" w:name="_Toc468179514"/>
      <w:r>
        <w:rPr>
          <w:rStyle w:val="CharSClsNo"/>
        </w:rPr>
        <w:t>2</w:t>
      </w:r>
      <w:r>
        <w:rPr>
          <w:snapToGrid w:val="0"/>
        </w:rPr>
        <w:t>.</w:t>
      </w:r>
      <w:r>
        <w:rPr>
          <w:snapToGrid w:val="0"/>
        </w:rPr>
        <w:tab/>
        <w:t>Obstructing authorised person</w:t>
      </w:r>
      <w:bookmarkEnd w:id="1666"/>
      <w:bookmarkEnd w:id="1667"/>
      <w:bookmarkEnd w:id="1668"/>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r>
        <w:tab/>
        <w:t>[Clause 2 inserted by No. 20 of 2002 s. 5.]</w:t>
      </w:r>
    </w:p>
    <w:p>
      <w:pPr>
        <w:pStyle w:val="yHeading5"/>
        <w:outlineLvl w:val="0"/>
        <w:rPr>
          <w:snapToGrid w:val="0"/>
        </w:rPr>
      </w:pPr>
      <w:bookmarkStart w:id="1669" w:name="_Toc471912304"/>
      <w:bookmarkStart w:id="1670" w:name="_Toc391895043"/>
      <w:bookmarkStart w:id="1671" w:name="_Toc468179515"/>
      <w:r>
        <w:rPr>
          <w:rStyle w:val="CharSClsNo"/>
        </w:rPr>
        <w:t>3</w:t>
      </w:r>
      <w:r>
        <w:rPr>
          <w:snapToGrid w:val="0"/>
        </w:rPr>
        <w:t>.</w:t>
      </w:r>
      <w:r>
        <w:rPr>
          <w:snapToGrid w:val="0"/>
        </w:rPr>
        <w:tab/>
        <w:t xml:space="preserve">False </w:t>
      </w:r>
      <w:r>
        <w:t>statement to authorised person</w:t>
      </w:r>
      <w:bookmarkEnd w:id="1669"/>
      <w:bookmarkEnd w:id="1670"/>
      <w:bookmarkEnd w:id="1671"/>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1672" w:name="_Toc471912305"/>
      <w:bookmarkStart w:id="1673" w:name="_Toc391895044"/>
      <w:bookmarkStart w:id="1674" w:name="_Toc468179516"/>
      <w:r>
        <w:rPr>
          <w:rStyle w:val="CharSClsNo"/>
        </w:rPr>
        <w:t>4</w:t>
      </w:r>
      <w:r>
        <w:rPr>
          <w:snapToGrid w:val="0"/>
        </w:rPr>
        <w:t>.</w:t>
      </w:r>
      <w:r>
        <w:rPr>
          <w:snapToGrid w:val="0"/>
        </w:rPr>
        <w:tab/>
        <w:t>Failure to comply with cl. 1 requirement</w:t>
      </w:r>
      <w:bookmarkEnd w:id="1672"/>
      <w:bookmarkEnd w:id="1673"/>
      <w:bookmarkEnd w:id="1674"/>
    </w:p>
    <w:p>
      <w:pPr>
        <w:pStyle w:val="ySubsection"/>
        <w:keepNext/>
        <w:keepLines/>
        <w:rPr>
          <w:snapToGrid w:val="0"/>
        </w:rPr>
      </w:pPr>
      <w:r>
        <w:rPr>
          <w:snapToGrid w:val="0"/>
        </w:rPr>
        <w:tab/>
        <w:t>(1)</w:t>
      </w:r>
      <w:r>
        <w:rPr>
          <w:snapToGrid w:val="0"/>
        </w:rPr>
        <w:tab/>
        <w:t>A person must not, without lawful excuse, refuse or fail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outlineLvl w:val="0"/>
        <w:rPr>
          <w:snapToGrid w:val="0"/>
        </w:rPr>
      </w:pPr>
      <w:bookmarkStart w:id="1675" w:name="_Toc471912306"/>
      <w:bookmarkStart w:id="1676" w:name="_Toc391895045"/>
      <w:bookmarkStart w:id="1677" w:name="_Toc468179517"/>
      <w:r>
        <w:rPr>
          <w:rStyle w:val="CharSClsNo"/>
        </w:rPr>
        <w:t>5</w:t>
      </w:r>
      <w:r>
        <w:rPr>
          <w:snapToGrid w:val="0"/>
        </w:rPr>
        <w:t>.</w:t>
      </w:r>
      <w:r>
        <w:rPr>
          <w:snapToGrid w:val="0"/>
        </w:rPr>
        <w:tab/>
        <w:t xml:space="preserve">Legal </w:t>
      </w:r>
      <w:r>
        <w:t>professional</w:t>
      </w:r>
      <w:r>
        <w:rPr>
          <w:snapToGrid w:val="0"/>
        </w:rPr>
        <w:t xml:space="preserve"> privilege overridden</w:t>
      </w:r>
      <w:bookmarkEnd w:id="1675"/>
      <w:bookmarkEnd w:id="1676"/>
      <w:bookmarkEnd w:id="1677"/>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r>
        <w:tab/>
        <w:t>[Clause 5 inserted by No. 20 of 2002 s. 5.]</w:t>
      </w:r>
    </w:p>
    <w:p>
      <w:pPr>
        <w:pStyle w:val="yHeading5"/>
        <w:outlineLvl w:val="0"/>
        <w:rPr>
          <w:snapToGrid w:val="0"/>
        </w:rPr>
      </w:pPr>
      <w:bookmarkStart w:id="1678" w:name="_Toc471912307"/>
      <w:bookmarkStart w:id="1679" w:name="_Toc391895046"/>
      <w:bookmarkStart w:id="1680" w:name="_Toc468179518"/>
      <w:r>
        <w:rPr>
          <w:rStyle w:val="CharSClsNo"/>
        </w:rPr>
        <w:t>6</w:t>
      </w:r>
      <w:r>
        <w:rPr>
          <w:snapToGrid w:val="0"/>
        </w:rPr>
        <w:t>.</w:t>
      </w:r>
      <w:r>
        <w:rPr>
          <w:snapToGrid w:val="0"/>
        </w:rPr>
        <w:tab/>
      </w:r>
      <w:r>
        <w:t>Incriminating</w:t>
      </w:r>
      <w:r>
        <w:rPr>
          <w:snapToGrid w:val="0"/>
        </w:rPr>
        <w:t xml:space="preserve"> answers or documents</w:t>
      </w:r>
      <w:bookmarkEnd w:id="1678"/>
      <w:bookmarkEnd w:id="1679"/>
      <w:bookmarkEnd w:id="1680"/>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outlineLvl w:val="0"/>
      </w:pPr>
      <w:bookmarkStart w:id="1681" w:name="_Toc471912308"/>
      <w:bookmarkStart w:id="1682" w:name="_Toc391895047"/>
      <w:bookmarkStart w:id="1683" w:name="_Toc419713632"/>
      <w:bookmarkStart w:id="1684" w:name="_Toc435103276"/>
      <w:bookmarkStart w:id="1685" w:name="_Toc452556706"/>
      <w:bookmarkStart w:id="1686" w:name="_Toc455414286"/>
      <w:bookmarkStart w:id="1687" w:name="_Toc462415716"/>
      <w:bookmarkStart w:id="1688" w:name="_Toc462742627"/>
      <w:bookmarkStart w:id="1689" w:name="_Toc465086281"/>
      <w:bookmarkStart w:id="1690" w:name="_Toc468179519"/>
      <w:r>
        <w:t>Notes</w:t>
      </w:r>
      <w:bookmarkEnd w:id="1681"/>
      <w:bookmarkEnd w:id="1682"/>
      <w:bookmarkEnd w:id="1683"/>
      <w:bookmarkEnd w:id="1684"/>
      <w:bookmarkEnd w:id="1685"/>
      <w:bookmarkEnd w:id="1686"/>
      <w:bookmarkEnd w:id="1687"/>
      <w:bookmarkEnd w:id="1688"/>
      <w:bookmarkEnd w:id="1689"/>
      <w:bookmarkEnd w:id="1690"/>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691" w:name="_Toc471912309"/>
      <w:bookmarkStart w:id="1692" w:name="_Toc468179520"/>
      <w:r>
        <w:t>Compilation table</w:t>
      </w:r>
      <w:bookmarkEnd w:id="1691"/>
      <w:bookmarkEnd w:id="169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rPr>
                <w:i/>
              </w:rPr>
              <w:t>Industrial Arbitration Act 1979</w:t>
            </w:r>
            <w:r>
              <w:rPr>
                <w:i/>
                <w:vertAlign w:val="superscript"/>
              </w:rPr>
              <w:t> </w:t>
            </w:r>
            <w:r>
              <w:rPr>
                <w:vertAlign w:val="superscript"/>
              </w:rPr>
              <w:t>10</w:t>
            </w:r>
          </w:p>
        </w:tc>
        <w:tc>
          <w:tcPr>
            <w:tcW w:w="1134" w:type="dxa"/>
          </w:tcPr>
          <w:p>
            <w:pPr>
              <w:pStyle w:val="nTable"/>
              <w:spacing w:after="40"/>
            </w:pPr>
            <w:r>
              <w:t>114 of 1979</w:t>
            </w:r>
          </w:p>
        </w:tc>
        <w:tc>
          <w:tcPr>
            <w:tcW w:w="1134" w:type="dxa"/>
          </w:tcPr>
          <w:p>
            <w:pPr>
              <w:pStyle w:val="nTable"/>
              <w:spacing w:after="40"/>
            </w:pPr>
            <w:r>
              <w:t>21 Dec 1979</w:t>
            </w:r>
          </w:p>
        </w:tc>
        <w:tc>
          <w:tcPr>
            <w:tcW w:w="2551" w:type="dxa"/>
          </w:tcPr>
          <w:p>
            <w:pPr>
              <w:pStyle w:val="nTable"/>
              <w:spacing w:after="40"/>
            </w:pPr>
            <w:r>
              <w:t xml:space="preserve">1 Mar 1980 (see s. 2 and </w:t>
            </w:r>
            <w:r>
              <w:rPr>
                <w:i/>
              </w:rPr>
              <w:t>Gazette</w:t>
            </w:r>
            <w:r>
              <w:t xml:space="preserve"> 8 Feb 1980 p. 383)</w:t>
            </w:r>
          </w:p>
        </w:tc>
      </w:tr>
      <w:tr>
        <w:trPr>
          <w:cantSplit/>
        </w:trPr>
        <w:tc>
          <w:tcPr>
            <w:tcW w:w="2268" w:type="dxa"/>
          </w:tcPr>
          <w:p>
            <w:pPr>
              <w:pStyle w:val="nTable"/>
              <w:spacing w:after="40"/>
              <w:ind w:right="113"/>
            </w:pPr>
            <w:r>
              <w:rPr>
                <w:i/>
              </w:rPr>
              <w:t>Industrial Arbitration Amendment Act 1980</w:t>
            </w:r>
          </w:p>
        </w:tc>
        <w:tc>
          <w:tcPr>
            <w:tcW w:w="1134" w:type="dxa"/>
          </w:tcPr>
          <w:p>
            <w:pPr>
              <w:pStyle w:val="nTable"/>
              <w:spacing w:after="40"/>
            </w:pPr>
            <w:r>
              <w:t>82 of 1980</w:t>
            </w:r>
          </w:p>
        </w:tc>
        <w:tc>
          <w:tcPr>
            <w:tcW w:w="1134" w:type="dxa"/>
          </w:tcPr>
          <w:p>
            <w:pPr>
              <w:pStyle w:val="nTable"/>
              <w:spacing w:after="40"/>
            </w:pPr>
            <w:r>
              <w:t>5 Dec 1980</w:t>
            </w:r>
          </w:p>
        </w:tc>
        <w:tc>
          <w:tcPr>
            <w:tcW w:w="2551" w:type="dxa"/>
          </w:tcPr>
          <w:p>
            <w:pPr>
              <w:pStyle w:val="nTable"/>
              <w:spacing w:after="40"/>
            </w:pPr>
            <w:r>
              <w:t>5 Dec 1980</w:t>
            </w:r>
          </w:p>
        </w:tc>
      </w:tr>
      <w:tr>
        <w:trPr>
          <w:cantSplit/>
        </w:trPr>
        <w:tc>
          <w:tcPr>
            <w:tcW w:w="2268" w:type="dxa"/>
          </w:tcPr>
          <w:p>
            <w:pPr>
              <w:pStyle w:val="nTable"/>
              <w:spacing w:after="40"/>
              <w:ind w:right="113"/>
            </w:pPr>
            <w:r>
              <w:rPr>
                <w:i/>
              </w:rPr>
              <w:t>Industrial Arbitration Amendment Act 1981</w:t>
            </w:r>
          </w:p>
        </w:tc>
        <w:tc>
          <w:tcPr>
            <w:tcW w:w="1134" w:type="dxa"/>
          </w:tcPr>
          <w:p>
            <w:pPr>
              <w:pStyle w:val="nTable"/>
              <w:spacing w:after="40"/>
            </w:pPr>
            <w:r>
              <w:t>11 of 1981</w:t>
            </w:r>
          </w:p>
        </w:tc>
        <w:tc>
          <w:tcPr>
            <w:tcW w:w="1134" w:type="dxa"/>
          </w:tcPr>
          <w:p>
            <w:pPr>
              <w:pStyle w:val="nTable"/>
              <w:spacing w:after="40"/>
            </w:pPr>
            <w:r>
              <w:t>22 May 1981</w:t>
            </w:r>
          </w:p>
        </w:tc>
        <w:tc>
          <w:tcPr>
            <w:tcW w:w="2551" w:type="dxa"/>
          </w:tcPr>
          <w:p>
            <w:pPr>
              <w:pStyle w:val="nTable"/>
              <w:spacing w:after="40"/>
            </w:pPr>
            <w:r>
              <w:t>22 May 1981</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Industrial Arbitration Amendment Act (No. 2) 1982</w:t>
            </w:r>
          </w:p>
        </w:tc>
        <w:tc>
          <w:tcPr>
            <w:tcW w:w="1134" w:type="dxa"/>
          </w:tcPr>
          <w:p>
            <w:pPr>
              <w:pStyle w:val="nTable"/>
              <w:spacing w:after="40"/>
            </w:pPr>
            <w:r>
              <w:t>121 of 1982</w:t>
            </w:r>
          </w:p>
        </w:tc>
        <w:tc>
          <w:tcPr>
            <w:tcW w:w="1134" w:type="dxa"/>
          </w:tcPr>
          <w:p>
            <w:pPr>
              <w:pStyle w:val="nTable"/>
              <w:spacing w:after="40"/>
            </w:pPr>
            <w:r>
              <w:t>9 Dec 1982</w:t>
            </w:r>
          </w:p>
        </w:tc>
        <w:tc>
          <w:tcPr>
            <w:tcW w:w="2551" w:type="dxa"/>
          </w:tcPr>
          <w:p>
            <w:pPr>
              <w:pStyle w:val="nTable"/>
              <w:spacing w:after="40"/>
            </w:pPr>
            <w:r>
              <w:t>9 Dec 1982</w:t>
            </w:r>
          </w:p>
        </w:tc>
      </w:tr>
      <w:tr>
        <w:trPr>
          <w:cantSplit/>
        </w:trPr>
        <w:tc>
          <w:tcPr>
            <w:tcW w:w="7087" w:type="dxa"/>
            <w:gridSpan w:val="4"/>
          </w:tcPr>
          <w:p>
            <w:pPr>
              <w:pStyle w:val="nTable"/>
              <w:spacing w:after="40"/>
              <w:rPr>
                <w:b/>
              </w:rPr>
            </w:pPr>
            <w:r>
              <w:rPr>
                <w:b/>
              </w:rPr>
              <w:t xml:space="preserve">Reprint of the </w:t>
            </w:r>
            <w:r>
              <w:rPr>
                <w:b/>
                <w:i/>
              </w:rPr>
              <w:t xml:space="preserve">Industrial Arbitration Act 1979 </w:t>
            </w:r>
            <w:r>
              <w:rPr>
                <w:b/>
              </w:rPr>
              <w:t xml:space="preserve">approved 21 Mar 1983 </w:t>
            </w:r>
            <w:r>
              <w:t>(includes amendments listed above)</w:t>
            </w:r>
          </w:p>
        </w:tc>
      </w:tr>
      <w:tr>
        <w:trPr>
          <w:cantSplit/>
        </w:trPr>
        <w:tc>
          <w:tcPr>
            <w:tcW w:w="2268" w:type="dxa"/>
          </w:tcPr>
          <w:p>
            <w:pPr>
              <w:pStyle w:val="nTable"/>
              <w:spacing w:after="40"/>
              <w:ind w:right="113"/>
            </w:pPr>
            <w:r>
              <w:rPr>
                <w:i/>
              </w:rPr>
              <w:t>Industrial Arbitration Amendment Act (No. 2) 1984</w:t>
            </w:r>
          </w:p>
        </w:tc>
        <w:tc>
          <w:tcPr>
            <w:tcW w:w="1134" w:type="dxa"/>
          </w:tcPr>
          <w:p>
            <w:pPr>
              <w:pStyle w:val="nTable"/>
              <w:keepNext/>
              <w:spacing w:after="40"/>
            </w:pPr>
            <w:r>
              <w:t>92 of 1984</w:t>
            </w:r>
          </w:p>
        </w:tc>
        <w:tc>
          <w:tcPr>
            <w:tcW w:w="1134" w:type="dxa"/>
          </w:tcPr>
          <w:p>
            <w:pPr>
              <w:pStyle w:val="nTable"/>
              <w:spacing w:after="40"/>
            </w:pPr>
            <w:r>
              <w:t>29 Nov 1984</w:t>
            </w:r>
          </w:p>
        </w:tc>
        <w:tc>
          <w:tcPr>
            <w:tcW w:w="2551" w:type="dxa"/>
          </w:tcPr>
          <w:p>
            <w:pPr>
              <w:pStyle w:val="nTable"/>
              <w:spacing w:after="40"/>
            </w:pPr>
            <w:r>
              <w:t>Act other than s. 4 and 5: 29 Nov 1984 (see s. 2(1));</w:t>
            </w:r>
            <w:r>
              <w:br/>
              <w:t xml:space="preserve">s. 4 and 5: 1 Mar 1985 (see s. 2(2) and (3) and </w:t>
            </w:r>
            <w:r>
              <w:rPr>
                <w:i/>
              </w:rPr>
              <w:t>Gazette</w:t>
            </w:r>
            <w:r>
              <w:t xml:space="preserve"> 1 Mar 1985 p. 778) </w:t>
            </w:r>
          </w:p>
        </w:tc>
      </w:tr>
      <w:tr>
        <w:trPr>
          <w:cantSplit/>
        </w:trPr>
        <w:tc>
          <w:tcPr>
            <w:tcW w:w="2268" w:type="dxa"/>
          </w:tcPr>
          <w:p>
            <w:pPr>
              <w:pStyle w:val="nTable"/>
              <w:spacing w:after="40"/>
              <w:ind w:right="113"/>
            </w:pPr>
            <w:r>
              <w:rPr>
                <w:i/>
              </w:rPr>
              <w:t xml:space="preserve">Acts Amendment and Repeal (Industrial Relations) Act (No. 2) 1984 </w:t>
            </w:r>
            <w:r>
              <w:t>Pt. II</w:t>
            </w:r>
          </w:p>
        </w:tc>
        <w:tc>
          <w:tcPr>
            <w:tcW w:w="1134" w:type="dxa"/>
          </w:tcPr>
          <w:p>
            <w:pPr>
              <w:pStyle w:val="nTable"/>
              <w:spacing w:after="40"/>
            </w:pPr>
            <w:r>
              <w:t>94 of 1984</w:t>
            </w:r>
          </w:p>
        </w:tc>
        <w:tc>
          <w:tcPr>
            <w:tcW w:w="1134" w:type="dxa"/>
          </w:tcPr>
          <w:p>
            <w:pPr>
              <w:pStyle w:val="nTable"/>
              <w:spacing w:after="40"/>
            </w:pPr>
            <w:r>
              <w:t>11 Dec 1984</w:t>
            </w:r>
          </w:p>
        </w:tc>
        <w:tc>
          <w:tcPr>
            <w:tcW w:w="2551" w:type="dxa"/>
          </w:tcPr>
          <w:p>
            <w:pPr>
              <w:pStyle w:val="nTable"/>
              <w:spacing w:after="40"/>
            </w:pPr>
            <w:r>
              <w:t xml:space="preserve">1 Mar 1985 (see s. 2(2) and </w:t>
            </w:r>
            <w:r>
              <w:rPr>
                <w:i/>
              </w:rPr>
              <w:t>Gazette</w:t>
            </w:r>
            <w:r>
              <w:t xml:space="preserve"> 1 Mar 1985 p. 778)</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12 May 1985 </w:t>
            </w:r>
            <w:r>
              <w:t>(includes amendments listed above)</w:t>
            </w:r>
          </w:p>
        </w:tc>
      </w:tr>
      <w:tr>
        <w:trPr>
          <w:cantSplit/>
        </w:trPr>
        <w:tc>
          <w:tcPr>
            <w:tcW w:w="2268" w:type="dxa"/>
          </w:tcPr>
          <w:p>
            <w:pPr>
              <w:pStyle w:val="nTable"/>
              <w:spacing w:after="40"/>
              <w:ind w:right="113"/>
            </w:pPr>
            <w:r>
              <w:rPr>
                <w:i/>
              </w:rPr>
              <w:t>Industrial Relations Amendment Act 1985</w:t>
            </w:r>
          </w:p>
        </w:tc>
        <w:tc>
          <w:tcPr>
            <w:tcW w:w="1134" w:type="dxa"/>
          </w:tcPr>
          <w:p>
            <w:pPr>
              <w:pStyle w:val="nTable"/>
              <w:spacing w:after="40"/>
            </w:pPr>
            <w:r>
              <w:t>42 of 1985</w:t>
            </w:r>
          </w:p>
        </w:tc>
        <w:tc>
          <w:tcPr>
            <w:tcW w:w="1134" w:type="dxa"/>
          </w:tcPr>
          <w:p>
            <w:pPr>
              <w:pStyle w:val="nTable"/>
              <w:spacing w:after="40"/>
            </w:pPr>
            <w:r>
              <w:t>13 May 1985</w:t>
            </w:r>
          </w:p>
        </w:tc>
        <w:tc>
          <w:tcPr>
            <w:tcW w:w="2551" w:type="dxa"/>
          </w:tcPr>
          <w:p>
            <w:pPr>
              <w:pStyle w:val="nTable"/>
              <w:spacing w:after="40"/>
            </w:pPr>
            <w:r>
              <w:t>13 May 1985 (see s. 2)</w:t>
            </w:r>
          </w:p>
        </w:tc>
      </w:tr>
      <w:tr>
        <w:trPr>
          <w:cantSplit/>
        </w:trPr>
        <w:tc>
          <w:tcPr>
            <w:tcW w:w="7087" w:type="dxa"/>
            <w:gridSpan w:val="4"/>
          </w:tcPr>
          <w:p>
            <w:pPr>
              <w:pStyle w:val="nTable"/>
              <w:spacing w:after="40"/>
            </w:pPr>
            <w:r>
              <w:rPr>
                <w:b/>
              </w:rPr>
              <w:t xml:space="preserve">Reprint of the </w:t>
            </w:r>
            <w:r>
              <w:rPr>
                <w:b/>
                <w:i/>
              </w:rPr>
              <w:t xml:space="preserve">Industrial Relations Act 1979 </w:t>
            </w:r>
            <w:r>
              <w:rPr>
                <w:b/>
              </w:rPr>
              <w:t xml:space="preserve">as at 9 Jun 1985  </w:t>
            </w:r>
            <w:r>
              <w:t xml:space="preserve">(does not include amendments in the </w:t>
            </w:r>
            <w:r>
              <w:rPr>
                <w:i/>
              </w:rPr>
              <w:t>Industrial Relations Amendment Act 1985</w:t>
            </w:r>
            <w:r>
              <w:t>)</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Judges’ Salaries and Pensions Amendment Act 1987 </w:t>
            </w:r>
            <w:r>
              <w:t>s. 8</w:t>
            </w:r>
          </w:p>
        </w:tc>
        <w:tc>
          <w:tcPr>
            <w:tcW w:w="1134" w:type="dxa"/>
          </w:tcPr>
          <w:p>
            <w:pPr>
              <w:pStyle w:val="nTable"/>
              <w:spacing w:after="40"/>
            </w:pPr>
            <w:r>
              <w:t>82 of 1987</w:t>
            </w:r>
          </w:p>
        </w:tc>
        <w:tc>
          <w:tcPr>
            <w:tcW w:w="1134" w:type="dxa"/>
          </w:tcPr>
          <w:p>
            <w:pPr>
              <w:pStyle w:val="nTable"/>
              <w:spacing w:after="40"/>
            </w:pPr>
            <w:r>
              <w:t>1 Dec 1987</w:t>
            </w:r>
          </w:p>
        </w:tc>
        <w:tc>
          <w:tcPr>
            <w:tcW w:w="2551" w:type="dxa"/>
          </w:tcPr>
          <w:p>
            <w:pPr>
              <w:pStyle w:val="nTable"/>
              <w:spacing w:after="40"/>
            </w:pPr>
            <w:r>
              <w:t>1 Dec 1987 (see s. 2)</w:t>
            </w:r>
          </w:p>
        </w:tc>
      </w:tr>
      <w:tr>
        <w:trPr>
          <w:cantSplit/>
        </w:trPr>
        <w:tc>
          <w:tcPr>
            <w:tcW w:w="2268" w:type="dxa"/>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 </w:t>
            </w:r>
            <w:r>
              <w:t>s. 38</w:t>
            </w:r>
          </w:p>
        </w:tc>
        <w:tc>
          <w:tcPr>
            <w:tcW w:w="1134" w:type="dxa"/>
          </w:tcPr>
          <w:p>
            <w:pPr>
              <w:pStyle w:val="nTable"/>
              <w:spacing w:after="40"/>
            </w:pPr>
            <w:r>
              <w:t>83 of 1987</w:t>
            </w:r>
          </w:p>
        </w:tc>
        <w:tc>
          <w:tcPr>
            <w:tcW w:w="1134" w:type="dxa"/>
          </w:tcPr>
          <w:p>
            <w:pPr>
              <w:pStyle w:val="nTable"/>
              <w:spacing w:after="40"/>
            </w:pPr>
            <w:r>
              <w:t>1 Dec 1987</w:t>
            </w:r>
          </w:p>
        </w:tc>
        <w:tc>
          <w:tcPr>
            <w:tcW w:w="2551" w:type="dxa"/>
          </w:tcPr>
          <w:p>
            <w:pPr>
              <w:pStyle w:val="nTable"/>
              <w:spacing w:after="40"/>
            </w:pPr>
            <w:r>
              <w:t>1 Apr 1988 (see s. 2)</w:t>
            </w:r>
          </w:p>
        </w:tc>
      </w:tr>
      <w:tr>
        <w:trPr>
          <w:cantSplit/>
        </w:trPr>
        <w:tc>
          <w:tcPr>
            <w:tcW w:w="2268" w:type="dxa"/>
          </w:tcPr>
          <w:p>
            <w:pPr>
              <w:pStyle w:val="nTable"/>
              <w:spacing w:after="40"/>
              <w:ind w:right="113"/>
            </w:pPr>
            <w:r>
              <w:rPr>
                <w:i/>
              </w:rPr>
              <w:t>Industrial Relations Amendment Act (No. 4) 1987</w:t>
            </w:r>
          </w:p>
        </w:tc>
        <w:tc>
          <w:tcPr>
            <w:tcW w:w="1134" w:type="dxa"/>
          </w:tcPr>
          <w:p>
            <w:pPr>
              <w:pStyle w:val="nTable"/>
              <w:keepNext/>
              <w:spacing w:after="40"/>
            </w:pPr>
            <w:r>
              <w:t>119 of 1987</w:t>
            </w:r>
          </w:p>
        </w:tc>
        <w:tc>
          <w:tcPr>
            <w:tcW w:w="1134" w:type="dxa"/>
          </w:tcPr>
          <w:p>
            <w:pPr>
              <w:pStyle w:val="nTable"/>
              <w:spacing w:after="40"/>
            </w:pPr>
            <w:r>
              <w:t>31 Dec 1987</w:t>
            </w:r>
          </w:p>
        </w:tc>
        <w:tc>
          <w:tcPr>
            <w:tcW w:w="2551" w:type="dxa"/>
          </w:tcPr>
          <w:p>
            <w:pPr>
              <w:pStyle w:val="nTable"/>
              <w:spacing w:after="40"/>
            </w:pPr>
            <w:r>
              <w:rPr>
                <w:spacing w:val="-2"/>
              </w:rPr>
              <w:t>s. 1 and 2: 31 Dec 1987;</w:t>
            </w:r>
            <w:r>
              <w:rPr>
                <w:spacing w:val="-2"/>
              </w:rPr>
              <w:br/>
              <w:t xml:space="preserve">Act other than </w:t>
            </w:r>
            <w:r>
              <w:t xml:space="preserve">s. 1, 2 and 7(1): 4 Mar 1988 (see s. 2 and </w:t>
            </w:r>
            <w:r>
              <w:rPr>
                <w:i/>
              </w:rPr>
              <w:t>Gazette</w:t>
            </w:r>
            <w:r>
              <w:t xml:space="preserve"> 4 Mar 1988 p. 665); </w:t>
            </w:r>
            <w:r>
              <w:br/>
              <w:t xml:space="preserve">s. 7(1): 3 Nov 1992 (see s. 2 </w:t>
            </w:r>
            <w:r>
              <w:rPr>
                <w:spacing w:val="-4"/>
              </w:rPr>
              <w:t xml:space="preserve">and </w:t>
            </w:r>
            <w:r>
              <w:rPr>
                <w:i/>
                <w:spacing w:val="-4"/>
              </w:rPr>
              <w:t>Gazette</w:t>
            </w:r>
            <w:r>
              <w:rPr>
                <w:spacing w:val="-4"/>
              </w:rPr>
              <w:t xml:space="preserve"> 3 Nov 1992 p. 5389)</w:t>
            </w:r>
            <w:r>
              <w:t xml:space="preserve"> </w:t>
            </w:r>
          </w:p>
        </w:tc>
      </w:tr>
      <w:tr>
        <w:trPr>
          <w:cantSplit/>
        </w:trPr>
        <w:tc>
          <w:tcPr>
            <w:tcW w:w="2268" w:type="dxa"/>
          </w:tcPr>
          <w:p>
            <w:pPr>
              <w:pStyle w:val="nTable"/>
              <w:spacing w:after="40"/>
              <w:ind w:right="113"/>
            </w:pPr>
            <w:r>
              <w:rPr>
                <w:i/>
              </w:rPr>
              <w:t xml:space="preserve">Acts Amendment (Education) Act 1988 </w:t>
            </w:r>
            <w:r>
              <w:t>Pt. 6</w:t>
            </w:r>
          </w:p>
        </w:tc>
        <w:tc>
          <w:tcPr>
            <w:tcW w:w="1134" w:type="dxa"/>
          </w:tcPr>
          <w:p>
            <w:pPr>
              <w:pStyle w:val="nTable"/>
              <w:spacing w:after="40"/>
            </w:pPr>
            <w:r>
              <w:t>7 of 1988</w:t>
            </w:r>
          </w:p>
        </w:tc>
        <w:tc>
          <w:tcPr>
            <w:tcW w:w="1134" w:type="dxa"/>
          </w:tcPr>
          <w:p>
            <w:pPr>
              <w:pStyle w:val="nTable"/>
              <w:spacing w:after="40"/>
            </w:pPr>
            <w:r>
              <w:t>30 Jun 1988</w:t>
            </w:r>
          </w:p>
        </w:tc>
        <w:tc>
          <w:tcPr>
            <w:tcW w:w="2551" w:type="dxa"/>
          </w:tcPr>
          <w:p>
            <w:pPr>
              <w:pStyle w:val="nTable"/>
              <w:spacing w:after="40"/>
            </w:pPr>
            <w:r>
              <w:t xml:space="preserve">8 Jul 1988 (see s. 2 and </w:t>
            </w:r>
            <w:r>
              <w:rPr>
                <w:i/>
              </w:rPr>
              <w:t>Gazette</w:t>
            </w:r>
            <w:r>
              <w:t xml:space="preserve"> 8 Jul 1988 p. 2371)</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1"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rPr>
                <w:spacing w:val="-2"/>
                <w:vertAlign w:val="superscript"/>
              </w:rPr>
            </w:pPr>
            <w:r>
              <w:rPr>
                <w:i/>
                <w:spacing w:val="-2"/>
              </w:rPr>
              <w:t>Industrial Relations Amendment Act 1990</w:t>
            </w:r>
            <w:r>
              <w:rPr>
                <w:spacing w:val="-2"/>
                <w:vertAlign w:val="superscript"/>
              </w:rPr>
              <w:t> 11</w:t>
            </w:r>
          </w:p>
        </w:tc>
        <w:tc>
          <w:tcPr>
            <w:tcW w:w="1134" w:type="dxa"/>
          </w:tcPr>
          <w:p>
            <w:pPr>
              <w:pStyle w:val="nTable"/>
              <w:spacing w:after="40"/>
              <w:rPr>
                <w:rFonts w:ascii="Times" w:hAnsi="Times"/>
                <w:spacing w:val="-2"/>
                <w:vertAlign w:val="superscript"/>
              </w:rPr>
            </w:pPr>
            <w:r>
              <w:rPr>
                <w:spacing w:val="-2"/>
              </w:rPr>
              <w:t>99 of 1990 (as amended by No. 1 of 1995 s. 35)</w:t>
            </w:r>
          </w:p>
        </w:tc>
        <w:tc>
          <w:tcPr>
            <w:tcW w:w="1134" w:type="dxa"/>
          </w:tcPr>
          <w:p>
            <w:pPr>
              <w:pStyle w:val="nTable"/>
              <w:spacing w:after="40"/>
            </w:pPr>
            <w:r>
              <w:t>22 Dec 1990</w:t>
            </w:r>
          </w:p>
        </w:tc>
        <w:tc>
          <w:tcPr>
            <w:tcW w:w="2551" w:type="dxa"/>
          </w:tcPr>
          <w:p>
            <w:pPr>
              <w:pStyle w:val="nTable"/>
              <w:spacing w:after="40"/>
            </w:pPr>
            <w:r>
              <w:rPr>
                <w:spacing w:val="-2"/>
              </w:rPr>
              <w:t>Act other than s. 10 and 14: 19 Jan 1991 (see s. 2(1));</w:t>
            </w:r>
            <w:r>
              <w:rPr>
                <w:spacing w:val="-2"/>
              </w:rPr>
              <w:br/>
              <w:t xml:space="preserve">s. 10: 21 Jun 1991 (see s. 2(2) </w:t>
            </w:r>
            <w:r>
              <w:rPr>
                <w:spacing w:val="-4"/>
              </w:rPr>
              <w:t xml:space="preserve">and </w:t>
            </w:r>
            <w:r>
              <w:rPr>
                <w:i/>
                <w:spacing w:val="-4"/>
              </w:rPr>
              <w:t>Gazette</w:t>
            </w:r>
            <w:r>
              <w:rPr>
                <w:spacing w:val="-4"/>
              </w:rPr>
              <w:t xml:space="preserve"> 21 Jun 1991 p. 3005)</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12 Jun 1991 </w:t>
            </w:r>
            <w:r>
              <w:t xml:space="preserve">(includes amendments listed above except those in the </w:t>
            </w:r>
            <w:r>
              <w:rPr>
                <w:i/>
                <w:spacing w:val="-2"/>
              </w:rPr>
              <w:t xml:space="preserve">Industrial Relations Amendment Act 1990 </w:t>
            </w:r>
            <w:r>
              <w:rPr>
                <w:spacing w:val="-2"/>
              </w:rPr>
              <w:t>s. 10 and 14</w:t>
            </w:r>
            <w:r>
              <w:rPr>
                <w:spacing w:val="-2"/>
                <w:vertAlign w:val="superscript"/>
              </w:rPr>
              <w:t> 11</w:t>
            </w:r>
            <w:r>
              <w:t>)</w:t>
            </w:r>
          </w:p>
        </w:tc>
      </w:tr>
      <w:tr>
        <w:trPr>
          <w:cantSplit/>
        </w:trPr>
        <w:tc>
          <w:tcPr>
            <w:tcW w:w="2268" w:type="dxa"/>
          </w:tcPr>
          <w:p>
            <w:pPr>
              <w:pStyle w:val="nTable"/>
              <w:spacing w:after="40"/>
              <w:ind w:right="113"/>
              <w:rPr>
                <w:spacing w:val="-2"/>
                <w:vertAlign w:val="superscript"/>
              </w:rPr>
            </w:pPr>
            <w:r>
              <w:rPr>
                <w:i/>
                <w:spacing w:val="-2"/>
              </w:rPr>
              <w:t xml:space="preserve">Acts Amendment (Industrial Magistrate’s Courts) Act 1991 </w:t>
            </w:r>
            <w:r>
              <w:rPr>
                <w:spacing w:val="-2"/>
              </w:rPr>
              <w:t>Pt. 3</w:t>
            </w:r>
            <w:r>
              <w:rPr>
                <w:spacing w:val="-2"/>
                <w:vertAlign w:val="superscript"/>
              </w:rPr>
              <w:t xml:space="preserve"> 12</w:t>
            </w:r>
          </w:p>
        </w:tc>
        <w:tc>
          <w:tcPr>
            <w:tcW w:w="1134" w:type="dxa"/>
          </w:tcPr>
          <w:p>
            <w:pPr>
              <w:pStyle w:val="nTable"/>
              <w:spacing w:after="40"/>
              <w:rPr>
                <w:spacing w:val="-2"/>
              </w:rPr>
            </w:pPr>
            <w:r>
              <w:rPr>
                <w:spacing w:val="-2"/>
              </w:rPr>
              <w:t>44 of 1991</w:t>
            </w:r>
          </w:p>
        </w:tc>
        <w:tc>
          <w:tcPr>
            <w:tcW w:w="1134" w:type="dxa"/>
          </w:tcPr>
          <w:p>
            <w:pPr>
              <w:pStyle w:val="nTable"/>
              <w:spacing w:after="40"/>
            </w:pPr>
            <w:r>
              <w:rPr>
                <w:spacing w:val="-2"/>
              </w:rPr>
              <w:t>17 Dec 1991</w:t>
            </w:r>
          </w:p>
        </w:tc>
        <w:tc>
          <w:tcPr>
            <w:tcW w:w="2551" w:type="dxa"/>
          </w:tcPr>
          <w:p>
            <w:pPr>
              <w:pStyle w:val="nTable"/>
              <w:spacing w:after="40"/>
            </w:pPr>
            <w:r>
              <w:rPr>
                <w:spacing w:val="-2"/>
              </w:rPr>
              <w:t xml:space="preserve">3 Jan 1992 (see s. 2 and </w:t>
            </w:r>
            <w:r>
              <w:rPr>
                <w:i/>
                <w:spacing w:val="-2"/>
              </w:rPr>
              <w:t>Gazette</w:t>
            </w:r>
            <w:r>
              <w:rPr>
                <w:spacing w:val="-2"/>
              </w:rPr>
              <w:t xml:space="preserve"> 3 Jan 1992 p. 41)</w:t>
            </w:r>
          </w:p>
        </w:tc>
      </w:tr>
      <w:tr>
        <w:trPr>
          <w:cantSplit/>
        </w:trPr>
        <w:tc>
          <w:tcPr>
            <w:tcW w:w="2268" w:type="dxa"/>
          </w:tcPr>
          <w:p>
            <w:pPr>
              <w:pStyle w:val="nTable"/>
              <w:spacing w:after="40"/>
              <w:ind w:right="113"/>
            </w:pPr>
            <w:smartTag w:uri="urn:schemas-microsoft-com:office:smarttags" w:element="place">
              <w:smartTag w:uri="urn:schemas-microsoft-com:office:smarttags" w:element="PlaceName">
                <w:r>
                  <w:rPr>
                    <w:i/>
                    <w:spacing w:val="-2"/>
                  </w:rPr>
                  <w:t>Western</w:t>
                </w:r>
              </w:smartTag>
              <w:r>
                <w:rPr>
                  <w:i/>
                  <w:spacing w:val="-2"/>
                </w:rPr>
                <w:t xml:space="preserve"> </w:t>
              </w:r>
              <w:smartTag w:uri="urn:schemas-microsoft-com:office:smarttags" w:element="PlaceName">
                <w:r>
                  <w:rPr>
                    <w:i/>
                    <w:spacing w:val="-2"/>
                  </w:rPr>
                  <w:t>Australian</w:t>
                </w:r>
              </w:smartTag>
              <w:r>
                <w:rPr>
                  <w:i/>
                  <w:spacing w:val="-2"/>
                </w:rPr>
                <w:t xml:space="preserve"> </w:t>
              </w:r>
              <w:smartTag w:uri="urn:schemas-microsoft-com:office:smarttags" w:element="PlaceType">
                <w:r>
                  <w:rPr>
                    <w:i/>
                    <w:spacing w:val="-2"/>
                  </w:rPr>
                  <w:t>Land</w:t>
                </w:r>
              </w:smartTag>
            </w:smartTag>
            <w:r>
              <w:rPr>
                <w:i/>
                <w:spacing w:val="-2"/>
              </w:rPr>
              <w:t xml:space="preserve"> Authority Act 1992</w:t>
            </w:r>
            <w:r>
              <w:rPr>
                <w:spacing w:val="-2"/>
              </w:rPr>
              <w:t xml:space="preserve"> s. 49</w:t>
            </w:r>
          </w:p>
        </w:tc>
        <w:tc>
          <w:tcPr>
            <w:tcW w:w="1134" w:type="dxa"/>
          </w:tcPr>
          <w:p>
            <w:pPr>
              <w:pStyle w:val="nTable"/>
              <w:spacing w:after="40"/>
              <w:rPr>
                <w:spacing w:val="-2"/>
              </w:rPr>
            </w:pPr>
            <w:r>
              <w:rPr>
                <w:spacing w:val="-2"/>
              </w:rPr>
              <w:t>35 of 1992</w:t>
            </w:r>
          </w:p>
        </w:tc>
        <w:tc>
          <w:tcPr>
            <w:tcW w:w="1134" w:type="dxa"/>
          </w:tcPr>
          <w:p>
            <w:pPr>
              <w:pStyle w:val="nTable"/>
              <w:spacing w:after="40"/>
            </w:pPr>
            <w:r>
              <w:rPr>
                <w:spacing w:val="-2"/>
              </w:rPr>
              <w:t>23 Jun 1992</w:t>
            </w:r>
          </w:p>
        </w:tc>
        <w:tc>
          <w:tcPr>
            <w:tcW w:w="2551" w:type="dxa"/>
          </w:tcPr>
          <w:p>
            <w:pPr>
              <w:pStyle w:val="nTable"/>
              <w:spacing w:after="40"/>
            </w:pPr>
            <w:r>
              <w:rPr>
                <w:spacing w:val="-2"/>
              </w:rPr>
              <w:t xml:space="preserve">1 Jul 1992 (see s. 2(2) and </w:t>
            </w:r>
            <w:r>
              <w:rPr>
                <w:i/>
                <w:spacing w:val="-2"/>
              </w:rPr>
              <w:t>Gazette</w:t>
            </w:r>
            <w:r>
              <w:rPr>
                <w:spacing w:val="-2"/>
              </w:rPr>
              <w:t xml:space="preserve"> 30 Jun 1992 p. 2869)</w:t>
            </w:r>
          </w:p>
        </w:tc>
      </w:tr>
      <w:tr>
        <w:trPr>
          <w:cantSplit/>
        </w:trPr>
        <w:tc>
          <w:tcPr>
            <w:tcW w:w="2268" w:type="dxa"/>
          </w:tcPr>
          <w:p>
            <w:pPr>
              <w:pStyle w:val="nTable"/>
              <w:spacing w:after="40"/>
              <w:ind w:right="113"/>
              <w:rPr>
                <w:spacing w:val="-2"/>
                <w:vertAlign w:val="superscript"/>
              </w:rPr>
            </w:pPr>
            <w:r>
              <w:rPr>
                <w:i/>
                <w:spacing w:val="-2"/>
              </w:rPr>
              <w:t xml:space="preserve">Acts Amendment (Parliamentary, Electorate and Gubernatorial Staff) Act 1992 </w:t>
            </w:r>
            <w:r>
              <w:rPr>
                <w:spacing w:val="-2"/>
              </w:rPr>
              <w:t>Pt. 4</w:t>
            </w:r>
            <w:r>
              <w:rPr>
                <w:spacing w:val="-2"/>
                <w:vertAlign w:val="superscript"/>
              </w:rPr>
              <w:t> 13</w:t>
            </w:r>
          </w:p>
        </w:tc>
        <w:tc>
          <w:tcPr>
            <w:tcW w:w="1134" w:type="dxa"/>
          </w:tcPr>
          <w:p>
            <w:pPr>
              <w:pStyle w:val="nTable"/>
              <w:keepNext/>
              <w:spacing w:after="40"/>
              <w:rPr>
                <w:spacing w:val="-2"/>
              </w:rPr>
            </w:pPr>
            <w:r>
              <w:rPr>
                <w:spacing w:val="-2"/>
              </w:rPr>
              <w:t>40 of 1992</w:t>
            </w:r>
          </w:p>
        </w:tc>
        <w:tc>
          <w:tcPr>
            <w:tcW w:w="1134" w:type="dxa"/>
          </w:tcPr>
          <w:p>
            <w:pPr>
              <w:pStyle w:val="nTable"/>
              <w:spacing w:after="40"/>
            </w:pPr>
            <w:r>
              <w:rPr>
                <w:spacing w:val="-2"/>
              </w:rPr>
              <w:t>2 Oct 1992</w:t>
            </w:r>
          </w:p>
        </w:tc>
        <w:tc>
          <w:tcPr>
            <w:tcW w:w="2551" w:type="dxa"/>
          </w:tcPr>
          <w:p>
            <w:pPr>
              <w:pStyle w:val="nTable"/>
              <w:spacing w:after="40"/>
            </w:pPr>
            <w:r>
              <w:rPr>
                <w:spacing w:val="-2"/>
              </w:rPr>
              <w:t xml:space="preserve">3 Nov 1992 (see s. 2 and </w:t>
            </w:r>
            <w:r>
              <w:rPr>
                <w:i/>
                <w:spacing w:val="-2"/>
              </w:rPr>
              <w:t>Gazette</w:t>
            </w:r>
            <w:r>
              <w:rPr>
                <w:spacing w:val="-2"/>
              </w:rPr>
              <w:t xml:space="preserve"> 3 Nov 1992 p. 5389)</w:t>
            </w:r>
          </w:p>
        </w:tc>
      </w:tr>
      <w:tr>
        <w:trPr>
          <w:cantSplit/>
        </w:trPr>
        <w:tc>
          <w:tcPr>
            <w:tcW w:w="2268" w:type="dxa"/>
          </w:tcPr>
          <w:p>
            <w:pPr>
              <w:pStyle w:val="nTable"/>
              <w:spacing w:after="40"/>
              <w:ind w:right="113"/>
            </w:pPr>
            <w:r>
              <w:rPr>
                <w:i/>
                <w:spacing w:val="-2"/>
              </w:rPr>
              <w:t xml:space="preserve">Financial Administration Legislation Amendment Act 1993 </w:t>
            </w:r>
            <w:r>
              <w:rPr>
                <w:spacing w:val="-2"/>
              </w:rPr>
              <w:t>s. 11</w:t>
            </w:r>
          </w:p>
        </w:tc>
        <w:tc>
          <w:tcPr>
            <w:tcW w:w="1134" w:type="dxa"/>
          </w:tcPr>
          <w:p>
            <w:pPr>
              <w:pStyle w:val="nTable"/>
              <w:spacing w:after="40"/>
              <w:rPr>
                <w:spacing w:val="-2"/>
              </w:rPr>
            </w:pPr>
            <w:r>
              <w:rPr>
                <w:spacing w:val="-2"/>
              </w:rPr>
              <w:t>6 of 1993</w:t>
            </w:r>
          </w:p>
        </w:tc>
        <w:tc>
          <w:tcPr>
            <w:tcW w:w="1134" w:type="dxa"/>
          </w:tcPr>
          <w:p>
            <w:pPr>
              <w:pStyle w:val="nTable"/>
              <w:spacing w:after="40"/>
            </w:pPr>
            <w:r>
              <w:rPr>
                <w:spacing w:val="-2"/>
              </w:rPr>
              <w:t>27 Aug 1993</w:t>
            </w:r>
          </w:p>
        </w:tc>
        <w:tc>
          <w:tcPr>
            <w:tcW w:w="2551" w:type="dxa"/>
          </w:tcPr>
          <w:p>
            <w:pPr>
              <w:pStyle w:val="nTable"/>
              <w:spacing w:after="40"/>
            </w:pPr>
            <w:r>
              <w:rPr>
                <w:spacing w:val="-2"/>
              </w:rPr>
              <w:t>1 Jul 1993 (see s. 2(1))</w:t>
            </w:r>
          </w:p>
        </w:tc>
      </w:tr>
      <w:tr>
        <w:trPr>
          <w:cantSplit/>
        </w:trPr>
        <w:tc>
          <w:tcPr>
            <w:tcW w:w="2268" w:type="dxa"/>
          </w:tcPr>
          <w:p>
            <w:pPr>
              <w:pStyle w:val="nTable"/>
              <w:spacing w:after="40"/>
              <w:ind w:right="113"/>
              <w:rPr>
                <w:spacing w:val="-2"/>
                <w:vertAlign w:val="superscript"/>
              </w:rPr>
            </w:pPr>
            <w:r>
              <w:rPr>
                <w:i/>
                <w:spacing w:val="-2"/>
              </w:rPr>
              <w:t>Industrial Relations Amendment Act 1993</w:t>
            </w:r>
            <w:r>
              <w:rPr>
                <w:i/>
                <w:spacing w:val="-2"/>
                <w:vertAlign w:val="superscript"/>
              </w:rPr>
              <w:t> </w:t>
            </w:r>
            <w:r>
              <w:rPr>
                <w:spacing w:val="-2"/>
                <w:vertAlign w:val="superscript"/>
              </w:rPr>
              <w:t>14</w:t>
            </w:r>
          </w:p>
        </w:tc>
        <w:tc>
          <w:tcPr>
            <w:tcW w:w="1134" w:type="dxa"/>
          </w:tcPr>
          <w:p>
            <w:pPr>
              <w:pStyle w:val="nTable"/>
              <w:spacing w:after="40"/>
              <w:rPr>
                <w:spacing w:val="-2"/>
              </w:rPr>
            </w:pPr>
            <w:r>
              <w:rPr>
                <w:spacing w:val="-2"/>
              </w:rPr>
              <w:t>15 of 1993</w:t>
            </w:r>
          </w:p>
        </w:tc>
        <w:tc>
          <w:tcPr>
            <w:tcW w:w="1134" w:type="dxa"/>
          </w:tcPr>
          <w:p>
            <w:pPr>
              <w:pStyle w:val="nTable"/>
              <w:spacing w:after="40"/>
            </w:pPr>
            <w:r>
              <w:rPr>
                <w:spacing w:val="-2"/>
              </w:rPr>
              <w:t>29 Nov 1993</w:t>
            </w:r>
          </w:p>
        </w:tc>
        <w:tc>
          <w:tcPr>
            <w:tcW w:w="2551" w:type="dxa"/>
          </w:tcPr>
          <w:p>
            <w:pPr>
              <w:pStyle w:val="nTable"/>
              <w:spacing w:after="40"/>
            </w:pPr>
            <w:r>
              <w:rPr>
                <w:spacing w:val="-2"/>
              </w:rPr>
              <w:t xml:space="preserve">1 Dec 1993 (see s. 2 and </w:t>
            </w:r>
            <w:r>
              <w:rPr>
                <w:i/>
                <w:spacing w:val="-2"/>
              </w:rPr>
              <w:t>Gazette</w:t>
            </w:r>
            <w:r>
              <w:rPr>
                <w:spacing w:val="-2"/>
              </w:rPr>
              <w:t xml:space="preserve"> 30 Nov 1993 p. 6439)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11 May 1994 </w:t>
            </w:r>
            <w:r>
              <w:t xml:space="preserve">(includes amendments listed above except those in the </w:t>
            </w:r>
            <w:r>
              <w:rPr>
                <w:i/>
                <w:spacing w:val="-2"/>
              </w:rPr>
              <w:t xml:space="preserve">Industrial Relations Amendment Act 1990 </w:t>
            </w:r>
            <w:r>
              <w:rPr>
                <w:spacing w:val="-2"/>
              </w:rPr>
              <w:t>s. 14</w:t>
            </w:r>
            <w:r>
              <w:t>)</w:t>
            </w:r>
          </w:p>
        </w:tc>
      </w:tr>
      <w:tr>
        <w:trPr>
          <w:cantSplit/>
        </w:trPr>
        <w:tc>
          <w:tcPr>
            <w:tcW w:w="2268" w:type="dxa"/>
          </w:tcPr>
          <w:p>
            <w:pPr>
              <w:pStyle w:val="nTable"/>
              <w:spacing w:after="40"/>
              <w:ind w:right="113"/>
            </w:pPr>
            <w:r>
              <w:rPr>
                <w:i/>
                <w:spacing w:val="-2"/>
              </w:rPr>
              <w:t xml:space="preserve">Acts Amendment (Public Sector Management) Act 1994 </w:t>
            </w:r>
            <w:r>
              <w:rPr>
                <w:spacing w:val="-2"/>
              </w:rPr>
              <w:t>s. 14</w:t>
            </w:r>
          </w:p>
        </w:tc>
        <w:tc>
          <w:tcPr>
            <w:tcW w:w="1134" w:type="dxa"/>
          </w:tcPr>
          <w:p>
            <w:pPr>
              <w:pStyle w:val="nTable"/>
              <w:spacing w:after="40"/>
              <w:rPr>
                <w:spacing w:val="-2"/>
              </w:rPr>
            </w:pPr>
            <w:r>
              <w:rPr>
                <w:spacing w:val="-2"/>
              </w:rPr>
              <w:t>32 of 1994</w:t>
            </w:r>
          </w:p>
        </w:tc>
        <w:tc>
          <w:tcPr>
            <w:tcW w:w="1134" w:type="dxa"/>
          </w:tcPr>
          <w:p>
            <w:pPr>
              <w:pStyle w:val="nTable"/>
              <w:spacing w:after="40"/>
            </w:pPr>
            <w:r>
              <w:rPr>
                <w:spacing w:val="-2"/>
              </w:rPr>
              <w:t>29 Jun 1994</w:t>
            </w:r>
          </w:p>
        </w:tc>
        <w:tc>
          <w:tcPr>
            <w:tcW w:w="2551" w:type="dxa"/>
          </w:tcPr>
          <w:p>
            <w:pPr>
              <w:pStyle w:val="nTable"/>
              <w:spacing w:after="40"/>
            </w:pPr>
            <w:r>
              <w:rPr>
                <w:spacing w:val="-2"/>
              </w:rPr>
              <w:t xml:space="preserve">1 Oct 1994 (see s. 2 and </w:t>
            </w:r>
            <w:r>
              <w:rPr>
                <w:i/>
                <w:spacing w:val="-2"/>
              </w:rPr>
              <w:t>Gazette</w:t>
            </w:r>
            <w:r>
              <w:rPr>
                <w:spacing w:val="-2"/>
              </w:rPr>
              <w:t xml:space="preserve"> 30 Sep 1994 p. 4948)</w:t>
            </w:r>
          </w:p>
        </w:tc>
      </w:tr>
      <w:tr>
        <w:trPr>
          <w:cantSplit/>
        </w:trPr>
        <w:tc>
          <w:tcPr>
            <w:tcW w:w="2268" w:type="dxa"/>
          </w:tcPr>
          <w:p>
            <w:pPr>
              <w:pStyle w:val="nTable"/>
              <w:spacing w:after="40"/>
              <w:ind w:right="113"/>
            </w:pPr>
            <w:r>
              <w:rPr>
                <w:i/>
                <w:spacing w:val="-2"/>
              </w:rPr>
              <w:t xml:space="preserve">Taxi Act 1994 </w:t>
            </w:r>
            <w:r>
              <w:rPr>
                <w:spacing w:val="-2"/>
              </w:rPr>
              <w:t>s. 50</w:t>
            </w:r>
          </w:p>
        </w:tc>
        <w:tc>
          <w:tcPr>
            <w:tcW w:w="1134" w:type="dxa"/>
          </w:tcPr>
          <w:p>
            <w:pPr>
              <w:pStyle w:val="nTable"/>
              <w:spacing w:after="40"/>
              <w:rPr>
                <w:spacing w:val="-2"/>
              </w:rPr>
            </w:pPr>
            <w:r>
              <w:rPr>
                <w:spacing w:val="-2"/>
              </w:rPr>
              <w:t>83 of 1994</w:t>
            </w:r>
          </w:p>
        </w:tc>
        <w:tc>
          <w:tcPr>
            <w:tcW w:w="1134" w:type="dxa"/>
          </w:tcPr>
          <w:p>
            <w:pPr>
              <w:pStyle w:val="nTable"/>
              <w:spacing w:after="40"/>
            </w:pPr>
            <w:r>
              <w:rPr>
                <w:spacing w:val="-2"/>
              </w:rPr>
              <w:t>20 Dec 1994</w:t>
            </w:r>
          </w:p>
        </w:tc>
        <w:tc>
          <w:tcPr>
            <w:tcW w:w="2551" w:type="dxa"/>
          </w:tcPr>
          <w:p>
            <w:pPr>
              <w:pStyle w:val="nTable"/>
              <w:spacing w:after="40"/>
            </w:pPr>
            <w:r>
              <w:rPr>
                <w:spacing w:val="-2"/>
              </w:rPr>
              <w:t xml:space="preserve">10 Jan 1995 (see s. 2 and </w:t>
            </w:r>
            <w:r>
              <w:rPr>
                <w:i/>
                <w:spacing w:val="-2"/>
              </w:rPr>
              <w:t>Gazette</w:t>
            </w:r>
            <w:r>
              <w:rPr>
                <w:spacing w:val="-2"/>
              </w:rPr>
              <w:t xml:space="preserve"> 10 Jan 1995 p. 73)</w:t>
            </w:r>
          </w:p>
        </w:tc>
      </w:tr>
      <w:tr>
        <w:trPr>
          <w:cantSplit/>
        </w:trPr>
        <w:tc>
          <w:tcPr>
            <w:tcW w:w="2268" w:type="dxa"/>
          </w:tcPr>
          <w:p>
            <w:pPr>
              <w:pStyle w:val="nTable"/>
              <w:spacing w:after="40"/>
              <w:ind w:right="113"/>
            </w:pPr>
            <w:r>
              <w:rPr>
                <w:i/>
                <w:spacing w:val="-2"/>
              </w:rPr>
              <w:t xml:space="preserve">Acts Amendment (Fines, Penalties and Infringement Notices) Act 1994 </w:t>
            </w:r>
            <w:r>
              <w:rPr>
                <w:spacing w:val="-2"/>
              </w:rPr>
              <w:t>Pt. 7</w:t>
            </w:r>
          </w:p>
        </w:tc>
        <w:tc>
          <w:tcPr>
            <w:tcW w:w="1134" w:type="dxa"/>
          </w:tcPr>
          <w:p>
            <w:pPr>
              <w:pStyle w:val="nTable"/>
              <w:spacing w:after="40"/>
              <w:rPr>
                <w:spacing w:val="-2"/>
              </w:rPr>
            </w:pPr>
            <w:r>
              <w:rPr>
                <w:spacing w:val="-2"/>
              </w:rPr>
              <w:t>92 of 1994</w:t>
            </w:r>
          </w:p>
        </w:tc>
        <w:tc>
          <w:tcPr>
            <w:tcW w:w="1134" w:type="dxa"/>
          </w:tcPr>
          <w:p>
            <w:pPr>
              <w:pStyle w:val="nTable"/>
              <w:spacing w:after="40"/>
            </w:pPr>
            <w:r>
              <w:rPr>
                <w:spacing w:val="-2"/>
              </w:rPr>
              <w:t>23 Dec 1994</w:t>
            </w:r>
          </w:p>
        </w:tc>
        <w:tc>
          <w:tcPr>
            <w:tcW w:w="2551" w:type="dxa"/>
          </w:tcPr>
          <w:p>
            <w:pPr>
              <w:pStyle w:val="nTable"/>
              <w:spacing w:after="40"/>
            </w:pPr>
            <w:r>
              <w:rPr>
                <w:spacing w:val="-2"/>
              </w:rPr>
              <w:t xml:space="preserve">1 Jan 1995 (see s. 2(1) and </w:t>
            </w:r>
            <w:r>
              <w:rPr>
                <w:i/>
                <w:spacing w:val="-2"/>
              </w:rPr>
              <w:t>Gazette</w:t>
            </w:r>
            <w:r>
              <w:rPr>
                <w:spacing w:val="-2"/>
              </w:rPr>
              <w:t xml:space="preserve"> 30 Dec 1994 p. 7211)</w:t>
            </w:r>
          </w:p>
        </w:tc>
      </w:tr>
      <w:tr>
        <w:trPr>
          <w:cantSplit/>
        </w:trPr>
        <w:tc>
          <w:tcPr>
            <w:tcW w:w="2268" w:type="dxa"/>
          </w:tcPr>
          <w:p>
            <w:pPr>
              <w:pStyle w:val="nTable"/>
              <w:spacing w:after="40"/>
              <w:ind w:right="113"/>
              <w:rPr>
                <w:rFonts w:ascii="Times" w:hAnsi="Times"/>
                <w:vertAlign w:val="superscript"/>
              </w:rPr>
            </w:pPr>
            <w:r>
              <w:rPr>
                <w:i/>
                <w:spacing w:val="-2"/>
              </w:rPr>
              <w:t xml:space="preserve">Hospitals Amendment Act 1994 </w:t>
            </w:r>
            <w:r>
              <w:rPr>
                <w:spacing w:val="-2"/>
              </w:rPr>
              <w:t>s. 18</w:t>
            </w:r>
            <w:r>
              <w:rPr>
                <w:spacing w:val="-2"/>
                <w:vertAlign w:val="superscript"/>
              </w:rPr>
              <w:t> 15</w:t>
            </w:r>
          </w:p>
        </w:tc>
        <w:tc>
          <w:tcPr>
            <w:tcW w:w="1134" w:type="dxa"/>
          </w:tcPr>
          <w:p>
            <w:pPr>
              <w:pStyle w:val="nTable"/>
              <w:spacing w:after="40"/>
              <w:rPr>
                <w:spacing w:val="-2"/>
              </w:rPr>
            </w:pPr>
            <w:r>
              <w:rPr>
                <w:spacing w:val="-2"/>
              </w:rPr>
              <w:t xml:space="preserve">103 of 1994 (as amended </w:t>
            </w:r>
            <w:r>
              <w:rPr>
                <w:spacing w:val="-4"/>
              </w:rPr>
              <w:t>by No. 79 of 1995 s. 36(4))</w:t>
            </w:r>
          </w:p>
        </w:tc>
        <w:tc>
          <w:tcPr>
            <w:tcW w:w="1134" w:type="dxa"/>
          </w:tcPr>
          <w:p>
            <w:pPr>
              <w:pStyle w:val="nTable"/>
              <w:spacing w:after="40"/>
            </w:pPr>
            <w:r>
              <w:rPr>
                <w:spacing w:val="-2"/>
              </w:rPr>
              <w:t>11 Jan 1995</w:t>
            </w:r>
          </w:p>
        </w:tc>
        <w:tc>
          <w:tcPr>
            <w:tcW w:w="2551" w:type="dxa"/>
          </w:tcPr>
          <w:p>
            <w:pPr>
              <w:pStyle w:val="nTable"/>
              <w:spacing w:after="40"/>
              <w:rPr>
                <w:spacing w:val="-2"/>
              </w:rPr>
            </w:pPr>
            <w:r>
              <w:rPr>
                <w:spacing w:val="-2"/>
              </w:rPr>
              <w:t xml:space="preserve">3 Feb 1995 (see s. 2 and </w:t>
            </w:r>
            <w:r>
              <w:rPr>
                <w:i/>
                <w:spacing w:val="-2"/>
              </w:rPr>
              <w:t>Gazette</w:t>
            </w:r>
            <w:r>
              <w:rPr>
                <w:spacing w:val="-2"/>
              </w:rPr>
              <w:t xml:space="preserve"> 3 Feb 1995 p. 333) </w:t>
            </w:r>
          </w:p>
        </w:tc>
      </w:tr>
      <w:tr>
        <w:trPr>
          <w:cantSplit/>
        </w:trPr>
        <w:tc>
          <w:tcPr>
            <w:tcW w:w="2268" w:type="dxa"/>
          </w:tcPr>
          <w:p>
            <w:pPr>
              <w:pStyle w:val="nTable"/>
              <w:spacing w:after="40"/>
              <w:ind w:right="113"/>
              <w:rPr>
                <w:spacing w:val="-2"/>
                <w:vertAlign w:val="superscript"/>
              </w:rPr>
            </w:pPr>
            <w:r>
              <w:rPr>
                <w:i/>
                <w:spacing w:val="-2"/>
              </w:rPr>
              <w:t>Industrial Legislation Amendment Act 1995</w:t>
            </w:r>
            <w:r>
              <w:rPr>
                <w:spacing w:val="-2"/>
                <w:vertAlign w:val="superscript"/>
              </w:rPr>
              <w:t xml:space="preserve"> 16</w:t>
            </w:r>
          </w:p>
        </w:tc>
        <w:tc>
          <w:tcPr>
            <w:tcW w:w="1134" w:type="dxa"/>
          </w:tcPr>
          <w:p>
            <w:pPr>
              <w:pStyle w:val="nTable"/>
              <w:keepNext/>
              <w:spacing w:after="40"/>
              <w:rPr>
                <w:spacing w:val="-2"/>
              </w:rPr>
            </w:pPr>
            <w:r>
              <w:rPr>
                <w:spacing w:val="-2"/>
              </w:rPr>
              <w:t>1 of 1995</w:t>
            </w:r>
          </w:p>
        </w:tc>
        <w:tc>
          <w:tcPr>
            <w:tcW w:w="1134" w:type="dxa"/>
          </w:tcPr>
          <w:p>
            <w:pPr>
              <w:pStyle w:val="nTable"/>
              <w:spacing w:after="40"/>
            </w:pPr>
            <w:r>
              <w:rPr>
                <w:spacing w:val="-2"/>
              </w:rPr>
              <w:t>9 May 1995</w:t>
            </w:r>
          </w:p>
        </w:tc>
        <w:tc>
          <w:tcPr>
            <w:tcW w:w="2551" w:type="dxa"/>
          </w:tcPr>
          <w:p>
            <w:pPr>
              <w:pStyle w:val="nTable"/>
              <w:keepNext/>
              <w:spacing w:after="40"/>
              <w:rPr>
                <w:spacing w:val="-2"/>
              </w:rPr>
            </w:pPr>
            <w:r>
              <w:rPr>
                <w:spacing w:val="-2"/>
              </w:rPr>
              <w:t>Act other than Pt.</w:t>
            </w:r>
            <w:r>
              <w:t> </w:t>
            </w:r>
            <w:r>
              <w:rPr>
                <w:spacing w:val="-2"/>
              </w:rPr>
              <w:t>3: 9 May 1995 (see s. 2(1));</w:t>
            </w:r>
            <w:r>
              <w:rPr>
                <w:spacing w:val="-2"/>
              </w:rPr>
              <w:br/>
              <w:t xml:space="preserve">Pt. 3: 1 Jan 1996 (see s. 2(2) and </w:t>
            </w:r>
            <w:r>
              <w:rPr>
                <w:i/>
                <w:spacing w:val="-2"/>
              </w:rPr>
              <w:t>Gazette</w:t>
            </w:r>
            <w:r>
              <w:rPr>
                <w:spacing w:val="-2"/>
              </w:rPr>
              <w:t xml:space="preserve"> 24 Nov 1995 p. 5389) </w:t>
            </w:r>
          </w:p>
        </w:tc>
      </w:tr>
      <w:tr>
        <w:trPr>
          <w:cantSplit/>
        </w:trPr>
        <w:tc>
          <w:tcPr>
            <w:tcW w:w="2268" w:type="dxa"/>
          </w:tcPr>
          <w:p>
            <w:pPr>
              <w:pStyle w:val="nTable"/>
              <w:spacing w:after="40"/>
            </w:pPr>
            <w:r>
              <w:rPr>
                <w:i/>
                <w:spacing w:val="-2"/>
              </w:rPr>
              <w:t xml:space="preserve">Marketing of Potatoes </w:t>
            </w:r>
            <w:r>
              <w:rPr>
                <w:rFonts w:ascii="Times" w:hAnsi="Times"/>
                <w:i/>
                <w:spacing w:val="-4"/>
              </w:rPr>
              <w:t xml:space="preserve">Amendment Act 1995 </w:t>
            </w:r>
            <w:r>
              <w:rPr>
                <w:rFonts w:ascii="Times" w:hAnsi="Times"/>
                <w:spacing w:val="-4"/>
              </w:rPr>
              <w:t>s. 58(5</w:t>
            </w:r>
            <w:r>
              <w:rPr>
                <w:spacing w:val="-2"/>
              </w:rPr>
              <w:t>)</w:t>
            </w:r>
          </w:p>
        </w:tc>
        <w:tc>
          <w:tcPr>
            <w:tcW w:w="1134" w:type="dxa"/>
          </w:tcPr>
          <w:p>
            <w:pPr>
              <w:pStyle w:val="nTable"/>
              <w:spacing w:after="40"/>
              <w:rPr>
                <w:spacing w:val="-2"/>
              </w:rPr>
            </w:pPr>
            <w:r>
              <w:rPr>
                <w:spacing w:val="-2"/>
              </w:rPr>
              <w:t>11 of 1995</w:t>
            </w:r>
          </w:p>
        </w:tc>
        <w:tc>
          <w:tcPr>
            <w:tcW w:w="1134" w:type="dxa"/>
          </w:tcPr>
          <w:p>
            <w:pPr>
              <w:pStyle w:val="nTable"/>
              <w:spacing w:after="40"/>
            </w:pPr>
            <w:r>
              <w:rPr>
                <w:spacing w:val="-2"/>
              </w:rPr>
              <w:t>30 Jun 1995</w:t>
            </w:r>
          </w:p>
        </w:tc>
        <w:tc>
          <w:tcPr>
            <w:tcW w:w="2551" w:type="dxa"/>
          </w:tcPr>
          <w:p>
            <w:pPr>
              <w:pStyle w:val="nTable"/>
              <w:spacing w:after="40"/>
            </w:pPr>
            <w:r>
              <w:rPr>
                <w:spacing w:val="-2"/>
              </w:rPr>
              <w:t xml:space="preserve">4 Sep 1995 (see s. 2 and </w:t>
            </w:r>
            <w:r>
              <w:rPr>
                <w:i/>
                <w:spacing w:val="-2"/>
              </w:rPr>
              <w:t>Gazette</w:t>
            </w:r>
            <w:r>
              <w:rPr>
                <w:spacing w:val="-2"/>
              </w:rPr>
              <w:t xml:space="preserve"> 1 Sep 1995 p. 4063)</w:t>
            </w:r>
          </w:p>
        </w:tc>
      </w:tr>
      <w:tr>
        <w:trPr>
          <w:cantSplit/>
        </w:trPr>
        <w:tc>
          <w:tcPr>
            <w:tcW w:w="2268" w:type="dxa"/>
          </w:tcPr>
          <w:p>
            <w:pPr>
              <w:pStyle w:val="nTable"/>
              <w:spacing w:after="40"/>
              <w:ind w:right="113"/>
              <w:rPr>
                <w:spacing w:val="-2"/>
              </w:rPr>
            </w:pPr>
            <w:r>
              <w:rPr>
                <w:i/>
                <w:spacing w:val="-2"/>
              </w:rPr>
              <w:t xml:space="preserve">Occupational Safety and Health Legislation Amendment Act 1995 </w:t>
            </w:r>
            <w:r>
              <w:rPr>
                <w:spacing w:val="-2"/>
              </w:rPr>
              <w:t>Pt. 4</w:t>
            </w:r>
          </w:p>
        </w:tc>
        <w:tc>
          <w:tcPr>
            <w:tcW w:w="1134" w:type="dxa"/>
          </w:tcPr>
          <w:p>
            <w:pPr>
              <w:pStyle w:val="nTable"/>
              <w:spacing w:after="40"/>
              <w:rPr>
                <w:spacing w:val="-2"/>
              </w:rPr>
            </w:pPr>
            <w:r>
              <w:rPr>
                <w:spacing w:val="-2"/>
              </w:rPr>
              <w:t>30 of 1995</w:t>
            </w:r>
          </w:p>
        </w:tc>
        <w:tc>
          <w:tcPr>
            <w:tcW w:w="1134" w:type="dxa"/>
          </w:tcPr>
          <w:p>
            <w:pPr>
              <w:pStyle w:val="nTable"/>
              <w:spacing w:after="40"/>
            </w:pPr>
            <w:r>
              <w:rPr>
                <w:spacing w:val="-2"/>
              </w:rPr>
              <w:t>11 Sep 1995</w:t>
            </w:r>
          </w:p>
        </w:tc>
        <w:tc>
          <w:tcPr>
            <w:tcW w:w="2551" w:type="dxa"/>
          </w:tcPr>
          <w:p>
            <w:pPr>
              <w:pStyle w:val="nTable"/>
              <w:spacing w:after="40"/>
            </w:pPr>
            <w:r>
              <w:rPr>
                <w:spacing w:val="-2"/>
              </w:rPr>
              <w:t xml:space="preserve">20 Jan 1996 (see s. 2 and </w:t>
            </w:r>
            <w:r>
              <w:rPr>
                <w:i/>
                <w:spacing w:val="-2"/>
              </w:rPr>
              <w:t>Gazette</w:t>
            </w:r>
            <w:r>
              <w:rPr>
                <w:spacing w:val="-2"/>
              </w:rPr>
              <w:t xml:space="preserve"> 19 Jan 1996 p. 201)</w:t>
            </w:r>
          </w:p>
        </w:tc>
      </w:tr>
      <w:tr>
        <w:tc>
          <w:tcPr>
            <w:tcW w:w="2268" w:type="dxa"/>
          </w:tcPr>
          <w:p>
            <w:pPr>
              <w:pStyle w:val="nTable"/>
              <w:spacing w:after="40"/>
              <w:ind w:right="113"/>
            </w:pPr>
            <w:r>
              <w:rPr>
                <w:i/>
                <w:spacing w:val="-2"/>
              </w:rPr>
              <w:t xml:space="preserve">Sentencing (Consequential Provisions) Act 1995 </w:t>
            </w:r>
            <w:r>
              <w:rPr>
                <w:spacing w:val="-2"/>
              </w:rPr>
              <w:t>Pt. 40</w:t>
            </w:r>
          </w:p>
        </w:tc>
        <w:tc>
          <w:tcPr>
            <w:tcW w:w="1134" w:type="dxa"/>
          </w:tcPr>
          <w:p>
            <w:pPr>
              <w:pStyle w:val="nTable"/>
              <w:spacing w:after="40"/>
              <w:rPr>
                <w:spacing w:val="-2"/>
              </w:rPr>
            </w:pPr>
            <w:r>
              <w:rPr>
                <w:spacing w:val="-2"/>
              </w:rPr>
              <w:t>78 of 1995</w:t>
            </w:r>
          </w:p>
        </w:tc>
        <w:tc>
          <w:tcPr>
            <w:tcW w:w="1134" w:type="dxa"/>
          </w:tcPr>
          <w:p>
            <w:pPr>
              <w:pStyle w:val="nTable"/>
              <w:spacing w:after="40"/>
              <w:rPr>
                <w:spacing w:val="-2"/>
              </w:rPr>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rPr>
          <w:cantSplit/>
        </w:trPr>
        <w:tc>
          <w:tcPr>
            <w:tcW w:w="2268" w:type="dxa"/>
          </w:tcPr>
          <w:p>
            <w:pPr>
              <w:pStyle w:val="nTable"/>
              <w:spacing w:after="40"/>
              <w:ind w:right="113"/>
              <w:rPr>
                <w:spacing w:val="-2"/>
                <w:vertAlign w:val="superscript"/>
              </w:rPr>
            </w:pPr>
            <w:r>
              <w:rPr>
                <w:i/>
                <w:spacing w:val="-2"/>
              </w:rPr>
              <w:t>Industrial Relations Legislation Amendment and Repeal Act 1995</w:t>
            </w:r>
            <w:r>
              <w:rPr>
                <w:spacing w:val="-2"/>
                <w:vertAlign w:val="superscript"/>
              </w:rPr>
              <w:t> 17</w:t>
            </w:r>
          </w:p>
        </w:tc>
        <w:tc>
          <w:tcPr>
            <w:tcW w:w="1134" w:type="dxa"/>
          </w:tcPr>
          <w:p>
            <w:pPr>
              <w:pStyle w:val="nTable"/>
              <w:spacing w:after="40"/>
              <w:rPr>
                <w:spacing w:val="-2"/>
              </w:rPr>
            </w:pPr>
            <w:r>
              <w:rPr>
                <w:spacing w:val="-2"/>
              </w:rPr>
              <w:t>79 of 1995</w:t>
            </w:r>
          </w:p>
        </w:tc>
        <w:tc>
          <w:tcPr>
            <w:tcW w:w="1134" w:type="dxa"/>
          </w:tcPr>
          <w:p>
            <w:pPr>
              <w:pStyle w:val="nTable"/>
              <w:spacing w:after="40"/>
            </w:pPr>
            <w:r>
              <w:rPr>
                <w:spacing w:val="-2"/>
              </w:rPr>
              <w:t>16 Jan 1996</w:t>
            </w:r>
          </w:p>
        </w:tc>
        <w:tc>
          <w:tcPr>
            <w:tcW w:w="2551" w:type="dxa"/>
          </w:tcPr>
          <w:p>
            <w:pPr>
              <w:pStyle w:val="nTable"/>
              <w:spacing w:after="40"/>
            </w:pPr>
            <w:r>
              <w:rPr>
                <w:spacing w:val="-3"/>
              </w:rPr>
              <w:t xml:space="preserve">Act other than Pt. 2 and 5 and s. 12(1), 13, 35, 36 and 66(2): </w:t>
            </w:r>
            <w:r>
              <w:rPr>
                <w:spacing w:val="-2"/>
              </w:rPr>
              <w:t>16 Jan 1996 (see s. 3(1));</w:t>
            </w:r>
            <w:r>
              <w:rPr>
                <w:spacing w:val="-2"/>
              </w:rPr>
              <w:br/>
            </w:r>
            <w:r>
              <w:rPr>
                <w:spacing w:val="-3"/>
              </w:rPr>
              <w:t xml:space="preserve">s. 66(2): 18 May 1996 (see s. 3(2) and </w:t>
            </w:r>
            <w:r>
              <w:rPr>
                <w:i/>
                <w:spacing w:val="-3"/>
              </w:rPr>
              <w:t>Gazette</w:t>
            </w:r>
            <w:r>
              <w:rPr>
                <w:spacing w:val="-3"/>
              </w:rPr>
              <w:t xml:space="preserve"> 14 May 1996 p. 2019);</w:t>
            </w:r>
            <w:r>
              <w:rPr>
                <w:spacing w:val="-3"/>
              </w:rPr>
              <w:br/>
            </w:r>
            <w:r>
              <w:rPr>
                <w:spacing w:val="-2"/>
              </w:rPr>
              <w:t xml:space="preserve">s. 12(1): </w:t>
            </w:r>
            <w:r>
              <w:rPr>
                <w:spacing w:val="-3"/>
              </w:rPr>
              <w:t xml:space="preserve">16 Jul 1996 (see s. 3(2) </w:t>
            </w:r>
            <w:r>
              <w:rPr>
                <w:spacing w:val="-4"/>
              </w:rPr>
              <w:t xml:space="preserve">and </w:t>
            </w:r>
            <w:r>
              <w:rPr>
                <w:i/>
                <w:spacing w:val="-4"/>
              </w:rPr>
              <w:t>Gazette</w:t>
            </w:r>
            <w:r>
              <w:rPr>
                <w:spacing w:val="-4"/>
              </w:rPr>
              <w:t xml:space="preserve"> 15 Jul 1996 p. 3393)</w:t>
            </w:r>
            <w:r>
              <w:rPr>
                <w:spacing w:val="-3"/>
              </w:rPr>
              <w:t>;</w:t>
            </w:r>
            <w:r>
              <w:rPr>
                <w:spacing w:val="-3"/>
              </w:rPr>
              <w:br/>
            </w:r>
            <w:r>
              <w:rPr>
                <w:spacing w:val="-2"/>
              </w:rPr>
              <w:t>Pt. 2 and s. 35 and 36:</w:t>
            </w:r>
            <w:r>
              <w:rPr>
                <w:spacing w:val="-2"/>
              </w:rPr>
              <w:br/>
              <w:t xml:space="preserve">1 Nov 1996 (see s. 3(2) and </w:t>
            </w:r>
            <w:r>
              <w:rPr>
                <w:i/>
                <w:spacing w:val="-2"/>
              </w:rPr>
              <w:t>Gazette</w:t>
            </w:r>
            <w:r>
              <w:rPr>
                <w:spacing w:val="-2"/>
              </w:rPr>
              <w:t xml:space="preserve"> 1 Nov 1996 p. 5765);</w:t>
            </w:r>
            <w:r>
              <w:rPr>
                <w:spacing w:val="-2"/>
              </w:rPr>
              <w:br/>
            </w:r>
            <w:r>
              <w:rPr>
                <w:spacing w:val="-4"/>
              </w:rPr>
              <w:t xml:space="preserve">Pt. 5: 5 Dec 1997 (see s. 3(2) and </w:t>
            </w:r>
            <w:r>
              <w:rPr>
                <w:i/>
                <w:spacing w:val="-4"/>
              </w:rPr>
              <w:t>Gazette</w:t>
            </w:r>
            <w:r>
              <w:rPr>
                <w:spacing w:val="-4"/>
              </w:rPr>
              <w:t xml:space="preserve"> 4 Dec 1997 p. 7071)</w:t>
            </w:r>
            <w:r>
              <w:rPr>
                <w:spacing w:val="-2"/>
              </w:rPr>
              <w:t>;</w:t>
            </w:r>
            <w:r>
              <w:rPr>
                <w:spacing w:val="-2"/>
              </w:rPr>
              <w:br/>
              <w:t xml:space="preserve">s. 13: 1 Jan 1998 (see s. 3(2) and </w:t>
            </w:r>
            <w:r>
              <w:rPr>
                <w:i/>
                <w:spacing w:val="-2"/>
              </w:rPr>
              <w:t>Gazette</w:t>
            </w:r>
            <w:r>
              <w:rPr>
                <w:spacing w:val="-2"/>
              </w:rPr>
              <w:t xml:space="preserve"> 31 Dec 1997 p. 7609)</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27 May 1996 </w:t>
            </w:r>
            <w:r>
              <w:t>(includes amendments listed above except those in the</w:t>
            </w:r>
            <w:r>
              <w:rPr>
                <w:i/>
                <w:spacing w:val="-2"/>
              </w:rPr>
              <w:t xml:space="preserve"> Sentencing (Consequential Provisions) Act 1995 </w:t>
            </w:r>
            <w:r>
              <w:rPr>
                <w:spacing w:val="-2"/>
              </w:rPr>
              <w:t>and the</w:t>
            </w:r>
            <w:r>
              <w:rPr>
                <w:i/>
                <w:spacing w:val="-2"/>
              </w:rPr>
              <w:t xml:space="preserve"> Industrial Relations Legislation Amendment and Repeal Act 1995 </w:t>
            </w:r>
            <w:r>
              <w:rPr>
                <w:spacing w:val="-2"/>
              </w:rPr>
              <w:t>Pt. 2 and 5 and s. 12(1), 13, 35 and 36)</w:t>
            </w:r>
          </w:p>
        </w:tc>
      </w:tr>
      <w:tr>
        <w:trPr>
          <w:cantSplit/>
        </w:trPr>
        <w:tc>
          <w:tcPr>
            <w:tcW w:w="2268" w:type="dxa"/>
          </w:tcPr>
          <w:p>
            <w:pPr>
              <w:pStyle w:val="nTable"/>
              <w:spacing w:after="40"/>
              <w:ind w:right="113"/>
            </w:pPr>
            <w:r>
              <w:rPr>
                <w:i/>
                <w:spacing w:val="-2"/>
              </w:rPr>
              <w:t xml:space="preserve">Local Government (Consequential Amendments) Act 1996 </w:t>
            </w:r>
            <w:r>
              <w:rPr>
                <w:spacing w:val="-2"/>
              </w:rPr>
              <w:t>s. 4</w:t>
            </w:r>
          </w:p>
        </w:tc>
        <w:tc>
          <w:tcPr>
            <w:tcW w:w="1134" w:type="dxa"/>
          </w:tcPr>
          <w:p>
            <w:pPr>
              <w:pStyle w:val="nTable"/>
              <w:spacing w:after="40"/>
              <w:rPr>
                <w:spacing w:val="-2"/>
              </w:rPr>
            </w:pPr>
            <w:r>
              <w:rPr>
                <w:spacing w:val="-2"/>
              </w:rPr>
              <w:t>14 of 1996</w:t>
            </w:r>
          </w:p>
        </w:tc>
        <w:tc>
          <w:tcPr>
            <w:tcW w:w="1134" w:type="dxa"/>
          </w:tcPr>
          <w:p>
            <w:pPr>
              <w:pStyle w:val="nTable"/>
              <w:spacing w:after="40"/>
            </w:pPr>
            <w:r>
              <w:rPr>
                <w:spacing w:val="-2"/>
              </w:rPr>
              <w:t>28 Jun 1996</w:t>
            </w:r>
          </w:p>
        </w:tc>
        <w:tc>
          <w:tcPr>
            <w:tcW w:w="2551" w:type="dxa"/>
          </w:tcPr>
          <w:p>
            <w:pPr>
              <w:pStyle w:val="nTable"/>
              <w:spacing w:after="40"/>
            </w:pPr>
            <w:r>
              <w:rPr>
                <w:spacing w:val="-2"/>
              </w:rPr>
              <w:t>1 Jul 1996 (see s. 2)</w:t>
            </w:r>
          </w:p>
        </w:tc>
      </w:tr>
      <w:tr>
        <w:trPr>
          <w:cantSplit/>
        </w:trPr>
        <w:tc>
          <w:tcPr>
            <w:tcW w:w="2268" w:type="dxa"/>
          </w:tcPr>
          <w:p>
            <w:pPr>
              <w:pStyle w:val="nTable"/>
              <w:spacing w:after="40"/>
              <w:ind w:right="113"/>
              <w:rPr>
                <w:vertAlign w:val="superscript"/>
              </w:rPr>
            </w:pPr>
            <w:r>
              <w:rPr>
                <w:i/>
                <w:spacing w:val="-2"/>
              </w:rPr>
              <w:t xml:space="preserve">Vocational Education and Training Act 1996 </w:t>
            </w:r>
            <w:r>
              <w:rPr>
                <w:spacing w:val="-2"/>
              </w:rPr>
              <w:t>s. 71(1)</w:t>
            </w:r>
            <w:r>
              <w:rPr>
                <w:spacing w:val="-2"/>
                <w:vertAlign w:val="superscript"/>
              </w:rPr>
              <w:t> 18</w:t>
            </w:r>
          </w:p>
        </w:tc>
        <w:tc>
          <w:tcPr>
            <w:tcW w:w="1134" w:type="dxa"/>
          </w:tcPr>
          <w:p>
            <w:pPr>
              <w:pStyle w:val="nTable"/>
              <w:spacing w:after="40"/>
              <w:rPr>
                <w:spacing w:val="-2"/>
              </w:rPr>
            </w:pPr>
            <w:r>
              <w:rPr>
                <w:spacing w:val="-2"/>
              </w:rPr>
              <w:t>42 of 1996</w:t>
            </w:r>
          </w:p>
        </w:tc>
        <w:tc>
          <w:tcPr>
            <w:tcW w:w="1134" w:type="dxa"/>
          </w:tcPr>
          <w:p>
            <w:pPr>
              <w:pStyle w:val="nTable"/>
              <w:spacing w:after="40"/>
            </w:pPr>
            <w:r>
              <w:rPr>
                <w:spacing w:val="-2"/>
              </w:rPr>
              <w:t>16 Oct 1996</w:t>
            </w:r>
          </w:p>
        </w:tc>
        <w:tc>
          <w:tcPr>
            <w:tcW w:w="2551" w:type="dxa"/>
          </w:tcPr>
          <w:p>
            <w:pPr>
              <w:pStyle w:val="nTable"/>
              <w:spacing w:after="40"/>
            </w:pPr>
            <w:r>
              <w:rPr>
                <w:spacing w:val="-2"/>
              </w:rPr>
              <w:t xml:space="preserve">1 Jan 1997 (see s. 2 and </w:t>
            </w:r>
            <w:r>
              <w:rPr>
                <w:i/>
                <w:spacing w:val="-2"/>
              </w:rPr>
              <w:t>Gazette</w:t>
            </w:r>
            <w:r>
              <w:rPr>
                <w:spacing w:val="-2"/>
              </w:rPr>
              <w:t xml:space="preserve"> 12 Nov 1996 p. 6301)</w:t>
            </w:r>
          </w:p>
        </w:tc>
      </w:tr>
      <w:tr>
        <w:trPr>
          <w:cantSplit/>
          <w:trHeight w:val="2775"/>
        </w:trPr>
        <w:tc>
          <w:tcPr>
            <w:tcW w:w="2268" w:type="dxa"/>
            <w:tcBorders>
              <w:bottom w:val="nil"/>
            </w:tcBorders>
          </w:tcPr>
          <w:p>
            <w:pPr>
              <w:pStyle w:val="nTable"/>
              <w:spacing w:after="40"/>
              <w:ind w:right="113"/>
              <w:rPr>
                <w:spacing w:val="-2"/>
                <w:vertAlign w:val="superscript"/>
              </w:rPr>
            </w:pPr>
            <w:r>
              <w:rPr>
                <w:i/>
                <w:spacing w:val="-2"/>
              </w:rPr>
              <w:t>Labour Relations Legislation Amendment Act 1997</w:t>
            </w:r>
            <w:r>
              <w:rPr>
                <w:i/>
              </w:rPr>
              <w:t> </w:t>
            </w:r>
            <w:r>
              <w:rPr>
                <w:vertAlign w:val="superscript"/>
              </w:rPr>
              <w:t>5</w:t>
            </w:r>
          </w:p>
        </w:tc>
        <w:tc>
          <w:tcPr>
            <w:tcW w:w="1134" w:type="dxa"/>
          </w:tcPr>
          <w:p>
            <w:pPr>
              <w:pStyle w:val="nTable"/>
              <w:spacing w:after="40"/>
              <w:rPr>
                <w:spacing w:val="-2"/>
              </w:rPr>
            </w:pPr>
            <w:r>
              <w:rPr>
                <w:spacing w:val="-2"/>
              </w:rPr>
              <w:t xml:space="preserve">3 of 1997 </w:t>
            </w:r>
            <w:r>
              <w:rPr>
                <w:spacing w:val="-2"/>
              </w:rPr>
              <w:br/>
              <w:t>(as amended by No. 20 of 2002 s. 191(3))</w:t>
            </w:r>
          </w:p>
        </w:tc>
        <w:tc>
          <w:tcPr>
            <w:tcW w:w="1134" w:type="dxa"/>
          </w:tcPr>
          <w:p>
            <w:pPr>
              <w:pStyle w:val="nTable"/>
              <w:spacing w:after="40"/>
            </w:pPr>
            <w:r>
              <w:rPr>
                <w:spacing w:val="-2"/>
              </w:rPr>
              <w:t>23 May 1997</w:t>
            </w:r>
          </w:p>
        </w:tc>
        <w:tc>
          <w:tcPr>
            <w:tcW w:w="2551" w:type="dxa"/>
          </w:tcPr>
          <w:p>
            <w:pPr>
              <w:pStyle w:val="nTable"/>
              <w:spacing w:after="40"/>
            </w:pPr>
            <w:r>
              <w:t>s. 22</w:t>
            </w:r>
            <w:r>
              <w:noBreakHyphen/>
              <w:t>24, 29</w:t>
            </w:r>
            <w:r>
              <w:noBreakHyphen/>
              <w:t>33, 35(a) and 38: 23 May 1997 (see s. 2(1));</w:t>
            </w:r>
            <w:r>
              <w:br/>
              <w:t>Pt. 2 and 4: 20 Jun 1997 (see s. 2(2));</w:t>
            </w:r>
            <w:r>
              <w:br/>
              <w:t xml:space="preserve">s. 34: 17 Oct 1997 (see s. 2(3) and </w:t>
            </w:r>
            <w:r>
              <w:rPr>
                <w:i/>
              </w:rPr>
              <w:t>Gazette</w:t>
            </w:r>
            <w:r>
              <w:t xml:space="preserve"> 30 Sep 1997 p. 5415);</w:t>
            </w:r>
            <w:r>
              <w:br/>
              <w:t xml:space="preserve">Pt. 3 and s. 35(b), 36 and 37: 1 Jan 1998 (see s. 2(3) and </w:t>
            </w:r>
            <w:r>
              <w:rPr>
                <w:i/>
              </w:rPr>
              <w:t>Gazette</w:t>
            </w:r>
            <w:r>
              <w:t xml:space="preserve"> 31 Dec 1997 p. 7603);</w:t>
            </w:r>
            <w:r>
              <w:br/>
              <w:t xml:space="preserve">Pt. 5: 5 Jun 1998 (see s. 2(3) and </w:t>
            </w:r>
            <w:r>
              <w:rPr>
                <w:i/>
              </w:rPr>
              <w:t>Gazette</w:t>
            </w:r>
            <w:r>
              <w:t xml:space="preserve"> 24 Apr 1998 p. 2171)</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20 Jun 1997 </w:t>
            </w:r>
            <w:r>
              <w:t>(includes amendments listed above except those in the</w:t>
            </w:r>
            <w:r>
              <w:rPr>
                <w:i/>
                <w:spacing w:val="-2"/>
              </w:rPr>
              <w:t xml:space="preserve"> Industrial Relations Legislation Amendment and Repeal Act 1995 </w:t>
            </w:r>
            <w:r>
              <w:rPr>
                <w:spacing w:val="-2"/>
              </w:rPr>
              <w:t xml:space="preserve">s. 13 and Pt. 5 and the </w:t>
            </w:r>
            <w:r>
              <w:rPr>
                <w:i/>
                <w:spacing w:val="-2"/>
              </w:rPr>
              <w:t xml:space="preserve">Labour Relations Legislation Amendment Act 1997 </w:t>
            </w:r>
            <w:r>
              <w:rPr>
                <w:spacing w:val="-2"/>
              </w:rPr>
              <w:t>Pt. 3 and 5 and s. 34, 35(b), 36 and 37)</w:t>
            </w:r>
          </w:p>
        </w:tc>
      </w:tr>
      <w:tr>
        <w:trPr>
          <w:cantSplit/>
        </w:trPr>
        <w:tc>
          <w:tcPr>
            <w:tcW w:w="2268" w:type="dxa"/>
          </w:tcPr>
          <w:p>
            <w:pPr>
              <w:pStyle w:val="nTable"/>
              <w:spacing w:after="40"/>
              <w:ind w:right="113"/>
              <w:rPr>
                <w:spacing w:val="-2"/>
              </w:rPr>
            </w:pPr>
            <w:r>
              <w:rPr>
                <w:i/>
              </w:rPr>
              <w:t xml:space="preserve">School Education Act 1999 </w:t>
            </w:r>
            <w:r>
              <w:t>s. 247</w:t>
            </w:r>
          </w:p>
        </w:tc>
        <w:tc>
          <w:tcPr>
            <w:tcW w:w="1134" w:type="dxa"/>
          </w:tcPr>
          <w:p>
            <w:pPr>
              <w:pStyle w:val="nTable"/>
              <w:spacing w:after="40"/>
              <w:rPr>
                <w:spacing w:val="-2"/>
              </w:rPr>
            </w:pPr>
            <w:r>
              <w:rPr>
                <w:spacing w:val="-2"/>
              </w:rPr>
              <w:t>36 of 1999</w:t>
            </w:r>
          </w:p>
        </w:tc>
        <w:tc>
          <w:tcPr>
            <w:tcW w:w="1134" w:type="dxa"/>
          </w:tcPr>
          <w:p>
            <w:pPr>
              <w:pStyle w:val="nTable"/>
              <w:spacing w:after="40"/>
              <w:rPr>
                <w:spacing w:val="-2"/>
              </w:rPr>
            </w:pPr>
            <w:r>
              <w:rPr>
                <w:spacing w:val="-2"/>
              </w:rPr>
              <w:t>2 Nov 1999</w:t>
            </w:r>
          </w:p>
        </w:tc>
        <w:tc>
          <w:tcPr>
            <w:tcW w:w="2551" w:type="dxa"/>
          </w:tcPr>
          <w:p>
            <w:pPr>
              <w:pStyle w:val="nTable"/>
              <w:spacing w:after="40"/>
              <w:rPr>
                <w:spacing w:val="-2"/>
              </w:rPr>
            </w:pPr>
            <w:r>
              <w:rPr>
                <w:spacing w:val="-2"/>
              </w:rPr>
              <w:t xml:space="preserve">1 Jan 2001 (see s. 2 and </w:t>
            </w:r>
            <w:r>
              <w:rPr>
                <w:i/>
                <w:spacing w:val="-2"/>
              </w:rPr>
              <w:t>Gazette</w:t>
            </w:r>
            <w:r>
              <w:rPr>
                <w:spacing w:val="-2"/>
              </w:rPr>
              <w:t xml:space="preserve"> 29 Dec 2000 p. 7904)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4 Feb 2000 </w:t>
            </w:r>
            <w:r>
              <w:t>(includes amendments listed above except those in</w:t>
            </w:r>
            <w:r>
              <w:rPr>
                <w:spacing w:val="-2"/>
              </w:rPr>
              <w:t xml:space="preserve"> the</w:t>
            </w:r>
            <w:r>
              <w:rPr>
                <w:i/>
                <w:spacing w:val="-2"/>
              </w:rPr>
              <w:t xml:space="preserve"> </w:t>
            </w:r>
            <w:r>
              <w:rPr>
                <w:i/>
              </w:rPr>
              <w:t>School Education Act 1999</w:t>
            </w:r>
            <w:r>
              <w:t>)</w:t>
            </w:r>
          </w:p>
        </w:tc>
      </w:tr>
      <w:tr>
        <w:trPr>
          <w:cantSplit/>
        </w:trPr>
        <w:tc>
          <w:tcPr>
            <w:tcW w:w="2268" w:type="dxa"/>
          </w:tcPr>
          <w:p>
            <w:pPr>
              <w:pStyle w:val="nTable"/>
              <w:spacing w:after="40"/>
              <w:ind w:right="113"/>
              <w:rPr>
                <w:i/>
                <w:spacing w:val="-2"/>
              </w:rPr>
            </w:pPr>
            <w:r>
              <w:rPr>
                <w:i/>
                <w:spacing w:val="-2"/>
              </w:rPr>
              <w:t>Industrial Relations Amendment Act 2000</w:t>
            </w:r>
          </w:p>
        </w:tc>
        <w:tc>
          <w:tcPr>
            <w:tcW w:w="1134" w:type="dxa"/>
          </w:tcPr>
          <w:p>
            <w:pPr>
              <w:pStyle w:val="nTable"/>
              <w:spacing w:after="40"/>
              <w:rPr>
                <w:spacing w:val="-2"/>
              </w:rPr>
            </w:pPr>
            <w:r>
              <w:rPr>
                <w:spacing w:val="-2"/>
              </w:rPr>
              <w:t>58 of 2000</w:t>
            </w:r>
          </w:p>
        </w:tc>
        <w:tc>
          <w:tcPr>
            <w:tcW w:w="1134" w:type="dxa"/>
          </w:tcPr>
          <w:p>
            <w:pPr>
              <w:pStyle w:val="nTable"/>
              <w:spacing w:after="40"/>
              <w:rPr>
                <w:spacing w:val="-2"/>
              </w:rPr>
            </w:pPr>
            <w:r>
              <w:rPr>
                <w:spacing w:val="-2"/>
              </w:rPr>
              <w:t>4 Dec 2000</w:t>
            </w:r>
          </w:p>
        </w:tc>
        <w:tc>
          <w:tcPr>
            <w:tcW w:w="2551" w:type="dxa"/>
          </w:tcPr>
          <w:p>
            <w:pPr>
              <w:pStyle w:val="nTable"/>
              <w:spacing w:after="40"/>
              <w:rPr>
                <w:spacing w:val="-2"/>
              </w:rPr>
            </w:pPr>
            <w:r>
              <w:rPr>
                <w:spacing w:val="-2"/>
              </w:rPr>
              <w:t>4 Dec 2000 (see s. 2)</w:t>
            </w:r>
          </w:p>
        </w:tc>
      </w:tr>
      <w:tr>
        <w:trPr>
          <w:cantSplit/>
        </w:trPr>
        <w:tc>
          <w:tcPr>
            <w:tcW w:w="2268" w:type="dxa"/>
          </w:tcPr>
          <w:p>
            <w:pPr>
              <w:pStyle w:val="nTable"/>
              <w:spacing w:after="40"/>
              <w:ind w:right="113"/>
              <w:rPr>
                <w:i/>
                <w:spacing w:val="-2"/>
              </w:rPr>
            </w:pPr>
            <w:r>
              <w:rPr>
                <w:i/>
                <w:spacing w:val="-2"/>
              </w:rPr>
              <w:t xml:space="preserve">Corporations (Consequential </w:t>
            </w:r>
            <w:r>
              <w:rPr>
                <w:i/>
              </w:rPr>
              <w:t>Amendments) Act 2001</w:t>
            </w:r>
            <w:r>
              <w:t xml:space="preserve"> Pt. 33</w:t>
            </w:r>
          </w:p>
        </w:tc>
        <w:tc>
          <w:tcPr>
            <w:tcW w:w="1134" w:type="dxa"/>
          </w:tcPr>
          <w:p>
            <w:pPr>
              <w:pStyle w:val="nTable"/>
              <w:spacing w:after="40"/>
              <w:rPr>
                <w:spacing w:val="-2"/>
              </w:rPr>
            </w:pPr>
            <w:r>
              <w:rPr>
                <w:spacing w:val="-2"/>
              </w:rPr>
              <w:t>10 of 2001</w:t>
            </w:r>
          </w:p>
        </w:tc>
        <w:tc>
          <w:tcPr>
            <w:tcW w:w="1134" w:type="dxa"/>
          </w:tcPr>
          <w:p>
            <w:pPr>
              <w:pStyle w:val="nTable"/>
              <w:spacing w:after="40"/>
              <w:rPr>
                <w:spacing w:val="-2"/>
              </w:rPr>
            </w:pPr>
            <w:r>
              <w:rPr>
                <w:spacing w:val="-2"/>
              </w:rPr>
              <w:t>28 Jun 2001</w:t>
            </w:r>
          </w:p>
        </w:tc>
        <w:tc>
          <w:tcPr>
            <w:tcW w:w="2551" w:type="dxa"/>
          </w:tcPr>
          <w:p>
            <w:pPr>
              <w:pStyle w:val="nTable"/>
              <w:spacing w:after="40"/>
              <w:rPr>
                <w:spacing w:val="-2"/>
              </w:rPr>
            </w:pPr>
            <w:r>
              <w:rPr>
                <w:spacing w:val="-2"/>
              </w:rPr>
              <w:t xml:space="preserve">15 Jul 2001 (see s. 2 and </w:t>
            </w:r>
            <w:r>
              <w:rPr>
                <w:i/>
                <w:spacing w:val="-2"/>
              </w:rPr>
              <w:t>Gazette</w:t>
            </w:r>
            <w:r>
              <w:rPr>
                <w:spacing w:val="-2"/>
              </w:rPr>
              <w:t xml:space="preserve"> 29 Jun 2001 p. 3257 and Cwlth </w:t>
            </w:r>
            <w:r>
              <w:rPr>
                <w:i/>
                <w:spacing w:val="-2"/>
              </w:rPr>
              <w:t>Gazette</w:t>
            </w:r>
            <w:r>
              <w:rPr>
                <w:spacing w:val="-2"/>
              </w:rPr>
              <w:t xml:space="preserve"> 13 Jul 2001 No. S285)</w:t>
            </w:r>
          </w:p>
        </w:tc>
      </w:tr>
      <w:tr>
        <w:trPr>
          <w:cantSplit/>
        </w:trPr>
        <w:tc>
          <w:tcPr>
            <w:tcW w:w="2268" w:type="dxa"/>
          </w:tcPr>
          <w:p>
            <w:pPr>
              <w:pStyle w:val="nTable"/>
              <w:spacing w:after="40"/>
              <w:ind w:right="113"/>
              <w:rPr>
                <w:spacing w:val="-2"/>
                <w:u w:val="single"/>
              </w:rPr>
            </w:pPr>
            <w:r>
              <w:rPr>
                <w:i/>
                <w:spacing w:val="-2"/>
              </w:rPr>
              <w:t>Labour Relations Reform Act 2002</w:t>
            </w:r>
            <w:r>
              <w:rPr>
                <w:spacing w:val="-2"/>
              </w:rPr>
              <w:t xml:space="preserve"> Pt. 2 Div. 1</w:t>
            </w:r>
            <w:r>
              <w:rPr>
                <w:spacing w:val="-2"/>
              </w:rPr>
              <w:noBreakHyphen/>
              <w:t>2, Pt. 3 (s. 111</w:t>
            </w:r>
            <w:r>
              <w:rPr>
                <w:spacing w:val="-2"/>
              </w:rPr>
              <w:noBreakHyphen/>
              <w:t>113), Pt. 4</w:t>
            </w:r>
            <w:r>
              <w:rPr>
                <w:spacing w:val="-2"/>
              </w:rPr>
              <w:noBreakHyphen/>
              <w:t>9, Pt. 10 Div. 2, Pt. 11 and Sch. 1</w:t>
            </w:r>
          </w:p>
        </w:tc>
        <w:tc>
          <w:tcPr>
            <w:tcW w:w="1134" w:type="dxa"/>
          </w:tcPr>
          <w:p>
            <w:pPr>
              <w:pStyle w:val="nTable"/>
              <w:spacing w:after="40"/>
              <w:rPr>
                <w:spacing w:val="-2"/>
              </w:rPr>
            </w:pPr>
            <w:r>
              <w:rPr>
                <w:spacing w:val="-2"/>
              </w:rPr>
              <w:t>20 of 2002</w:t>
            </w:r>
          </w:p>
        </w:tc>
        <w:tc>
          <w:tcPr>
            <w:tcW w:w="1134" w:type="dxa"/>
          </w:tcPr>
          <w:p>
            <w:pPr>
              <w:pStyle w:val="nTable"/>
              <w:spacing w:after="40"/>
              <w:rPr>
                <w:spacing w:val="-2"/>
              </w:rPr>
            </w:pPr>
            <w:r>
              <w:rPr>
                <w:spacing w:val="-2"/>
              </w:rPr>
              <w:t>8 Jul 2002</w:t>
            </w:r>
          </w:p>
        </w:tc>
        <w:tc>
          <w:tcPr>
            <w:tcW w:w="2551" w:type="dxa"/>
          </w:tcPr>
          <w:p>
            <w:pPr>
              <w:pStyle w:val="nTable"/>
              <w:spacing w:after="40"/>
              <w:rPr>
                <w:spacing w:val="-2"/>
              </w:rPr>
            </w:pPr>
            <w:r>
              <w:rPr>
                <w:spacing w:val="-2"/>
              </w:rPr>
              <w:t xml:space="preserve">s. 111(6): 8 Jul 2002 (see s. 2(3)); </w:t>
            </w:r>
            <w:r>
              <w:rPr>
                <w:spacing w:val="-2"/>
              </w:rPr>
              <w:br/>
              <w:t>Pt. 4</w:t>
            </w:r>
            <w:r>
              <w:rPr>
                <w:spacing w:val="-2"/>
              </w:rPr>
              <w:noBreakHyphen/>
              <w:t xml:space="preserve">9, Pt. 10 Div. 2, Pt. 11 and Sch. 1: 1 Aug 2002 (see s. 2 and </w:t>
            </w:r>
            <w:r>
              <w:rPr>
                <w:i/>
                <w:spacing w:val="-2"/>
              </w:rPr>
              <w:t xml:space="preserve">Gazette </w:t>
            </w:r>
            <w:r>
              <w:rPr>
                <w:spacing w:val="-2"/>
              </w:rPr>
              <w:t xml:space="preserve">26 Jul 2002 p. 3459); </w:t>
            </w:r>
            <w:r>
              <w:rPr>
                <w:spacing w:val="-2"/>
              </w:rPr>
              <w:br/>
              <w:t>Pt. 2 Div. 1</w:t>
            </w:r>
            <w:r>
              <w:rPr>
                <w:spacing w:val="-2"/>
              </w:rPr>
              <w:noBreakHyphen/>
              <w:t>2, s. 111(1)</w:t>
            </w:r>
            <w:r>
              <w:rPr>
                <w:spacing w:val="-2"/>
              </w:rPr>
              <w:noBreakHyphen/>
              <w:t xml:space="preserve">(5) and 112: 15 Sep 2002 (see s. 2 and </w:t>
            </w:r>
            <w:r>
              <w:rPr>
                <w:i/>
                <w:spacing w:val="-2"/>
              </w:rPr>
              <w:t>Gazette</w:t>
            </w:r>
            <w:r>
              <w:rPr>
                <w:spacing w:val="-2"/>
              </w:rPr>
              <w:t xml:space="preserve"> 6 Sep 2002 p. 4487);</w:t>
            </w:r>
            <w:r>
              <w:rPr>
                <w:spacing w:val="-2"/>
              </w:rPr>
              <w:br/>
              <w:t>s. 113: 15 Sep 2003 (see s. 2(4))</w:t>
            </w:r>
          </w:p>
        </w:tc>
      </w:tr>
      <w:tr>
        <w:trPr>
          <w:cantSplit/>
        </w:trPr>
        <w:tc>
          <w:tcPr>
            <w:tcW w:w="7087" w:type="dxa"/>
            <w:gridSpan w:val="4"/>
          </w:tcPr>
          <w:p>
            <w:pPr>
              <w:pStyle w:val="nTable"/>
              <w:spacing w:after="40"/>
              <w:rPr>
                <w:spacing w:val="-2"/>
              </w:rPr>
            </w:pPr>
            <w:r>
              <w:rPr>
                <w:b/>
              </w:rPr>
              <w:t xml:space="preserve">Reprint of the </w:t>
            </w:r>
            <w:r>
              <w:rPr>
                <w:b/>
                <w:i/>
              </w:rPr>
              <w:t xml:space="preserve">Industrial Relations Act 1979 </w:t>
            </w:r>
            <w:r>
              <w:rPr>
                <w:b/>
              </w:rPr>
              <w:t xml:space="preserve">as at 8 Nov 2002 </w:t>
            </w:r>
            <w:r>
              <w:t xml:space="preserve">(includes amendments listed above except those in the </w:t>
            </w:r>
            <w:r>
              <w:rPr>
                <w:i/>
                <w:spacing w:val="-2"/>
              </w:rPr>
              <w:t>Labour Relations Reform Act 2002</w:t>
            </w:r>
            <w:r>
              <w:rPr>
                <w:spacing w:val="-2"/>
              </w:rPr>
              <w:t xml:space="preserve"> s. 113</w:t>
            </w:r>
            <w:r>
              <w:t>)</w:t>
            </w:r>
          </w:p>
        </w:tc>
      </w:tr>
      <w:tr>
        <w:trPr>
          <w:cantSplit/>
        </w:trPr>
        <w:tc>
          <w:tcPr>
            <w:tcW w:w="2268" w:type="dxa"/>
          </w:tcPr>
          <w:p>
            <w:pPr>
              <w:pStyle w:val="nTable"/>
              <w:spacing w:after="40"/>
            </w:pPr>
            <w:r>
              <w:rPr>
                <w:i/>
              </w:rPr>
              <w:t>Police Amendment Act 2003 </w:t>
            </w:r>
            <w:r>
              <w:t>s. 10</w:t>
            </w:r>
          </w:p>
        </w:tc>
        <w:tc>
          <w:tcPr>
            <w:tcW w:w="1134" w:type="dxa"/>
          </w:tcPr>
          <w:p>
            <w:pPr>
              <w:pStyle w:val="nTable"/>
              <w:spacing w:after="40"/>
            </w:pPr>
            <w:r>
              <w:t>7 of 2003</w:t>
            </w:r>
          </w:p>
        </w:tc>
        <w:tc>
          <w:tcPr>
            <w:tcW w:w="1134" w:type="dxa"/>
          </w:tcPr>
          <w:p>
            <w:pPr>
              <w:pStyle w:val="nTable"/>
              <w:spacing w:after="40"/>
            </w:pPr>
            <w:r>
              <w:t>27 Mar 2003</w:t>
            </w:r>
          </w:p>
        </w:tc>
        <w:tc>
          <w:tcPr>
            <w:tcW w:w="2551" w:type="dxa"/>
          </w:tcPr>
          <w:p>
            <w:pPr>
              <w:pStyle w:val="nTable"/>
              <w:spacing w:after="40"/>
            </w:pPr>
            <w:r>
              <w:t xml:space="preserve">27 Aug 2003 (see s. 2 and </w:t>
            </w:r>
            <w:r>
              <w:rPr>
                <w:i/>
              </w:rPr>
              <w:t>Gazette</w:t>
            </w:r>
            <w:r>
              <w:t xml:space="preserve"> 26 Aug 2003 p. 3753)</w:t>
            </w:r>
          </w:p>
        </w:tc>
      </w:tr>
      <w:tr>
        <w:trPr>
          <w:cantSplit/>
        </w:trPr>
        <w:tc>
          <w:tcPr>
            <w:tcW w:w="2268" w:type="dxa"/>
          </w:tcPr>
          <w:p>
            <w:pPr>
              <w:pStyle w:val="nTable"/>
              <w:spacing w:after="40"/>
              <w:ind w:right="113"/>
              <w:rPr>
                <w:i/>
                <w:spacing w:val="-2"/>
              </w:rPr>
            </w:pPr>
            <w:r>
              <w:rPr>
                <w:i/>
                <w:spacing w:val="-2"/>
              </w:rPr>
              <w:t>Corporations (Consequential Amendments) Act (No. 2) 2003</w:t>
            </w:r>
            <w:r>
              <w:rPr>
                <w:spacing w:val="-2"/>
              </w:rPr>
              <w:t xml:space="preserve"> Pt. 12</w:t>
            </w:r>
          </w:p>
        </w:tc>
        <w:tc>
          <w:tcPr>
            <w:tcW w:w="1134" w:type="dxa"/>
          </w:tcPr>
          <w:p>
            <w:pPr>
              <w:pStyle w:val="nTable"/>
              <w:spacing w:after="40"/>
              <w:rPr>
                <w:spacing w:val="-2"/>
              </w:rPr>
            </w:pPr>
            <w:r>
              <w:rPr>
                <w:spacing w:val="-2"/>
              </w:rPr>
              <w:t>20 of 2003</w:t>
            </w:r>
          </w:p>
        </w:tc>
        <w:tc>
          <w:tcPr>
            <w:tcW w:w="1134" w:type="dxa"/>
          </w:tcPr>
          <w:p>
            <w:pPr>
              <w:pStyle w:val="nTable"/>
              <w:spacing w:after="40"/>
              <w:rPr>
                <w:spacing w:val="-2"/>
              </w:rPr>
            </w:pPr>
            <w:r>
              <w:rPr>
                <w:spacing w:val="-2"/>
              </w:rPr>
              <w:t>23 Apr 2003</w:t>
            </w:r>
          </w:p>
        </w:tc>
        <w:tc>
          <w:tcPr>
            <w:tcW w:w="2551" w:type="dxa"/>
          </w:tcPr>
          <w:p>
            <w:pPr>
              <w:pStyle w:val="nTable"/>
              <w:spacing w:after="40"/>
              <w:rPr>
                <w:spacing w:val="-2"/>
              </w:rPr>
            </w:pPr>
            <w:r>
              <w:rPr>
                <w:spacing w:val="-2"/>
              </w:rPr>
              <w:t xml:space="preserve">15 Jul 2001 (see s. 2(1) and Cwlth </w:t>
            </w:r>
            <w:r>
              <w:rPr>
                <w:i/>
                <w:spacing w:val="-2"/>
              </w:rPr>
              <w:t>Gazette</w:t>
            </w:r>
            <w:r>
              <w:rPr>
                <w:spacing w:val="-2"/>
              </w:rPr>
              <w:t xml:space="preserve"> 13 Jul 2001 No. S285)</w:t>
            </w:r>
          </w:p>
        </w:tc>
      </w:tr>
      <w:tr>
        <w:trPr>
          <w:cantSplit/>
        </w:trPr>
        <w:tc>
          <w:tcPr>
            <w:tcW w:w="2268" w:type="dxa"/>
          </w:tcPr>
          <w:p>
            <w:pPr>
              <w:pStyle w:val="nTable"/>
              <w:spacing w:after="40"/>
              <w:ind w:right="113"/>
              <w:rPr>
                <w:rFonts w:ascii="Times" w:hAnsi="Times"/>
                <w:spacing w:val="-2"/>
                <w:vertAlign w:val="superscript"/>
              </w:rPr>
            </w:pPr>
            <w:r>
              <w:rPr>
                <w:i/>
                <w:spacing w:val="-2"/>
              </w:rPr>
              <w:t>Acts Amendment (Equality of Status) Act 2003</w:t>
            </w:r>
            <w:r>
              <w:rPr>
                <w:spacing w:val="-2"/>
              </w:rPr>
              <w:t xml:space="preserve"> Pt. 31</w:t>
            </w:r>
          </w:p>
        </w:tc>
        <w:tc>
          <w:tcPr>
            <w:tcW w:w="1134" w:type="dxa"/>
          </w:tcPr>
          <w:p>
            <w:pPr>
              <w:pStyle w:val="nTable"/>
              <w:spacing w:after="40"/>
              <w:rPr>
                <w:spacing w:val="-2"/>
              </w:rPr>
            </w:pPr>
            <w:r>
              <w:rPr>
                <w:spacing w:val="-2"/>
              </w:rPr>
              <w:t>28 of 2003</w:t>
            </w:r>
          </w:p>
        </w:tc>
        <w:tc>
          <w:tcPr>
            <w:tcW w:w="1134" w:type="dxa"/>
          </w:tcPr>
          <w:p>
            <w:pPr>
              <w:pStyle w:val="nTable"/>
              <w:spacing w:after="40"/>
              <w:rPr>
                <w:spacing w:val="-2"/>
              </w:rPr>
            </w:pPr>
            <w:r>
              <w:rPr>
                <w:spacing w:val="-2"/>
              </w:rPr>
              <w:t>22 May 2003</w:t>
            </w:r>
          </w:p>
        </w:tc>
        <w:tc>
          <w:tcPr>
            <w:tcW w:w="2551" w:type="dxa"/>
          </w:tcPr>
          <w:p>
            <w:pPr>
              <w:pStyle w:val="nTable"/>
              <w:spacing w:after="40"/>
              <w:rPr>
                <w:spacing w:val="-2"/>
              </w:rPr>
            </w:pPr>
            <w:r>
              <w:rPr>
                <w:spacing w:val="-2"/>
              </w:rPr>
              <w:t xml:space="preserve">1 Jul 2003 (see s. 2 and </w:t>
            </w:r>
            <w:r>
              <w:rPr>
                <w:i/>
                <w:spacing w:val="-2"/>
              </w:rPr>
              <w:t xml:space="preserve">Gazette </w:t>
            </w:r>
            <w:r>
              <w:rPr>
                <w:spacing w:val="-2"/>
              </w:rPr>
              <w:t>30 Jun 2003 p. 2579)</w:t>
            </w:r>
          </w:p>
        </w:tc>
      </w:tr>
      <w:tr>
        <w:trPr>
          <w:cantSplit/>
        </w:trPr>
        <w:tc>
          <w:tcPr>
            <w:tcW w:w="2268" w:type="dxa"/>
          </w:tcPr>
          <w:p>
            <w:pPr>
              <w:pStyle w:val="nTable"/>
              <w:spacing w:after="40"/>
              <w:ind w:right="170"/>
            </w:pPr>
            <w:r>
              <w:rPr>
                <w:i/>
              </w:rPr>
              <w:t>Public Transport Authority Act 2003</w:t>
            </w:r>
            <w:r>
              <w:t xml:space="preserve"> s. 147</w:t>
            </w:r>
          </w:p>
        </w:tc>
        <w:tc>
          <w:tcPr>
            <w:tcW w:w="1134" w:type="dxa"/>
          </w:tcPr>
          <w:p>
            <w:pPr>
              <w:pStyle w:val="nTable"/>
              <w:spacing w:after="40"/>
              <w:ind w:right="170"/>
            </w:pPr>
            <w:r>
              <w:t>31 of 2003</w:t>
            </w:r>
          </w:p>
        </w:tc>
        <w:tc>
          <w:tcPr>
            <w:tcW w:w="1134" w:type="dxa"/>
          </w:tcPr>
          <w:p>
            <w:pPr>
              <w:pStyle w:val="nTable"/>
              <w:spacing w:after="40"/>
              <w:ind w:right="-28"/>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4536" w:type="dxa"/>
            <w:gridSpan w:val="3"/>
          </w:tcPr>
          <w:p>
            <w:pPr>
              <w:pStyle w:val="nTable"/>
              <w:spacing w:after="40"/>
            </w:pPr>
            <w:r>
              <w:rPr>
                <w:i/>
                <w:spacing w:val="-2"/>
              </w:rPr>
              <w:t>Labour Relations Reform (Consequential Amendments) Regulations 2003</w:t>
            </w:r>
            <w:r>
              <w:rPr>
                <w:spacing w:val="-2"/>
              </w:rPr>
              <w:t xml:space="preserve"> r. 4 published in </w:t>
            </w:r>
            <w:r>
              <w:rPr>
                <w:i/>
                <w:spacing w:val="-2"/>
              </w:rPr>
              <w:t>Gazette</w:t>
            </w:r>
            <w:r>
              <w:rPr>
                <w:spacing w:val="-2"/>
              </w:rPr>
              <w:t xml:space="preserve"> </w:t>
            </w:r>
            <w:r>
              <w:t>15 Aug 2003 p. 3685</w:t>
            </w:r>
            <w:r>
              <w:noBreakHyphen/>
              <w:t>92</w:t>
            </w:r>
          </w:p>
        </w:tc>
        <w:tc>
          <w:tcPr>
            <w:tcW w:w="2551" w:type="dxa"/>
          </w:tcPr>
          <w:p>
            <w:pPr>
              <w:pStyle w:val="nTable"/>
              <w:spacing w:after="40"/>
              <w:rPr>
                <w:spacing w:val="-2"/>
              </w:rPr>
            </w:pPr>
            <w:r>
              <w:rPr>
                <w:spacing w:val="-2"/>
              </w:rPr>
              <w:t>15 Sep 2003 (see r. 2)</w:t>
            </w:r>
          </w:p>
        </w:tc>
      </w:tr>
      <w:tr>
        <w:trPr>
          <w:cantSplit/>
        </w:trPr>
        <w:tc>
          <w:tcPr>
            <w:tcW w:w="2268" w:type="dxa"/>
          </w:tcPr>
          <w:p>
            <w:pPr>
              <w:pStyle w:val="nTable"/>
              <w:spacing w:after="40"/>
              <w:ind w:right="170"/>
            </w:pPr>
            <w:r>
              <w:rPr>
                <w:i/>
              </w:rPr>
              <w:t>Acts Amendment and Repeal (Courts and Legal Practice) Act 2003 </w:t>
            </w:r>
            <w:r>
              <w:t>s. 41</w:t>
            </w:r>
          </w:p>
        </w:tc>
        <w:tc>
          <w:tcPr>
            <w:tcW w:w="1134" w:type="dxa"/>
          </w:tcPr>
          <w:p>
            <w:pPr>
              <w:pStyle w:val="nTable"/>
              <w:spacing w:after="40"/>
              <w:ind w:right="170"/>
            </w:pPr>
            <w:r>
              <w:t>65 of 2003</w:t>
            </w:r>
          </w:p>
        </w:tc>
        <w:tc>
          <w:tcPr>
            <w:tcW w:w="1134" w:type="dxa"/>
          </w:tcPr>
          <w:p>
            <w:pPr>
              <w:pStyle w:val="nTable"/>
              <w:spacing w:after="40"/>
              <w:ind w:right="-28"/>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68</w:t>
            </w:r>
          </w:p>
        </w:tc>
        <w:tc>
          <w:tcPr>
            <w:tcW w:w="1134" w:type="dxa"/>
          </w:tcPr>
          <w:p>
            <w:pPr>
              <w:pStyle w:val="nTable"/>
              <w:keepNext/>
              <w:spacing w:after="40"/>
              <w:ind w:right="170"/>
            </w:pPr>
            <w:r>
              <w:t>74 of 2003</w:t>
            </w:r>
          </w:p>
        </w:tc>
        <w:tc>
          <w:tcPr>
            <w:tcW w:w="1134" w:type="dxa"/>
          </w:tcPr>
          <w:p>
            <w:pPr>
              <w:pStyle w:val="nTable"/>
              <w:keepNext/>
              <w:spacing w:after="40"/>
              <w:ind w:right="-28"/>
            </w:pPr>
            <w:r>
              <w:t>15 Dec 2003</w:t>
            </w:r>
          </w:p>
        </w:tc>
        <w:tc>
          <w:tcPr>
            <w:tcW w:w="2551" w:type="dxa"/>
          </w:tcPr>
          <w:p>
            <w:pPr>
              <w:pStyle w:val="nTable"/>
              <w:keepNext/>
              <w:spacing w:after="40"/>
            </w:pPr>
            <w:r>
              <w:rPr>
                <w:spacing w:val="-2"/>
              </w:rPr>
              <w:t>15 Dec 2003 (see s. 2)</w:t>
            </w:r>
          </w:p>
        </w:tc>
      </w:tr>
      <w:tr>
        <w:trPr>
          <w:cantSplit/>
        </w:trPr>
        <w:tc>
          <w:tcPr>
            <w:tcW w:w="7087" w:type="dxa"/>
            <w:gridSpan w:val="4"/>
          </w:tcPr>
          <w:p>
            <w:pPr>
              <w:pStyle w:val="nTable"/>
              <w:spacing w:after="40"/>
              <w:rPr>
                <w:spacing w:val="-2"/>
              </w:rPr>
            </w:pPr>
            <w:r>
              <w:rPr>
                <w:b/>
              </w:rPr>
              <w:t xml:space="preserve">Reprint 9:  The </w:t>
            </w:r>
            <w:r>
              <w:rPr>
                <w:b/>
                <w:i/>
              </w:rPr>
              <w:t xml:space="preserve">Industrial Relations Act 1979 </w:t>
            </w:r>
            <w:r>
              <w:rPr>
                <w:b/>
              </w:rPr>
              <w:t>as at 18 Jun 2004</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
                <w:snapToGrid w:val="0"/>
              </w:rPr>
            </w:pPr>
            <w:r>
              <w:rPr>
                <w:i/>
                <w:snapToGrid w:val="0"/>
              </w:rPr>
              <w:t>Children and Community Services Act 2004</w:t>
            </w:r>
            <w:r>
              <w:rPr>
                <w:snapToGrid w:val="0"/>
              </w:rPr>
              <w:t xml:space="preserve"> Sch. 2 cl. 15</w:t>
            </w:r>
          </w:p>
        </w:tc>
        <w:tc>
          <w:tcPr>
            <w:tcW w:w="1134" w:type="dxa"/>
          </w:tcPr>
          <w:p>
            <w:pPr>
              <w:pStyle w:val="nTable"/>
              <w:keepNext/>
              <w:spacing w:after="40"/>
              <w:rPr>
                <w:snapToGrid w:val="0"/>
              </w:rPr>
            </w:pPr>
            <w:r>
              <w:rPr>
                <w:snapToGrid w:val="0"/>
              </w:rPr>
              <w:t>34 of 2004</w:t>
            </w:r>
          </w:p>
        </w:tc>
        <w:tc>
          <w:tcPr>
            <w:tcW w:w="1134" w:type="dxa"/>
          </w:tcPr>
          <w:p>
            <w:pPr>
              <w:pStyle w:val="nTable"/>
              <w:keepNext/>
              <w:spacing w:after="40"/>
            </w:pPr>
            <w:r>
              <w:t>20 Oct 2004</w:t>
            </w:r>
          </w:p>
        </w:tc>
        <w:tc>
          <w:tcPr>
            <w:tcW w:w="2551" w:type="dxa"/>
          </w:tcPr>
          <w:p>
            <w:pPr>
              <w:pStyle w:val="nTable"/>
              <w:keepNext/>
              <w:spacing w:after="40"/>
              <w:rPr>
                <w:snapToGrid w:val="0"/>
              </w:rPr>
            </w:pPr>
            <w:r>
              <w:t xml:space="preserve">1 Mar 2006 (see s. 2 and </w:t>
            </w:r>
            <w:r>
              <w:rPr>
                <w:i/>
              </w:rPr>
              <w:t>Gazette</w:t>
            </w:r>
            <w:r>
              <w:t xml:space="preserve"> 14 Feb 2006 p. 695)</w:t>
            </w:r>
          </w:p>
        </w:tc>
      </w:tr>
      <w:tr>
        <w:trPr>
          <w:cantSplit/>
        </w:trPr>
        <w:tc>
          <w:tcPr>
            <w:tcW w:w="2268" w:type="dxa"/>
          </w:tcPr>
          <w:p>
            <w:pPr>
              <w:pStyle w:val="nTable"/>
              <w:spacing w:after="40"/>
              <w:ind w:right="113"/>
              <w:rPr>
                <w:i/>
                <w:snapToGrid w:val="0"/>
              </w:rPr>
            </w:pPr>
            <w:r>
              <w:rPr>
                <w:i/>
                <w:snapToGrid w:val="0"/>
              </w:rPr>
              <w:t>Occupational Safety and Health Legislation Amendment and Repeal Act 2004</w:t>
            </w:r>
            <w:r>
              <w:rPr>
                <w:snapToGrid w:val="0"/>
              </w:rPr>
              <w:t xml:space="preserve"> Pt. 6 Div. 2</w:t>
            </w:r>
          </w:p>
        </w:tc>
        <w:tc>
          <w:tcPr>
            <w:tcW w:w="1134" w:type="dxa"/>
          </w:tcPr>
          <w:p>
            <w:pPr>
              <w:pStyle w:val="nTable"/>
              <w:keepNext/>
              <w:spacing w:after="40"/>
              <w:rPr>
                <w:snapToGrid w:val="0"/>
              </w:rPr>
            </w:pPr>
            <w:r>
              <w:rPr>
                <w:snapToGrid w:val="0"/>
              </w:rPr>
              <w:t>51 of 2004</w:t>
            </w:r>
          </w:p>
        </w:tc>
        <w:tc>
          <w:tcPr>
            <w:tcW w:w="1134" w:type="dxa"/>
          </w:tcPr>
          <w:p>
            <w:pPr>
              <w:pStyle w:val="nTable"/>
              <w:keepNext/>
              <w:spacing w:after="40"/>
            </w:pPr>
            <w:r>
              <w:t>12 Nov 2004</w:t>
            </w:r>
          </w:p>
        </w:tc>
        <w:tc>
          <w:tcPr>
            <w:tcW w:w="2551" w:type="dxa"/>
          </w:tcPr>
          <w:p>
            <w:pPr>
              <w:pStyle w:val="nTable"/>
              <w:keepNext/>
              <w:spacing w:after="40"/>
              <w:rPr>
                <w:snapToGrid w:val="0"/>
              </w:rPr>
            </w:pPr>
            <w:r>
              <w:rPr>
                <w:snapToGrid w:val="0"/>
              </w:rPr>
              <w:t xml:space="preserve">4 Apr 2005 (see s. 2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rFonts w:ascii="Times" w:hAnsi="Times"/>
                <w:i/>
              </w:rPr>
            </w:pPr>
            <w:r>
              <w:rPr>
                <w:i/>
                <w:snapToGrid w:val="0"/>
              </w:rPr>
              <w:t xml:space="preserve">Courts Legislation Amendment and Repeal Act 2004 </w:t>
            </w:r>
            <w:r>
              <w:rPr>
                <w:snapToGrid w:val="0"/>
              </w:rPr>
              <w:t xml:space="preserve">Pt. 14 </w:t>
            </w:r>
          </w:p>
        </w:tc>
        <w:tc>
          <w:tcPr>
            <w:tcW w:w="1134" w:type="dxa"/>
          </w:tcPr>
          <w:p>
            <w:pPr>
              <w:pStyle w:val="nTable"/>
              <w:spacing w:after="40"/>
              <w:ind w:right="170"/>
              <w:rPr>
                <w:rFonts w:ascii="Times" w:hAnsi="Times"/>
              </w:rPr>
            </w:pPr>
            <w:r>
              <w:rPr>
                <w:snapToGrid w:val="0"/>
              </w:rPr>
              <w:t>59 of 2004</w:t>
            </w:r>
          </w:p>
        </w:tc>
        <w:tc>
          <w:tcPr>
            <w:tcW w:w="1134" w:type="dxa"/>
          </w:tcPr>
          <w:p>
            <w:pPr>
              <w:pStyle w:val="nTable"/>
              <w:spacing w:after="40"/>
              <w:ind w:right="-28"/>
              <w:rPr>
                <w:rFonts w:ascii="Times" w:hAnsi="Times"/>
              </w:rPr>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rPr>
            </w:pPr>
            <w:r>
              <w:rPr>
                <w:i/>
              </w:rPr>
              <w:t>State Administrative Tribunal (Conferral of Jurisdiction) Amendment and Repeal Act 2004</w:t>
            </w:r>
            <w:r>
              <w:t xml:space="preserve"> s. 469</w:t>
            </w:r>
            <w:r>
              <w:rPr>
                <w:vertAlign w:val="superscript"/>
              </w:rPr>
              <w:t> 20</w:t>
            </w:r>
          </w:p>
        </w:tc>
        <w:tc>
          <w:tcPr>
            <w:tcW w:w="1134" w:type="dxa"/>
          </w:tcPr>
          <w:p>
            <w:pPr>
              <w:pStyle w:val="nTable"/>
              <w:spacing w:after="40"/>
              <w:ind w:right="170"/>
            </w:pPr>
            <w:r>
              <w:t>55 of 2004</w:t>
            </w:r>
          </w:p>
        </w:tc>
        <w:tc>
          <w:tcPr>
            <w:tcW w:w="1134" w:type="dxa"/>
          </w:tcPr>
          <w:p>
            <w:pPr>
              <w:pStyle w:val="nTable"/>
              <w:spacing w:after="40"/>
              <w:ind w:right="-28"/>
            </w:pPr>
            <w:r>
              <w:t>24 Nov 2004</w:t>
            </w:r>
          </w:p>
        </w:tc>
        <w:tc>
          <w:tcPr>
            <w:tcW w:w="2551" w:type="dxa"/>
          </w:tcPr>
          <w:p>
            <w:pPr>
              <w:pStyle w:val="nTable"/>
              <w:spacing w:after="40"/>
            </w:pPr>
            <w:r>
              <w:t xml:space="preserve">24 Jan 2005 (see s. 2 and </w:t>
            </w:r>
            <w:r>
              <w:rPr>
                <w:i/>
              </w:rPr>
              <w:t>Gazette</w:t>
            </w:r>
            <w:r>
              <w:t xml:space="preserve"> 31 Dec 2004 p. 7130)</w:t>
            </w:r>
          </w:p>
        </w:tc>
      </w:tr>
      <w:tr>
        <w:trPr>
          <w:cantSplit/>
        </w:trPr>
        <w:tc>
          <w:tcPr>
            <w:tcW w:w="2268" w:type="dxa"/>
          </w:tcPr>
          <w:p>
            <w:pPr>
              <w:pStyle w:val="nTable"/>
              <w:spacing w:after="40"/>
              <w:ind w:right="170"/>
              <w:rPr>
                <w:rFonts w:ascii="Times" w:hAnsi="Times"/>
                <w:i/>
              </w:rPr>
            </w:pPr>
            <w:r>
              <w:rPr>
                <w:i/>
                <w:snapToGrid w:val="0"/>
              </w:rPr>
              <w:t>Mines Safety and Inspection Amendment Act 2004</w:t>
            </w:r>
            <w:r>
              <w:rPr>
                <w:snapToGrid w:val="0"/>
              </w:rPr>
              <w:t xml:space="preserve"> Pt. 7 Div. 2</w:t>
            </w:r>
          </w:p>
        </w:tc>
        <w:tc>
          <w:tcPr>
            <w:tcW w:w="1134" w:type="dxa"/>
          </w:tcPr>
          <w:p>
            <w:pPr>
              <w:pStyle w:val="nTable"/>
              <w:spacing w:after="40"/>
              <w:ind w:right="170"/>
              <w:rPr>
                <w:rFonts w:ascii="Times" w:hAnsi="Times"/>
              </w:rPr>
            </w:pPr>
            <w:r>
              <w:rPr>
                <w:snapToGrid w:val="0"/>
              </w:rPr>
              <w:t>68 of 2004</w:t>
            </w:r>
          </w:p>
        </w:tc>
        <w:tc>
          <w:tcPr>
            <w:tcW w:w="1134" w:type="dxa"/>
          </w:tcPr>
          <w:p>
            <w:pPr>
              <w:pStyle w:val="nTable"/>
              <w:spacing w:after="40"/>
              <w:ind w:right="-28"/>
              <w:rPr>
                <w:rFonts w:ascii="Times" w:hAnsi="Times"/>
              </w:rPr>
            </w:pPr>
            <w:r>
              <w:rPr>
                <w:snapToGrid w:val="0"/>
              </w:rPr>
              <w:t>8 Dec 2004</w:t>
            </w:r>
          </w:p>
        </w:tc>
        <w:tc>
          <w:tcPr>
            <w:tcW w:w="2551" w:type="dxa"/>
          </w:tcPr>
          <w:p>
            <w:pPr>
              <w:pStyle w:val="nTable"/>
              <w:spacing w:after="40"/>
            </w:pPr>
            <w:r>
              <w:rPr>
                <w:snapToGrid w:val="0"/>
              </w:rPr>
              <w:t xml:space="preserve">4 Apr 2005 (see s. 2(3)(a) and </w:t>
            </w:r>
            <w:r>
              <w:rPr>
                <w:i/>
                <w:snapToGrid w:val="0"/>
              </w:rPr>
              <w:t xml:space="preserve">Gazette </w:t>
            </w:r>
            <w:r>
              <w:rPr>
                <w:snapToGrid w:val="0"/>
              </w:rPr>
              <w:t>14 Dec 2004 p. 5999</w:t>
            </w:r>
            <w:r>
              <w:rPr>
                <w:snapToGrid w:val="0"/>
              </w:rPr>
              <w:noBreakHyphen/>
              <w:t>6000)</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ind w:right="170"/>
              <w:rPr>
                <w:snapToGrid w:val="0"/>
              </w:rPr>
            </w:pPr>
            <w:r>
              <w:rPr>
                <w:snapToGrid w:val="0"/>
              </w:rPr>
              <w:t>84 of 2004</w:t>
            </w:r>
          </w:p>
        </w:tc>
        <w:tc>
          <w:tcPr>
            <w:tcW w:w="1134" w:type="dxa"/>
          </w:tcPr>
          <w:p>
            <w:pPr>
              <w:pStyle w:val="nTable"/>
              <w:spacing w:after="40"/>
              <w:ind w:right="-28"/>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10:  The </w:t>
            </w:r>
            <w:r>
              <w:rPr>
                <w:b/>
                <w:i/>
              </w:rPr>
              <w:t xml:space="preserve">Industrial Relations Act 1979 </w:t>
            </w:r>
            <w:r>
              <w:rPr>
                <w:b/>
              </w:rPr>
              <w:t>as at 8 Jul 2005</w:t>
            </w:r>
            <w:r>
              <w:rPr>
                <w:vertAlign w:val="superscript"/>
              </w:rPr>
              <w:t> 19</w:t>
            </w:r>
            <w:r>
              <w:rPr>
                <w:b/>
              </w:rPr>
              <w:t xml:space="preserve">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rPr>
                <w:i/>
              </w:rPr>
            </w:pPr>
            <w:r>
              <w:rPr>
                <w:i/>
                <w:snapToGrid w:val="0"/>
              </w:rPr>
              <w:t>Petroleum Legislation Amendment and Repeal Act 2005</w:t>
            </w:r>
            <w:r>
              <w:rPr>
                <w:snapToGrid w:val="0"/>
              </w:rPr>
              <w:t xml:space="preserve"> s. 49(1), (2)(b), (3) and (4)(b)</w:t>
            </w:r>
            <w:r>
              <w:rPr>
                <w:spacing w:val="-2"/>
                <w:vertAlign w:val="superscript"/>
              </w:rPr>
              <w:t xml:space="preserve">  21</w:t>
            </w:r>
          </w:p>
        </w:tc>
        <w:tc>
          <w:tcPr>
            <w:tcW w:w="1134" w:type="dxa"/>
          </w:tcPr>
          <w:p>
            <w:pPr>
              <w:pStyle w:val="nTable"/>
              <w:spacing w:after="40"/>
            </w:pPr>
            <w:r>
              <w:rPr>
                <w:snapToGrid w:val="0"/>
              </w:rPr>
              <w:t>13 of 2005</w:t>
            </w:r>
          </w:p>
        </w:tc>
        <w:tc>
          <w:tcPr>
            <w:tcW w:w="1134" w:type="dxa"/>
          </w:tcPr>
          <w:p>
            <w:pPr>
              <w:pStyle w:val="nTable"/>
              <w:spacing w:after="40"/>
            </w:pPr>
            <w:r>
              <w:t>1 Sep 2005</w:t>
            </w:r>
          </w:p>
        </w:tc>
        <w:tc>
          <w:tcPr>
            <w:tcW w:w="2551" w:type="dxa"/>
          </w:tcPr>
          <w:p>
            <w:pPr>
              <w:pStyle w:val="nTable"/>
              <w:spacing w:after="40"/>
            </w:pPr>
            <w:r>
              <w:t xml:space="preserve">28 Mar 2007 (see s. 2 and </w:t>
            </w:r>
            <w:r>
              <w:rPr>
                <w:i/>
                <w:iCs/>
              </w:rPr>
              <w:t xml:space="preserve">Gazette </w:t>
            </w:r>
            <w:r>
              <w:t>27 Mar 2007 p. 1405)</w:t>
            </w:r>
          </w:p>
        </w:tc>
      </w:tr>
      <w:tr>
        <w:trPr>
          <w:cantSplit/>
        </w:trPr>
        <w:tc>
          <w:tcPr>
            <w:tcW w:w="2268" w:type="dxa"/>
          </w:tcPr>
          <w:p>
            <w:pPr>
              <w:pStyle w:val="nTable"/>
              <w:spacing w:after="40"/>
              <w:rPr>
                <w:i/>
              </w:rPr>
            </w:pPr>
            <w:r>
              <w:rPr>
                <w:i/>
              </w:rPr>
              <w:t>Industrial Relations Amendment Act 2005</w:t>
            </w:r>
          </w:p>
        </w:tc>
        <w:tc>
          <w:tcPr>
            <w:tcW w:w="1134" w:type="dxa"/>
          </w:tcPr>
          <w:p>
            <w:pPr>
              <w:pStyle w:val="nTable"/>
              <w:spacing w:after="40"/>
            </w:pPr>
            <w:r>
              <w:t>14 of 2005</w:t>
            </w:r>
          </w:p>
        </w:tc>
        <w:tc>
          <w:tcPr>
            <w:tcW w:w="1134" w:type="dxa"/>
          </w:tcPr>
          <w:p>
            <w:pPr>
              <w:pStyle w:val="nTable"/>
              <w:spacing w:after="40"/>
            </w:pPr>
            <w:r>
              <w:t>21 Sep 2005</w:t>
            </w:r>
          </w:p>
        </w:tc>
        <w:tc>
          <w:tcPr>
            <w:tcW w:w="2551" w:type="dxa"/>
          </w:tcPr>
          <w:p>
            <w:pPr>
              <w:pStyle w:val="nTable"/>
              <w:spacing w:after="40"/>
            </w:pPr>
            <w:r>
              <w:t>22 Sep 2005 (see s. 2)</w:t>
            </w:r>
          </w:p>
        </w:tc>
      </w:tr>
      <w:tr>
        <w:trPr>
          <w:cantSplit/>
        </w:trPr>
        <w:tc>
          <w:tcPr>
            <w:tcW w:w="2268" w:type="dxa"/>
          </w:tcPr>
          <w:p>
            <w:pPr>
              <w:pStyle w:val="nTable"/>
              <w:spacing w:after="40"/>
              <w:rPr>
                <w:i/>
              </w:rPr>
            </w:pPr>
            <w:r>
              <w:rPr>
                <w:i/>
                <w:snapToGrid w:val="0"/>
              </w:rPr>
              <w:t>Labour Relations Legislation Amendment Act 2006</w:t>
            </w:r>
            <w:r>
              <w:rPr>
                <w:snapToGrid w:val="0"/>
              </w:rPr>
              <w:t xml:space="preserve"> Pt. 3</w:t>
            </w:r>
            <w:r>
              <w:rPr>
                <w:snapToGrid w:val="0"/>
              </w:rPr>
              <w:noBreakHyphen/>
              <w:t xml:space="preserve">5 and 8 </w:t>
            </w:r>
            <w:r>
              <w:rPr>
                <w:snapToGrid w:val="0"/>
                <w:vertAlign w:val="superscript"/>
              </w:rPr>
              <w:t>22</w:t>
            </w:r>
          </w:p>
        </w:tc>
        <w:tc>
          <w:tcPr>
            <w:tcW w:w="1134" w:type="dxa"/>
          </w:tcPr>
          <w:p>
            <w:pPr>
              <w:pStyle w:val="nTable"/>
              <w:spacing w:after="40"/>
            </w:pPr>
            <w:r>
              <w:rPr>
                <w:snapToGrid w:val="0"/>
              </w:rPr>
              <w:t>36 of 2006</w:t>
            </w:r>
          </w:p>
        </w:tc>
        <w:tc>
          <w:tcPr>
            <w:tcW w:w="1134" w:type="dxa"/>
          </w:tcPr>
          <w:p>
            <w:pPr>
              <w:pStyle w:val="nTable"/>
              <w:spacing w:after="40"/>
            </w:pPr>
            <w:r>
              <w:t>4 Jul 2006</w:t>
            </w:r>
          </w:p>
        </w:tc>
        <w:tc>
          <w:tcPr>
            <w:tcW w:w="2551" w:type="dxa"/>
          </w:tcPr>
          <w:p>
            <w:pPr>
              <w:pStyle w:val="nTable"/>
              <w:spacing w:after="40"/>
            </w:pPr>
            <w:r>
              <w:rPr>
                <w:snapToGrid w:val="0"/>
              </w:rPr>
              <w:t>4 Jul 2006 (see s. 2(1))</w:t>
            </w:r>
          </w:p>
        </w:tc>
      </w:tr>
      <w:tr>
        <w:trPr>
          <w:cantSplit/>
        </w:trPr>
        <w:tc>
          <w:tcPr>
            <w:tcW w:w="7087" w:type="dxa"/>
            <w:gridSpan w:val="4"/>
          </w:tcPr>
          <w:p>
            <w:pPr>
              <w:pStyle w:val="nTable"/>
              <w:spacing w:after="40"/>
              <w:rPr>
                <w:snapToGrid w:val="0"/>
              </w:rPr>
            </w:pPr>
            <w:r>
              <w:rPr>
                <w:b/>
              </w:rPr>
              <w:t xml:space="preserve">Reprint 11:  The </w:t>
            </w:r>
            <w:r>
              <w:rPr>
                <w:b/>
                <w:i/>
              </w:rPr>
              <w:t xml:space="preserve">Industrial Relations Act 1979 </w:t>
            </w:r>
            <w:r>
              <w:rPr>
                <w:b/>
              </w:rPr>
              <w:t>as at 3 Nov 2006</w:t>
            </w:r>
            <w:r>
              <w:rPr>
                <w:vertAlign w:val="superscript"/>
              </w:rPr>
              <w:t> 19</w:t>
            </w:r>
            <w:r>
              <w:rPr>
                <w:b/>
              </w:rPr>
              <w:t xml:space="preserve"> </w:t>
            </w:r>
            <w:r>
              <w:t xml:space="preserve">(includes amendments listed above except those in the </w:t>
            </w:r>
            <w:r>
              <w:rPr>
                <w:i/>
                <w:iCs/>
              </w:rPr>
              <w:t>Petroleum Legislation Amendment and Repeal Act 2005</w:t>
            </w:r>
            <w:r>
              <w:t>)</w:t>
            </w:r>
          </w:p>
        </w:tc>
      </w:tr>
      <w:tr>
        <w:trPr>
          <w:cantSplit/>
        </w:trPr>
        <w:tc>
          <w:tcPr>
            <w:tcW w:w="2268" w:type="dxa"/>
          </w:tcPr>
          <w:p>
            <w:pPr>
              <w:pStyle w:val="nTable"/>
              <w:spacing w:after="40"/>
              <w:rPr>
                <w:i/>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
                <w:snapToGrid w:val="0"/>
              </w:rPr>
            </w:pPr>
            <w:r>
              <w:rPr>
                <w:i/>
              </w:rPr>
              <w:t>Owner</w:t>
            </w:r>
            <w:r>
              <w:rPr>
                <w:i/>
              </w:rPr>
              <w:noBreakHyphen/>
              <w:t>Drivers (Contracts and Disputes) Act 2007</w:t>
            </w:r>
            <w:r>
              <w:t xml:space="preserve"> s. 58</w:t>
            </w:r>
          </w:p>
        </w:tc>
        <w:tc>
          <w:tcPr>
            <w:tcW w:w="1134" w:type="dxa"/>
          </w:tcPr>
          <w:p>
            <w:pPr>
              <w:pStyle w:val="nTable"/>
              <w:spacing w:after="40"/>
              <w:rPr>
                <w:snapToGrid w:val="0"/>
              </w:rPr>
            </w:pPr>
            <w:r>
              <w:t>7 of 2007</w:t>
            </w:r>
          </w:p>
        </w:tc>
        <w:tc>
          <w:tcPr>
            <w:tcW w:w="1134" w:type="dxa"/>
          </w:tcPr>
          <w:p>
            <w:pPr>
              <w:pStyle w:val="nTable"/>
              <w:spacing w:after="40"/>
              <w:rPr>
                <w:snapToGrid w:val="0"/>
              </w:rPr>
            </w:pPr>
            <w:r>
              <w:t>6 Jun 2007</w:t>
            </w:r>
          </w:p>
        </w:tc>
        <w:tc>
          <w:tcPr>
            <w:tcW w:w="2551" w:type="dxa"/>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cantSplit/>
        </w:trPr>
        <w:tc>
          <w:tcPr>
            <w:tcW w:w="2268" w:type="dxa"/>
          </w:tcPr>
          <w:p>
            <w:pPr>
              <w:pStyle w:val="nTable"/>
              <w:spacing w:after="40"/>
              <w:rPr>
                <w:i/>
                <w:snapToGrid w:val="0"/>
              </w:rPr>
            </w:pPr>
            <w:r>
              <w:rPr>
                <w:i/>
                <w:snapToGrid w:val="0"/>
              </w:rPr>
              <w:t>Petroleum Amendment Act 2007</w:t>
            </w:r>
            <w:r>
              <w:rPr>
                <w:iCs/>
                <w:snapToGrid w:val="0"/>
              </w:rPr>
              <w:t xml:space="preserve"> s. 97</w:t>
            </w:r>
          </w:p>
        </w:tc>
        <w:tc>
          <w:tcPr>
            <w:tcW w:w="1134" w:type="dxa"/>
          </w:tcPr>
          <w:p>
            <w:pPr>
              <w:pStyle w:val="nTable"/>
              <w:spacing w:after="40"/>
              <w:rPr>
                <w:snapToGrid w:val="0"/>
              </w:rPr>
            </w:pPr>
            <w:r>
              <w:t>35 of 2007</w:t>
            </w:r>
          </w:p>
        </w:tc>
        <w:tc>
          <w:tcPr>
            <w:tcW w:w="1134"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8" w:type="dxa"/>
          </w:tcPr>
          <w:p>
            <w:pPr>
              <w:pStyle w:val="nTable"/>
              <w:spacing w:after="40"/>
              <w:rPr>
                <w:i/>
                <w:snapToGrid w:val="0"/>
              </w:rPr>
            </w:pPr>
            <w:r>
              <w:rPr>
                <w:i/>
                <w:snapToGrid w:val="0"/>
              </w:rPr>
              <w:t>Acts Amendment (Justice) Act 2008</w:t>
            </w:r>
            <w:r>
              <w:rPr>
                <w:iCs/>
                <w:snapToGrid w:val="0"/>
              </w:rPr>
              <w:t xml:space="preserve"> Pt. 13</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rPr>
                <w:i/>
                <w:snapToGrid w:val="0"/>
              </w:rPr>
            </w:pPr>
            <w:r>
              <w:rPr>
                <w:i/>
              </w:rPr>
              <w:t xml:space="preserve">Police Amendment Act 2008 </w:t>
            </w:r>
            <w:r>
              <w:rPr>
                <w:iCs/>
              </w:rPr>
              <w:t>s. 13 and 23(3)</w:t>
            </w:r>
          </w:p>
        </w:tc>
        <w:tc>
          <w:tcPr>
            <w:tcW w:w="1134" w:type="dxa"/>
          </w:tcPr>
          <w:p>
            <w:pPr>
              <w:pStyle w:val="nTable"/>
              <w:spacing w:after="40"/>
            </w:pPr>
            <w:r>
              <w:t>8 of 2008</w:t>
            </w:r>
          </w:p>
        </w:tc>
        <w:tc>
          <w:tcPr>
            <w:tcW w:w="1134" w:type="dxa"/>
          </w:tcPr>
          <w:p>
            <w:pPr>
              <w:pStyle w:val="nTable"/>
              <w:spacing w:after="40"/>
            </w:pPr>
            <w:r>
              <w:t>31 Mar 2008</w:t>
            </w:r>
          </w:p>
        </w:tc>
        <w:tc>
          <w:tcPr>
            <w:tcW w:w="2551" w:type="dxa"/>
          </w:tcPr>
          <w:p>
            <w:pPr>
              <w:pStyle w:val="nTable"/>
              <w:spacing w:after="40"/>
            </w:pPr>
            <w:r>
              <w:t>s. 13: 1 Apr 2008 (see s. 2(1));</w:t>
            </w:r>
            <w:r>
              <w:br/>
              <w:t xml:space="preserve">s. 23(3): 21 Jun 2008 (see s. 2(2) and </w:t>
            </w:r>
            <w:r>
              <w:rPr>
                <w:i/>
                <w:iCs/>
              </w:rPr>
              <w:t>Gazette</w:t>
            </w:r>
            <w:r>
              <w:t xml:space="preserve"> 20 Jun 2008 p. 2706)</w:t>
            </w:r>
          </w:p>
        </w:tc>
      </w:tr>
      <w:tr>
        <w:trPr>
          <w:cantSplit/>
        </w:trPr>
        <w:tc>
          <w:tcPr>
            <w:tcW w:w="2268" w:type="dxa"/>
          </w:tcPr>
          <w:p>
            <w:pPr>
              <w:pStyle w:val="nTable"/>
              <w:spacing w:after="40"/>
              <w:ind w:right="113"/>
              <w:rPr>
                <w:i/>
              </w:rPr>
            </w:pPr>
            <w:r>
              <w:rPr>
                <w:i/>
                <w:iCs/>
                <w:snapToGrid w:val="0"/>
              </w:rPr>
              <w:t>Legal Profession Act 2008</w:t>
            </w:r>
            <w:r>
              <w:rPr>
                <w:i/>
                <w:snapToGrid w:val="0"/>
              </w:rPr>
              <w:t xml:space="preserve"> </w:t>
            </w:r>
            <w:r>
              <w:rPr>
                <w:iCs/>
                <w:snapToGrid w:val="0"/>
              </w:rPr>
              <w:t xml:space="preserve">s. 668 </w:t>
            </w:r>
          </w:p>
        </w:tc>
        <w:tc>
          <w:tcPr>
            <w:tcW w:w="1134" w:type="dxa"/>
          </w:tcPr>
          <w:p>
            <w:pPr>
              <w:pStyle w:val="nTable"/>
              <w:keepNext/>
              <w:spacing w:after="40"/>
            </w:pPr>
            <w:r>
              <w:rPr>
                <w:snapToGrid w:val="0"/>
              </w:rPr>
              <w:t>21 of 2008</w:t>
            </w:r>
          </w:p>
        </w:tc>
        <w:tc>
          <w:tcPr>
            <w:tcW w:w="1134" w:type="dxa"/>
          </w:tcPr>
          <w:p>
            <w:pPr>
              <w:pStyle w:val="nTable"/>
              <w:keepNext/>
              <w:spacing w:after="40"/>
              <w:ind w:right="-10"/>
            </w:pPr>
            <w:r>
              <w:rPr>
                <w:snapToGrid w:val="0"/>
              </w:rPr>
              <w:t>27 May 2008</w:t>
            </w:r>
          </w:p>
        </w:tc>
        <w:tc>
          <w:tcPr>
            <w:tcW w:w="2551" w:type="dxa"/>
          </w:tcPr>
          <w:p>
            <w:pPr>
              <w:pStyle w:val="nTable"/>
              <w:keepNext/>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iCs/>
                <w:snapToGrid w:val="0"/>
              </w:rPr>
            </w:pPr>
            <w:r>
              <w:rPr>
                <w:i/>
                <w:snapToGrid w:val="0"/>
              </w:rPr>
              <w:t>Medical Practitioners Act 2008</w:t>
            </w:r>
            <w:r>
              <w:rPr>
                <w:iCs/>
                <w:snapToGrid w:val="0"/>
              </w:rPr>
              <w:t xml:space="preserve"> Sch. 3 cl. 30 </w:t>
            </w:r>
          </w:p>
        </w:tc>
        <w:tc>
          <w:tcPr>
            <w:tcW w:w="1134" w:type="dxa"/>
          </w:tcPr>
          <w:p>
            <w:pPr>
              <w:pStyle w:val="nTable"/>
              <w:keepNext/>
              <w:spacing w:after="40"/>
              <w:rPr>
                <w:snapToGrid w:val="0"/>
              </w:rPr>
            </w:pPr>
            <w:r>
              <w:t>22 of 2008</w:t>
            </w:r>
          </w:p>
        </w:tc>
        <w:tc>
          <w:tcPr>
            <w:tcW w:w="1134" w:type="dxa"/>
          </w:tcPr>
          <w:p>
            <w:pPr>
              <w:pStyle w:val="nTable"/>
              <w:keepNext/>
              <w:spacing w:after="40"/>
              <w:rPr>
                <w:snapToGrid w:val="0"/>
              </w:rPr>
            </w:pPr>
            <w:r>
              <w:t>27 May 2008</w:t>
            </w:r>
          </w:p>
        </w:tc>
        <w:tc>
          <w:tcPr>
            <w:tcW w:w="2551" w:type="dxa"/>
          </w:tcPr>
          <w:p>
            <w:pPr>
              <w:pStyle w:val="nTable"/>
              <w:keepNext/>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Cs/>
                <w:snapToGrid w:val="0"/>
              </w:rPr>
            </w:pPr>
            <w:r>
              <w:rPr>
                <w:i/>
                <w:snapToGrid w:val="0"/>
              </w:rPr>
              <w:t>Training Legislation Amendment and Repeal Act 2008</w:t>
            </w:r>
            <w:r>
              <w:rPr>
                <w:iCs/>
                <w:snapToGrid w:val="0"/>
              </w:rPr>
              <w:t xml:space="preserve"> s. 53</w:t>
            </w:r>
          </w:p>
        </w:tc>
        <w:tc>
          <w:tcPr>
            <w:tcW w:w="1134" w:type="dxa"/>
          </w:tcPr>
          <w:p>
            <w:pPr>
              <w:pStyle w:val="nTable"/>
              <w:keepNext/>
              <w:spacing w:after="40"/>
            </w:pPr>
            <w:r>
              <w:t>44 of 2008</w:t>
            </w:r>
          </w:p>
        </w:tc>
        <w:tc>
          <w:tcPr>
            <w:tcW w:w="1134" w:type="dxa"/>
          </w:tcPr>
          <w:p>
            <w:pPr>
              <w:pStyle w:val="nTable"/>
              <w:keepNext/>
              <w:spacing w:after="40"/>
            </w:pPr>
            <w:r>
              <w:t>10 Dec 2008</w:t>
            </w:r>
          </w:p>
        </w:tc>
        <w:tc>
          <w:tcPr>
            <w:tcW w:w="2551" w:type="dxa"/>
          </w:tcPr>
          <w:p>
            <w:pPr>
              <w:pStyle w:val="nTable"/>
              <w:keepNext/>
              <w:spacing w:after="40"/>
            </w:pPr>
            <w:r>
              <w:t>10 Jun 2009 (see s. 2(2))</w:t>
            </w:r>
          </w:p>
        </w:tc>
      </w:tr>
      <w:tr>
        <w:trPr>
          <w:cantSplit/>
        </w:trPr>
        <w:tc>
          <w:tcPr>
            <w:tcW w:w="7087" w:type="dxa"/>
            <w:gridSpan w:val="4"/>
          </w:tcPr>
          <w:p>
            <w:pPr>
              <w:pStyle w:val="nTable"/>
              <w:spacing w:after="40"/>
            </w:pPr>
            <w:r>
              <w:rPr>
                <w:b/>
              </w:rPr>
              <w:t xml:space="preserve">Reprint 12:  The </w:t>
            </w:r>
            <w:r>
              <w:rPr>
                <w:b/>
                <w:i/>
              </w:rPr>
              <w:t xml:space="preserve">Industrial Relations Act 1979 </w:t>
            </w:r>
            <w:r>
              <w:rPr>
                <w:b/>
              </w:rPr>
              <w:t>as at 2 Jan 2009</w:t>
            </w:r>
            <w:r>
              <w:rPr>
                <w:vertAlign w:val="superscript"/>
              </w:rPr>
              <w:t> 19</w:t>
            </w:r>
            <w:r>
              <w:rPr>
                <w:b/>
              </w:rPr>
              <w:t xml:space="preserve"> </w:t>
            </w:r>
            <w:r>
              <w:t xml:space="preserve">(includes amendments listed above except those in the </w:t>
            </w:r>
            <w:r>
              <w:rPr>
                <w:i/>
                <w:iCs/>
              </w:rPr>
              <w:t>Legal Profession Act 2008</w:t>
            </w:r>
            <w:r>
              <w:t xml:space="preserve"> and the </w:t>
            </w:r>
            <w:r>
              <w:rPr>
                <w:i/>
                <w:iCs/>
              </w:rPr>
              <w:t>Training Legislation Amendment and Repeal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45</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 xml:space="preserve">Occupational Safety and Health Legislation Amendment Act 2009 </w:t>
            </w:r>
            <w:r>
              <w:rPr>
                <w:iCs/>
                <w:snapToGrid w:val="0"/>
              </w:rPr>
              <w:t>Pt. 3</w:t>
            </w:r>
          </w:p>
        </w:tc>
        <w:tc>
          <w:tcPr>
            <w:tcW w:w="1134" w:type="dxa"/>
          </w:tcPr>
          <w:p>
            <w:pPr>
              <w:pStyle w:val="nTable"/>
              <w:spacing w:after="40"/>
            </w:pPr>
            <w:r>
              <w:t>36 of 2009</w:t>
            </w:r>
          </w:p>
        </w:tc>
        <w:tc>
          <w:tcPr>
            <w:tcW w:w="1134" w:type="dxa"/>
          </w:tcPr>
          <w:p>
            <w:pPr>
              <w:pStyle w:val="nTable"/>
              <w:spacing w:after="40"/>
            </w:pPr>
            <w:r>
              <w:t>3 Dec 2009</w:t>
            </w:r>
          </w:p>
        </w:tc>
        <w:tc>
          <w:tcPr>
            <w:tcW w:w="2551" w:type="dxa"/>
          </w:tcPr>
          <w:p>
            <w:pPr>
              <w:pStyle w:val="nTable"/>
              <w:spacing w:after="40"/>
            </w:pPr>
            <w:r>
              <w:rPr>
                <w:snapToGrid w:val="0"/>
              </w:rPr>
              <w:t>31 Dec 2009 (see s. 2(c))</w:t>
            </w:r>
          </w:p>
        </w:tc>
      </w:tr>
      <w:tr>
        <w:trPr>
          <w:cantSplit/>
        </w:trPr>
        <w:tc>
          <w:tcPr>
            <w:tcW w:w="2268" w:type="dxa"/>
          </w:tcPr>
          <w:p>
            <w:pPr>
              <w:pStyle w:val="nTable"/>
              <w:spacing w:after="40"/>
              <w:rPr>
                <w:i/>
                <w:snapToGrid w:val="0"/>
              </w:rPr>
            </w:pPr>
            <w:r>
              <w:rPr>
                <w:i/>
                <w:snapToGrid w:val="0"/>
              </w:rPr>
              <w:t xml:space="preserve">Police Amendment Act 2009 </w:t>
            </w:r>
            <w:r>
              <w:rPr>
                <w:iCs/>
                <w:snapToGrid w:val="0"/>
              </w:rPr>
              <w:t>s. 19</w:t>
            </w:r>
          </w:p>
        </w:tc>
        <w:tc>
          <w:tcPr>
            <w:tcW w:w="1134" w:type="dxa"/>
          </w:tcPr>
          <w:p>
            <w:pPr>
              <w:pStyle w:val="nTable"/>
              <w:spacing w:after="40"/>
            </w:pPr>
            <w:r>
              <w:t>42 of 2009</w:t>
            </w:r>
          </w:p>
        </w:tc>
        <w:tc>
          <w:tcPr>
            <w:tcW w:w="1134" w:type="dxa"/>
          </w:tcPr>
          <w:p>
            <w:pPr>
              <w:pStyle w:val="nTable"/>
              <w:spacing w:after="40"/>
            </w:pPr>
            <w:r>
              <w:t>3 Dec 2009</w:t>
            </w:r>
          </w:p>
        </w:tc>
        <w:tc>
          <w:tcPr>
            <w:tcW w:w="2551"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7087" w:type="dxa"/>
            <w:gridSpan w:val="4"/>
          </w:tcPr>
          <w:p>
            <w:pPr>
              <w:pStyle w:val="nTable"/>
              <w:spacing w:after="40"/>
              <w:rPr>
                <w:snapToGrid w:val="0"/>
              </w:rPr>
            </w:pPr>
            <w:r>
              <w:rPr>
                <w:b/>
              </w:rPr>
              <w:t xml:space="preserve">Reprint 13:  The </w:t>
            </w:r>
            <w:r>
              <w:rPr>
                <w:b/>
                <w:i/>
              </w:rPr>
              <w:t xml:space="preserve">Industrial Relations Act 1979 </w:t>
            </w:r>
            <w:r>
              <w:rPr>
                <w:b/>
              </w:rPr>
              <w:t>as at 9 Apr 2010</w:t>
            </w:r>
            <w:r>
              <w:rPr>
                <w:vertAlign w:val="superscript"/>
              </w:rPr>
              <w:t> 19</w:t>
            </w:r>
            <w:r>
              <w:rPr>
                <w:b/>
              </w:rPr>
              <w:t xml:space="preserve"> </w:t>
            </w:r>
            <w:r>
              <w:t>(includes amendments listed above)</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29</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109 </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1" w:type="dxa"/>
          </w:tcPr>
          <w:p>
            <w:pPr>
              <w:pStyle w:val="nTable"/>
              <w:spacing w:after="40"/>
              <w:rPr>
                <w:snapToGrid w:val="0"/>
              </w:rPr>
            </w:pPr>
            <w:r>
              <w:rPr>
                <w:snapToGrid w:val="0"/>
              </w:rPr>
              <w:t xml:space="preserve">28 Mar 2011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keepNext/>
              <w:spacing w:after="40"/>
              <w:ind w:right="113"/>
              <w:rPr>
                <w:i/>
                <w:snapToGrid w:val="0"/>
              </w:rPr>
            </w:pPr>
            <w:r>
              <w:rPr>
                <w:i/>
                <w:snapToGrid w:val="0"/>
              </w:rPr>
              <w:t xml:space="preserve">Industrial Legislation Amendment Act 2011 </w:t>
            </w:r>
            <w:r>
              <w:rPr>
                <w:snapToGrid w:val="0"/>
              </w:rPr>
              <w:t>Pt. 3</w:t>
            </w:r>
          </w:p>
        </w:tc>
        <w:tc>
          <w:tcPr>
            <w:tcW w:w="1134" w:type="dxa"/>
            <w:shd w:val="clear" w:color="auto" w:fill="auto"/>
          </w:tcPr>
          <w:p>
            <w:pPr>
              <w:pStyle w:val="nTable"/>
              <w:spacing w:after="40"/>
              <w:rPr>
                <w:snapToGrid w:val="0"/>
              </w:rPr>
            </w:pPr>
            <w:r>
              <w:rPr>
                <w:snapToGrid w:val="0"/>
              </w:rPr>
              <w:t>53 of 2011</w:t>
            </w:r>
          </w:p>
        </w:tc>
        <w:tc>
          <w:tcPr>
            <w:tcW w:w="1134" w:type="dxa"/>
            <w:shd w:val="clear" w:color="auto" w:fill="auto"/>
          </w:tcPr>
          <w:p>
            <w:pPr>
              <w:pStyle w:val="nTable"/>
              <w:spacing w:after="40"/>
            </w:pPr>
            <w:r>
              <w:rPr>
                <w:snapToGrid w:val="0"/>
              </w:rPr>
              <w:t>11 Nov 2011</w:t>
            </w:r>
          </w:p>
        </w:tc>
        <w:tc>
          <w:tcPr>
            <w:tcW w:w="2551" w:type="dxa"/>
            <w:shd w:val="clear" w:color="auto" w:fill="auto"/>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rPr>
          <w:cantSplit/>
        </w:trPr>
        <w:tc>
          <w:tcPr>
            <w:tcW w:w="7087" w:type="dxa"/>
            <w:gridSpan w:val="4"/>
            <w:shd w:val="clear" w:color="auto" w:fill="auto"/>
          </w:tcPr>
          <w:p>
            <w:pPr>
              <w:pStyle w:val="nTable"/>
              <w:spacing w:after="40"/>
              <w:rPr>
                <w:snapToGrid w:val="0"/>
              </w:rPr>
            </w:pPr>
            <w:r>
              <w:rPr>
                <w:b/>
              </w:rPr>
              <w:t xml:space="preserve">Reprint 14:  The </w:t>
            </w:r>
            <w:r>
              <w:rPr>
                <w:b/>
                <w:i/>
              </w:rPr>
              <w:t xml:space="preserve">Industrial Relations Act 1979 </w:t>
            </w:r>
            <w:r>
              <w:rPr>
                <w:b/>
              </w:rPr>
              <w:t>as at 24 Aug 2012</w:t>
            </w:r>
            <w:r>
              <w:rPr>
                <w:vertAlign w:val="superscript"/>
              </w:rPr>
              <w:t> 19</w:t>
            </w:r>
            <w:r>
              <w:rPr>
                <w:b/>
              </w:rPr>
              <w:t xml:space="preserve"> </w:t>
            </w:r>
            <w:r>
              <w:t>(includes amendments listed above)</w:t>
            </w:r>
          </w:p>
        </w:tc>
      </w:tr>
      <w:tr>
        <w:trPr>
          <w:cantSplit/>
        </w:trPr>
        <w:tc>
          <w:tcPr>
            <w:tcW w:w="2268" w:type="dxa"/>
            <w:shd w:val="clear" w:color="auto" w:fill="auto"/>
          </w:tcPr>
          <w:p>
            <w:pPr>
              <w:pStyle w:val="nTable"/>
              <w:spacing w:after="40"/>
              <w:ind w:right="113"/>
              <w:rPr>
                <w:snapToGrid w:val="0"/>
              </w:rPr>
            </w:pPr>
            <w:r>
              <w:rPr>
                <w:i/>
                <w:snapToGrid w:val="0"/>
              </w:rPr>
              <w:t>Workforce Reform Act 2014</w:t>
            </w:r>
            <w:r>
              <w:rPr>
                <w:snapToGrid w:val="0"/>
              </w:rPr>
              <w:t xml:space="preserve"> Pt. 2</w:t>
            </w:r>
          </w:p>
        </w:tc>
        <w:tc>
          <w:tcPr>
            <w:tcW w:w="1134" w:type="dxa"/>
            <w:shd w:val="clear" w:color="auto" w:fill="auto"/>
          </w:tcPr>
          <w:p>
            <w:pPr>
              <w:pStyle w:val="nTable"/>
              <w:keepNext/>
              <w:spacing w:after="40"/>
            </w:pPr>
            <w:r>
              <w:t>8 of 2014</w:t>
            </w:r>
          </w:p>
        </w:tc>
        <w:tc>
          <w:tcPr>
            <w:tcW w:w="1134" w:type="dxa"/>
            <w:shd w:val="clear" w:color="auto" w:fill="auto"/>
          </w:tcPr>
          <w:p>
            <w:pPr>
              <w:pStyle w:val="nTable"/>
              <w:keepNext/>
              <w:spacing w:after="40"/>
            </w:pPr>
            <w:r>
              <w:t>20 May 2014</w:t>
            </w:r>
          </w:p>
        </w:tc>
        <w:tc>
          <w:tcPr>
            <w:tcW w:w="2551" w:type="dxa"/>
            <w:shd w:val="clear" w:color="auto" w:fill="auto"/>
          </w:tcPr>
          <w:p>
            <w:pPr>
              <w:pStyle w:val="nTable"/>
              <w:keepNext/>
              <w:spacing w:after="40"/>
            </w:pPr>
            <w:r>
              <w:t xml:space="preserve">1 Jul 2014 (see s. 2(b) and </w:t>
            </w:r>
            <w:r>
              <w:rPr>
                <w:i/>
              </w:rPr>
              <w:t>Gazette</w:t>
            </w:r>
            <w:r>
              <w:t xml:space="preserve"> 27 Jun 2014 p. 2301)</w:t>
            </w:r>
          </w:p>
        </w:tc>
      </w:tr>
      <w:tr>
        <w:trPr>
          <w:cantSplit/>
        </w:trPr>
        <w:tc>
          <w:tcPr>
            <w:tcW w:w="2268" w:type="dxa"/>
            <w:shd w:val="clear" w:color="auto" w:fill="auto"/>
          </w:tcPr>
          <w:p>
            <w:pPr>
              <w:pStyle w:val="nTable"/>
              <w:spacing w:after="40"/>
              <w:ind w:right="113"/>
              <w:rPr>
                <w:i/>
                <w:snapToGrid w:val="0"/>
              </w:rPr>
            </w:pPr>
            <w:r>
              <w:rPr>
                <w:i/>
                <w:snapToGrid w:val="0"/>
              </w:rPr>
              <w:t xml:space="preserve">Health Services Act 2016 </w:t>
            </w:r>
            <w:r>
              <w:rPr>
                <w:snapToGrid w:val="0"/>
              </w:rPr>
              <w:t>s. 295</w:t>
            </w:r>
          </w:p>
        </w:tc>
        <w:tc>
          <w:tcPr>
            <w:tcW w:w="1134" w:type="dxa"/>
            <w:shd w:val="clear" w:color="auto" w:fill="auto"/>
          </w:tcPr>
          <w:p>
            <w:pPr>
              <w:pStyle w:val="nTable"/>
              <w:keepNext/>
              <w:spacing w:after="40"/>
            </w:pPr>
            <w:r>
              <w:t>11 of 2016</w:t>
            </w:r>
          </w:p>
        </w:tc>
        <w:tc>
          <w:tcPr>
            <w:tcW w:w="1134" w:type="dxa"/>
            <w:shd w:val="clear" w:color="auto" w:fill="auto"/>
          </w:tcPr>
          <w:p>
            <w:pPr>
              <w:pStyle w:val="nTable"/>
              <w:keepNext/>
              <w:spacing w:after="40"/>
            </w:pPr>
            <w:r>
              <w:t>26 May 2016</w:t>
            </w:r>
          </w:p>
        </w:tc>
        <w:tc>
          <w:tcPr>
            <w:tcW w:w="2551" w:type="dxa"/>
            <w:shd w:val="clear" w:color="auto" w:fill="auto"/>
          </w:tcPr>
          <w:p>
            <w:pPr>
              <w:pStyle w:val="nTable"/>
              <w:keepNext/>
              <w:spacing w:after="40"/>
            </w:pPr>
            <w:r>
              <w:t xml:space="preserve">1 Jul 2016 (see s. 2(b) and </w:t>
            </w:r>
            <w:r>
              <w:rPr>
                <w:i/>
              </w:rPr>
              <w:t>Gazette</w:t>
            </w:r>
            <w:r>
              <w:t xml:space="preserve"> 24 Jun 2016 p. 2291)</w:t>
            </w:r>
          </w:p>
        </w:tc>
      </w:tr>
      <w:tr>
        <w:trPr>
          <w:cantSplit/>
          <w:ins w:id="1693" w:author="svcMRProcess" w:date="2018-09-03T19:30:00Z"/>
        </w:trPr>
        <w:tc>
          <w:tcPr>
            <w:tcW w:w="2268" w:type="dxa"/>
            <w:shd w:val="clear" w:color="auto" w:fill="auto"/>
          </w:tcPr>
          <w:p>
            <w:pPr>
              <w:pStyle w:val="nTable"/>
              <w:spacing w:after="40"/>
              <w:ind w:right="113"/>
              <w:rPr>
                <w:ins w:id="1694" w:author="svcMRProcess" w:date="2018-09-03T19:30:00Z"/>
                <w:i/>
                <w:snapToGrid w:val="0"/>
              </w:rPr>
            </w:pPr>
            <w:ins w:id="1695" w:author="svcMRProcess" w:date="2018-09-03T19:30:00Z">
              <w:r>
                <w:rPr>
                  <w:i/>
                  <w:snapToGrid w:val="0"/>
                </w:rPr>
                <w:t xml:space="preserve">Universities Legislation Amendment Act 2016 </w:t>
              </w:r>
              <w:r>
                <w:rPr>
                  <w:snapToGrid w:val="0"/>
                </w:rPr>
                <w:t>Pt. 7 Div. 4</w:t>
              </w:r>
              <w:r>
                <w:rPr>
                  <w:i/>
                  <w:snapToGrid w:val="0"/>
                </w:rPr>
                <w:t> </w:t>
              </w:r>
            </w:ins>
          </w:p>
        </w:tc>
        <w:tc>
          <w:tcPr>
            <w:tcW w:w="1134" w:type="dxa"/>
            <w:shd w:val="clear" w:color="auto" w:fill="auto"/>
          </w:tcPr>
          <w:p>
            <w:pPr>
              <w:pStyle w:val="nTable"/>
              <w:keepNext/>
              <w:spacing w:after="40"/>
              <w:rPr>
                <w:ins w:id="1696" w:author="svcMRProcess" w:date="2018-09-03T19:30:00Z"/>
              </w:rPr>
            </w:pPr>
            <w:ins w:id="1697" w:author="svcMRProcess" w:date="2018-09-03T19:30:00Z">
              <w:r>
                <w:t>32 of 2016</w:t>
              </w:r>
            </w:ins>
          </w:p>
        </w:tc>
        <w:tc>
          <w:tcPr>
            <w:tcW w:w="1134" w:type="dxa"/>
            <w:shd w:val="clear" w:color="auto" w:fill="auto"/>
          </w:tcPr>
          <w:p>
            <w:pPr>
              <w:pStyle w:val="nTable"/>
              <w:keepNext/>
              <w:spacing w:after="40"/>
              <w:rPr>
                <w:ins w:id="1698" w:author="svcMRProcess" w:date="2018-09-03T19:30:00Z"/>
              </w:rPr>
            </w:pPr>
            <w:ins w:id="1699" w:author="svcMRProcess" w:date="2018-09-03T19:30:00Z">
              <w:r>
                <w:t>19 Oct 2016</w:t>
              </w:r>
            </w:ins>
          </w:p>
        </w:tc>
        <w:tc>
          <w:tcPr>
            <w:tcW w:w="2551" w:type="dxa"/>
            <w:shd w:val="clear" w:color="auto" w:fill="auto"/>
          </w:tcPr>
          <w:p>
            <w:pPr>
              <w:pStyle w:val="nTable"/>
              <w:keepNext/>
              <w:spacing w:after="40"/>
              <w:rPr>
                <w:ins w:id="1700" w:author="svcMRProcess" w:date="2018-09-03T19:30:00Z"/>
              </w:rPr>
            </w:pPr>
            <w:ins w:id="1701" w:author="svcMRProcess" w:date="2018-09-03T19:30:00Z">
              <w:r>
                <w:t xml:space="preserve">2 Jan 2017 (see s. 2(b) and </w:t>
              </w:r>
              <w:r>
                <w:rPr>
                  <w:i/>
                </w:rPr>
                <w:t>Gazette</w:t>
              </w:r>
              <w:r>
                <w:t xml:space="preserve"> 9 Dec 2016 p. 5557)</w:t>
              </w:r>
            </w:ins>
          </w:p>
        </w:tc>
      </w:tr>
      <w:tr>
        <w:trPr>
          <w:cantSplit/>
        </w:trPr>
        <w:tc>
          <w:tcPr>
            <w:tcW w:w="2268" w:type="dxa"/>
            <w:tcBorders>
              <w:bottom w:val="single" w:sz="4" w:space="0" w:color="auto"/>
            </w:tcBorders>
            <w:shd w:val="clear" w:color="auto" w:fill="auto"/>
          </w:tcPr>
          <w:p>
            <w:pPr>
              <w:pStyle w:val="nTable"/>
              <w:spacing w:after="40"/>
              <w:ind w:right="113"/>
              <w:rPr>
                <w:snapToGrid w:val="0"/>
              </w:rPr>
            </w:pPr>
            <w:r>
              <w:rPr>
                <w:i/>
                <w:snapToGrid w:val="0"/>
              </w:rPr>
              <w:t>Statutes (Repeals) Act 2016</w:t>
            </w:r>
            <w:r>
              <w:rPr>
                <w:snapToGrid w:val="0"/>
              </w:rPr>
              <w:t xml:space="preserve"> Pt. 2 Div 3 and Pt. 3 Div. 2</w:t>
            </w:r>
          </w:p>
        </w:tc>
        <w:tc>
          <w:tcPr>
            <w:tcW w:w="1134" w:type="dxa"/>
            <w:tcBorders>
              <w:bottom w:val="single" w:sz="4" w:space="0" w:color="auto"/>
            </w:tcBorders>
            <w:shd w:val="clear" w:color="auto" w:fill="auto"/>
          </w:tcPr>
          <w:p>
            <w:pPr>
              <w:pStyle w:val="nTable"/>
              <w:keepNext/>
              <w:spacing w:after="40"/>
            </w:pPr>
            <w:r>
              <w:t>50 of 2016</w:t>
            </w:r>
          </w:p>
        </w:tc>
        <w:tc>
          <w:tcPr>
            <w:tcW w:w="1134" w:type="dxa"/>
            <w:tcBorders>
              <w:bottom w:val="single" w:sz="4" w:space="0" w:color="auto"/>
            </w:tcBorders>
            <w:shd w:val="clear" w:color="auto" w:fill="auto"/>
          </w:tcPr>
          <w:p>
            <w:pPr>
              <w:pStyle w:val="nTable"/>
              <w:keepNext/>
              <w:spacing w:after="40"/>
            </w:pPr>
            <w:r>
              <w:t>28 Nov 2016</w:t>
            </w:r>
          </w:p>
        </w:tc>
        <w:tc>
          <w:tcPr>
            <w:tcW w:w="2551" w:type="dxa"/>
            <w:tcBorders>
              <w:bottom w:val="single" w:sz="4" w:space="0" w:color="auto"/>
            </w:tcBorders>
            <w:shd w:val="clear" w:color="auto" w:fill="auto"/>
          </w:tcPr>
          <w:p>
            <w:pPr>
              <w:pStyle w:val="nTable"/>
              <w:keepNext/>
              <w:spacing w:after="40"/>
            </w:pPr>
            <w:r>
              <w:t>29 Nov 2016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702" w:name="_Toc471912310"/>
      <w:bookmarkStart w:id="1703" w:name="_Toc391895049"/>
      <w:bookmarkStart w:id="1704" w:name="_Toc468179521"/>
      <w:r>
        <w:rPr>
          <w:snapToGrid w:val="0"/>
        </w:rPr>
        <w:t>Provisions that have not come into operation</w:t>
      </w:r>
      <w:bookmarkEnd w:id="1702"/>
      <w:bookmarkEnd w:id="1703"/>
      <w:bookmarkEnd w:id="1704"/>
    </w:p>
    <w:tbl>
      <w:tblPr>
        <w:tblW w:w="7090" w:type="dxa"/>
        <w:tblInd w:w="56" w:type="dxa"/>
        <w:tblLayout w:type="fixed"/>
        <w:tblCellMar>
          <w:left w:w="56" w:type="dxa"/>
          <w:right w:w="56" w:type="dxa"/>
        </w:tblCellMar>
        <w:tblLook w:val="0000" w:firstRow="0" w:lastRow="0" w:firstColumn="0" w:lastColumn="0" w:noHBand="0" w:noVBand="0"/>
      </w:tblPr>
      <w:tblGrid>
        <w:gridCol w:w="2268"/>
        <w:gridCol w:w="1127"/>
        <w:gridCol w:w="7"/>
        <w:gridCol w:w="1134"/>
        <w:gridCol w:w="2554"/>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ind w:right="113"/>
              <w:rPr>
                <w:b/>
              </w:rPr>
            </w:pPr>
            <w:r>
              <w:rPr>
                <w:b/>
              </w:rPr>
              <w:t>Short title</w:t>
            </w:r>
          </w:p>
        </w:tc>
        <w:tc>
          <w:tcPr>
            <w:tcW w:w="1134" w:type="dxa"/>
            <w:gridSpan w:val="2"/>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4"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4" w:space="0" w:color="auto"/>
            </w:tcBorders>
            <w:shd w:val="clear" w:color="auto" w:fill="auto"/>
          </w:tcPr>
          <w:p>
            <w:pPr>
              <w:pStyle w:val="nTable"/>
              <w:spacing w:after="40"/>
              <w:ind w:right="113"/>
              <w:rPr>
                <w:i/>
                <w:snapToGrid w:val="0"/>
              </w:rPr>
            </w:pPr>
            <w:r>
              <w:rPr>
                <w:i/>
                <w:snapToGrid w:val="0"/>
              </w:rPr>
              <w:t>State Superannuation (Transitional and Consequential Provisions) Act 2000</w:t>
            </w:r>
            <w:r>
              <w:rPr>
                <w:snapToGrid w:val="0"/>
              </w:rPr>
              <w:t xml:space="preserve"> s. 75</w:t>
            </w:r>
            <w:r>
              <w:rPr>
                <w:snapToGrid w:val="0"/>
                <w:vertAlign w:val="superscript"/>
              </w:rPr>
              <w:t xml:space="preserve"> 8</w:t>
            </w:r>
          </w:p>
        </w:tc>
        <w:tc>
          <w:tcPr>
            <w:tcW w:w="1134" w:type="dxa"/>
            <w:gridSpan w:val="2"/>
            <w:tcBorders>
              <w:top w:val="single" w:sz="4" w:space="0" w:color="auto"/>
            </w:tcBorders>
            <w:shd w:val="clear" w:color="auto" w:fill="auto"/>
          </w:tcPr>
          <w:p>
            <w:pPr>
              <w:pStyle w:val="nTable"/>
              <w:keepNext/>
              <w:spacing w:after="40"/>
            </w:pPr>
            <w:r>
              <w:t>43 of 2000</w:t>
            </w:r>
          </w:p>
        </w:tc>
        <w:tc>
          <w:tcPr>
            <w:tcW w:w="1134" w:type="dxa"/>
            <w:tcBorders>
              <w:top w:val="single" w:sz="4" w:space="0" w:color="auto"/>
            </w:tcBorders>
            <w:shd w:val="clear" w:color="auto" w:fill="auto"/>
          </w:tcPr>
          <w:p>
            <w:pPr>
              <w:pStyle w:val="nTable"/>
              <w:keepNext/>
              <w:spacing w:after="40"/>
            </w:pPr>
            <w:r>
              <w:t>2 Nov 2000</w:t>
            </w:r>
          </w:p>
        </w:tc>
        <w:tc>
          <w:tcPr>
            <w:tcW w:w="2554" w:type="dxa"/>
            <w:tcBorders>
              <w:top w:val="single" w:sz="4" w:space="0" w:color="auto"/>
            </w:tcBorders>
            <w:shd w:val="clear" w:color="auto" w:fill="auto"/>
          </w:tcPr>
          <w:p>
            <w:pPr>
              <w:pStyle w:val="nTable"/>
              <w:keepNext/>
              <w:spacing w:after="40"/>
            </w:pPr>
            <w:r>
              <w:t>To be proclaimed (see s. 2(2))</w:t>
            </w:r>
          </w:p>
        </w:tc>
      </w:tr>
      <w:tr>
        <w:trPr>
          <w:cantSplit/>
        </w:trPr>
        <w:tc>
          <w:tcPr>
            <w:tcW w:w="2268" w:type="dxa"/>
            <w:tcBorders>
              <w:bottom w:val="single" w:sz="4" w:space="0" w:color="auto"/>
            </w:tcBorders>
            <w:shd w:val="clear" w:color="auto" w:fill="auto"/>
          </w:tcPr>
          <w:p>
            <w:pPr>
              <w:pStyle w:val="nTable"/>
              <w:spacing w:after="40"/>
              <w:ind w:right="113"/>
              <w:rPr>
                <w:i/>
                <w:snapToGrid w:val="0"/>
              </w:rPr>
            </w:pPr>
            <w:r>
              <w:rPr>
                <w:i/>
                <w:snapToGrid w:val="0"/>
                <w:szCs w:val="19"/>
              </w:rPr>
              <w:t>Local Government Legislation Amendment Act 2016</w:t>
            </w:r>
            <w:r>
              <w:rPr>
                <w:snapToGrid w:val="0"/>
                <w:szCs w:val="19"/>
              </w:rPr>
              <w:t xml:space="preserve"> Pt. 3 Div. 18</w:t>
            </w:r>
            <w:r>
              <w:rPr>
                <w:snapToGrid w:val="0"/>
                <w:szCs w:val="19"/>
                <w:vertAlign w:val="superscript"/>
              </w:rPr>
              <w:t> 23</w:t>
            </w:r>
          </w:p>
        </w:tc>
        <w:tc>
          <w:tcPr>
            <w:tcW w:w="1134" w:type="dxa"/>
            <w:gridSpan w:val="2"/>
            <w:tcBorders>
              <w:bottom w:val="single" w:sz="4" w:space="0" w:color="auto"/>
            </w:tcBorders>
            <w:shd w:val="clear" w:color="auto" w:fill="auto"/>
          </w:tcPr>
          <w:p>
            <w:pPr>
              <w:pStyle w:val="nTable"/>
              <w:keepNext/>
              <w:spacing w:after="40"/>
            </w:pPr>
            <w:r>
              <w:t>26 of 2016</w:t>
            </w:r>
          </w:p>
        </w:tc>
        <w:tc>
          <w:tcPr>
            <w:tcW w:w="1134" w:type="dxa"/>
            <w:tcBorders>
              <w:bottom w:val="single" w:sz="4" w:space="0" w:color="auto"/>
            </w:tcBorders>
            <w:shd w:val="clear" w:color="auto" w:fill="auto"/>
          </w:tcPr>
          <w:p>
            <w:pPr>
              <w:pStyle w:val="nTable"/>
              <w:keepNext/>
              <w:spacing w:after="40"/>
            </w:pPr>
            <w:r>
              <w:t>21 Sep 2016</w:t>
            </w:r>
          </w:p>
        </w:tc>
        <w:tc>
          <w:tcPr>
            <w:tcW w:w="2554" w:type="dxa"/>
            <w:tcBorders>
              <w:bottom w:val="single" w:sz="4" w:space="0" w:color="auto"/>
            </w:tcBorders>
            <w:shd w:val="clear" w:color="auto" w:fill="auto"/>
          </w:tcPr>
          <w:p>
            <w:pPr>
              <w:pStyle w:val="nTable"/>
              <w:keepNext/>
              <w:spacing w:after="40"/>
            </w:pPr>
            <w:r>
              <w:rPr>
                <w:snapToGrid w:val="0"/>
              </w:rPr>
              <w:t>To be proclaimed (see s. 2(b))</w:t>
            </w:r>
          </w:p>
        </w:tc>
      </w:tr>
      <w:tr>
        <w:tblPrEx>
          <w:tblBorders>
            <w:top w:val="single" w:sz="8" w:space="0" w:color="auto"/>
            <w:bottom w:val="single" w:sz="8" w:space="0" w:color="auto"/>
            <w:insideH w:val="single" w:sz="8" w:space="0" w:color="auto"/>
          </w:tblBorders>
        </w:tblPrEx>
        <w:trPr>
          <w:del w:id="1705" w:author="svcMRProcess" w:date="2018-09-03T19:30:00Z"/>
        </w:trPr>
        <w:tc>
          <w:tcPr>
            <w:tcW w:w="2268" w:type="dxa"/>
            <w:tcBorders>
              <w:top w:val="nil"/>
              <w:bottom w:val="single" w:sz="4" w:space="0" w:color="auto"/>
            </w:tcBorders>
          </w:tcPr>
          <w:p>
            <w:pPr>
              <w:pStyle w:val="nTable"/>
              <w:spacing w:after="40"/>
              <w:rPr>
                <w:del w:id="1706" w:author="svcMRProcess" w:date="2018-09-03T19:30:00Z"/>
                <w:i/>
                <w:snapToGrid w:val="0"/>
              </w:rPr>
            </w:pPr>
            <w:del w:id="1707" w:author="svcMRProcess" w:date="2018-09-03T19:30:00Z">
              <w:r>
                <w:rPr>
                  <w:i/>
                  <w:snapToGrid w:val="0"/>
                </w:rPr>
                <w:delText>Universities Legislation Amendment Act 2016</w:delText>
              </w:r>
              <w:r>
                <w:rPr>
                  <w:snapToGrid w:val="0"/>
                </w:rPr>
                <w:delText xml:space="preserve"> Pt. 7 Div. 4 </w:delText>
              </w:r>
              <w:r>
                <w:rPr>
                  <w:snapToGrid w:val="0"/>
                  <w:vertAlign w:val="superscript"/>
                </w:rPr>
                <w:delText>24</w:delText>
              </w:r>
            </w:del>
          </w:p>
        </w:tc>
        <w:tc>
          <w:tcPr>
            <w:tcW w:w="1127" w:type="dxa"/>
            <w:tcBorders>
              <w:top w:val="nil"/>
              <w:bottom w:val="single" w:sz="4" w:space="0" w:color="auto"/>
            </w:tcBorders>
          </w:tcPr>
          <w:p>
            <w:pPr>
              <w:pStyle w:val="nTable"/>
              <w:spacing w:after="40"/>
              <w:rPr>
                <w:del w:id="1708" w:author="svcMRProcess" w:date="2018-09-03T19:30:00Z"/>
              </w:rPr>
            </w:pPr>
            <w:del w:id="1709" w:author="svcMRProcess" w:date="2018-09-03T19:30:00Z">
              <w:r>
                <w:delText>32 of 2016</w:delText>
              </w:r>
            </w:del>
          </w:p>
        </w:tc>
        <w:tc>
          <w:tcPr>
            <w:tcW w:w="1141" w:type="dxa"/>
            <w:gridSpan w:val="2"/>
            <w:tcBorders>
              <w:top w:val="nil"/>
              <w:bottom w:val="single" w:sz="4" w:space="0" w:color="auto"/>
            </w:tcBorders>
          </w:tcPr>
          <w:p>
            <w:pPr>
              <w:pStyle w:val="nTable"/>
              <w:spacing w:after="40"/>
              <w:rPr>
                <w:del w:id="1710" w:author="svcMRProcess" w:date="2018-09-03T19:30:00Z"/>
              </w:rPr>
            </w:pPr>
            <w:del w:id="1711" w:author="svcMRProcess" w:date="2018-09-03T19:30:00Z">
              <w:r>
                <w:delText>19 Oct 2016</w:delText>
              </w:r>
            </w:del>
          </w:p>
        </w:tc>
        <w:tc>
          <w:tcPr>
            <w:tcW w:w="2554" w:type="dxa"/>
            <w:tcBorders>
              <w:top w:val="nil"/>
              <w:bottom w:val="single" w:sz="4" w:space="0" w:color="auto"/>
            </w:tcBorders>
          </w:tcPr>
          <w:p>
            <w:pPr>
              <w:pStyle w:val="nTable"/>
              <w:spacing w:after="40"/>
              <w:rPr>
                <w:del w:id="1712" w:author="svcMRProcess" w:date="2018-09-03T19:30:00Z"/>
              </w:rPr>
            </w:pPr>
            <w:del w:id="1713" w:author="svcMRProcess" w:date="2018-09-03T19:30:00Z">
              <w:r>
                <w:delText xml:space="preserve">2 Jan 2017 (see s. 2(b) and </w:delText>
              </w:r>
              <w:r>
                <w:rPr>
                  <w:i/>
                </w:rPr>
                <w:delText>Gazette</w:delText>
              </w:r>
              <w:r>
                <w:delText xml:space="preserve"> 9 Dec 2016 p. 5557)</w:delText>
              </w:r>
            </w:del>
          </w:p>
        </w:tc>
      </w:tr>
    </w:tbl>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snapToGrid w:val="0"/>
          <w:vertAlign w:val="superscript"/>
        </w:rPr>
        <w:t>4</w:t>
      </w:r>
      <w:r>
        <w:rPr>
          <w:snapToGrid w:val="0"/>
        </w:rPr>
        <w:tab/>
      </w:r>
      <w:r>
        <w:t>Repealed by the</w:t>
      </w:r>
      <w:r>
        <w:rPr>
          <w:i/>
        </w:rPr>
        <w:t xml:space="preserve"> Fair Work (Transitional Provisions and Consequential Amendments) Act 2009</w:t>
      </w:r>
      <w:r>
        <w:t xml:space="preserve"> (Cwlth). Now see </w:t>
      </w:r>
      <w:r>
        <w:rPr>
          <w:i/>
        </w:rPr>
        <w:t>Fair Work Act 2009</w:t>
      </w:r>
      <w:r>
        <w:t xml:space="preserve"> (Cwlth).</w:t>
      </w:r>
    </w:p>
    <w:p>
      <w:pPr>
        <w:pStyle w:val="nSubsection"/>
        <w:ind w:left="482" w:hanging="482"/>
      </w:pPr>
      <w:r>
        <w:rPr>
          <w:vertAlign w:val="superscript"/>
        </w:rPr>
        <w:t>5</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spacing w:before="120"/>
        <w:ind w:left="482" w:hanging="482"/>
        <w:rPr>
          <w:i/>
        </w:rPr>
      </w:pPr>
      <w:r>
        <w:rPr>
          <w:vertAlign w:val="superscript"/>
        </w:rPr>
        <w:t>6</w:t>
      </w:r>
      <w:r>
        <w:rPr>
          <w:vertAlign w:val="superscript"/>
        </w:rPr>
        <w:tab/>
      </w:r>
      <w:r>
        <w:t>Footnote no longer applicable.</w:t>
      </w:r>
    </w:p>
    <w:p>
      <w:pPr>
        <w:pStyle w:val="nSubsection"/>
        <w:keepNext/>
        <w:keepLines/>
        <w:spacing w:before="120"/>
        <w:ind w:left="482" w:hanging="482"/>
      </w:pPr>
      <w:r>
        <w:rPr>
          <w:snapToGrid w:val="0"/>
          <w:vertAlign w:val="superscript"/>
        </w:rPr>
        <w:t>7</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120"/>
        <w:ind w:left="482" w:hanging="482"/>
      </w:pPr>
      <w:r>
        <w:rPr>
          <w:snapToGrid w:val="0"/>
          <w:vertAlign w:val="superscript"/>
        </w:rPr>
        <w:t>8</w:t>
      </w:r>
      <w:r>
        <w:rPr>
          <w:snapToGrid w:val="0"/>
          <w:vertAlign w:val="superscript"/>
        </w:rPr>
        <w:tab/>
      </w:r>
      <w:r>
        <w:rPr>
          <w:snapToGrid w:val="0"/>
        </w:rPr>
        <w:t xml:space="preserve">On the date as at which this compilaton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pPr>
    </w:p>
    <w:p>
      <w:pPr>
        <w:pStyle w:val="nSubsection"/>
        <w:spacing w:before="120"/>
        <w:ind w:left="482" w:hanging="482"/>
        <w:rPr>
          <w:snapToGrid w:val="0"/>
        </w:rPr>
      </w:pPr>
      <w:r>
        <w:rPr>
          <w:snapToGrid w:val="0"/>
          <w:vertAlign w:val="superscript"/>
        </w:rPr>
        <w:t>9</w:t>
      </w:r>
      <w:r>
        <w:rPr>
          <w:snapToGrid w:val="0"/>
          <w:vertAlign w:val="superscript"/>
        </w:rPr>
        <w:tab/>
      </w:r>
      <w:r>
        <w:rPr>
          <w:snapToGrid w:val="0"/>
        </w:rPr>
        <w:t xml:space="preserve">Deleted by the </w:t>
      </w:r>
      <w:r>
        <w:rPr>
          <w:i/>
          <w:snapToGrid w:val="0"/>
        </w:rPr>
        <w:t>Public Sector Reform Act 2010</w:t>
      </w:r>
      <w:r>
        <w:rPr>
          <w:snapToGrid w:val="0"/>
        </w:rPr>
        <w:t xml:space="preserve"> s. 57.</w:t>
      </w:r>
    </w:p>
    <w:p>
      <w:pPr>
        <w:pStyle w:val="nSubsection"/>
        <w:spacing w:before="120"/>
        <w:ind w:left="482" w:hanging="482"/>
        <w:rPr>
          <w:snapToGrid w:val="0"/>
        </w:rPr>
      </w:pPr>
      <w:r>
        <w:rPr>
          <w:snapToGrid w:val="0"/>
          <w:vertAlign w:val="superscript"/>
        </w:rPr>
        <w:t>10</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spacing w:before="120"/>
        <w:ind w:left="482" w:hanging="482"/>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spacing w:before="120"/>
        <w:ind w:left="482" w:hanging="482"/>
        <w:rPr>
          <w:snapToGrid w:val="0"/>
        </w:rPr>
      </w:pPr>
      <w:r>
        <w:rPr>
          <w:snapToGrid w:val="0"/>
          <w:vertAlign w:val="superscript"/>
        </w:rPr>
        <w:t>12</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spacing w:before="120"/>
        <w:ind w:left="482" w:hanging="482"/>
        <w:rPr>
          <w:snapToGrid w:val="0"/>
        </w:rPr>
      </w:pPr>
      <w:r>
        <w:rPr>
          <w:snapToGrid w:val="0"/>
          <w:vertAlign w:val="superscript"/>
        </w:rPr>
        <w:t>13</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spacing w:before="120"/>
        <w:ind w:left="482" w:hanging="482"/>
        <w:rPr>
          <w:snapToGrid w:val="0"/>
        </w:rPr>
      </w:pPr>
      <w:r>
        <w:rPr>
          <w:snapToGrid w:val="0"/>
          <w:vertAlign w:val="superscript"/>
        </w:rPr>
        <w:t>14</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spacing w:before="120"/>
        <w:ind w:left="482" w:hanging="482"/>
        <w:rPr>
          <w:snapToGrid w:val="0"/>
        </w:rPr>
      </w:pPr>
      <w:r>
        <w:rPr>
          <w:snapToGrid w:val="0"/>
          <w:vertAlign w:val="superscript"/>
        </w:rPr>
        <w:t>15</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spacing w:before="120"/>
        <w:ind w:left="482" w:hanging="482"/>
        <w:rPr>
          <w:snapToGrid w:val="0"/>
        </w:rPr>
      </w:pPr>
      <w:r>
        <w:rPr>
          <w:snapToGrid w:val="0"/>
          <w:vertAlign w:val="superscript"/>
        </w:rPr>
        <w:t>16</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zMiscellaneousBody"/>
        <w:tabs>
          <w:tab w:val="left" w:pos="993"/>
        </w:tabs>
        <w:ind w:left="1560" w:hanging="993"/>
      </w:pPr>
      <w:r>
        <w:tab/>
        <w:t>(a)</w:t>
      </w:r>
      <w:r>
        <w:tab/>
        <w:t>in Part 2 Div. 3, relating to the Government School Teachers Tribunal;</w:t>
      </w:r>
    </w:p>
    <w:p>
      <w:pPr>
        <w:pStyle w:val="nzMiscellaneousBody"/>
        <w:tabs>
          <w:tab w:val="left" w:pos="993"/>
        </w:tabs>
        <w:ind w:left="1560" w:hanging="993"/>
      </w:pPr>
      <w:r>
        <w:tab/>
        <w:t>(b)</w:t>
      </w:r>
      <w:r>
        <w:tab/>
        <w:t>in s. 34, relating to the Promotions Appeal Board; and</w:t>
      </w:r>
    </w:p>
    <w:p>
      <w:pPr>
        <w:pStyle w:val="nzMiscellaneousBody"/>
        <w:tabs>
          <w:tab w:val="left" w:pos="993"/>
        </w:tabs>
        <w:ind w:left="1560" w:hanging="993"/>
      </w:pPr>
      <w:r>
        <w:tab/>
        <w:t>(c)</w:t>
      </w:r>
      <w:r>
        <w:tab/>
        <w:t>in s. 42, relating to dismissals occurring before the commencement of that section.</w:t>
      </w:r>
    </w:p>
    <w:p>
      <w:pPr>
        <w:pStyle w:val="nSubsection"/>
        <w:spacing w:before="120"/>
        <w:ind w:left="480" w:hanging="480"/>
        <w:rPr>
          <w:snapToGrid w:val="0"/>
        </w:rPr>
      </w:pPr>
      <w:r>
        <w:rPr>
          <w:snapToGrid w:val="0"/>
          <w:vertAlign w:val="superscript"/>
        </w:rPr>
        <w:t>17</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w:t>
      </w:r>
    </w:p>
    <w:p>
      <w:pPr>
        <w:pStyle w:val="nSubsection"/>
        <w:spacing w:before="120"/>
        <w:ind w:left="480" w:hanging="480"/>
        <w:rPr>
          <w:i/>
          <w:iCs/>
          <w:snapToGrid w:val="0"/>
        </w:rPr>
      </w:pPr>
      <w:r>
        <w:rPr>
          <w:snapToGrid w:val="0"/>
          <w:vertAlign w:val="superscript"/>
        </w:rPr>
        <w:t>18</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spacing w:before="120"/>
        <w:ind w:left="480" w:hanging="480"/>
        <w:rPr>
          <w:snapToGrid w:val="0"/>
        </w:rPr>
      </w:pPr>
      <w:r>
        <w:rPr>
          <w:snapToGrid w:val="0"/>
          <w:vertAlign w:val="superscript"/>
        </w:rPr>
        <w:t>19</w:t>
      </w:r>
      <w:r>
        <w:rPr>
          <w:snapToGrid w:val="0"/>
        </w:rPr>
        <w:tab/>
        <w:t>Reprints before Reprint 9 are not numbered.  Reprint 9 and subsequent reprints are numbered consecutively but are out by one number.</w:t>
      </w:r>
    </w:p>
    <w:p>
      <w:pPr>
        <w:pStyle w:val="nSubsection"/>
        <w:spacing w:before="120"/>
        <w:ind w:left="480" w:hanging="48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spacing w:before="120"/>
        <w:ind w:left="480" w:hanging="480"/>
        <w:rPr>
          <w:i/>
          <w:snapToGrid w:val="0"/>
        </w:rPr>
      </w:pPr>
      <w:r>
        <w:rPr>
          <w:vertAlign w:val="superscript"/>
        </w:rPr>
        <w:t>21</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 before it purported to come into operation.</w:t>
      </w:r>
    </w:p>
    <w:p>
      <w:pPr>
        <w:pStyle w:val="nSubsection"/>
        <w:keepNext/>
        <w:spacing w:before="120"/>
      </w:pPr>
      <w:r>
        <w:rPr>
          <w:vertAlign w:val="superscript"/>
        </w:rPr>
        <w:t>22</w:t>
      </w:r>
      <w:r>
        <w:tab/>
        <w:t xml:space="preserve">The </w:t>
      </w:r>
      <w:r>
        <w:rPr>
          <w:i/>
        </w:rPr>
        <w:t>Labour Relations Legislation Amendment Act 2006</w:t>
      </w:r>
      <w:r>
        <w:t xml:space="preserve"> s. 22 contains transitional provisions.</w:t>
      </w:r>
    </w:p>
    <w:p>
      <w:pPr>
        <w:pStyle w:val="nSubsection"/>
        <w:keepLines/>
        <w:spacing w:before="120"/>
        <w:rPr>
          <w:snapToGrid w:val="0"/>
        </w:rPr>
      </w:pPr>
      <w:r>
        <w:rPr>
          <w:snapToGrid w:val="0"/>
          <w:vertAlign w:val="superscript"/>
        </w:rPr>
        <w:t>23</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18</w:t>
      </w:r>
      <w:r>
        <w:rPr>
          <w:snapToGrid w:val="0"/>
        </w:rPr>
        <w:t xml:space="preserve"> had not come into operation.  It reads as follows:</w:t>
      </w:r>
    </w:p>
    <w:p>
      <w:pPr>
        <w:pStyle w:val="BlankOpen"/>
        <w:rPr>
          <w:snapToGrid w:val="0"/>
        </w:rPr>
      </w:pPr>
    </w:p>
    <w:p>
      <w:pPr>
        <w:pStyle w:val="nzHeading2"/>
        <w:rPr>
          <w:rStyle w:val="CharPartText"/>
        </w:rPr>
      </w:pPr>
      <w:bookmarkStart w:id="1714" w:name="_Toc404165586"/>
      <w:bookmarkStart w:id="1715" w:name="_Toc404165739"/>
      <w:bookmarkStart w:id="1716" w:name="_Toc404165892"/>
      <w:bookmarkStart w:id="1717" w:name="_Toc404171391"/>
      <w:bookmarkStart w:id="1718" w:name="_Toc404172158"/>
      <w:bookmarkStart w:id="1719" w:name="_Toc404260322"/>
      <w:bookmarkStart w:id="1720" w:name="_Toc404260475"/>
      <w:bookmarkStart w:id="1721" w:name="_Toc404261292"/>
      <w:bookmarkStart w:id="1722" w:name="_Toc404317240"/>
      <w:bookmarkStart w:id="1723" w:name="_Toc451258323"/>
      <w:bookmarkStart w:id="1724" w:name="_Toc451258476"/>
      <w:bookmarkStart w:id="1725" w:name="_Toc451258629"/>
      <w:bookmarkStart w:id="1726" w:name="_Toc451259646"/>
      <w:bookmarkStart w:id="1727" w:name="_Toc451259982"/>
      <w:bookmarkStart w:id="1728" w:name="_Toc451260135"/>
      <w:bookmarkStart w:id="1729" w:name="_Toc451261427"/>
      <w:bookmarkStart w:id="1730" w:name="_Toc451331863"/>
      <w:bookmarkStart w:id="1731" w:name="_Toc461700764"/>
      <w:bookmarkStart w:id="1732" w:name="_Toc461700914"/>
      <w:bookmarkStart w:id="1733" w:name="_Toc461701064"/>
      <w:bookmarkStart w:id="1734" w:name="_Toc461786171"/>
      <w:bookmarkStart w:id="1735" w:name="_Toc461786446"/>
      <w:bookmarkStart w:id="1736" w:name="_Toc461786636"/>
      <w:bookmarkStart w:id="1737" w:name="_Toc461799213"/>
      <w:bookmarkStart w:id="1738" w:name="_Toc462241277"/>
      <w:r>
        <w:rPr>
          <w:rStyle w:val="CharPartNo"/>
        </w:rPr>
        <w:t>Part 3</w:t>
      </w:r>
      <w:r>
        <w:t> — </w:t>
      </w:r>
      <w:r>
        <w:rPr>
          <w:rStyle w:val="CharPartText"/>
        </w:rPr>
        <w:t>Amendments to other Acts in relation to regional subsidiaries</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p>
    <w:p>
      <w:pPr>
        <w:pStyle w:val="nzHeading3"/>
      </w:pPr>
      <w:bookmarkStart w:id="1739" w:name="_Toc461700817"/>
      <w:bookmarkStart w:id="1740" w:name="_Toc461700967"/>
      <w:bookmarkStart w:id="1741" w:name="_Toc461701117"/>
      <w:bookmarkStart w:id="1742" w:name="_Toc461786224"/>
      <w:bookmarkStart w:id="1743" w:name="_Toc461786499"/>
      <w:bookmarkStart w:id="1744" w:name="_Toc461786689"/>
      <w:bookmarkStart w:id="1745" w:name="_Toc461799266"/>
      <w:bookmarkStart w:id="1746" w:name="_Toc462241330"/>
      <w:r>
        <w:rPr>
          <w:rStyle w:val="CharDivNo"/>
        </w:rPr>
        <w:t>Division 18</w:t>
      </w:r>
      <w:r>
        <w:t> — </w:t>
      </w:r>
      <w:r>
        <w:rPr>
          <w:rStyle w:val="CharDivText"/>
          <w:i/>
        </w:rPr>
        <w:t>Industrial Relations Act 1979</w:t>
      </w:r>
      <w:r>
        <w:rPr>
          <w:rStyle w:val="CharDivText"/>
        </w:rPr>
        <w:t xml:space="preserve"> amended</w:t>
      </w:r>
      <w:bookmarkEnd w:id="1739"/>
      <w:bookmarkEnd w:id="1740"/>
      <w:bookmarkEnd w:id="1741"/>
      <w:bookmarkEnd w:id="1742"/>
      <w:bookmarkEnd w:id="1743"/>
      <w:bookmarkEnd w:id="1744"/>
      <w:bookmarkEnd w:id="1745"/>
      <w:bookmarkEnd w:id="1746"/>
    </w:p>
    <w:p>
      <w:pPr>
        <w:pStyle w:val="nzHeading5"/>
      </w:pPr>
      <w:bookmarkStart w:id="1747" w:name="_Toc461799267"/>
      <w:bookmarkStart w:id="1748" w:name="_Toc462241331"/>
      <w:r>
        <w:rPr>
          <w:rStyle w:val="CharSectno"/>
        </w:rPr>
        <w:t>61</w:t>
      </w:r>
      <w:r>
        <w:t>.</w:t>
      </w:r>
      <w:r>
        <w:tab/>
        <w:t>Act amended</w:t>
      </w:r>
      <w:bookmarkEnd w:id="1747"/>
      <w:bookmarkEnd w:id="1748"/>
    </w:p>
    <w:p>
      <w:pPr>
        <w:pStyle w:val="nzSubsection"/>
      </w:pPr>
      <w:r>
        <w:tab/>
      </w:r>
      <w:r>
        <w:tab/>
        <w:t xml:space="preserve">This Division amends the </w:t>
      </w:r>
      <w:r>
        <w:rPr>
          <w:i/>
        </w:rPr>
        <w:t>Industrial Relations Act 1979</w:t>
      </w:r>
      <w:r>
        <w:t>.</w:t>
      </w:r>
    </w:p>
    <w:p>
      <w:pPr>
        <w:pStyle w:val="nzHeading5"/>
      </w:pPr>
      <w:bookmarkStart w:id="1749" w:name="_Toc461799268"/>
      <w:bookmarkStart w:id="1750" w:name="_Toc462241332"/>
      <w:r>
        <w:rPr>
          <w:rStyle w:val="CharSectno"/>
        </w:rPr>
        <w:t>62</w:t>
      </w:r>
      <w:r>
        <w:t>.</w:t>
      </w:r>
      <w:r>
        <w:tab/>
        <w:t>Section 7 amended</w:t>
      </w:r>
      <w:bookmarkEnd w:id="1749"/>
      <w:bookmarkEnd w:id="1750"/>
    </w:p>
    <w:p>
      <w:pPr>
        <w:pStyle w:val="nzSubsection"/>
      </w:pPr>
      <w:r>
        <w:tab/>
      </w:r>
      <w:r>
        <w:tab/>
        <w:t xml:space="preserve">In section 7(1) in the definition of </w:t>
      </w:r>
      <w:r>
        <w:rPr>
          <w:b/>
          <w:i/>
        </w:rPr>
        <w:t>public authority</w:t>
      </w:r>
      <w:r>
        <w:t xml:space="preserve"> delete “government or regional local government;” and insert:</w:t>
      </w:r>
    </w:p>
    <w:p>
      <w:pPr>
        <w:pStyle w:val="BlankOpen"/>
      </w:pPr>
    </w:p>
    <w:p>
      <w:pPr>
        <w:pStyle w:val="nzSubsection"/>
      </w:pPr>
      <w:r>
        <w:tab/>
      </w:r>
      <w:r>
        <w:tab/>
        <w:t>government, regional local government or regional subsidiary;</w:t>
      </w:r>
    </w:p>
    <w:p>
      <w:pPr>
        <w:pStyle w:val="BlankClose"/>
        <w:keepNext/>
      </w:pPr>
    </w:p>
    <w:p>
      <w:pPr>
        <w:pStyle w:val="BlankClose"/>
        <w:keepNext/>
      </w:pPr>
    </w:p>
    <w:p>
      <w:pPr>
        <w:pStyle w:val="nSubsection"/>
        <w:keepNext/>
        <w:rPr>
          <w:del w:id="1751" w:author="svcMRProcess" w:date="2018-09-03T19:30:00Z"/>
          <w:snapToGrid w:val="0"/>
        </w:rPr>
      </w:pPr>
      <w:del w:id="1752" w:author="svcMRProcess" w:date="2018-09-03T19:30:00Z">
        <w:r>
          <w:rPr>
            <w:snapToGrid w:val="0"/>
            <w:vertAlign w:val="superscript"/>
          </w:rPr>
          <w:delText>24</w:delText>
        </w:r>
        <w:r>
          <w:rPr>
            <w:snapToGrid w:val="0"/>
          </w:rPr>
          <w:tab/>
          <w:delText xml:space="preserve">On the date as at which this compilation was prepared, the </w:delText>
        </w:r>
        <w:r>
          <w:rPr>
            <w:i/>
            <w:snapToGrid w:val="0"/>
          </w:rPr>
          <w:delText>Universities Legislation Amendment Act 2016</w:delText>
        </w:r>
        <w:r>
          <w:rPr>
            <w:snapToGrid w:val="0"/>
          </w:rPr>
          <w:delText xml:space="preserve"> Pt. 7 Div. 4 had not come into operation. It reads as follows:</w:delText>
        </w:r>
      </w:del>
    </w:p>
    <w:p>
      <w:pPr>
        <w:pStyle w:val="BlankOpen"/>
        <w:rPr>
          <w:del w:id="1753" w:author="svcMRProcess" w:date="2018-09-03T19:30:00Z"/>
        </w:rPr>
      </w:pPr>
    </w:p>
    <w:p>
      <w:pPr>
        <w:pStyle w:val="nzHeading2"/>
        <w:rPr>
          <w:del w:id="1754" w:author="svcMRProcess" w:date="2018-09-03T19:30:00Z"/>
        </w:rPr>
      </w:pPr>
      <w:bookmarkStart w:id="1755" w:name="_Toc433968202"/>
      <w:bookmarkStart w:id="1756" w:name="_Toc433968591"/>
      <w:bookmarkStart w:id="1757" w:name="_Toc433968980"/>
      <w:bookmarkStart w:id="1758" w:name="_Toc433969369"/>
      <w:bookmarkStart w:id="1759" w:name="_Toc433980065"/>
      <w:bookmarkStart w:id="1760" w:name="_Toc433980453"/>
      <w:bookmarkStart w:id="1761" w:name="_Toc433980841"/>
      <w:bookmarkStart w:id="1762" w:name="_Toc433981229"/>
      <w:bookmarkStart w:id="1763" w:name="_Toc433983195"/>
      <w:bookmarkStart w:id="1764" w:name="_Toc434333193"/>
      <w:bookmarkStart w:id="1765" w:name="_Toc434333587"/>
      <w:bookmarkStart w:id="1766" w:name="_Toc434487360"/>
      <w:bookmarkStart w:id="1767" w:name="_Toc434487755"/>
      <w:bookmarkStart w:id="1768" w:name="_Toc434497128"/>
      <w:bookmarkStart w:id="1769" w:name="_Toc434497523"/>
      <w:bookmarkStart w:id="1770" w:name="_Toc434585085"/>
      <w:bookmarkStart w:id="1771" w:name="_Toc435024572"/>
      <w:bookmarkStart w:id="1772" w:name="_Toc435024987"/>
      <w:bookmarkStart w:id="1773" w:name="_Toc435176490"/>
      <w:bookmarkStart w:id="1774" w:name="_Toc435176887"/>
      <w:bookmarkStart w:id="1775" w:name="_Toc435177657"/>
      <w:bookmarkStart w:id="1776" w:name="_Toc435436505"/>
      <w:bookmarkStart w:id="1777" w:name="_Toc443472936"/>
      <w:bookmarkStart w:id="1778" w:name="_Toc443919980"/>
      <w:bookmarkStart w:id="1779" w:name="_Toc449098429"/>
      <w:bookmarkStart w:id="1780" w:name="_Toc449099225"/>
      <w:bookmarkStart w:id="1781" w:name="_Toc449099622"/>
      <w:bookmarkStart w:id="1782" w:name="_Toc449100019"/>
      <w:bookmarkStart w:id="1783" w:name="_Toc449603455"/>
      <w:bookmarkStart w:id="1784" w:name="_Toc449603850"/>
      <w:bookmarkStart w:id="1785" w:name="_Toc449952990"/>
      <w:bookmarkStart w:id="1786" w:name="_Toc449953487"/>
      <w:bookmarkStart w:id="1787" w:name="_Toc449953883"/>
      <w:bookmarkStart w:id="1788" w:name="_Toc449954368"/>
      <w:bookmarkStart w:id="1789" w:name="_Toc450124210"/>
      <w:bookmarkStart w:id="1790" w:name="_Toc450296016"/>
      <w:bookmarkStart w:id="1791" w:name="_Toc450296411"/>
      <w:bookmarkStart w:id="1792" w:name="_Toc450296806"/>
      <w:bookmarkStart w:id="1793" w:name="_Toc450297576"/>
      <w:bookmarkStart w:id="1794" w:name="_Toc450551120"/>
      <w:bookmarkStart w:id="1795" w:name="_Toc450639658"/>
      <w:bookmarkStart w:id="1796" w:name="_Toc461652065"/>
      <w:bookmarkStart w:id="1797" w:name="_Toc461702081"/>
      <w:bookmarkStart w:id="1798" w:name="_Toc464450072"/>
      <w:bookmarkStart w:id="1799" w:name="_Toc464726756"/>
      <w:bookmarkStart w:id="1800" w:name="_Toc464727151"/>
      <w:del w:id="1801" w:author="svcMRProcess" w:date="2018-09-03T19:30:00Z">
        <w:r>
          <w:rPr>
            <w:rStyle w:val="CharPartNo"/>
          </w:rPr>
          <w:delText>Part 7</w:delText>
        </w:r>
        <w:r>
          <w:delText> — </w:delText>
        </w:r>
        <w:r>
          <w:rPr>
            <w:rStyle w:val="CharPartText"/>
          </w:rPr>
          <w:delText>Amendments to and repeal of other Acts</w:delTex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del>
    </w:p>
    <w:p>
      <w:pPr>
        <w:pStyle w:val="nzHeading3"/>
        <w:rPr>
          <w:del w:id="1802" w:author="svcMRProcess" w:date="2018-09-03T19:30:00Z"/>
        </w:rPr>
      </w:pPr>
      <w:bookmarkStart w:id="1803" w:name="_Toc433968210"/>
      <w:bookmarkStart w:id="1804" w:name="_Toc433968599"/>
      <w:bookmarkStart w:id="1805" w:name="_Toc433968988"/>
      <w:bookmarkStart w:id="1806" w:name="_Toc433969377"/>
      <w:bookmarkStart w:id="1807" w:name="_Toc433980073"/>
      <w:bookmarkStart w:id="1808" w:name="_Toc433980461"/>
      <w:bookmarkStart w:id="1809" w:name="_Toc433980849"/>
      <w:bookmarkStart w:id="1810" w:name="_Toc433981237"/>
      <w:bookmarkStart w:id="1811" w:name="_Toc433983203"/>
      <w:bookmarkStart w:id="1812" w:name="_Toc434333204"/>
      <w:bookmarkStart w:id="1813" w:name="_Toc434333598"/>
      <w:bookmarkStart w:id="1814" w:name="_Toc434487371"/>
      <w:bookmarkStart w:id="1815" w:name="_Toc434487766"/>
      <w:bookmarkStart w:id="1816" w:name="_Toc434497139"/>
      <w:bookmarkStart w:id="1817" w:name="_Toc434497534"/>
      <w:bookmarkStart w:id="1818" w:name="_Toc434585096"/>
      <w:bookmarkStart w:id="1819" w:name="_Toc435024583"/>
      <w:bookmarkStart w:id="1820" w:name="_Toc435024998"/>
      <w:bookmarkStart w:id="1821" w:name="_Toc435176501"/>
      <w:bookmarkStart w:id="1822" w:name="_Toc435176898"/>
      <w:bookmarkStart w:id="1823" w:name="_Toc435177668"/>
      <w:bookmarkStart w:id="1824" w:name="_Toc435436516"/>
      <w:bookmarkStart w:id="1825" w:name="_Toc443472947"/>
      <w:bookmarkStart w:id="1826" w:name="_Toc443919991"/>
      <w:bookmarkStart w:id="1827" w:name="_Toc449098440"/>
      <w:bookmarkStart w:id="1828" w:name="_Toc449099236"/>
      <w:bookmarkStart w:id="1829" w:name="_Toc449099633"/>
      <w:bookmarkStart w:id="1830" w:name="_Toc449100030"/>
      <w:bookmarkStart w:id="1831" w:name="_Toc449603466"/>
      <w:bookmarkStart w:id="1832" w:name="_Toc449603861"/>
      <w:bookmarkStart w:id="1833" w:name="_Toc449953001"/>
      <w:bookmarkStart w:id="1834" w:name="_Toc449953498"/>
      <w:bookmarkStart w:id="1835" w:name="_Toc449953894"/>
      <w:bookmarkStart w:id="1836" w:name="_Toc449954379"/>
      <w:bookmarkStart w:id="1837" w:name="_Toc450124221"/>
      <w:bookmarkStart w:id="1838" w:name="_Toc450296027"/>
      <w:bookmarkStart w:id="1839" w:name="_Toc450296422"/>
      <w:bookmarkStart w:id="1840" w:name="_Toc450296817"/>
      <w:bookmarkStart w:id="1841" w:name="_Toc450297587"/>
      <w:bookmarkStart w:id="1842" w:name="_Toc450551131"/>
      <w:bookmarkStart w:id="1843" w:name="_Toc450639669"/>
      <w:bookmarkStart w:id="1844" w:name="_Toc461652076"/>
      <w:bookmarkStart w:id="1845" w:name="_Toc461702092"/>
      <w:bookmarkStart w:id="1846" w:name="_Toc464450083"/>
      <w:bookmarkStart w:id="1847" w:name="_Toc464726767"/>
      <w:bookmarkStart w:id="1848" w:name="_Toc464727162"/>
      <w:del w:id="1849" w:author="svcMRProcess" w:date="2018-09-03T19:30:00Z">
        <w:r>
          <w:rPr>
            <w:rStyle w:val="CharDivNo"/>
          </w:rPr>
          <w:delText>Division 4</w:delText>
        </w:r>
        <w:r>
          <w:delText> — </w:delText>
        </w:r>
        <w:r>
          <w:rPr>
            <w:rStyle w:val="CharDivText"/>
            <w:i/>
          </w:rPr>
          <w:delText>Industrial Relations Act 1979</w:delText>
        </w:r>
        <w:r>
          <w:rPr>
            <w:rStyle w:val="CharDivText"/>
          </w:rPr>
          <w:delText xml:space="preserve"> amended</w:delText>
        </w:r>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del>
    </w:p>
    <w:p>
      <w:pPr>
        <w:pStyle w:val="nzHeading5"/>
        <w:rPr>
          <w:del w:id="1850" w:author="svcMRProcess" w:date="2018-09-03T19:30:00Z"/>
        </w:rPr>
      </w:pPr>
      <w:bookmarkStart w:id="1851" w:name="_Toc443919992"/>
      <w:bookmarkStart w:id="1852" w:name="_Toc449100031"/>
      <w:bookmarkStart w:id="1853" w:name="_Toc464450084"/>
      <w:bookmarkStart w:id="1854" w:name="_Toc464726768"/>
      <w:bookmarkStart w:id="1855" w:name="_Toc464727163"/>
      <w:del w:id="1856" w:author="svcMRProcess" w:date="2018-09-03T19:30:00Z">
        <w:r>
          <w:rPr>
            <w:rStyle w:val="CharSectno"/>
          </w:rPr>
          <w:delText>182</w:delText>
        </w:r>
        <w:r>
          <w:delText>.</w:delText>
        </w:r>
        <w:r>
          <w:tab/>
          <w:delText>Act amended</w:delText>
        </w:r>
        <w:bookmarkEnd w:id="1851"/>
        <w:bookmarkEnd w:id="1852"/>
        <w:bookmarkEnd w:id="1853"/>
        <w:bookmarkEnd w:id="1854"/>
        <w:bookmarkEnd w:id="1855"/>
      </w:del>
    </w:p>
    <w:p>
      <w:pPr>
        <w:pStyle w:val="nzSubsection"/>
        <w:rPr>
          <w:del w:id="1857" w:author="svcMRProcess" w:date="2018-09-03T19:30:00Z"/>
        </w:rPr>
      </w:pPr>
      <w:del w:id="1858" w:author="svcMRProcess" w:date="2018-09-03T19:30:00Z">
        <w:r>
          <w:tab/>
        </w:r>
        <w:r>
          <w:tab/>
          <w:delText xml:space="preserve">This Division amends the </w:delText>
        </w:r>
        <w:r>
          <w:rPr>
            <w:i/>
          </w:rPr>
          <w:delText>Industrial Relations Act 1979</w:delText>
        </w:r>
        <w:r>
          <w:delText>.</w:delText>
        </w:r>
      </w:del>
    </w:p>
    <w:p>
      <w:pPr>
        <w:pStyle w:val="nzHeading5"/>
        <w:rPr>
          <w:del w:id="1859" w:author="svcMRProcess" w:date="2018-09-03T19:30:00Z"/>
        </w:rPr>
      </w:pPr>
      <w:bookmarkStart w:id="1860" w:name="_Toc443919993"/>
      <w:bookmarkStart w:id="1861" w:name="_Toc449100032"/>
      <w:bookmarkStart w:id="1862" w:name="_Toc464450085"/>
      <w:bookmarkStart w:id="1863" w:name="_Toc464726769"/>
      <w:bookmarkStart w:id="1864" w:name="_Toc464727164"/>
      <w:del w:id="1865" w:author="svcMRProcess" w:date="2018-09-03T19:30:00Z">
        <w:r>
          <w:rPr>
            <w:rStyle w:val="CharSectno"/>
          </w:rPr>
          <w:delText>183</w:delText>
        </w:r>
        <w:r>
          <w:delText>.</w:delText>
        </w:r>
        <w:r>
          <w:tab/>
          <w:delText>Section 7 amended</w:delText>
        </w:r>
        <w:bookmarkEnd w:id="1860"/>
        <w:bookmarkEnd w:id="1861"/>
        <w:bookmarkEnd w:id="1862"/>
        <w:bookmarkEnd w:id="1863"/>
        <w:bookmarkEnd w:id="1864"/>
      </w:del>
    </w:p>
    <w:p>
      <w:pPr>
        <w:pStyle w:val="nzSubsection"/>
        <w:rPr>
          <w:del w:id="1866" w:author="svcMRProcess" w:date="2018-09-03T19:30:00Z"/>
        </w:rPr>
      </w:pPr>
      <w:del w:id="1867" w:author="svcMRProcess" w:date="2018-09-03T19:30:00Z">
        <w:r>
          <w:tab/>
        </w:r>
        <w:r>
          <w:tab/>
          <w:delText xml:space="preserve">In section 7(1) in the definition of </w:delText>
        </w:r>
        <w:r>
          <w:rPr>
            <w:b/>
            <w:i/>
          </w:rPr>
          <w:delText>post</w:delText>
        </w:r>
        <w:r>
          <w:rPr>
            <w:b/>
            <w:i/>
          </w:rPr>
          <w:noBreakHyphen/>
          <w:delText>secondary education institution</w:delText>
        </w:r>
        <w:r>
          <w:delText xml:space="preserve"> delete “</w:delText>
        </w:r>
        <w:r>
          <w:rPr>
            <w:i/>
          </w:rPr>
          <w:delText>Curtin University of Technology Act 1966</w:delText>
        </w:r>
        <w:r>
          <w:delText>,” and insert:</w:delText>
        </w:r>
      </w:del>
    </w:p>
    <w:p>
      <w:pPr>
        <w:pStyle w:val="BlankOpen"/>
        <w:rPr>
          <w:del w:id="1868" w:author="svcMRProcess" w:date="2018-09-03T19:30:00Z"/>
        </w:rPr>
      </w:pPr>
    </w:p>
    <w:p>
      <w:pPr>
        <w:pStyle w:val="nzSubsection"/>
        <w:rPr>
          <w:del w:id="1869" w:author="svcMRProcess" w:date="2018-09-03T19:30:00Z"/>
        </w:rPr>
      </w:pPr>
      <w:del w:id="1870" w:author="svcMRProcess" w:date="2018-09-03T19:30:00Z">
        <w:r>
          <w:tab/>
        </w:r>
        <w:r>
          <w:tab/>
        </w:r>
        <w:r>
          <w:rPr>
            <w:i/>
          </w:rPr>
          <w:delText>Curtin University Act 1966,</w:delText>
        </w:r>
      </w:del>
    </w:p>
    <w:p>
      <w:pPr>
        <w:pStyle w:val="BlankClose"/>
        <w:rPr>
          <w:del w:id="1871" w:author="svcMRProcess" w:date="2018-09-03T19:30:00Z"/>
        </w:rPr>
      </w:pPr>
    </w:p>
    <w:p>
      <w:pPr>
        <w:pStyle w:val="BlankClose"/>
        <w:rPr>
          <w:del w:id="1872" w:author="svcMRProcess" w:date="2018-09-03T19:30:00Z"/>
        </w:rPr>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published in the “Western Australian Industrial Gazette”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Matters to be published in the “Western Australian Industrial Gazette”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73" w:name="Compilation"/>
    <w:bookmarkEnd w:id="18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74" w:name="Coversheet"/>
    <w:bookmarkEnd w:id="18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Introductory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r>
      <w:tc>
        <w:tcPr>
          <w:tcW w:w="1490" w:type="dxa"/>
        </w:tcPr>
        <w:p>
          <w:pPr>
            <w:pStyle w:val="Header"/>
            <w:spacing w:before="40"/>
          </w:pPr>
          <w:r>
            <w:rPr>
              <w:b/>
            </w:rPr>
            <w:fldChar w:fldCharType="begin"/>
          </w:r>
          <w:r>
            <w:rPr>
              <w:b/>
            </w:rPr>
            <w:instrText xml:space="preserve"> STYLEREF CharSDivNo \* charformat</w:instrText>
          </w:r>
          <w:r>
            <w:rPr>
              <w:b/>
            </w:rPr>
            <w:fldChar w:fldCharType="end"/>
          </w:r>
        </w:p>
      </w:tc>
      <w:tc>
        <w:tcPr>
          <w:tcW w:w="5773" w:type="dxa"/>
        </w:tcPr>
        <w:p>
          <w:pPr>
            <w:pStyle w:val="Header"/>
            <w:spacing w:before="40"/>
          </w:pPr>
          <w:r>
            <w:fldChar w:fldCharType="begin"/>
          </w:r>
          <w:r>
            <w:instrText xml:space="preserve"> styleref CharSDivText </w:instrText>
          </w:r>
          <w:r>
            <w:fldChar w:fldCharType="end"/>
          </w: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Industrial Relations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620" w:name="Schedule"/>
    <w:bookmarkEnd w:id="16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Industrial Relations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115</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52555"/>
    <w:docVar w:name="WAFER_20131218160616" w:val="RemoveTocBookmarks,RemoveUnusedBookmarks,RemoveLanguageTags,UsedStyles,ResetPageSize,UpdateArrangement"/>
    <w:docVar w:name="WAFER_20131218160616_GUID" w:val="476ace78-9e26-4b11-a30a-6fa9e11d4a75"/>
    <w:docVar w:name="WAFER_20140630103614" w:val="RemoveTocBookmarks,RemoveUnusedBookmarks,RemoveLanguageTags,UsedStyles,ResetPageSize,UpdateArrangement"/>
    <w:docVar w:name="WAFER_20140630103614_GUID" w:val="541b82bd-4827-452f-a931-a94070378350"/>
    <w:docVar w:name="WAFER_20150518103735" w:val="ResetPageSize,UpdateArrangement,UpdateNTable"/>
    <w:docVar w:name="WAFER_20150518103735_GUID" w:val="9e300cb7-0e34-4f6e-b6d9-db864e3d6680"/>
    <w:docVar w:name="WAFER_20151102140036" w:val="UpdateStyles"/>
    <w:docVar w:name="WAFER_20151102140036_GUID" w:val="99111ec7-a5bc-436f-8ede-3cf3ee6666da"/>
    <w:docVar w:name="WAFER_20151102152545" w:val="UsedStyles"/>
    <w:docVar w:name="WAFER_20151102152545_GUID" w:val="fee6402c-ba75-4afb-92aa-f6fc324b1ea1"/>
    <w:docVar w:name="WAFER_20151109154349" w:val="UpdateStyles,UsedStyles"/>
    <w:docVar w:name="WAFER_20151109154349_GUID" w:val="47be5acc-cf6b-4a7f-b9da-e3c5ac00bab9"/>
    <w:docVar w:name="WAFER_20151112141708" w:val="UpdateStyles,UsedStyles"/>
    <w:docVar w:name="WAFER_20151112141708_GUID" w:val="20b92bd0-3e1d-4753-9775-44c3ba4c6dc0"/>
    <w:docVar w:name="WAFER_20151112164820" w:val="UpdateStyles"/>
    <w:docVar w:name="WAFER_20151112164820_GUID" w:val="a9cae3a3-e66f-4792-bb48-85cd734982d5"/>
    <w:docVar w:name="WAFER_20151112172524" w:val="UsedStyles"/>
    <w:docVar w:name="WAFER_20151112172524_GUID" w:val="57d795bc-0c7c-431f-a00c-ed2a90dca2a6"/>
    <w:docVar w:name="WAFER_20170111152555" w:val="RemoveTocBookmarks,RemoveUnusedBookmarks,RemoveLanguageTags,UsedStyles,ResetPageSize"/>
    <w:docVar w:name="WAFER_20170111152555_GUID" w:val="a23da48d-f4c6-4ec9-a309-c964f14ea3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85106</Words>
  <Characters>405108</Characters>
  <Application>Microsoft Office Word</Application>
  <DocSecurity>0</DocSecurity>
  <Lines>10660</Lines>
  <Paragraphs>5508</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484706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14-h0-04 - 14-i0-01</dc:title>
  <dc:subject/>
  <dc:creator/>
  <cp:keywords/>
  <dc:description/>
  <cp:lastModifiedBy>svcMRProcess</cp:lastModifiedBy>
  <cp:revision>2</cp:revision>
  <cp:lastPrinted>2012-08-27T02:55:00Z</cp:lastPrinted>
  <dcterms:created xsi:type="dcterms:W3CDTF">2018-09-03T11:29:00Z</dcterms:created>
  <dcterms:modified xsi:type="dcterms:W3CDTF">2018-09-03T11:30:00Z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DocumentType">
    <vt:lpwstr>Act</vt:lpwstr>
  </property>
  <property fmtid="{D5CDD505-2E9C-101B-9397-08002B2CF9AE}" pid="4" name="OwlsUID">
    <vt:i4>380</vt:i4>
  </property>
  <property fmtid="{D5CDD505-2E9C-101B-9397-08002B2CF9AE}" pid="5" name="ReprintNo">
    <vt:lpwstr>14</vt:lpwstr>
  </property>
  <property fmtid="{D5CDD505-2E9C-101B-9397-08002B2CF9AE}" pid="6" name="ReprintedAsAt">
    <vt:filetime>2012-08-23T16:00:00Z</vt:filetime>
  </property>
  <property fmtid="{D5CDD505-2E9C-101B-9397-08002B2CF9AE}" pid="7" name="CommencementDate">
    <vt:lpwstr>20170102</vt:lpwstr>
  </property>
  <property fmtid="{D5CDD505-2E9C-101B-9397-08002B2CF9AE}" pid="8" name="FromSuffix">
    <vt:lpwstr>14-h0-04</vt:lpwstr>
  </property>
  <property fmtid="{D5CDD505-2E9C-101B-9397-08002B2CF9AE}" pid="9" name="FromAsAtDate">
    <vt:lpwstr>29 Nov 2016</vt:lpwstr>
  </property>
  <property fmtid="{D5CDD505-2E9C-101B-9397-08002B2CF9AE}" pid="10" name="ToSuffix">
    <vt:lpwstr>14-i0-01</vt:lpwstr>
  </property>
  <property fmtid="{D5CDD505-2E9C-101B-9397-08002B2CF9AE}" pid="11" name="ToAsAtDate">
    <vt:lpwstr>02 Jan 2017</vt:lpwstr>
  </property>
</Properties>
</file>