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establish the office of Commissioner for Children and Young People, to make consequential amendments to various Acts </w:t>
      </w:r>
      <w:del w:id="3" w:author="svcMRProcess" w:date="2020-02-24T11:23:00Z">
        <w:r>
          <w:rPr>
            <w:snapToGrid w:val="0"/>
            <w:vertAlign w:val="superscript"/>
          </w:rPr>
          <w:delText>2</w:delText>
        </w:r>
      </w:del>
      <w:ins w:id="4" w:author="svcMRProcess" w:date="2020-02-24T11:23:00Z">
        <w:r>
          <w:rPr>
            <w:snapToGrid w:val="0"/>
            <w:vertAlign w:val="superscript"/>
          </w:rPr>
          <w:t>1</w:t>
        </w:r>
      </w:ins>
      <w:r>
        <w:rPr>
          <w:snapToGrid w:val="0"/>
        </w:rPr>
        <w:t>, and for related purposes.</w:t>
      </w:r>
    </w:p>
    <w:p>
      <w:pPr>
        <w:pStyle w:val="Enactment"/>
        <w:rPr>
          <w:snapToGrid w:val="0"/>
        </w:rPr>
      </w:pPr>
    </w:p>
    <w:p>
      <w:pPr>
        <w:pStyle w:val="Heading2"/>
      </w:pPr>
      <w:bookmarkStart w:id="5" w:name="_Toc32418636"/>
      <w:bookmarkStart w:id="6" w:name="_Toc32418719"/>
      <w:bookmarkStart w:id="7" w:name="_Toc32498487"/>
      <w:bookmarkStart w:id="8" w:name="_Toc33434341"/>
      <w:bookmarkStart w:id="9" w:name="_Toc375053393"/>
      <w:bookmarkStart w:id="10" w:name="_Toc415491548"/>
      <w:bookmarkStart w:id="11" w:name="_Toc415491629"/>
      <w:bookmarkStart w:id="12" w:name="_Toc462412909"/>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p>
    <w:p>
      <w:pPr>
        <w:pStyle w:val="Heading5"/>
        <w:rPr>
          <w:snapToGrid w:val="0"/>
        </w:rPr>
      </w:pPr>
      <w:bookmarkStart w:id="13" w:name="_Toc33434342"/>
      <w:bookmarkStart w:id="14" w:name="_Toc375053394"/>
      <w:bookmarkStart w:id="15" w:name="_Toc462412910"/>
      <w:r>
        <w:rPr>
          <w:rStyle w:val="CharSectno"/>
        </w:rPr>
        <w:t>1</w:t>
      </w:r>
      <w:r>
        <w:rPr>
          <w:snapToGrid w:val="0"/>
        </w:rPr>
        <w:t>.</w:t>
      </w:r>
      <w:r>
        <w:rPr>
          <w:snapToGrid w:val="0"/>
        </w:rPr>
        <w:tab/>
        <w:t>Short title</w:t>
      </w:r>
      <w:bookmarkEnd w:id="13"/>
      <w:bookmarkEnd w:id="14"/>
      <w:bookmarkEnd w:id="15"/>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del w:id="16" w:author="svcMRProcess" w:date="2020-02-24T11:23:00Z">
        <w:r>
          <w:rPr>
            <w:i/>
            <w:snapToGrid w:val="0"/>
          </w:rPr>
          <w:delText> </w:delText>
        </w:r>
        <w:r>
          <w:rPr>
            <w:snapToGrid w:val="0"/>
            <w:vertAlign w:val="superscript"/>
          </w:rPr>
          <w:delText>1</w:delText>
        </w:r>
      </w:del>
      <w:r>
        <w:rPr>
          <w:snapToGrid w:val="0"/>
        </w:rPr>
        <w:t xml:space="preserve">. </w:t>
      </w:r>
    </w:p>
    <w:p>
      <w:pPr>
        <w:pStyle w:val="Heading5"/>
      </w:pPr>
      <w:bookmarkStart w:id="17" w:name="_Toc33434343"/>
      <w:bookmarkStart w:id="18" w:name="_Toc375053395"/>
      <w:bookmarkStart w:id="19" w:name="_Toc462412911"/>
      <w:r>
        <w:rPr>
          <w:rStyle w:val="CharSectno"/>
        </w:rPr>
        <w:t>2</w:t>
      </w:r>
      <w:r>
        <w:t>.</w:t>
      </w:r>
      <w:r>
        <w:tab/>
        <w:t>Commencement</w:t>
      </w:r>
      <w:bookmarkEnd w:id="17"/>
      <w:bookmarkEnd w:id="18"/>
      <w:bookmarkEnd w:id="19"/>
    </w:p>
    <w:p>
      <w:pPr>
        <w:pStyle w:val="Subsection"/>
        <w:rPr>
          <w:spacing w:val="-2"/>
        </w:rPr>
      </w:pPr>
      <w:r>
        <w:tab/>
        <w:t>(1)</w:t>
      </w:r>
      <w:r>
        <w:tab/>
        <w:t xml:space="preserve">This Act </w:t>
      </w:r>
      <w:r>
        <w:rPr>
          <w:spacing w:val="-2"/>
        </w:rPr>
        <w:t>comes into operation on a day fixed by proclamation</w:t>
      </w:r>
      <w:del w:id="20" w:author="svcMRProcess" w:date="2020-02-24T11:23:00Z">
        <w:r>
          <w:rPr>
            <w:i/>
            <w:snapToGrid w:val="0"/>
          </w:rPr>
          <w:delText> </w:delText>
        </w:r>
        <w:r>
          <w:rPr>
            <w:snapToGrid w:val="0"/>
            <w:vertAlign w:val="superscript"/>
          </w:rPr>
          <w:delText>1</w:delText>
        </w:r>
      </w:del>
      <w:r>
        <w:rPr>
          <w:spacing w:val="-2"/>
        </w:rPr>
        <w:t>.</w:t>
      </w:r>
    </w:p>
    <w:p>
      <w:pPr>
        <w:pStyle w:val="Subsection"/>
      </w:pPr>
      <w:r>
        <w:tab/>
        <w:t>(2)</w:t>
      </w:r>
      <w:r>
        <w:tab/>
        <w:t>Different days may be fixed under subsection (1) for different provisions.</w:t>
      </w:r>
    </w:p>
    <w:p>
      <w:pPr>
        <w:pStyle w:val="Heading5"/>
      </w:pPr>
      <w:bookmarkStart w:id="21" w:name="_Toc33434344"/>
      <w:bookmarkStart w:id="22" w:name="_Toc375053396"/>
      <w:bookmarkStart w:id="23" w:name="_Toc462412912"/>
      <w:r>
        <w:rPr>
          <w:rStyle w:val="CharSectno"/>
        </w:rPr>
        <w:t>3</w:t>
      </w:r>
      <w:r>
        <w:t>.</w:t>
      </w:r>
      <w:r>
        <w:tab/>
        <w:t>Paramount consideration when performing functions under Act</w:t>
      </w:r>
      <w:bookmarkEnd w:id="21"/>
      <w:bookmarkEnd w:id="22"/>
      <w:bookmarkEnd w:id="23"/>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24" w:name="_Toc33434345"/>
      <w:bookmarkStart w:id="25" w:name="_Toc375053397"/>
      <w:bookmarkStart w:id="26" w:name="_Toc462412913"/>
      <w:r>
        <w:rPr>
          <w:rStyle w:val="CharSectno"/>
        </w:rPr>
        <w:t>4</w:t>
      </w:r>
      <w:r>
        <w:t>.</w:t>
      </w:r>
      <w:r>
        <w:tab/>
        <w:t>Principles to be observed when administering Act</w:t>
      </w:r>
      <w:bookmarkEnd w:id="24"/>
      <w:bookmarkEnd w:id="25"/>
      <w:bookmarkEnd w:id="26"/>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27" w:name="_Toc33434346"/>
      <w:bookmarkStart w:id="28" w:name="_Toc375053398"/>
      <w:bookmarkStart w:id="29" w:name="_Toc462412914"/>
      <w:r>
        <w:rPr>
          <w:rStyle w:val="CharSectno"/>
        </w:rPr>
        <w:lastRenderedPageBreak/>
        <w:t>5</w:t>
      </w:r>
      <w:r>
        <w:t>.</w:t>
      </w:r>
      <w:r>
        <w:tab/>
        <w:t>Terms used</w:t>
      </w:r>
      <w:bookmarkEnd w:id="27"/>
      <w:bookmarkEnd w:id="28"/>
      <w:bookmarkEnd w:id="29"/>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 or</w:t>
      </w:r>
    </w:p>
    <w:p>
      <w:pPr>
        <w:pStyle w:val="Defpara"/>
      </w:pPr>
      <w:r>
        <w:tab/>
        <w:t>(b)</w:t>
      </w:r>
      <w:r>
        <w:tab/>
        <w:t>a State agency; or</w:t>
      </w:r>
    </w:p>
    <w:p>
      <w:pPr>
        <w:pStyle w:val="Defpara"/>
      </w:pPr>
      <w:r>
        <w:tab/>
        <w:t>(c)</w:t>
      </w:r>
      <w:r>
        <w:tab/>
        <w:t>a local government</w:t>
      </w:r>
      <w:del w:id="30" w:author="svcMRProcess" w:date="2020-02-24T11:23:00Z">
        <w:r>
          <w:delText xml:space="preserve"> or</w:delText>
        </w:r>
      </w:del>
      <w:ins w:id="31" w:author="svcMRProcess" w:date="2020-02-24T11:23:00Z">
        <w:r>
          <w:t>,</w:t>
        </w:r>
      </w:ins>
      <w:r>
        <w:t xml:space="preserve"> regional local government</w:t>
      </w:r>
      <w:ins w:id="32" w:author="svcMRProcess" w:date="2020-02-24T11:23:00Z">
        <w:r>
          <w:t xml:space="preserve"> or regional subsidiary</w:t>
        </w:r>
      </w:ins>
      <w:r>
        <w: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 or</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lastRenderedPageBreak/>
        <w:tab/>
      </w:r>
      <w:r>
        <w:rPr>
          <w:rStyle w:val="CharDefText"/>
        </w:rPr>
        <w:t>wellbeing</w:t>
      </w:r>
      <w:r>
        <w:t xml:space="preserve"> of children and young people includes the care, development, education, health and safety of children and young people.</w:t>
      </w:r>
    </w:p>
    <w:p>
      <w:pPr>
        <w:pStyle w:val="Footnotesection"/>
      </w:pPr>
      <w:r>
        <w:tab/>
        <w:t>[Section 5 amended</w:t>
      </w:r>
      <w:del w:id="33" w:author="svcMRProcess" w:date="2020-02-24T11:23:00Z">
        <w:r>
          <w:delText xml:space="preserve"> by</w:delText>
        </w:r>
      </w:del>
      <w:ins w:id="34" w:author="svcMRProcess" w:date="2020-02-24T11:23:00Z">
        <w:r>
          <w:t>:</w:t>
        </w:r>
      </w:ins>
      <w:r>
        <w:t xml:space="preserve"> No. 46 of 2009 s. 5(2</w:t>
      </w:r>
      <w:del w:id="35" w:author="svcMRProcess" w:date="2020-02-24T11:23:00Z">
        <w:r>
          <w:delText>).]</w:delText>
        </w:r>
      </w:del>
      <w:ins w:id="36" w:author="svcMRProcess" w:date="2020-02-24T11:23:00Z">
        <w:r>
          <w:t>); No. 26 of 2016 s. 44.]</w:t>
        </w:r>
      </w:ins>
    </w:p>
    <w:p>
      <w:pPr>
        <w:pStyle w:val="Heading2"/>
      </w:pPr>
      <w:bookmarkStart w:id="37" w:name="_Toc32418642"/>
      <w:bookmarkStart w:id="38" w:name="_Toc32418725"/>
      <w:bookmarkStart w:id="39" w:name="_Toc32498493"/>
      <w:bookmarkStart w:id="40" w:name="_Toc33434347"/>
      <w:bookmarkStart w:id="41" w:name="_Toc375053399"/>
      <w:bookmarkStart w:id="42" w:name="_Toc415491554"/>
      <w:bookmarkStart w:id="43" w:name="_Toc415491635"/>
      <w:bookmarkStart w:id="44" w:name="_Toc462412915"/>
      <w:r>
        <w:rPr>
          <w:rStyle w:val="CharPartNo"/>
        </w:rPr>
        <w:t>Part 2</w:t>
      </w:r>
      <w:r>
        <w:t> — </w:t>
      </w:r>
      <w:r>
        <w:rPr>
          <w:rStyle w:val="CharPartText"/>
        </w:rPr>
        <w:t>Office of Commissioner for Children and Young People</w:t>
      </w:r>
      <w:bookmarkEnd w:id="37"/>
      <w:bookmarkEnd w:id="38"/>
      <w:bookmarkEnd w:id="39"/>
      <w:bookmarkEnd w:id="40"/>
      <w:bookmarkEnd w:id="41"/>
      <w:bookmarkEnd w:id="42"/>
      <w:bookmarkEnd w:id="43"/>
      <w:bookmarkEnd w:id="44"/>
    </w:p>
    <w:p>
      <w:pPr>
        <w:pStyle w:val="Heading3"/>
      </w:pPr>
      <w:bookmarkStart w:id="45" w:name="_Toc32418643"/>
      <w:bookmarkStart w:id="46" w:name="_Toc32418726"/>
      <w:bookmarkStart w:id="47" w:name="_Toc32498494"/>
      <w:bookmarkStart w:id="48" w:name="_Toc33434348"/>
      <w:bookmarkStart w:id="49" w:name="_Toc375053400"/>
      <w:bookmarkStart w:id="50" w:name="_Toc415491555"/>
      <w:bookmarkStart w:id="51" w:name="_Toc415491636"/>
      <w:bookmarkStart w:id="52" w:name="_Toc462412916"/>
      <w:r>
        <w:rPr>
          <w:rStyle w:val="CharDivNo"/>
        </w:rPr>
        <w:t>Division 1</w:t>
      </w:r>
      <w:r>
        <w:t> — </w:t>
      </w:r>
      <w:r>
        <w:rPr>
          <w:rStyle w:val="CharDivText"/>
        </w:rPr>
        <w:t>Office of Commissioner for Children and Young People</w:t>
      </w:r>
      <w:bookmarkEnd w:id="45"/>
      <w:bookmarkEnd w:id="46"/>
      <w:bookmarkEnd w:id="47"/>
      <w:bookmarkEnd w:id="48"/>
      <w:bookmarkEnd w:id="49"/>
      <w:bookmarkEnd w:id="50"/>
      <w:bookmarkEnd w:id="51"/>
      <w:bookmarkEnd w:id="52"/>
    </w:p>
    <w:p>
      <w:pPr>
        <w:pStyle w:val="Heading5"/>
      </w:pPr>
      <w:bookmarkStart w:id="53" w:name="_Toc33434349"/>
      <w:bookmarkStart w:id="54" w:name="_Toc375053401"/>
      <w:bookmarkStart w:id="55" w:name="_Toc462412917"/>
      <w:r>
        <w:rPr>
          <w:rStyle w:val="CharSectno"/>
        </w:rPr>
        <w:t>6</w:t>
      </w:r>
      <w:r>
        <w:t>.</w:t>
      </w:r>
      <w:r>
        <w:tab/>
        <w:t>Office established</w:t>
      </w:r>
      <w:bookmarkEnd w:id="53"/>
      <w:bookmarkEnd w:id="54"/>
      <w:bookmarkEnd w:id="55"/>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56" w:name="_Toc33434350"/>
      <w:bookmarkStart w:id="57" w:name="_Toc375053402"/>
      <w:bookmarkStart w:id="58" w:name="_Toc462412918"/>
      <w:r>
        <w:rPr>
          <w:rStyle w:val="CharSectno"/>
        </w:rPr>
        <w:t>7</w:t>
      </w:r>
      <w:r>
        <w:t>.</w:t>
      </w:r>
      <w:r>
        <w:tab/>
        <w:t>Appointment and selection of Commissioner</w:t>
      </w:r>
      <w:bookmarkEnd w:id="56"/>
      <w:bookmarkEnd w:id="57"/>
      <w:bookmarkEnd w:id="58"/>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59" w:name="_Toc33434351"/>
      <w:bookmarkStart w:id="60" w:name="_Toc375053403"/>
      <w:bookmarkStart w:id="61" w:name="_Toc462412919"/>
      <w:r>
        <w:rPr>
          <w:rStyle w:val="CharSectno"/>
        </w:rPr>
        <w:t>8</w:t>
      </w:r>
      <w:r>
        <w:t>.</w:t>
      </w:r>
      <w:r>
        <w:tab/>
        <w:t>Removal or suspension of Commissioner</w:t>
      </w:r>
      <w:bookmarkEnd w:id="59"/>
      <w:bookmarkEnd w:id="60"/>
      <w:bookmarkEnd w:id="61"/>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w:t>
      </w:r>
      <w:del w:id="62" w:author="svcMRProcess" w:date="2020-02-24T11:23:00Z">
        <w:r>
          <w:delText xml:space="preserve"> by</w:delText>
        </w:r>
      </w:del>
      <w:ins w:id="63" w:author="svcMRProcess" w:date="2020-02-24T11:23:00Z">
        <w:r>
          <w:t>:</w:t>
        </w:r>
      </w:ins>
      <w:r>
        <w:t xml:space="preserve"> No. 18 of 2009 s. 17; No. 46 of 2009 s. 5(5).]</w:t>
      </w:r>
    </w:p>
    <w:p>
      <w:pPr>
        <w:pStyle w:val="Heading5"/>
      </w:pPr>
      <w:bookmarkStart w:id="64" w:name="_Toc33434352"/>
      <w:bookmarkStart w:id="65" w:name="_Toc375053404"/>
      <w:bookmarkStart w:id="66" w:name="_Toc462412920"/>
      <w:r>
        <w:rPr>
          <w:rStyle w:val="CharSectno"/>
        </w:rPr>
        <w:t>9</w:t>
      </w:r>
      <w:r>
        <w:t>.</w:t>
      </w:r>
      <w:r>
        <w:tab/>
        <w:t>Term of office</w:t>
      </w:r>
      <w:bookmarkEnd w:id="64"/>
      <w:bookmarkEnd w:id="65"/>
      <w:bookmarkEnd w:id="66"/>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67" w:name="_Toc33434353"/>
      <w:bookmarkStart w:id="68" w:name="_Toc375053405"/>
      <w:bookmarkStart w:id="69" w:name="_Toc462412921"/>
      <w:r>
        <w:rPr>
          <w:rStyle w:val="CharSectno"/>
        </w:rPr>
        <w:t>10</w:t>
      </w:r>
      <w:r>
        <w:t>.</w:t>
      </w:r>
      <w:r>
        <w:tab/>
        <w:t>Conditions of appointment</w:t>
      </w:r>
      <w:bookmarkEnd w:id="67"/>
      <w:bookmarkEnd w:id="68"/>
      <w:bookmarkEnd w:id="69"/>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70" w:name="_Toc33434354"/>
      <w:bookmarkStart w:id="71" w:name="_Toc375053406"/>
      <w:bookmarkStart w:id="72" w:name="_Toc462412922"/>
      <w:r>
        <w:rPr>
          <w:rStyle w:val="CharSectno"/>
        </w:rPr>
        <w:t>11</w:t>
      </w:r>
      <w:r>
        <w:t>.</w:t>
      </w:r>
      <w:r>
        <w:tab/>
        <w:t>Remuneration and conditions of service</w:t>
      </w:r>
      <w:bookmarkEnd w:id="70"/>
      <w:bookmarkEnd w:id="71"/>
      <w:bookmarkEnd w:id="72"/>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73" w:name="_Toc33434355"/>
      <w:bookmarkStart w:id="74" w:name="_Toc375053407"/>
      <w:bookmarkStart w:id="75" w:name="_Toc462412923"/>
      <w:r>
        <w:rPr>
          <w:rStyle w:val="CharSectno"/>
        </w:rPr>
        <w:t>12</w:t>
      </w:r>
      <w:r>
        <w:t>.</w:t>
      </w:r>
      <w:r>
        <w:tab/>
        <w:t>Resignation; when office becomes vacant</w:t>
      </w:r>
      <w:bookmarkEnd w:id="73"/>
      <w:bookmarkEnd w:id="74"/>
      <w:bookmarkEnd w:id="75"/>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76" w:name="_Toc33434356"/>
      <w:bookmarkStart w:id="77" w:name="_Toc375053408"/>
      <w:bookmarkStart w:id="78" w:name="_Toc462412924"/>
      <w:r>
        <w:rPr>
          <w:rStyle w:val="CharSectno"/>
        </w:rPr>
        <w:t>13</w:t>
      </w:r>
      <w:r>
        <w:t>.</w:t>
      </w:r>
      <w:r>
        <w:tab/>
        <w:t>Public service officer appointed as Commissioner, provisions for</w:t>
      </w:r>
      <w:bookmarkEnd w:id="76"/>
      <w:bookmarkEnd w:id="77"/>
      <w:bookmarkEnd w:id="78"/>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 </w:t>
      </w:r>
      <w:del w:id="79" w:author="svcMRProcess" w:date="2020-02-24T11:23:00Z">
        <w:r>
          <w:rPr>
            <w:iCs/>
            <w:vertAlign w:val="superscript"/>
          </w:rPr>
          <w:delText>3</w:delText>
        </w:r>
      </w:del>
      <w:ins w:id="80" w:author="svcMRProcess" w:date="2020-02-24T11:23:00Z">
        <w:r>
          <w:rPr>
            <w:iCs/>
            <w:vertAlign w:val="superscript"/>
          </w:rPr>
          <w:t>2</w:t>
        </w:r>
      </w:ins>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 </w:t>
      </w:r>
      <w:del w:id="81" w:author="svcMRProcess" w:date="2020-02-24T11:23:00Z">
        <w:r>
          <w:rPr>
            <w:iCs/>
            <w:vertAlign w:val="superscript"/>
          </w:rPr>
          <w:delText>3</w:delText>
        </w:r>
      </w:del>
      <w:ins w:id="82" w:author="svcMRProcess" w:date="2020-02-24T11:23:00Z">
        <w:r>
          <w:rPr>
            <w:iCs/>
            <w:vertAlign w:val="superscript"/>
          </w:rPr>
          <w:t>2</w:t>
        </w:r>
      </w:ins>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83" w:name="_Toc33434357"/>
      <w:bookmarkStart w:id="84" w:name="_Toc375053409"/>
      <w:bookmarkStart w:id="85" w:name="_Toc462412925"/>
      <w:r>
        <w:rPr>
          <w:rStyle w:val="CharSectno"/>
        </w:rPr>
        <w:t>14</w:t>
      </w:r>
      <w:r>
        <w:t>.</w:t>
      </w:r>
      <w:r>
        <w:tab/>
        <w:t>Acting Commissioner</w:t>
      </w:r>
      <w:bookmarkEnd w:id="83"/>
      <w:bookmarkEnd w:id="84"/>
      <w:bookmarkEnd w:id="85"/>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86" w:name="_Toc33434358"/>
      <w:bookmarkStart w:id="87" w:name="_Toc375053410"/>
      <w:bookmarkStart w:id="88" w:name="_Toc462412926"/>
      <w:r>
        <w:rPr>
          <w:rStyle w:val="CharSectno"/>
        </w:rPr>
        <w:t>15</w:t>
      </w:r>
      <w:r>
        <w:t>.</w:t>
      </w:r>
      <w:r>
        <w:tab/>
        <w:t>Oath or affirmation of office</w:t>
      </w:r>
      <w:bookmarkEnd w:id="86"/>
      <w:bookmarkEnd w:id="87"/>
      <w:bookmarkEnd w:id="88"/>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89" w:name="_Toc32418654"/>
      <w:bookmarkStart w:id="90" w:name="_Toc32418737"/>
      <w:bookmarkStart w:id="91" w:name="_Toc32498505"/>
      <w:bookmarkStart w:id="92" w:name="_Toc33434359"/>
      <w:bookmarkStart w:id="93" w:name="_Toc375053411"/>
      <w:bookmarkStart w:id="94" w:name="_Toc415491566"/>
      <w:bookmarkStart w:id="95" w:name="_Toc415491647"/>
      <w:bookmarkStart w:id="96" w:name="_Toc462412927"/>
      <w:r>
        <w:rPr>
          <w:rStyle w:val="CharDivNo"/>
        </w:rPr>
        <w:t>Division 2</w:t>
      </w:r>
      <w:r>
        <w:t> — </w:t>
      </w:r>
      <w:r>
        <w:rPr>
          <w:rStyle w:val="CharDivText"/>
        </w:rPr>
        <w:t>Staff and related provisions</w:t>
      </w:r>
      <w:bookmarkEnd w:id="89"/>
      <w:bookmarkEnd w:id="90"/>
      <w:bookmarkEnd w:id="91"/>
      <w:bookmarkEnd w:id="92"/>
      <w:bookmarkEnd w:id="93"/>
      <w:bookmarkEnd w:id="94"/>
      <w:bookmarkEnd w:id="95"/>
      <w:bookmarkEnd w:id="96"/>
    </w:p>
    <w:p>
      <w:pPr>
        <w:pStyle w:val="Heading5"/>
      </w:pPr>
      <w:bookmarkStart w:id="97" w:name="_Toc33434360"/>
      <w:bookmarkStart w:id="98" w:name="_Toc375053412"/>
      <w:bookmarkStart w:id="99" w:name="_Toc462412928"/>
      <w:r>
        <w:rPr>
          <w:rStyle w:val="CharSectno"/>
        </w:rPr>
        <w:t>16</w:t>
      </w:r>
      <w:r>
        <w:t>.</w:t>
      </w:r>
      <w:r>
        <w:tab/>
        <w:t>Staff</w:t>
      </w:r>
      <w:bookmarkEnd w:id="97"/>
      <w:bookmarkEnd w:id="98"/>
      <w:bookmarkEnd w:id="99"/>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100" w:name="_Toc33434361"/>
      <w:bookmarkStart w:id="101" w:name="_Toc375053413"/>
      <w:bookmarkStart w:id="102" w:name="_Toc462412929"/>
      <w:r>
        <w:rPr>
          <w:rStyle w:val="CharSectno"/>
        </w:rPr>
        <w:t>17</w:t>
      </w:r>
      <w:r>
        <w:t>.</w:t>
      </w:r>
      <w:r>
        <w:tab/>
        <w:t>Use of government staff and facilities</w:t>
      </w:r>
      <w:bookmarkEnd w:id="100"/>
      <w:bookmarkEnd w:id="101"/>
      <w:bookmarkEnd w:id="102"/>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103" w:name="_Toc33434362"/>
      <w:bookmarkStart w:id="104" w:name="_Toc375053414"/>
      <w:bookmarkStart w:id="105" w:name="_Toc462412930"/>
      <w:r>
        <w:rPr>
          <w:rStyle w:val="CharSectno"/>
        </w:rPr>
        <w:t>18</w:t>
      </w:r>
      <w:r>
        <w:t>.</w:t>
      </w:r>
      <w:r>
        <w:tab/>
        <w:t>Authorised persons for Part 5, designation of</w:t>
      </w:r>
      <w:bookmarkEnd w:id="103"/>
      <w:bookmarkEnd w:id="104"/>
      <w:bookmarkEnd w:id="105"/>
      <w:r>
        <w:t xml:space="preserve"> </w:t>
      </w:r>
    </w:p>
    <w:p>
      <w:pPr>
        <w:pStyle w:val="Subsection"/>
      </w:pPr>
      <w:r>
        <w:tab/>
      </w:r>
      <w:r>
        <w:tab/>
        <w:t>The Commissioner may, in writing, designate a staff member as an authorised person for the purposes of Part 5.</w:t>
      </w:r>
    </w:p>
    <w:p>
      <w:pPr>
        <w:pStyle w:val="Heading2"/>
      </w:pPr>
      <w:bookmarkStart w:id="106" w:name="_Toc32418658"/>
      <w:bookmarkStart w:id="107" w:name="_Toc32418741"/>
      <w:bookmarkStart w:id="108" w:name="_Toc32498509"/>
      <w:bookmarkStart w:id="109" w:name="_Toc33434363"/>
      <w:bookmarkStart w:id="110" w:name="_Toc375053415"/>
      <w:bookmarkStart w:id="111" w:name="_Toc415491570"/>
      <w:bookmarkStart w:id="112" w:name="_Toc415491651"/>
      <w:bookmarkStart w:id="113" w:name="_Toc462412931"/>
      <w:r>
        <w:rPr>
          <w:rStyle w:val="CharPartNo"/>
        </w:rPr>
        <w:t>Part 3</w:t>
      </w:r>
      <w:r>
        <w:rPr>
          <w:rStyle w:val="CharDivNo"/>
        </w:rPr>
        <w:t> </w:t>
      </w:r>
      <w:r>
        <w:t>—</w:t>
      </w:r>
      <w:r>
        <w:rPr>
          <w:rStyle w:val="CharDivText"/>
        </w:rPr>
        <w:t> </w:t>
      </w:r>
      <w:r>
        <w:rPr>
          <w:rStyle w:val="CharPartText"/>
        </w:rPr>
        <w:t>Functions of the Commissioner</w:t>
      </w:r>
      <w:bookmarkEnd w:id="106"/>
      <w:bookmarkEnd w:id="107"/>
      <w:bookmarkEnd w:id="108"/>
      <w:bookmarkEnd w:id="109"/>
      <w:bookmarkEnd w:id="110"/>
      <w:bookmarkEnd w:id="111"/>
      <w:bookmarkEnd w:id="112"/>
      <w:bookmarkEnd w:id="113"/>
    </w:p>
    <w:p>
      <w:pPr>
        <w:pStyle w:val="Heading5"/>
      </w:pPr>
      <w:bookmarkStart w:id="114" w:name="_Toc33434364"/>
      <w:bookmarkStart w:id="115" w:name="_Toc375053416"/>
      <w:bookmarkStart w:id="116" w:name="_Toc462412932"/>
      <w:r>
        <w:rPr>
          <w:rStyle w:val="CharSectno"/>
        </w:rPr>
        <w:t>19</w:t>
      </w:r>
      <w:r>
        <w:t>.</w:t>
      </w:r>
      <w:r>
        <w:tab/>
        <w:t>Functions</w:t>
      </w:r>
      <w:bookmarkEnd w:id="114"/>
      <w:bookmarkEnd w:id="115"/>
      <w:bookmarkEnd w:id="116"/>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r>
        <w:tab/>
        <w:t>(p)</w:t>
      </w:r>
      <w:r>
        <w:tab/>
        <w:t>to perform any other function conferred on the Commissioner by or under this Act or any other written law.</w:t>
      </w:r>
    </w:p>
    <w:p>
      <w:pPr>
        <w:pStyle w:val="Footnotesection"/>
      </w:pPr>
      <w:r>
        <w:tab/>
        <w:t>[Section 19 amended</w:t>
      </w:r>
      <w:del w:id="117" w:author="svcMRProcess" w:date="2020-02-24T11:23:00Z">
        <w:r>
          <w:delText xml:space="preserve"> by</w:delText>
        </w:r>
      </w:del>
      <w:ins w:id="118" w:author="svcMRProcess" w:date="2020-02-24T11:23:00Z">
        <w:r>
          <w:t>:</w:t>
        </w:r>
      </w:ins>
      <w:r>
        <w:t xml:space="preserve"> No. 46 of 2009 s. 5(3).]</w:t>
      </w:r>
    </w:p>
    <w:p>
      <w:pPr>
        <w:pStyle w:val="Heading5"/>
      </w:pPr>
      <w:bookmarkStart w:id="119" w:name="_Toc33434365"/>
      <w:bookmarkStart w:id="120" w:name="_Toc375053417"/>
      <w:bookmarkStart w:id="121" w:name="_Toc462412933"/>
      <w:r>
        <w:rPr>
          <w:rStyle w:val="CharSectno"/>
        </w:rPr>
        <w:t>20</w:t>
      </w:r>
      <w:r>
        <w:t>.</w:t>
      </w:r>
      <w:r>
        <w:tab/>
        <w:t>Matters relevant to performance of functions</w:t>
      </w:r>
      <w:bookmarkEnd w:id="119"/>
      <w:bookmarkEnd w:id="120"/>
      <w:bookmarkEnd w:id="121"/>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r>
      <w:r>
        <w:tab/>
        <w:t>and</w:t>
      </w:r>
      <w:r>
        <w:tab/>
      </w:r>
    </w:p>
    <w:p>
      <w:pPr>
        <w:pStyle w:val="Indenta"/>
      </w:pPr>
      <w:r>
        <w:tab/>
        <w:t>(b)</w:t>
      </w:r>
      <w:r>
        <w:tab/>
        <w:t>have regard to the United Nations Convention on the Rights of the Child; and</w:t>
      </w:r>
    </w:p>
    <w:p>
      <w:pPr>
        <w:pStyle w:val="Indenta"/>
      </w:pPr>
      <w:r>
        <w:tab/>
        <w:t>(c)</w:t>
      </w:r>
      <w:r>
        <w:tab/>
        <w:t>develop means of consulting with children and young people that are appropriate to their age and maturity; and</w:t>
      </w:r>
    </w:p>
    <w:p>
      <w:pPr>
        <w:pStyle w:val="Indenta"/>
      </w:pPr>
      <w:r>
        <w:tab/>
        <w:t>(d)</w:t>
      </w:r>
      <w:r>
        <w:tab/>
        <w:t>develop guidelines for government agencies and non-government agencies regarding the participation by children and young people in decisions which affect them; and</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r>
      <w:r>
        <w:tab/>
        <w:t>and</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122" w:name="_Toc33434366"/>
      <w:bookmarkStart w:id="123" w:name="_Toc375053418"/>
      <w:bookmarkStart w:id="124" w:name="_Toc462412934"/>
      <w:r>
        <w:rPr>
          <w:rStyle w:val="CharSectno"/>
        </w:rPr>
        <w:t>21</w:t>
      </w:r>
      <w:r>
        <w:t>.</w:t>
      </w:r>
      <w:r>
        <w:tab/>
        <w:t>Powers</w:t>
      </w:r>
      <w:bookmarkEnd w:id="122"/>
      <w:bookmarkEnd w:id="123"/>
      <w:bookmarkEnd w:id="124"/>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125" w:name="_Toc33434367"/>
      <w:bookmarkStart w:id="126" w:name="_Toc375053419"/>
      <w:bookmarkStart w:id="127" w:name="_Toc462412935"/>
      <w:r>
        <w:rPr>
          <w:rStyle w:val="CharSectno"/>
        </w:rPr>
        <w:t>22</w:t>
      </w:r>
      <w:r>
        <w:t>.</w:t>
      </w:r>
      <w:r>
        <w:tab/>
        <w:t>Disclosure of information to Commissioner by government agencies etc.</w:t>
      </w:r>
      <w:bookmarkEnd w:id="125"/>
      <w:bookmarkEnd w:id="126"/>
      <w:bookmarkEnd w:id="127"/>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r>
        <w:tab/>
        <w:t>[Section 22 amended</w:t>
      </w:r>
      <w:del w:id="128" w:author="svcMRProcess" w:date="2020-02-24T11:23:00Z">
        <w:r>
          <w:delText xml:space="preserve"> by</w:delText>
        </w:r>
      </w:del>
      <w:ins w:id="129" w:author="svcMRProcess" w:date="2020-02-24T11:23:00Z">
        <w:r>
          <w:t>:</w:t>
        </w:r>
      </w:ins>
      <w:r>
        <w:t xml:space="preserve"> No. 46 of 2009 s. 5(5).]</w:t>
      </w:r>
    </w:p>
    <w:p>
      <w:pPr>
        <w:pStyle w:val="Heading5"/>
      </w:pPr>
      <w:bookmarkStart w:id="130" w:name="_Toc33434368"/>
      <w:bookmarkStart w:id="131" w:name="_Toc375053420"/>
      <w:bookmarkStart w:id="132" w:name="_Toc462412936"/>
      <w:r>
        <w:rPr>
          <w:rStyle w:val="CharSectno"/>
        </w:rPr>
        <w:t>23</w:t>
      </w:r>
      <w:r>
        <w:t>.</w:t>
      </w:r>
      <w:r>
        <w:tab/>
        <w:t>Commissioner not to deal with individual cases</w:t>
      </w:r>
      <w:bookmarkEnd w:id="130"/>
      <w:bookmarkEnd w:id="131"/>
      <w:bookmarkEnd w:id="132"/>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 or</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133" w:name="_Toc33434369"/>
      <w:bookmarkStart w:id="134" w:name="_Toc375053421"/>
      <w:bookmarkStart w:id="135" w:name="_Toc462412937"/>
      <w:r>
        <w:rPr>
          <w:rStyle w:val="CharSectno"/>
        </w:rPr>
        <w:t>24</w:t>
      </w:r>
      <w:r>
        <w:t>.</w:t>
      </w:r>
      <w:r>
        <w:tab/>
        <w:t>Delegation by Commissioner</w:t>
      </w:r>
      <w:bookmarkEnd w:id="133"/>
      <w:bookmarkEnd w:id="134"/>
      <w:bookmarkEnd w:id="135"/>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136" w:name="_Toc32418665"/>
      <w:bookmarkStart w:id="137" w:name="_Toc32418748"/>
      <w:bookmarkStart w:id="138" w:name="_Toc32498516"/>
      <w:bookmarkStart w:id="139" w:name="_Toc33434370"/>
      <w:bookmarkStart w:id="140" w:name="_Toc375053422"/>
      <w:bookmarkStart w:id="141" w:name="_Toc415491577"/>
      <w:bookmarkStart w:id="142" w:name="_Toc415491658"/>
      <w:bookmarkStart w:id="143" w:name="_Toc462412938"/>
      <w:r>
        <w:rPr>
          <w:rStyle w:val="CharPartNo"/>
        </w:rPr>
        <w:t>Part 4</w:t>
      </w:r>
      <w:r>
        <w:rPr>
          <w:rStyle w:val="CharDivNo"/>
        </w:rPr>
        <w:t> </w:t>
      </w:r>
      <w:r>
        <w:t>—</w:t>
      </w:r>
      <w:r>
        <w:rPr>
          <w:rStyle w:val="CharDivText"/>
        </w:rPr>
        <w:t> </w:t>
      </w:r>
      <w:r>
        <w:rPr>
          <w:rStyle w:val="CharPartText"/>
        </w:rPr>
        <w:t>Relationship with the Minister</w:t>
      </w:r>
      <w:bookmarkEnd w:id="136"/>
      <w:bookmarkEnd w:id="137"/>
      <w:bookmarkEnd w:id="138"/>
      <w:bookmarkEnd w:id="139"/>
      <w:bookmarkEnd w:id="140"/>
      <w:bookmarkEnd w:id="141"/>
      <w:bookmarkEnd w:id="142"/>
      <w:bookmarkEnd w:id="143"/>
    </w:p>
    <w:p>
      <w:pPr>
        <w:pStyle w:val="Heading5"/>
      </w:pPr>
      <w:bookmarkStart w:id="144" w:name="_Toc33434371"/>
      <w:bookmarkStart w:id="145" w:name="_Toc375053423"/>
      <w:bookmarkStart w:id="146" w:name="_Toc462412939"/>
      <w:r>
        <w:rPr>
          <w:rStyle w:val="CharSectno"/>
        </w:rPr>
        <w:t>25</w:t>
      </w:r>
      <w:r>
        <w:t>.</w:t>
      </w:r>
      <w:r>
        <w:tab/>
        <w:t>Independence of Commissioner</w:t>
      </w:r>
      <w:bookmarkEnd w:id="144"/>
      <w:bookmarkEnd w:id="145"/>
      <w:bookmarkEnd w:id="146"/>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147" w:name="_Toc33434372"/>
      <w:bookmarkStart w:id="148" w:name="_Toc375053424"/>
      <w:bookmarkStart w:id="149" w:name="_Toc462412940"/>
      <w:r>
        <w:rPr>
          <w:rStyle w:val="CharSectno"/>
        </w:rPr>
        <w:t>26</w:t>
      </w:r>
      <w:r>
        <w:t>.</w:t>
      </w:r>
      <w:r>
        <w:tab/>
        <w:t>Minister may give directions</w:t>
      </w:r>
      <w:bookmarkEnd w:id="147"/>
      <w:bookmarkEnd w:id="148"/>
      <w:bookmarkEnd w:id="149"/>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150" w:name="_Toc33434373"/>
      <w:bookmarkStart w:id="151" w:name="_Toc375053425"/>
      <w:bookmarkStart w:id="152" w:name="_Toc462412941"/>
      <w:r>
        <w:rPr>
          <w:rStyle w:val="CharSectno"/>
        </w:rPr>
        <w:t>27</w:t>
      </w:r>
      <w:r>
        <w:t>.</w:t>
      </w:r>
      <w:r>
        <w:tab/>
        <w:t>Minister may request information</w:t>
      </w:r>
      <w:bookmarkEnd w:id="150"/>
      <w:bookmarkEnd w:id="151"/>
      <w:bookmarkEnd w:id="152"/>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153" w:name="_Toc33434374"/>
      <w:bookmarkStart w:id="154" w:name="_Toc375053426"/>
      <w:bookmarkStart w:id="155" w:name="_Toc462412942"/>
      <w:r>
        <w:rPr>
          <w:rStyle w:val="CharSectno"/>
        </w:rPr>
        <w:t>28</w:t>
      </w:r>
      <w:r>
        <w:t>.</w:t>
      </w:r>
      <w:r>
        <w:tab/>
        <w:t>Consultation</w:t>
      </w:r>
      <w:bookmarkEnd w:id="153"/>
      <w:bookmarkEnd w:id="154"/>
      <w:bookmarkEnd w:id="155"/>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156" w:name="_Toc32418670"/>
      <w:bookmarkStart w:id="157" w:name="_Toc32418753"/>
      <w:bookmarkStart w:id="158" w:name="_Toc32498521"/>
      <w:bookmarkStart w:id="159" w:name="_Toc33434375"/>
      <w:bookmarkStart w:id="160" w:name="_Toc375053427"/>
      <w:bookmarkStart w:id="161" w:name="_Toc415491582"/>
      <w:bookmarkStart w:id="162" w:name="_Toc415491663"/>
      <w:bookmarkStart w:id="163" w:name="_Toc462412943"/>
      <w:r>
        <w:rPr>
          <w:rStyle w:val="CharPartNo"/>
        </w:rPr>
        <w:t>Part 5</w:t>
      </w:r>
      <w:r>
        <w:rPr>
          <w:rStyle w:val="CharDivNo"/>
        </w:rPr>
        <w:t> </w:t>
      </w:r>
      <w:r>
        <w:t>—</w:t>
      </w:r>
      <w:r>
        <w:rPr>
          <w:rStyle w:val="CharDivText"/>
        </w:rPr>
        <w:t> </w:t>
      </w:r>
      <w:r>
        <w:rPr>
          <w:rStyle w:val="CharPartText"/>
        </w:rPr>
        <w:t>Special inquiries</w:t>
      </w:r>
      <w:bookmarkEnd w:id="156"/>
      <w:bookmarkEnd w:id="157"/>
      <w:bookmarkEnd w:id="158"/>
      <w:bookmarkEnd w:id="159"/>
      <w:bookmarkEnd w:id="160"/>
      <w:bookmarkEnd w:id="161"/>
      <w:bookmarkEnd w:id="162"/>
      <w:bookmarkEnd w:id="163"/>
    </w:p>
    <w:p>
      <w:pPr>
        <w:pStyle w:val="Heading5"/>
      </w:pPr>
      <w:bookmarkStart w:id="164" w:name="_Toc33434376"/>
      <w:bookmarkStart w:id="165" w:name="_Toc375053428"/>
      <w:bookmarkStart w:id="166" w:name="_Toc462412944"/>
      <w:r>
        <w:rPr>
          <w:rStyle w:val="CharSectno"/>
        </w:rPr>
        <w:t>29</w:t>
      </w:r>
      <w:r>
        <w:t>.</w:t>
      </w:r>
      <w:r>
        <w:tab/>
        <w:t>Establishment of special inquiry</w:t>
      </w:r>
      <w:bookmarkEnd w:id="164"/>
      <w:bookmarkEnd w:id="165"/>
      <w:bookmarkEnd w:id="166"/>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167" w:name="_Toc33434377"/>
      <w:bookmarkStart w:id="168" w:name="_Toc375053429"/>
      <w:bookmarkStart w:id="169" w:name="_Toc462412945"/>
      <w:r>
        <w:rPr>
          <w:rStyle w:val="CharSectno"/>
        </w:rPr>
        <w:t>30</w:t>
      </w:r>
      <w:r>
        <w:t>.</w:t>
      </w:r>
      <w:r>
        <w:tab/>
        <w:t>Notice of special inquiry</w:t>
      </w:r>
      <w:bookmarkEnd w:id="167"/>
      <w:bookmarkEnd w:id="168"/>
      <w:bookmarkEnd w:id="169"/>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 and</w:t>
      </w:r>
    </w:p>
    <w:p>
      <w:pPr>
        <w:pStyle w:val="Indenta"/>
      </w:pPr>
      <w:r>
        <w:tab/>
        <w:t>(b)</w:t>
      </w:r>
      <w:r>
        <w:tab/>
        <w:t>the period during which the inquiry is to be held; and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170" w:name="_Toc33434378"/>
      <w:bookmarkStart w:id="171" w:name="_Toc375053430"/>
      <w:bookmarkStart w:id="172" w:name="_Toc462412946"/>
      <w:r>
        <w:rPr>
          <w:rStyle w:val="CharSectno"/>
        </w:rPr>
        <w:t>31</w:t>
      </w:r>
      <w:r>
        <w:t>.</w:t>
      </w:r>
      <w:r>
        <w:tab/>
        <w:t>General conduct of special inquiry</w:t>
      </w:r>
      <w:bookmarkEnd w:id="170"/>
      <w:bookmarkEnd w:id="171"/>
      <w:bookmarkEnd w:id="172"/>
    </w:p>
    <w:p>
      <w:pPr>
        <w:pStyle w:val="Subsection"/>
      </w:pPr>
      <w:r>
        <w:tab/>
        <w:t>(1)</w:t>
      </w:r>
      <w:r>
        <w:tab/>
        <w:t xml:space="preserve">In conducting a special inquiry the Commissioner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Commissioner considers appropriate; and</w:t>
      </w:r>
    </w:p>
    <w:p>
      <w:pPr>
        <w:pStyle w:val="Indenta"/>
      </w:pPr>
      <w:r>
        <w:tab/>
        <w:t>(c)</w:t>
      </w:r>
      <w:r>
        <w:tab/>
        <w:t>may receive written or oral submissions; and</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173" w:name="_Toc33434379"/>
      <w:bookmarkStart w:id="174" w:name="_Toc375053431"/>
      <w:bookmarkStart w:id="175" w:name="_Toc462412947"/>
      <w:r>
        <w:rPr>
          <w:rStyle w:val="CharSectno"/>
        </w:rPr>
        <w:t>32</w:t>
      </w:r>
      <w:r>
        <w:t>.</w:t>
      </w:r>
      <w:r>
        <w:tab/>
        <w:t>Hearings for special inquiry</w:t>
      </w:r>
      <w:bookmarkEnd w:id="173"/>
      <w:bookmarkEnd w:id="174"/>
      <w:bookmarkEnd w:id="175"/>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176" w:name="_Toc33434380"/>
      <w:bookmarkStart w:id="177" w:name="_Toc375053432"/>
      <w:bookmarkStart w:id="178" w:name="_Toc462412948"/>
      <w:r>
        <w:rPr>
          <w:rStyle w:val="CharSectno"/>
        </w:rPr>
        <w:t>33</w:t>
      </w:r>
      <w:r>
        <w:t>.</w:t>
      </w:r>
      <w:r>
        <w:tab/>
        <w:t>Powers for special inquiry</w:t>
      </w:r>
      <w:bookmarkEnd w:id="176"/>
      <w:bookmarkEnd w:id="177"/>
      <w:bookmarkEnd w:id="178"/>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 and</w:t>
      </w:r>
    </w:p>
    <w:p>
      <w:pPr>
        <w:pStyle w:val="Indenta"/>
      </w:pPr>
      <w:r>
        <w:tab/>
        <w:t>(b)</w:t>
      </w:r>
      <w:r>
        <w:tab/>
        <w:t>by notice in writing require any person to produce at a place and time specified in the notice any document that is in the possession or under the control of that person; and</w:t>
      </w:r>
    </w:p>
    <w:p>
      <w:pPr>
        <w:pStyle w:val="Indenta"/>
      </w:pPr>
      <w:r>
        <w:tab/>
        <w:t>(c)</w:t>
      </w:r>
      <w:r>
        <w:tab/>
        <w:t>inspect any document produced and retain it for such reasonable period as the Commissioner thinks fit, and make copies of it or any of its contents; and</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179" w:name="_Toc33434381"/>
      <w:bookmarkStart w:id="180" w:name="_Toc375053433"/>
      <w:bookmarkStart w:id="181" w:name="_Toc462412949"/>
      <w:r>
        <w:rPr>
          <w:rStyle w:val="CharSectno"/>
        </w:rPr>
        <w:t>34</w:t>
      </w:r>
      <w:r>
        <w:t>.</w:t>
      </w:r>
      <w:r>
        <w:tab/>
        <w:t>Failure to comply with s. 33 notice etc.</w:t>
      </w:r>
      <w:bookmarkEnd w:id="179"/>
      <w:bookmarkEnd w:id="180"/>
      <w:bookmarkEnd w:id="181"/>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182" w:name="_Toc33434382"/>
      <w:bookmarkStart w:id="183" w:name="_Toc375053434"/>
      <w:bookmarkStart w:id="184" w:name="_Toc462412950"/>
      <w:r>
        <w:rPr>
          <w:rStyle w:val="CharSectno"/>
        </w:rPr>
        <w:t>35</w:t>
      </w:r>
      <w:r>
        <w:t>.</w:t>
      </w:r>
      <w:r>
        <w:tab/>
        <w:t>Incriminating answers or documents</w:t>
      </w:r>
      <w:bookmarkEnd w:id="182"/>
      <w:bookmarkEnd w:id="183"/>
      <w:bookmarkEnd w:id="184"/>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185" w:name="_Toc33434383"/>
      <w:bookmarkStart w:id="186" w:name="_Toc375053435"/>
      <w:bookmarkStart w:id="187" w:name="_Toc462412951"/>
      <w:r>
        <w:rPr>
          <w:rStyle w:val="CharSectno"/>
        </w:rPr>
        <w:t>36</w:t>
      </w:r>
      <w:r>
        <w:t>.</w:t>
      </w:r>
      <w:r>
        <w:tab/>
        <w:t>Legal professional privilege</w:t>
      </w:r>
      <w:bookmarkEnd w:id="185"/>
      <w:bookmarkEnd w:id="186"/>
      <w:bookmarkEnd w:id="187"/>
    </w:p>
    <w:p>
      <w:pPr>
        <w:pStyle w:val="Subsection"/>
        <w:spacing w:before="180"/>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spacing w:before="180"/>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spacing w:before="180"/>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spacing w:before="180"/>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188" w:name="_Toc33434384"/>
      <w:bookmarkStart w:id="189" w:name="_Toc375053436"/>
      <w:bookmarkStart w:id="190" w:name="_Toc462412952"/>
      <w:r>
        <w:rPr>
          <w:rStyle w:val="CharSectno"/>
        </w:rPr>
        <w:t>37</w:t>
      </w:r>
      <w:r>
        <w:t>.</w:t>
      </w:r>
      <w:r>
        <w:tab/>
        <w:t>Entry to places for special inquiry, powers for</w:t>
      </w:r>
      <w:bookmarkEnd w:id="188"/>
      <w:bookmarkEnd w:id="189"/>
      <w:bookmarkEnd w:id="190"/>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keepNext/>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191" w:name="_Toc33434385"/>
      <w:bookmarkStart w:id="192" w:name="_Toc375053437"/>
      <w:bookmarkStart w:id="193" w:name="_Toc462412953"/>
      <w:r>
        <w:rPr>
          <w:rStyle w:val="CharSectno"/>
        </w:rPr>
        <w:t>38</w:t>
      </w:r>
      <w:r>
        <w:t>.</w:t>
      </w:r>
      <w:r>
        <w:tab/>
        <w:t>Warrants to enter places</w:t>
      </w:r>
      <w:bookmarkEnd w:id="191"/>
      <w:bookmarkEnd w:id="192"/>
      <w:bookmarkEnd w:id="193"/>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194" w:name="_Toc33434386"/>
      <w:bookmarkStart w:id="195" w:name="_Toc375053438"/>
      <w:bookmarkStart w:id="196" w:name="_Toc462412954"/>
      <w:r>
        <w:rPr>
          <w:rStyle w:val="CharSectno"/>
        </w:rPr>
        <w:t>39</w:t>
      </w:r>
      <w:r>
        <w:t>.</w:t>
      </w:r>
      <w:r>
        <w:tab/>
        <w:t>Disruption of special inquiry</w:t>
      </w:r>
      <w:bookmarkEnd w:id="194"/>
      <w:bookmarkEnd w:id="195"/>
      <w:bookmarkEnd w:id="196"/>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197" w:name="_Toc33434387"/>
      <w:bookmarkStart w:id="198" w:name="_Toc375053439"/>
      <w:bookmarkStart w:id="199" w:name="_Toc462412955"/>
      <w:r>
        <w:rPr>
          <w:rStyle w:val="CharSectno"/>
        </w:rPr>
        <w:t>40</w:t>
      </w:r>
      <w:r>
        <w:t>.</w:t>
      </w:r>
      <w:r>
        <w:tab/>
        <w:t>False information</w:t>
      </w:r>
      <w:bookmarkEnd w:id="197"/>
      <w:bookmarkEnd w:id="198"/>
      <w:bookmarkEnd w:id="199"/>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200" w:name="_Toc33434388"/>
      <w:bookmarkStart w:id="201" w:name="_Toc375053440"/>
      <w:bookmarkStart w:id="202" w:name="_Toc462412956"/>
      <w:r>
        <w:rPr>
          <w:rStyle w:val="CharSectno"/>
        </w:rPr>
        <w:t>41</w:t>
      </w:r>
      <w:r>
        <w:t>.</w:t>
      </w:r>
      <w:r>
        <w:tab/>
        <w:t>Protection from liability for giving information etc.</w:t>
      </w:r>
      <w:bookmarkEnd w:id="200"/>
      <w:bookmarkEnd w:id="201"/>
      <w:bookmarkEnd w:id="202"/>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203" w:name="_Toc32418684"/>
      <w:bookmarkStart w:id="204" w:name="_Toc32418767"/>
      <w:bookmarkStart w:id="205" w:name="_Toc32498535"/>
      <w:bookmarkStart w:id="206" w:name="_Toc33434389"/>
      <w:bookmarkStart w:id="207" w:name="_Toc375053441"/>
      <w:bookmarkStart w:id="208" w:name="_Toc415491596"/>
      <w:bookmarkStart w:id="209" w:name="_Toc415491677"/>
      <w:bookmarkStart w:id="210" w:name="_Toc462412957"/>
      <w:r>
        <w:rPr>
          <w:rStyle w:val="CharPartNo"/>
        </w:rPr>
        <w:t>Part 6</w:t>
      </w:r>
      <w:r>
        <w:t> — </w:t>
      </w:r>
      <w:r>
        <w:rPr>
          <w:rStyle w:val="CharPartText"/>
        </w:rPr>
        <w:t>Reporting</w:t>
      </w:r>
      <w:bookmarkEnd w:id="203"/>
      <w:bookmarkEnd w:id="204"/>
      <w:bookmarkEnd w:id="205"/>
      <w:bookmarkEnd w:id="206"/>
      <w:bookmarkEnd w:id="207"/>
      <w:bookmarkEnd w:id="208"/>
      <w:bookmarkEnd w:id="209"/>
      <w:bookmarkEnd w:id="210"/>
    </w:p>
    <w:p>
      <w:pPr>
        <w:pStyle w:val="Heading3"/>
      </w:pPr>
      <w:bookmarkStart w:id="211" w:name="_Toc32418685"/>
      <w:bookmarkStart w:id="212" w:name="_Toc32418768"/>
      <w:bookmarkStart w:id="213" w:name="_Toc32498536"/>
      <w:bookmarkStart w:id="214" w:name="_Toc33434390"/>
      <w:bookmarkStart w:id="215" w:name="_Toc375053442"/>
      <w:bookmarkStart w:id="216" w:name="_Toc415491597"/>
      <w:bookmarkStart w:id="217" w:name="_Toc415491678"/>
      <w:bookmarkStart w:id="218" w:name="_Toc462412958"/>
      <w:r>
        <w:rPr>
          <w:rStyle w:val="CharDivNo"/>
        </w:rPr>
        <w:t>Division 1</w:t>
      </w:r>
      <w:r>
        <w:t> — </w:t>
      </w:r>
      <w:r>
        <w:rPr>
          <w:rStyle w:val="CharDivText"/>
        </w:rPr>
        <w:t>Reports</w:t>
      </w:r>
      <w:bookmarkEnd w:id="211"/>
      <w:bookmarkEnd w:id="212"/>
      <w:bookmarkEnd w:id="213"/>
      <w:bookmarkEnd w:id="214"/>
      <w:bookmarkEnd w:id="215"/>
      <w:bookmarkEnd w:id="216"/>
      <w:bookmarkEnd w:id="217"/>
      <w:bookmarkEnd w:id="218"/>
    </w:p>
    <w:p>
      <w:pPr>
        <w:pStyle w:val="Heading5"/>
      </w:pPr>
      <w:bookmarkStart w:id="219" w:name="_Toc33434391"/>
      <w:bookmarkStart w:id="220" w:name="_Toc375053443"/>
      <w:bookmarkStart w:id="221" w:name="_Toc462412959"/>
      <w:r>
        <w:rPr>
          <w:rStyle w:val="CharSectno"/>
        </w:rPr>
        <w:t>42</w:t>
      </w:r>
      <w:r>
        <w:t>.</w:t>
      </w:r>
      <w:r>
        <w:tab/>
        <w:t>Annual reports</w:t>
      </w:r>
      <w:bookmarkEnd w:id="219"/>
      <w:bookmarkEnd w:id="220"/>
      <w:bookmarkEnd w:id="221"/>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w:t>
      </w:r>
      <w:del w:id="222" w:author="svcMRProcess" w:date="2020-02-24T11:23:00Z">
        <w:r>
          <w:delText xml:space="preserve"> by</w:delText>
        </w:r>
      </w:del>
      <w:ins w:id="223" w:author="svcMRProcess" w:date="2020-02-24T11:23:00Z">
        <w:r>
          <w:t>:</w:t>
        </w:r>
      </w:ins>
      <w:r>
        <w:t xml:space="preserve"> No. 77 of 2006 Sch. 1 cl. 27.]</w:t>
      </w:r>
    </w:p>
    <w:p>
      <w:pPr>
        <w:pStyle w:val="Heading5"/>
        <w:rPr>
          <w:b w:val="0"/>
          <w:i/>
        </w:rPr>
      </w:pPr>
      <w:bookmarkStart w:id="224" w:name="_Toc33434392"/>
      <w:bookmarkStart w:id="225" w:name="_Toc375053444"/>
      <w:bookmarkStart w:id="226" w:name="_Toc462412960"/>
      <w:r>
        <w:rPr>
          <w:rStyle w:val="CharSectno"/>
        </w:rPr>
        <w:t>43</w:t>
      </w:r>
      <w:r>
        <w:t>.</w:t>
      </w:r>
      <w:r>
        <w:tab/>
        <w:t>Reports on special inquiries</w:t>
      </w:r>
      <w:bookmarkEnd w:id="224"/>
      <w:bookmarkEnd w:id="225"/>
      <w:bookmarkEnd w:id="226"/>
    </w:p>
    <w:p>
      <w:pPr>
        <w:pStyle w:val="Subsection"/>
      </w:pPr>
      <w:r>
        <w:tab/>
      </w:r>
      <w:r>
        <w:tab/>
        <w:t>The Commissioner must, as soon as practicable after the conclusion of a special inquiry under Part 5, prepare a report on the findings of the inquiry.</w:t>
      </w:r>
    </w:p>
    <w:p>
      <w:pPr>
        <w:pStyle w:val="Heading5"/>
      </w:pPr>
      <w:bookmarkStart w:id="227" w:name="_Toc33434393"/>
      <w:bookmarkStart w:id="228" w:name="_Toc375053445"/>
      <w:bookmarkStart w:id="229" w:name="_Toc462412961"/>
      <w:r>
        <w:rPr>
          <w:rStyle w:val="CharSectno"/>
        </w:rPr>
        <w:t>44</w:t>
      </w:r>
      <w:r>
        <w:t>.</w:t>
      </w:r>
      <w:r>
        <w:tab/>
        <w:t>Reports on other matters</w:t>
      </w:r>
      <w:bookmarkEnd w:id="227"/>
      <w:bookmarkEnd w:id="228"/>
      <w:bookmarkEnd w:id="229"/>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230" w:name="_Toc32418689"/>
      <w:bookmarkStart w:id="231" w:name="_Toc32418772"/>
      <w:bookmarkStart w:id="232" w:name="_Toc32498540"/>
      <w:bookmarkStart w:id="233" w:name="_Toc33434394"/>
      <w:bookmarkStart w:id="234" w:name="_Toc375053446"/>
      <w:bookmarkStart w:id="235" w:name="_Toc415491601"/>
      <w:bookmarkStart w:id="236" w:name="_Toc415491682"/>
      <w:bookmarkStart w:id="237" w:name="_Toc462412962"/>
      <w:r>
        <w:rPr>
          <w:rStyle w:val="CharDivNo"/>
        </w:rPr>
        <w:t>Division 2</w:t>
      </w:r>
      <w:r>
        <w:t> — </w:t>
      </w:r>
      <w:r>
        <w:rPr>
          <w:rStyle w:val="CharDivText"/>
        </w:rPr>
        <w:t>General provisions</w:t>
      </w:r>
      <w:bookmarkEnd w:id="230"/>
      <w:bookmarkEnd w:id="231"/>
      <w:bookmarkEnd w:id="232"/>
      <w:bookmarkEnd w:id="233"/>
      <w:bookmarkEnd w:id="234"/>
      <w:bookmarkEnd w:id="235"/>
      <w:bookmarkEnd w:id="236"/>
      <w:bookmarkEnd w:id="237"/>
    </w:p>
    <w:p>
      <w:pPr>
        <w:pStyle w:val="Heading5"/>
      </w:pPr>
      <w:bookmarkStart w:id="238" w:name="_Toc33434395"/>
      <w:bookmarkStart w:id="239" w:name="_Toc375053447"/>
      <w:bookmarkStart w:id="240" w:name="_Toc462412963"/>
      <w:r>
        <w:rPr>
          <w:rStyle w:val="CharSectno"/>
        </w:rPr>
        <w:t>45</w:t>
      </w:r>
      <w:r>
        <w:t>.</w:t>
      </w:r>
      <w:r>
        <w:tab/>
        <w:t>Term used: report</w:t>
      </w:r>
      <w:bookmarkEnd w:id="238"/>
      <w:bookmarkEnd w:id="239"/>
      <w:bookmarkEnd w:id="240"/>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241" w:name="_Toc33434396"/>
      <w:bookmarkStart w:id="242" w:name="_Toc375053448"/>
      <w:bookmarkStart w:id="243" w:name="_Toc462412964"/>
      <w:r>
        <w:rPr>
          <w:rStyle w:val="CharSectno"/>
        </w:rPr>
        <w:t>46</w:t>
      </w:r>
      <w:r>
        <w:t>.</w:t>
      </w:r>
      <w:r>
        <w:tab/>
        <w:t>Recommendations, report may include</w:t>
      </w:r>
      <w:bookmarkEnd w:id="241"/>
      <w:bookmarkEnd w:id="242"/>
      <w:bookmarkEnd w:id="243"/>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244" w:name="_Toc33434397"/>
      <w:bookmarkStart w:id="245" w:name="_Toc375053449"/>
      <w:bookmarkStart w:id="246" w:name="_Toc462412965"/>
      <w:r>
        <w:rPr>
          <w:rStyle w:val="CharSectno"/>
        </w:rPr>
        <w:t>47</w:t>
      </w:r>
      <w:r>
        <w:t>.</w:t>
      </w:r>
      <w:r>
        <w:tab/>
        <w:t>Adverse matters in report</w:t>
      </w:r>
      <w:bookmarkEnd w:id="244"/>
      <w:bookmarkEnd w:id="245"/>
      <w:bookmarkEnd w:id="246"/>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247" w:name="_Toc33434398"/>
      <w:bookmarkStart w:id="248" w:name="_Toc375053450"/>
      <w:bookmarkStart w:id="249" w:name="_Toc462412966"/>
      <w:r>
        <w:rPr>
          <w:rStyle w:val="CharSectno"/>
        </w:rPr>
        <w:t>48</w:t>
      </w:r>
      <w:r>
        <w:t>.</w:t>
      </w:r>
      <w:r>
        <w:tab/>
        <w:t>Minister to be given and may comment on etc. draft reports</w:t>
      </w:r>
      <w:bookmarkEnd w:id="247"/>
      <w:bookmarkEnd w:id="248"/>
      <w:bookmarkEnd w:id="249"/>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250" w:name="_Toc33434399"/>
      <w:bookmarkStart w:id="251" w:name="_Toc375053451"/>
      <w:bookmarkStart w:id="252" w:name="_Toc462412967"/>
      <w:r>
        <w:rPr>
          <w:rStyle w:val="CharSectno"/>
        </w:rPr>
        <w:t>49</w:t>
      </w:r>
      <w:r>
        <w:t>.</w:t>
      </w:r>
      <w:r>
        <w:tab/>
        <w:t>Reports to be laid before Parliament</w:t>
      </w:r>
      <w:bookmarkEnd w:id="250"/>
      <w:bookmarkEnd w:id="251"/>
      <w:bookmarkEnd w:id="252"/>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253" w:name="_Toc33434400"/>
      <w:bookmarkStart w:id="254" w:name="_Toc375053452"/>
      <w:bookmarkStart w:id="255" w:name="_Toc462412968"/>
      <w:r>
        <w:rPr>
          <w:rStyle w:val="CharSectno"/>
        </w:rPr>
        <w:t>50</w:t>
      </w:r>
      <w:r>
        <w:t>.</w:t>
      </w:r>
      <w:r>
        <w:tab/>
        <w:t>Publication of reports</w:t>
      </w:r>
      <w:bookmarkEnd w:id="253"/>
      <w:bookmarkEnd w:id="254"/>
      <w:bookmarkEnd w:id="255"/>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256" w:name="_Toc32418696"/>
      <w:bookmarkStart w:id="257" w:name="_Toc32418779"/>
      <w:bookmarkStart w:id="258" w:name="_Toc32498547"/>
      <w:bookmarkStart w:id="259" w:name="_Toc33434401"/>
      <w:bookmarkStart w:id="260" w:name="_Toc375053453"/>
      <w:bookmarkStart w:id="261" w:name="_Toc415491608"/>
      <w:bookmarkStart w:id="262" w:name="_Toc415491689"/>
      <w:bookmarkStart w:id="263" w:name="_Toc462412969"/>
      <w:r>
        <w:rPr>
          <w:rStyle w:val="CharPartNo"/>
        </w:rPr>
        <w:t>Part 7</w:t>
      </w:r>
      <w:r>
        <w:rPr>
          <w:rStyle w:val="CharDivNo"/>
        </w:rPr>
        <w:t> </w:t>
      </w:r>
      <w:r>
        <w:t>—</w:t>
      </w:r>
      <w:r>
        <w:rPr>
          <w:rStyle w:val="CharDivText"/>
        </w:rPr>
        <w:t> </w:t>
      </w:r>
      <w:r>
        <w:rPr>
          <w:rStyle w:val="CharPartText"/>
        </w:rPr>
        <w:t>Standing Committee</w:t>
      </w:r>
      <w:bookmarkEnd w:id="256"/>
      <w:bookmarkEnd w:id="257"/>
      <w:bookmarkEnd w:id="258"/>
      <w:bookmarkEnd w:id="259"/>
      <w:bookmarkEnd w:id="260"/>
      <w:bookmarkEnd w:id="261"/>
      <w:bookmarkEnd w:id="262"/>
      <w:bookmarkEnd w:id="263"/>
    </w:p>
    <w:p>
      <w:pPr>
        <w:pStyle w:val="Heading5"/>
      </w:pPr>
      <w:bookmarkStart w:id="264" w:name="_Toc33434402"/>
      <w:bookmarkStart w:id="265" w:name="_Toc375053454"/>
      <w:bookmarkStart w:id="266" w:name="_Toc462412970"/>
      <w:r>
        <w:rPr>
          <w:rStyle w:val="CharSectno"/>
        </w:rPr>
        <w:t>51</w:t>
      </w:r>
      <w:r>
        <w:t>.</w:t>
      </w:r>
      <w:r>
        <w:tab/>
        <w:t>Parliament to establish joint standing committee</w:t>
      </w:r>
      <w:bookmarkEnd w:id="264"/>
      <w:bookmarkEnd w:id="265"/>
      <w:bookmarkEnd w:id="266"/>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267" w:name="_Toc32418698"/>
      <w:bookmarkStart w:id="268" w:name="_Toc32418781"/>
      <w:bookmarkStart w:id="269" w:name="_Toc32498549"/>
      <w:bookmarkStart w:id="270" w:name="_Toc33434403"/>
      <w:bookmarkStart w:id="271" w:name="_Toc375053455"/>
      <w:bookmarkStart w:id="272" w:name="_Toc415491610"/>
      <w:bookmarkStart w:id="273" w:name="_Toc415491691"/>
      <w:bookmarkStart w:id="274" w:name="_Toc462412971"/>
      <w:r>
        <w:rPr>
          <w:rStyle w:val="CharPartNo"/>
        </w:rPr>
        <w:t>Part 8</w:t>
      </w:r>
      <w:r>
        <w:rPr>
          <w:rStyle w:val="CharDivNo"/>
        </w:rPr>
        <w:t> </w:t>
      </w:r>
      <w:r>
        <w:t>—</w:t>
      </w:r>
      <w:r>
        <w:rPr>
          <w:rStyle w:val="CharDivText"/>
        </w:rPr>
        <w:t> </w:t>
      </w:r>
      <w:r>
        <w:rPr>
          <w:rStyle w:val="CharPartText"/>
        </w:rPr>
        <w:t>Advisory committees</w:t>
      </w:r>
      <w:bookmarkEnd w:id="267"/>
      <w:bookmarkEnd w:id="268"/>
      <w:bookmarkEnd w:id="269"/>
      <w:bookmarkEnd w:id="270"/>
      <w:bookmarkEnd w:id="271"/>
      <w:bookmarkEnd w:id="272"/>
      <w:bookmarkEnd w:id="273"/>
      <w:bookmarkEnd w:id="274"/>
    </w:p>
    <w:p>
      <w:pPr>
        <w:pStyle w:val="Heading5"/>
      </w:pPr>
      <w:bookmarkStart w:id="275" w:name="_Toc33434404"/>
      <w:bookmarkStart w:id="276" w:name="_Toc375053456"/>
      <w:bookmarkStart w:id="277" w:name="_Toc462412972"/>
      <w:r>
        <w:rPr>
          <w:rStyle w:val="CharSectno"/>
        </w:rPr>
        <w:t>52</w:t>
      </w:r>
      <w:r>
        <w:t>.</w:t>
      </w:r>
      <w:r>
        <w:tab/>
        <w:t>Establishment etc. of advisory committees</w:t>
      </w:r>
      <w:bookmarkEnd w:id="275"/>
      <w:bookmarkEnd w:id="276"/>
      <w:bookmarkEnd w:id="277"/>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r>
        <w:tab/>
        <w:t>[Section 52 amended</w:t>
      </w:r>
      <w:del w:id="278" w:author="svcMRProcess" w:date="2020-02-24T11:23:00Z">
        <w:r>
          <w:delText xml:space="preserve"> by</w:delText>
        </w:r>
      </w:del>
      <w:ins w:id="279" w:author="svcMRProcess" w:date="2020-02-24T11:23:00Z">
        <w:r>
          <w:t>:</w:t>
        </w:r>
      </w:ins>
      <w:r>
        <w:t xml:space="preserve"> No. 46 of 2009 s. 5(5).]</w:t>
      </w:r>
    </w:p>
    <w:p>
      <w:pPr>
        <w:pStyle w:val="Ednotesection"/>
      </w:pPr>
      <w:r>
        <w:t>[</w:t>
      </w:r>
      <w:r>
        <w:rPr>
          <w:b/>
          <w:bCs/>
        </w:rPr>
        <w:t>53.</w:t>
      </w:r>
      <w:r>
        <w:tab/>
        <w:t>Deleted</w:t>
      </w:r>
      <w:del w:id="280" w:author="svcMRProcess" w:date="2020-02-24T11:23:00Z">
        <w:r>
          <w:delText xml:space="preserve"> by</w:delText>
        </w:r>
      </w:del>
      <w:ins w:id="281" w:author="svcMRProcess" w:date="2020-02-24T11:23:00Z">
        <w:r>
          <w:t>:</w:t>
        </w:r>
      </w:ins>
      <w:r>
        <w:t xml:space="preserve"> No. 46 of 2009 s. 5(4).]</w:t>
      </w:r>
    </w:p>
    <w:p>
      <w:pPr>
        <w:pStyle w:val="Heading5"/>
      </w:pPr>
      <w:bookmarkStart w:id="282" w:name="_Toc33434405"/>
      <w:bookmarkStart w:id="283" w:name="_Toc375053457"/>
      <w:bookmarkStart w:id="284" w:name="_Toc462412973"/>
      <w:r>
        <w:rPr>
          <w:rStyle w:val="CharSectno"/>
        </w:rPr>
        <w:t>54</w:t>
      </w:r>
      <w:r>
        <w:t>.</w:t>
      </w:r>
      <w:r>
        <w:tab/>
        <w:t>Functions</w:t>
      </w:r>
      <w:bookmarkEnd w:id="282"/>
      <w:bookmarkEnd w:id="283"/>
      <w:bookmarkEnd w:id="284"/>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r>
        <w:tab/>
        <w:t>[Section 54 amended</w:t>
      </w:r>
      <w:del w:id="285" w:author="svcMRProcess" w:date="2020-02-24T11:23:00Z">
        <w:r>
          <w:delText xml:space="preserve"> by</w:delText>
        </w:r>
      </w:del>
      <w:ins w:id="286" w:author="svcMRProcess" w:date="2020-02-24T11:23:00Z">
        <w:r>
          <w:t>:</w:t>
        </w:r>
      </w:ins>
      <w:r>
        <w:t xml:space="preserve"> No. 46 of 2009 s. 5(5).]</w:t>
      </w:r>
    </w:p>
    <w:p>
      <w:pPr>
        <w:pStyle w:val="Heading5"/>
      </w:pPr>
      <w:bookmarkStart w:id="287" w:name="_Toc33434406"/>
      <w:bookmarkStart w:id="288" w:name="_Toc375053458"/>
      <w:bookmarkStart w:id="289" w:name="_Toc462412974"/>
      <w:r>
        <w:rPr>
          <w:rStyle w:val="CharSectno"/>
        </w:rPr>
        <w:t>55</w:t>
      </w:r>
      <w:r>
        <w:t>.</w:t>
      </w:r>
      <w:r>
        <w:tab/>
        <w:t>Procedures</w:t>
      </w:r>
      <w:bookmarkEnd w:id="287"/>
      <w:bookmarkEnd w:id="288"/>
      <w:bookmarkEnd w:id="289"/>
    </w:p>
    <w:p>
      <w:pPr>
        <w:pStyle w:val="Subsection"/>
      </w:pPr>
      <w:r>
        <w:tab/>
      </w:r>
      <w:r>
        <w:tab/>
        <w:t>Subject to any direction of the Commissioner, an advisory committee may determine its own procedures.</w:t>
      </w:r>
    </w:p>
    <w:p>
      <w:pPr>
        <w:pStyle w:val="Heading5"/>
      </w:pPr>
      <w:bookmarkStart w:id="290" w:name="_Toc33434407"/>
      <w:bookmarkStart w:id="291" w:name="_Toc375053459"/>
      <w:bookmarkStart w:id="292" w:name="_Toc462412975"/>
      <w:r>
        <w:rPr>
          <w:rStyle w:val="CharSectno"/>
        </w:rPr>
        <w:t>56</w:t>
      </w:r>
      <w:r>
        <w:t>.</w:t>
      </w:r>
      <w:r>
        <w:tab/>
        <w:t>Remuneration and allowances</w:t>
      </w:r>
      <w:bookmarkEnd w:id="290"/>
      <w:bookmarkEnd w:id="291"/>
      <w:bookmarkEnd w:id="292"/>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w:t>
      </w:r>
      <w:del w:id="293" w:author="svcMRProcess" w:date="2020-02-24T11:23:00Z">
        <w:r>
          <w:delText xml:space="preserve"> by</w:delText>
        </w:r>
      </w:del>
      <w:ins w:id="294" w:author="svcMRProcess" w:date="2020-02-24T11:23:00Z">
        <w:r>
          <w:t>:</w:t>
        </w:r>
      </w:ins>
      <w:r>
        <w:t xml:space="preserve"> No. 39 of 2010 s. 89.]</w:t>
      </w:r>
    </w:p>
    <w:p>
      <w:pPr>
        <w:pStyle w:val="Heading2"/>
      </w:pPr>
      <w:bookmarkStart w:id="295" w:name="_Toc32418703"/>
      <w:bookmarkStart w:id="296" w:name="_Toc32418786"/>
      <w:bookmarkStart w:id="297" w:name="_Toc32498554"/>
      <w:bookmarkStart w:id="298" w:name="_Toc33434408"/>
      <w:bookmarkStart w:id="299" w:name="_Toc375053460"/>
      <w:bookmarkStart w:id="300" w:name="_Toc415491615"/>
      <w:bookmarkStart w:id="301" w:name="_Toc415491696"/>
      <w:bookmarkStart w:id="302" w:name="_Toc462412976"/>
      <w:r>
        <w:rPr>
          <w:rStyle w:val="CharPartNo"/>
        </w:rPr>
        <w:t>Part 9</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p>
    <w:p>
      <w:pPr>
        <w:pStyle w:val="Heading5"/>
      </w:pPr>
      <w:bookmarkStart w:id="303" w:name="_Toc33434409"/>
      <w:bookmarkStart w:id="304" w:name="_Toc375053461"/>
      <w:bookmarkStart w:id="305" w:name="_Toc462412977"/>
      <w:r>
        <w:rPr>
          <w:rStyle w:val="CharSectno"/>
        </w:rPr>
        <w:t>57</w:t>
      </w:r>
      <w:r>
        <w:t>.</w:t>
      </w:r>
      <w:r>
        <w:tab/>
        <w:t>Recommendations by Standing Committee</w:t>
      </w:r>
      <w:bookmarkEnd w:id="303"/>
      <w:bookmarkEnd w:id="304"/>
      <w:bookmarkEnd w:id="305"/>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306" w:name="_Toc33434410"/>
      <w:bookmarkStart w:id="307" w:name="_Toc375053462"/>
      <w:bookmarkStart w:id="308" w:name="_Toc462412978"/>
      <w:r>
        <w:rPr>
          <w:rStyle w:val="CharSectno"/>
        </w:rPr>
        <w:t>58</w:t>
      </w:r>
      <w:r>
        <w:t>.</w:t>
      </w:r>
      <w:r>
        <w:tab/>
        <w:t>Obstruction</w:t>
      </w:r>
      <w:bookmarkEnd w:id="306"/>
      <w:bookmarkEnd w:id="307"/>
      <w:bookmarkEnd w:id="308"/>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309" w:name="_Toc33434411"/>
      <w:bookmarkStart w:id="310" w:name="_Toc375053463"/>
      <w:bookmarkStart w:id="311" w:name="_Toc462412979"/>
      <w:r>
        <w:rPr>
          <w:rStyle w:val="CharSectno"/>
        </w:rPr>
        <w:t>59</w:t>
      </w:r>
      <w:r>
        <w:t>.</w:t>
      </w:r>
      <w:r>
        <w:tab/>
        <w:t>Protection from personal liability</w:t>
      </w:r>
      <w:bookmarkEnd w:id="309"/>
      <w:bookmarkEnd w:id="310"/>
      <w:bookmarkEnd w:id="311"/>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12" w:name="_Toc33434412"/>
      <w:bookmarkStart w:id="313" w:name="_Toc375053464"/>
      <w:bookmarkStart w:id="314" w:name="_Toc462412980"/>
      <w:r>
        <w:rPr>
          <w:rStyle w:val="CharSectno"/>
        </w:rPr>
        <w:t>60</w:t>
      </w:r>
      <w:r>
        <w:t>.</w:t>
      </w:r>
      <w:r>
        <w:tab/>
        <w:t>Disclosure etc. of information obtained under Act restricted</w:t>
      </w:r>
      <w:bookmarkEnd w:id="312"/>
      <w:bookmarkEnd w:id="313"/>
      <w:bookmarkEnd w:id="314"/>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 xml:space="preserve">as required or allowed under this Act, the </w:t>
      </w:r>
      <w:r>
        <w:rPr>
          <w:i/>
        </w:rPr>
        <w:t>Public Interest Disclosure Act 2003</w:t>
      </w:r>
      <w:r>
        <w:t xml:space="preserve">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315" w:name="_Toc33434413"/>
      <w:bookmarkStart w:id="316" w:name="_Toc375053465"/>
      <w:bookmarkStart w:id="317" w:name="_Toc462412981"/>
      <w:r>
        <w:rPr>
          <w:rStyle w:val="CharSectno"/>
        </w:rPr>
        <w:t>61</w:t>
      </w:r>
      <w:r>
        <w:t>.</w:t>
      </w:r>
      <w:r>
        <w:tab/>
        <w:t>Supplementary provision for laying document before Parliament</w:t>
      </w:r>
      <w:bookmarkEnd w:id="315"/>
      <w:bookmarkEnd w:id="316"/>
      <w:bookmarkEnd w:id="31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keepNext/>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318" w:name="_Toc33434414"/>
      <w:bookmarkStart w:id="319" w:name="_Toc375053466"/>
      <w:bookmarkStart w:id="320" w:name="_Toc462412982"/>
      <w:r>
        <w:rPr>
          <w:rStyle w:val="CharSectno"/>
        </w:rPr>
        <w:t>62</w:t>
      </w:r>
      <w:r>
        <w:t>.</w:t>
      </w:r>
      <w:r>
        <w:tab/>
        <w:t>Cabinet proceedings, protection of</w:t>
      </w:r>
      <w:bookmarkEnd w:id="318"/>
      <w:bookmarkEnd w:id="319"/>
      <w:bookmarkEnd w:id="320"/>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321" w:name="_Toc33434415"/>
      <w:bookmarkStart w:id="322" w:name="_Toc375053467"/>
      <w:bookmarkStart w:id="323" w:name="_Toc462412983"/>
      <w:r>
        <w:rPr>
          <w:rStyle w:val="CharSectno"/>
        </w:rPr>
        <w:t>63</w:t>
      </w:r>
      <w:r>
        <w:t>.</w:t>
      </w:r>
      <w:r>
        <w:tab/>
        <w:t>Regulations</w:t>
      </w:r>
      <w:bookmarkEnd w:id="321"/>
      <w:bookmarkEnd w:id="322"/>
      <w:bookmarkEnd w:id="323"/>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324" w:name="_Toc33434416"/>
      <w:bookmarkStart w:id="325" w:name="_Toc375053468"/>
      <w:bookmarkStart w:id="326" w:name="_Toc462412984"/>
      <w:r>
        <w:rPr>
          <w:rStyle w:val="CharSectno"/>
        </w:rPr>
        <w:t>64</w:t>
      </w:r>
      <w:r>
        <w:t>.</w:t>
      </w:r>
      <w:r>
        <w:tab/>
        <w:t>Review of Act</w:t>
      </w:r>
      <w:bookmarkEnd w:id="324"/>
      <w:bookmarkEnd w:id="325"/>
      <w:bookmarkEnd w:id="326"/>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327" w:name="_Toc33434417"/>
      <w:bookmarkStart w:id="328" w:name="_Toc375053469"/>
      <w:bookmarkStart w:id="329" w:name="_Toc462412985"/>
      <w:r>
        <w:rPr>
          <w:rStyle w:val="CharSectno"/>
        </w:rPr>
        <w:t>65</w:t>
      </w:r>
      <w:r>
        <w:t>.</w:t>
      </w:r>
      <w:r>
        <w:tab/>
        <w:t>Consequential amendments</w:t>
      </w:r>
      <w:bookmarkEnd w:id="327"/>
      <w:bookmarkEnd w:id="328"/>
      <w:bookmarkEnd w:id="329"/>
    </w:p>
    <w:p>
      <w:pPr>
        <w:pStyle w:val="Subsection"/>
      </w:pPr>
      <w:r>
        <w:tab/>
      </w:r>
      <w:r>
        <w:tab/>
        <w:t>The Acts mentioned in Schedule 1 are amended as set out in that Schedule.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0" w:name="_Toc32418713"/>
      <w:bookmarkStart w:id="331" w:name="_Toc32418796"/>
      <w:bookmarkStart w:id="332" w:name="_Toc32498564"/>
      <w:bookmarkStart w:id="333" w:name="_Toc33434418"/>
      <w:bookmarkStart w:id="334" w:name="_Toc375053470"/>
      <w:bookmarkStart w:id="335" w:name="_Toc415491625"/>
      <w:bookmarkStart w:id="336" w:name="_Toc415491706"/>
      <w:bookmarkStart w:id="337" w:name="_Toc462412986"/>
      <w:r>
        <w:rPr>
          <w:rStyle w:val="CharSchNo"/>
        </w:rPr>
        <w:t>Schedule 1</w:t>
      </w:r>
      <w:r>
        <w:rPr>
          <w:rStyle w:val="CharSDivNo"/>
        </w:rPr>
        <w:t> </w:t>
      </w:r>
      <w:r>
        <w:t>—</w:t>
      </w:r>
      <w:r>
        <w:rPr>
          <w:rStyle w:val="CharSDivText"/>
        </w:rPr>
        <w:t> </w:t>
      </w:r>
      <w:r>
        <w:rPr>
          <w:rStyle w:val="CharSchText"/>
        </w:rPr>
        <w:t>Consequential amendments</w:t>
      </w:r>
      <w:bookmarkEnd w:id="330"/>
      <w:bookmarkEnd w:id="331"/>
      <w:bookmarkEnd w:id="332"/>
      <w:bookmarkEnd w:id="333"/>
      <w:bookmarkEnd w:id="334"/>
      <w:bookmarkEnd w:id="335"/>
      <w:bookmarkEnd w:id="336"/>
      <w:bookmarkEnd w:id="337"/>
    </w:p>
    <w:p>
      <w:pPr>
        <w:pStyle w:val="yShoulderClause"/>
      </w:pPr>
      <w:r>
        <w:t>[s. 65]</w:t>
      </w:r>
    </w:p>
    <w:p>
      <w:pPr>
        <w:pStyle w:val="MiscClose"/>
      </w:pPr>
    </w:p>
    <w:p>
      <w:pPr>
        <w:pStyle w:val="yEdnotesubsection"/>
      </w:pPr>
      <w:r>
        <w:t>[</w:t>
      </w:r>
      <w:r>
        <w:rPr>
          <w:b/>
        </w:rPr>
        <w:t>1.</w:t>
      </w:r>
      <w:r>
        <w:tab/>
      </w:r>
      <w:r>
        <w:tab/>
        <w:t>Omitted under the Reprints Act 1984 s. 7(4)(e).]</w:t>
      </w:r>
    </w:p>
    <w:p>
      <w:pPr>
        <w:pStyle w:val="yEdnotesubsection"/>
      </w:pPr>
      <w:r>
        <w:t>[</w:t>
      </w:r>
      <w:r>
        <w:rPr>
          <w:b/>
        </w:rPr>
        <w:t>2.</w:t>
      </w:r>
      <w:r>
        <w:tab/>
      </w:r>
      <w:r>
        <w:tab/>
        <w:t>Deleted</w:t>
      </w:r>
      <w:del w:id="338" w:author="svcMRProcess" w:date="2020-02-24T11:23:00Z">
        <w:r>
          <w:delText xml:space="preserve"> by</w:delText>
        </w:r>
      </w:del>
      <w:ins w:id="339" w:author="svcMRProcess" w:date="2020-02-24T11:23:00Z">
        <w:r>
          <w:t>:</w:t>
        </w:r>
      </w:ins>
      <w:r>
        <w:t xml:space="preserve"> No. 47 of 2011 s. 11 </w:t>
      </w:r>
      <w:del w:id="340" w:author="svcMRProcess" w:date="2020-02-24T11:23:00Z">
        <w:r>
          <w:rPr>
            <w:i w:val="0"/>
            <w:vertAlign w:val="superscript"/>
          </w:rPr>
          <w:delText>4</w:delText>
        </w:r>
      </w:del>
      <w:ins w:id="341" w:author="svcMRProcess" w:date="2020-02-24T11:23:00Z">
        <w:r>
          <w:rPr>
            <w:i w:val="0"/>
            <w:vertAlign w:val="superscript"/>
          </w:rPr>
          <w:t>3</w:t>
        </w:r>
      </w:ins>
      <w:r>
        <w:t>.]</w:t>
      </w:r>
    </w:p>
    <w:p>
      <w:pPr>
        <w:pStyle w:val="yFootnotesection"/>
        <w:rPr>
          <w:i w:val="0"/>
          <w:iCs/>
        </w:rPr>
      </w:pPr>
      <w:r>
        <w:t>[</w:t>
      </w:r>
      <w:r>
        <w:rPr>
          <w:b/>
          <w:bCs/>
        </w:rPr>
        <w:t>3.</w:t>
      </w:r>
      <w:r>
        <w:tab/>
        <w:t>Has not come into operation</w:t>
      </w:r>
      <w:del w:id="342" w:author="svcMRProcess" w:date="2020-02-24T11:23:00Z">
        <w:r>
          <w:rPr>
            <w:i w:val="0"/>
            <w:iCs/>
          </w:rPr>
          <w:delText xml:space="preserve"> </w:delText>
        </w:r>
        <w:r>
          <w:rPr>
            <w:i w:val="0"/>
            <w:iCs/>
            <w:vertAlign w:val="superscript"/>
          </w:rPr>
          <w:delText>5</w:delText>
        </w:r>
      </w:del>
      <w:r>
        <w:rPr>
          <w:i w:val="0"/>
          <w:iCs/>
        </w:rPr>
        <w:t>.</w:t>
      </w:r>
      <w:r>
        <w:t>]</w:t>
      </w:r>
    </w:p>
    <w:p>
      <w:pPr>
        <w:rPr>
          <w:del w:id="343" w:author="svcMRProcess" w:date="2020-02-24T11:23:00Z"/>
        </w:rPr>
      </w:pP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45" w:name="_Toc32418714"/>
      <w:bookmarkStart w:id="346" w:name="_Toc32418797"/>
      <w:bookmarkStart w:id="347" w:name="_Toc32498565"/>
      <w:bookmarkStart w:id="348" w:name="_Toc33434419"/>
      <w:bookmarkStart w:id="349" w:name="_Toc375053471"/>
      <w:bookmarkStart w:id="350" w:name="_Toc415491626"/>
      <w:bookmarkStart w:id="351" w:name="_Toc415491707"/>
      <w:bookmarkStart w:id="352" w:name="_Toc462412987"/>
      <w:r>
        <w:t>Notes</w:t>
      </w:r>
      <w:bookmarkEnd w:id="345"/>
      <w:bookmarkEnd w:id="346"/>
      <w:bookmarkEnd w:id="347"/>
      <w:bookmarkEnd w:id="348"/>
      <w:bookmarkEnd w:id="349"/>
      <w:bookmarkEnd w:id="350"/>
      <w:bookmarkEnd w:id="351"/>
      <w:bookmarkEnd w:id="352"/>
    </w:p>
    <w:p>
      <w:pPr>
        <w:pStyle w:val="nStatement"/>
      </w:pPr>
      <w:del w:id="353" w:author="svcMRProcess" w:date="2020-02-24T11:23:00Z">
        <w:r>
          <w:rPr>
            <w:snapToGrid w:val="0"/>
            <w:vertAlign w:val="superscript"/>
          </w:rPr>
          <w:delText>1</w:delText>
        </w:r>
        <w:r>
          <w:rPr>
            <w:snapToGrid w:val="0"/>
          </w:rPr>
          <w:tab/>
        </w:r>
      </w:del>
      <w:r>
        <w:t xml:space="preserve">This is a compilation of the </w:t>
      </w:r>
      <w:r>
        <w:rPr>
          <w:i/>
          <w:noProof/>
        </w:rPr>
        <w:t>Commissioner for Children and Young People Act</w:t>
      </w:r>
      <w:del w:id="354" w:author="svcMRProcess" w:date="2020-02-24T11:23:00Z">
        <w:r>
          <w:rPr>
            <w:i/>
            <w:noProof/>
            <w:snapToGrid w:val="0"/>
          </w:rPr>
          <w:delText xml:space="preserve"> </w:delText>
        </w:r>
      </w:del>
      <w:ins w:id="355" w:author="svcMRProcess" w:date="2020-02-24T11:23:00Z">
        <w:r>
          <w:rPr>
            <w:i/>
            <w:noProof/>
          </w:rPr>
          <w:t> </w:t>
        </w:r>
      </w:ins>
      <w:r>
        <w:rPr>
          <w:i/>
          <w:noProof/>
        </w:rPr>
        <w:t>2006</w:t>
      </w:r>
      <w:r>
        <w:t xml:space="preserve"> and includes </w:t>
      </w:r>
      <w:del w:id="356" w:author="svcMRProcess" w:date="2020-02-24T11:23:00Z">
        <w:r>
          <w:rPr>
            <w:snapToGrid w:val="0"/>
          </w:rPr>
          <w:delText xml:space="preserve">the </w:delText>
        </w:r>
      </w:del>
      <w:r>
        <w:t xml:space="preserve">amendments made by </w:t>
      </w:r>
      <w:del w:id="357" w:author="svcMRProcess" w:date="2020-02-24T11:23:00Z">
        <w:r>
          <w:rPr>
            <w:snapToGrid w:val="0"/>
          </w:rPr>
          <w:delText xml:space="preserve">the </w:delText>
        </w:r>
      </w:del>
      <w:r>
        <w:t>other written laws</w:t>
      </w:r>
      <w:del w:id="358" w:author="svcMRProcess" w:date="2020-02-24T11:23:00Z">
        <w:r>
          <w:rPr>
            <w:snapToGrid w:val="0"/>
          </w:rPr>
          <w:delText xml:space="preserve"> referred to in the following table</w:delText>
        </w:r>
        <w:r>
          <w:rPr>
            <w:iCs/>
            <w:snapToGrid w:val="0"/>
            <w:vertAlign w:val="superscript"/>
          </w:rPr>
          <w:delText xml:space="preserve"> 1a</w:delText>
        </w:r>
        <w:r>
          <w:rPr>
            <w:snapToGrid w:val="0"/>
          </w:rPr>
          <w:delText>.  The table also contains</w:delText>
        </w:r>
      </w:del>
      <w:ins w:id="359" w:author="svcMRProcess" w:date="2020-02-24T11:23:00Z">
        <w:r>
          <w:t>. For provisions that have come into operation, and for</w:t>
        </w:r>
      </w:ins>
      <w:r>
        <w:t xml:space="preserve"> information about any </w:t>
      </w:r>
      <w:del w:id="360" w:author="svcMRProcess" w:date="2020-02-24T11:23:00Z">
        <w:r>
          <w:rPr>
            <w:snapToGrid w:val="0"/>
          </w:rPr>
          <w:delText>reprint</w:delText>
        </w:r>
      </w:del>
      <w:ins w:id="361" w:author="svcMRProcess" w:date="2020-02-24T11:23:00Z">
        <w:r>
          <w:t>reprints, see the compilation table. For provisions that have not yet come into operation see the uncommenced provisions table</w:t>
        </w:r>
      </w:ins>
      <w:r>
        <w:t>.</w:t>
      </w:r>
    </w:p>
    <w:p>
      <w:pPr>
        <w:pStyle w:val="nHeading3"/>
      </w:pPr>
      <w:bookmarkStart w:id="362" w:name="_Toc33434420"/>
      <w:bookmarkStart w:id="363" w:name="_Toc375053472"/>
      <w:bookmarkStart w:id="364" w:name="_Toc462412988"/>
      <w:r>
        <w:t>Compilation table</w:t>
      </w:r>
      <w:bookmarkEnd w:id="362"/>
      <w:bookmarkEnd w:id="363"/>
      <w:bookmarkEnd w:id="3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65" w:author="svcMRProcess" w:date="2020-02-24T11:23:00Z">
              <w:r>
                <w:rPr>
                  <w:b/>
                </w:rPr>
                <w:delText xml:space="preserve"> </w:delText>
              </w:r>
            </w:del>
            <w:ins w:id="366" w:author="svcMRProcess" w:date="2020-02-24T11:2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iCs/>
              </w:rPr>
            </w:pPr>
            <w:r>
              <w:rPr>
                <w:i/>
                <w:snapToGrid w:val="0"/>
              </w:rPr>
              <w:t>Commissioner for Children and Young People Act 2006 </w:t>
            </w:r>
            <w:del w:id="367" w:author="svcMRProcess" w:date="2020-02-24T11:23:00Z">
              <w:r>
                <w:rPr>
                  <w:snapToGrid w:val="0"/>
                  <w:vertAlign w:val="superscript"/>
                </w:rPr>
                <w:delText>4, 5</w:delText>
              </w:r>
            </w:del>
            <w:ins w:id="368" w:author="svcMRProcess" w:date="2020-02-24T11:23:00Z">
              <w:r>
                <w:rPr>
                  <w:snapToGrid w:val="0"/>
                  <w:vertAlign w:val="superscript"/>
                </w:rPr>
                <w:t>3</w:t>
              </w:r>
            </w:ins>
          </w:p>
        </w:tc>
        <w:tc>
          <w:tcPr>
            <w:tcW w:w="1134" w:type="dxa"/>
            <w:tcBorders>
              <w:top w:val="single" w:sz="8" w:space="0" w:color="auto"/>
            </w:tcBorders>
          </w:tcPr>
          <w:p>
            <w:pPr>
              <w:pStyle w:val="nTable"/>
              <w:spacing w:after="40"/>
            </w:pPr>
            <w:r>
              <w:t>48 of 2006</w:t>
            </w:r>
          </w:p>
        </w:tc>
        <w:tc>
          <w:tcPr>
            <w:tcW w:w="1134" w:type="dxa"/>
            <w:tcBorders>
              <w:top w:val="single" w:sz="8" w:space="0" w:color="auto"/>
            </w:tcBorders>
          </w:tcPr>
          <w:p>
            <w:pPr>
              <w:pStyle w:val="nTable"/>
              <w:spacing w:after="40"/>
            </w:pPr>
            <w:r>
              <w:t>4 Oct 2006</w:t>
            </w:r>
          </w:p>
        </w:tc>
        <w:tc>
          <w:tcPr>
            <w:tcW w:w="2552" w:type="dxa"/>
            <w:tcBorders>
              <w:top w:val="single" w:sz="8" w:space="0" w:color="auto"/>
            </w:tcBorders>
          </w:tcPr>
          <w:p>
            <w:pPr>
              <w:pStyle w:val="nTable"/>
              <w:spacing w:after="40"/>
            </w:pPr>
            <w:r>
              <w:t>s. 1 and 2: 4 Oct 2006;</w:t>
            </w:r>
            <w:r>
              <w:br/>
              <w:t xml:space="preserve">Act other than s. 1 and 2 and Sch. 1 cl. 2 and 3: 10 Dec 2007 (see s. 2 and </w:t>
            </w:r>
            <w:r>
              <w:rPr>
                <w:i/>
                <w:iCs/>
              </w:rPr>
              <w:t>Gazette</w:t>
            </w:r>
            <w:r>
              <w:t xml:space="preserve"> 23 Nov 2007 p. 5861); </w:t>
            </w:r>
            <w:r>
              <w:br/>
              <w:t>Sch. 1 cl. 2 deleted by No. 47 of 2011 s. 11</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Financial Legislation Amendment and Repeal Act 2006</w:t>
            </w:r>
            <w:r>
              <w:rPr>
                <w:iCs/>
                <w:snapToGrid w:val="0"/>
              </w:rPr>
              <w:t xml:space="preserve"> Sch. 1 cl. 27</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rPr>
                <w:snapToGrid w:val="0"/>
              </w:rPr>
              <w:t xml:space="preserve">1 Feb 2007 (see s. 2(1) and </w:t>
            </w:r>
            <w:r>
              <w:rPr>
                <w:i/>
                <w:iCs/>
                <w:snapToGrid w:val="0"/>
              </w:rPr>
              <w:t xml:space="preserve">Gazette </w:t>
            </w:r>
            <w:r>
              <w:rPr>
                <w:snapToGrid w:val="0"/>
              </w:rPr>
              <w:t>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2009</w:t>
            </w:r>
            <w:r>
              <w:rPr>
                <w:snapToGrid w:val="0"/>
              </w:rPr>
              <w:t xml:space="preserve"> s. 5</w:t>
            </w:r>
            <w:r>
              <w:rPr>
                <w:snapToGrid w:val="0"/>
                <w:vertAlign w:val="superscript"/>
              </w:rPr>
              <w:t> </w:t>
            </w:r>
            <w:del w:id="369" w:author="svcMRProcess" w:date="2020-02-24T11:23:00Z">
              <w:r>
                <w:rPr>
                  <w:snapToGrid w:val="0"/>
                  <w:vertAlign w:val="superscript"/>
                </w:rPr>
                <w:delText>6</w:delText>
              </w:r>
            </w:del>
            <w:ins w:id="370" w:author="svcMRProcess" w:date="2020-02-24T11:23:00Z">
              <w:r>
                <w:rPr>
                  <w:snapToGrid w:val="0"/>
                  <w:vertAlign w:val="superscript"/>
                </w:rPr>
                <w:t>4</w:t>
              </w:r>
            </w:ins>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11</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1: The </w:t>
            </w:r>
            <w:r>
              <w:rPr>
                <w:b/>
                <w:i/>
                <w:snapToGrid w:val="0"/>
              </w:rPr>
              <w:t xml:space="preserve">Commissioner for Children and Young People Act 2006 </w:t>
            </w:r>
            <w:r>
              <w:rPr>
                <w:b/>
                <w:snapToGrid w:val="0"/>
              </w:rPr>
              <w:t>as at 9 Mar</w:t>
            </w:r>
            <w:r>
              <w:rPr>
                <w:b/>
                <w:i/>
                <w:snapToGrid w:val="0"/>
              </w:rPr>
              <w:t xml:space="preserve"> </w:t>
            </w:r>
            <w:r>
              <w:rPr>
                <w:b/>
                <w:snapToGrid w:val="0"/>
              </w:rPr>
              <w:t>2012</w:t>
            </w:r>
            <w:r>
              <w:rPr>
                <w:snapToGrid w:val="0"/>
              </w:rPr>
              <w:t xml:space="preserve"> (includes amendments listed above)</w:t>
            </w:r>
          </w:p>
        </w:tc>
      </w:tr>
    </w:tbl>
    <w:p>
      <w:pPr>
        <w:pStyle w:val="nSubsection"/>
        <w:spacing w:before="360" w:after="120"/>
        <w:ind w:left="482" w:hanging="482"/>
        <w:rPr>
          <w:del w:id="371" w:author="svcMRProcess" w:date="2020-02-24T11:23:00Z"/>
        </w:rPr>
      </w:pPr>
      <w:del w:id="372" w:author="svcMRProcess" w:date="2020-02-24T11:2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widowControl w:val="0"/>
        <w:spacing w:before="360"/>
        <w:rPr>
          <w:del w:id="373" w:author="svcMRProcess" w:date="2020-02-24T11:23:00Z"/>
          <w:snapToGrid w:val="0"/>
        </w:rPr>
      </w:pPr>
      <w:bookmarkStart w:id="374" w:name="_Toc375053473"/>
      <w:bookmarkStart w:id="375" w:name="_Toc462412989"/>
      <w:del w:id="376" w:author="svcMRProcess" w:date="2020-02-24T11:23:00Z">
        <w:r>
          <w:rPr>
            <w:snapToGrid w:val="0"/>
          </w:rPr>
          <w:delText>Provisions that have not come into operation</w:delText>
        </w:r>
        <w:bookmarkEnd w:id="374"/>
        <w:bookmarkEnd w:id="375"/>
      </w:del>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87"/>
        <w:gridCol w:w="1129"/>
        <w:gridCol w:w="1132"/>
        <w:gridCol w:w="2539"/>
      </w:tblGrid>
      <w:tr>
        <w:trPr>
          <w:del w:id="377" w:author="svcMRProcess" w:date="2020-02-24T11:23:00Z"/>
        </w:trPr>
        <w:tc>
          <w:tcPr>
            <w:tcW w:w="2267" w:type="dxa"/>
            <w:tcBorders>
              <w:top w:val="single" w:sz="8" w:space="0" w:color="auto"/>
              <w:bottom w:val="single" w:sz="8" w:space="0" w:color="auto"/>
            </w:tcBorders>
            <w:shd w:val="clear" w:color="auto" w:fill="auto"/>
          </w:tcPr>
          <w:p>
            <w:pPr>
              <w:pStyle w:val="nTable"/>
              <w:keepNext/>
              <w:keepLines/>
              <w:spacing w:after="40"/>
              <w:rPr>
                <w:del w:id="378" w:author="svcMRProcess" w:date="2020-02-24T11:23:00Z"/>
                <w:b/>
                <w:snapToGrid w:val="0"/>
              </w:rPr>
            </w:pPr>
            <w:del w:id="379" w:author="svcMRProcess" w:date="2020-02-24T11:23:00Z">
              <w:r>
                <w:rPr>
                  <w:b/>
                  <w:snapToGrid w:val="0"/>
                </w:rPr>
                <w:delText>Short title</w:delText>
              </w:r>
            </w:del>
          </w:p>
        </w:tc>
        <w:tc>
          <w:tcPr>
            <w:tcW w:w="1133" w:type="dxa"/>
            <w:tcBorders>
              <w:top w:val="single" w:sz="8" w:space="0" w:color="auto"/>
              <w:bottom w:val="single" w:sz="8" w:space="0" w:color="auto"/>
            </w:tcBorders>
            <w:shd w:val="clear" w:color="auto" w:fill="auto"/>
          </w:tcPr>
          <w:p>
            <w:pPr>
              <w:pStyle w:val="nTable"/>
              <w:keepNext/>
              <w:keepLines/>
              <w:spacing w:after="40"/>
              <w:rPr>
                <w:del w:id="380" w:author="svcMRProcess" w:date="2020-02-24T11:23:00Z"/>
                <w:b/>
                <w:snapToGrid w:val="0"/>
              </w:rPr>
            </w:pPr>
            <w:del w:id="381" w:author="svcMRProcess" w:date="2020-02-24T11:23:00Z">
              <w:r>
                <w:rPr>
                  <w:b/>
                  <w:snapToGrid w:val="0"/>
                </w:rPr>
                <w:delText>Number and year</w:delText>
              </w:r>
            </w:del>
          </w:p>
        </w:tc>
        <w:tc>
          <w:tcPr>
            <w:tcW w:w="1137" w:type="dxa"/>
            <w:tcBorders>
              <w:top w:val="single" w:sz="8" w:space="0" w:color="auto"/>
              <w:bottom w:val="single" w:sz="8" w:space="0" w:color="auto"/>
            </w:tcBorders>
            <w:shd w:val="clear" w:color="auto" w:fill="auto"/>
          </w:tcPr>
          <w:p>
            <w:pPr>
              <w:pStyle w:val="nTable"/>
              <w:keepNext/>
              <w:keepLines/>
              <w:spacing w:after="40"/>
              <w:rPr>
                <w:del w:id="382" w:author="svcMRProcess" w:date="2020-02-24T11:23:00Z"/>
                <w:b/>
                <w:snapToGrid w:val="0"/>
              </w:rPr>
            </w:pPr>
            <w:del w:id="383" w:author="svcMRProcess" w:date="2020-02-24T11:23:00Z">
              <w:r>
                <w:rPr>
                  <w:b/>
                  <w:snapToGrid w:val="0"/>
                </w:rPr>
                <w:delText>Assent</w:delText>
              </w:r>
            </w:del>
          </w:p>
        </w:tc>
        <w:tc>
          <w:tcPr>
            <w:tcW w:w="2550" w:type="dxa"/>
            <w:tcBorders>
              <w:top w:val="single" w:sz="8" w:space="0" w:color="auto"/>
              <w:bottom w:val="single" w:sz="8" w:space="0" w:color="auto"/>
            </w:tcBorders>
            <w:shd w:val="clear" w:color="auto" w:fill="auto"/>
          </w:tcPr>
          <w:p>
            <w:pPr>
              <w:pStyle w:val="nTable"/>
              <w:keepNext/>
              <w:keepLines/>
              <w:spacing w:after="40"/>
              <w:rPr>
                <w:del w:id="384" w:author="svcMRProcess" w:date="2020-02-24T11:23:00Z"/>
                <w:b/>
                <w:snapToGrid w:val="0"/>
              </w:rPr>
            </w:pPr>
            <w:del w:id="385" w:author="svcMRProcess" w:date="2020-02-24T11:23:00Z">
              <w:r>
                <w:rPr>
                  <w:b/>
                  <w:snapToGrid w:val="0"/>
                </w:rPr>
                <w:delText>Commencement</w:delText>
              </w:r>
            </w:del>
          </w:p>
        </w:tc>
      </w:tr>
      <w:tr>
        <w:trPr>
          <w:cantSplit/>
          <w:del w:id="386" w:author="svcMRProcess" w:date="2020-02-24T11:23:00Z"/>
        </w:trPr>
        <w:tc>
          <w:tcPr>
            <w:tcW w:w="2267" w:type="dxa"/>
            <w:tcBorders>
              <w:top w:val="single" w:sz="8" w:space="0" w:color="auto"/>
              <w:bottom w:val="nil"/>
            </w:tcBorders>
            <w:shd w:val="clear" w:color="auto" w:fill="auto"/>
          </w:tcPr>
          <w:p>
            <w:pPr>
              <w:pStyle w:val="nTable"/>
              <w:spacing w:after="40"/>
              <w:rPr>
                <w:del w:id="387" w:author="svcMRProcess" w:date="2020-02-24T11:23:00Z"/>
                <w:snapToGrid w:val="0"/>
              </w:rPr>
            </w:pPr>
            <w:del w:id="388" w:author="svcMRProcess" w:date="2020-02-24T11:23:00Z">
              <w:r>
                <w:rPr>
                  <w:i/>
                  <w:snapToGrid w:val="0"/>
                </w:rPr>
                <w:delText>Commissioner for Children and Young People Act 2006</w:delText>
              </w:r>
              <w:r>
                <w:rPr>
                  <w:iCs/>
                  <w:snapToGrid w:val="0"/>
                </w:rPr>
                <w:delText xml:space="preserve"> Sch. 1 cl. 3 </w:delText>
              </w:r>
              <w:r>
                <w:rPr>
                  <w:iCs/>
                  <w:snapToGrid w:val="0"/>
                  <w:vertAlign w:val="superscript"/>
                </w:rPr>
                <w:delText>5</w:delText>
              </w:r>
            </w:del>
          </w:p>
        </w:tc>
        <w:tc>
          <w:tcPr>
            <w:tcW w:w="1133" w:type="dxa"/>
            <w:tcBorders>
              <w:top w:val="single" w:sz="8" w:space="0" w:color="auto"/>
              <w:bottom w:val="nil"/>
            </w:tcBorders>
            <w:shd w:val="clear" w:color="auto" w:fill="auto"/>
          </w:tcPr>
          <w:p>
            <w:pPr>
              <w:pStyle w:val="nTable"/>
              <w:spacing w:after="40"/>
              <w:rPr>
                <w:del w:id="389" w:author="svcMRProcess" w:date="2020-02-24T11:23:00Z"/>
                <w:snapToGrid w:val="0"/>
              </w:rPr>
            </w:pPr>
            <w:del w:id="390" w:author="svcMRProcess" w:date="2020-02-24T11:23:00Z">
              <w:r>
                <w:rPr>
                  <w:snapToGrid w:val="0"/>
                </w:rPr>
                <w:delText xml:space="preserve">48 of 2006 </w:delText>
              </w:r>
            </w:del>
          </w:p>
        </w:tc>
        <w:tc>
          <w:tcPr>
            <w:tcW w:w="1137" w:type="dxa"/>
            <w:tcBorders>
              <w:top w:val="single" w:sz="8" w:space="0" w:color="auto"/>
              <w:bottom w:val="nil"/>
            </w:tcBorders>
            <w:shd w:val="clear" w:color="auto" w:fill="auto"/>
          </w:tcPr>
          <w:p>
            <w:pPr>
              <w:pStyle w:val="nTable"/>
              <w:spacing w:after="40"/>
              <w:rPr>
                <w:del w:id="391" w:author="svcMRProcess" w:date="2020-02-24T11:23:00Z"/>
                <w:snapToGrid w:val="0"/>
              </w:rPr>
            </w:pPr>
            <w:del w:id="392" w:author="svcMRProcess" w:date="2020-02-24T11:23:00Z">
              <w:r>
                <w:rPr>
                  <w:snapToGrid w:val="0"/>
                </w:rPr>
                <w:delText>4 Oct 2006</w:delText>
              </w:r>
            </w:del>
          </w:p>
        </w:tc>
        <w:tc>
          <w:tcPr>
            <w:tcW w:w="2550" w:type="dxa"/>
            <w:tcBorders>
              <w:top w:val="single" w:sz="8" w:space="0" w:color="auto"/>
              <w:bottom w:val="nil"/>
            </w:tcBorders>
            <w:shd w:val="clear" w:color="auto" w:fill="auto"/>
          </w:tcPr>
          <w:p>
            <w:pPr>
              <w:pStyle w:val="nTable"/>
              <w:spacing w:after="40"/>
              <w:rPr>
                <w:del w:id="393" w:author="svcMRProcess" w:date="2020-02-24T11:23:00Z"/>
                <w:snapToGrid w:val="0"/>
              </w:rPr>
            </w:pPr>
            <w:del w:id="394" w:author="svcMRProcess" w:date="2020-02-24T11:23:00Z">
              <w:r>
                <w:rPr>
                  <w:snapToGrid w:val="0"/>
                </w:rPr>
                <w:delText>To be proclaimed (see s. 2)</w:delText>
              </w:r>
            </w:del>
          </w:p>
        </w:tc>
      </w:tr>
      <w:tr>
        <w:tblPrEx>
          <w:tblBorders>
            <w:top w:val="none" w:sz="0" w:space="0" w:color="auto"/>
            <w:bottom w:val="none" w:sz="0" w:space="0" w:color="auto"/>
            <w:insideH w:val="none" w:sz="0" w:space="0" w:color="auto"/>
          </w:tblBorders>
        </w:tblPrEx>
        <w:trPr>
          <w:cantSplit/>
        </w:trPr>
        <w:tc>
          <w:tcPr>
            <w:tcW w:w="2296" w:type="dxa"/>
            <w:tcBorders>
              <w:bottom w:val="single" w:sz="8" w:space="0" w:color="auto"/>
            </w:tcBorders>
            <w:shd w:val="clear" w:color="auto" w:fill="auto"/>
          </w:tcPr>
          <w:p>
            <w:pPr>
              <w:pStyle w:val="nTable"/>
              <w:spacing w:after="40"/>
              <w:rPr>
                <w:b/>
                <w:snapToGrid w:val="0"/>
              </w:rPr>
            </w:pPr>
            <w:r>
              <w:rPr>
                <w:i/>
                <w:snapToGrid w:val="0"/>
              </w:rPr>
              <w:t>Local Government Legislation Amendment Act 2016</w:t>
            </w:r>
            <w:r>
              <w:rPr>
                <w:snapToGrid w:val="0"/>
              </w:rPr>
              <w:t xml:space="preserve"> Pt. 3 Div. 9</w:t>
            </w:r>
            <w:del w:id="395" w:author="svcMRProcess" w:date="2020-02-24T11:23:00Z">
              <w:r>
                <w:rPr>
                  <w:snapToGrid w:val="0"/>
                  <w:szCs w:val="19"/>
                  <w:vertAlign w:val="superscript"/>
                </w:rPr>
                <w:delText> 7</w:delText>
              </w:r>
            </w:del>
          </w:p>
        </w:tc>
        <w:tc>
          <w:tcPr>
            <w:tcW w:w="1134" w:type="dxa"/>
            <w:tcBorders>
              <w:bottom w:val="single" w:sz="8" w:space="0" w:color="auto"/>
            </w:tcBorders>
            <w:shd w:val="clear" w:color="auto" w:fill="auto"/>
          </w:tcPr>
          <w:p>
            <w:pPr>
              <w:pStyle w:val="nTable"/>
              <w:spacing w:after="40"/>
              <w:rPr>
                <w:b/>
                <w:snapToGrid w:val="0"/>
              </w:rPr>
            </w:pPr>
            <w:r>
              <w:t>26 of 2016</w:t>
            </w:r>
          </w:p>
        </w:tc>
        <w:tc>
          <w:tcPr>
            <w:tcW w:w="1134" w:type="dxa"/>
            <w:tcBorders>
              <w:bottom w:val="single" w:sz="8" w:space="0" w:color="auto"/>
            </w:tcBorders>
            <w:shd w:val="clear" w:color="auto" w:fill="auto"/>
          </w:tcPr>
          <w:p>
            <w:pPr>
              <w:pStyle w:val="nTable"/>
              <w:spacing w:after="40"/>
              <w:rPr>
                <w:b/>
                <w:snapToGrid w:val="0"/>
              </w:rPr>
            </w:pPr>
            <w:r>
              <w:t>21 Sep 2016</w:t>
            </w:r>
          </w:p>
        </w:tc>
        <w:tc>
          <w:tcPr>
            <w:tcW w:w="2525" w:type="dxa"/>
            <w:tcBorders>
              <w:bottom w:val="single" w:sz="8" w:space="0" w:color="auto"/>
            </w:tcBorders>
            <w:shd w:val="clear" w:color="auto" w:fill="auto"/>
          </w:tcPr>
          <w:p>
            <w:pPr>
              <w:pStyle w:val="nTable"/>
              <w:spacing w:after="40"/>
              <w:rPr>
                <w:b/>
                <w:snapToGrid w:val="0"/>
              </w:rPr>
            </w:pPr>
            <w:del w:id="396" w:author="svcMRProcess" w:date="2020-02-24T11:23:00Z">
              <w:r>
                <w:rPr>
                  <w:snapToGrid w:val="0"/>
                </w:rPr>
                <w:delText>To be proclaimed</w:delText>
              </w:r>
            </w:del>
            <w:ins w:id="397" w:author="svcMRProcess" w:date="2020-02-24T11:23:00Z">
              <w:r>
                <w:rPr>
                  <w:snapToGrid w:val="0"/>
                </w:rPr>
                <w:t>21 Jan 2017</w:t>
              </w:r>
            </w:ins>
            <w:r>
              <w:rPr>
                <w:snapToGrid w:val="0"/>
              </w:rPr>
              <w:t xml:space="preserve"> (see</w:t>
            </w:r>
            <w:del w:id="398" w:author="svcMRProcess" w:date="2020-02-24T11:23:00Z">
              <w:r>
                <w:rPr>
                  <w:snapToGrid w:val="0"/>
                </w:rPr>
                <w:delText> </w:delText>
              </w:r>
            </w:del>
            <w:ins w:id="399" w:author="svcMRProcess" w:date="2020-02-24T11:23:00Z">
              <w:r>
                <w:rPr>
                  <w:snapToGrid w:val="0"/>
                </w:rPr>
                <w:t xml:space="preserve"> </w:t>
              </w:r>
            </w:ins>
            <w:r>
              <w:rPr>
                <w:snapToGrid w:val="0"/>
              </w:rPr>
              <w:t>s.</w:t>
            </w:r>
            <w:del w:id="400" w:author="svcMRProcess" w:date="2020-02-24T11:23:00Z">
              <w:r>
                <w:rPr>
                  <w:snapToGrid w:val="0"/>
                </w:rPr>
                <w:delText> </w:delText>
              </w:r>
            </w:del>
            <w:ins w:id="401" w:author="svcMRProcess" w:date="2020-02-24T11:23:00Z">
              <w:r>
                <w:rPr>
                  <w:snapToGrid w:val="0"/>
                </w:rPr>
                <w:t xml:space="preserve"> </w:t>
              </w:r>
            </w:ins>
            <w:r>
              <w:rPr>
                <w:snapToGrid w:val="0"/>
              </w:rPr>
              <w:t>2(b</w:t>
            </w:r>
            <w:del w:id="402" w:author="svcMRProcess" w:date="2020-02-24T11:23:00Z">
              <w:r>
                <w:rPr>
                  <w:snapToGrid w:val="0"/>
                </w:rPr>
                <w:delText>))</w:delText>
              </w:r>
            </w:del>
            <w:ins w:id="403" w:author="svcMRProcess" w:date="2020-02-24T11:23:00Z">
              <w:r>
                <w:rPr>
                  <w:snapToGrid w:val="0"/>
                </w:rPr>
                <w:t xml:space="preserve">) and </w:t>
              </w:r>
              <w:r>
                <w:rPr>
                  <w:i/>
                  <w:snapToGrid w:val="0"/>
                </w:rPr>
                <w:t>Gazette</w:t>
              </w:r>
              <w:r>
                <w:rPr>
                  <w:snapToGrid w:val="0"/>
                </w:rPr>
                <w:t xml:space="preserve"> 20 Jan 2017 p. 648)</w:t>
              </w:r>
            </w:ins>
          </w:p>
        </w:tc>
      </w:tr>
    </w:tbl>
    <w:p>
      <w:pPr>
        <w:pStyle w:val="nHeading3"/>
        <w:rPr>
          <w:ins w:id="404" w:author="svcMRProcess" w:date="2020-02-24T11:23:00Z"/>
        </w:rPr>
      </w:pPr>
      <w:bookmarkStart w:id="405" w:name="_Toc33434421"/>
      <w:del w:id="406" w:author="svcMRProcess" w:date="2020-02-24T11:23:00Z">
        <w:r>
          <w:rPr>
            <w:vertAlign w:val="superscript"/>
          </w:rPr>
          <w:delText>2</w:delText>
        </w:r>
      </w:del>
      <w:ins w:id="407" w:author="svcMRProcess" w:date="2020-02-24T11:23:00Z">
        <w:r>
          <w:t>Uncommenced provisions table</w:t>
        </w:r>
        <w:bookmarkEnd w:id="405"/>
      </w:ins>
    </w:p>
    <w:p>
      <w:pPr>
        <w:pStyle w:val="nStatement"/>
        <w:keepNext/>
        <w:spacing w:after="240"/>
        <w:rPr>
          <w:ins w:id="408" w:author="svcMRProcess" w:date="2020-02-24T11:23:00Z"/>
        </w:rPr>
      </w:pPr>
      <w:ins w:id="409" w:author="svcMRProcess" w:date="2020-02-24T11:2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10" w:author="svcMRProcess" w:date="2020-02-24T11:23:00Z"/>
        </w:trPr>
        <w:tc>
          <w:tcPr>
            <w:tcW w:w="2268" w:type="dxa"/>
          </w:tcPr>
          <w:p>
            <w:pPr>
              <w:pStyle w:val="nTable"/>
              <w:spacing w:after="40"/>
              <w:rPr>
                <w:ins w:id="411" w:author="svcMRProcess" w:date="2020-02-24T11:23:00Z"/>
                <w:b/>
              </w:rPr>
            </w:pPr>
            <w:ins w:id="412" w:author="svcMRProcess" w:date="2020-02-24T11:23:00Z">
              <w:r>
                <w:rPr>
                  <w:b/>
                </w:rPr>
                <w:t>Short title</w:t>
              </w:r>
            </w:ins>
          </w:p>
        </w:tc>
        <w:tc>
          <w:tcPr>
            <w:tcW w:w="1134" w:type="dxa"/>
          </w:tcPr>
          <w:p>
            <w:pPr>
              <w:pStyle w:val="nTable"/>
              <w:spacing w:after="40"/>
              <w:rPr>
                <w:ins w:id="413" w:author="svcMRProcess" w:date="2020-02-24T11:23:00Z"/>
                <w:b/>
              </w:rPr>
            </w:pPr>
            <w:ins w:id="414" w:author="svcMRProcess" w:date="2020-02-24T11:23:00Z">
              <w:r>
                <w:rPr>
                  <w:b/>
                </w:rPr>
                <w:t>Number and year</w:t>
              </w:r>
            </w:ins>
          </w:p>
        </w:tc>
        <w:tc>
          <w:tcPr>
            <w:tcW w:w="1134" w:type="dxa"/>
          </w:tcPr>
          <w:p>
            <w:pPr>
              <w:pStyle w:val="nTable"/>
              <w:spacing w:after="40"/>
              <w:rPr>
                <w:ins w:id="415" w:author="svcMRProcess" w:date="2020-02-24T11:23:00Z"/>
                <w:b/>
              </w:rPr>
            </w:pPr>
            <w:ins w:id="416" w:author="svcMRProcess" w:date="2020-02-24T11:23:00Z">
              <w:r>
                <w:rPr>
                  <w:b/>
                </w:rPr>
                <w:t>Assent</w:t>
              </w:r>
            </w:ins>
          </w:p>
        </w:tc>
        <w:tc>
          <w:tcPr>
            <w:tcW w:w="2552" w:type="dxa"/>
          </w:tcPr>
          <w:p>
            <w:pPr>
              <w:pStyle w:val="nTable"/>
              <w:spacing w:after="40"/>
              <w:rPr>
                <w:ins w:id="417" w:author="svcMRProcess" w:date="2020-02-24T11:23:00Z"/>
                <w:b/>
              </w:rPr>
            </w:pPr>
            <w:ins w:id="418" w:author="svcMRProcess" w:date="2020-02-24T11:23:00Z">
              <w:r>
                <w:rPr>
                  <w:b/>
                </w:rPr>
                <w:t>Commencement</w:t>
              </w:r>
            </w:ins>
          </w:p>
        </w:tc>
      </w:tr>
      <w:tr>
        <w:trPr>
          <w:ins w:id="419" w:author="svcMRProcess" w:date="2020-02-24T11:23:00Z"/>
        </w:trPr>
        <w:tc>
          <w:tcPr>
            <w:tcW w:w="2268" w:type="dxa"/>
          </w:tcPr>
          <w:p>
            <w:pPr>
              <w:pStyle w:val="nTable"/>
              <w:spacing w:after="40"/>
              <w:rPr>
                <w:ins w:id="420" w:author="svcMRProcess" w:date="2020-02-24T11:23:00Z"/>
                <w:snapToGrid w:val="0"/>
              </w:rPr>
            </w:pPr>
            <w:ins w:id="421" w:author="svcMRProcess" w:date="2020-02-24T11:23:00Z">
              <w:r>
                <w:rPr>
                  <w:i/>
                  <w:snapToGrid w:val="0"/>
                </w:rPr>
                <w:t>Commissioner for Children and Young People Act 2006</w:t>
              </w:r>
              <w:r>
                <w:rPr>
                  <w:iCs/>
                  <w:snapToGrid w:val="0"/>
                </w:rPr>
                <w:t xml:space="preserve"> Sch. 1 cl. 3</w:t>
              </w:r>
            </w:ins>
          </w:p>
        </w:tc>
        <w:tc>
          <w:tcPr>
            <w:tcW w:w="1134" w:type="dxa"/>
          </w:tcPr>
          <w:p>
            <w:pPr>
              <w:pStyle w:val="nTable"/>
              <w:spacing w:after="40"/>
              <w:rPr>
                <w:ins w:id="422" w:author="svcMRProcess" w:date="2020-02-24T11:23:00Z"/>
                <w:snapToGrid w:val="0"/>
              </w:rPr>
            </w:pPr>
            <w:ins w:id="423" w:author="svcMRProcess" w:date="2020-02-24T11:23:00Z">
              <w:r>
                <w:rPr>
                  <w:snapToGrid w:val="0"/>
                </w:rPr>
                <w:t xml:space="preserve">48 of 2006 </w:t>
              </w:r>
            </w:ins>
          </w:p>
        </w:tc>
        <w:tc>
          <w:tcPr>
            <w:tcW w:w="1134" w:type="dxa"/>
          </w:tcPr>
          <w:p>
            <w:pPr>
              <w:pStyle w:val="nTable"/>
              <w:spacing w:after="40"/>
              <w:rPr>
                <w:ins w:id="424" w:author="svcMRProcess" w:date="2020-02-24T11:23:00Z"/>
                <w:snapToGrid w:val="0"/>
              </w:rPr>
            </w:pPr>
            <w:ins w:id="425" w:author="svcMRProcess" w:date="2020-02-24T11:23:00Z">
              <w:r>
                <w:rPr>
                  <w:snapToGrid w:val="0"/>
                </w:rPr>
                <w:t>4 Oct 2006</w:t>
              </w:r>
            </w:ins>
          </w:p>
        </w:tc>
        <w:tc>
          <w:tcPr>
            <w:tcW w:w="2552" w:type="dxa"/>
          </w:tcPr>
          <w:p>
            <w:pPr>
              <w:pStyle w:val="nTable"/>
              <w:spacing w:after="40"/>
              <w:rPr>
                <w:ins w:id="426" w:author="svcMRProcess" w:date="2020-02-24T11:23:00Z"/>
                <w:snapToGrid w:val="0"/>
              </w:rPr>
            </w:pPr>
            <w:ins w:id="427" w:author="svcMRProcess" w:date="2020-02-24T11:23:00Z">
              <w:r>
                <w:rPr>
                  <w:snapToGrid w:val="0"/>
                </w:rPr>
                <w:t>To be proclaimed (see s. 2)</w:t>
              </w:r>
            </w:ins>
          </w:p>
        </w:tc>
      </w:tr>
    </w:tbl>
    <w:p>
      <w:pPr>
        <w:pStyle w:val="nHeading3"/>
        <w:rPr>
          <w:ins w:id="428" w:author="svcMRProcess" w:date="2020-02-24T11:23:00Z"/>
        </w:rPr>
      </w:pPr>
      <w:bookmarkStart w:id="429" w:name="_Toc33434422"/>
      <w:ins w:id="430" w:author="svcMRProcess" w:date="2020-02-24T11:23:00Z">
        <w:r>
          <w:t>Other notes</w:t>
        </w:r>
        <w:bookmarkEnd w:id="429"/>
      </w:ins>
    </w:p>
    <w:p>
      <w:pPr>
        <w:pStyle w:val="nNote"/>
        <w:spacing w:before="160"/>
        <w:rPr>
          <w:vertAlign w:val="superscript"/>
        </w:rPr>
      </w:pPr>
      <w:ins w:id="431" w:author="svcMRProcess" w:date="2020-02-24T11:23:00Z">
        <w:r>
          <w:rPr>
            <w:vertAlign w:val="superscript"/>
          </w:rPr>
          <w:t>1</w:t>
        </w:r>
      </w:ins>
      <w:r>
        <w:tab/>
      </w:r>
      <w:r>
        <w:rPr>
          <w:snapToGrid w:val="0"/>
        </w:rPr>
        <w:t xml:space="preserve">The provision in this Act amending the </w:t>
      </w:r>
      <w:r>
        <w:rPr>
          <w:i/>
          <w:snapToGrid w:val="0"/>
        </w:rPr>
        <w:t>Constitution Acts Amendment Act 1899</w:t>
      </w:r>
      <w:r>
        <w:rPr>
          <w:snapToGrid w:val="0"/>
        </w:rPr>
        <w:t xml:space="preserve"> was omitted under the </w:t>
      </w:r>
      <w:r>
        <w:rPr>
          <w:i/>
          <w:snapToGrid w:val="0"/>
        </w:rPr>
        <w:t>Reprints Act 1984</w:t>
      </w:r>
      <w:r>
        <w:rPr>
          <w:snapToGrid w:val="0"/>
        </w:rPr>
        <w:t xml:space="preserve"> s. 7(4)(e).</w:t>
      </w:r>
    </w:p>
    <w:p>
      <w:pPr>
        <w:pStyle w:val="nNote"/>
        <w:rPr>
          <w:snapToGrid w:val="0"/>
        </w:rPr>
      </w:pPr>
      <w:del w:id="432" w:author="svcMRProcess" w:date="2020-02-24T11:23:00Z">
        <w:r>
          <w:rPr>
            <w:vertAlign w:val="superscript"/>
          </w:rPr>
          <w:delText>3</w:delText>
        </w:r>
      </w:del>
      <w:ins w:id="433" w:author="svcMRProcess" w:date="2020-02-24T11:23:00Z">
        <w:r>
          <w:rPr>
            <w:vertAlign w:val="superscript"/>
          </w:rPr>
          <w:t>2</w:t>
        </w:r>
      </w:ins>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pPr>
      <w:del w:id="434" w:author="svcMRProcess" w:date="2020-02-24T11:23:00Z">
        <w:r>
          <w:rPr>
            <w:vertAlign w:val="superscript"/>
          </w:rPr>
          <w:delText>4</w:delText>
        </w:r>
      </w:del>
      <w:ins w:id="435" w:author="svcMRProcess" w:date="2020-02-24T11:23:00Z">
        <w:r>
          <w:rPr>
            <w:vertAlign w:val="superscript"/>
          </w:rPr>
          <w:t>3</w:t>
        </w:r>
      </w:ins>
      <w:r>
        <w:tab/>
        <w:t xml:space="preserve">Schedule 1 cl. 2 of this Act had not come into operation when it was deleted by the </w:t>
      </w:r>
      <w:r>
        <w:rPr>
          <w:i/>
          <w:iCs/>
        </w:rPr>
        <w:t xml:space="preserve">Statutes (Repeals and Minor Amendments) Act 2011 </w:t>
      </w:r>
      <w:r>
        <w:t>s. 11.</w:t>
      </w:r>
    </w:p>
    <w:p>
      <w:pPr>
        <w:pStyle w:val="nSubsection"/>
        <w:rPr>
          <w:del w:id="436" w:author="svcMRProcess" w:date="2020-02-24T11:23:00Z"/>
          <w:snapToGrid w:val="0"/>
        </w:rPr>
      </w:pPr>
      <w:del w:id="437" w:author="svcMRProcess" w:date="2020-02-24T11:23:00Z">
        <w:r>
          <w:rPr>
            <w:snapToGrid w:val="0"/>
            <w:vertAlign w:val="superscript"/>
          </w:rPr>
          <w:delText>5</w:delText>
        </w:r>
        <w:r>
          <w:rPr>
            <w:snapToGrid w:val="0"/>
          </w:rPr>
          <w:tab/>
          <w:delText xml:space="preserve">On the date as at which this reprint was prepared, the </w:delText>
        </w:r>
        <w:r>
          <w:rPr>
            <w:i/>
            <w:snapToGrid w:val="0"/>
            <w:sz w:val="19"/>
          </w:rPr>
          <w:delText>Commissioner for Children and Young People Act 2006</w:delText>
        </w:r>
        <w:r>
          <w:rPr>
            <w:iCs/>
            <w:snapToGrid w:val="0"/>
            <w:sz w:val="19"/>
          </w:rPr>
          <w:delText xml:space="preserve"> Sch. 1 cl. 3</w:delText>
        </w:r>
        <w:r>
          <w:rPr>
            <w:snapToGrid w:val="0"/>
          </w:rPr>
          <w:delText xml:space="preserve"> had not come into operation.  It reads as follows:</w:delText>
        </w:r>
      </w:del>
    </w:p>
    <w:p>
      <w:pPr>
        <w:pStyle w:val="BlankOpen"/>
        <w:rPr>
          <w:del w:id="438" w:author="svcMRProcess" w:date="2020-02-24T11:23:00Z"/>
          <w:snapToGrid w:val="0"/>
        </w:rPr>
      </w:pPr>
    </w:p>
    <w:p>
      <w:pPr>
        <w:pStyle w:val="nzHeading2"/>
        <w:spacing w:before="240"/>
        <w:rPr>
          <w:del w:id="439" w:author="svcMRProcess" w:date="2020-02-24T11:23:00Z"/>
        </w:rPr>
      </w:pPr>
      <w:del w:id="440" w:author="svcMRProcess" w:date="2020-02-24T11:23: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441" w:author="svcMRProcess" w:date="2020-02-24T11:23:00Z"/>
        </w:rPr>
      </w:pPr>
      <w:del w:id="442" w:author="svcMRProcess" w:date="2020-02-24T11:23:00Z">
        <w:r>
          <w:delText>[s. 65]</w:delText>
        </w:r>
      </w:del>
    </w:p>
    <w:p>
      <w:pPr>
        <w:pStyle w:val="nzHeading5"/>
        <w:rPr>
          <w:del w:id="443" w:author="svcMRProcess" w:date="2020-02-24T11:23:00Z"/>
        </w:rPr>
      </w:pPr>
      <w:del w:id="444" w:author="svcMRProcess" w:date="2020-02-24T11:23:00Z">
        <w:r>
          <w:rPr>
            <w:rStyle w:val="CharSClsNo"/>
          </w:rPr>
          <w:delText>3</w:delText>
        </w:r>
        <w:r>
          <w:delText>.</w:delText>
        </w:r>
        <w:r>
          <w:tab/>
        </w:r>
        <w:r>
          <w:rPr>
            <w:i/>
            <w:iCs/>
          </w:rPr>
          <w:delText>Working with Children (Criminal Record Checking) Act 2004</w:delText>
        </w:r>
        <w:r>
          <w:delText xml:space="preserve"> amended</w:delText>
        </w:r>
      </w:del>
    </w:p>
    <w:p>
      <w:pPr>
        <w:pStyle w:val="nzSubsection"/>
        <w:rPr>
          <w:del w:id="445" w:author="svcMRProcess" w:date="2020-02-24T11:23:00Z"/>
        </w:rPr>
      </w:pPr>
      <w:del w:id="446" w:author="svcMRProcess" w:date="2020-02-24T11:23:00Z">
        <w:r>
          <w:tab/>
          <w:delText>(1)</w:delText>
        </w:r>
        <w:r>
          <w:tab/>
          <w:delText xml:space="preserve">The amendments in this clause are to the </w:delText>
        </w:r>
        <w:r>
          <w:rPr>
            <w:i/>
          </w:rPr>
          <w:delText>Working with Children (Criminal Record Checking) Act 2004</w:delText>
        </w:r>
        <w:r>
          <w:rPr>
            <w:iCs/>
          </w:rPr>
          <w:delText>.</w:delText>
        </w:r>
      </w:del>
    </w:p>
    <w:p>
      <w:pPr>
        <w:pStyle w:val="nzSubsection"/>
        <w:rPr>
          <w:del w:id="447" w:author="svcMRProcess" w:date="2020-02-24T11:23:00Z"/>
        </w:rPr>
      </w:pPr>
      <w:del w:id="448" w:author="svcMRProcess" w:date="2020-02-24T11:23:00Z">
        <w:r>
          <w:tab/>
          <w:delText>(2)</w:delText>
        </w:r>
        <w:r>
          <w:tab/>
          <w:delText>Section 4 is amended as follows:</w:delText>
        </w:r>
      </w:del>
    </w:p>
    <w:p>
      <w:pPr>
        <w:pStyle w:val="nzIndenta"/>
        <w:rPr>
          <w:del w:id="449" w:author="svcMRProcess" w:date="2020-02-24T11:23:00Z"/>
        </w:rPr>
      </w:pPr>
      <w:del w:id="450" w:author="svcMRProcess" w:date="2020-02-24T11:23:00Z">
        <w:r>
          <w:tab/>
          <w:delText>(a)</w:delText>
        </w:r>
        <w:r>
          <w:tab/>
          <w:delText xml:space="preserve">by deleting the definition of </w:delText>
        </w:r>
        <w:r>
          <w:rPr>
            <w:b/>
            <w:i/>
          </w:rPr>
          <w:delText>CEO</w:delText>
        </w:r>
        <w:r>
          <w:delText>;</w:delText>
        </w:r>
      </w:del>
    </w:p>
    <w:p>
      <w:pPr>
        <w:pStyle w:val="nzIndenta"/>
        <w:rPr>
          <w:del w:id="451" w:author="svcMRProcess" w:date="2020-02-24T11:23:00Z"/>
        </w:rPr>
      </w:pPr>
      <w:del w:id="452" w:author="svcMRProcess" w:date="2020-02-24T11:23:00Z">
        <w:r>
          <w:tab/>
          <w:delText>(b)</w:delText>
        </w:r>
        <w:r>
          <w:tab/>
          <w:delText xml:space="preserve">by deleting the definition of </w:delText>
        </w:r>
        <w:r>
          <w:rPr>
            <w:b/>
            <w:i/>
          </w:rPr>
          <w:delText>Commissioner</w:delText>
        </w:r>
        <w:r>
          <w:delText xml:space="preserve"> and inserting instead — </w:delText>
        </w:r>
      </w:del>
    </w:p>
    <w:p>
      <w:pPr>
        <w:pStyle w:val="MiscOpen"/>
        <w:ind w:left="880"/>
        <w:rPr>
          <w:del w:id="453" w:author="svcMRProcess" w:date="2020-02-24T11:23:00Z"/>
        </w:rPr>
      </w:pPr>
      <w:del w:id="454" w:author="svcMRProcess" w:date="2020-02-24T11:23:00Z">
        <w:r>
          <w:delText xml:space="preserve">“    </w:delText>
        </w:r>
      </w:del>
    </w:p>
    <w:p>
      <w:pPr>
        <w:pStyle w:val="nzDefstart"/>
        <w:rPr>
          <w:del w:id="455" w:author="svcMRProcess" w:date="2020-02-24T11:23:00Z"/>
        </w:rPr>
      </w:pPr>
      <w:del w:id="456" w:author="svcMRProcess" w:date="2020-02-24T11:23:00Z">
        <w:r>
          <w:rPr>
            <w:b/>
          </w:rPr>
          <w:tab/>
        </w:r>
        <w:r>
          <w:rPr>
            <w:rStyle w:val="CharDefText"/>
          </w:rPr>
          <w:delText>Commissioner</w:delText>
        </w:r>
        <w:r>
          <w:delText xml:space="preserve"> means the person holding or acting in the office of Commissioner for Children and Young People under the </w:delText>
        </w:r>
        <w:r>
          <w:rPr>
            <w:i/>
            <w:iCs/>
          </w:rPr>
          <w:delText>Commissioner for Children and Young People Act 2006</w:delText>
        </w:r>
        <w:r>
          <w:delText>;</w:delText>
        </w:r>
      </w:del>
    </w:p>
    <w:p>
      <w:pPr>
        <w:pStyle w:val="MiscClose"/>
        <w:rPr>
          <w:del w:id="457" w:author="svcMRProcess" w:date="2020-02-24T11:23:00Z"/>
        </w:rPr>
      </w:pPr>
      <w:del w:id="458" w:author="svcMRProcess" w:date="2020-02-24T11:23:00Z">
        <w:r>
          <w:delText xml:space="preserve">    ”;</w:delText>
        </w:r>
      </w:del>
    </w:p>
    <w:p>
      <w:pPr>
        <w:pStyle w:val="nzIndenta"/>
        <w:keepNext/>
        <w:keepLines/>
        <w:rPr>
          <w:del w:id="459" w:author="svcMRProcess" w:date="2020-02-24T11:23:00Z"/>
        </w:rPr>
      </w:pPr>
      <w:del w:id="460" w:author="svcMRProcess" w:date="2020-02-24T11:23:00Z">
        <w:r>
          <w:tab/>
          <w:delText>(c)</w:delText>
        </w:r>
        <w:r>
          <w:tab/>
          <w:delText xml:space="preserve">by inserting in the appropriate alphabetical position — </w:delText>
        </w:r>
      </w:del>
    </w:p>
    <w:p>
      <w:pPr>
        <w:pStyle w:val="MiscOpen"/>
        <w:ind w:left="880"/>
        <w:rPr>
          <w:del w:id="461" w:author="svcMRProcess" w:date="2020-02-24T11:23:00Z"/>
        </w:rPr>
      </w:pPr>
      <w:del w:id="462" w:author="svcMRProcess" w:date="2020-02-24T11:23:00Z">
        <w:r>
          <w:delText xml:space="preserve">“    </w:delText>
        </w:r>
      </w:del>
    </w:p>
    <w:p>
      <w:pPr>
        <w:pStyle w:val="nzDefstart"/>
        <w:keepNext/>
        <w:keepLines/>
        <w:rPr>
          <w:del w:id="463" w:author="svcMRProcess" w:date="2020-02-24T11:23:00Z"/>
        </w:rPr>
      </w:pPr>
      <w:del w:id="464" w:author="svcMRProcess" w:date="2020-02-24T11:23:00Z">
        <w:r>
          <w:rPr>
            <w:b/>
          </w:rPr>
          <w:tab/>
        </w:r>
        <w:r>
          <w:rPr>
            <w:rStyle w:val="CharDefText"/>
          </w:rPr>
          <w:delText>Commissioner for Police</w:delText>
        </w:r>
        <w:r>
          <w:delText xml:space="preserve"> means the person holding or acting in the office of Commissioner for Police under the </w:delText>
        </w:r>
        <w:r>
          <w:rPr>
            <w:i/>
            <w:iCs/>
          </w:rPr>
          <w:delText>Police Act 1892</w:delText>
        </w:r>
        <w:r>
          <w:delText>;</w:delText>
        </w:r>
      </w:del>
    </w:p>
    <w:p>
      <w:pPr>
        <w:pStyle w:val="MiscClose"/>
        <w:keepNext/>
        <w:rPr>
          <w:del w:id="465" w:author="svcMRProcess" w:date="2020-02-24T11:23:00Z"/>
        </w:rPr>
      </w:pPr>
      <w:del w:id="466" w:author="svcMRProcess" w:date="2020-02-24T11:23:00Z">
        <w:r>
          <w:delText xml:space="preserve">    ”.</w:delText>
        </w:r>
      </w:del>
    </w:p>
    <w:p>
      <w:pPr>
        <w:pStyle w:val="nzSubsection"/>
        <w:keepNext/>
        <w:keepLines/>
        <w:rPr>
          <w:del w:id="467" w:author="svcMRProcess" w:date="2020-02-24T11:23:00Z"/>
        </w:rPr>
      </w:pPr>
      <w:del w:id="468" w:author="svcMRProcess" w:date="2020-02-24T11:23:00Z">
        <w:r>
          <w:tab/>
          <w:delText>(3)</w:delText>
        </w:r>
        <w:r>
          <w:tab/>
          <w:delText xml:space="preserve">The heading to Part 2 Division 3 is amended by deleting “CEO” and inserting instead — </w:delText>
        </w:r>
      </w:del>
    </w:p>
    <w:p>
      <w:pPr>
        <w:pStyle w:val="nzSubsection"/>
        <w:keepNext/>
        <w:keepLines/>
        <w:rPr>
          <w:del w:id="469" w:author="svcMRProcess" w:date="2020-02-24T11:23:00Z"/>
        </w:rPr>
      </w:pPr>
      <w:del w:id="470" w:author="svcMRProcess" w:date="2020-02-24T11:23:00Z">
        <w:r>
          <w:tab/>
        </w:r>
        <w:r>
          <w:tab/>
          <w:delText>“    Commissioner    ”.</w:delText>
        </w:r>
      </w:del>
    </w:p>
    <w:p>
      <w:pPr>
        <w:pStyle w:val="nzSubsection"/>
        <w:keepNext/>
        <w:rPr>
          <w:del w:id="471" w:author="svcMRProcess" w:date="2020-02-24T11:23:00Z"/>
        </w:rPr>
      </w:pPr>
      <w:del w:id="472" w:author="svcMRProcess" w:date="2020-02-24T11:23:00Z">
        <w:r>
          <w:tab/>
          <w:delText>(4)</w:delText>
        </w:r>
        <w:r>
          <w:tab/>
          <w:delText xml:space="preserve">Section 17(1) is amended by inserting after “Commissioner” in both places where it occurs — </w:delText>
        </w:r>
      </w:del>
    </w:p>
    <w:p>
      <w:pPr>
        <w:pStyle w:val="nzSubsection"/>
        <w:rPr>
          <w:del w:id="473" w:author="svcMRProcess" w:date="2020-02-24T11:23:00Z"/>
        </w:rPr>
      </w:pPr>
      <w:del w:id="474" w:author="svcMRProcess" w:date="2020-02-24T11:23:00Z">
        <w:r>
          <w:tab/>
        </w:r>
        <w:r>
          <w:tab/>
          <w:delText>“    of Police    ”.</w:delText>
        </w:r>
      </w:del>
    </w:p>
    <w:p>
      <w:pPr>
        <w:pStyle w:val="nzSubsection"/>
        <w:rPr>
          <w:del w:id="475" w:author="svcMRProcess" w:date="2020-02-24T11:23:00Z"/>
        </w:rPr>
      </w:pPr>
      <w:del w:id="476" w:author="svcMRProcess" w:date="2020-02-24T11:23:00Z">
        <w:r>
          <w:tab/>
          <w:delText>(5)</w:delText>
        </w:r>
        <w:r>
          <w:tab/>
          <w:delText xml:space="preserve">Section 17(2) is amended by inserting after “Commissioner” — </w:delText>
        </w:r>
      </w:del>
    </w:p>
    <w:p>
      <w:pPr>
        <w:pStyle w:val="nzSubsection"/>
        <w:rPr>
          <w:del w:id="477" w:author="svcMRProcess" w:date="2020-02-24T11:23:00Z"/>
        </w:rPr>
      </w:pPr>
      <w:del w:id="478" w:author="svcMRProcess" w:date="2020-02-24T11:23:00Z">
        <w:r>
          <w:tab/>
        </w:r>
        <w:r>
          <w:tab/>
          <w:delText>“    of Police    ”.</w:delText>
        </w:r>
      </w:del>
    </w:p>
    <w:p>
      <w:pPr>
        <w:pStyle w:val="nzSubsection"/>
        <w:rPr>
          <w:del w:id="479" w:author="svcMRProcess" w:date="2020-02-24T11:23:00Z"/>
        </w:rPr>
      </w:pPr>
      <w:del w:id="480" w:author="svcMRProcess" w:date="2020-02-24T11:23:00Z">
        <w:r>
          <w:tab/>
          <w:delText>(6)</w:delText>
        </w:r>
        <w:r>
          <w:tab/>
          <w:delText xml:space="preserve">Section 34(1) is amended in paragraph (b) of the definition of </w:delText>
        </w:r>
        <w:r>
          <w:rPr>
            <w:b/>
            <w:i/>
          </w:rPr>
          <w:delText>authorised person</w:delText>
        </w:r>
        <w:r>
          <w:delText xml:space="preserve"> by inserting after “Commissioner” — </w:delText>
        </w:r>
      </w:del>
    </w:p>
    <w:p>
      <w:pPr>
        <w:pStyle w:val="nzSubsection"/>
        <w:rPr>
          <w:del w:id="481" w:author="svcMRProcess" w:date="2020-02-24T11:23:00Z"/>
        </w:rPr>
      </w:pPr>
      <w:del w:id="482" w:author="svcMRProcess" w:date="2020-02-24T11:23:00Z">
        <w:r>
          <w:tab/>
        </w:r>
        <w:r>
          <w:tab/>
          <w:delText>“    of Police    ”.</w:delText>
        </w:r>
      </w:del>
    </w:p>
    <w:p>
      <w:pPr>
        <w:pStyle w:val="nzSubsection"/>
        <w:rPr>
          <w:del w:id="483" w:author="svcMRProcess" w:date="2020-02-24T11:23:00Z"/>
        </w:rPr>
      </w:pPr>
      <w:del w:id="484" w:author="svcMRProcess" w:date="2020-02-24T11:23:00Z">
        <w:r>
          <w:tab/>
          <w:delText>(7)</w:delText>
        </w:r>
        <w:r>
          <w:tab/>
          <w:delText xml:space="preserve">Section 34(3) is amended by inserting after “Commissioner” in both places where it occurs — </w:delText>
        </w:r>
      </w:del>
    </w:p>
    <w:p>
      <w:pPr>
        <w:pStyle w:val="nzSubsection"/>
        <w:rPr>
          <w:del w:id="485" w:author="svcMRProcess" w:date="2020-02-24T11:23:00Z"/>
        </w:rPr>
      </w:pPr>
      <w:del w:id="486" w:author="svcMRProcess" w:date="2020-02-24T11:23:00Z">
        <w:r>
          <w:tab/>
        </w:r>
        <w:r>
          <w:tab/>
          <w:delText>“    of Police    ”.</w:delText>
        </w:r>
      </w:del>
    </w:p>
    <w:p>
      <w:pPr>
        <w:pStyle w:val="nzSubsection"/>
        <w:rPr>
          <w:del w:id="487" w:author="svcMRProcess" w:date="2020-02-24T11:23:00Z"/>
        </w:rPr>
      </w:pPr>
      <w:del w:id="488" w:author="svcMRProcess" w:date="2020-02-24T11:23:00Z">
        <w:r>
          <w:tab/>
          <w:delText>(8)</w:delText>
        </w:r>
        <w:r>
          <w:tab/>
          <w:delText xml:space="preserve">The provisions mentioned in the Table to this subclause are amended by deleting “CEO” in each place where it occurs and inserting instead — </w:delText>
        </w:r>
      </w:del>
    </w:p>
    <w:p>
      <w:pPr>
        <w:pStyle w:val="nzSubsection"/>
        <w:rPr>
          <w:del w:id="489" w:author="svcMRProcess" w:date="2020-02-24T11:23:00Z"/>
        </w:rPr>
      </w:pPr>
      <w:del w:id="490" w:author="svcMRProcess" w:date="2020-02-24T11:23:00Z">
        <w:r>
          <w:tab/>
        </w:r>
        <w:r>
          <w:tab/>
          <w:delText>“    Commissioner    ”.</w:delText>
        </w:r>
      </w:del>
    </w:p>
    <w:p>
      <w:pPr>
        <w:pStyle w:val="nzMiscellaneousHeading"/>
        <w:spacing w:before="120"/>
        <w:rPr>
          <w:del w:id="491" w:author="svcMRProcess" w:date="2020-02-24T11:23:00Z"/>
        </w:rPr>
      </w:pPr>
      <w:del w:id="492" w:author="svcMRProcess" w:date="2020-02-24T11:23:00Z">
        <w:r>
          <w:rPr>
            <w:b/>
            <w:sz w:val="22"/>
          </w:rPr>
          <w:delText>Table</w:delText>
        </w:r>
      </w:del>
    </w:p>
    <w:tbl>
      <w:tblPr>
        <w:tblW w:w="0" w:type="auto"/>
        <w:tblInd w:w="959" w:type="dxa"/>
        <w:tblLayout w:type="fixed"/>
        <w:tblLook w:val="0000" w:firstRow="0" w:lastRow="0" w:firstColumn="0" w:lastColumn="0" w:noHBand="0" w:noVBand="0"/>
      </w:tblPr>
      <w:tblGrid>
        <w:gridCol w:w="3047"/>
        <w:gridCol w:w="2702"/>
      </w:tblGrid>
      <w:tr>
        <w:trPr>
          <w:del w:id="493" w:author="svcMRProcess" w:date="2020-02-24T11:23:00Z"/>
        </w:trPr>
        <w:tc>
          <w:tcPr>
            <w:tcW w:w="3047" w:type="dxa"/>
          </w:tcPr>
          <w:p>
            <w:pPr>
              <w:pStyle w:val="nzTable"/>
              <w:rPr>
                <w:del w:id="494" w:author="svcMRProcess" w:date="2020-02-24T11:23:00Z"/>
              </w:rPr>
            </w:pPr>
            <w:del w:id="495" w:author="svcMRProcess" w:date="2020-02-24T11:23:00Z">
              <w:r>
                <w:delText>s. 3</w:delText>
              </w:r>
            </w:del>
          </w:p>
        </w:tc>
        <w:tc>
          <w:tcPr>
            <w:tcW w:w="2702" w:type="dxa"/>
          </w:tcPr>
          <w:p>
            <w:pPr>
              <w:pStyle w:val="nzTable"/>
              <w:rPr>
                <w:del w:id="496" w:author="svcMRProcess" w:date="2020-02-24T11:23:00Z"/>
              </w:rPr>
            </w:pPr>
            <w:del w:id="497" w:author="svcMRProcess" w:date="2020-02-24T11:23:00Z">
              <w:r>
                <w:delText>s. 26(1) and (2)</w:delText>
              </w:r>
            </w:del>
          </w:p>
        </w:tc>
      </w:tr>
      <w:tr>
        <w:trPr>
          <w:del w:id="498" w:author="svcMRProcess" w:date="2020-02-24T11:23:00Z"/>
        </w:trPr>
        <w:tc>
          <w:tcPr>
            <w:tcW w:w="3047" w:type="dxa"/>
          </w:tcPr>
          <w:p>
            <w:pPr>
              <w:pStyle w:val="nzTable"/>
              <w:rPr>
                <w:del w:id="499" w:author="svcMRProcess" w:date="2020-02-24T11:23:00Z"/>
              </w:rPr>
            </w:pPr>
            <w:del w:id="500" w:author="svcMRProcess" w:date="2020-02-24T11:23:00Z">
              <w:r>
                <w:delText xml:space="preserve">s. 4 (definitions of </w:delText>
              </w:r>
              <w:r>
                <w:rPr>
                  <w:b/>
                  <w:i/>
                </w:rPr>
                <w:delText>approved</w:delText>
              </w:r>
              <w:r>
                <w:delText xml:space="preserve">, </w:delText>
              </w:r>
              <w:r>
                <w:rPr>
                  <w:b/>
                  <w:i/>
                </w:rPr>
                <w:delText>assessment notice</w:delText>
              </w:r>
              <w:r>
                <w:delText xml:space="preserve">, </w:delText>
              </w:r>
              <w:r>
                <w:rPr>
                  <w:b/>
                  <w:i/>
                </w:rPr>
                <w:delText>criminal record check</w:delText>
              </w:r>
              <w:r>
                <w:delText xml:space="preserve">, </w:delText>
              </w:r>
              <w:r>
                <w:rPr>
                  <w:b/>
                  <w:i/>
                </w:rPr>
                <w:delText>interim negative notice</w:delText>
              </w:r>
              <w:r>
                <w:delText xml:space="preserve">, </w:delText>
              </w:r>
              <w:r>
                <w:rPr>
                  <w:b/>
                  <w:i/>
                </w:rPr>
                <w:delText>negative notice</w:delText>
              </w:r>
              <w:r>
                <w:delText>)</w:delText>
              </w:r>
            </w:del>
          </w:p>
        </w:tc>
        <w:tc>
          <w:tcPr>
            <w:tcW w:w="2702" w:type="dxa"/>
          </w:tcPr>
          <w:p>
            <w:pPr>
              <w:pStyle w:val="nzTable"/>
              <w:rPr>
                <w:del w:id="501" w:author="svcMRProcess" w:date="2020-02-24T11:23:00Z"/>
              </w:rPr>
            </w:pPr>
            <w:del w:id="502" w:author="svcMRProcess" w:date="2020-02-24T11:23:00Z">
              <w:r>
                <w:delText>s. 28(1) and (2)</w:delText>
              </w:r>
            </w:del>
          </w:p>
        </w:tc>
      </w:tr>
      <w:tr>
        <w:trPr>
          <w:del w:id="503" w:author="svcMRProcess" w:date="2020-02-24T11:23:00Z"/>
        </w:trPr>
        <w:tc>
          <w:tcPr>
            <w:tcW w:w="3047" w:type="dxa"/>
          </w:tcPr>
          <w:p>
            <w:pPr>
              <w:pStyle w:val="nzTable"/>
              <w:rPr>
                <w:del w:id="504" w:author="svcMRProcess" w:date="2020-02-24T11:23:00Z"/>
              </w:rPr>
            </w:pPr>
            <w:del w:id="505" w:author="svcMRProcess" w:date="2020-02-24T11:23:00Z">
              <w:r>
                <w:delText>s. 6(1)(b)</w:delText>
              </w:r>
            </w:del>
          </w:p>
        </w:tc>
        <w:tc>
          <w:tcPr>
            <w:tcW w:w="2702" w:type="dxa"/>
          </w:tcPr>
          <w:p>
            <w:pPr>
              <w:pStyle w:val="nzTable"/>
              <w:rPr>
                <w:del w:id="506" w:author="svcMRProcess" w:date="2020-02-24T11:23:00Z"/>
              </w:rPr>
            </w:pPr>
            <w:del w:id="507" w:author="svcMRProcess" w:date="2020-02-24T11:23:00Z">
              <w:r>
                <w:delText>s. 29(2)</w:delText>
              </w:r>
            </w:del>
          </w:p>
        </w:tc>
      </w:tr>
      <w:tr>
        <w:trPr>
          <w:del w:id="508" w:author="svcMRProcess" w:date="2020-02-24T11:23:00Z"/>
        </w:trPr>
        <w:tc>
          <w:tcPr>
            <w:tcW w:w="3047" w:type="dxa"/>
          </w:tcPr>
          <w:p>
            <w:pPr>
              <w:pStyle w:val="nzTable"/>
              <w:rPr>
                <w:del w:id="509" w:author="svcMRProcess" w:date="2020-02-24T11:23:00Z"/>
              </w:rPr>
            </w:pPr>
            <w:del w:id="510" w:author="svcMRProcess" w:date="2020-02-24T11:23:00Z">
              <w:r>
                <w:delText>s. 9(1) and (4)</w:delText>
              </w:r>
            </w:del>
          </w:p>
        </w:tc>
        <w:tc>
          <w:tcPr>
            <w:tcW w:w="2702" w:type="dxa"/>
          </w:tcPr>
          <w:p>
            <w:pPr>
              <w:pStyle w:val="nzTable"/>
              <w:rPr>
                <w:del w:id="511" w:author="svcMRProcess" w:date="2020-02-24T11:23:00Z"/>
              </w:rPr>
            </w:pPr>
            <w:del w:id="512" w:author="svcMRProcess" w:date="2020-02-24T11:23:00Z">
              <w:r>
                <w:delText>s. 30</w:delText>
              </w:r>
            </w:del>
          </w:p>
        </w:tc>
      </w:tr>
      <w:tr>
        <w:trPr>
          <w:del w:id="513" w:author="svcMRProcess" w:date="2020-02-24T11:23:00Z"/>
        </w:trPr>
        <w:tc>
          <w:tcPr>
            <w:tcW w:w="3047" w:type="dxa"/>
          </w:tcPr>
          <w:p>
            <w:pPr>
              <w:pStyle w:val="nzTable"/>
              <w:rPr>
                <w:del w:id="514" w:author="svcMRProcess" w:date="2020-02-24T11:23:00Z"/>
              </w:rPr>
            </w:pPr>
            <w:del w:id="515" w:author="svcMRProcess" w:date="2020-02-24T11:23:00Z">
              <w:r>
                <w:delText>s. 10(1) and (4)</w:delText>
              </w:r>
            </w:del>
          </w:p>
        </w:tc>
        <w:tc>
          <w:tcPr>
            <w:tcW w:w="2702" w:type="dxa"/>
          </w:tcPr>
          <w:p>
            <w:pPr>
              <w:pStyle w:val="nzTable"/>
              <w:rPr>
                <w:del w:id="516" w:author="svcMRProcess" w:date="2020-02-24T11:23:00Z"/>
              </w:rPr>
            </w:pPr>
            <w:del w:id="517" w:author="svcMRProcess" w:date="2020-02-24T11:23:00Z">
              <w:r>
                <w:delText>s. 32(1)</w:delText>
              </w:r>
            </w:del>
          </w:p>
        </w:tc>
      </w:tr>
      <w:tr>
        <w:trPr>
          <w:del w:id="518" w:author="svcMRProcess" w:date="2020-02-24T11:23:00Z"/>
        </w:trPr>
        <w:tc>
          <w:tcPr>
            <w:tcW w:w="3047" w:type="dxa"/>
          </w:tcPr>
          <w:p>
            <w:pPr>
              <w:pStyle w:val="nzTable"/>
              <w:rPr>
                <w:del w:id="519" w:author="svcMRProcess" w:date="2020-02-24T11:23:00Z"/>
              </w:rPr>
            </w:pPr>
            <w:del w:id="520" w:author="svcMRProcess" w:date="2020-02-24T11:23:00Z">
              <w:r>
                <w:delText>s. 11(2) and (3)</w:delText>
              </w:r>
            </w:del>
          </w:p>
        </w:tc>
        <w:tc>
          <w:tcPr>
            <w:tcW w:w="2702" w:type="dxa"/>
          </w:tcPr>
          <w:p>
            <w:pPr>
              <w:pStyle w:val="nzTable"/>
              <w:rPr>
                <w:del w:id="521" w:author="svcMRProcess" w:date="2020-02-24T11:23:00Z"/>
              </w:rPr>
            </w:pPr>
            <w:del w:id="522" w:author="svcMRProcess" w:date="2020-02-24T11:23:00Z">
              <w:r>
                <w:delText>s. 34(2), (3), (4) and (5)</w:delText>
              </w:r>
            </w:del>
          </w:p>
        </w:tc>
      </w:tr>
      <w:tr>
        <w:trPr>
          <w:del w:id="523" w:author="svcMRProcess" w:date="2020-02-24T11:23:00Z"/>
        </w:trPr>
        <w:tc>
          <w:tcPr>
            <w:tcW w:w="3047" w:type="dxa"/>
          </w:tcPr>
          <w:p>
            <w:pPr>
              <w:pStyle w:val="nzTable"/>
              <w:rPr>
                <w:del w:id="524" w:author="svcMRProcess" w:date="2020-02-24T11:23:00Z"/>
              </w:rPr>
            </w:pPr>
            <w:del w:id="525" w:author="svcMRProcess" w:date="2020-02-24T11:23:00Z">
              <w:r>
                <w:delText>s. 12(1) to (10)</w:delText>
              </w:r>
            </w:del>
          </w:p>
        </w:tc>
        <w:tc>
          <w:tcPr>
            <w:tcW w:w="2702" w:type="dxa"/>
          </w:tcPr>
          <w:p>
            <w:pPr>
              <w:pStyle w:val="nzTable"/>
              <w:rPr>
                <w:del w:id="526" w:author="svcMRProcess" w:date="2020-02-24T11:23:00Z"/>
              </w:rPr>
            </w:pPr>
            <w:del w:id="527" w:author="svcMRProcess" w:date="2020-02-24T11:23:00Z">
              <w:r>
                <w:delText>s. 35(b)</w:delText>
              </w:r>
            </w:del>
          </w:p>
        </w:tc>
      </w:tr>
      <w:tr>
        <w:trPr>
          <w:del w:id="528" w:author="svcMRProcess" w:date="2020-02-24T11:23:00Z"/>
        </w:trPr>
        <w:tc>
          <w:tcPr>
            <w:tcW w:w="3047" w:type="dxa"/>
          </w:tcPr>
          <w:p>
            <w:pPr>
              <w:pStyle w:val="nzTable"/>
              <w:rPr>
                <w:del w:id="529" w:author="svcMRProcess" w:date="2020-02-24T11:23:00Z"/>
              </w:rPr>
            </w:pPr>
            <w:del w:id="530" w:author="svcMRProcess" w:date="2020-02-24T11:23:00Z">
              <w:r>
                <w:delText>s. 13(1) to (7)</w:delText>
              </w:r>
            </w:del>
          </w:p>
        </w:tc>
        <w:tc>
          <w:tcPr>
            <w:tcW w:w="2702" w:type="dxa"/>
          </w:tcPr>
          <w:p>
            <w:pPr>
              <w:pStyle w:val="nzTable"/>
              <w:rPr>
                <w:del w:id="531" w:author="svcMRProcess" w:date="2020-02-24T11:23:00Z"/>
              </w:rPr>
            </w:pPr>
            <w:del w:id="532" w:author="svcMRProcess" w:date="2020-02-24T11:23:00Z">
              <w:r>
                <w:delText>s. 36</w:delText>
              </w:r>
            </w:del>
          </w:p>
        </w:tc>
      </w:tr>
      <w:tr>
        <w:trPr>
          <w:del w:id="533" w:author="svcMRProcess" w:date="2020-02-24T11:23:00Z"/>
        </w:trPr>
        <w:tc>
          <w:tcPr>
            <w:tcW w:w="3047" w:type="dxa"/>
          </w:tcPr>
          <w:p>
            <w:pPr>
              <w:pStyle w:val="nzTable"/>
              <w:rPr>
                <w:del w:id="534" w:author="svcMRProcess" w:date="2020-02-24T11:23:00Z"/>
              </w:rPr>
            </w:pPr>
            <w:del w:id="535" w:author="svcMRProcess" w:date="2020-02-24T11:23:00Z">
              <w:r>
                <w:delText>s. 16(1), (2) and (3)</w:delText>
              </w:r>
            </w:del>
          </w:p>
        </w:tc>
        <w:tc>
          <w:tcPr>
            <w:tcW w:w="2702" w:type="dxa"/>
          </w:tcPr>
          <w:p>
            <w:pPr>
              <w:pStyle w:val="nzTable"/>
              <w:rPr>
                <w:del w:id="536" w:author="svcMRProcess" w:date="2020-02-24T11:23:00Z"/>
              </w:rPr>
            </w:pPr>
            <w:del w:id="537" w:author="svcMRProcess" w:date="2020-02-24T11:23:00Z">
              <w:r>
                <w:delText>s. 37(1), (2) and (3)</w:delText>
              </w:r>
            </w:del>
          </w:p>
        </w:tc>
      </w:tr>
      <w:tr>
        <w:trPr>
          <w:del w:id="538" w:author="svcMRProcess" w:date="2020-02-24T11:23:00Z"/>
        </w:trPr>
        <w:tc>
          <w:tcPr>
            <w:tcW w:w="3047" w:type="dxa"/>
          </w:tcPr>
          <w:p>
            <w:pPr>
              <w:pStyle w:val="nzTable"/>
              <w:rPr>
                <w:del w:id="539" w:author="svcMRProcess" w:date="2020-02-24T11:23:00Z"/>
              </w:rPr>
            </w:pPr>
            <w:del w:id="540" w:author="svcMRProcess" w:date="2020-02-24T11:23:00Z">
              <w:r>
                <w:delText>s. 17(1) and (3)</w:delText>
              </w:r>
            </w:del>
          </w:p>
        </w:tc>
        <w:tc>
          <w:tcPr>
            <w:tcW w:w="2702" w:type="dxa"/>
          </w:tcPr>
          <w:p>
            <w:pPr>
              <w:pStyle w:val="nzTable"/>
              <w:rPr>
                <w:del w:id="541" w:author="svcMRProcess" w:date="2020-02-24T11:23:00Z"/>
              </w:rPr>
            </w:pPr>
            <w:del w:id="542" w:author="svcMRProcess" w:date="2020-02-24T11:23:00Z">
              <w:r>
                <w:delText>s. 38(2), (3) and (4)</w:delText>
              </w:r>
            </w:del>
          </w:p>
        </w:tc>
      </w:tr>
      <w:tr>
        <w:trPr>
          <w:del w:id="543" w:author="svcMRProcess" w:date="2020-02-24T11:23:00Z"/>
        </w:trPr>
        <w:tc>
          <w:tcPr>
            <w:tcW w:w="3047" w:type="dxa"/>
          </w:tcPr>
          <w:p>
            <w:pPr>
              <w:pStyle w:val="nzTable"/>
              <w:rPr>
                <w:del w:id="544" w:author="svcMRProcess" w:date="2020-02-24T11:23:00Z"/>
              </w:rPr>
            </w:pPr>
            <w:del w:id="545" w:author="svcMRProcess" w:date="2020-02-24T11:23:00Z">
              <w:r>
                <w:delText>s. 18(1) and (2)</w:delText>
              </w:r>
            </w:del>
          </w:p>
        </w:tc>
        <w:tc>
          <w:tcPr>
            <w:tcW w:w="2702" w:type="dxa"/>
          </w:tcPr>
          <w:p>
            <w:pPr>
              <w:pStyle w:val="nzTable"/>
              <w:rPr>
                <w:del w:id="546" w:author="svcMRProcess" w:date="2020-02-24T11:23:00Z"/>
              </w:rPr>
            </w:pPr>
            <w:del w:id="547" w:author="svcMRProcess" w:date="2020-02-24T11:23:00Z">
              <w:r>
                <w:delText>s. 42(2)</w:delText>
              </w:r>
            </w:del>
          </w:p>
        </w:tc>
      </w:tr>
      <w:tr>
        <w:trPr>
          <w:del w:id="548" w:author="svcMRProcess" w:date="2020-02-24T11:23:00Z"/>
        </w:trPr>
        <w:tc>
          <w:tcPr>
            <w:tcW w:w="3047" w:type="dxa"/>
          </w:tcPr>
          <w:p>
            <w:pPr>
              <w:pStyle w:val="nzTable"/>
              <w:keepNext/>
              <w:keepLines/>
              <w:rPr>
                <w:del w:id="549" w:author="svcMRProcess" w:date="2020-02-24T11:23:00Z"/>
              </w:rPr>
            </w:pPr>
            <w:del w:id="550" w:author="svcMRProcess" w:date="2020-02-24T11:23:00Z">
              <w:r>
                <w:delText>s. 19(1), (9) and (10)</w:delText>
              </w:r>
            </w:del>
          </w:p>
        </w:tc>
        <w:tc>
          <w:tcPr>
            <w:tcW w:w="2702" w:type="dxa"/>
          </w:tcPr>
          <w:p>
            <w:pPr>
              <w:pStyle w:val="nzTable"/>
              <w:keepNext/>
              <w:keepLines/>
              <w:rPr>
                <w:del w:id="551" w:author="svcMRProcess" w:date="2020-02-24T11:23:00Z"/>
              </w:rPr>
            </w:pPr>
            <w:del w:id="552" w:author="svcMRProcess" w:date="2020-02-24T11:23:00Z">
              <w:r>
                <w:delText>s. 44(3), (4) and (5)</w:delText>
              </w:r>
            </w:del>
          </w:p>
        </w:tc>
      </w:tr>
      <w:tr>
        <w:trPr>
          <w:del w:id="553" w:author="svcMRProcess" w:date="2020-02-24T11:23:00Z"/>
        </w:trPr>
        <w:tc>
          <w:tcPr>
            <w:tcW w:w="3047" w:type="dxa"/>
          </w:tcPr>
          <w:p>
            <w:pPr>
              <w:pStyle w:val="nzTable"/>
              <w:rPr>
                <w:del w:id="554" w:author="svcMRProcess" w:date="2020-02-24T11:23:00Z"/>
              </w:rPr>
            </w:pPr>
            <w:del w:id="555" w:author="svcMRProcess" w:date="2020-02-24T11:23:00Z">
              <w:r>
                <w:delText>s. 20(2), (3), (5) and (6)</w:delText>
              </w:r>
            </w:del>
          </w:p>
        </w:tc>
        <w:tc>
          <w:tcPr>
            <w:tcW w:w="2702" w:type="dxa"/>
          </w:tcPr>
          <w:p>
            <w:pPr>
              <w:pStyle w:val="nzTable"/>
              <w:rPr>
                <w:del w:id="556" w:author="svcMRProcess" w:date="2020-02-24T11:23:00Z"/>
              </w:rPr>
            </w:pPr>
            <w:del w:id="557" w:author="svcMRProcess" w:date="2020-02-24T11:23:00Z">
              <w:r>
                <w:delText>s. 45(1), (3), (4) and (6)</w:delText>
              </w:r>
            </w:del>
          </w:p>
        </w:tc>
      </w:tr>
    </w:tbl>
    <w:p>
      <w:pPr>
        <w:pStyle w:val="BlankClose"/>
        <w:rPr>
          <w:del w:id="558" w:author="svcMRProcess" w:date="2020-02-24T11:23:00Z"/>
        </w:rPr>
      </w:pPr>
    </w:p>
    <w:p>
      <w:pPr>
        <w:pStyle w:val="nNote"/>
      </w:pPr>
      <w:del w:id="559" w:author="svcMRProcess" w:date="2020-02-24T11:23:00Z">
        <w:r>
          <w:rPr>
            <w:vertAlign w:val="superscript"/>
          </w:rPr>
          <w:delText>6</w:delText>
        </w:r>
      </w:del>
      <w:ins w:id="560" w:author="svcMRProcess" w:date="2020-02-24T11:23:00Z">
        <w:r>
          <w:rPr>
            <w:vertAlign w:val="superscript"/>
          </w:rPr>
          <w:t>4</w:t>
        </w:r>
      </w:ins>
      <w:r>
        <w:tab/>
        <w:t xml:space="preserve">The amendment in the </w:t>
      </w:r>
      <w:r>
        <w:rPr>
          <w:i/>
          <w:iCs/>
        </w:rPr>
        <w:t xml:space="preserve">Statutes (Repeals and Minor Amendments) Act 2009 </w:t>
      </w:r>
      <w:r>
        <w:t xml:space="preserve">s. 5(5) to s. 8(2)(c) of this Act is not included because the paragraph it sought to amend had been replaced by the </w:t>
      </w:r>
      <w:r>
        <w:rPr>
          <w:i/>
          <w:iCs/>
        </w:rPr>
        <w:t>Acts Amendment (Bankruptcy) Act 2009</w:t>
      </w:r>
      <w:r>
        <w:t xml:space="preserve"> s. 17 before the amendment purported to come into operation.</w:t>
      </w:r>
    </w:p>
    <w:p>
      <w:pPr>
        <w:pStyle w:val="nSubsection"/>
        <w:keepLines/>
        <w:spacing w:before="120"/>
        <w:rPr>
          <w:del w:id="561" w:author="svcMRProcess" w:date="2020-02-24T11:23:00Z"/>
          <w:snapToGrid w:val="0"/>
        </w:rPr>
      </w:pPr>
      <w:del w:id="562" w:author="svcMRProcess" w:date="2020-02-24T11:23:00Z">
        <w:r>
          <w:rPr>
            <w:snapToGrid w:val="0"/>
            <w:szCs w:val="19"/>
            <w:vertAlign w:val="superscript"/>
          </w:rPr>
          <w:delText>7</w:delText>
        </w:r>
        <w:r>
          <w:rPr>
            <w:snapToGrid w:val="0"/>
            <w:szCs w:val="19"/>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9</w:delText>
        </w:r>
        <w:r>
          <w:rPr>
            <w:snapToGrid w:val="0"/>
          </w:rPr>
          <w:delText xml:space="preserve"> had not come into operation.  It reads as follows:</w:delText>
        </w:r>
      </w:del>
    </w:p>
    <w:p>
      <w:pPr>
        <w:pStyle w:val="BlankOpen"/>
        <w:rPr>
          <w:del w:id="563" w:author="svcMRProcess" w:date="2020-02-24T11:23:00Z"/>
          <w:snapToGrid w:val="0"/>
        </w:rPr>
      </w:pPr>
    </w:p>
    <w:p>
      <w:pPr>
        <w:pStyle w:val="nzHeading2"/>
        <w:rPr>
          <w:del w:id="564" w:author="svcMRProcess" w:date="2020-02-24T11:23:00Z"/>
          <w:rStyle w:val="CharPartText"/>
        </w:rPr>
      </w:pPr>
      <w:bookmarkStart w:id="565" w:name="_Toc404165586"/>
      <w:bookmarkStart w:id="566" w:name="_Toc404165739"/>
      <w:bookmarkStart w:id="567" w:name="_Toc404165892"/>
      <w:bookmarkStart w:id="568" w:name="_Toc404171391"/>
      <w:bookmarkStart w:id="569" w:name="_Toc404172158"/>
      <w:bookmarkStart w:id="570" w:name="_Toc404260322"/>
      <w:bookmarkStart w:id="571" w:name="_Toc404260475"/>
      <w:bookmarkStart w:id="572" w:name="_Toc404261292"/>
      <w:bookmarkStart w:id="573" w:name="_Toc404317240"/>
      <w:bookmarkStart w:id="574" w:name="_Toc451258323"/>
      <w:bookmarkStart w:id="575" w:name="_Toc451258476"/>
      <w:bookmarkStart w:id="576" w:name="_Toc451258629"/>
      <w:bookmarkStart w:id="577" w:name="_Toc451259646"/>
      <w:bookmarkStart w:id="578" w:name="_Toc451259982"/>
      <w:bookmarkStart w:id="579" w:name="_Toc451260135"/>
      <w:bookmarkStart w:id="580" w:name="_Toc451261427"/>
      <w:bookmarkStart w:id="581" w:name="_Toc451331863"/>
      <w:bookmarkStart w:id="582" w:name="_Toc461700764"/>
      <w:bookmarkStart w:id="583" w:name="_Toc461700914"/>
      <w:bookmarkStart w:id="584" w:name="_Toc461701064"/>
      <w:bookmarkStart w:id="585" w:name="_Toc461786171"/>
      <w:bookmarkStart w:id="586" w:name="_Toc461786446"/>
      <w:bookmarkStart w:id="587" w:name="_Toc461786636"/>
      <w:bookmarkStart w:id="588" w:name="_Toc461799213"/>
      <w:bookmarkStart w:id="589" w:name="_Toc462241277"/>
      <w:del w:id="590" w:author="svcMRProcess" w:date="2020-02-24T11:23:00Z">
        <w:r>
          <w:rPr>
            <w:rStyle w:val="CharPartNo"/>
          </w:rPr>
          <w:delText>Part 3</w:delText>
        </w:r>
        <w:r>
          <w:delText> — </w:delText>
        </w:r>
        <w:r>
          <w:rPr>
            <w:rStyle w:val="CharPartText"/>
          </w:rPr>
          <w:delText>Amendments to other Acts in relation to regional subsidiaries</w:delTex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del>
    </w:p>
    <w:p>
      <w:pPr>
        <w:pStyle w:val="nzHeading3"/>
        <w:rPr>
          <w:del w:id="591" w:author="svcMRProcess" w:date="2020-02-24T11:23:00Z"/>
        </w:rPr>
      </w:pPr>
      <w:bookmarkStart w:id="592" w:name="_Toc404165612"/>
      <w:bookmarkStart w:id="593" w:name="_Toc404165765"/>
      <w:bookmarkStart w:id="594" w:name="_Toc404165918"/>
      <w:bookmarkStart w:id="595" w:name="_Toc404171417"/>
      <w:bookmarkStart w:id="596" w:name="_Toc404172184"/>
      <w:bookmarkStart w:id="597" w:name="_Toc404260348"/>
      <w:bookmarkStart w:id="598" w:name="_Toc404260501"/>
      <w:bookmarkStart w:id="599" w:name="_Toc404261318"/>
      <w:bookmarkStart w:id="600" w:name="_Toc404317266"/>
      <w:bookmarkStart w:id="601" w:name="_Toc451258349"/>
      <w:bookmarkStart w:id="602" w:name="_Toc451258502"/>
      <w:bookmarkStart w:id="603" w:name="_Toc451258655"/>
      <w:bookmarkStart w:id="604" w:name="_Toc451259672"/>
      <w:bookmarkStart w:id="605" w:name="_Toc451260008"/>
      <w:bookmarkStart w:id="606" w:name="_Toc451260161"/>
      <w:bookmarkStart w:id="607" w:name="_Toc451261453"/>
      <w:bookmarkStart w:id="608" w:name="_Toc451331889"/>
      <w:bookmarkStart w:id="609" w:name="_Toc461700790"/>
      <w:bookmarkStart w:id="610" w:name="_Toc461700940"/>
      <w:bookmarkStart w:id="611" w:name="_Toc461701090"/>
      <w:bookmarkStart w:id="612" w:name="_Toc461786197"/>
      <w:bookmarkStart w:id="613" w:name="_Toc461786472"/>
      <w:bookmarkStart w:id="614" w:name="_Toc461786662"/>
      <w:bookmarkStart w:id="615" w:name="_Toc461799239"/>
      <w:bookmarkStart w:id="616" w:name="_Toc462241303"/>
      <w:del w:id="617" w:author="svcMRProcess" w:date="2020-02-24T11:23:00Z">
        <w:r>
          <w:rPr>
            <w:rStyle w:val="CharDivNo"/>
          </w:rPr>
          <w:delText>Division 9</w:delText>
        </w:r>
        <w:r>
          <w:delText> — </w:delText>
        </w:r>
        <w:r>
          <w:rPr>
            <w:rStyle w:val="CharDivText"/>
            <w:i/>
          </w:rPr>
          <w:delText>Commissioner for Children and Young People Act 2006</w:delText>
        </w:r>
        <w:r>
          <w:rPr>
            <w:rStyle w:val="CharDivText"/>
          </w:rPr>
          <w:delText xml:space="preserve"> amended</w:delTex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del>
    </w:p>
    <w:p>
      <w:pPr>
        <w:pStyle w:val="nzHeading5"/>
        <w:rPr>
          <w:del w:id="618" w:author="svcMRProcess" w:date="2020-02-24T11:23:00Z"/>
        </w:rPr>
      </w:pPr>
      <w:bookmarkStart w:id="619" w:name="_Toc461799240"/>
      <w:bookmarkStart w:id="620" w:name="_Toc462241304"/>
      <w:del w:id="621" w:author="svcMRProcess" w:date="2020-02-24T11:23:00Z">
        <w:r>
          <w:rPr>
            <w:rStyle w:val="CharSectno"/>
          </w:rPr>
          <w:delText>43</w:delText>
        </w:r>
        <w:r>
          <w:delText>.</w:delText>
        </w:r>
        <w:r>
          <w:tab/>
          <w:delText>Act amended</w:delText>
        </w:r>
        <w:bookmarkEnd w:id="619"/>
        <w:bookmarkEnd w:id="620"/>
      </w:del>
    </w:p>
    <w:p>
      <w:pPr>
        <w:pStyle w:val="nzSubsection"/>
        <w:rPr>
          <w:del w:id="622" w:author="svcMRProcess" w:date="2020-02-24T11:23:00Z"/>
        </w:rPr>
      </w:pPr>
      <w:del w:id="623" w:author="svcMRProcess" w:date="2020-02-24T11:23:00Z">
        <w:r>
          <w:tab/>
        </w:r>
        <w:r>
          <w:tab/>
          <w:delText xml:space="preserve">This Division amends the </w:delText>
        </w:r>
        <w:r>
          <w:rPr>
            <w:i/>
          </w:rPr>
          <w:delText>Commissioner for Children and Young People Act 2006.</w:delText>
        </w:r>
      </w:del>
    </w:p>
    <w:p>
      <w:pPr>
        <w:pStyle w:val="nzHeading5"/>
        <w:rPr>
          <w:del w:id="624" w:author="svcMRProcess" w:date="2020-02-24T11:23:00Z"/>
        </w:rPr>
      </w:pPr>
      <w:bookmarkStart w:id="625" w:name="_Toc461799241"/>
      <w:bookmarkStart w:id="626" w:name="_Toc462241305"/>
      <w:del w:id="627" w:author="svcMRProcess" w:date="2020-02-24T11:23:00Z">
        <w:r>
          <w:rPr>
            <w:rStyle w:val="CharSectno"/>
          </w:rPr>
          <w:delText>44</w:delText>
        </w:r>
        <w:r>
          <w:delText>.</w:delText>
        </w:r>
        <w:r>
          <w:tab/>
          <w:delText>Section 5 amended</w:delText>
        </w:r>
        <w:bookmarkEnd w:id="625"/>
        <w:bookmarkEnd w:id="626"/>
      </w:del>
    </w:p>
    <w:p>
      <w:pPr>
        <w:pStyle w:val="nzSubsection"/>
        <w:rPr>
          <w:del w:id="628" w:author="svcMRProcess" w:date="2020-02-24T11:23:00Z"/>
        </w:rPr>
      </w:pPr>
      <w:del w:id="629" w:author="svcMRProcess" w:date="2020-02-24T11:23:00Z">
        <w:r>
          <w:tab/>
        </w:r>
        <w:r>
          <w:tab/>
          <w:delText xml:space="preserve">In section 5 in the definition of </w:delText>
        </w:r>
        <w:r>
          <w:rPr>
            <w:b/>
            <w:i/>
          </w:rPr>
          <w:delText xml:space="preserve">government agency </w:delText>
        </w:r>
        <w:r>
          <w:delText>delete paragraph (c) and insert:</w:delText>
        </w:r>
      </w:del>
    </w:p>
    <w:p>
      <w:pPr>
        <w:pStyle w:val="BlankOpen"/>
        <w:rPr>
          <w:del w:id="630" w:author="svcMRProcess" w:date="2020-02-24T11:23:00Z"/>
        </w:rPr>
      </w:pPr>
    </w:p>
    <w:p>
      <w:pPr>
        <w:pStyle w:val="nzDefpara"/>
        <w:rPr>
          <w:del w:id="631" w:author="svcMRProcess" w:date="2020-02-24T11:23:00Z"/>
        </w:rPr>
      </w:pPr>
      <w:del w:id="632" w:author="svcMRProcess" w:date="2020-02-24T11:23:00Z">
        <w:r>
          <w:tab/>
          <w:delText>(c)</w:delText>
        </w:r>
        <w:r>
          <w:tab/>
          <w:delText>a local government, regional local government or regional subsidiary; or</w:delText>
        </w:r>
      </w:del>
    </w:p>
    <w:p>
      <w:pPr>
        <w:pStyle w:val="BlankClose"/>
        <w:keepNext/>
        <w:rPr>
          <w:del w:id="633" w:author="svcMRProcess" w:date="2020-02-24T11:23:00Z"/>
        </w:rPr>
      </w:pPr>
    </w:p>
    <w:p>
      <w:pPr>
        <w:pStyle w:val="BlankClose"/>
        <w:keepNext/>
        <w:rPr>
          <w:del w:id="634" w:author="svcMRProcess" w:date="2020-02-24T11:23: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6" w:name="Coversheet"/>
    <w:bookmarkEnd w:id="6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4" w:name="Schedule"/>
    <w:bookmarkEnd w:id="3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lvlText w:val="%1."/>
      <w:lvlJc w:val="left"/>
      <w:pPr>
        <w:tabs>
          <w:tab w:val="num" w:pos="1800"/>
        </w:tabs>
        <w:ind w:left="1800" w:hanging="360"/>
      </w:pPr>
    </w:lvl>
  </w:abstractNum>
  <w:abstractNum w:abstractNumId="1">
    <w:nsid w:val="FFFFFF7D"/>
    <w:multiLevelType w:val="singleLevel"/>
    <w:tmpl w:val="FC864EE8"/>
    <w:lvl w:ilvl="0">
      <w:start w:val="1"/>
      <w:numFmt w:val="decimal"/>
      <w:lvlText w:val="%1."/>
      <w:lvlJc w:val="left"/>
      <w:pPr>
        <w:tabs>
          <w:tab w:val="num" w:pos="1440"/>
        </w:tabs>
        <w:ind w:left="1440" w:hanging="360"/>
      </w:pPr>
    </w:lvl>
  </w:abstractNum>
  <w:abstractNum w:abstractNumId="2">
    <w:nsid w:val="FFFFFF7E"/>
    <w:multiLevelType w:val="singleLevel"/>
    <w:tmpl w:val="6482362E"/>
    <w:lvl w:ilvl="0">
      <w:start w:val="1"/>
      <w:numFmt w:val="decimal"/>
      <w:lvlText w:val="%1."/>
      <w:lvlJc w:val="left"/>
      <w:pPr>
        <w:tabs>
          <w:tab w:val="num" w:pos="1080"/>
        </w:tabs>
        <w:ind w:left="1080" w:hanging="360"/>
      </w:pPr>
    </w:lvl>
  </w:abstractNum>
  <w:abstractNum w:abstractNumId="3">
    <w:nsid w:val="FFFFFF7F"/>
    <w:multiLevelType w:val="singleLevel"/>
    <w:tmpl w:val="11AC6CA4"/>
    <w:lvl w:ilvl="0">
      <w:start w:val="1"/>
      <w:numFmt w:val="decimal"/>
      <w:lvlText w:val="%1."/>
      <w:lvlJc w:val="left"/>
      <w:pPr>
        <w:tabs>
          <w:tab w:val="num" w:pos="720"/>
        </w:tabs>
        <w:ind w:left="720" w:hanging="360"/>
      </w:pPr>
    </w:lvl>
  </w:abstractNum>
  <w:abstractNum w:abstractNumId="4">
    <w:nsid w:val="FFFFFF80"/>
    <w:multiLevelType w:val="singleLevel"/>
    <w:tmpl w:val="38EE5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lvlText w:val="%1."/>
      <w:lvlJc w:val="left"/>
      <w:pPr>
        <w:tabs>
          <w:tab w:val="num" w:pos="360"/>
        </w:tabs>
        <w:ind w:left="360" w:hanging="360"/>
      </w:pPr>
    </w:lvl>
  </w:abstractNum>
  <w:abstractNum w:abstractNumId="9">
    <w:nsid w:val="FFFFFF89"/>
    <w:multiLevelType w:val="singleLevel"/>
    <w:tmpl w:val="64403F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3203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1738"/>
    <w:docVar w:name="WAFER_20131217135219" w:val="RemoveTocBookmarks,RemoveUnusedBookmarks,RemoveLanguageTags,UsedStyles,ResetPageSize,UpdateArrangement"/>
    <w:docVar w:name="WAFER_20131217135219_GUID" w:val="aa3f9dc1-546a-4aa3-b9e0-ac62657c6589"/>
    <w:docVar w:name="WAFER_20150330145141" w:val="ResetPageSize,UpdateArrangement,UpdateNTable"/>
    <w:docVar w:name="WAFER_20150330145141_GUID" w:val="5a35fe92-2085-4ef1-91fa-3b8abb8e86d9"/>
    <w:docVar w:name="WAFER_20151102161037" w:val="UpdateStyles,UsedStyles"/>
    <w:docVar w:name="WAFER_20151102161037_GUID" w:val="a6b306a7-5f37-44da-b209-a005c3169a26"/>
    <w:docVar w:name="WAFER_202002121617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738_GUID" w:val="e5cd7202-4c6d-4210-b9d6-257e3a1acd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7460</Words>
  <Characters>36855</Characters>
  <Application>Microsoft Office Word</Application>
  <DocSecurity>0</DocSecurity>
  <Lines>1053</Lines>
  <Paragraphs>575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01-b0-01 - 01-c0-03</dc:title>
  <dc:subject/>
  <dc:creator/>
  <cp:keywords/>
  <dc:description/>
  <cp:lastModifiedBy>svcMRProcess</cp:lastModifiedBy>
  <cp:revision>2</cp:revision>
  <cp:lastPrinted>2012-03-28T05:40:00Z</cp:lastPrinted>
  <dcterms:created xsi:type="dcterms:W3CDTF">2020-02-24T03:23:00Z</dcterms:created>
  <dcterms:modified xsi:type="dcterms:W3CDTF">2020-02-24T03:23:00Z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OwlsUID">
    <vt:i4>146578</vt:i4>
  </property>
  <property fmtid="{D5CDD505-2E9C-101B-9397-08002B2CF9AE}" pid="4" name="ReprintedAsAt">
    <vt:filetime>2012-03-08T16:00:00Z</vt:filetime>
  </property>
  <property fmtid="{D5CDD505-2E9C-101B-9397-08002B2CF9AE}" pid="5" name="ReprintNo">
    <vt:lpwstr>1</vt:lpwstr>
  </property>
  <property fmtid="{D5CDD505-2E9C-101B-9397-08002B2CF9AE}" pid="6" name="DocumentType">
    <vt:lpwstr>Act</vt:lpwstr>
  </property>
  <property fmtid="{D5CDD505-2E9C-101B-9397-08002B2CF9AE}" pid="7" name="CommencementDate">
    <vt:lpwstr>20170121</vt:lpwstr>
  </property>
  <property fmtid="{D5CDD505-2E9C-101B-9397-08002B2CF9AE}" pid="8" name="FromSuffix">
    <vt:lpwstr>01-b0-01</vt:lpwstr>
  </property>
  <property fmtid="{D5CDD505-2E9C-101B-9397-08002B2CF9AE}" pid="9" name="FromAsAtDate">
    <vt:lpwstr>21 Sep 2016</vt:lpwstr>
  </property>
  <property fmtid="{D5CDD505-2E9C-101B-9397-08002B2CF9AE}" pid="10" name="ToSuffix">
    <vt:lpwstr>01-c0-03</vt:lpwstr>
  </property>
  <property fmtid="{D5CDD505-2E9C-101B-9397-08002B2CF9AE}" pid="11" name="ToAsAtDate">
    <vt:lpwstr>21 Jan 2017</vt:lpwstr>
  </property>
</Properties>
</file>