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Crime and Misconduct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06-b0-00</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720" w:after="840"/>
      </w:pPr>
      <w:r>
        <w:t>Corruption, Crime and Misconduct Act 2003</w:t>
      </w:r>
    </w:p>
    <w:p>
      <w:pPr>
        <w:pStyle w:val="LongTitle"/>
        <w:outlineLvl w:val="0"/>
      </w:pPr>
      <w:r>
        <w:t>A</w:t>
      </w:r>
      <w:bookmarkStart w:id="1" w:name="_GoBack"/>
      <w:bookmarkEnd w:id="1"/>
      <w:r>
        <w:t>n Act to —</w:t>
      </w:r>
    </w:p>
    <w:p>
      <w:pPr>
        <w:pStyle w:val="LongTitle2"/>
        <w:spacing w:before="60"/>
      </w:pPr>
      <w:r>
        <w:tab/>
        <w:t>•</w:t>
      </w:r>
      <w:r>
        <w:tab/>
        <w:t xml:space="preserve">provide for </w:t>
      </w:r>
      <w:r>
        <w:rPr>
          <w:snapToGrid w:val="0"/>
        </w:rPr>
        <w:t xml:space="preserve">the establishment and operation of a Corruption and Crime </w:t>
      </w:r>
      <w:r>
        <w:t>Commission with functions with respect to serious misconduct by public officers and organised crime; and</w:t>
      </w:r>
    </w:p>
    <w:p>
      <w:pPr>
        <w:pStyle w:val="LongTitle2"/>
        <w:spacing w:before="60"/>
      </w:pPr>
      <w:r>
        <w:tab/>
        <w:t>•</w:t>
      </w:r>
      <w:r>
        <w:tab/>
      </w:r>
      <w:r>
        <w:rPr>
          <w:snapToGrid w:val="0"/>
        </w:rPr>
        <w:t>confer on the Public Sector Commissioner functions</w:t>
      </w:r>
      <w:r>
        <w:t xml:space="preserve"> with respect to misconduct by public officers; and</w:t>
      </w:r>
    </w:p>
    <w:p>
      <w:pPr>
        <w:pStyle w:val="LongTitle2"/>
        <w:spacing w:before="60"/>
      </w:pPr>
      <w:r>
        <w:rPr>
          <w:snapToGrid w:val="0"/>
        </w:rPr>
        <w:tab/>
      </w:r>
      <w:r>
        <w:t>•</w:t>
      </w:r>
      <w:r>
        <w:tab/>
      </w:r>
      <w:r>
        <w:rPr>
          <w:snapToGrid w:val="0"/>
        </w:rPr>
        <w:t xml:space="preserve">provide for the establishment and operation of a Parliamentary Inspector of the Corruption and Crime </w:t>
      </w:r>
      <w:r>
        <w:t>Commission.</w:t>
      </w:r>
    </w:p>
    <w:p>
      <w:pPr>
        <w:pStyle w:val="Footnotelongtitle"/>
      </w:pPr>
      <w:r>
        <w:tab/>
        <w:t>[Long title amended by No. 78 of 2003 s. 4; No. 35 of 2014 s. 4.]</w:t>
      </w:r>
    </w:p>
    <w:p>
      <w:pPr>
        <w:pStyle w:val="Heading2"/>
      </w:pPr>
      <w:bookmarkStart w:id="2" w:name="_Toc425842633"/>
      <w:bookmarkStart w:id="3" w:name="_Toc426107746"/>
      <w:bookmarkStart w:id="4" w:name="_Toc462413472"/>
      <w:bookmarkStart w:id="5" w:name="_Toc472672272"/>
      <w:bookmarkStart w:id="6" w:name="_Toc472679102"/>
      <w:bookmarkStart w:id="7" w:name="_Toc472679723"/>
      <w:bookmarkStart w:id="8" w:name="_Toc472680068"/>
      <w:bookmarkStart w:id="9" w:name="_Toc473892886"/>
      <w:bookmarkStart w:id="10" w:name="_Toc473893231"/>
      <w:bookmarkStart w:id="11" w:name="_Toc473893576"/>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p>
    <w:p>
      <w:pPr>
        <w:pStyle w:val="Heading3"/>
      </w:pPr>
      <w:bookmarkStart w:id="12" w:name="_Toc425842634"/>
      <w:bookmarkStart w:id="13" w:name="_Toc426107747"/>
      <w:bookmarkStart w:id="14" w:name="_Toc462413473"/>
      <w:bookmarkStart w:id="15" w:name="_Toc472672273"/>
      <w:bookmarkStart w:id="16" w:name="_Toc472679103"/>
      <w:bookmarkStart w:id="17" w:name="_Toc472679724"/>
      <w:bookmarkStart w:id="18" w:name="_Toc472680069"/>
      <w:bookmarkStart w:id="19" w:name="_Toc473892887"/>
      <w:bookmarkStart w:id="20" w:name="_Toc473893232"/>
      <w:bookmarkStart w:id="21" w:name="_Toc473893577"/>
      <w:r>
        <w:rPr>
          <w:rStyle w:val="CharDivNo"/>
        </w:rPr>
        <w:t>Division 1</w:t>
      </w:r>
      <w:r>
        <w:t> — </w:t>
      </w:r>
      <w:r>
        <w:rPr>
          <w:rStyle w:val="CharDivText"/>
        </w:rPr>
        <w:t>Introduction</w:t>
      </w:r>
      <w:bookmarkEnd w:id="12"/>
      <w:bookmarkEnd w:id="13"/>
      <w:bookmarkEnd w:id="14"/>
      <w:bookmarkEnd w:id="15"/>
      <w:bookmarkEnd w:id="16"/>
      <w:bookmarkEnd w:id="17"/>
      <w:bookmarkEnd w:id="18"/>
      <w:bookmarkEnd w:id="19"/>
      <w:bookmarkEnd w:id="20"/>
      <w:bookmarkEnd w:id="21"/>
    </w:p>
    <w:p>
      <w:pPr>
        <w:pStyle w:val="Footnoteheading"/>
        <w:tabs>
          <w:tab w:val="left" w:pos="924"/>
        </w:tabs>
        <w:spacing w:after="80"/>
      </w:pPr>
      <w:r>
        <w:tab/>
        <w:t>[Heading inserted by No. 78 of 2003 s. 7(1).]</w:t>
      </w:r>
    </w:p>
    <w:p>
      <w:pPr>
        <w:pStyle w:val="Heading5"/>
        <w:keepNext w:val="0"/>
        <w:keepLines w:val="0"/>
        <w:spacing w:before="240"/>
        <w:rPr>
          <w:snapToGrid w:val="0"/>
        </w:rPr>
      </w:pPr>
      <w:bookmarkStart w:id="22" w:name="_Toc473893578"/>
      <w:bookmarkStart w:id="23" w:name="_Toc462413474"/>
      <w:r>
        <w:rPr>
          <w:rStyle w:val="CharSectno"/>
        </w:rPr>
        <w:t>1</w:t>
      </w:r>
      <w:r>
        <w:rPr>
          <w:snapToGrid w:val="0"/>
        </w:rPr>
        <w:t>.</w:t>
      </w:r>
      <w:r>
        <w:rPr>
          <w:snapToGrid w:val="0"/>
        </w:rPr>
        <w:tab/>
        <w:t>Short title</w:t>
      </w:r>
      <w:bookmarkEnd w:id="22"/>
      <w:bookmarkEnd w:id="23"/>
    </w:p>
    <w:p>
      <w:pPr>
        <w:pStyle w:val="Subsection"/>
      </w:pPr>
      <w:r>
        <w:rPr>
          <w:snapToGrid w:val="0"/>
        </w:rPr>
        <w:tab/>
      </w:r>
      <w:r>
        <w:rPr>
          <w:snapToGrid w:val="0"/>
        </w:rPr>
        <w:tab/>
      </w:r>
      <w:r>
        <w:t>This</w:t>
      </w:r>
      <w:r>
        <w:rPr>
          <w:snapToGrid w:val="0"/>
        </w:rPr>
        <w:t xml:space="preserve"> Act may be cited as the</w:t>
      </w:r>
      <w:r>
        <w:rPr>
          <w:i/>
          <w:snapToGrid w:val="0"/>
        </w:rPr>
        <w:t xml:space="preserve"> </w:t>
      </w:r>
      <w:r>
        <w:rPr>
          <w:i/>
        </w:rPr>
        <w:t>Corruption, Crime and Misconduct Act 2003</w:t>
      </w:r>
      <w:r>
        <w:rPr>
          <w:snapToGrid w:val="0"/>
          <w:vertAlign w:val="superscript"/>
        </w:rPr>
        <w:t> 1</w:t>
      </w:r>
      <w:r>
        <w:rPr>
          <w:snapToGrid w:val="0"/>
        </w:rPr>
        <w:t xml:space="preserve">. </w:t>
      </w:r>
    </w:p>
    <w:p>
      <w:pPr>
        <w:pStyle w:val="Footnotelongtitle"/>
      </w:pPr>
      <w:r>
        <w:tab/>
        <w:t>[Section 1 amended by No. 35 of 2014 s. 5.]</w:t>
      </w:r>
    </w:p>
    <w:p>
      <w:pPr>
        <w:pStyle w:val="Heading5"/>
        <w:spacing w:before="240"/>
        <w:rPr>
          <w:snapToGrid w:val="0"/>
        </w:rPr>
      </w:pPr>
      <w:bookmarkStart w:id="24" w:name="_Toc473893579"/>
      <w:bookmarkStart w:id="25" w:name="_Toc462413475"/>
      <w:r>
        <w:rPr>
          <w:rStyle w:val="CharSectno"/>
        </w:rPr>
        <w:t>2</w:t>
      </w:r>
      <w:r>
        <w:rPr>
          <w:snapToGrid w:val="0"/>
        </w:rPr>
        <w:t>.</w:t>
      </w:r>
      <w:r>
        <w:rPr>
          <w:snapToGrid w:val="0"/>
        </w:rPr>
        <w:tab/>
        <w:t>Commencement</w:t>
      </w:r>
      <w:bookmarkEnd w:id="24"/>
      <w:bookmarkEnd w:id="25"/>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240"/>
      </w:pPr>
      <w:bookmarkStart w:id="26" w:name="_Toc473893580"/>
      <w:bookmarkStart w:id="27" w:name="_Toc462413476"/>
      <w:r>
        <w:rPr>
          <w:rStyle w:val="CharSectno"/>
        </w:rPr>
        <w:t>3</w:t>
      </w:r>
      <w:r>
        <w:t>.</w:t>
      </w:r>
      <w:r>
        <w:tab/>
        <w:t>Terms used; relationship with other Acts</w:t>
      </w:r>
      <w:bookmarkEnd w:id="26"/>
      <w:bookmarkEnd w:id="27"/>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2</w:t>
      </w:r>
      <w:r>
        <w:t>;</w:t>
      </w:r>
    </w:p>
    <w:p>
      <w:pPr>
        <w:pStyle w:val="Defstart"/>
      </w:pPr>
      <w: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26(1); or</w:t>
      </w:r>
    </w:p>
    <w:p>
      <w:pPr>
        <w:pStyle w:val="Defpara"/>
      </w:pPr>
      <w:r>
        <w:tab/>
        <w:t>(c)</w:t>
      </w:r>
      <w:r>
        <w:tab/>
        <w:t>a matter notified to the Commission under section 28(2); or</w:t>
      </w:r>
    </w:p>
    <w:p>
      <w:pPr>
        <w:pStyle w:val="Defpara"/>
      </w:pPr>
      <w:r>
        <w:tab/>
        <w:t>(d)</w:t>
      </w:r>
      <w:r>
        <w:tab/>
        <w:t>an allegation referred to the Commission under section 45M(d); or</w:t>
      </w:r>
    </w:p>
    <w:p>
      <w:pPr>
        <w:pStyle w:val="Defpara"/>
      </w:pPr>
      <w:r>
        <w:tab/>
        <w:t>(e)</w:t>
      </w:r>
      <w:r>
        <w:tab/>
        <w:t>a received matter; or</w:t>
      </w:r>
    </w:p>
    <w:p>
      <w:pPr>
        <w:pStyle w:val="Defpara"/>
      </w:pPr>
      <w:r>
        <w:tab/>
        <w:t>(f)</w:t>
      </w:r>
      <w:r>
        <w:tab/>
        <w:t>a report made to the Public Sector Commissioner under section 45E(1); or</w:t>
      </w:r>
    </w:p>
    <w:p>
      <w:pPr>
        <w:pStyle w:val="Defpara"/>
      </w:pPr>
      <w:r>
        <w:tab/>
        <w:t>(g)</w:t>
      </w:r>
      <w:r>
        <w:tab/>
        <w:t>a proposition initiated by the Public Sector Commissioner under section 45F(1); or</w:t>
      </w:r>
    </w:p>
    <w:p>
      <w:pPr>
        <w:pStyle w:val="Defpara"/>
      </w:pPr>
      <w:r>
        <w:tab/>
        <w:t>(h)</w:t>
      </w:r>
      <w:r>
        <w:tab/>
        <w:t>a matter notified to the Public Sector Commissioner under section 45H(2);</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the Commission,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spacing w:before="60"/>
      </w:pPr>
      <w:r>
        <w:tab/>
        <w:t>(a)</w:t>
      </w:r>
      <w:r>
        <w:tab/>
        <w:t xml:space="preserve">action under section 8 of the </w:t>
      </w:r>
      <w:r>
        <w:rPr>
          <w:i/>
        </w:rPr>
        <w:t>Police Act 1892</w:t>
      </w:r>
      <w:r>
        <w:t>; and</w:t>
      </w:r>
    </w:p>
    <w:p>
      <w:pPr>
        <w:pStyle w:val="Defpara"/>
        <w:spacing w:before="60"/>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tab/>
      </w:r>
      <w:r>
        <w:rPr>
          <w:rStyle w:val="CharDefText"/>
        </w:rPr>
        <w:t xml:space="preserve">employee of the Police Department </w:t>
      </w:r>
      <w:r>
        <w:t xml:space="preserve">includes an Aboriginal police liaison officer, a police auxiliary officer and a police cadet under the </w:t>
      </w:r>
      <w:r>
        <w:rPr>
          <w:i/>
        </w:rPr>
        <w:t>Police Act 1892</w:t>
      </w:r>
      <w:r>
        <w:t>;</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tab/>
      </w:r>
      <w:r>
        <w:rPr>
          <w:rStyle w:val="CharDefText"/>
        </w:rPr>
        <w:t>investigation</w:t>
      </w:r>
      <w:r>
        <w:t xml:space="preserve"> means an investigation by the Commission, whether alone or in cooperation with another body, under Part 3 (including a preliminary investigation conducted under section 32(2));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minor misconduct</w:t>
      </w:r>
      <w:r>
        <w:t xml:space="preserve"> means misconduct of a kind described in section 4(d) that is not any of the following — </w:t>
      </w:r>
    </w:p>
    <w:p>
      <w:pPr>
        <w:pStyle w:val="Defpara"/>
      </w:pPr>
      <w:r>
        <w:tab/>
        <w:t>(a)</w:t>
      </w:r>
      <w:r>
        <w:tab/>
        <w:t>police misconduct;</w:t>
      </w:r>
    </w:p>
    <w:p>
      <w:pPr>
        <w:pStyle w:val="Defpara"/>
      </w:pPr>
      <w:r>
        <w:tab/>
        <w:t>(b)</w:t>
      </w:r>
      <w:r>
        <w:tab/>
        <w:t>conduct engaged in by a member of a House of Parliament or the Clerk of a House of Parliament;</w:t>
      </w:r>
    </w:p>
    <w:p>
      <w:pPr>
        <w:pStyle w:val="Defpara"/>
        <w:keepNext/>
      </w:pPr>
      <w:r>
        <w:tab/>
        <w:t>(c)</w:t>
      </w:r>
      <w:r>
        <w:tab/>
        <w:t>conduct engaged in by</w:t>
      </w:r>
      <w:del w:id="28" w:author="svcMRProcess" w:date="2018-08-22T15:01:00Z">
        <w:r>
          <w:delText xml:space="preserve"> a member of a local government or council of a local government;</w:delText>
        </w:r>
      </w:del>
      <w:ins w:id="29" w:author="svcMRProcess" w:date="2018-08-22T15:01:00Z">
        <w:r>
          <w:t xml:space="preserve"> — </w:t>
        </w:r>
      </w:ins>
    </w:p>
    <w:p>
      <w:pPr>
        <w:pStyle w:val="Defsubpara"/>
        <w:rPr>
          <w:ins w:id="30" w:author="svcMRProcess" w:date="2018-08-22T15:01:00Z"/>
        </w:rPr>
      </w:pPr>
      <w:ins w:id="31" w:author="svcMRProcess" w:date="2018-08-22T15:01:00Z">
        <w:r>
          <w:tab/>
          <w:t>(i)</w:t>
        </w:r>
        <w:r>
          <w:tab/>
          <w:t>a member of a local government or council of a local government; or</w:t>
        </w:r>
      </w:ins>
    </w:p>
    <w:p>
      <w:pPr>
        <w:pStyle w:val="Defsubpara"/>
        <w:rPr>
          <w:ins w:id="32" w:author="svcMRProcess" w:date="2018-08-22T15:01:00Z"/>
        </w:rPr>
      </w:pPr>
      <w:ins w:id="33" w:author="svcMRProcess" w:date="2018-08-22T15:01:00Z">
        <w:r>
          <w:tab/>
          <w:t>(ii)</w:t>
        </w:r>
        <w:r>
          <w:tab/>
          <w:t>a member of a council of a regional local government;</w:t>
        </w:r>
      </w:ins>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tab/>
      </w:r>
      <w:r>
        <w:rPr>
          <w:rStyle w:val="CharDefText"/>
        </w:rPr>
        <w:t>officer of the Public Sector Commissioner</w:t>
      </w:r>
      <w:r>
        <w:t xml:space="preserve"> means a public service officer employed in, or seconded to, the office of the Public Sector Commissioner;</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Defstart"/>
        <w:keepNext/>
      </w:pPr>
      <w:r>
        <w:tab/>
      </w:r>
      <w:r>
        <w:rPr>
          <w:rStyle w:val="CharDefText"/>
        </w:rPr>
        <w:t>police misconduct</w:t>
      </w:r>
      <w:r>
        <w:t xml:space="preserve"> means — </w:t>
      </w:r>
    </w:p>
    <w:p>
      <w:pPr>
        <w:pStyle w:val="Defpara"/>
      </w:pPr>
      <w:r>
        <w:tab/>
        <w:t>(a)</w:t>
      </w:r>
      <w:r>
        <w:tab/>
        <w:t xml:space="preserve">misconduct by — </w:t>
      </w:r>
    </w:p>
    <w:p>
      <w:pPr>
        <w:pStyle w:val="Defsubpara"/>
      </w:pPr>
      <w:r>
        <w:tab/>
        <w:t>(i)</w:t>
      </w:r>
      <w:r>
        <w:tab/>
        <w:t>a member of the Police Force; or</w:t>
      </w:r>
    </w:p>
    <w:p>
      <w:pPr>
        <w:pStyle w:val="Defsubpara"/>
      </w:pPr>
      <w:r>
        <w:tab/>
        <w:t>(ii)</w:t>
      </w:r>
      <w:r>
        <w:tab/>
        <w:t>an employee of the Police Department; or</w:t>
      </w:r>
    </w:p>
    <w:p>
      <w:pPr>
        <w:pStyle w:val="Defsubpara"/>
      </w:pPr>
      <w:r>
        <w:tab/>
        <w:t>(iii)</w:t>
      </w:r>
      <w:r>
        <w:tab/>
        <w:t>a person seconded to perform functions and services for, or duties in the service of, the Police Department;</w:t>
      </w:r>
    </w:p>
    <w:p>
      <w:pPr>
        <w:pStyle w:val="Defpara"/>
      </w:pPr>
      <w:r>
        <w:tab/>
      </w:r>
      <w:r>
        <w:tab/>
        <w:t>or</w:t>
      </w:r>
    </w:p>
    <w:p>
      <w:pPr>
        <w:pStyle w:val="Defpara"/>
      </w:pPr>
      <w:r>
        <w:tab/>
        <w:t>(b)</w:t>
      </w:r>
      <w:r>
        <w:tab/>
        <w:t>reviewable police action;</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pPr>
      <w:r>
        <w:tab/>
      </w:r>
      <w:r>
        <w:rPr>
          <w:rStyle w:val="CharDefText"/>
        </w:rPr>
        <w:t>police service</w:t>
      </w:r>
      <w:r>
        <w:t xml:space="preserve"> means the organisation consisting of — </w:t>
      </w:r>
    </w:p>
    <w:p>
      <w:pPr>
        <w:pStyle w:val="Defpara"/>
      </w:pPr>
      <w:r>
        <w:tab/>
        <w:t>(a)</w:t>
      </w:r>
      <w:r>
        <w:tab/>
        <w:t>members of the Police Force; and</w:t>
      </w:r>
    </w:p>
    <w:p>
      <w:pPr>
        <w:pStyle w:val="Defpara"/>
      </w:pPr>
      <w:r>
        <w:tab/>
        <w:t>(b)</w:t>
      </w:r>
      <w:r>
        <w:tab/>
        <w:t>employees of the Police Department; and</w:t>
      </w:r>
    </w:p>
    <w:p>
      <w:pPr>
        <w:pStyle w:val="Defpara"/>
      </w:pPr>
      <w:r>
        <w:tab/>
        <w:t>(c)</w:t>
      </w:r>
      <w:r>
        <w:tab/>
        <w:t>persons seconded to perform functions and services for, or duties in the service of, the Police Department;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keepNext/>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keepLines w:val="0"/>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w:t>
      </w:r>
      <w:ins w:id="34" w:author="svcMRProcess" w:date="2018-08-22T15:01:00Z">
        <w:r>
          <w:t>, regional subsidiary</w:t>
        </w:r>
      </w:ins>
      <w:r>
        <w:t xml:space="preserve">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member of the Police Force, an employee of the Police Department or a person seconded to perform functions and services for, or duties in the service of, the Police Department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 </w:t>
      </w:r>
    </w:p>
    <w:p>
      <w:pPr>
        <w:pStyle w:val="Defpara"/>
      </w:pPr>
      <w:r>
        <w:tab/>
        <w:t>(a)</w:t>
      </w:r>
      <w:r>
        <w:tab/>
        <w:t>misconduct of a kind described in section 4(a), (b) or (c) by a public officer; or</w:t>
      </w:r>
    </w:p>
    <w:p>
      <w:pPr>
        <w:pStyle w:val="Defpara"/>
      </w:pPr>
      <w:r>
        <w:tab/>
        <w:t>(b)</w:t>
      </w:r>
      <w:r>
        <w:tab/>
        <w:t>police misconduct;</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Declared Places (Mentally Impaired Accused) Act 2015</w:t>
      </w:r>
      <w:r>
        <w:t xml:space="preserve"> or</w:t>
      </w:r>
      <w:r>
        <w:rPr>
          <w:i/>
        </w:rPr>
        <w:t xml:space="preserve"> </w:t>
      </w:r>
      <w:r>
        <w:t xml:space="preserve">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by a House of Parliament.</w:t>
      </w:r>
    </w:p>
    <w:p>
      <w:pPr>
        <w:pStyle w:val="Footnotesection"/>
        <w:ind w:left="890" w:hanging="890"/>
      </w:pPr>
      <w:r>
        <w:tab/>
        <w:t>[Section 3 amended by No. 78 of 2003 s. 5 and 35(13); No. 77 of 2006 Sch. 1 cl. 35(1) and (2); No. 8 of 2008 s. 11(2) and 23(1); No. 21 of 2008 s. 654(2); No. 39 of 2010 s. 74(2); No. 35 of 2014 s. 6; No. 4 of 2015 s. 84(2</w:t>
      </w:r>
      <w:del w:id="35" w:author="svcMRProcess" w:date="2018-08-22T15:01:00Z">
        <w:r>
          <w:delText>).]</w:delText>
        </w:r>
      </w:del>
      <w:ins w:id="36" w:author="svcMRProcess" w:date="2018-08-22T15:01:00Z">
        <w:r>
          <w:t>); No. 26 of 2016 s. 48.]</w:t>
        </w:r>
      </w:ins>
    </w:p>
    <w:p>
      <w:pPr>
        <w:pStyle w:val="Heading5"/>
      </w:pPr>
      <w:bookmarkStart w:id="37" w:name="_Toc473893581"/>
      <w:bookmarkStart w:id="38" w:name="_Toc462413477"/>
      <w:r>
        <w:rPr>
          <w:rStyle w:val="CharSectno"/>
        </w:rPr>
        <w:t>4</w:t>
      </w:r>
      <w:r>
        <w:t>.</w:t>
      </w:r>
      <w:r>
        <w:tab/>
        <w:t>Term used: misconduct</w:t>
      </w:r>
      <w:bookmarkEnd w:id="37"/>
      <w:bookmarkEnd w:id="38"/>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Ednotesubpara"/>
      </w:pPr>
      <w:r>
        <w:tab/>
        <w:t>[(v)</w:t>
      </w:r>
      <w:r>
        <w:tab/>
        <w:t>deleted]</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by No. 78 of 2003 s. 6; amended by No. 35 of 2014 s. 7.]</w:t>
      </w:r>
    </w:p>
    <w:p>
      <w:pPr>
        <w:pStyle w:val="Heading5"/>
        <w:rPr>
          <w:b w:val="0"/>
          <w:bCs/>
        </w:rPr>
      </w:pPr>
      <w:bookmarkStart w:id="39" w:name="_Toc473893582"/>
      <w:bookmarkStart w:id="40" w:name="_Toc462413478"/>
      <w:r>
        <w:rPr>
          <w:rStyle w:val="CharSectno"/>
        </w:rPr>
        <w:t>5</w:t>
      </w:r>
      <w:r>
        <w:t>.</w:t>
      </w:r>
      <w:r>
        <w:rPr>
          <w:b w:val="0"/>
          <w:bCs/>
        </w:rPr>
        <w:tab/>
      </w:r>
      <w:r>
        <w:t>Term used: section 5 offence</w:t>
      </w:r>
      <w:bookmarkEnd w:id="39"/>
      <w:bookmarkEnd w:id="40"/>
    </w:p>
    <w:p>
      <w:pPr>
        <w:pStyle w:val="Subsection"/>
      </w:pPr>
      <w:r>
        <w:tab/>
      </w:r>
      <w:r>
        <w:tab/>
        <w:t>A section 5 offence is a Schedule 1 offence committed in the course of organised crime.</w:t>
      </w:r>
    </w:p>
    <w:p>
      <w:pPr>
        <w:pStyle w:val="Footnotesection"/>
        <w:ind w:left="890" w:hanging="890"/>
      </w:pPr>
      <w:r>
        <w:tab/>
        <w:t>[Section 5 inserted by No. 78 of 2003 s. 6.]</w:t>
      </w:r>
    </w:p>
    <w:p>
      <w:pPr>
        <w:pStyle w:val="Heading5"/>
      </w:pPr>
      <w:bookmarkStart w:id="41" w:name="_Toc473893583"/>
      <w:bookmarkStart w:id="42" w:name="_Toc462413479"/>
      <w:r>
        <w:rPr>
          <w:rStyle w:val="CharSectno"/>
        </w:rPr>
        <w:t>6</w:t>
      </w:r>
      <w:r>
        <w:t>.</w:t>
      </w:r>
      <w:r>
        <w:tab/>
        <w:t>Application</w:t>
      </w:r>
      <w:bookmarkEnd w:id="41"/>
      <w:bookmarkEnd w:id="42"/>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ind w:left="890" w:hanging="890"/>
      </w:pPr>
      <w:r>
        <w:tab/>
        <w:t>[Section 6, formerly section 4, renumbered as section 6 by No. 78 of 2003 s. 35(1).]</w:t>
      </w:r>
    </w:p>
    <w:p>
      <w:pPr>
        <w:pStyle w:val="Heading5"/>
      </w:pPr>
      <w:bookmarkStart w:id="43" w:name="_Toc473893584"/>
      <w:bookmarkStart w:id="44" w:name="_Toc462413480"/>
      <w:r>
        <w:rPr>
          <w:rStyle w:val="CharSectno"/>
        </w:rPr>
        <w:t>7</w:t>
      </w:r>
      <w:r>
        <w:t>.</w:t>
      </w:r>
      <w:r>
        <w:tab/>
        <w:t>Act to bind Crown</w:t>
      </w:r>
      <w:bookmarkEnd w:id="43"/>
      <w:bookmarkEnd w:id="44"/>
    </w:p>
    <w:p>
      <w:pPr>
        <w:pStyle w:val="Subsection"/>
        <w:spacing w:before="180"/>
      </w:pPr>
      <w:r>
        <w:tab/>
      </w:r>
      <w:r>
        <w:tab/>
        <w:t>This Act binds the Crown in right of the State and, so far as the legislative power of the State permits, the Crown in its other capacities.</w:t>
      </w:r>
    </w:p>
    <w:p>
      <w:pPr>
        <w:pStyle w:val="Footnotesection"/>
        <w:ind w:left="890" w:hanging="890"/>
      </w:pPr>
      <w:r>
        <w:tab/>
        <w:t>[Section 7, formerly section 5, renumbered as section 7 by No. 78 of 2003 s. 35(1).]</w:t>
      </w:r>
    </w:p>
    <w:p>
      <w:pPr>
        <w:pStyle w:val="Heading3"/>
      </w:pPr>
      <w:bookmarkStart w:id="45" w:name="_Toc425842642"/>
      <w:bookmarkStart w:id="46" w:name="_Toc426107755"/>
      <w:bookmarkStart w:id="47" w:name="_Toc462413481"/>
      <w:bookmarkStart w:id="48" w:name="_Toc472672281"/>
      <w:bookmarkStart w:id="49" w:name="_Toc472679111"/>
      <w:bookmarkStart w:id="50" w:name="_Toc472679732"/>
      <w:bookmarkStart w:id="51" w:name="_Toc472680077"/>
      <w:bookmarkStart w:id="52" w:name="_Toc473892895"/>
      <w:bookmarkStart w:id="53" w:name="_Toc473893240"/>
      <w:bookmarkStart w:id="54" w:name="_Toc473893585"/>
      <w:r>
        <w:rPr>
          <w:rStyle w:val="CharDivNo"/>
        </w:rPr>
        <w:t>Division 2</w:t>
      </w:r>
      <w:r>
        <w:t> — </w:t>
      </w:r>
      <w:r>
        <w:rPr>
          <w:rStyle w:val="CharDivText"/>
        </w:rPr>
        <w:t>Purpose</w:t>
      </w:r>
      <w:bookmarkEnd w:id="45"/>
      <w:bookmarkEnd w:id="46"/>
      <w:bookmarkEnd w:id="47"/>
      <w:bookmarkEnd w:id="48"/>
      <w:bookmarkEnd w:id="49"/>
      <w:bookmarkEnd w:id="50"/>
      <w:bookmarkEnd w:id="51"/>
      <w:bookmarkEnd w:id="52"/>
      <w:bookmarkEnd w:id="53"/>
      <w:bookmarkEnd w:id="54"/>
    </w:p>
    <w:p>
      <w:pPr>
        <w:pStyle w:val="Footnoteheading"/>
        <w:tabs>
          <w:tab w:val="clear" w:pos="879"/>
          <w:tab w:val="left" w:pos="896"/>
        </w:tabs>
      </w:pPr>
      <w:r>
        <w:tab/>
        <w:t>[Heading inserted by No. 78 of 2003 s. 7(2).]</w:t>
      </w:r>
    </w:p>
    <w:p>
      <w:pPr>
        <w:pStyle w:val="Heading5"/>
      </w:pPr>
      <w:bookmarkStart w:id="55" w:name="_Toc473893586"/>
      <w:bookmarkStart w:id="56" w:name="_Toc462413482"/>
      <w:r>
        <w:rPr>
          <w:rStyle w:val="CharSectno"/>
        </w:rPr>
        <w:t>7A</w:t>
      </w:r>
      <w:r>
        <w:t>.</w:t>
      </w:r>
      <w:r>
        <w:tab/>
        <w:t>Act’s purposes</w:t>
      </w:r>
      <w:bookmarkEnd w:id="55"/>
      <w:bookmarkEnd w:id="56"/>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57" w:name="_Toc473893587"/>
      <w:bookmarkStart w:id="58" w:name="_Toc462413483"/>
      <w:r>
        <w:rPr>
          <w:rStyle w:val="CharSectno"/>
        </w:rPr>
        <w:t>7B</w:t>
      </w:r>
      <w:r>
        <w:t>.</w:t>
      </w:r>
      <w:r>
        <w:tab/>
        <w:t>How Act’s purposes to be achieved</w:t>
      </w:r>
      <w:bookmarkEnd w:id="57"/>
      <w:bookmarkEnd w:id="58"/>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Act’s purpose in relation to misconduct is to be achieved by conferring functions on the Commission and on the Public Sector Commissioner.</w:t>
      </w:r>
    </w:p>
    <w:p>
      <w:pPr>
        <w:pStyle w:val="Subsection"/>
      </w:pPr>
      <w:r>
        <w:tab/>
        <w:t>(4)</w:t>
      </w:r>
      <w:r>
        <w:tab/>
        <w:t>The Commission is to be able to investigate cases of serious misconduct.</w:t>
      </w:r>
    </w:p>
    <w:p>
      <w:pPr>
        <w:pStyle w:val="Subsection"/>
      </w:pPr>
      <w:r>
        <w:tab/>
        <w:t>(5)</w:t>
      </w:r>
      <w:r>
        <w:tab/>
        <w:t>The Public Sector Commissioner is to be able to investigate cases of minor misconduct.</w:t>
      </w:r>
    </w:p>
    <w:p>
      <w:pPr>
        <w:pStyle w:val="Subsection"/>
      </w:pPr>
      <w:r>
        <w:tab/>
        <w:t>(6)</w:t>
      </w:r>
      <w:r>
        <w:tab/>
        <w:t>The Commission and the Public Sector Commissioner are to help public authorities to prevent, and to identify and deal effectively and appropriately with, misconduct.</w:t>
      </w:r>
    </w:p>
    <w:p>
      <w:pPr>
        <w:pStyle w:val="Footnotesection"/>
      </w:pPr>
      <w:r>
        <w:tab/>
        <w:t>[Section 7B inserted by No. 78 of 2003 s. 7(2); amended by No. 35 of 2014 s. 8.]</w:t>
      </w:r>
    </w:p>
    <w:p>
      <w:pPr>
        <w:pStyle w:val="Heading2"/>
      </w:pPr>
      <w:bookmarkStart w:id="59" w:name="_Toc425842645"/>
      <w:bookmarkStart w:id="60" w:name="_Toc426107758"/>
      <w:bookmarkStart w:id="61" w:name="_Toc462413484"/>
      <w:bookmarkStart w:id="62" w:name="_Toc472672284"/>
      <w:bookmarkStart w:id="63" w:name="_Toc472679114"/>
      <w:bookmarkStart w:id="64" w:name="_Toc472679735"/>
      <w:bookmarkStart w:id="65" w:name="_Toc472680080"/>
      <w:bookmarkStart w:id="66" w:name="_Toc473892898"/>
      <w:bookmarkStart w:id="67" w:name="_Toc473893243"/>
      <w:bookmarkStart w:id="68" w:name="_Toc473893588"/>
      <w:r>
        <w:rPr>
          <w:rStyle w:val="CharPartNo"/>
        </w:rPr>
        <w:t>Part 2</w:t>
      </w:r>
      <w:r>
        <w:t> — </w:t>
      </w:r>
      <w:r>
        <w:rPr>
          <w:rStyle w:val="CharPartText"/>
        </w:rPr>
        <w:t>The Corruption and Crime Commission</w:t>
      </w:r>
      <w:bookmarkEnd w:id="59"/>
      <w:bookmarkEnd w:id="60"/>
      <w:bookmarkEnd w:id="61"/>
      <w:bookmarkEnd w:id="62"/>
      <w:bookmarkEnd w:id="63"/>
      <w:bookmarkEnd w:id="64"/>
      <w:bookmarkEnd w:id="65"/>
      <w:bookmarkEnd w:id="66"/>
      <w:bookmarkEnd w:id="67"/>
      <w:bookmarkEnd w:id="68"/>
    </w:p>
    <w:p>
      <w:pPr>
        <w:pStyle w:val="Heading3"/>
      </w:pPr>
      <w:bookmarkStart w:id="69" w:name="_Toc425842646"/>
      <w:bookmarkStart w:id="70" w:name="_Toc426107759"/>
      <w:bookmarkStart w:id="71" w:name="_Toc462413485"/>
      <w:bookmarkStart w:id="72" w:name="_Toc472672285"/>
      <w:bookmarkStart w:id="73" w:name="_Toc472679115"/>
      <w:bookmarkStart w:id="74" w:name="_Toc472679736"/>
      <w:bookmarkStart w:id="75" w:name="_Toc472680081"/>
      <w:bookmarkStart w:id="76" w:name="_Toc473892899"/>
      <w:bookmarkStart w:id="77" w:name="_Toc473893244"/>
      <w:bookmarkStart w:id="78" w:name="_Toc473893589"/>
      <w:r>
        <w:rPr>
          <w:rStyle w:val="CharDivNo"/>
        </w:rPr>
        <w:t>Division 1</w:t>
      </w:r>
      <w:r>
        <w:t> — </w:t>
      </w:r>
      <w:r>
        <w:rPr>
          <w:rStyle w:val="CharDivText"/>
        </w:rPr>
        <w:t>Office of Corruption and Crime Commission</w:t>
      </w:r>
      <w:bookmarkEnd w:id="69"/>
      <w:bookmarkEnd w:id="70"/>
      <w:bookmarkEnd w:id="71"/>
      <w:bookmarkEnd w:id="72"/>
      <w:bookmarkEnd w:id="73"/>
      <w:bookmarkEnd w:id="74"/>
      <w:bookmarkEnd w:id="75"/>
      <w:bookmarkEnd w:id="76"/>
      <w:bookmarkEnd w:id="77"/>
      <w:bookmarkEnd w:id="78"/>
    </w:p>
    <w:p>
      <w:pPr>
        <w:pStyle w:val="Heading5"/>
        <w:spacing w:before="180"/>
      </w:pPr>
      <w:bookmarkStart w:id="79" w:name="_Toc473893590"/>
      <w:bookmarkStart w:id="80" w:name="_Toc462413486"/>
      <w:r>
        <w:rPr>
          <w:rStyle w:val="CharSectno"/>
        </w:rPr>
        <w:t>8</w:t>
      </w:r>
      <w:r>
        <w:t>.</w:t>
      </w:r>
      <w:r>
        <w:tab/>
        <w:t>Corruption and Crime Commission established</w:t>
      </w:r>
      <w:bookmarkEnd w:id="79"/>
      <w:bookmarkEnd w:id="80"/>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by No. 78 of 2003 s. 35(1).]</w:t>
      </w:r>
    </w:p>
    <w:p>
      <w:pPr>
        <w:pStyle w:val="Heading5"/>
        <w:spacing w:before="180"/>
      </w:pPr>
      <w:bookmarkStart w:id="81" w:name="_Toc473893591"/>
      <w:bookmarkStart w:id="82" w:name="_Toc462413487"/>
      <w:r>
        <w:rPr>
          <w:rStyle w:val="CharSectno"/>
        </w:rPr>
        <w:t>9</w:t>
      </w:r>
      <w:r>
        <w:t>.</w:t>
      </w:r>
      <w:r>
        <w:tab/>
        <w:t>Corruption and Crime Commissioner</w:t>
      </w:r>
      <w:bookmarkEnd w:id="81"/>
      <w:bookmarkEnd w:id="82"/>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by No. 78 of 2003 s. 8; renumbered as section 9 by No. 78 of 2003 s. 35(1).]</w:t>
      </w:r>
    </w:p>
    <w:p>
      <w:pPr>
        <w:pStyle w:val="Heading5"/>
        <w:spacing w:before="180"/>
      </w:pPr>
      <w:bookmarkStart w:id="83" w:name="_Toc473893592"/>
      <w:bookmarkStart w:id="84" w:name="_Toc462413488"/>
      <w:r>
        <w:rPr>
          <w:rStyle w:val="CharSectno"/>
        </w:rPr>
        <w:t>10</w:t>
      </w:r>
      <w:r>
        <w:t>.</w:t>
      </w:r>
      <w:r>
        <w:tab/>
        <w:t>Qualifications for appointment as Commissioner</w:t>
      </w:r>
      <w:bookmarkEnd w:id="83"/>
      <w:bookmarkEnd w:id="84"/>
    </w:p>
    <w:p>
      <w:pPr>
        <w:pStyle w:val="Subsection"/>
        <w:spacing w:before="14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40"/>
      </w:pPr>
      <w:r>
        <w:tab/>
        <w:t>[(2)</w:t>
      </w:r>
      <w:r>
        <w:tab/>
        <w:t>deleted]</w:t>
      </w:r>
    </w:p>
    <w:p>
      <w:pPr>
        <w:pStyle w:val="Subsection"/>
        <w:spacing w:before="140"/>
      </w:pPr>
      <w:r>
        <w:tab/>
        <w:t>(3)</w:t>
      </w:r>
      <w:r>
        <w:tab/>
        <w:t>A person who is or has been a police officer is not eligible to be appointed as Commissioner.</w:t>
      </w:r>
    </w:p>
    <w:p>
      <w:pPr>
        <w:pStyle w:val="Subsection"/>
        <w:spacing w:before="140"/>
      </w:pPr>
      <w:r>
        <w:tab/>
        <w:t>(4)</w:t>
      </w:r>
      <w:r>
        <w:tab/>
        <w:t>A person holding a judicial office shall retire upon appointment as Commissioner.</w:t>
      </w:r>
    </w:p>
    <w:p>
      <w:pPr>
        <w:pStyle w:val="Footnotesection"/>
        <w:ind w:left="890" w:hanging="890"/>
      </w:pPr>
      <w:r>
        <w:tab/>
        <w:t>[Section 10, formerly section 8, amended by No. 78 of 2003 s. 9 and renumbered as section 10 by No. 78 of 2003 s. 35(1).]</w:t>
      </w:r>
    </w:p>
    <w:p>
      <w:pPr>
        <w:pStyle w:val="Heading5"/>
      </w:pPr>
      <w:bookmarkStart w:id="85" w:name="_Toc473893593"/>
      <w:bookmarkStart w:id="86" w:name="_Toc462413489"/>
      <w:r>
        <w:rPr>
          <w:rStyle w:val="CharSectno"/>
        </w:rPr>
        <w:t>11</w:t>
      </w:r>
      <w:r>
        <w:t>.</w:t>
      </w:r>
      <w:r>
        <w:tab/>
        <w:t>Terms and conditions of service of Commissioner</w:t>
      </w:r>
      <w:bookmarkEnd w:id="85"/>
      <w:bookmarkEnd w:id="86"/>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by No. 78 of 2003 s. 35(13) and renumbered as section 11 by No. 78 of 2003 s. 35(1).]</w:t>
      </w:r>
    </w:p>
    <w:p>
      <w:pPr>
        <w:pStyle w:val="Heading5"/>
      </w:pPr>
      <w:bookmarkStart w:id="87" w:name="_Toc473893594"/>
      <w:bookmarkStart w:id="88" w:name="_Toc462413490"/>
      <w:r>
        <w:rPr>
          <w:rStyle w:val="CharSectno"/>
        </w:rPr>
        <w:t>12</w:t>
      </w:r>
      <w:r>
        <w:t>.</w:t>
      </w:r>
      <w:r>
        <w:tab/>
        <w:t>Removal or suspension of Commissioner</w:t>
      </w:r>
      <w:bookmarkEnd w:id="87"/>
      <w:bookmarkEnd w:id="88"/>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ind w:left="890" w:hanging="890"/>
      </w:pPr>
      <w:r>
        <w:tab/>
        <w:t>[Section 12, formerly section 10, renumbered as section 12 by No. 78 of 2003 s. 35(1).]</w:t>
      </w:r>
    </w:p>
    <w:p>
      <w:pPr>
        <w:pStyle w:val="Heading5"/>
      </w:pPr>
      <w:bookmarkStart w:id="89" w:name="_Toc473893595"/>
      <w:bookmarkStart w:id="90" w:name="_Toc462413491"/>
      <w:r>
        <w:rPr>
          <w:rStyle w:val="CharSectno"/>
        </w:rPr>
        <w:t>13</w:t>
      </w:r>
      <w:r>
        <w:t>.</w:t>
      </w:r>
      <w:r>
        <w:tab/>
        <w:t>Declaration of inability to act</w:t>
      </w:r>
      <w:bookmarkEnd w:id="89"/>
      <w:bookmarkEnd w:id="90"/>
    </w:p>
    <w:p>
      <w:pPr>
        <w:pStyle w:val="Subsection"/>
        <w:spacing w:before="120"/>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ind w:left="890" w:hanging="890"/>
      </w:pPr>
      <w:r>
        <w:tab/>
        <w:t>[Section 13, formerly section 11, renumbered as section 13 by No. 78 of 2003 s. 35(1).]</w:t>
      </w:r>
    </w:p>
    <w:p>
      <w:pPr>
        <w:pStyle w:val="Heading5"/>
        <w:spacing w:before="180"/>
      </w:pPr>
      <w:bookmarkStart w:id="91" w:name="_Toc473893596"/>
      <w:bookmarkStart w:id="92" w:name="_Toc462413492"/>
      <w:r>
        <w:rPr>
          <w:rStyle w:val="CharSectno"/>
        </w:rPr>
        <w:t>14</w:t>
      </w:r>
      <w:r>
        <w:t>.</w:t>
      </w:r>
      <w:r>
        <w:tab/>
        <w:t>Acting Commissioner</w:t>
      </w:r>
      <w:bookmarkEnd w:id="91"/>
      <w:bookmarkEnd w:id="92"/>
    </w:p>
    <w:p>
      <w:pPr>
        <w:pStyle w:val="Subsection"/>
        <w:spacing w:before="120"/>
      </w:pPr>
      <w:r>
        <w:tab/>
        <w:t>(1)</w:t>
      </w:r>
      <w:r>
        <w:tab/>
        <w:t xml:space="preserve">The Governor may appoint a person who is eligible for appointment as Commissioner to act in the office of Commissioner — </w:t>
      </w:r>
    </w:p>
    <w:p>
      <w:pPr>
        <w:pStyle w:val="Indenta"/>
        <w:spacing w:before="60"/>
      </w:pPr>
      <w:r>
        <w:tab/>
        <w:t>(a)</w:t>
      </w:r>
      <w:r>
        <w:tab/>
        <w:t>during a vacancy in that office; or</w:t>
      </w:r>
    </w:p>
    <w:p>
      <w:pPr>
        <w:pStyle w:val="Indenta"/>
        <w:spacing w:before="6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60"/>
      </w:pPr>
      <w:r>
        <w:tab/>
        <w:t>(c)</w:t>
      </w:r>
      <w:r>
        <w:tab/>
        <w:t>in relation to any matter in respect of which the person holding the office of Commissioner, or a person appointed under this subsection, has under section 13 declared himself or herself unable to act.</w:t>
      </w:r>
    </w:p>
    <w:p>
      <w:pPr>
        <w:pStyle w:val="Subsection"/>
        <w:spacing w:before="120"/>
      </w:pPr>
      <w:r>
        <w:tab/>
        <w:t>(2)</w:t>
      </w:r>
      <w:r>
        <w:tab/>
        <w:t xml:space="preserve">An appointment under this section — </w:t>
      </w:r>
    </w:p>
    <w:p>
      <w:pPr>
        <w:pStyle w:val="Indenta"/>
        <w:spacing w:before="60"/>
      </w:pPr>
      <w:r>
        <w:tab/>
        <w:t>(a)</w:t>
      </w:r>
      <w:r>
        <w:tab/>
        <w:t>may be made at any time and may be terminated at any time by the Governor; and</w:t>
      </w:r>
    </w:p>
    <w:p>
      <w:pPr>
        <w:pStyle w:val="Indenta"/>
        <w:spacing w:before="60"/>
      </w:pPr>
      <w:r>
        <w:tab/>
        <w:t>(b)</w:t>
      </w:r>
      <w:r>
        <w:tab/>
        <w:t>may be expressed to have effect only in the circumstances specified in the instrument of appointment.</w:t>
      </w:r>
    </w:p>
    <w:p>
      <w:pPr>
        <w:pStyle w:val="Subsection"/>
        <w:spacing w:before="120"/>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pPr>
      <w:bookmarkStart w:id="93" w:name="_Toc473893597"/>
      <w:bookmarkStart w:id="94" w:name="_Toc462413493"/>
      <w:r>
        <w:rPr>
          <w:rStyle w:val="CharSectno"/>
        </w:rPr>
        <w:t>15</w:t>
      </w:r>
      <w:r>
        <w:t>.</w:t>
      </w:r>
      <w:r>
        <w:tab/>
        <w:t>Oath or affirmation of office</w:t>
      </w:r>
      <w:bookmarkEnd w:id="93"/>
      <w:bookmarkEnd w:id="94"/>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spacing w:before="200"/>
      </w:pPr>
      <w:bookmarkStart w:id="95" w:name="_Toc425842655"/>
      <w:bookmarkStart w:id="96" w:name="_Toc426107768"/>
      <w:bookmarkStart w:id="97" w:name="_Toc462413494"/>
      <w:bookmarkStart w:id="98" w:name="_Toc472672294"/>
      <w:bookmarkStart w:id="99" w:name="_Toc472679124"/>
      <w:bookmarkStart w:id="100" w:name="_Toc472679745"/>
      <w:bookmarkStart w:id="101" w:name="_Toc472680090"/>
      <w:bookmarkStart w:id="102" w:name="_Toc473892908"/>
      <w:bookmarkStart w:id="103" w:name="_Toc473893253"/>
      <w:bookmarkStart w:id="104" w:name="_Toc473893598"/>
      <w:r>
        <w:rPr>
          <w:rStyle w:val="CharDivNo"/>
        </w:rPr>
        <w:t>Division 2</w:t>
      </w:r>
      <w:r>
        <w:t> — </w:t>
      </w:r>
      <w:r>
        <w:rPr>
          <w:rStyle w:val="CharDivText"/>
        </w:rPr>
        <w:t>Functions of Corruption and Crime Commission</w:t>
      </w:r>
      <w:bookmarkEnd w:id="95"/>
      <w:bookmarkEnd w:id="96"/>
      <w:bookmarkEnd w:id="97"/>
      <w:bookmarkEnd w:id="98"/>
      <w:bookmarkEnd w:id="99"/>
      <w:bookmarkEnd w:id="100"/>
      <w:bookmarkEnd w:id="101"/>
      <w:bookmarkEnd w:id="102"/>
      <w:bookmarkEnd w:id="103"/>
      <w:bookmarkEnd w:id="104"/>
    </w:p>
    <w:p>
      <w:pPr>
        <w:pStyle w:val="Heading5"/>
        <w:spacing w:before="180"/>
      </w:pPr>
      <w:bookmarkStart w:id="105" w:name="_Toc473893599"/>
      <w:bookmarkStart w:id="106" w:name="_Toc462413495"/>
      <w:r>
        <w:rPr>
          <w:rStyle w:val="CharSectno"/>
        </w:rPr>
        <w:t>16</w:t>
      </w:r>
      <w:r>
        <w:t>.</w:t>
      </w:r>
      <w:r>
        <w:tab/>
        <w:t>General functions</w:t>
      </w:r>
      <w:bookmarkEnd w:id="105"/>
      <w:bookmarkEnd w:id="106"/>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Ednotesection"/>
        <w:spacing w:before="180"/>
      </w:pPr>
      <w:r>
        <w:t>[</w:t>
      </w:r>
      <w:r>
        <w:rPr>
          <w:b/>
        </w:rPr>
        <w:t>17.</w:t>
      </w:r>
      <w:r>
        <w:tab/>
        <w:t>Deleted by No. 35 of 2014 s. 9.]</w:t>
      </w:r>
    </w:p>
    <w:p>
      <w:pPr>
        <w:pStyle w:val="Heading5"/>
        <w:spacing w:before="180"/>
      </w:pPr>
      <w:bookmarkStart w:id="107" w:name="_Toc473893600"/>
      <w:bookmarkStart w:id="108" w:name="_Toc462413496"/>
      <w:r>
        <w:rPr>
          <w:rStyle w:val="CharSectno"/>
        </w:rPr>
        <w:t>18</w:t>
      </w:r>
      <w:r>
        <w:t>.</w:t>
      </w:r>
      <w:r>
        <w:tab/>
        <w:t>Serious misconduct function</w:t>
      </w:r>
      <w:bookmarkEnd w:id="107"/>
      <w:bookmarkEnd w:id="108"/>
    </w:p>
    <w:p>
      <w:pPr>
        <w:pStyle w:val="Subsection"/>
      </w:pPr>
      <w:r>
        <w:tab/>
        <w:t>(1)</w:t>
      </w:r>
      <w:r>
        <w:tab/>
        <w:t xml:space="preserve">It is a function of the Commission (the </w:t>
      </w:r>
      <w:r>
        <w:rPr>
          <w:rStyle w:val="CharDefText"/>
        </w:rPr>
        <w:t>serious misconduct function</w:t>
      </w:r>
      <w:r>
        <w:t>) to ensure that an allegation about, or information or matter involving, serious misconduct is dealt with in an appropriate way.</w:t>
      </w:r>
    </w:p>
    <w:p>
      <w:pPr>
        <w:pStyle w:val="Subsection"/>
      </w:pPr>
      <w:r>
        <w:tab/>
        <w:t>(2)</w:t>
      </w:r>
      <w:r>
        <w:tab/>
        <w:t xml:space="preserve">Without limiting how the Commission may perform the serious misconduct function, the Commission performs the function by — </w:t>
      </w:r>
    </w:p>
    <w:p>
      <w:pPr>
        <w:pStyle w:val="Indenta"/>
      </w:pPr>
      <w:r>
        <w:tab/>
        <w:t>(a)</w:t>
      </w:r>
      <w:r>
        <w:tab/>
        <w:t>receiving and initiating allegations of serious misconduct;</w:t>
      </w:r>
    </w:p>
    <w:p>
      <w:pPr>
        <w:pStyle w:val="Indenta"/>
      </w:pPr>
      <w:r>
        <w:tab/>
        <w:t>(b)</w:t>
      </w:r>
      <w:r>
        <w:tab/>
        <w:t>considering whether action is needed in relation to allegations and matters related to serious misconduct;</w:t>
      </w:r>
    </w:p>
    <w:p>
      <w:pPr>
        <w:pStyle w:val="Indenta"/>
      </w:pPr>
      <w:r>
        <w:tab/>
        <w:t>(c)</w:t>
      </w:r>
      <w:r>
        <w:tab/>
        <w:t>investigating or taking other action in relation to allegations and matters related to serious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serious misconduct, investigating whether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serious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Subsection"/>
      </w:pPr>
      <w:r>
        <w:tab/>
        <w:t>(4)</w:t>
      </w:r>
      <w:r>
        <w:tab/>
        <w:t xml:space="preserve">As an aspect of the serious misconduct function, the Commission may help public authorities to prevent serious misconduct by doing the following — </w:t>
      </w:r>
    </w:p>
    <w:p>
      <w:pPr>
        <w:pStyle w:val="Indenta"/>
      </w:pPr>
      <w:r>
        <w:tab/>
        <w:t>(a)</w:t>
      </w:r>
      <w:r>
        <w:tab/>
        <w:t>analysing the information it gathers in performing the serious misconduct function, including the intelligence gathered in support of investigations into serious misconduct;</w:t>
      </w:r>
    </w:p>
    <w:p>
      <w:pPr>
        <w:pStyle w:val="Indenta"/>
      </w:pPr>
      <w:r>
        <w:tab/>
        <w:t>(b)</w:t>
      </w:r>
      <w:r>
        <w:tab/>
        <w:t>analysing systems used within public authorities to prevent serious misconduct;</w:t>
      </w:r>
    </w:p>
    <w:p>
      <w:pPr>
        <w:pStyle w:val="Indenta"/>
      </w:pPr>
      <w:r>
        <w:tab/>
        <w:t>(c)</w:t>
      </w:r>
      <w:r>
        <w:tab/>
        <w:t>providing information to, consulting with, and making recommendations to, public authorities about ways to prevent serious misconduct;</w:t>
      </w:r>
    </w:p>
    <w:p>
      <w:pPr>
        <w:pStyle w:val="Indenta"/>
      </w:pPr>
      <w:r>
        <w:tab/>
        <w:t>(d)</w:t>
      </w:r>
      <w:r>
        <w:tab/>
        <w:t>generally increasing the capacity of public authorities to prevent serious misconduct by providing advice and training to those authorities and, if asked, to other entities;</w:t>
      </w:r>
    </w:p>
    <w:p>
      <w:pPr>
        <w:pStyle w:val="Indenta"/>
      </w:pPr>
      <w:r>
        <w:tab/>
        <w:t>(e)</w:t>
      </w:r>
      <w:r>
        <w:tab/>
        <w:t>reporting on ways to prevent and combat serious misconduct.</w:t>
      </w:r>
    </w:p>
    <w:p>
      <w:pPr>
        <w:pStyle w:val="Footnotesection"/>
      </w:pPr>
      <w:r>
        <w:tab/>
        <w:t>[Section 18 inserted by No. 78 of 2003 s. 11; amended by No. 35 of 2014 s. 10.]</w:t>
      </w:r>
    </w:p>
    <w:p>
      <w:pPr>
        <w:pStyle w:val="Heading5"/>
      </w:pPr>
      <w:bookmarkStart w:id="109" w:name="_Toc473893601"/>
      <w:bookmarkStart w:id="110" w:name="_Toc462413497"/>
      <w:r>
        <w:rPr>
          <w:rStyle w:val="CharSectno"/>
        </w:rPr>
        <w:t>19</w:t>
      </w:r>
      <w:r>
        <w:t>.</w:t>
      </w:r>
      <w:r>
        <w:tab/>
        <w:t>Functions in relation to Police Royal Commission</w:t>
      </w:r>
      <w:bookmarkEnd w:id="109"/>
      <w:bookmarkEnd w:id="110"/>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111" w:name="_Toc473893602"/>
      <w:bookmarkStart w:id="112" w:name="_Toc462413498"/>
      <w:r>
        <w:rPr>
          <w:rStyle w:val="CharSectno"/>
        </w:rPr>
        <w:t>20</w:t>
      </w:r>
      <w:r>
        <w:t>.</w:t>
      </w:r>
      <w:r>
        <w:tab/>
        <w:t>Functions in relation to A</w:t>
      </w:r>
      <w:r>
        <w:noBreakHyphen/>
        <w:t>CC</w:t>
      </w:r>
      <w:bookmarkEnd w:id="111"/>
      <w:bookmarkEnd w:id="112"/>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113" w:name="_Toc473893603"/>
      <w:bookmarkStart w:id="114" w:name="_Toc462413499"/>
      <w:r>
        <w:rPr>
          <w:rStyle w:val="CharSectno"/>
        </w:rPr>
        <w:t>21</w:t>
      </w:r>
      <w:r>
        <w:t>.</w:t>
      </w:r>
      <w:r>
        <w:tab/>
        <w:t>Organised crime functions</w:t>
      </w:r>
      <w:bookmarkEnd w:id="113"/>
      <w:bookmarkEnd w:id="114"/>
    </w:p>
    <w:p>
      <w:pPr>
        <w:pStyle w:val="Subsection"/>
      </w:pPr>
      <w:r>
        <w:tab/>
      </w:r>
      <w:r>
        <w:tab/>
        <w:t>The Commission has the functions set out in Part 4.</w:t>
      </w:r>
    </w:p>
    <w:p>
      <w:pPr>
        <w:pStyle w:val="Footnotesection"/>
      </w:pPr>
      <w:r>
        <w:tab/>
        <w:t>[Section 21 inserted by No. 78 of 2003 s. 15.]</w:t>
      </w:r>
    </w:p>
    <w:p>
      <w:pPr>
        <w:pStyle w:val="Heading5"/>
      </w:pPr>
      <w:bookmarkStart w:id="115" w:name="_Toc473893604"/>
      <w:bookmarkStart w:id="116" w:name="_Toc462413500"/>
      <w:r>
        <w:rPr>
          <w:rStyle w:val="CharSectno"/>
        </w:rPr>
        <w:t>21A</w:t>
      </w:r>
      <w:r>
        <w:t>.</w:t>
      </w:r>
      <w:r>
        <w:tab/>
        <w:t>Reviewable police action</w:t>
      </w:r>
      <w:bookmarkEnd w:id="115"/>
      <w:bookmarkEnd w:id="116"/>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Subsection"/>
      </w:pPr>
      <w:r>
        <w:tab/>
        <w:t>(3)</w:t>
      </w:r>
      <w:r>
        <w:tab/>
        <w:t>This section does not limit the powers of the Commission under section 22 or 24 in relation to police misconduct.</w:t>
      </w:r>
    </w:p>
    <w:p>
      <w:pPr>
        <w:pStyle w:val="Footnotesection"/>
      </w:pPr>
      <w:r>
        <w:tab/>
        <w:t>[Section 21A inserted by No. 78 of 2003 s. 16; amended by No. 35 of 2014 s. 11.]</w:t>
      </w:r>
    </w:p>
    <w:p>
      <w:pPr>
        <w:pStyle w:val="Heading5"/>
      </w:pPr>
      <w:bookmarkStart w:id="117" w:name="_Toc473893605"/>
      <w:bookmarkStart w:id="118" w:name="_Toc462413501"/>
      <w:r>
        <w:rPr>
          <w:rStyle w:val="CharSectno"/>
        </w:rPr>
        <w:t>21AA</w:t>
      </w:r>
      <w:r>
        <w:t>.</w:t>
      </w:r>
      <w:r>
        <w:tab/>
        <w:t>Prevention and education function: police misconduct</w:t>
      </w:r>
      <w:bookmarkEnd w:id="117"/>
      <w:bookmarkEnd w:id="118"/>
    </w:p>
    <w:p>
      <w:pPr>
        <w:pStyle w:val="Subsection"/>
      </w:pPr>
      <w:r>
        <w:tab/>
        <w:t>(1)</w:t>
      </w:r>
      <w:r>
        <w:tab/>
        <w:t xml:space="preserve">It is a function of the Commission (the </w:t>
      </w:r>
      <w:r>
        <w:rPr>
          <w:rStyle w:val="CharDefText"/>
        </w:rPr>
        <w:t>prevention and education function</w:t>
      </w:r>
      <w:r>
        <w:t>) to help to prevent police misconduct.</w:t>
      </w:r>
    </w:p>
    <w:p>
      <w:pPr>
        <w:pStyle w:val="Subsection"/>
      </w:pPr>
      <w:r>
        <w:tab/>
        <w:t>(2)</w:t>
      </w:r>
      <w:r>
        <w:tab/>
        <w:t xml:space="preserve">Without limiting the ways the Commission may perform the prevention and education function, the Commission performs that function by doing the following — </w:t>
      </w:r>
    </w:p>
    <w:p>
      <w:pPr>
        <w:pStyle w:val="Indenta"/>
      </w:pPr>
      <w:r>
        <w:tab/>
        <w:t>(a)</w:t>
      </w:r>
      <w:r>
        <w:tab/>
        <w:t>analysing the information it gathers in performing functions under this Act and any other Act, including the intelligence gathered in support of its police misconduct and organised crime functions;</w:t>
      </w:r>
    </w:p>
    <w:p>
      <w:pPr>
        <w:pStyle w:val="Indenta"/>
      </w:pPr>
      <w:r>
        <w:tab/>
        <w:t>(b)</w:t>
      </w:r>
      <w:r>
        <w:tab/>
        <w:t>analysing systems used within the Police Department to prevent police misconduct;</w:t>
      </w:r>
    </w:p>
    <w:p>
      <w:pPr>
        <w:pStyle w:val="Indenta"/>
      </w:pPr>
      <w:r>
        <w:tab/>
        <w:t>(c)</w:t>
      </w:r>
      <w:r>
        <w:tab/>
        <w:t>using information it gathers from any source in support of the prevention and education function;</w:t>
      </w:r>
    </w:p>
    <w:p>
      <w:pPr>
        <w:pStyle w:val="Indenta"/>
      </w:pPr>
      <w:r>
        <w:tab/>
        <w:t>(d)</w:t>
      </w:r>
      <w:r>
        <w:tab/>
        <w:t>providing information to, consulting with, and making recommendations to, the Police Department;</w:t>
      </w:r>
    </w:p>
    <w:p>
      <w:pPr>
        <w:pStyle w:val="Indenta"/>
      </w:pPr>
      <w:r>
        <w:tab/>
        <w:t>(e)</w:t>
      </w:r>
      <w:r>
        <w:tab/>
        <w:t>providing information relevant to the prevention and education function to members of the police service and to the general community;</w:t>
      </w:r>
    </w:p>
    <w:p>
      <w:pPr>
        <w:pStyle w:val="Indenta"/>
      </w:pPr>
      <w:r>
        <w:tab/>
        <w:t>(f)</w:t>
      </w:r>
      <w:r>
        <w:tab/>
        <w:t>ensuring that in performing all of its functions it has regard to the prevention and education function;</w:t>
      </w:r>
    </w:p>
    <w:p>
      <w:pPr>
        <w:pStyle w:val="Indenta"/>
      </w:pPr>
      <w:r>
        <w:tab/>
        <w:t>(g)</w:t>
      </w:r>
      <w:r>
        <w:tab/>
        <w:t>generally increasing the capacity of the Police Department to prevent and combat police misconduct by providing advice and training to the Police Department;</w:t>
      </w:r>
    </w:p>
    <w:p>
      <w:pPr>
        <w:pStyle w:val="Indenta"/>
      </w:pPr>
      <w:r>
        <w:tab/>
        <w:t>(h)</w:t>
      </w:r>
      <w:r>
        <w:tab/>
        <w:t>reporting on ways to prevent and combat police misconduct.</w:t>
      </w:r>
    </w:p>
    <w:p>
      <w:pPr>
        <w:pStyle w:val="Subsection"/>
      </w:pPr>
      <w:r>
        <w:tab/>
        <w:t>(3)</w:t>
      </w:r>
      <w:r>
        <w:tab/>
        <w:t>In performing the prevention and education function, the Commission may consult, cooperate, and exchange information, with the Public Sector Commissioner.</w:t>
      </w:r>
    </w:p>
    <w:p>
      <w:pPr>
        <w:pStyle w:val="Footnotesection"/>
      </w:pPr>
      <w:r>
        <w:tab/>
        <w:t>[Section 21AA inserted by No. 35 of 2014 s. 12.]</w:t>
      </w:r>
    </w:p>
    <w:p>
      <w:pPr>
        <w:pStyle w:val="Heading5"/>
      </w:pPr>
      <w:bookmarkStart w:id="119" w:name="_Toc473893606"/>
      <w:bookmarkStart w:id="120" w:name="_Toc462413502"/>
      <w:r>
        <w:rPr>
          <w:rStyle w:val="CharSectno"/>
        </w:rPr>
        <w:t>21AB</w:t>
      </w:r>
      <w:r>
        <w:t>.</w:t>
      </w:r>
      <w:r>
        <w:tab/>
        <w:t>Capacity development function: public authorities</w:t>
      </w:r>
      <w:bookmarkEnd w:id="119"/>
      <w:bookmarkEnd w:id="120"/>
    </w:p>
    <w:p>
      <w:pPr>
        <w:pStyle w:val="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Subsection"/>
      </w:pPr>
      <w:r>
        <w:tab/>
        <w:t>(2)</w:t>
      </w:r>
      <w:r>
        <w:tab/>
        <w:t xml:space="preserve">Without limiting the ways the Commission may perform the capacity development function, the Commission performs that function by doing the following — </w:t>
      </w:r>
    </w:p>
    <w:p>
      <w:pPr>
        <w:pStyle w:val="Indenta"/>
      </w:pPr>
      <w:r>
        <w:tab/>
        <w:t>(a)</w:t>
      </w:r>
      <w:r>
        <w:tab/>
        <w:t>analysing intelligence it gathers in support of its serious misconduct and organised crime functions;</w:t>
      </w:r>
    </w:p>
    <w:p>
      <w:pPr>
        <w:pStyle w:val="Indenta"/>
      </w:pPr>
      <w:r>
        <w:tab/>
        <w:t>(b)</w:t>
      </w:r>
      <w:r>
        <w:tab/>
        <w:t>using information it gathers from any source in support of the capacity development function.</w:t>
      </w:r>
    </w:p>
    <w:p>
      <w:pPr>
        <w:pStyle w:val="Subsection"/>
      </w:pPr>
      <w:r>
        <w:tab/>
        <w:t>(3)</w:t>
      </w:r>
      <w:r>
        <w:tab/>
        <w:t>In performing the capacity development function, the Commission may consult, cooperate, and exchange information, with the Public Sector Commissioner.</w:t>
      </w:r>
    </w:p>
    <w:p>
      <w:pPr>
        <w:pStyle w:val="Subsection"/>
      </w:pPr>
      <w:r>
        <w:tab/>
        <w:t>(4)</w:t>
      </w:r>
      <w:r>
        <w:tab/>
        <w:t>This section does not limit the obligation of the Commission under section 45A(4) to support the Public Sector Commissioner.</w:t>
      </w:r>
    </w:p>
    <w:p>
      <w:pPr>
        <w:pStyle w:val="Footnotesection"/>
      </w:pPr>
      <w:r>
        <w:tab/>
        <w:t>[Section 21AB inserted by No. 35 of 2014 s. 12.]</w:t>
      </w:r>
    </w:p>
    <w:p>
      <w:pPr>
        <w:pStyle w:val="Heading5"/>
      </w:pPr>
      <w:bookmarkStart w:id="121" w:name="_Toc473893607"/>
      <w:bookmarkStart w:id="122" w:name="_Toc462413503"/>
      <w:r>
        <w:rPr>
          <w:rStyle w:val="CharSectno"/>
        </w:rPr>
        <w:t>21AC</w:t>
      </w:r>
      <w:r>
        <w:t>.</w:t>
      </w:r>
      <w:r>
        <w:tab/>
        <w:t>Information about allegations received or initiated by Public Sector Commissioner</w:t>
      </w:r>
      <w:bookmarkEnd w:id="121"/>
      <w:bookmarkEnd w:id="122"/>
    </w:p>
    <w:p>
      <w:pPr>
        <w:pStyle w:val="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Footnotesection"/>
      </w:pPr>
      <w:r>
        <w:tab/>
        <w:t>[Section 21AC inserted by No. 35 of 2014 s. 12.]</w:t>
      </w:r>
    </w:p>
    <w:p>
      <w:pPr>
        <w:pStyle w:val="Heading2"/>
      </w:pPr>
      <w:bookmarkStart w:id="123" w:name="_Toc425842665"/>
      <w:bookmarkStart w:id="124" w:name="_Toc426107778"/>
      <w:bookmarkStart w:id="125" w:name="_Toc462413504"/>
      <w:bookmarkStart w:id="126" w:name="_Toc472672304"/>
      <w:bookmarkStart w:id="127" w:name="_Toc472679134"/>
      <w:bookmarkStart w:id="128" w:name="_Toc472679755"/>
      <w:bookmarkStart w:id="129" w:name="_Toc472680100"/>
      <w:bookmarkStart w:id="130" w:name="_Toc473892918"/>
      <w:bookmarkStart w:id="131" w:name="_Toc473893263"/>
      <w:bookmarkStart w:id="132" w:name="_Toc473893608"/>
      <w:r>
        <w:rPr>
          <w:rStyle w:val="CharPartNo"/>
        </w:rPr>
        <w:t>Part 3</w:t>
      </w:r>
      <w:r>
        <w:rPr>
          <w:b w:val="0"/>
        </w:rPr>
        <w:t> </w:t>
      </w:r>
      <w:r>
        <w:t>—</w:t>
      </w:r>
      <w:r>
        <w:rPr>
          <w:b w:val="0"/>
        </w:rPr>
        <w:t> </w:t>
      </w:r>
      <w:r>
        <w:rPr>
          <w:rStyle w:val="CharPartText"/>
        </w:rPr>
        <w:t>Serious misconduct: role of Commission</w:t>
      </w:r>
      <w:bookmarkEnd w:id="123"/>
      <w:bookmarkEnd w:id="124"/>
      <w:bookmarkEnd w:id="125"/>
      <w:bookmarkEnd w:id="126"/>
      <w:bookmarkEnd w:id="127"/>
      <w:bookmarkEnd w:id="128"/>
      <w:bookmarkEnd w:id="129"/>
      <w:bookmarkEnd w:id="130"/>
      <w:bookmarkEnd w:id="131"/>
      <w:bookmarkEnd w:id="132"/>
    </w:p>
    <w:p>
      <w:pPr>
        <w:pStyle w:val="Footnoteheading"/>
        <w:tabs>
          <w:tab w:val="clear" w:pos="879"/>
          <w:tab w:val="left" w:pos="896"/>
        </w:tabs>
        <w:spacing w:before="80"/>
      </w:pPr>
      <w:r>
        <w:tab/>
        <w:t>[Heading inserted by No. 35 of 2014 s. 13.]</w:t>
      </w:r>
    </w:p>
    <w:p>
      <w:pPr>
        <w:pStyle w:val="Heading3"/>
        <w:spacing w:before="200"/>
      </w:pPr>
      <w:bookmarkStart w:id="133" w:name="_Toc425842666"/>
      <w:bookmarkStart w:id="134" w:name="_Toc426107779"/>
      <w:bookmarkStart w:id="135" w:name="_Toc462413505"/>
      <w:bookmarkStart w:id="136" w:name="_Toc472672305"/>
      <w:bookmarkStart w:id="137" w:name="_Toc472679135"/>
      <w:bookmarkStart w:id="138" w:name="_Toc472679756"/>
      <w:bookmarkStart w:id="139" w:name="_Toc472680101"/>
      <w:bookmarkStart w:id="140" w:name="_Toc473892919"/>
      <w:bookmarkStart w:id="141" w:name="_Toc473893264"/>
      <w:bookmarkStart w:id="142" w:name="_Toc473893609"/>
      <w:r>
        <w:rPr>
          <w:rStyle w:val="CharDivNo"/>
        </w:rPr>
        <w:t>Division 1</w:t>
      </w:r>
      <w:r>
        <w:t> — </w:t>
      </w:r>
      <w:r>
        <w:rPr>
          <w:rStyle w:val="CharDivText"/>
        </w:rPr>
        <w:t>Assessments and opinions</w:t>
      </w:r>
      <w:bookmarkEnd w:id="133"/>
      <w:bookmarkEnd w:id="134"/>
      <w:bookmarkEnd w:id="135"/>
      <w:bookmarkEnd w:id="136"/>
      <w:bookmarkEnd w:id="137"/>
      <w:bookmarkEnd w:id="138"/>
      <w:bookmarkEnd w:id="139"/>
      <w:bookmarkEnd w:id="140"/>
      <w:bookmarkEnd w:id="141"/>
      <w:bookmarkEnd w:id="142"/>
    </w:p>
    <w:p>
      <w:pPr>
        <w:pStyle w:val="Footnoteheading"/>
        <w:tabs>
          <w:tab w:val="clear" w:pos="879"/>
          <w:tab w:val="left" w:pos="896"/>
        </w:tabs>
        <w:spacing w:before="80"/>
      </w:pPr>
      <w:r>
        <w:tab/>
        <w:t>[Heading inserted by No. 78 of 2003 s. 17.]</w:t>
      </w:r>
    </w:p>
    <w:p>
      <w:pPr>
        <w:pStyle w:val="Heading5"/>
        <w:spacing w:before="180"/>
      </w:pPr>
      <w:bookmarkStart w:id="143" w:name="_Toc473893610"/>
      <w:bookmarkStart w:id="144" w:name="_Toc462413506"/>
      <w:r>
        <w:rPr>
          <w:rStyle w:val="CharSectno"/>
        </w:rPr>
        <w:t>22</w:t>
      </w:r>
      <w:r>
        <w:t>.</w:t>
      </w:r>
      <w:r>
        <w:tab/>
        <w:t>Assessments and opinions as to occurrence of serious misconduct</w:t>
      </w:r>
      <w:bookmarkEnd w:id="143"/>
      <w:bookmarkEnd w:id="144"/>
    </w:p>
    <w:p>
      <w:pPr>
        <w:pStyle w:val="Subsection"/>
        <w:spacing w:before="120"/>
      </w:pPr>
      <w:r>
        <w:tab/>
        <w:t>(1)</w:t>
      </w:r>
      <w:r>
        <w:tab/>
        <w:t xml:space="preserve">Regardless of whether or not there has been an allegation of serious misconduct, the Commission may make assessments and form opinions as to whether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20"/>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spacing w:before="120"/>
      </w:pPr>
      <w:r>
        <w:tab/>
        <w:t>(3)</w:t>
      </w:r>
      <w:r>
        <w:tab/>
        <w:t>The Commission may advise an independent agency or appropriate authority of an assessment or opinion.</w:t>
      </w:r>
    </w:p>
    <w:p>
      <w:pPr>
        <w:pStyle w:val="Footnotesection"/>
      </w:pPr>
      <w:r>
        <w:tab/>
        <w:t>[Section 22 inserted by No. 78 of 2003 s. 17; amended by No. 35 of 2014 s. 31.]</w:t>
      </w:r>
    </w:p>
    <w:p>
      <w:pPr>
        <w:pStyle w:val="Ednotesection"/>
        <w:spacing w:before="180"/>
        <w:ind w:left="890" w:hanging="890"/>
      </w:pPr>
      <w:r>
        <w:t>[</w:t>
      </w:r>
      <w:r>
        <w:rPr>
          <w:b/>
        </w:rPr>
        <w:t>23.</w:t>
      </w:r>
      <w:r>
        <w:tab/>
        <w:t>Deleted by No. 35 of 2014 s. 14.]</w:t>
      </w:r>
    </w:p>
    <w:p>
      <w:pPr>
        <w:pStyle w:val="Heading3"/>
      </w:pPr>
      <w:bookmarkStart w:id="145" w:name="_Toc425842668"/>
      <w:bookmarkStart w:id="146" w:name="_Toc426107781"/>
      <w:bookmarkStart w:id="147" w:name="_Toc462413507"/>
      <w:bookmarkStart w:id="148" w:name="_Toc472672307"/>
      <w:bookmarkStart w:id="149" w:name="_Toc472679137"/>
      <w:bookmarkStart w:id="150" w:name="_Toc472679758"/>
      <w:bookmarkStart w:id="151" w:name="_Toc472680103"/>
      <w:bookmarkStart w:id="152" w:name="_Toc473892921"/>
      <w:bookmarkStart w:id="153" w:name="_Toc473893266"/>
      <w:bookmarkStart w:id="154" w:name="_Toc473893611"/>
      <w:r>
        <w:rPr>
          <w:rStyle w:val="CharDivNo"/>
        </w:rPr>
        <w:t>Division 2</w:t>
      </w:r>
      <w:r>
        <w:t> — </w:t>
      </w:r>
      <w:r>
        <w:rPr>
          <w:rStyle w:val="CharDivText"/>
        </w:rPr>
        <w:t>Allegations</w:t>
      </w:r>
      <w:bookmarkEnd w:id="145"/>
      <w:bookmarkEnd w:id="146"/>
      <w:bookmarkEnd w:id="147"/>
      <w:bookmarkEnd w:id="148"/>
      <w:bookmarkEnd w:id="149"/>
      <w:bookmarkEnd w:id="150"/>
      <w:bookmarkEnd w:id="151"/>
      <w:bookmarkEnd w:id="152"/>
      <w:bookmarkEnd w:id="153"/>
      <w:bookmarkEnd w:id="154"/>
    </w:p>
    <w:p>
      <w:pPr>
        <w:pStyle w:val="Footnoteheading"/>
        <w:tabs>
          <w:tab w:val="clear" w:pos="879"/>
          <w:tab w:val="left" w:pos="896"/>
        </w:tabs>
      </w:pPr>
      <w:r>
        <w:tab/>
        <w:t>[Heading inserted by No. 78 of 2003 s. 17.]</w:t>
      </w:r>
    </w:p>
    <w:p>
      <w:pPr>
        <w:pStyle w:val="Heading5"/>
      </w:pPr>
      <w:bookmarkStart w:id="155" w:name="_Toc473893612"/>
      <w:bookmarkStart w:id="156" w:name="_Toc462413508"/>
      <w:r>
        <w:rPr>
          <w:rStyle w:val="CharSectno"/>
        </w:rPr>
        <w:t>24</w:t>
      </w:r>
      <w:r>
        <w:t>.</w:t>
      </w:r>
      <w:r>
        <w:tab/>
        <w:t>Allegations of serious misconduct</w:t>
      </w:r>
      <w:bookmarkEnd w:id="155"/>
      <w:bookmarkEnd w:id="156"/>
    </w:p>
    <w:p>
      <w:pPr>
        <w:pStyle w:val="Subsection"/>
      </w:pPr>
      <w:r>
        <w:tab/>
        <w:t>(1)</w:t>
      </w:r>
      <w:r>
        <w:tab/>
        <w:t xml:space="preserve">Subject to section 27 the Commission — </w:t>
      </w:r>
    </w:p>
    <w:p>
      <w:pPr>
        <w:pStyle w:val="Indenta"/>
      </w:pPr>
      <w:r>
        <w:tab/>
        <w:t>(a)</w:t>
      </w:r>
      <w:r>
        <w:tab/>
        <w:t xml:space="preserve">is to receive allegations of serious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serious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 amended by No. 35 of 2014 s. 31.]</w:t>
      </w:r>
    </w:p>
    <w:p>
      <w:pPr>
        <w:pStyle w:val="Heading5"/>
      </w:pPr>
      <w:bookmarkStart w:id="157" w:name="_Toc473893613"/>
      <w:bookmarkStart w:id="158" w:name="_Toc462413509"/>
      <w:r>
        <w:rPr>
          <w:rStyle w:val="CharSectno"/>
        </w:rPr>
        <w:t>25</w:t>
      </w:r>
      <w:r>
        <w:t>.</w:t>
      </w:r>
      <w:r>
        <w:tab/>
      </w:r>
      <w:r>
        <w:rPr>
          <w:bCs/>
        </w:rPr>
        <w:t>Any person may report serious misconduct</w:t>
      </w:r>
      <w:bookmarkEnd w:id="157"/>
      <w:bookmarkEnd w:id="158"/>
    </w:p>
    <w:p>
      <w:pPr>
        <w:pStyle w:val="Subsection"/>
      </w:pPr>
      <w:r>
        <w:tab/>
        <w:t>(1)</w:t>
      </w:r>
      <w:r>
        <w:tab/>
        <w:t xml:space="preserve">A public officer or any other person may report to the Commission any matter which that person suspects on reasonable grounds concerns or may concern serious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 amended by No. 35 of 2014 s. 31.]</w:t>
      </w:r>
    </w:p>
    <w:p>
      <w:pPr>
        <w:pStyle w:val="Heading5"/>
      </w:pPr>
      <w:bookmarkStart w:id="159" w:name="_Toc473893614"/>
      <w:bookmarkStart w:id="160" w:name="_Toc462413510"/>
      <w:r>
        <w:rPr>
          <w:rStyle w:val="CharSectno"/>
        </w:rPr>
        <w:t>26</w:t>
      </w:r>
      <w:r>
        <w:t>.</w:t>
      </w:r>
      <w:r>
        <w:tab/>
      </w:r>
      <w:r>
        <w:rPr>
          <w:bCs/>
        </w:rPr>
        <w:t>Commission may make proposition about serious misconduct</w:t>
      </w:r>
      <w:bookmarkEnd w:id="159"/>
      <w:bookmarkEnd w:id="160"/>
    </w:p>
    <w:p>
      <w:pPr>
        <w:pStyle w:val="Subsection"/>
      </w:pPr>
      <w:r>
        <w:tab/>
        <w:t>(1)</w:t>
      </w:r>
      <w:r>
        <w:tab/>
        <w:t xml:space="preserve">The Commission may make a proposition that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 amended by No. 35 of 2014 s. 31.]</w:t>
      </w:r>
    </w:p>
    <w:p>
      <w:pPr>
        <w:pStyle w:val="Heading5"/>
      </w:pPr>
      <w:bookmarkStart w:id="161" w:name="_Toc473893615"/>
      <w:bookmarkStart w:id="162" w:name="_Toc462413511"/>
      <w:r>
        <w:rPr>
          <w:rStyle w:val="CharSectno"/>
        </w:rPr>
        <w:t>27</w:t>
      </w:r>
      <w:r>
        <w:t>.</w:t>
      </w:r>
      <w:r>
        <w:tab/>
        <w:t>Allegation about Commissioner, Parliamentary Inspector or judicial officer not to be received or initiated</w:t>
      </w:r>
      <w:bookmarkEnd w:id="161"/>
      <w:bookmarkEnd w:id="162"/>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Ednotesection"/>
      </w:pPr>
      <w:r>
        <w:t>[</w:t>
      </w:r>
      <w:r>
        <w:rPr>
          <w:b/>
        </w:rPr>
        <w:t>27A, 27B.</w:t>
      </w:r>
      <w:r>
        <w:tab/>
        <w:t>Deleted by No. 35 of 2014 s. 15.]</w:t>
      </w:r>
    </w:p>
    <w:p>
      <w:pPr>
        <w:pStyle w:val="Heading3"/>
      </w:pPr>
      <w:bookmarkStart w:id="163" w:name="_Toc425842673"/>
      <w:bookmarkStart w:id="164" w:name="_Toc426107786"/>
      <w:bookmarkStart w:id="165" w:name="_Toc462413512"/>
      <w:bookmarkStart w:id="166" w:name="_Toc472672312"/>
      <w:bookmarkStart w:id="167" w:name="_Toc472679142"/>
      <w:bookmarkStart w:id="168" w:name="_Toc472679763"/>
      <w:bookmarkStart w:id="169" w:name="_Toc472680108"/>
      <w:bookmarkStart w:id="170" w:name="_Toc473892926"/>
      <w:bookmarkStart w:id="171" w:name="_Toc473893271"/>
      <w:bookmarkStart w:id="172" w:name="_Toc473893616"/>
      <w:r>
        <w:rPr>
          <w:rStyle w:val="CharDivNo"/>
        </w:rPr>
        <w:t>Division 3</w:t>
      </w:r>
      <w:r>
        <w:t> — </w:t>
      </w:r>
      <w:r>
        <w:rPr>
          <w:rStyle w:val="CharDivText"/>
        </w:rPr>
        <w:t>Duty to notify</w:t>
      </w:r>
      <w:bookmarkEnd w:id="163"/>
      <w:bookmarkEnd w:id="164"/>
      <w:bookmarkEnd w:id="165"/>
      <w:bookmarkEnd w:id="166"/>
      <w:bookmarkEnd w:id="167"/>
      <w:bookmarkEnd w:id="168"/>
      <w:bookmarkEnd w:id="169"/>
      <w:bookmarkEnd w:id="170"/>
      <w:bookmarkEnd w:id="171"/>
      <w:bookmarkEnd w:id="172"/>
    </w:p>
    <w:p>
      <w:pPr>
        <w:pStyle w:val="Footnoteheading"/>
        <w:tabs>
          <w:tab w:val="clear" w:pos="879"/>
          <w:tab w:val="left" w:pos="896"/>
        </w:tabs>
      </w:pPr>
      <w:r>
        <w:tab/>
        <w:t>[Heading inserted by No. 78 of 2003 s. 17.]</w:t>
      </w:r>
    </w:p>
    <w:p>
      <w:pPr>
        <w:pStyle w:val="Heading5"/>
      </w:pPr>
      <w:bookmarkStart w:id="173" w:name="_Toc473893617"/>
      <w:bookmarkStart w:id="174" w:name="_Toc462413513"/>
      <w:r>
        <w:rPr>
          <w:rStyle w:val="CharSectno"/>
        </w:rPr>
        <w:t>28</w:t>
      </w:r>
      <w:r>
        <w:t>.</w:t>
      </w:r>
      <w:r>
        <w:tab/>
      </w:r>
      <w:r>
        <w:rPr>
          <w:bCs/>
        </w:rPr>
        <w:t>Certain officers obliged to notify serious misconduct</w:t>
      </w:r>
      <w:bookmarkEnd w:id="173"/>
      <w:bookmarkEnd w:id="174"/>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tab/>
        <w:t>which that person suspects on reasonable grounds concerns or may concern serious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 amended by No. 35 of 2014 s. 31.]</w:t>
      </w:r>
    </w:p>
    <w:p>
      <w:pPr>
        <w:pStyle w:val="Heading5"/>
      </w:pPr>
      <w:bookmarkStart w:id="175" w:name="_Toc473893618"/>
      <w:bookmarkStart w:id="176" w:name="_Toc462413514"/>
      <w:r>
        <w:rPr>
          <w:rStyle w:val="CharSectno"/>
        </w:rPr>
        <w:t>29</w:t>
      </w:r>
      <w:r>
        <w:t>.</w:t>
      </w:r>
      <w:r>
        <w:tab/>
        <w:t>Duty to notify under s. 28 is paramount</w:t>
      </w:r>
      <w:bookmarkEnd w:id="175"/>
      <w:bookmarkEnd w:id="176"/>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177" w:name="_Toc473893619"/>
      <w:bookmarkStart w:id="178" w:name="_Toc462413515"/>
      <w:r>
        <w:rPr>
          <w:rStyle w:val="CharSectno"/>
        </w:rPr>
        <w:t>30</w:t>
      </w:r>
      <w:r>
        <w:t>.</w:t>
      </w:r>
      <w:r>
        <w:tab/>
        <w:t>Commission may issue guidelines about notifications</w:t>
      </w:r>
      <w:bookmarkEnd w:id="177"/>
      <w:bookmarkEnd w:id="178"/>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179" w:name="_Toc473893620"/>
      <w:bookmarkStart w:id="180" w:name="_Toc462413516"/>
      <w:r>
        <w:rPr>
          <w:rStyle w:val="CharSectno"/>
        </w:rPr>
        <w:t>31</w:t>
      </w:r>
      <w:r>
        <w:t>.</w:t>
      </w:r>
      <w:r>
        <w:tab/>
        <w:t>Commission may report breach of duty to report or notify</w:t>
      </w:r>
      <w:bookmarkEnd w:id="179"/>
      <w:bookmarkEnd w:id="180"/>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 amended by No. 4 of 2015 s. 84(3).]</w:t>
      </w:r>
    </w:p>
    <w:p>
      <w:pPr>
        <w:pStyle w:val="Heading3"/>
      </w:pPr>
      <w:bookmarkStart w:id="181" w:name="_Toc425842678"/>
      <w:bookmarkStart w:id="182" w:name="_Toc426107791"/>
      <w:bookmarkStart w:id="183" w:name="_Toc462413517"/>
      <w:bookmarkStart w:id="184" w:name="_Toc472672317"/>
      <w:bookmarkStart w:id="185" w:name="_Toc472679147"/>
      <w:bookmarkStart w:id="186" w:name="_Toc472679768"/>
      <w:bookmarkStart w:id="187" w:name="_Toc472680113"/>
      <w:bookmarkStart w:id="188" w:name="_Toc473892931"/>
      <w:bookmarkStart w:id="189" w:name="_Toc473893276"/>
      <w:bookmarkStart w:id="190" w:name="_Toc473893621"/>
      <w:r>
        <w:rPr>
          <w:rStyle w:val="CharDivNo"/>
        </w:rPr>
        <w:t>Division 4</w:t>
      </w:r>
      <w:r>
        <w:t> — </w:t>
      </w:r>
      <w:r>
        <w:rPr>
          <w:rStyle w:val="CharDivText"/>
        </w:rPr>
        <w:t>Assessments, opinions and investigation</w:t>
      </w:r>
      <w:bookmarkEnd w:id="181"/>
      <w:bookmarkEnd w:id="182"/>
      <w:bookmarkEnd w:id="183"/>
      <w:bookmarkEnd w:id="184"/>
      <w:bookmarkEnd w:id="185"/>
      <w:bookmarkEnd w:id="186"/>
      <w:bookmarkEnd w:id="187"/>
      <w:bookmarkEnd w:id="188"/>
      <w:bookmarkEnd w:id="189"/>
      <w:bookmarkEnd w:id="190"/>
    </w:p>
    <w:p>
      <w:pPr>
        <w:pStyle w:val="Footnoteheading"/>
        <w:tabs>
          <w:tab w:val="clear" w:pos="879"/>
          <w:tab w:val="left" w:pos="896"/>
        </w:tabs>
      </w:pPr>
      <w:r>
        <w:tab/>
        <w:t>[Heading inserted by No. 78 of 2003 s. 17.]</w:t>
      </w:r>
    </w:p>
    <w:p>
      <w:pPr>
        <w:pStyle w:val="Heading5"/>
        <w:spacing w:before="180"/>
      </w:pPr>
      <w:bookmarkStart w:id="191" w:name="_Toc473893622"/>
      <w:bookmarkStart w:id="192" w:name="_Toc462413518"/>
      <w:r>
        <w:rPr>
          <w:rStyle w:val="CharSectno"/>
        </w:rPr>
        <w:t>32</w:t>
      </w:r>
      <w:r>
        <w:t>.</w:t>
      </w:r>
      <w:r>
        <w:tab/>
        <w:t>Dealing with allegations</w:t>
      </w:r>
      <w:bookmarkEnd w:id="191"/>
      <w:bookmarkEnd w:id="192"/>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about an allegation or other matter relating to serious misconduct the persons and bodies that the Commission considers desirable and practicable to consult.</w:t>
      </w:r>
    </w:p>
    <w:p>
      <w:pPr>
        <w:pStyle w:val="Footnotesection"/>
        <w:spacing w:before="80"/>
        <w:ind w:left="890" w:hanging="890"/>
      </w:pPr>
      <w:r>
        <w:tab/>
        <w:t>[Section 32 inserted by No. 78 of 2003 s. 17; amended by No. 35 of 2014 s. 16.]</w:t>
      </w:r>
    </w:p>
    <w:p>
      <w:pPr>
        <w:pStyle w:val="Heading5"/>
      </w:pPr>
      <w:bookmarkStart w:id="193" w:name="_Toc473893623"/>
      <w:bookmarkStart w:id="194" w:name="_Toc462413519"/>
      <w:r>
        <w:rPr>
          <w:rStyle w:val="CharSectno"/>
        </w:rPr>
        <w:t>33</w:t>
      </w:r>
      <w:r>
        <w:t>.</w:t>
      </w:r>
      <w:r>
        <w:tab/>
        <w:t>Decision on further action on allegation</w:t>
      </w:r>
      <w:bookmarkEnd w:id="193"/>
      <w:bookmarkEnd w:id="194"/>
    </w:p>
    <w:p>
      <w:pPr>
        <w:pStyle w:val="Subsection"/>
        <w:keepNext/>
        <w:spacing w:before="180"/>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spacing w:before="180"/>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spacing w:before="240"/>
      </w:pPr>
      <w:bookmarkStart w:id="195" w:name="_Toc473893624"/>
      <w:bookmarkStart w:id="196" w:name="_Toc462413520"/>
      <w:r>
        <w:rPr>
          <w:rStyle w:val="CharSectno"/>
        </w:rPr>
        <w:t>34</w:t>
      </w:r>
      <w:r>
        <w:t>.</w:t>
      </w:r>
      <w:r>
        <w:tab/>
        <w:t>Matters to be considered in deciding who should take action</w:t>
      </w:r>
      <w:bookmarkEnd w:id="195"/>
      <w:bookmarkEnd w:id="196"/>
    </w:p>
    <w:p>
      <w:pPr>
        <w:pStyle w:val="Subsection"/>
        <w:spacing w:before="180"/>
      </w:pPr>
      <w:r>
        <w:tab/>
        <w:t>(1)</w:t>
      </w:r>
      <w:r>
        <w:tab/>
        <w:t>Without limiting the matters to which the Commission may have regard when deciding whether or not to make a decision under section 33(1)(a) or (b), the Commission is to have regard to the nature of the serious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80"/>
      </w:pPr>
      <w:r>
        <w:tab/>
        <w:t>(2)</w:t>
      </w:r>
      <w:r>
        <w:tab/>
        <w:t xml:space="preserve">Without limiting the matters to which the Commission may have regard when deciding whether or not to make a decision under section 33(1)(c), the Commission is to have regard to the following — </w:t>
      </w:r>
    </w:p>
    <w:p>
      <w:pPr>
        <w:pStyle w:val="Indenta"/>
      </w:pPr>
      <w:r>
        <w:tab/>
        <w:t>(a)</w:t>
      </w:r>
      <w:r>
        <w:tab/>
        <w:t>the seniority of any public officer to whom the allegation relates;</w:t>
      </w:r>
    </w:p>
    <w:p>
      <w:pPr>
        <w:pStyle w:val="Indenta"/>
      </w:pPr>
      <w:r>
        <w:tab/>
        <w:t>(b)</w:t>
      </w:r>
      <w:r>
        <w:tab/>
        <w:t>the nature of the serious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ind w:left="890" w:hanging="890"/>
      </w:pPr>
      <w:r>
        <w:tab/>
        <w:t>[Section 34 inserted by No. 78 of 2003 s. 17; amended by No. 35 of 2014 s. 17.]</w:t>
      </w:r>
    </w:p>
    <w:p>
      <w:pPr>
        <w:pStyle w:val="Heading5"/>
      </w:pPr>
      <w:bookmarkStart w:id="197" w:name="_Toc473893625"/>
      <w:bookmarkStart w:id="198" w:name="_Toc462413521"/>
      <w:r>
        <w:rPr>
          <w:rStyle w:val="CharSectno"/>
        </w:rPr>
        <w:t>35</w:t>
      </w:r>
      <w:r>
        <w:t>.</w:t>
      </w:r>
      <w:r>
        <w:tab/>
        <w:t>Informant to be notified of decision not to take action</w:t>
      </w:r>
      <w:bookmarkEnd w:id="197"/>
      <w:bookmarkEnd w:id="198"/>
    </w:p>
    <w:p>
      <w:pPr>
        <w:pStyle w:val="Subsection"/>
      </w:pPr>
      <w:r>
        <w:tab/>
      </w:r>
      <w:r>
        <w:tab/>
        <w:t>If —</w:t>
      </w:r>
    </w:p>
    <w:p>
      <w:pPr>
        <w:pStyle w:val="Indenta"/>
      </w:pPr>
      <w:r>
        <w:tab/>
        <w:t>(a)</w:t>
      </w:r>
      <w:r>
        <w:tab/>
        <w:t>a person makes an allegation under section 25 or 28(2); or</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ind w:left="890" w:hanging="890"/>
      </w:pPr>
      <w:r>
        <w:tab/>
        <w:t>[Section 35 inserted by No. 78 of 2003 s. 17.]</w:t>
      </w:r>
    </w:p>
    <w:p>
      <w:pPr>
        <w:pStyle w:val="Heading5"/>
      </w:pPr>
      <w:bookmarkStart w:id="199" w:name="_Toc473893626"/>
      <w:bookmarkStart w:id="200" w:name="_Toc462413522"/>
      <w:r>
        <w:rPr>
          <w:rStyle w:val="CharSectno"/>
        </w:rPr>
        <w:t>36</w:t>
      </w:r>
      <w:r>
        <w:t>.</w:t>
      </w:r>
      <w:r>
        <w:tab/>
        <w:t>Person investigated can be advised of outcome of investigation</w:t>
      </w:r>
      <w:bookmarkEnd w:id="199"/>
      <w:bookmarkEnd w:id="200"/>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keepNext/>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ind w:left="890" w:hanging="890"/>
      </w:pPr>
      <w:r>
        <w:tab/>
        <w:t>[Section 36 inserted by No. 78 of 2003 s. 17.]</w:t>
      </w:r>
    </w:p>
    <w:p>
      <w:pPr>
        <w:pStyle w:val="Heading5"/>
      </w:pPr>
      <w:bookmarkStart w:id="201" w:name="_Toc473893627"/>
      <w:bookmarkStart w:id="202" w:name="_Toc462413523"/>
      <w:r>
        <w:rPr>
          <w:rStyle w:val="CharSectno"/>
        </w:rPr>
        <w:t>37</w:t>
      </w:r>
      <w:r>
        <w:t>.</w:t>
      </w:r>
      <w:r>
        <w:tab/>
        <w:t>Referring allegation to another agency or authority</w:t>
      </w:r>
      <w:bookmarkEnd w:id="201"/>
      <w:bookmarkEnd w:id="202"/>
    </w:p>
    <w:p>
      <w:pPr>
        <w:pStyle w:val="Subsection"/>
      </w:pPr>
      <w:r>
        <w:tab/>
        <w:t>(1)</w:t>
      </w:r>
      <w:r>
        <w:tab/>
        <w:t>If the Commission decides under section 33(1)(c)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ind w:left="890" w:hanging="890"/>
      </w:pPr>
      <w:r>
        <w:tab/>
        <w:t>[Section 37 inserted by No. 78 of 2003 s. 17; amended by No. 35 of 2014 s. 18.]</w:t>
      </w:r>
    </w:p>
    <w:p>
      <w:pPr>
        <w:pStyle w:val="Heading5"/>
      </w:pPr>
      <w:bookmarkStart w:id="203" w:name="_Toc473893628"/>
      <w:bookmarkStart w:id="204" w:name="_Toc462413524"/>
      <w:r>
        <w:rPr>
          <w:rStyle w:val="CharSectno"/>
        </w:rPr>
        <w:t>38</w:t>
      </w:r>
      <w:r>
        <w:t>.</w:t>
      </w:r>
      <w:r>
        <w:tab/>
        <w:t>Referring allegations to Parliamentary Commissioner or Auditor General</w:t>
      </w:r>
      <w:bookmarkEnd w:id="203"/>
      <w:bookmarkEnd w:id="204"/>
    </w:p>
    <w:p>
      <w:pPr>
        <w:pStyle w:val="Subsection"/>
      </w:pPr>
      <w:r>
        <w:tab/>
        <w:t>(1)</w:t>
      </w:r>
      <w:r>
        <w:tab/>
        <w:t>The Commission is not to refer an allegation to the Parliamentary Commissioner or the Auditor General under section 33(1)(c)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by No. 78 of 2003 s. 17; amended by No. 77 of 2006 Sch. 1 cl. 35(3) and (4); No. 35 of 2014 s. 19.]</w:t>
      </w:r>
    </w:p>
    <w:p>
      <w:pPr>
        <w:pStyle w:val="Heading5"/>
        <w:spacing w:before="180"/>
      </w:pPr>
      <w:bookmarkStart w:id="205" w:name="_Toc473893629"/>
      <w:bookmarkStart w:id="206" w:name="_Toc462413525"/>
      <w:r>
        <w:rPr>
          <w:rStyle w:val="CharSectno"/>
        </w:rPr>
        <w:t>39</w:t>
      </w:r>
      <w:r>
        <w:t>.</w:t>
      </w:r>
      <w:r>
        <w:tab/>
        <w:t>Commission may decide to take other action</w:t>
      </w:r>
      <w:bookmarkEnd w:id="205"/>
      <w:bookmarkEnd w:id="206"/>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ind w:left="890" w:hanging="890"/>
      </w:pPr>
      <w:r>
        <w:tab/>
        <w:t>[Section 39 inserted by No. 78 of 2003 s. 17.]</w:t>
      </w:r>
    </w:p>
    <w:p>
      <w:pPr>
        <w:pStyle w:val="Heading5"/>
        <w:spacing w:before="180"/>
      </w:pPr>
      <w:bookmarkStart w:id="207" w:name="_Toc473893630"/>
      <w:bookmarkStart w:id="208" w:name="_Toc462413526"/>
      <w:r>
        <w:rPr>
          <w:rStyle w:val="CharSectno"/>
        </w:rPr>
        <w:t>40</w:t>
      </w:r>
      <w:r>
        <w:t>.</w:t>
      </w:r>
      <w:r>
        <w:tab/>
        <w:t>Commission’s monitoring role of appropriate authorities</w:t>
      </w:r>
      <w:bookmarkEnd w:id="207"/>
      <w:bookmarkEnd w:id="208"/>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by No. 78 of 2003 s. 17.]</w:t>
      </w:r>
    </w:p>
    <w:p>
      <w:pPr>
        <w:pStyle w:val="Heading5"/>
        <w:spacing w:before="160"/>
      </w:pPr>
      <w:bookmarkStart w:id="209" w:name="_Toc473893631"/>
      <w:bookmarkStart w:id="210" w:name="_Toc462413527"/>
      <w:r>
        <w:rPr>
          <w:rStyle w:val="CharSectno"/>
        </w:rPr>
        <w:t>41</w:t>
      </w:r>
      <w:r>
        <w:t>.</w:t>
      </w:r>
      <w:r>
        <w:tab/>
      </w:r>
      <w:r>
        <w:rPr>
          <w:bCs/>
        </w:rPr>
        <w:t xml:space="preserve">Commission may </w:t>
      </w:r>
      <w:r>
        <w:t>review how appropriate authority has dealt with serious misconduct</w:t>
      </w:r>
      <w:bookmarkEnd w:id="209"/>
      <w:bookmarkEnd w:id="210"/>
    </w:p>
    <w:p>
      <w:pPr>
        <w:pStyle w:val="Subsection"/>
        <w:spacing w:before="120"/>
      </w:pPr>
      <w:r>
        <w:tab/>
        <w:t>(1)</w:t>
      </w:r>
      <w:r>
        <w:tab/>
        <w:t>The Commission may review the way an appropriate authority has dealt with serious misconduct, in relation to either a particular allegation, complaint, information or matter involving serious misconduct or in relation to a class of allegation, complaint, information or matter involving serious misconduct.</w:t>
      </w:r>
    </w:p>
    <w:p>
      <w:pPr>
        <w:pStyle w:val="Subsection"/>
        <w:spacing w:before="12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 amended by No. 35 of 2014 s. 31.]</w:t>
      </w:r>
    </w:p>
    <w:p>
      <w:pPr>
        <w:pStyle w:val="Heading5"/>
        <w:spacing w:before="180"/>
      </w:pPr>
      <w:bookmarkStart w:id="211" w:name="_Toc473893632"/>
      <w:bookmarkStart w:id="212" w:name="_Toc462413528"/>
      <w:r>
        <w:rPr>
          <w:rStyle w:val="CharSectno"/>
        </w:rPr>
        <w:t>42</w:t>
      </w:r>
      <w:r>
        <w:t>.</w:t>
      </w:r>
      <w:r>
        <w:tab/>
        <w:t>Commission may direct Public Sector Commissioner or appropriate authority not to take action</w:t>
      </w:r>
      <w:bookmarkEnd w:id="211"/>
      <w:bookmarkEnd w:id="212"/>
    </w:p>
    <w:p>
      <w:pPr>
        <w:pStyle w:val="Subsection"/>
        <w:spacing w:before="10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the Public Sector Commissioner or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Public Sector Commissioner or an officer of the appropriate authority.</w:t>
      </w:r>
    </w:p>
    <w:p>
      <w:pPr>
        <w:pStyle w:val="Subsection"/>
        <w:spacing w:before="120"/>
      </w:pPr>
      <w:r>
        <w:tab/>
        <w:t>(3)</w:t>
      </w:r>
      <w:r>
        <w:tab/>
        <w:t>The Public Sector Commissioner or appropriate authority must comply with the direction.</w:t>
      </w:r>
    </w:p>
    <w:p>
      <w:pPr>
        <w:pStyle w:val="Subsection"/>
        <w:spacing w:before="120"/>
      </w:pPr>
      <w:r>
        <w:tab/>
        <w:t>(4)</w:t>
      </w:r>
      <w:r>
        <w:tab/>
        <w:t>The notice absolves the Public Sector Commissioner and his or her officers or the appropriate authority and its officers from any duty with respect to the misconduct matter so far as it relates to investigation of the matter or to the bringing of an offender concerned before the courts to be dealt with according to law.</w:t>
      </w:r>
    </w:p>
    <w:p>
      <w:pPr>
        <w:pStyle w:val="Ednotesubsection"/>
        <w:spacing w:before="80"/>
      </w:pPr>
      <w:r>
        <w:tab/>
        <w:t>[(5)</w:t>
      </w:r>
      <w:r>
        <w:tab/>
        <w:t>deleted]</w:t>
      </w:r>
    </w:p>
    <w:p>
      <w:pPr>
        <w:pStyle w:val="Subsection"/>
        <w:spacing w:before="100"/>
      </w:pPr>
      <w:r>
        <w:tab/>
        <w:t>(6)</w:t>
      </w:r>
      <w:r>
        <w:tab/>
        <w:t>Subsection (2) does not prevent an investigation of the misconduct matter that is conducted in accordance with arrangements made between the Commission and the Public Sector Commissioner or appropriate authority.</w:t>
      </w:r>
    </w:p>
    <w:p>
      <w:pPr>
        <w:pStyle w:val="Subsection"/>
        <w:spacing w:before="100"/>
      </w:pPr>
      <w:r>
        <w:tab/>
        <w:t>(7)</w:t>
      </w:r>
      <w:r>
        <w:tab/>
        <w:t>Despite subsection (2), an investigation of the misconduct matter by the Public Sector Commissioner or appropriate authority may be commenced or resumed if the Commission notifies the Public Sector Commissioner or appropriate authority that the Commission has revoked the direction.</w:t>
      </w:r>
    </w:p>
    <w:p>
      <w:pPr>
        <w:pStyle w:val="Footnotesection"/>
        <w:spacing w:before="60"/>
        <w:ind w:left="890" w:hanging="890"/>
      </w:pPr>
      <w:r>
        <w:tab/>
        <w:t>[Section 42 inserted by No. 78 of 2003 s. 17; amended by No. 35 of 2014 s. 20.]</w:t>
      </w:r>
    </w:p>
    <w:p>
      <w:pPr>
        <w:pStyle w:val="Heading3"/>
      </w:pPr>
      <w:bookmarkStart w:id="213" w:name="_Toc425842690"/>
      <w:bookmarkStart w:id="214" w:name="_Toc426107803"/>
      <w:bookmarkStart w:id="215" w:name="_Toc462413529"/>
      <w:bookmarkStart w:id="216" w:name="_Toc472672329"/>
      <w:bookmarkStart w:id="217" w:name="_Toc472679159"/>
      <w:bookmarkStart w:id="218" w:name="_Toc472679780"/>
      <w:bookmarkStart w:id="219" w:name="_Toc472680125"/>
      <w:bookmarkStart w:id="220" w:name="_Toc473892943"/>
      <w:bookmarkStart w:id="221" w:name="_Toc473893288"/>
      <w:bookmarkStart w:id="222" w:name="_Toc473893633"/>
      <w:r>
        <w:rPr>
          <w:rStyle w:val="CharDivNo"/>
        </w:rPr>
        <w:t>Division 5</w:t>
      </w:r>
      <w:r>
        <w:t> — </w:t>
      </w:r>
      <w:r>
        <w:rPr>
          <w:rStyle w:val="CharDivText"/>
        </w:rPr>
        <w:t>Recommendations</w:t>
      </w:r>
      <w:bookmarkEnd w:id="213"/>
      <w:bookmarkEnd w:id="214"/>
      <w:bookmarkEnd w:id="215"/>
      <w:bookmarkEnd w:id="216"/>
      <w:bookmarkEnd w:id="217"/>
      <w:bookmarkEnd w:id="218"/>
      <w:bookmarkEnd w:id="219"/>
      <w:bookmarkEnd w:id="220"/>
      <w:bookmarkEnd w:id="221"/>
      <w:bookmarkEnd w:id="222"/>
    </w:p>
    <w:p>
      <w:pPr>
        <w:pStyle w:val="Footnoteheading"/>
        <w:tabs>
          <w:tab w:val="clear" w:pos="879"/>
          <w:tab w:val="left" w:pos="896"/>
        </w:tabs>
      </w:pPr>
      <w:r>
        <w:tab/>
        <w:t>[Heading inserted by No. 78 of 2003 s. 17.]</w:t>
      </w:r>
    </w:p>
    <w:p>
      <w:pPr>
        <w:pStyle w:val="Heading5"/>
      </w:pPr>
      <w:bookmarkStart w:id="223" w:name="_Toc473893634"/>
      <w:bookmarkStart w:id="224" w:name="_Toc462413530"/>
      <w:r>
        <w:rPr>
          <w:rStyle w:val="CharSectno"/>
        </w:rPr>
        <w:t>43</w:t>
      </w:r>
      <w:r>
        <w:t>.</w:t>
      </w:r>
      <w:r>
        <w:tab/>
        <w:t>Recommendations by Commission</w:t>
      </w:r>
      <w:bookmarkEnd w:id="223"/>
      <w:bookmarkEnd w:id="224"/>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225" w:name="_Toc473893635"/>
      <w:bookmarkStart w:id="226" w:name="_Toc462413531"/>
      <w:r>
        <w:rPr>
          <w:rStyle w:val="CharSectno"/>
        </w:rPr>
        <w:t>44</w:t>
      </w:r>
      <w:r>
        <w:t>.</w:t>
      </w:r>
      <w:r>
        <w:tab/>
        <w:t>Other action for misconduct</w:t>
      </w:r>
      <w:bookmarkEnd w:id="225"/>
      <w:bookmarkEnd w:id="226"/>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227" w:name="_Toc425842693"/>
      <w:bookmarkStart w:id="228" w:name="_Toc426107806"/>
      <w:bookmarkStart w:id="229" w:name="_Toc462413532"/>
      <w:bookmarkStart w:id="230" w:name="_Toc472672332"/>
      <w:bookmarkStart w:id="231" w:name="_Toc472679162"/>
      <w:bookmarkStart w:id="232" w:name="_Toc472679783"/>
      <w:bookmarkStart w:id="233" w:name="_Toc472680128"/>
      <w:bookmarkStart w:id="234" w:name="_Toc473892946"/>
      <w:bookmarkStart w:id="235" w:name="_Toc473893291"/>
      <w:bookmarkStart w:id="236" w:name="_Toc473893636"/>
      <w:r>
        <w:rPr>
          <w:rStyle w:val="CharPartNo"/>
        </w:rPr>
        <w:t>Part 4A</w:t>
      </w:r>
      <w:r>
        <w:t> — </w:t>
      </w:r>
      <w:r>
        <w:rPr>
          <w:rStyle w:val="CharPartText"/>
        </w:rPr>
        <w:t>Misconduct: role of Public Sector Commissioner</w:t>
      </w:r>
      <w:bookmarkEnd w:id="227"/>
      <w:bookmarkEnd w:id="228"/>
      <w:bookmarkEnd w:id="229"/>
      <w:bookmarkEnd w:id="230"/>
      <w:bookmarkEnd w:id="231"/>
      <w:bookmarkEnd w:id="232"/>
      <w:bookmarkEnd w:id="233"/>
      <w:bookmarkEnd w:id="234"/>
      <w:bookmarkEnd w:id="235"/>
      <w:bookmarkEnd w:id="236"/>
    </w:p>
    <w:p>
      <w:pPr>
        <w:pStyle w:val="Footnoteheading"/>
        <w:tabs>
          <w:tab w:val="clear" w:pos="879"/>
          <w:tab w:val="left" w:pos="896"/>
        </w:tabs>
      </w:pPr>
      <w:r>
        <w:tab/>
        <w:t>[Heading inserted by No. 35 of 2014 s. 21.]</w:t>
      </w:r>
    </w:p>
    <w:p>
      <w:pPr>
        <w:pStyle w:val="Heading3"/>
      </w:pPr>
      <w:bookmarkStart w:id="237" w:name="_Toc425842694"/>
      <w:bookmarkStart w:id="238" w:name="_Toc426107807"/>
      <w:bookmarkStart w:id="239" w:name="_Toc462413533"/>
      <w:bookmarkStart w:id="240" w:name="_Toc472672333"/>
      <w:bookmarkStart w:id="241" w:name="_Toc472679163"/>
      <w:bookmarkStart w:id="242" w:name="_Toc472679784"/>
      <w:bookmarkStart w:id="243" w:name="_Toc472680129"/>
      <w:bookmarkStart w:id="244" w:name="_Toc473892947"/>
      <w:bookmarkStart w:id="245" w:name="_Toc473893292"/>
      <w:bookmarkStart w:id="246" w:name="_Toc473893637"/>
      <w:r>
        <w:rPr>
          <w:rStyle w:val="CharDivNo"/>
        </w:rPr>
        <w:t>Division 1</w:t>
      </w:r>
      <w:r>
        <w:t> — </w:t>
      </w:r>
      <w:r>
        <w:rPr>
          <w:rStyle w:val="CharDivText"/>
        </w:rPr>
        <w:t>Functions in relation to misconduct</w:t>
      </w:r>
      <w:bookmarkEnd w:id="237"/>
      <w:bookmarkEnd w:id="238"/>
      <w:bookmarkEnd w:id="239"/>
      <w:bookmarkEnd w:id="240"/>
      <w:bookmarkEnd w:id="241"/>
      <w:bookmarkEnd w:id="242"/>
      <w:bookmarkEnd w:id="243"/>
      <w:bookmarkEnd w:id="244"/>
      <w:bookmarkEnd w:id="245"/>
      <w:bookmarkEnd w:id="246"/>
    </w:p>
    <w:p>
      <w:pPr>
        <w:pStyle w:val="Footnoteheading"/>
        <w:tabs>
          <w:tab w:val="clear" w:pos="879"/>
          <w:tab w:val="left" w:pos="896"/>
        </w:tabs>
      </w:pPr>
      <w:r>
        <w:tab/>
        <w:t>[Heading inserted by No. 35 of 2014 s. 21.]</w:t>
      </w:r>
    </w:p>
    <w:p>
      <w:pPr>
        <w:pStyle w:val="Heading5"/>
        <w:spacing w:before="240"/>
      </w:pPr>
      <w:bookmarkStart w:id="247" w:name="_Toc473893638"/>
      <w:bookmarkStart w:id="248" w:name="_Toc462413534"/>
      <w:r>
        <w:rPr>
          <w:rStyle w:val="CharSectno"/>
        </w:rPr>
        <w:t>45A</w:t>
      </w:r>
      <w:r>
        <w:t>.</w:t>
      </w:r>
      <w:r>
        <w:tab/>
        <w:t>Prevention and education function</w:t>
      </w:r>
      <w:bookmarkEnd w:id="247"/>
      <w:bookmarkEnd w:id="248"/>
    </w:p>
    <w:p>
      <w:pPr>
        <w:pStyle w:val="Subsection"/>
        <w:spacing w:before="180"/>
      </w:pPr>
      <w:r>
        <w:tab/>
        <w:t>(1)</w:t>
      </w:r>
      <w:r>
        <w:tab/>
        <w:t xml:space="preserve">It is a function of the Public Sector Commissioner (the </w:t>
      </w:r>
      <w:r>
        <w:rPr>
          <w:rStyle w:val="CharDefText"/>
        </w:rPr>
        <w:t>prevention and education function</w:t>
      </w:r>
      <w:r>
        <w:t>) to help to prevent misconduct.</w:t>
      </w:r>
    </w:p>
    <w:p>
      <w:pPr>
        <w:pStyle w:val="Subsection"/>
        <w:spacing w:before="180"/>
      </w:pPr>
      <w:r>
        <w:tab/>
        <w:t>(2)</w:t>
      </w:r>
      <w:r>
        <w:tab/>
        <w:t>Without limiting the ways the Public Sector Commissioner may perform the prevention and education function, the Public Sector Commissioner performs that function by doing the following —</w:t>
      </w:r>
    </w:p>
    <w:p>
      <w:pPr>
        <w:pStyle w:val="Indenta"/>
      </w:pPr>
      <w:r>
        <w:tab/>
        <w:t>(a)</w:t>
      </w:r>
      <w:r>
        <w:tab/>
        <w:t>analysing the information the Public Sector Commissioner gathers in performing functions under this Act and any other Act, including the information gathered in support of inquiries conducted under Division 2;</w:t>
      </w:r>
    </w:p>
    <w:p>
      <w:pPr>
        <w:pStyle w:val="Indenta"/>
      </w:pPr>
      <w:r>
        <w:tab/>
        <w:t>(b)</w:t>
      </w:r>
      <w:r>
        <w:tab/>
        <w:t>analysing systems used within public authorities to prevent misconduct;</w:t>
      </w:r>
    </w:p>
    <w:p>
      <w:pPr>
        <w:pStyle w:val="Indenta"/>
      </w:pPr>
      <w:r>
        <w:tab/>
        <w:t>(c)</w:t>
      </w:r>
      <w:r>
        <w:tab/>
        <w:t>providing information to, consulting with, and making recommendations to, public authorities;</w:t>
      </w:r>
    </w:p>
    <w:p>
      <w:pPr>
        <w:pStyle w:val="Indenta"/>
      </w:pPr>
      <w:r>
        <w:tab/>
        <w:t>(d)</w:t>
      </w:r>
      <w:r>
        <w:tab/>
        <w:t>providing information relevant to the prevention and education function to the general community;</w:t>
      </w:r>
    </w:p>
    <w:p>
      <w:pPr>
        <w:pStyle w:val="Indenta"/>
      </w:pPr>
      <w:r>
        <w:tab/>
        <w:t>(e)</w:t>
      </w:r>
      <w:r>
        <w:tab/>
        <w:t>ensuring that, in performing functions under this Act and any other Act, the Public Sector Commissioner has regard to the prevention and education function;</w:t>
      </w:r>
    </w:p>
    <w:p>
      <w:pPr>
        <w:pStyle w:val="Indenta"/>
      </w:pPr>
      <w:r>
        <w:tab/>
        <w:t>(f)</w:t>
      </w:r>
      <w:r>
        <w:tab/>
        <w:t>generally increasing the capacity of public authorities to prevent and combat misconduct by providing advice and training to those authorities and, if asked, to other entities;</w:t>
      </w:r>
    </w:p>
    <w:p>
      <w:pPr>
        <w:pStyle w:val="Indenta"/>
      </w:pPr>
      <w:r>
        <w:tab/>
        <w:t>(g)</w:t>
      </w:r>
      <w:r>
        <w:tab/>
        <w:t>reporting on ways to prevent and combat misconduct.</w:t>
      </w:r>
    </w:p>
    <w:p>
      <w:pPr>
        <w:pStyle w:val="Subsection"/>
      </w:pPr>
      <w:r>
        <w:tab/>
        <w:t>(3)</w:t>
      </w:r>
      <w:r>
        <w:tab/>
        <w:t>In performing the prevention and education function, the Public Sector Commissioner may consult, cooperate, and exchange information, with the Commission.</w:t>
      </w:r>
    </w:p>
    <w:p>
      <w:pPr>
        <w:pStyle w:val="Subsection"/>
      </w:pPr>
      <w:r>
        <w:tab/>
        <w:t>(4)</w:t>
      </w:r>
      <w:r>
        <w:tab/>
        <w:t>In performing the prevention and education function, the Public Sector Commissioner is to be supported by the Commission, other independent agencies and appropriate authorities.</w:t>
      </w:r>
    </w:p>
    <w:p>
      <w:pPr>
        <w:pStyle w:val="Footnotesection"/>
        <w:ind w:left="890" w:hanging="890"/>
      </w:pPr>
      <w:r>
        <w:tab/>
        <w:t>[Section 45A inserted by No. 35 of 2014 s. 21.]</w:t>
      </w:r>
    </w:p>
    <w:p>
      <w:pPr>
        <w:pStyle w:val="Heading5"/>
        <w:spacing w:before="240"/>
      </w:pPr>
      <w:bookmarkStart w:id="249" w:name="_Toc473893639"/>
      <w:bookmarkStart w:id="250" w:name="_Toc462413535"/>
      <w:r>
        <w:rPr>
          <w:rStyle w:val="CharSectno"/>
        </w:rPr>
        <w:t>45B</w:t>
      </w:r>
      <w:r>
        <w:t>.</w:t>
      </w:r>
      <w:r>
        <w:tab/>
        <w:t>Minor misconduct function</w:t>
      </w:r>
      <w:bookmarkEnd w:id="249"/>
      <w:bookmarkEnd w:id="250"/>
    </w:p>
    <w:p>
      <w:pPr>
        <w:pStyle w:val="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Indenta"/>
      </w:pPr>
      <w:r>
        <w:tab/>
        <w:t>(a)</w:t>
      </w:r>
      <w:r>
        <w:tab/>
        <w:t>receiving and initiating allegations of minor misconduct;</w:t>
      </w:r>
    </w:p>
    <w:p>
      <w:pPr>
        <w:pStyle w:val="Indenta"/>
      </w:pPr>
      <w:r>
        <w:tab/>
        <w:t>(b)</w:t>
      </w:r>
      <w:r>
        <w:tab/>
        <w:t>considering whether action is needed in relation to allegations and matters related to minor misconduct;</w:t>
      </w:r>
    </w:p>
    <w:p>
      <w:pPr>
        <w:pStyle w:val="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Indenta"/>
      </w:pPr>
      <w:r>
        <w:tab/>
        <w:t>(d)</w:t>
      </w:r>
      <w:r>
        <w:tab/>
        <w:t>monitoring the way in which other independent agencies and appropriate authorities take action in relation to allegations and matters that are referred to them by the Public Sector Commissioner;</w:t>
      </w:r>
    </w:p>
    <w:p>
      <w:pPr>
        <w:pStyle w:val="Indenta"/>
        <w:spacing w:before="60"/>
      </w:pPr>
      <w:r>
        <w:tab/>
        <w:t>(e)</w:t>
      </w:r>
      <w:r>
        <w:tab/>
        <w:t>whether or not there has been an allegation of minor misconduct, inquiring into whether minor misconduct —</w:t>
      </w:r>
    </w:p>
    <w:p>
      <w:pPr>
        <w:pStyle w:val="Indenti"/>
        <w:spacing w:before="60"/>
      </w:pPr>
      <w:r>
        <w:tab/>
        <w:t>(i)</w:t>
      </w:r>
      <w:r>
        <w:tab/>
        <w:t>has or may have occurred; or</w:t>
      </w:r>
    </w:p>
    <w:p>
      <w:pPr>
        <w:pStyle w:val="Indenti"/>
        <w:spacing w:before="60"/>
      </w:pPr>
      <w:r>
        <w:tab/>
        <w:t>(ii)</w:t>
      </w:r>
      <w:r>
        <w:tab/>
        <w:t>is or may be occurring; or</w:t>
      </w:r>
    </w:p>
    <w:p>
      <w:pPr>
        <w:pStyle w:val="Indenti"/>
        <w:spacing w:before="60"/>
      </w:pPr>
      <w:r>
        <w:tab/>
        <w:t>(iii)</w:t>
      </w:r>
      <w:r>
        <w:tab/>
        <w:t>is or may be about to occur; or</w:t>
      </w:r>
    </w:p>
    <w:p>
      <w:pPr>
        <w:pStyle w:val="Indenti"/>
        <w:spacing w:before="60"/>
      </w:pPr>
      <w:r>
        <w:tab/>
        <w:t>(iv)</w:t>
      </w:r>
      <w:r>
        <w:tab/>
        <w:t>is likely to occur;</w:t>
      </w:r>
    </w:p>
    <w:p>
      <w:pPr>
        <w:pStyle w:val="Indenta"/>
        <w:spacing w:before="60"/>
      </w:pPr>
      <w:r>
        <w:tab/>
        <w:t>(f)</w:t>
      </w:r>
      <w:r>
        <w:tab/>
        <w:t>making recommendations and furnishing reports on the outcome of inquiries;</w:t>
      </w:r>
    </w:p>
    <w:p>
      <w:pPr>
        <w:pStyle w:val="Indenta"/>
        <w:spacing w:before="60"/>
      </w:pPr>
      <w:r>
        <w:tab/>
        <w:t>(g)</w:t>
      </w:r>
      <w:r>
        <w:tab/>
        <w:t xml:space="preserve">consulting, cooperating, and exchanging information, with the following — </w:t>
      </w:r>
    </w:p>
    <w:p>
      <w:pPr>
        <w:pStyle w:val="Indenti"/>
        <w:spacing w:before="60"/>
      </w:pPr>
      <w:r>
        <w:tab/>
        <w:t>(i)</w:t>
      </w:r>
      <w:r>
        <w:tab/>
        <w:t>the Commission;</w:t>
      </w:r>
    </w:p>
    <w:p>
      <w:pPr>
        <w:pStyle w:val="Indenti"/>
        <w:spacing w:before="60"/>
      </w:pPr>
      <w:r>
        <w:tab/>
        <w:t>(ii)</w:t>
      </w:r>
      <w:r>
        <w:tab/>
        <w:t>other independent agencies;</w:t>
      </w:r>
    </w:p>
    <w:p>
      <w:pPr>
        <w:pStyle w:val="Indenti"/>
        <w:spacing w:before="60"/>
      </w:pPr>
      <w:r>
        <w:tab/>
        <w:t>(iii)</w:t>
      </w:r>
      <w:r>
        <w:tab/>
        <w:t>appropriate authorities;</w:t>
      </w:r>
    </w:p>
    <w:p>
      <w:pPr>
        <w:pStyle w:val="Indenti"/>
        <w:spacing w:before="60"/>
      </w:pPr>
      <w:r>
        <w:tab/>
        <w:t>(iv)</w:t>
      </w:r>
      <w:r>
        <w:tab/>
        <w:t>the principal officers of notifying authorities;</w:t>
      </w:r>
    </w:p>
    <w:p>
      <w:pPr>
        <w:pStyle w:val="Indenti"/>
        <w:spacing w:before="60"/>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Indenti"/>
        <w:spacing w:before="60"/>
      </w:pPr>
      <w:r>
        <w:tab/>
        <w:t>(vi)</w:t>
      </w:r>
      <w:r>
        <w:tab/>
        <w:t>any person, or any authority or body of this State, the Commonwealth, another State or a Territory, declared by the Minister to be a person, authority or body to which this paragraph applies;</w:t>
      </w:r>
    </w:p>
    <w:p>
      <w:pPr>
        <w:pStyle w:val="Indenta"/>
        <w:spacing w:before="60"/>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Subsection"/>
        <w:spacing w:before="120"/>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Indenta"/>
        <w:spacing w:before="60"/>
      </w:pPr>
      <w:r>
        <w:tab/>
        <w:t>(a)</w:t>
      </w:r>
      <w:r>
        <w:tab/>
        <w:t>the seriousness of the conduct or involvement to which the allegation relates;</w:t>
      </w:r>
    </w:p>
    <w:p>
      <w:pPr>
        <w:pStyle w:val="Indenta"/>
      </w:pPr>
      <w:r>
        <w:tab/>
        <w:t>(b)</w:t>
      </w:r>
      <w:r>
        <w:tab/>
        <w:t>whether or not the allegation is frivolous or vexatious or is made in good faith;</w:t>
      </w:r>
    </w:p>
    <w:p>
      <w:pPr>
        <w:pStyle w:val="Indenta"/>
      </w:pPr>
      <w:r>
        <w:tab/>
        <w:t>(c)</w:t>
      </w:r>
      <w:r>
        <w:tab/>
        <w:t>whether or not the conduct or involvement to which the allegation relates is or has been the subject of appropriate investigatory or other action otherwise than for the purposes of this Act;</w:t>
      </w:r>
    </w:p>
    <w:p>
      <w:pPr>
        <w:pStyle w:val="Indenta"/>
      </w:pPr>
      <w:r>
        <w:tab/>
        <w:t>(d)</w:t>
      </w:r>
      <w:r>
        <w:tab/>
        <w:t>whether or not, in all the circumstances, the carrying out of further action for the purposes of this Act in relation to the allegation is justified or is in the public interest.</w:t>
      </w:r>
    </w:p>
    <w:p>
      <w:pPr>
        <w:pStyle w:val="Footnotesection"/>
      </w:pPr>
      <w:r>
        <w:tab/>
        <w:t>[Section 45B inserted by No. 35 of 2014 s. 21.]</w:t>
      </w:r>
    </w:p>
    <w:p>
      <w:pPr>
        <w:pStyle w:val="Heading3"/>
      </w:pPr>
      <w:bookmarkStart w:id="251" w:name="_Toc425842697"/>
      <w:bookmarkStart w:id="252" w:name="_Toc426107810"/>
      <w:bookmarkStart w:id="253" w:name="_Toc462413536"/>
      <w:bookmarkStart w:id="254" w:name="_Toc472672336"/>
      <w:bookmarkStart w:id="255" w:name="_Toc472679166"/>
      <w:bookmarkStart w:id="256" w:name="_Toc472679787"/>
      <w:bookmarkStart w:id="257" w:name="_Toc472680132"/>
      <w:bookmarkStart w:id="258" w:name="_Toc473892950"/>
      <w:bookmarkStart w:id="259" w:name="_Toc473893295"/>
      <w:bookmarkStart w:id="260" w:name="_Toc473893640"/>
      <w:r>
        <w:rPr>
          <w:rStyle w:val="CharDivNo"/>
        </w:rPr>
        <w:t>Division 2</w:t>
      </w:r>
      <w:r>
        <w:t> — </w:t>
      </w:r>
      <w:r>
        <w:rPr>
          <w:rStyle w:val="CharDivText"/>
        </w:rPr>
        <w:t>Minor misconduct</w:t>
      </w:r>
      <w:bookmarkEnd w:id="251"/>
      <w:bookmarkEnd w:id="252"/>
      <w:bookmarkEnd w:id="253"/>
      <w:bookmarkEnd w:id="254"/>
      <w:bookmarkEnd w:id="255"/>
      <w:bookmarkEnd w:id="256"/>
      <w:bookmarkEnd w:id="257"/>
      <w:bookmarkEnd w:id="258"/>
      <w:bookmarkEnd w:id="259"/>
      <w:bookmarkEnd w:id="260"/>
    </w:p>
    <w:p>
      <w:pPr>
        <w:pStyle w:val="Footnoteheading"/>
        <w:tabs>
          <w:tab w:val="clear" w:pos="879"/>
          <w:tab w:val="left" w:pos="896"/>
        </w:tabs>
      </w:pPr>
      <w:r>
        <w:tab/>
        <w:t>[Heading inserted by No. 35 of 2014 s. 21.]</w:t>
      </w:r>
    </w:p>
    <w:p>
      <w:pPr>
        <w:pStyle w:val="Heading4"/>
      </w:pPr>
      <w:bookmarkStart w:id="261" w:name="_Toc425842698"/>
      <w:bookmarkStart w:id="262" w:name="_Toc426107811"/>
      <w:bookmarkStart w:id="263" w:name="_Toc462413537"/>
      <w:bookmarkStart w:id="264" w:name="_Toc472672337"/>
      <w:bookmarkStart w:id="265" w:name="_Toc472679167"/>
      <w:bookmarkStart w:id="266" w:name="_Toc472679788"/>
      <w:bookmarkStart w:id="267" w:name="_Toc472680133"/>
      <w:bookmarkStart w:id="268" w:name="_Toc473892951"/>
      <w:bookmarkStart w:id="269" w:name="_Toc473893296"/>
      <w:bookmarkStart w:id="270" w:name="_Toc473893641"/>
      <w:r>
        <w:t>Subdivision 1 — Assessments and opinions</w:t>
      </w:r>
      <w:bookmarkEnd w:id="261"/>
      <w:bookmarkEnd w:id="262"/>
      <w:bookmarkEnd w:id="263"/>
      <w:bookmarkEnd w:id="264"/>
      <w:bookmarkEnd w:id="265"/>
      <w:bookmarkEnd w:id="266"/>
      <w:bookmarkEnd w:id="267"/>
      <w:bookmarkEnd w:id="268"/>
      <w:bookmarkEnd w:id="269"/>
      <w:bookmarkEnd w:id="270"/>
    </w:p>
    <w:p>
      <w:pPr>
        <w:pStyle w:val="Footnoteheading"/>
        <w:tabs>
          <w:tab w:val="clear" w:pos="879"/>
          <w:tab w:val="left" w:pos="896"/>
        </w:tabs>
      </w:pPr>
      <w:r>
        <w:tab/>
        <w:t>[Heading inserted by No. 35 of 2014 s. 21.]</w:t>
      </w:r>
    </w:p>
    <w:p>
      <w:pPr>
        <w:pStyle w:val="Heading5"/>
      </w:pPr>
      <w:bookmarkStart w:id="271" w:name="_Toc473893642"/>
      <w:bookmarkStart w:id="272" w:name="_Toc462413538"/>
      <w:r>
        <w:rPr>
          <w:rStyle w:val="CharSectno"/>
        </w:rPr>
        <w:t>45C</w:t>
      </w:r>
      <w:r>
        <w:t>.</w:t>
      </w:r>
      <w:r>
        <w:tab/>
        <w:t>Assessments and opinions as to occurrence of minor misconduct</w:t>
      </w:r>
      <w:bookmarkEnd w:id="271"/>
      <w:bookmarkEnd w:id="272"/>
    </w:p>
    <w:p>
      <w:pPr>
        <w:pStyle w:val="Subsection"/>
      </w:pPr>
      <w:r>
        <w:tab/>
        <w:t>(1)</w:t>
      </w:r>
      <w:r>
        <w:tab/>
        <w:t>Whether or not there has been an allegation of minor misconduct, the Public Sector Commissioner may make assessments and form opinions as to whether minor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keepNext/>
      </w:pPr>
      <w:r>
        <w:tab/>
        <w:t>(2)</w:t>
      </w:r>
      <w:r>
        <w:tab/>
        <w:t xml:space="preserve">The Public Sector Commissioner may make the assessments and form the opinions on the basis of all or any of the following — </w:t>
      </w:r>
    </w:p>
    <w:p>
      <w:pPr>
        <w:pStyle w:val="Indenta"/>
      </w:pPr>
      <w:r>
        <w:tab/>
        <w:t>(a)</w:t>
      </w:r>
      <w:r>
        <w:tab/>
        <w:t>consultations with the Commission, another independent agency or an appropriate authority;</w:t>
      </w:r>
    </w:p>
    <w:p>
      <w:pPr>
        <w:pStyle w:val="Indenta"/>
      </w:pPr>
      <w:r>
        <w:tab/>
        <w:t>(b)</w:t>
      </w:r>
      <w:r>
        <w:tab/>
        <w:t>inquiries and other action, whether conducted or taken in cooperation with the Commission, another independent agency or an appropriate authority or otherwise;</w:t>
      </w:r>
    </w:p>
    <w:p>
      <w:pPr>
        <w:pStyle w:val="Indenta"/>
      </w:pPr>
      <w:r>
        <w:tab/>
        <w:t>(c)</w:t>
      </w:r>
      <w:r>
        <w:tab/>
        <w:t>inquiries or other action conducted or taken by the Commission, another independent agency or an appropriate authority.</w:t>
      </w:r>
    </w:p>
    <w:p>
      <w:pPr>
        <w:pStyle w:val="Subsection"/>
        <w:spacing w:before="180"/>
      </w:pPr>
      <w:r>
        <w:tab/>
        <w:t>(3)</w:t>
      </w:r>
      <w:r>
        <w:tab/>
        <w:t xml:space="preserve">If the Public Sector Commissioner makes an assessment or forms an opinion under subsection (1) concerning minor misconduct, the Public Sector Commissioner may — </w:t>
      </w:r>
    </w:p>
    <w:p>
      <w:pPr>
        <w:pStyle w:val="Indenta"/>
      </w:pPr>
      <w:r>
        <w:tab/>
        <w:t>(a)</w:t>
      </w:r>
      <w:r>
        <w:tab/>
        <w:t>conduct a review in respect of part or all of the functions, management or operations of one or more notifying authorities in connection with the minor misconduct; or</w:t>
      </w:r>
    </w:p>
    <w:p>
      <w:pPr>
        <w:pStyle w:val="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Subsection"/>
        <w:spacing w:before="180"/>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Indenta"/>
      </w:pPr>
      <w:r>
        <w:tab/>
        <w:t>(a)</w:t>
      </w:r>
      <w:r>
        <w:tab/>
        <w:t>a reference to a review were a reference to a review under subsection (3)(a); and</w:t>
      </w:r>
    </w:p>
    <w:p>
      <w:pPr>
        <w:pStyle w:val="Indenta"/>
      </w:pPr>
      <w:r>
        <w:tab/>
        <w:t>(b)</w:t>
      </w:r>
      <w:r>
        <w:tab/>
        <w:t>a reference to a public sector body, or to the employing authority of a public sector body, were a reference to a notifying authority; and</w:t>
      </w:r>
    </w:p>
    <w:p>
      <w:pPr>
        <w:pStyle w:val="Indenta"/>
      </w:pPr>
      <w:r>
        <w:tab/>
        <w:t>(c)</w:t>
      </w:r>
      <w:r>
        <w:tab/>
        <w:t>a reference to an employee were a reference to a public officer.</w:t>
      </w:r>
    </w:p>
    <w:p>
      <w:pPr>
        <w:pStyle w:val="Footnotesection"/>
        <w:ind w:left="890" w:hanging="890"/>
      </w:pPr>
      <w:r>
        <w:tab/>
        <w:t>[Section 45C inserted by No. 35 of 2014 s. 21.]</w:t>
      </w:r>
    </w:p>
    <w:p>
      <w:pPr>
        <w:pStyle w:val="Heading4"/>
        <w:keepLines/>
      </w:pPr>
      <w:bookmarkStart w:id="273" w:name="_Toc425842700"/>
      <w:bookmarkStart w:id="274" w:name="_Toc426107813"/>
      <w:bookmarkStart w:id="275" w:name="_Toc462413539"/>
      <w:bookmarkStart w:id="276" w:name="_Toc472672339"/>
      <w:bookmarkStart w:id="277" w:name="_Toc472679169"/>
      <w:bookmarkStart w:id="278" w:name="_Toc472679790"/>
      <w:bookmarkStart w:id="279" w:name="_Toc472680135"/>
      <w:bookmarkStart w:id="280" w:name="_Toc473892953"/>
      <w:bookmarkStart w:id="281" w:name="_Toc473893298"/>
      <w:bookmarkStart w:id="282" w:name="_Toc473893643"/>
      <w:r>
        <w:t>Subdivision 2 — Allegations</w:t>
      </w:r>
      <w:bookmarkEnd w:id="273"/>
      <w:bookmarkEnd w:id="274"/>
      <w:bookmarkEnd w:id="275"/>
      <w:bookmarkEnd w:id="276"/>
      <w:bookmarkEnd w:id="277"/>
      <w:bookmarkEnd w:id="278"/>
      <w:bookmarkEnd w:id="279"/>
      <w:bookmarkEnd w:id="280"/>
      <w:bookmarkEnd w:id="281"/>
      <w:bookmarkEnd w:id="282"/>
    </w:p>
    <w:p>
      <w:pPr>
        <w:pStyle w:val="Footnoteheading"/>
        <w:keepNext/>
        <w:keepLines/>
        <w:tabs>
          <w:tab w:val="clear" w:pos="879"/>
          <w:tab w:val="left" w:pos="896"/>
        </w:tabs>
      </w:pPr>
      <w:r>
        <w:tab/>
        <w:t>[Heading inserted by No. 35 of 2014 s. 21.]</w:t>
      </w:r>
    </w:p>
    <w:p>
      <w:pPr>
        <w:pStyle w:val="Heading5"/>
      </w:pPr>
      <w:bookmarkStart w:id="283" w:name="_Toc473893644"/>
      <w:bookmarkStart w:id="284" w:name="_Toc462413540"/>
      <w:r>
        <w:rPr>
          <w:rStyle w:val="CharSectno"/>
        </w:rPr>
        <w:t>45D</w:t>
      </w:r>
      <w:r>
        <w:t>.</w:t>
      </w:r>
      <w:r>
        <w:tab/>
        <w:t>Allegations of minor misconduct</w:t>
      </w:r>
      <w:bookmarkEnd w:id="283"/>
      <w:bookmarkEnd w:id="284"/>
    </w:p>
    <w:p>
      <w:pPr>
        <w:pStyle w:val="Subsection"/>
      </w:pPr>
      <w:r>
        <w:tab/>
        <w:t>(1)</w:t>
      </w:r>
      <w:r>
        <w:tab/>
        <w:t xml:space="preserve">Subject to section 45G, the Public Sector Commissioner — </w:t>
      </w:r>
    </w:p>
    <w:p>
      <w:pPr>
        <w:pStyle w:val="Indenta"/>
      </w:pPr>
      <w:r>
        <w:tab/>
        <w:t>(a)</w:t>
      </w:r>
      <w:r>
        <w:tab/>
        <w:t xml:space="preserve">is to receive allegations of minor misconduct by way of — </w:t>
      </w:r>
    </w:p>
    <w:p>
      <w:pPr>
        <w:pStyle w:val="Indenti"/>
      </w:pPr>
      <w:r>
        <w:tab/>
        <w:t>(i)</w:t>
      </w:r>
      <w:r>
        <w:tab/>
        <w:t xml:space="preserve">reports under section 45E(1); and </w:t>
      </w:r>
    </w:p>
    <w:p>
      <w:pPr>
        <w:pStyle w:val="Indenti"/>
      </w:pPr>
      <w:r>
        <w:tab/>
        <w:t>(ii)</w:t>
      </w:r>
      <w:r>
        <w:tab/>
        <w:t>matters notified under section 45H(2);</w:t>
      </w:r>
    </w:p>
    <w:p>
      <w:pPr>
        <w:pStyle w:val="Indenta"/>
      </w:pPr>
      <w:r>
        <w:tab/>
      </w:r>
      <w:r>
        <w:tab/>
        <w:t>and</w:t>
      </w:r>
    </w:p>
    <w:p>
      <w:pPr>
        <w:pStyle w:val="Indenta"/>
      </w:pPr>
      <w:r>
        <w:tab/>
        <w:t>(b)</w:t>
      </w:r>
      <w:r>
        <w:tab/>
        <w:t>may initiate allegations of minor misconduct by way of propositions under section 45F(1).</w:t>
      </w:r>
    </w:p>
    <w:p>
      <w:pPr>
        <w:pStyle w:val="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Footnotesection"/>
      </w:pPr>
      <w:r>
        <w:tab/>
        <w:t>[Section 45D inserted by No. 35 of 2014 s. 21.]</w:t>
      </w:r>
    </w:p>
    <w:p>
      <w:pPr>
        <w:pStyle w:val="Heading5"/>
      </w:pPr>
      <w:bookmarkStart w:id="285" w:name="_Toc473893645"/>
      <w:bookmarkStart w:id="286" w:name="_Toc462413541"/>
      <w:r>
        <w:rPr>
          <w:rStyle w:val="CharSectno"/>
        </w:rPr>
        <w:t>45E</w:t>
      </w:r>
      <w:r>
        <w:t>.</w:t>
      </w:r>
      <w:r>
        <w:tab/>
        <w:t>Any person may report minor misconduct</w:t>
      </w:r>
      <w:bookmarkEnd w:id="285"/>
      <w:bookmarkEnd w:id="286"/>
    </w:p>
    <w:p>
      <w:pPr>
        <w:pStyle w:val="Subsection"/>
      </w:pPr>
      <w:r>
        <w:tab/>
        <w:t>(1)</w:t>
      </w:r>
      <w:r>
        <w:tab/>
        <w:t xml:space="preserve">A public officer or any other person may report to the Public Sector Commissioner any matter which that person suspects on reasonable grounds concerns or may concern minor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Public Sector Commissioner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 or</w:t>
      </w:r>
    </w:p>
    <w:p>
      <w:pPr>
        <w:pStyle w:val="Indenta"/>
      </w:pPr>
      <w:r>
        <w:tab/>
        <w:t>(b)</w:t>
      </w:r>
      <w:r>
        <w:tab/>
        <w:t>maliciously or recklessly,</w:t>
      </w:r>
    </w:p>
    <w:p>
      <w:pPr>
        <w:pStyle w:val="Subsection"/>
      </w:pPr>
      <w:r>
        <w:tab/>
      </w:r>
      <w:r>
        <w:tab/>
        <w:t>is guilty of a crime.</w:t>
      </w:r>
    </w:p>
    <w:p>
      <w:pPr>
        <w:pStyle w:val="Penstart"/>
      </w:pPr>
      <w:r>
        <w:tab/>
        <w:t>Penalty: a fine of $60 000 and imprisonment for 3 years.</w:t>
      </w:r>
    </w:p>
    <w:p>
      <w:pPr>
        <w:pStyle w:val="Penstart"/>
      </w:pPr>
      <w:r>
        <w:tab/>
        <w:t>Summary conviction penalty: a fine of $10 000.</w:t>
      </w:r>
    </w:p>
    <w:p>
      <w:pPr>
        <w:pStyle w:val="Subsection"/>
      </w:pPr>
      <w:r>
        <w:tab/>
        <w:t>(6)</w:t>
      </w:r>
      <w:r>
        <w:tab/>
        <w:t>A charge cannot be brought against a person under subsection (5) other than by the Director of Public Prosecutions.</w:t>
      </w:r>
    </w:p>
    <w:p>
      <w:pPr>
        <w:pStyle w:val="Subsection"/>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is to be presumed in the absence of proof to the contrary),</w:t>
      </w:r>
    </w:p>
    <w:p>
      <w:pPr>
        <w:pStyle w:val="Subsection"/>
      </w:pPr>
      <w:r>
        <w:tab/>
      </w:r>
      <w:r>
        <w:tab/>
        <w:t>that an allegation has been made about a person to the Public Sector Commissioner carries with it an inference that there were reasonable grounds for making the complaint.</w:t>
      </w:r>
    </w:p>
    <w:p>
      <w:pPr>
        <w:pStyle w:val="Footnotesection"/>
      </w:pPr>
      <w:r>
        <w:tab/>
        <w:t>[Section 45E inserted by No. 35 of 2014 s. 21.]</w:t>
      </w:r>
    </w:p>
    <w:p>
      <w:pPr>
        <w:pStyle w:val="Heading5"/>
        <w:keepNext w:val="0"/>
        <w:keepLines w:val="0"/>
        <w:pageBreakBefore/>
        <w:spacing w:before="0"/>
      </w:pPr>
      <w:bookmarkStart w:id="287" w:name="_Toc473893646"/>
      <w:bookmarkStart w:id="288" w:name="_Toc462413542"/>
      <w:r>
        <w:rPr>
          <w:rStyle w:val="CharSectno"/>
        </w:rPr>
        <w:t>45F</w:t>
      </w:r>
      <w:r>
        <w:t>.</w:t>
      </w:r>
      <w:r>
        <w:tab/>
        <w:t>Public Sector Commissioner may make proposition about minor misconduct</w:t>
      </w:r>
      <w:bookmarkEnd w:id="287"/>
      <w:bookmarkEnd w:id="288"/>
    </w:p>
    <w:p>
      <w:pPr>
        <w:pStyle w:val="Subsection"/>
      </w:pPr>
      <w:r>
        <w:tab/>
        <w:t>(1)</w:t>
      </w:r>
      <w:r>
        <w:tab/>
        <w:t xml:space="preserve">The Public Sector Commissioner may make a proposition that minor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Public Sector Commissioner’s own experience and knowledge and made independently of any allegation referred to in section 45E(1).</w:t>
      </w:r>
    </w:p>
    <w:p>
      <w:pPr>
        <w:pStyle w:val="Footnotesection"/>
      </w:pPr>
      <w:r>
        <w:tab/>
        <w:t>[Section 45F inserted by No. 35 of 2014 s. 21.]</w:t>
      </w:r>
    </w:p>
    <w:p>
      <w:pPr>
        <w:pStyle w:val="Heading5"/>
      </w:pPr>
      <w:bookmarkStart w:id="289" w:name="_Toc473893647"/>
      <w:bookmarkStart w:id="290" w:name="_Toc462413543"/>
      <w:r>
        <w:rPr>
          <w:rStyle w:val="CharSectno"/>
        </w:rPr>
        <w:t>45G</w:t>
      </w:r>
      <w:r>
        <w:t>.</w:t>
      </w:r>
      <w:r>
        <w:tab/>
        <w:t>Allegation about Commission, Public Sector Commissioner, Parliamentary Inspector or judicial officer not to be received or initiated</w:t>
      </w:r>
      <w:bookmarkEnd w:id="289"/>
      <w:bookmarkEnd w:id="290"/>
    </w:p>
    <w:p>
      <w:pPr>
        <w:pStyle w:val="Subsection"/>
      </w:pPr>
      <w:r>
        <w:tab/>
      </w:r>
      <w:r>
        <w:tab/>
        <w:t xml:space="preserve">The Public Sector Commissioner must not receive or initiate an allegation about a person in the person’s capacity as any of the following — </w:t>
      </w:r>
    </w:p>
    <w:p>
      <w:pPr>
        <w:pStyle w:val="Indenta"/>
      </w:pPr>
      <w:r>
        <w:tab/>
        <w:t>(a)</w:t>
      </w:r>
      <w:r>
        <w:tab/>
        <w:t>the holder of the office of Commissioner, whether the person is appointed under section 9 or 14;</w:t>
      </w:r>
    </w:p>
    <w:p>
      <w:pPr>
        <w:pStyle w:val="Indenta"/>
      </w:pPr>
      <w:r>
        <w:tab/>
        <w:t>(b)</w:t>
      </w:r>
      <w:r>
        <w:tab/>
        <w:t>an officer of the Commission;</w:t>
      </w:r>
    </w:p>
    <w:p>
      <w:pPr>
        <w:pStyle w:val="Indenta"/>
      </w:pPr>
      <w:r>
        <w:tab/>
        <w:t>(c)</w:t>
      </w:r>
      <w:r>
        <w:tab/>
        <w:t>the Public Sector Commissioner;</w:t>
      </w:r>
    </w:p>
    <w:p>
      <w:pPr>
        <w:pStyle w:val="Indenta"/>
      </w:pPr>
      <w:r>
        <w:tab/>
        <w:t>(d)</w:t>
      </w:r>
      <w:r>
        <w:tab/>
        <w:t>the Parliamentary Inspector;</w:t>
      </w:r>
    </w:p>
    <w:p>
      <w:pPr>
        <w:pStyle w:val="Indenta"/>
      </w:pPr>
      <w:r>
        <w:tab/>
        <w:t>(e)</w:t>
      </w:r>
      <w:r>
        <w:tab/>
        <w:t>an officer of the Parliamentary Inspector;</w:t>
      </w:r>
    </w:p>
    <w:p>
      <w:pPr>
        <w:pStyle w:val="Indenta"/>
      </w:pPr>
      <w:r>
        <w:tab/>
        <w:t>(f)</w:t>
      </w:r>
      <w:r>
        <w:tab/>
        <w:t xml:space="preserve">the holder of a judicial office as defined in </w:t>
      </w:r>
      <w:r>
        <w:rPr>
          <w:i/>
        </w:rPr>
        <w:t>The Criminal Code</w:t>
      </w:r>
      <w:r>
        <w:t xml:space="preserve"> section 121.</w:t>
      </w:r>
    </w:p>
    <w:p>
      <w:pPr>
        <w:pStyle w:val="Footnotesection"/>
      </w:pPr>
      <w:r>
        <w:tab/>
        <w:t>[Section 45G inserted by No. 35 of 2014 s. 21.]</w:t>
      </w:r>
    </w:p>
    <w:p>
      <w:pPr>
        <w:pStyle w:val="Heading4"/>
        <w:keepLines/>
      </w:pPr>
      <w:bookmarkStart w:id="291" w:name="_Toc425842705"/>
      <w:bookmarkStart w:id="292" w:name="_Toc426107818"/>
      <w:bookmarkStart w:id="293" w:name="_Toc462413544"/>
      <w:bookmarkStart w:id="294" w:name="_Toc472672344"/>
      <w:bookmarkStart w:id="295" w:name="_Toc472679174"/>
      <w:bookmarkStart w:id="296" w:name="_Toc472679795"/>
      <w:bookmarkStart w:id="297" w:name="_Toc472680140"/>
      <w:bookmarkStart w:id="298" w:name="_Toc473892958"/>
      <w:bookmarkStart w:id="299" w:name="_Toc473893303"/>
      <w:bookmarkStart w:id="300" w:name="_Toc473893648"/>
      <w:r>
        <w:t>Subdivision 3 — Duty to notify</w:t>
      </w:r>
      <w:bookmarkEnd w:id="291"/>
      <w:bookmarkEnd w:id="292"/>
      <w:bookmarkEnd w:id="293"/>
      <w:bookmarkEnd w:id="294"/>
      <w:bookmarkEnd w:id="295"/>
      <w:bookmarkEnd w:id="296"/>
      <w:bookmarkEnd w:id="297"/>
      <w:bookmarkEnd w:id="298"/>
      <w:bookmarkEnd w:id="299"/>
      <w:bookmarkEnd w:id="300"/>
    </w:p>
    <w:p>
      <w:pPr>
        <w:pStyle w:val="Footnoteheading"/>
        <w:keepNext/>
        <w:keepLines/>
        <w:tabs>
          <w:tab w:val="clear" w:pos="879"/>
          <w:tab w:val="left" w:pos="896"/>
        </w:tabs>
      </w:pPr>
      <w:r>
        <w:tab/>
        <w:t>[Heading inserted by No. 35 of 2014 s. 21.]</w:t>
      </w:r>
    </w:p>
    <w:p>
      <w:pPr>
        <w:pStyle w:val="Heading5"/>
      </w:pPr>
      <w:bookmarkStart w:id="301" w:name="_Toc473893649"/>
      <w:bookmarkStart w:id="302" w:name="_Toc462413545"/>
      <w:r>
        <w:rPr>
          <w:rStyle w:val="CharSectno"/>
        </w:rPr>
        <w:t>45H</w:t>
      </w:r>
      <w:r>
        <w:t>.</w:t>
      </w:r>
      <w:r>
        <w:tab/>
        <w:t>Certain officers obliged to notify minor misconduct</w:t>
      </w:r>
      <w:bookmarkEnd w:id="301"/>
      <w:bookmarkEnd w:id="302"/>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and (5), a person to whom this section applies must notify the Public Sector Commissioner in writing of any matter — </w:t>
      </w:r>
    </w:p>
    <w:p>
      <w:pPr>
        <w:pStyle w:val="Indenta"/>
      </w:pPr>
      <w:r>
        <w:tab/>
        <w:t>(a)</w:t>
      </w:r>
      <w:r>
        <w:tab/>
        <w:t>which that person suspects on reasonable grounds concerns or may concern minor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Public Sector Commissioner must be notified under subsection (2) as soon as is reasonably practicable after the person becomes aware of the matter.</w:t>
      </w:r>
    </w:p>
    <w:p>
      <w:pPr>
        <w:pStyle w:val="Subsection"/>
      </w:pPr>
      <w:r>
        <w:tab/>
        <w:t>(4)</w:t>
      </w:r>
      <w:r>
        <w:tab/>
        <w:t xml:space="preserve">A person to whom this section applies is not required to notify the Public Sector Commissioner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45M(b); or</w:t>
      </w:r>
    </w:p>
    <w:p>
      <w:pPr>
        <w:pStyle w:val="Indenti"/>
      </w:pPr>
      <w:r>
        <w:tab/>
        <w:t>(ii)</w:t>
      </w:r>
      <w:r>
        <w:tab/>
        <w:t>is referred to that person, or the notifying authority of which that person is the principal officer, by the Public Sector Commissioner under section 45M(c);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holder of the office of Commissioner, whether the person is appointed under section 9 or 14, or by an officer of the Commission or an officer of the Parliamentary Inspector.</w:t>
      </w:r>
    </w:p>
    <w:p>
      <w:pPr>
        <w:pStyle w:val="Subsection"/>
      </w:pPr>
      <w:r>
        <w:tab/>
        <w:t>(5)</w:t>
      </w:r>
      <w:r>
        <w:tab/>
        <w:t xml:space="preserve">The Director of Public Prosecutions is not required to notify the Public Sector Commissioner of a matter if the matter does not relate to conduct by — </w:t>
      </w:r>
    </w:p>
    <w:p>
      <w:pPr>
        <w:pStyle w:val="Indenta"/>
      </w:pPr>
      <w:r>
        <w:tab/>
        <w:t>(a)</w:t>
      </w:r>
      <w:r>
        <w:tab/>
        <w:t xml:space="preserve">the Deputy Director as defined in the </w:t>
      </w:r>
      <w:r>
        <w:rPr>
          <w:i/>
        </w:rPr>
        <w:t>Director of Public Prosecutions Act 1991</w:t>
      </w:r>
      <w:r>
        <w:t xml:space="preserve"> section 3; or</w:t>
      </w:r>
    </w:p>
    <w:p>
      <w:pPr>
        <w:pStyle w:val="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Footnotesection"/>
      </w:pPr>
      <w:r>
        <w:tab/>
        <w:t>[Section 45H inserted by No. 35 of 2014 s. 21.]</w:t>
      </w:r>
    </w:p>
    <w:p>
      <w:pPr>
        <w:pStyle w:val="Heading5"/>
        <w:spacing w:before="180"/>
      </w:pPr>
      <w:bookmarkStart w:id="303" w:name="_Toc473893650"/>
      <w:bookmarkStart w:id="304" w:name="_Toc462413546"/>
      <w:r>
        <w:rPr>
          <w:rStyle w:val="CharSectno"/>
        </w:rPr>
        <w:t>45I</w:t>
      </w:r>
      <w:r>
        <w:t>.</w:t>
      </w:r>
      <w:r>
        <w:tab/>
        <w:t>Duty to notify under s. 45H is paramount</w:t>
      </w:r>
      <w:bookmarkEnd w:id="303"/>
      <w:bookmarkEnd w:id="304"/>
    </w:p>
    <w:p>
      <w:pPr>
        <w:pStyle w:val="Subsection"/>
      </w:pPr>
      <w:r>
        <w:tab/>
        <w:t>(1)</w:t>
      </w:r>
      <w:r>
        <w:tab/>
        <w:t xml:space="preserve">The duty of a person to make a notification under section 45H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minor misconduct.</w:t>
      </w:r>
    </w:p>
    <w:p>
      <w:pPr>
        <w:pStyle w:val="Footnotesection"/>
        <w:spacing w:before="80"/>
        <w:ind w:left="890" w:hanging="890"/>
      </w:pPr>
      <w:r>
        <w:tab/>
        <w:t>[Section 45I inserted by No. 35 of 2014 s. 21.]</w:t>
      </w:r>
    </w:p>
    <w:p>
      <w:pPr>
        <w:pStyle w:val="Heading5"/>
      </w:pPr>
      <w:bookmarkStart w:id="305" w:name="_Toc473893651"/>
      <w:bookmarkStart w:id="306" w:name="_Toc462413547"/>
      <w:r>
        <w:rPr>
          <w:rStyle w:val="CharSectno"/>
        </w:rPr>
        <w:t>45J</w:t>
      </w:r>
      <w:r>
        <w:t>.</w:t>
      </w:r>
      <w:r>
        <w:tab/>
        <w:t>Public Sector Commissioner may issue guidelines about notifications</w:t>
      </w:r>
      <w:bookmarkEnd w:id="305"/>
      <w:bookmarkEnd w:id="306"/>
    </w:p>
    <w:p>
      <w:pPr>
        <w:pStyle w:val="Subsection"/>
        <w:spacing w:before="180"/>
      </w:pPr>
      <w:r>
        <w:tab/>
        <w:t>(1)</w:t>
      </w:r>
      <w:r>
        <w:tab/>
        <w:t>The Public Sector Commissioner may issue guidelines about —</w:t>
      </w:r>
    </w:p>
    <w:p>
      <w:pPr>
        <w:pStyle w:val="Indenta"/>
      </w:pPr>
      <w:r>
        <w:tab/>
        <w:t>(a)</w:t>
      </w:r>
      <w:r>
        <w:tab/>
        <w:t>what matters are or are not required to be notified to the Public Sector Commissioner under section 45H; and</w:t>
      </w:r>
    </w:p>
    <w:p>
      <w:pPr>
        <w:pStyle w:val="Indenta"/>
      </w:pPr>
      <w:r>
        <w:tab/>
        <w:t>(b)</w:t>
      </w:r>
      <w:r>
        <w:tab/>
        <w:t>what reports are required with respect to such matters.</w:t>
      </w:r>
    </w:p>
    <w:p>
      <w:pPr>
        <w:pStyle w:val="Subsection"/>
        <w:spacing w:before="180"/>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Subsection"/>
        <w:spacing w:before="180"/>
      </w:pPr>
      <w:r>
        <w:tab/>
        <w:t>(3)</w:t>
      </w:r>
      <w:r>
        <w:tab/>
        <w:t>The Public Sector Commissioner may deal with a matter reported on under subsection (2) as if it were a matter notified under section 45H.</w:t>
      </w:r>
    </w:p>
    <w:p>
      <w:pPr>
        <w:pStyle w:val="Footnotesection"/>
      </w:pPr>
      <w:r>
        <w:tab/>
        <w:t>[Section 45J inserted by No. 35 of 2014 s. 21.]</w:t>
      </w:r>
    </w:p>
    <w:p>
      <w:pPr>
        <w:pStyle w:val="Heading5"/>
        <w:spacing w:before="240"/>
      </w:pPr>
      <w:bookmarkStart w:id="307" w:name="_Toc473893652"/>
      <w:bookmarkStart w:id="308" w:name="_Toc462413548"/>
      <w:r>
        <w:rPr>
          <w:rStyle w:val="CharSectno"/>
        </w:rPr>
        <w:t>45K</w:t>
      </w:r>
      <w:r>
        <w:t>.</w:t>
      </w:r>
      <w:r>
        <w:tab/>
        <w:t>Public Sector Commissioner may report breach of duty to report or notify</w:t>
      </w:r>
      <w:bookmarkEnd w:id="307"/>
      <w:bookmarkEnd w:id="308"/>
    </w:p>
    <w:p>
      <w:pPr>
        <w:pStyle w:val="Subsection"/>
        <w:spacing w:before="180"/>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Indenta"/>
      </w:pPr>
      <w:r>
        <w:tab/>
        <w:t>(b)</w:t>
      </w:r>
      <w:r>
        <w:tab/>
        <w:t>in any other case — to a person or body that has the power to take disciplinary action against the person to whom section 45H or 45J applies.</w:t>
      </w:r>
    </w:p>
    <w:p>
      <w:pPr>
        <w:pStyle w:val="Footnotesection"/>
      </w:pPr>
      <w:r>
        <w:tab/>
        <w:t>[Section 45K inserted by No. 35 of 2014 s. 21.]</w:t>
      </w:r>
    </w:p>
    <w:p>
      <w:pPr>
        <w:pStyle w:val="Heading4"/>
      </w:pPr>
      <w:bookmarkStart w:id="309" w:name="_Toc425842710"/>
      <w:bookmarkStart w:id="310" w:name="_Toc426107823"/>
      <w:bookmarkStart w:id="311" w:name="_Toc462413549"/>
      <w:bookmarkStart w:id="312" w:name="_Toc472672349"/>
      <w:bookmarkStart w:id="313" w:name="_Toc472679179"/>
      <w:bookmarkStart w:id="314" w:name="_Toc472679800"/>
      <w:bookmarkStart w:id="315" w:name="_Toc472680145"/>
      <w:bookmarkStart w:id="316" w:name="_Toc473892963"/>
      <w:bookmarkStart w:id="317" w:name="_Toc473893308"/>
      <w:bookmarkStart w:id="318" w:name="_Toc473893653"/>
      <w:r>
        <w:t>Subdivision 4 — Assessments, opinions and investigations</w:t>
      </w:r>
      <w:bookmarkEnd w:id="309"/>
      <w:bookmarkEnd w:id="310"/>
      <w:bookmarkEnd w:id="311"/>
      <w:bookmarkEnd w:id="312"/>
      <w:bookmarkEnd w:id="313"/>
      <w:bookmarkEnd w:id="314"/>
      <w:bookmarkEnd w:id="315"/>
      <w:bookmarkEnd w:id="316"/>
      <w:bookmarkEnd w:id="317"/>
      <w:bookmarkEnd w:id="318"/>
    </w:p>
    <w:p>
      <w:pPr>
        <w:pStyle w:val="Footnoteheading"/>
        <w:tabs>
          <w:tab w:val="clear" w:pos="879"/>
          <w:tab w:val="left" w:pos="896"/>
        </w:tabs>
      </w:pPr>
      <w:r>
        <w:tab/>
        <w:t>[Heading inserted by No. 35 of 2014 s. 21.]</w:t>
      </w:r>
    </w:p>
    <w:p>
      <w:pPr>
        <w:pStyle w:val="Heading5"/>
      </w:pPr>
      <w:bookmarkStart w:id="319" w:name="_Toc473893654"/>
      <w:bookmarkStart w:id="320" w:name="_Toc462413550"/>
      <w:r>
        <w:rPr>
          <w:rStyle w:val="CharSectno"/>
        </w:rPr>
        <w:t>45L</w:t>
      </w:r>
      <w:r>
        <w:t>.</w:t>
      </w:r>
      <w:r>
        <w:tab/>
        <w:t>Dealing with allegations</w:t>
      </w:r>
      <w:bookmarkEnd w:id="319"/>
      <w:bookmarkEnd w:id="320"/>
    </w:p>
    <w:p>
      <w:pPr>
        <w:pStyle w:val="Subsection"/>
      </w:pPr>
      <w:r>
        <w:tab/>
        <w:t>(1)</w:t>
      </w:r>
      <w:r>
        <w:tab/>
        <w:t xml:space="preserve">The Public Sector Commissioner is to deal with an allegation by — </w:t>
      </w:r>
    </w:p>
    <w:p>
      <w:pPr>
        <w:pStyle w:val="Indenta"/>
      </w:pPr>
      <w:r>
        <w:tab/>
        <w:t>(a)</w:t>
      </w:r>
      <w:r>
        <w:tab/>
        <w:t>assessing the allegation and forming an opinion under section 45C; and</w:t>
      </w:r>
    </w:p>
    <w:p>
      <w:pPr>
        <w:pStyle w:val="Indenta"/>
      </w:pPr>
      <w:r>
        <w:tab/>
        <w:t>(b)</w:t>
      </w:r>
      <w:r>
        <w:tab/>
        <w:t>making a decision under section 45M that the Public Sector Commissioner considers appropriate in the circumstances.</w:t>
      </w:r>
    </w:p>
    <w:p>
      <w:pPr>
        <w:pStyle w:val="Subsection"/>
      </w:pPr>
      <w:r>
        <w:tab/>
        <w:t>(2)</w:t>
      </w:r>
      <w:r>
        <w:tab/>
        <w:t>For the purposes of subsection (1), the Public Sector Commissioner may conduct a preliminary inquiry into the allegation.</w:t>
      </w:r>
    </w:p>
    <w:p>
      <w:pPr>
        <w:pStyle w:val="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Footnotesection"/>
      </w:pPr>
      <w:r>
        <w:tab/>
        <w:t>[Section 45L inserted by No. 35 of 2014 s. 21.]</w:t>
      </w:r>
    </w:p>
    <w:p>
      <w:pPr>
        <w:pStyle w:val="Heading5"/>
      </w:pPr>
      <w:bookmarkStart w:id="321" w:name="_Toc473893655"/>
      <w:bookmarkStart w:id="322" w:name="_Toc462413551"/>
      <w:r>
        <w:rPr>
          <w:rStyle w:val="CharSectno"/>
        </w:rPr>
        <w:t>45M</w:t>
      </w:r>
      <w:r>
        <w:t>.</w:t>
      </w:r>
      <w:r>
        <w:tab/>
        <w:t>Decision on further action on allegation</w:t>
      </w:r>
      <w:bookmarkEnd w:id="321"/>
      <w:bookmarkEnd w:id="322"/>
    </w:p>
    <w:p>
      <w:pPr>
        <w:pStyle w:val="Subsection"/>
      </w:pPr>
      <w:r>
        <w:tab/>
      </w:r>
      <w:r>
        <w:tab/>
        <w:t xml:space="preserve">Having made an assessment of an allegation, the Public Sector Commissioner may decide to do any of the following — </w:t>
      </w:r>
    </w:p>
    <w:p>
      <w:pPr>
        <w:pStyle w:val="Indenta"/>
      </w:pPr>
      <w:r>
        <w:tab/>
        <w:t>(a)</w:t>
      </w:r>
      <w:r>
        <w:tab/>
        <w:t>inquire into or take other action in relation to the allegation without the involvement of the Commission, another independent agency or an appropriate authority;</w:t>
      </w:r>
    </w:p>
    <w:p>
      <w:pPr>
        <w:pStyle w:val="Indenta"/>
      </w:pPr>
      <w:r>
        <w:tab/>
        <w:t>(b)</w:t>
      </w:r>
      <w:r>
        <w:tab/>
        <w:t>inquire into or take other action in relation to the allegation in cooperation with the Commission, another independent agency or an appropriate authority;</w:t>
      </w:r>
    </w:p>
    <w:p>
      <w:pPr>
        <w:pStyle w:val="Indenta"/>
      </w:pPr>
      <w:r>
        <w:tab/>
        <w:t>(c)</w:t>
      </w:r>
      <w:r>
        <w:tab/>
        <w:t>refer the allegation to another independent agency or an appropriate authority for action in accordance with sections 45R(1) and 45S(1), and those sections apply accordingly;</w:t>
      </w:r>
    </w:p>
    <w:p>
      <w:pPr>
        <w:pStyle w:val="Indenta"/>
      </w:pPr>
      <w:r>
        <w:tab/>
        <w:t>(d)</w:t>
      </w:r>
      <w:r>
        <w:tab/>
        <w:t>refer the allegation to the Commission in accordance with section 45T(1), and that section applies accordingly;</w:t>
      </w:r>
    </w:p>
    <w:p>
      <w:pPr>
        <w:pStyle w:val="Indenta"/>
      </w:pPr>
      <w:r>
        <w:tab/>
        <w:t>(e)</w:t>
      </w:r>
      <w:r>
        <w:tab/>
        <w:t>take no action.</w:t>
      </w:r>
    </w:p>
    <w:p>
      <w:pPr>
        <w:pStyle w:val="Footnotesection"/>
      </w:pPr>
      <w:r>
        <w:tab/>
        <w:t>[Section 45M inserted by No. 35 of 2014 s. 21.]</w:t>
      </w:r>
    </w:p>
    <w:p>
      <w:pPr>
        <w:pStyle w:val="Heading5"/>
      </w:pPr>
      <w:bookmarkStart w:id="323" w:name="_Toc473893656"/>
      <w:bookmarkStart w:id="324" w:name="_Toc462413552"/>
      <w:r>
        <w:rPr>
          <w:rStyle w:val="CharSectno"/>
        </w:rPr>
        <w:t>45N</w:t>
      </w:r>
      <w:r>
        <w:t>.</w:t>
      </w:r>
      <w:r>
        <w:tab/>
        <w:t>Matters to be considered in deciding who should take action</w:t>
      </w:r>
      <w:bookmarkEnd w:id="323"/>
      <w:bookmarkEnd w:id="324"/>
    </w:p>
    <w:p>
      <w:pPr>
        <w:pStyle w:val="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Indenta"/>
      </w:pPr>
      <w:r>
        <w:tab/>
        <w:t>(a)</w:t>
      </w:r>
      <w:r>
        <w:tab/>
        <w:t>the seniority of any public officer to whom the allegation relates;</w:t>
      </w:r>
    </w:p>
    <w:p>
      <w:pPr>
        <w:pStyle w:val="Indenta"/>
      </w:pPr>
      <w:r>
        <w:tab/>
        <w:t>(b)</w:t>
      </w:r>
      <w:r>
        <w:tab/>
        <w:t>the nature of the minor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Footnotesection"/>
      </w:pPr>
      <w:r>
        <w:tab/>
        <w:t>[Section 45N inserted by No. 35 of 2014 s. 21.]</w:t>
      </w:r>
    </w:p>
    <w:p>
      <w:pPr>
        <w:pStyle w:val="Heading5"/>
      </w:pPr>
      <w:bookmarkStart w:id="325" w:name="_Toc473893657"/>
      <w:bookmarkStart w:id="326" w:name="_Toc462413553"/>
      <w:r>
        <w:rPr>
          <w:rStyle w:val="CharSectno"/>
        </w:rPr>
        <w:t>45O</w:t>
      </w:r>
      <w:r>
        <w:t>.</w:t>
      </w:r>
      <w:r>
        <w:tab/>
        <w:t>Informant to be notified of decision not to take action</w:t>
      </w:r>
      <w:bookmarkEnd w:id="325"/>
      <w:bookmarkEnd w:id="326"/>
    </w:p>
    <w:p>
      <w:pPr>
        <w:pStyle w:val="Subsection"/>
      </w:pPr>
      <w:r>
        <w:tab/>
      </w:r>
      <w:r>
        <w:tab/>
        <w:t>If —</w:t>
      </w:r>
    </w:p>
    <w:p>
      <w:pPr>
        <w:pStyle w:val="Indenta"/>
      </w:pPr>
      <w:r>
        <w:tab/>
        <w:t>(a)</w:t>
      </w:r>
      <w:r>
        <w:tab/>
        <w:t>a person makes an allegation under section 45E(1) or 45H(2); or</w:t>
      </w:r>
    </w:p>
    <w:p>
      <w:pPr>
        <w:pStyle w:val="Indenta"/>
      </w:pPr>
      <w:r>
        <w:tab/>
        <w:t>(b)</w:t>
      </w:r>
      <w:r>
        <w:tab/>
        <w:t xml:space="preserve">a complaint under the </w:t>
      </w:r>
      <w:r>
        <w:rPr>
          <w:i/>
        </w:rPr>
        <w:t>Parliamentary Commissioner Act 1971</w:t>
      </w:r>
      <w:r>
        <w:t xml:space="preserve"> is referred to the Public Sector Commissioner,</w:t>
      </w:r>
    </w:p>
    <w:p>
      <w:pPr>
        <w:pStyle w:val="Subsection"/>
      </w:pPr>
      <w:r>
        <w:tab/>
      </w:r>
      <w:r>
        <w:tab/>
        <w:t>and the Public Sector Commissioner decides to take no action, the Public Sector Commissioner must notify the person who made the allegation or complaint of the decision.</w:t>
      </w:r>
    </w:p>
    <w:p>
      <w:pPr>
        <w:pStyle w:val="Footnotesection"/>
      </w:pPr>
      <w:r>
        <w:tab/>
        <w:t>[Section 45O inserted by No. 35 of 2014 s. 21.]</w:t>
      </w:r>
    </w:p>
    <w:p>
      <w:pPr>
        <w:pStyle w:val="Heading5"/>
        <w:spacing w:before="180"/>
      </w:pPr>
      <w:bookmarkStart w:id="327" w:name="_Toc473893658"/>
      <w:bookmarkStart w:id="328" w:name="_Toc462413554"/>
      <w:r>
        <w:rPr>
          <w:rStyle w:val="CharSectno"/>
        </w:rPr>
        <w:t>45P</w:t>
      </w:r>
      <w:r>
        <w:t>.</w:t>
      </w:r>
      <w:r>
        <w:tab/>
        <w:t>Person to whom allegation relates can be advised of outcome of inquiry</w:t>
      </w:r>
      <w:bookmarkEnd w:id="327"/>
      <w:bookmarkEnd w:id="328"/>
    </w:p>
    <w:p>
      <w:pPr>
        <w:pStyle w:val="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Indenta"/>
      </w:pPr>
      <w:r>
        <w:tab/>
        <w:t>(a)</w:t>
      </w:r>
      <w:r>
        <w:tab/>
        <w:t xml:space="preserve">the person requests the information; or </w:t>
      </w:r>
    </w:p>
    <w:p>
      <w:pPr>
        <w:pStyle w:val="Indenta"/>
      </w:pPr>
      <w:r>
        <w:tab/>
        <w:t>(b)</w:t>
      </w:r>
      <w:r>
        <w:tab/>
        <w:t>the Public Sector Commissioner considers that giving the information to the person is in the person’s best interests,</w:t>
      </w:r>
    </w:p>
    <w:p>
      <w:pPr>
        <w:pStyle w:val="Subsection"/>
      </w:pPr>
      <w:r>
        <w:tab/>
      </w:r>
      <w:r>
        <w:tab/>
        <w:t>and the Public Sector Commissioner considers that giving the information to the person is in the public interest.</w:t>
      </w:r>
    </w:p>
    <w:p>
      <w:pPr>
        <w:pStyle w:val="Footnotesection"/>
        <w:spacing w:before="80"/>
        <w:ind w:left="890" w:hanging="890"/>
      </w:pPr>
      <w:r>
        <w:tab/>
        <w:t>[Section 45P inserted by No. 35 of 2014 s. 21.]</w:t>
      </w:r>
    </w:p>
    <w:p>
      <w:pPr>
        <w:pStyle w:val="Heading5"/>
        <w:keepNext w:val="0"/>
        <w:keepLines w:val="0"/>
        <w:pageBreakBefore/>
        <w:spacing w:before="0"/>
      </w:pPr>
      <w:bookmarkStart w:id="329" w:name="_Toc473893659"/>
      <w:bookmarkStart w:id="330" w:name="_Toc462413555"/>
      <w:r>
        <w:rPr>
          <w:rStyle w:val="CharSectno"/>
        </w:rPr>
        <w:t>45Q</w:t>
      </w:r>
      <w:r>
        <w:t>.</w:t>
      </w:r>
      <w:r>
        <w:tab/>
        <w:t>Action by Public Sector Commissioner: special inquiry or investigation</w:t>
      </w:r>
      <w:bookmarkEnd w:id="329"/>
      <w:bookmarkEnd w:id="330"/>
    </w:p>
    <w:p>
      <w:pPr>
        <w:pStyle w:val="Subsection"/>
        <w:spacing w:before="120"/>
      </w:pPr>
      <w:r>
        <w:tab/>
        <w:t>(1)</w:t>
      </w:r>
      <w:r>
        <w:tab/>
        <w:t xml:space="preserve">If the Public Sector Commissioner decides to take action under section 45M(a) in relation to an allegation, the Public Sector Commissioner may — </w:t>
      </w:r>
    </w:p>
    <w:p>
      <w:pPr>
        <w:pStyle w:val="Indenta"/>
      </w:pPr>
      <w:r>
        <w:tab/>
        <w:t>(a)</w:t>
      </w:r>
      <w:r>
        <w:tab/>
        <w:t>arrange for the holding of a special inquiry into the allegation; or</w:t>
      </w:r>
    </w:p>
    <w:p>
      <w:pPr>
        <w:pStyle w:val="Indenta"/>
      </w:pPr>
      <w:r>
        <w:tab/>
        <w:t>(b)</w:t>
      </w:r>
      <w:r>
        <w:tab/>
        <w:t>investigate the allegation.</w:t>
      </w:r>
    </w:p>
    <w:p>
      <w:pPr>
        <w:pStyle w:val="Subsection"/>
        <w:spacing w:before="120"/>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Indenta"/>
      </w:pPr>
      <w:r>
        <w:tab/>
        <w:t>(a)</w:t>
      </w:r>
      <w:r>
        <w:tab/>
        <w:t>a reference to a special inquiry or investigation were a reference to a special inquiry or investigation under subsection (1); and</w:t>
      </w:r>
    </w:p>
    <w:p>
      <w:pPr>
        <w:pStyle w:val="Indenta"/>
      </w:pPr>
      <w:r>
        <w:tab/>
        <w:t>(b)</w:t>
      </w:r>
      <w:r>
        <w:tab/>
        <w:t>a reference to a public sector body were a reference to a notifying authority.</w:t>
      </w:r>
    </w:p>
    <w:p>
      <w:pPr>
        <w:pStyle w:val="Subsection"/>
        <w:spacing w:before="120"/>
      </w:pPr>
      <w:r>
        <w:tab/>
        <w:t>(3)</w:t>
      </w:r>
      <w:r>
        <w:tab/>
        <w:t>This section does not limit the action that the Public Sector Commissioner may take under section 45M(a).</w:t>
      </w:r>
    </w:p>
    <w:p>
      <w:pPr>
        <w:pStyle w:val="Footnotesection"/>
        <w:spacing w:before="80"/>
        <w:ind w:left="890" w:hanging="890"/>
      </w:pPr>
      <w:r>
        <w:tab/>
        <w:t>[Section 45Q inserted by No. 35 of 2014 s. 21.]</w:t>
      </w:r>
    </w:p>
    <w:p>
      <w:pPr>
        <w:pStyle w:val="Heading5"/>
        <w:spacing w:before="180"/>
      </w:pPr>
      <w:bookmarkStart w:id="331" w:name="_Toc473893660"/>
      <w:bookmarkStart w:id="332" w:name="_Toc462413556"/>
      <w:r>
        <w:rPr>
          <w:rStyle w:val="CharSectno"/>
        </w:rPr>
        <w:t>45R</w:t>
      </w:r>
      <w:r>
        <w:t>.</w:t>
      </w:r>
      <w:r>
        <w:tab/>
        <w:t>Referring allegation to independent agency or appropriate authority under s. 45M(c)</w:t>
      </w:r>
      <w:bookmarkEnd w:id="331"/>
      <w:bookmarkEnd w:id="332"/>
    </w:p>
    <w:p>
      <w:pPr>
        <w:pStyle w:val="Subsection"/>
        <w:spacing w:before="120"/>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Subsection"/>
        <w:spacing w:before="120"/>
      </w:pPr>
      <w:r>
        <w:tab/>
        <w:t>(2)</w:t>
      </w:r>
      <w:r>
        <w:tab/>
        <w:t xml:space="preserve">The allegation may be accompanied by a report, which may include — </w:t>
      </w:r>
    </w:p>
    <w:p>
      <w:pPr>
        <w:pStyle w:val="Indenta"/>
        <w:spacing w:before="60"/>
      </w:pPr>
      <w:r>
        <w:tab/>
        <w:t>(a)</w:t>
      </w:r>
      <w:r>
        <w:tab/>
        <w:t>a recommendation under section 45X; and</w:t>
      </w:r>
    </w:p>
    <w:p>
      <w:pPr>
        <w:pStyle w:val="Indenta"/>
        <w:spacing w:before="60"/>
      </w:pPr>
      <w:r>
        <w:tab/>
        <w:t>(b)</w:t>
      </w:r>
      <w:r>
        <w:tab/>
        <w:t>such other recommendations as the Public Sector Commissioner thinks fit in respect of the action to be taken; and</w:t>
      </w:r>
    </w:p>
    <w:p>
      <w:pPr>
        <w:pStyle w:val="Indenta"/>
      </w:pPr>
      <w:r>
        <w:tab/>
        <w:t>(c)</w:t>
      </w:r>
      <w:r>
        <w:tab/>
        <w:t>such information as the Public Sector Commissioner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45R inserted by No. 35 of 2014 s. 21.]</w:t>
      </w:r>
    </w:p>
    <w:p>
      <w:pPr>
        <w:pStyle w:val="Heading5"/>
      </w:pPr>
      <w:bookmarkStart w:id="333" w:name="_Toc473893661"/>
      <w:bookmarkStart w:id="334" w:name="_Toc462413557"/>
      <w:r>
        <w:rPr>
          <w:rStyle w:val="CharSectno"/>
        </w:rPr>
        <w:t>45S</w:t>
      </w:r>
      <w:r>
        <w:t>.</w:t>
      </w:r>
      <w:r>
        <w:tab/>
        <w:t>Referring allegations to Parliamentary Commissioner or Auditor General under s. 45M(c)</w:t>
      </w:r>
      <w:bookmarkEnd w:id="333"/>
      <w:bookmarkEnd w:id="334"/>
    </w:p>
    <w:p>
      <w:pPr>
        <w:pStyle w:val="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Indenta"/>
      </w:pPr>
      <w:r>
        <w:tab/>
        <w:t>(a)</w:t>
      </w:r>
      <w:r>
        <w:tab/>
        <w:t>the Public Sector Commissioner; or</w:t>
      </w:r>
    </w:p>
    <w:p>
      <w:pPr>
        <w:pStyle w:val="Indenta"/>
      </w:pPr>
      <w:r>
        <w:tab/>
        <w:t>(b)</w:t>
      </w:r>
      <w:r>
        <w:tab/>
        <w:t>a person who is authorised by the Public Sector Commissioner for the purposes of this paragraph,</w:t>
      </w:r>
    </w:p>
    <w:p>
      <w:pPr>
        <w:pStyle w:val="Subsection"/>
      </w:pPr>
      <w:r>
        <w:tab/>
      </w:r>
      <w:r>
        <w:tab/>
        <w:t>information obtained in the course of an investigation under subsection (3).</w:t>
      </w:r>
    </w:p>
    <w:p>
      <w:pPr>
        <w:pStyle w:val="Footnotesection"/>
      </w:pPr>
      <w:r>
        <w:tab/>
        <w:t>[Section 45S inserted by No. 35 of 2014 s. 21.]</w:t>
      </w:r>
    </w:p>
    <w:p>
      <w:pPr>
        <w:pStyle w:val="Heading5"/>
      </w:pPr>
      <w:bookmarkStart w:id="335" w:name="_Toc473893662"/>
      <w:bookmarkStart w:id="336" w:name="_Toc462413558"/>
      <w:r>
        <w:rPr>
          <w:rStyle w:val="CharSectno"/>
        </w:rPr>
        <w:t>45T</w:t>
      </w:r>
      <w:r>
        <w:t>.</w:t>
      </w:r>
      <w:r>
        <w:tab/>
        <w:t>Referring allegations to Corruption and Crime Commission under s. 45M(d)</w:t>
      </w:r>
      <w:bookmarkEnd w:id="335"/>
      <w:bookmarkEnd w:id="336"/>
    </w:p>
    <w:p>
      <w:pPr>
        <w:pStyle w:val="Subsection"/>
      </w:pPr>
      <w:r>
        <w:tab/>
        <w:t>(1)</w:t>
      </w:r>
      <w:r>
        <w:tab/>
        <w:t xml:space="preserve">The Public Sector Commissioner may refer an allegation to the Commission under section 45M(d) if the Public Sector Commissioner considers — </w:t>
      </w:r>
    </w:p>
    <w:p>
      <w:pPr>
        <w:pStyle w:val="Indenta"/>
      </w:pPr>
      <w:r>
        <w:tab/>
        <w:t>(a)</w:t>
      </w:r>
      <w:r>
        <w:tab/>
        <w:t xml:space="preserve">that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r>
      <w:r>
        <w:tab/>
        <w:t>or</w:t>
      </w:r>
    </w:p>
    <w:p>
      <w:pPr>
        <w:pStyle w:val="Indenta"/>
      </w:pPr>
      <w:r>
        <w:tab/>
        <w:t>(b)</w:t>
      </w:r>
      <w:r>
        <w:tab/>
        <w:t>that it is otherwise appropriate to refer the allegation.</w:t>
      </w:r>
    </w:p>
    <w:p>
      <w:pPr>
        <w:pStyle w:val="Subsection"/>
      </w:pPr>
      <w:r>
        <w:tab/>
        <w:t>(2)</w:t>
      </w:r>
      <w:r>
        <w:tab/>
        <w:t>The Commission may deal with an allegation referred under section 45M(d) as if it were a matter notified under section 28(2).</w:t>
      </w:r>
    </w:p>
    <w:p>
      <w:pPr>
        <w:pStyle w:val="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Footnotesection"/>
      </w:pPr>
      <w:r>
        <w:tab/>
        <w:t>[Section 45T inserted by No. 35 of 2014 s. 21.]</w:t>
      </w:r>
    </w:p>
    <w:p>
      <w:pPr>
        <w:pStyle w:val="Heading5"/>
      </w:pPr>
      <w:bookmarkStart w:id="337" w:name="_Toc473893663"/>
      <w:bookmarkStart w:id="338" w:name="_Toc462413559"/>
      <w:r>
        <w:rPr>
          <w:rStyle w:val="CharSectno"/>
        </w:rPr>
        <w:t>45U</w:t>
      </w:r>
      <w:r>
        <w:t>.</w:t>
      </w:r>
      <w:r>
        <w:tab/>
        <w:t>Public Sector Commissioner may decide to take other action</w:t>
      </w:r>
      <w:bookmarkEnd w:id="337"/>
      <w:bookmarkEnd w:id="338"/>
    </w:p>
    <w:p>
      <w:pPr>
        <w:pStyle w:val="Subsection"/>
      </w:pPr>
      <w:r>
        <w:tab/>
        <w:t>(1)</w:t>
      </w:r>
      <w:r>
        <w:tab/>
        <w:t>Despite having made a decision to act under section 45M(a), (b) or (c), the Public Sector Commissioner may at any time decide to act under another of those paragraphs.</w:t>
      </w:r>
    </w:p>
    <w:p>
      <w:pPr>
        <w:pStyle w:val="Subsection"/>
      </w:pPr>
      <w:r>
        <w:tab/>
        <w:t>(2)</w:t>
      </w:r>
      <w:r>
        <w:tab/>
        <w:t>The Public Sector Commissioner may make the decision whether or not he or she has acted under the first</w:t>
      </w:r>
      <w:r>
        <w:noBreakHyphen/>
        <w:t>mentioned decision.</w:t>
      </w:r>
    </w:p>
    <w:p>
      <w:pPr>
        <w:pStyle w:val="Subsection"/>
      </w:pPr>
      <w:r>
        <w:tab/>
        <w:t>(3)</w:t>
      </w:r>
      <w:r>
        <w:tab/>
        <w:t>The Public Sector Commissioner is not to reconsider action taken in respect of a matter reported under section 45J(2) except on new information.</w:t>
      </w:r>
    </w:p>
    <w:p>
      <w:pPr>
        <w:pStyle w:val="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Footnotesection"/>
      </w:pPr>
      <w:r>
        <w:tab/>
        <w:t>[Section 45U inserted by No. 35 of 2014 s. 21.]</w:t>
      </w:r>
    </w:p>
    <w:p>
      <w:pPr>
        <w:pStyle w:val="Heading5"/>
      </w:pPr>
      <w:bookmarkStart w:id="339" w:name="_Toc473893664"/>
      <w:bookmarkStart w:id="340" w:name="_Toc462413560"/>
      <w:r>
        <w:rPr>
          <w:rStyle w:val="CharSectno"/>
        </w:rPr>
        <w:t>45V</w:t>
      </w:r>
      <w:r>
        <w:t>.</w:t>
      </w:r>
      <w:r>
        <w:tab/>
        <w:t>Monitoring of appropriate authorities</w:t>
      </w:r>
      <w:bookmarkEnd w:id="339"/>
      <w:bookmarkEnd w:id="340"/>
    </w:p>
    <w:p>
      <w:pPr>
        <w:pStyle w:val="Subsection"/>
      </w:pPr>
      <w:r>
        <w:tab/>
        <w:t>(1)</w:t>
      </w:r>
      <w:r>
        <w:tab/>
        <w:t xml:space="preserve">If — </w:t>
      </w:r>
    </w:p>
    <w:p>
      <w:pPr>
        <w:pStyle w:val="Indenta"/>
      </w:pPr>
      <w:r>
        <w:tab/>
        <w:t>(a)</w:t>
      </w:r>
      <w:r>
        <w:tab/>
        <w:t>an appropriate authority takes action in relation to an allegation in cooperation with the Public Sector Commissioner; or</w:t>
      </w:r>
    </w:p>
    <w:p>
      <w:pPr>
        <w:pStyle w:val="Indenta"/>
      </w:pPr>
      <w:r>
        <w:tab/>
        <w:t>(b)</w:t>
      </w:r>
      <w:r>
        <w:tab/>
        <w:t>an allegation is referred to an appropriate authority by the Public Sector Commissioner,</w:t>
      </w:r>
    </w:p>
    <w:p>
      <w:pPr>
        <w:pStyle w:val="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Subsection"/>
      </w:pPr>
      <w:r>
        <w:tab/>
        <w:t>(2)</w:t>
      </w:r>
      <w:r>
        <w:tab/>
        <w:t>The report must be given to the Public Sector Commissioner in writing as soon as practicable after the action is taken.</w:t>
      </w:r>
    </w:p>
    <w:p>
      <w:pPr>
        <w:pStyle w:val="Subsection"/>
      </w:pPr>
      <w:r>
        <w:tab/>
        <w:t>(3)</w:t>
      </w:r>
      <w:r>
        <w:tab/>
        <w:t xml:space="preserve">The Public Sector Commissioner may, by written notice, direct the appropriate authority to give the Public Sector Commissioner a detailed report on — </w:t>
      </w:r>
    </w:p>
    <w:p>
      <w:pPr>
        <w:pStyle w:val="Indenta"/>
      </w:pPr>
      <w:r>
        <w:tab/>
        <w:t>(a)</w:t>
      </w:r>
      <w:r>
        <w:tab/>
        <w:t>action the appropriate authority has taken in relation to the allegation; and</w:t>
      </w:r>
    </w:p>
    <w:p>
      <w:pPr>
        <w:pStyle w:val="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disciplinary action taken as a consequence of the recommendations.</w:t>
      </w:r>
    </w:p>
    <w:p>
      <w:pPr>
        <w:pStyle w:val="Footnotesection"/>
      </w:pPr>
      <w:r>
        <w:tab/>
        <w:t>[Section 45V inserted by No. 35 of 2014 s. 21.]</w:t>
      </w:r>
    </w:p>
    <w:p>
      <w:pPr>
        <w:pStyle w:val="Heading5"/>
        <w:spacing w:before="180"/>
      </w:pPr>
      <w:bookmarkStart w:id="341" w:name="_Toc473893665"/>
      <w:bookmarkStart w:id="342" w:name="_Toc462413561"/>
      <w:r>
        <w:rPr>
          <w:rStyle w:val="CharSectno"/>
        </w:rPr>
        <w:t>45W</w:t>
      </w:r>
      <w:r>
        <w:t>.</w:t>
      </w:r>
      <w:r>
        <w:tab/>
        <w:t>Review of appropriate authority’s handling of minor misconduct</w:t>
      </w:r>
      <w:bookmarkEnd w:id="341"/>
      <w:bookmarkEnd w:id="342"/>
    </w:p>
    <w:p>
      <w:pPr>
        <w:pStyle w:val="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Subsection"/>
      </w:pPr>
      <w:r>
        <w:tab/>
        <w:t>(2)</w:t>
      </w:r>
      <w:r>
        <w:tab/>
        <w:t>The appropriate authority must give the Public Sector Commissioner all necessary help to undertake a review under subsection (1).</w:t>
      </w:r>
    </w:p>
    <w:p>
      <w:pPr>
        <w:pStyle w:val="Footnotesection"/>
      </w:pPr>
      <w:r>
        <w:tab/>
        <w:t>[Section 45W inserted by No. 35 of 2014 s. 21.]</w:t>
      </w:r>
    </w:p>
    <w:p>
      <w:pPr>
        <w:pStyle w:val="Heading4"/>
        <w:spacing w:before="200"/>
      </w:pPr>
      <w:bookmarkStart w:id="343" w:name="_Toc425842723"/>
      <w:bookmarkStart w:id="344" w:name="_Toc426107836"/>
      <w:bookmarkStart w:id="345" w:name="_Toc462413562"/>
      <w:bookmarkStart w:id="346" w:name="_Toc472672362"/>
      <w:bookmarkStart w:id="347" w:name="_Toc472679192"/>
      <w:bookmarkStart w:id="348" w:name="_Toc472679813"/>
      <w:bookmarkStart w:id="349" w:name="_Toc472680158"/>
      <w:bookmarkStart w:id="350" w:name="_Toc473892976"/>
      <w:bookmarkStart w:id="351" w:name="_Toc473893321"/>
      <w:bookmarkStart w:id="352" w:name="_Toc473893666"/>
      <w:r>
        <w:t>Subdivision 5 — Recommendations</w:t>
      </w:r>
      <w:bookmarkEnd w:id="343"/>
      <w:bookmarkEnd w:id="344"/>
      <w:bookmarkEnd w:id="345"/>
      <w:bookmarkEnd w:id="346"/>
      <w:bookmarkEnd w:id="347"/>
      <w:bookmarkEnd w:id="348"/>
      <w:bookmarkEnd w:id="349"/>
      <w:bookmarkEnd w:id="350"/>
      <w:bookmarkEnd w:id="351"/>
      <w:bookmarkEnd w:id="352"/>
    </w:p>
    <w:p>
      <w:pPr>
        <w:pStyle w:val="Footnoteheading"/>
        <w:tabs>
          <w:tab w:val="clear" w:pos="879"/>
          <w:tab w:val="left" w:pos="896"/>
        </w:tabs>
      </w:pPr>
      <w:r>
        <w:tab/>
        <w:t>[Heading inserted by No. 35 of 2014 s. 21.]</w:t>
      </w:r>
    </w:p>
    <w:p>
      <w:pPr>
        <w:pStyle w:val="Heading5"/>
        <w:spacing w:before="180"/>
      </w:pPr>
      <w:bookmarkStart w:id="353" w:name="_Toc473893667"/>
      <w:bookmarkStart w:id="354" w:name="_Toc462413563"/>
      <w:r>
        <w:rPr>
          <w:rStyle w:val="CharSectno"/>
        </w:rPr>
        <w:t>45X</w:t>
      </w:r>
      <w:r>
        <w:t>.</w:t>
      </w:r>
      <w:r>
        <w:tab/>
        <w:t>Recommendations by Public Sector Commissioner</w:t>
      </w:r>
      <w:bookmarkEnd w:id="353"/>
      <w:bookmarkEnd w:id="354"/>
    </w:p>
    <w:p>
      <w:pPr>
        <w:pStyle w:val="Subsection"/>
      </w:pPr>
      <w:r>
        <w:tab/>
        <w:t>(1)</w:t>
      </w:r>
      <w:r>
        <w:tab/>
        <w:t xml:space="preserve">The Public Sector Commissioner may — </w:t>
      </w:r>
    </w:p>
    <w:p>
      <w:pPr>
        <w:pStyle w:val="Indenta"/>
      </w:pPr>
      <w:r>
        <w:tab/>
        <w:t>(a)</w:t>
      </w:r>
      <w:r>
        <w:tab/>
        <w:t>make recommendations as to whether consideration should or should not be given to the taking of disciplinary action against particular persons; and</w:t>
      </w:r>
    </w:p>
    <w:p>
      <w:pPr>
        <w:pStyle w:val="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Subsection"/>
      </w:pPr>
      <w:r>
        <w:tab/>
        <w:t>(2)</w:t>
      </w:r>
      <w:r>
        <w:tab/>
        <w:t xml:space="preserve">The Public Sector Commissioner may make the recommendations on the basis of — </w:t>
      </w:r>
    </w:p>
    <w:p>
      <w:pPr>
        <w:pStyle w:val="Indenta"/>
      </w:pPr>
      <w:r>
        <w:tab/>
        <w:t>(a)</w:t>
      </w:r>
      <w:r>
        <w:tab/>
        <w:t>his or her assessments, consultations and opinions; and</w:t>
      </w:r>
    </w:p>
    <w:p>
      <w:pPr>
        <w:pStyle w:val="Indenta"/>
      </w:pPr>
      <w:r>
        <w:tab/>
        <w:t>(b)</w:t>
      </w:r>
      <w:r>
        <w:tab/>
        <w:t>inquiries and other action, whether conducted or taken in cooperation with the Commission, another independent agency or an appropriate authority or otherwise; and</w:t>
      </w:r>
    </w:p>
    <w:p>
      <w:pPr>
        <w:pStyle w:val="Indenta"/>
      </w:pPr>
      <w:r>
        <w:tab/>
        <w:t>(c)</w:t>
      </w:r>
      <w:r>
        <w:tab/>
        <w:t>inquiries or other action conducted or taken by the Commission, another independent agency or an appropriate authority.</w:t>
      </w:r>
    </w:p>
    <w:p>
      <w:pPr>
        <w:pStyle w:val="Subsection"/>
      </w:pPr>
      <w:r>
        <w:tab/>
        <w:t>(3)</w:t>
      </w:r>
      <w:r>
        <w:tab/>
        <w:t xml:space="preserve">Without limiting subsection (1), the Public Sector Commissioner may — </w:t>
      </w:r>
    </w:p>
    <w:p>
      <w:pPr>
        <w:pStyle w:val="Indenta"/>
      </w:pPr>
      <w:r>
        <w:tab/>
        <w:t>(a)</w:t>
      </w:r>
      <w:r>
        <w:tab/>
        <w:t xml:space="preserve">recommend that further inquiry or investigation into any matter be carried out — </w:t>
      </w:r>
    </w:p>
    <w:p>
      <w:pPr>
        <w:pStyle w:val="Indenti"/>
      </w:pPr>
      <w:r>
        <w:tab/>
        <w:t>(i)</w:t>
      </w:r>
      <w:r>
        <w:tab/>
        <w:t xml:space="preserve">by an Inquiry Panel appointed under the </w:t>
      </w:r>
      <w:r>
        <w:rPr>
          <w:i/>
        </w:rPr>
        <w:t>Local Government Act 1995</w:t>
      </w:r>
      <w:r>
        <w:t>; or</w:t>
      </w:r>
    </w:p>
    <w:p>
      <w:pPr>
        <w:pStyle w:val="Indenti"/>
      </w:pPr>
      <w:r>
        <w:tab/>
        <w:t>(ii)</w:t>
      </w:r>
      <w:r>
        <w:tab/>
        <w:t>in such other manner as the Commissioner may recommend;</w:t>
      </w:r>
    </w:p>
    <w:p>
      <w:pPr>
        <w:pStyle w:val="Indenta"/>
      </w:pPr>
      <w:r>
        <w:tab/>
      </w:r>
      <w:r>
        <w:tab/>
        <w:t>and</w:t>
      </w:r>
    </w:p>
    <w:p>
      <w:pPr>
        <w:pStyle w:val="Indenta"/>
      </w:pPr>
      <w:r>
        <w:tab/>
        <w:t>(b)</w:t>
      </w:r>
      <w:r>
        <w:tab/>
        <w:t>recommend the terms of reference of any such inquiry or investigation.</w:t>
      </w:r>
    </w:p>
    <w:p>
      <w:pPr>
        <w:pStyle w:val="Subsection"/>
      </w:pPr>
      <w:r>
        <w:tab/>
        <w:t>(4)</w:t>
      </w:r>
      <w:r>
        <w:tab/>
        <w:t>The Public Sector Commissioner may give the recommendations to another independent agency or an appropriate authority.</w:t>
      </w:r>
    </w:p>
    <w:p>
      <w:pPr>
        <w:pStyle w:val="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Footnotesection"/>
      </w:pPr>
      <w:r>
        <w:tab/>
        <w:t>[Section 45X inserted by No. 35 of 2014 s. 21.]</w:t>
      </w:r>
    </w:p>
    <w:p>
      <w:pPr>
        <w:pStyle w:val="Heading5"/>
      </w:pPr>
      <w:bookmarkStart w:id="355" w:name="_Toc473893668"/>
      <w:bookmarkStart w:id="356" w:name="_Toc462413564"/>
      <w:r>
        <w:rPr>
          <w:rStyle w:val="CharSectno"/>
        </w:rPr>
        <w:t>45Y</w:t>
      </w:r>
      <w:r>
        <w:t>.</w:t>
      </w:r>
      <w:r>
        <w:tab/>
        <w:t>Other action for minor misconduct not affected</w:t>
      </w:r>
      <w:bookmarkEnd w:id="355"/>
      <w:bookmarkEnd w:id="356"/>
    </w:p>
    <w:p>
      <w:pPr>
        <w:pStyle w:val="Subsection"/>
      </w:pPr>
      <w:r>
        <w:tab/>
      </w:r>
      <w:r>
        <w:tab/>
        <w:t>This Part does not limit the action that may lawfully be taken to discipline or otherwise deal with a person for minor misconduct.</w:t>
      </w:r>
    </w:p>
    <w:p>
      <w:pPr>
        <w:pStyle w:val="Footnotesection"/>
      </w:pPr>
      <w:r>
        <w:tab/>
        <w:t>[Section 45Y inserted by No. 35 of 2014 s. 21.]</w:t>
      </w:r>
    </w:p>
    <w:p>
      <w:pPr>
        <w:pStyle w:val="Heading3"/>
      </w:pPr>
      <w:bookmarkStart w:id="357" w:name="_Toc425842726"/>
      <w:bookmarkStart w:id="358" w:name="_Toc426107839"/>
      <w:bookmarkStart w:id="359" w:name="_Toc462413565"/>
      <w:bookmarkStart w:id="360" w:name="_Toc472672365"/>
      <w:bookmarkStart w:id="361" w:name="_Toc472679195"/>
      <w:bookmarkStart w:id="362" w:name="_Toc472679816"/>
      <w:bookmarkStart w:id="363" w:name="_Toc472680161"/>
      <w:bookmarkStart w:id="364" w:name="_Toc473892979"/>
      <w:bookmarkStart w:id="365" w:name="_Toc473893324"/>
      <w:bookmarkStart w:id="366" w:name="_Toc473893669"/>
      <w:r>
        <w:rPr>
          <w:rStyle w:val="CharDivNo"/>
        </w:rPr>
        <w:t>Division 3</w:t>
      </w:r>
      <w:r>
        <w:t> — Reporting</w:t>
      </w:r>
      <w:bookmarkEnd w:id="357"/>
      <w:bookmarkEnd w:id="358"/>
      <w:bookmarkEnd w:id="359"/>
      <w:bookmarkEnd w:id="360"/>
      <w:bookmarkEnd w:id="361"/>
      <w:bookmarkEnd w:id="362"/>
      <w:bookmarkEnd w:id="363"/>
      <w:bookmarkEnd w:id="364"/>
      <w:bookmarkEnd w:id="365"/>
      <w:bookmarkEnd w:id="366"/>
    </w:p>
    <w:p>
      <w:pPr>
        <w:pStyle w:val="Footnoteheading"/>
        <w:tabs>
          <w:tab w:val="clear" w:pos="879"/>
          <w:tab w:val="left" w:pos="896"/>
        </w:tabs>
      </w:pPr>
      <w:r>
        <w:tab/>
        <w:t>[Heading inserted by No. 35 of 2014 s. 21.]</w:t>
      </w:r>
    </w:p>
    <w:p>
      <w:pPr>
        <w:pStyle w:val="Heading5"/>
      </w:pPr>
      <w:bookmarkStart w:id="367" w:name="_Toc473893670"/>
      <w:bookmarkStart w:id="368" w:name="_Toc462413566"/>
      <w:r>
        <w:rPr>
          <w:rStyle w:val="CharSectno"/>
        </w:rPr>
        <w:t>45ZA</w:t>
      </w:r>
      <w:r>
        <w:t>.</w:t>
      </w:r>
      <w:r>
        <w:tab/>
        <w:t>Report to Parliament on inquiry or other action</w:t>
      </w:r>
      <w:bookmarkEnd w:id="367"/>
      <w:bookmarkEnd w:id="368"/>
    </w:p>
    <w:p>
      <w:pPr>
        <w:pStyle w:val="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Indenta"/>
      </w:pPr>
      <w:r>
        <w:tab/>
        <w:t>(a)</w:t>
      </w:r>
      <w:r>
        <w:tab/>
        <w:t>the Public Sector Commissioner alone; or</w:t>
      </w:r>
    </w:p>
    <w:p>
      <w:pPr>
        <w:pStyle w:val="Indenta"/>
      </w:pPr>
      <w:r>
        <w:tab/>
        <w:t>(b)</w:t>
      </w:r>
      <w:r>
        <w:tab/>
        <w:t>the Public Sector Commissioner in cooperation with the Commission, another independent agency or an appropriate authority; or</w:t>
      </w:r>
    </w:p>
    <w:p>
      <w:pPr>
        <w:pStyle w:val="Indenta"/>
      </w:pPr>
      <w:r>
        <w:tab/>
        <w:t>(c)</w:t>
      </w:r>
      <w:r>
        <w:tab/>
        <w:t>an appropriate authority alone.</w:t>
      </w:r>
    </w:p>
    <w:p>
      <w:pPr>
        <w:pStyle w:val="Subsection"/>
      </w:pPr>
      <w:r>
        <w:tab/>
        <w:t>(2)</w:t>
      </w:r>
      <w:r>
        <w:tab/>
        <w:t xml:space="preserve">The Public Sector Commissioner may include in the report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45ZA inserted by No. 35 of 2014 s. 21.]</w:t>
      </w:r>
    </w:p>
    <w:p>
      <w:pPr>
        <w:pStyle w:val="Heading5"/>
      </w:pPr>
      <w:bookmarkStart w:id="369" w:name="_Toc473893671"/>
      <w:bookmarkStart w:id="370" w:name="_Toc462413567"/>
      <w:r>
        <w:rPr>
          <w:rStyle w:val="CharSectno"/>
        </w:rPr>
        <w:t>45ZB</w:t>
      </w:r>
      <w:r>
        <w:t>.</w:t>
      </w:r>
      <w:r>
        <w:tab/>
        <w:t>Report to Parliament on further action by appropriate authority</w:t>
      </w:r>
      <w:bookmarkEnd w:id="369"/>
      <w:bookmarkEnd w:id="370"/>
    </w:p>
    <w:p>
      <w:pPr>
        <w:pStyle w:val="Subsection"/>
      </w:pPr>
      <w:r>
        <w:tab/>
        <w:t>(1)</w:t>
      </w:r>
      <w:r>
        <w:tab/>
        <w:t>After considering a report given to the Public Sector Commissioner by an appropriate authority under section 45V(2) or (4), the Public Sector Commissioner may prepare a report on the report of the authority.</w:t>
      </w:r>
    </w:p>
    <w:p>
      <w:pPr>
        <w:pStyle w:val="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Subsection"/>
      </w:pPr>
      <w:r>
        <w:tab/>
        <w:t>(3)</w:t>
      </w:r>
      <w:r>
        <w:tab/>
        <w:t xml:space="preserve">The Public Sector Commissioner may include in a report prepared under this section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45ZB inserted by No. 35 of 2014 s. 21.]</w:t>
      </w:r>
    </w:p>
    <w:p>
      <w:pPr>
        <w:pStyle w:val="Heading5"/>
      </w:pPr>
      <w:bookmarkStart w:id="371" w:name="_Toc473893672"/>
      <w:bookmarkStart w:id="372" w:name="_Toc462413568"/>
      <w:r>
        <w:rPr>
          <w:rStyle w:val="CharSectno"/>
        </w:rPr>
        <w:t>45ZC</w:t>
      </w:r>
      <w:r>
        <w:t>.</w:t>
      </w:r>
      <w:r>
        <w:tab/>
        <w:t>Person subject to adverse report: entitlement of</w:t>
      </w:r>
      <w:bookmarkEnd w:id="371"/>
      <w:bookmarkEnd w:id="372"/>
    </w:p>
    <w:p>
      <w:pPr>
        <w:pStyle w:val="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Footnotesection"/>
      </w:pPr>
      <w:r>
        <w:tab/>
        <w:t>[Section 45ZC inserted by No. 35 of 2014 s. 21.]</w:t>
      </w:r>
    </w:p>
    <w:p>
      <w:pPr>
        <w:pStyle w:val="Heading5"/>
      </w:pPr>
      <w:bookmarkStart w:id="373" w:name="_Toc473893673"/>
      <w:bookmarkStart w:id="374" w:name="_Toc462413569"/>
      <w:r>
        <w:rPr>
          <w:rStyle w:val="CharSectno"/>
        </w:rPr>
        <w:t>45ZD</w:t>
      </w:r>
      <w:r>
        <w:t>.</w:t>
      </w:r>
      <w:r>
        <w:tab/>
        <w:t>Annual report under PSMA s. 22D: matters to be included</w:t>
      </w:r>
      <w:bookmarkEnd w:id="373"/>
      <w:bookmarkEnd w:id="374"/>
    </w:p>
    <w:p>
      <w:pPr>
        <w:pStyle w:val="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Subsection"/>
      </w:pPr>
      <w:r>
        <w:tab/>
        <w:t>(2)</w:t>
      </w:r>
      <w:r>
        <w:tab/>
        <w:t xml:space="preserve">The report is to include the following — </w:t>
      </w:r>
    </w:p>
    <w:p>
      <w:pPr>
        <w:pStyle w:val="Indenta"/>
      </w:pPr>
      <w:r>
        <w:tab/>
        <w:t>(a)</w:t>
      </w:r>
      <w:r>
        <w:tab/>
        <w:t>a description of the types of allegations received or initiated by the Public Sector Commissioner;</w:t>
      </w:r>
    </w:p>
    <w:p>
      <w:pPr>
        <w:pStyle w:val="Indenta"/>
      </w:pPr>
      <w:r>
        <w:tab/>
        <w:t>(b)</w:t>
      </w:r>
      <w:r>
        <w:tab/>
        <w:t>a description of the types of inquiries conducted by the Public Sector Commissioner, whether alone or in cooperation with another person or body;</w:t>
      </w:r>
    </w:p>
    <w:p>
      <w:pPr>
        <w:pStyle w:val="Indenta"/>
      </w:pPr>
      <w:r>
        <w:tab/>
        <w:t>(c)</w:t>
      </w:r>
      <w:r>
        <w:tab/>
        <w:t>an evaluation of the response of appropriate authorities to recommendations made by the Public Sector Commissioner;</w:t>
      </w:r>
    </w:p>
    <w:p>
      <w:pPr>
        <w:pStyle w:val="Indenta"/>
      </w:pPr>
      <w:r>
        <w:tab/>
        <w:t>(d)</w:t>
      </w:r>
      <w:r>
        <w:tab/>
        <w:t>a description of the general nature and extent of any information furnished under this Part by the Public Sector Commissioner to other independent agencies;</w:t>
      </w:r>
    </w:p>
    <w:p>
      <w:pPr>
        <w:pStyle w:val="Indenta"/>
      </w:pPr>
      <w:r>
        <w:tab/>
        <w:t>(e)</w:t>
      </w:r>
      <w:r>
        <w:tab/>
        <w:t>a description of the general nature and extent of referrals to the Commission under section 45M(d);</w:t>
      </w:r>
    </w:p>
    <w:p>
      <w:pPr>
        <w:pStyle w:val="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Indenta"/>
      </w:pPr>
      <w:r>
        <w:tab/>
        <w:t>(g)</w:t>
      </w:r>
      <w:r>
        <w:tab/>
        <w:t>a description of the Public Sector Commissioner’s activities during that year in relation to the prevention and education function;</w:t>
      </w:r>
    </w:p>
    <w:p>
      <w:pPr>
        <w:pStyle w:val="Indenta"/>
      </w:pPr>
      <w:r>
        <w:tab/>
        <w:t>(h)</w:t>
      </w:r>
      <w:r>
        <w:tab/>
        <w:t>any recommendations for changes in the laws of the State that the Public Sector Commissioner considers should be made as a result of the performance of functions under this Part.</w:t>
      </w:r>
    </w:p>
    <w:p>
      <w:pPr>
        <w:pStyle w:val="Subsection"/>
      </w:pPr>
      <w:r>
        <w:tab/>
        <w:t>(3)</w:t>
      </w:r>
      <w:r>
        <w:tab/>
        <w:t>This section does not require the Public Sector Commissioner to include operational information in a report prepared under subsection (1).</w:t>
      </w:r>
    </w:p>
    <w:p>
      <w:pPr>
        <w:pStyle w:val="Footnotesection"/>
      </w:pPr>
      <w:r>
        <w:tab/>
        <w:t>[Section 45ZD inserted by No. 35 of 2014 s. 21.]</w:t>
      </w:r>
    </w:p>
    <w:p>
      <w:pPr>
        <w:pStyle w:val="Heading2"/>
      </w:pPr>
      <w:bookmarkStart w:id="375" w:name="_Toc425842731"/>
      <w:bookmarkStart w:id="376" w:name="_Toc426107844"/>
      <w:bookmarkStart w:id="377" w:name="_Toc462413570"/>
      <w:bookmarkStart w:id="378" w:name="_Toc472672370"/>
      <w:bookmarkStart w:id="379" w:name="_Toc472679200"/>
      <w:bookmarkStart w:id="380" w:name="_Toc472679821"/>
      <w:bookmarkStart w:id="381" w:name="_Toc472680166"/>
      <w:bookmarkStart w:id="382" w:name="_Toc473892984"/>
      <w:bookmarkStart w:id="383" w:name="_Toc473893329"/>
      <w:bookmarkStart w:id="384" w:name="_Toc473893674"/>
      <w:r>
        <w:rPr>
          <w:rStyle w:val="CharPartNo"/>
        </w:rPr>
        <w:t>Part 4</w:t>
      </w:r>
      <w:r>
        <w:rPr>
          <w:b w:val="0"/>
        </w:rPr>
        <w:t> </w:t>
      </w:r>
      <w:r>
        <w:t>—</w:t>
      </w:r>
      <w:r>
        <w:rPr>
          <w:b w:val="0"/>
        </w:rPr>
        <w:t> </w:t>
      </w:r>
      <w:r>
        <w:rPr>
          <w:rStyle w:val="CharPartText"/>
        </w:rPr>
        <w:t>Organised crime: exceptional powers and fortification removal</w:t>
      </w:r>
      <w:bookmarkEnd w:id="375"/>
      <w:bookmarkEnd w:id="376"/>
      <w:bookmarkEnd w:id="377"/>
      <w:bookmarkEnd w:id="378"/>
      <w:bookmarkEnd w:id="379"/>
      <w:bookmarkEnd w:id="380"/>
      <w:bookmarkEnd w:id="381"/>
      <w:bookmarkEnd w:id="382"/>
      <w:bookmarkEnd w:id="383"/>
      <w:bookmarkEnd w:id="384"/>
    </w:p>
    <w:p>
      <w:pPr>
        <w:pStyle w:val="Footnoteheading"/>
        <w:tabs>
          <w:tab w:val="clear" w:pos="879"/>
          <w:tab w:val="left" w:pos="896"/>
        </w:tabs>
        <w:spacing w:before="100"/>
      </w:pPr>
      <w:r>
        <w:tab/>
        <w:t>[Heading inserted by No. 78 of 2003 s. 17.]</w:t>
      </w:r>
    </w:p>
    <w:p>
      <w:pPr>
        <w:pStyle w:val="Heading3"/>
      </w:pPr>
      <w:bookmarkStart w:id="385" w:name="_Toc425842732"/>
      <w:bookmarkStart w:id="386" w:name="_Toc426107845"/>
      <w:bookmarkStart w:id="387" w:name="_Toc462413571"/>
      <w:bookmarkStart w:id="388" w:name="_Toc472672371"/>
      <w:bookmarkStart w:id="389" w:name="_Toc472679201"/>
      <w:bookmarkStart w:id="390" w:name="_Toc472679822"/>
      <w:bookmarkStart w:id="391" w:name="_Toc472680167"/>
      <w:bookmarkStart w:id="392" w:name="_Toc473892985"/>
      <w:bookmarkStart w:id="393" w:name="_Toc473893330"/>
      <w:bookmarkStart w:id="394" w:name="_Toc473893675"/>
      <w:r>
        <w:rPr>
          <w:rStyle w:val="CharDivNo"/>
        </w:rPr>
        <w:t>Division 1</w:t>
      </w:r>
      <w:r>
        <w:t> — </w:t>
      </w:r>
      <w:r>
        <w:rPr>
          <w:rStyle w:val="CharDivText"/>
        </w:rPr>
        <w:t>Basis for, and control of, use of exceptional powers</w:t>
      </w:r>
      <w:bookmarkEnd w:id="385"/>
      <w:bookmarkEnd w:id="386"/>
      <w:bookmarkEnd w:id="387"/>
      <w:bookmarkEnd w:id="388"/>
      <w:bookmarkEnd w:id="389"/>
      <w:bookmarkEnd w:id="390"/>
      <w:bookmarkEnd w:id="391"/>
      <w:bookmarkEnd w:id="392"/>
      <w:bookmarkEnd w:id="393"/>
      <w:bookmarkEnd w:id="394"/>
    </w:p>
    <w:p>
      <w:pPr>
        <w:pStyle w:val="Footnoteheading"/>
        <w:tabs>
          <w:tab w:val="clear" w:pos="879"/>
          <w:tab w:val="left" w:pos="896"/>
        </w:tabs>
        <w:spacing w:before="100"/>
      </w:pPr>
      <w:r>
        <w:tab/>
        <w:t>[Heading inserted by No. 78 of 2003 s. 17.]</w:t>
      </w:r>
    </w:p>
    <w:p>
      <w:pPr>
        <w:pStyle w:val="Heading5"/>
      </w:pPr>
      <w:bookmarkStart w:id="395" w:name="_Toc473893676"/>
      <w:bookmarkStart w:id="396" w:name="_Toc462413572"/>
      <w:r>
        <w:rPr>
          <w:rStyle w:val="CharSectno"/>
        </w:rPr>
        <w:t>45</w:t>
      </w:r>
      <w:r>
        <w:t>.</w:t>
      </w:r>
      <w:r>
        <w:tab/>
        <w:t>Terms used</w:t>
      </w:r>
      <w:bookmarkEnd w:id="395"/>
      <w:bookmarkEnd w:id="396"/>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397" w:name="_Toc473893677"/>
      <w:bookmarkStart w:id="398" w:name="_Toc462413573"/>
      <w:r>
        <w:rPr>
          <w:rStyle w:val="CharSectno"/>
        </w:rPr>
        <w:t>46</w:t>
      </w:r>
      <w:r>
        <w:t>.</w:t>
      </w:r>
      <w:r>
        <w:tab/>
        <w:t>Exceptional powers finding, making of</w:t>
      </w:r>
      <w:bookmarkEnd w:id="397"/>
      <w:bookmarkEnd w:id="398"/>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by No. 78 of 2003 s. 17.]</w:t>
      </w:r>
    </w:p>
    <w:p>
      <w:pPr>
        <w:pStyle w:val="Heading5"/>
        <w:spacing w:before="180"/>
      </w:pPr>
      <w:bookmarkStart w:id="399" w:name="_Toc473893678"/>
      <w:bookmarkStart w:id="400" w:name="_Toc462413574"/>
      <w:r>
        <w:rPr>
          <w:rStyle w:val="CharSectno"/>
        </w:rPr>
        <w:t>47</w:t>
      </w:r>
      <w:r>
        <w:t>.</w:t>
      </w:r>
      <w:r>
        <w:tab/>
        <w:t>Purpose of Divisions 2 to 5</w:t>
      </w:r>
      <w:bookmarkEnd w:id="399"/>
      <w:bookmarkEnd w:id="400"/>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180"/>
      </w:pPr>
      <w:bookmarkStart w:id="401" w:name="_Toc425842736"/>
      <w:bookmarkStart w:id="402" w:name="_Toc426107849"/>
      <w:bookmarkStart w:id="403" w:name="_Toc462413575"/>
      <w:bookmarkStart w:id="404" w:name="_Toc472672375"/>
      <w:bookmarkStart w:id="405" w:name="_Toc472679205"/>
      <w:bookmarkStart w:id="406" w:name="_Toc472679826"/>
      <w:bookmarkStart w:id="407" w:name="_Toc472680171"/>
      <w:bookmarkStart w:id="408" w:name="_Toc473892989"/>
      <w:bookmarkStart w:id="409" w:name="_Toc473893334"/>
      <w:bookmarkStart w:id="410" w:name="_Toc473893679"/>
      <w:r>
        <w:rPr>
          <w:rStyle w:val="CharDivNo"/>
        </w:rPr>
        <w:t>Division 2</w:t>
      </w:r>
      <w:r>
        <w:t> — </w:t>
      </w:r>
      <w:r>
        <w:rPr>
          <w:rStyle w:val="CharDivText"/>
        </w:rPr>
        <w:t>Examination before Commission</w:t>
      </w:r>
      <w:bookmarkEnd w:id="401"/>
      <w:bookmarkEnd w:id="402"/>
      <w:bookmarkEnd w:id="403"/>
      <w:bookmarkEnd w:id="404"/>
      <w:bookmarkEnd w:id="405"/>
      <w:bookmarkEnd w:id="406"/>
      <w:bookmarkEnd w:id="407"/>
      <w:bookmarkEnd w:id="408"/>
      <w:bookmarkEnd w:id="409"/>
      <w:bookmarkEnd w:id="410"/>
    </w:p>
    <w:p>
      <w:pPr>
        <w:pStyle w:val="Footnoteheading"/>
        <w:tabs>
          <w:tab w:val="clear" w:pos="879"/>
          <w:tab w:val="left" w:pos="896"/>
        </w:tabs>
        <w:spacing w:before="100"/>
      </w:pPr>
      <w:r>
        <w:tab/>
        <w:t>[Heading inserted by No. 78 of 2003 s. 17.]</w:t>
      </w:r>
    </w:p>
    <w:p>
      <w:pPr>
        <w:pStyle w:val="Heading5"/>
        <w:spacing w:before="180"/>
      </w:pPr>
      <w:bookmarkStart w:id="411" w:name="_Toc473893680"/>
      <w:bookmarkStart w:id="412" w:name="_Toc462413576"/>
      <w:r>
        <w:rPr>
          <w:rStyle w:val="CharSectno"/>
        </w:rPr>
        <w:t>48</w:t>
      </w:r>
      <w:r>
        <w:t>.</w:t>
      </w:r>
      <w:r>
        <w:tab/>
        <w:t>Commission, on application of police, may summons witnesses</w:t>
      </w:r>
      <w:bookmarkEnd w:id="411"/>
      <w:bookmarkEnd w:id="412"/>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by No. 78 of 2003 s. 17.]</w:t>
      </w:r>
    </w:p>
    <w:p>
      <w:pPr>
        <w:pStyle w:val="Heading5"/>
      </w:pPr>
      <w:bookmarkStart w:id="413" w:name="_Toc473893681"/>
      <w:bookmarkStart w:id="414" w:name="_Toc462413577"/>
      <w:r>
        <w:rPr>
          <w:rStyle w:val="CharSectno"/>
        </w:rPr>
        <w:t>49</w:t>
      </w:r>
      <w:r>
        <w:t>.</w:t>
      </w:r>
      <w:r>
        <w:tab/>
        <w:t>Examination of witnesses by Commissioner of Police</w:t>
      </w:r>
      <w:bookmarkEnd w:id="413"/>
      <w:bookmarkEnd w:id="414"/>
    </w:p>
    <w:p>
      <w:pPr>
        <w:pStyle w:val="Subsection"/>
        <w:spacing w:before="18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8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80"/>
      </w:pPr>
      <w:r>
        <w:tab/>
        <w:t>(3)</w:t>
      </w:r>
      <w:r>
        <w:tab/>
        <w:t>This section does not limit the operation of section 143.</w:t>
      </w:r>
    </w:p>
    <w:p>
      <w:pPr>
        <w:pStyle w:val="Footnotesection"/>
        <w:ind w:left="890" w:hanging="890"/>
      </w:pPr>
      <w:r>
        <w:tab/>
        <w:t>[Section 49 inserted by No. 78 of 2003 s. 17.]</w:t>
      </w:r>
    </w:p>
    <w:p>
      <w:pPr>
        <w:pStyle w:val="Heading5"/>
        <w:spacing w:before="240"/>
      </w:pPr>
      <w:bookmarkStart w:id="415" w:name="_Toc473893682"/>
      <w:bookmarkStart w:id="416" w:name="_Toc462413578"/>
      <w:r>
        <w:rPr>
          <w:rStyle w:val="CharSectno"/>
        </w:rPr>
        <w:t>50</w:t>
      </w:r>
      <w:r>
        <w:t>.</w:t>
      </w:r>
      <w:r>
        <w:tab/>
        <w:t>Examination of witness about offence with which witness charged</w:t>
      </w:r>
      <w:bookmarkEnd w:id="415"/>
      <w:bookmarkEnd w:id="416"/>
    </w:p>
    <w:p>
      <w:pPr>
        <w:pStyle w:val="Subsection"/>
        <w:spacing w:before="18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8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pPr>
      <w:r>
        <w:tab/>
      </w:r>
      <w:r>
        <w:tab/>
        <w:t>whether or not at that time a prosecution notice in respect of the offence has been made or sworn; or</w:t>
      </w:r>
    </w:p>
    <w:p>
      <w:pPr>
        <w:pStyle w:val="Indenta"/>
        <w:keepNext/>
        <w:keepLines/>
      </w:pPr>
      <w:r>
        <w:tab/>
        <w:t>(c)</w:t>
      </w:r>
      <w:r>
        <w:tab/>
        <w:t>a prosecution notice in respect of the offence is made or sworn,</w:t>
      </w:r>
    </w:p>
    <w:p>
      <w:pPr>
        <w:pStyle w:val="Subsection"/>
        <w:keepNext/>
        <w:keepLines/>
      </w:pPr>
      <w:r>
        <w:tab/>
      </w:r>
      <w:r>
        <w:tab/>
        <w:t>whichever happens first.</w:t>
      </w:r>
    </w:p>
    <w:p>
      <w:pPr>
        <w:pStyle w:val="Footnotesection"/>
        <w:ind w:left="890" w:hanging="890"/>
      </w:pPr>
      <w:r>
        <w:tab/>
        <w:t>[Section 50 inserted by No. 78 of 2003 s. 17; amended by No. 84 of 2004 s. 79.]</w:t>
      </w:r>
    </w:p>
    <w:p>
      <w:pPr>
        <w:pStyle w:val="Heading3"/>
      </w:pPr>
      <w:bookmarkStart w:id="417" w:name="_Toc425842740"/>
      <w:bookmarkStart w:id="418" w:name="_Toc426107853"/>
      <w:bookmarkStart w:id="419" w:name="_Toc462413579"/>
      <w:bookmarkStart w:id="420" w:name="_Toc472672379"/>
      <w:bookmarkStart w:id="421" w:name="_Toc472679209"/>
      <w:bookmarkStart w:id="422" w:name="_Toc472679830"/>
      <w:bookmarkStart w:id="423" w:name="_Toc472680175"/>
      <w:bookmarkStart w:id="424" w:name="_Toc473892993"/>
      <w:bookmarkStart w:id="425" w:name="_Toc473893338"/>
      <w:bookmarkStart w:id="426" w:name="_Toc473893683"/>
      <w:r>
        <w:rPr>
          <w:rStyle w:val="CharDivNo"/>
        </w:rPr>
        <w:t>Division 3</w:t>
      </w:r>
      <w:r>
        <w:t> — </w:t>
      </w:r>
      <w:r>
        <w:rPr>
          <w:rStyle w:val="CharDivText"/>
        </w:rPr>
        <w:t>Entry, search and related matters</w:t>
      </w:r>
      <w:bookmarkEnd w:id="417"/>
      <w:bookmarkEnd w:id="418"/>
      <w:bookmarkEnd w:id="419"/>
      <w:bookmarkEnd w:id="420"/>
      <w:bookmarkEnd w:id="421"/>
      <w:bookmarkEnd w:id="422"/>
      <w:bookmarkEnd w:id="423"/>
      <w:bookmarkEnd w:id="424"/>
      <w:bookmarkEnd w:id="425"/>
      <w:bookmarkEnd w:id="426"/>
    </w:p>
    <w:p>
      <w:pPr>
        <w:pStyle w:val="Footnoteheading"/>
        <w:tabs>
          <w:tab w:val="clear" w:pos="879"/>
          <w:tab w:val="left" w:pos="896"/>
        </w:tabs>
      </w:pPr>
      <w:r>
        <w:tab/>
        <w:t>[Heading inserted by No. 78 of 2003 s. 17.]</w:t>
      </w:r>
    </w:p>
    <w:p>
      <w:pPr>
        <w:pStyle w:val="Heading5"/>
        <w:spacing w:before="240"/>
      </w:pPr>
      <w:bookmarkStart w:id="427" w:name="_Toc473893684"/>
      <w:bookmarkStart w:id="428" w:name="_Toc462413580"/>
      <w:r>
        <w:rPr>
          <w:rStyle w:val="CharSectno"/>
        </w:rPr>
        <w:t>51</w:t>
      </w:r>
      <w:r>
        <w:t>.</w:t>
      </w:r>
      <w:r>
        <w:tab/>
        <w:t>Commission may limit exercise of certain exceptional powers</w:t>
      </w:r>
      <w:bookmarkEnd w:id="427"/>
      <w:bookmarkEnd w:id="428"/>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keepLines w:val="0"/>
        <w:ind w:left="890" w:hanging="890"/>
      </w:pPr>
      <w:r>
        <w:tab/>
        <w:t>[Section 51 inserted by No. 78 of 2003 s. 17.]</w:t>
      </w:r>
    </w:p>
    <w:p>
      <w:pPr>
        <w:pStyle w:val="Heading5"/>
        <w:keepNext w:val="0"/>
        <w:keepLines w:val="0"/>
        <w:spacing w:before="240"/>
      </w:pPr>
      <w:bookmarkStart w:id="429" w:name="_Toc473893685"/>
      <w:bookmarkStart w:id="430" w:name="_Toc462413581"/>
      <w:r>
        <w:rPr>
          <w:rStyle w:val="CharSectno"/>
        </w:rPr>
        <w:t>52</w:t>
      </w:r>
      <w:r>
        <w:t>.</w:t>
      </w:r>
      <w:r>
        <w:tab/>
        <w:t>Section 5 offences, enhanced police powers to enter, search etc. places</w:t>
      </w:r>
      <w:bookmarkEnd w:id="429"/>
      <w:bookmarkEnd w:id="430"/>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keepNext w:val="0"/>
        <w:keepLines w:val="0"/>
        <w:pageBreakBefore/>
        <w:spacing w:before="0"/>
      </w:pPr>
      <w:bookmarkStart w:id="431" w:name="_Toc473893686"/>
      <w:bookmarkStart w:id="432" w:name="_Toc462413582"/>
      <w:r>
        <w:rPr>
          <w:rStyle w:val="CharSectno"/>
        </w:rPr>
        <w:t>53</w:t>
      </w:r>
      <w:r>
        <w:t>.</w:t>
      </w:r>
      <w:r>
        <w:tab/>
        <w:t>Section 5 offences, enhanced police powers to stop, search etc. people and conveyances</w:t>
      </w:r>
      <w:bookmarkEnd w:id="431"/>
      <w:bookmarkEnd w:id="432"/>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spacing w:before="120"/>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spacing w:before="120"/>
      </w:pPr>
      <w:r>
        <w:tab/>
        <w:t>(4)</w:t>
      </w:r>
      <w:r>
        <w:tab/>
        <w:t>A police officer may without a warrant seize anything described in subsection (1).</w:t>
      </w:r>
    </w:p>
    <w:p>
      <w:pPr>
        <w:pStyle w:val="Subsection"/>
        <w:spacing w:before="120"/>
      </w:pPr>
      <w:r>
        <w:tab/>
        <w:t>(5)</w:t>
      </w:r>
      <w:r>
        <w:tab/>
        <w:t>A police officer may use any force that is reasonably necessary, and may call on any assistance necessary, in order to perform a function under this section.</w:t>
      </w:r>
    </w:p>
    <w:p>
      <w:pPr>
        <w:pStyle w:val="Subsection"/>
        <w:spacing w:before="120"/>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spacing w:before="180"/>
      </w:pPr>
      <w:bookmarkStart w:id="433" w:name="_Toc473893687"/>
      <w:bookmarkStart w:id="434" w:name="_Toc462413583"/>
      <w:r>
        <w:rPr>
          <w:rStyle w:val="CharSectno"/>
        </w:rPr>
        <w:t>54</w:t>
      </w:r>
      <w:r>
        <w:t>.</w:t>
      </w:r>
      <w:r>
        <w:tab/>
        <w:t>Searches of people, conduct of</w:t>
      </w:r>
      <w:bookmarkEnd w:id="433"/>
      <w:bookmarkEnd w:id="434"/>
    </w:p>
    <w:p>
      <w:pPr>
        <w:pStyle w:val="Subsection"/>
        <w:spacing w:before="120"/>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keepNext/>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435" w:name="_Toc473893688"/>
      <w:bookmarkStart w:id="436" w:name="_Toc462413584"/>
      <w:r>
        <w:rPr>
          <w:rStyle w:val="CharSectno"/>
        </w:rPr>
        <w:t>55</w:t>
      </w:r>
      <w:r>
        <w:t>.</w:t>
      </w:r>
      <w:r>
        <w:tab/>
        <w:t>Power to search includes power to break open</w:t>
      </w:r>
      <w:bookmarkEnd w:id="435"/>
      <w:bookmarkEnd w:id="436"/>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r>
        <w:t>[</w:t>
      </w:r>
      <w:r>
        <w:rPr>
          <w:b/>
          <w:bCs/>
        </w:rPr>
        <w:t>56.</w:t>
      </w:r>
      <w:r>
        <w:tab/>
        <w:t xml:space="preserve">Deleted by No. 59 of 2006 s. 9.] </w:t>
      </w:r>
    </w:p>
    <w:p>
      <w:pPr>
        <w:pStyle w:val="Heading5"/>
        <w:spacing w:before="120"/>
      </w:pPr>
      <w:bookmarkStart w:id="437" w:name="_Toc473893689"/>
      <w:bookmarkStart w:id="438" w:name="_Toc462413585"/>
      <w:r>
        <w:rPr>
          <w:rStyle w:val="CharSectno"/>
        </w:rPr>
        <w:t>57</w:t>
      </w:r>
      <w:r>
        <w:t>.</w:t>
      </w:r>
      <w:r>
        <w:tab/>
        <w:t>Offences</w:t>
      </w:r>
      <w:bookmarkEnd w:id="437"/>
      <w:bookmarkEnd w:id="438"/>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by No. 78 of 2003 s. 17.]</w:t>
      </w:r>
    </w:p>
    <w:p>
      <w:pPr>
        <w:pStyle w:val="Heading5"/>
      </w:pPr>
      <w:bookmarkStart w:id="439" w:name="_Toc473893690"/>
      <w:bookmarkStart w:id="440" w:name="_Toc462413586"/>
      <w:r>
        <w:rPr>
          <w:rStyle w:val="CharSectno"/>
        </w:rPr>
        <w:t>58</w:t>
      </w:r>
      <w:r>
        <w:t>.</w:t>
      </w:r>
      <w:r>
        <w:tab/>
        <w:t>Police to report on use of powers under this Division</w:t>
      </w:r>
      <w:bookmarkEnd w:id="439"/>
      <w:bookmarkEnd w:id="440"/>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by No. 78 of 2003 s. 17.]</w:t>
      </w:r>
    </w:p>
    <w:p>
      <w:pPr>
        <w:pStyle w:val="Heading5"/>
      </w:pPr>
      <w:bookmarkStart w:id="441" w:name="_Toc473893691"/>
      <w:bookmarkStart w:id="442" w:name="_Toc462413587"/>
      <w:r>
        <w:rPr>
          <w:rStyle w:val="CharSectno"/>
        </w:rPr>
        <w:t>59</w:t>
      </w:r>
      <w:r>
        <w:t>.</w:t>
      </w:r>
      <w:r>
        <w:tab/>
        <w:t>Overseeing exercise of powers under this Division</w:t>
      </w:r>
      <w:bookmarkEnd w:id="441"/>
      <w:bookmarkEnd w:id="442"/>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443" w:name="_Toc425842749"/>
      <w:bookmarkStart w:id="444" w:name="_Toc426107862"/>
      <w:bookmarkStart w:id="445" w:name="_Toc462413588"/>
      <w:bookmarkStart w:id="446" w:name="_Toc472672388"/>
      <w:bookmarkStart w:id="447" w:name="_Toc472679218"/>
      <w:bookmarkStart w:id="448" w:name="_Toc472679839"/>
      <w:bookmarkStart w:id="449" w:name="_Toc472680184"/>
      <w:bookmarkStart w:id="450" w:name="_Toc473893002"/>
      <w:bookmarkStart w:id="451" w:name="_Toc473893347"/>
      <w:bookmarkStart w:id="452" w:name="_Toc473893692"/>
      <w:r>
        <w:rPr>
          <w:rStyle w:val="CharDivNo"/>
        </w:rPr>
        <w:t>Division 4</w:t>
      </w:r>
      <w:r>
        <w:t> — </w:t>
      </w:r>
      <w:r>
        <w:rPr>
          <w:rStyle w:val="CharDivText"/>
        </w:rPr>
        <w:t>Assumed identities</w:t>
      </w:r>
      <w:bookmarkEnd w:id="443"/>
      <w:bookmarkEnd w:id="444"/>
      <w:bookmarkEnd w:id="445"/>
      <w:bookmarkEnd w:id="446"/>
      <w:bookmarkEnd w:id="447"/>
      <w:bookmarkEnd w:id="448"/>
      <w:bookmarkEnd w:id="449"/>
      <w:bookmarkEnd w:id="450"/>
      <w:bookmarkEnd w:id="451"/>
      <w:bookmarkEnd w:id="452"/>
    </w:p>
    <w:p>
      <w:pPr>
        <w:pStyle w:val="Footnoteheading"/>
        <w:tabs>
          <w:tab w:val="clear" w:pos="879"/>
          <w:tab w:val="left" w:pos="896"/>
        </w:tabs>
        <w:spacing w:before="100"/>
      </w:pPr>
      <w:r>
        <w:tab/>
        <w:t>[Heading inserted by No. 78 of 2003 s. 17.]</w:t>
      </w:r>
    </w:p>
    <w:p>
      <w:pPr>
        <w:pStyle w:val="Heading5"/>
        <w:spacing w:before="200"/>
      </w:pPr>
      <w:bookmarkStart w:id="453" w:name="_Toc473893693"/>
      <w:bookmarkStart w:id="454" w:name="_Toc462413589"/>
      <w:r>
        <w:rPr>
          <w:rStyle w:val="CharSectno"/>
        </w:rPr>
        <w:t>60</w:t>
      </w:r>
      <w:r>
        <w:t>.</w:t>
      </w:r>
      <w:r>
        <w:tab/>
        <w:t>Approval for assumed identity</w:t>
      </w:r>
      <w:bookmarkEnd w:id="453"/>
      <w:bookmarkEnd w:id="454"/>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455" w:name="_Toc473893694"/>
      <w:bookmarkStart w:id="456" w:name="_Toc462413590"/>
      <w:r>
        <w:rPr>
          <w:rStyle w:val="CharSectno"/>
        </w:rPr>
        <w:t>61</w:t>
      </w:r>
      <w:r>
        <w:t>.</w:t>
      </w:r>
      <w:r>
        <w:tab/>
        <w:t>Police to report on activities undertaken under assumed identity approval</w:t>
      </w:r>
      <w:bookmarkEnd w:id="455"/>
      <w:bookmarkEnd w:id="456"/>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457" w:name="_Toc473893695"/>
      <w:bookmarkStart w:id="458" w:name="_Toc462413591"/>
      <w:r>
        <w:rPr>
          <w:rStyle w:val="CharSectno"/>
        </w:rPr>
        <w:t>62</w:t>
      </w:r>
      <w:r>
        <w:t>.</w:t>
      </w:r>
      <w:r>
        <w:tab/>
        <w:t>Overseeing exercise of powers under this Division</w:t>
      </w:r>
      <w:bookmarkEnd w:id="457"/>
      <w:bookmarkEnd w:id="458"/>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keepNext w:val="0"/>
        <w:pageBreakBefore/>
        <w:spacing w:before="0"/>
      </w:pPr>
      <w:bookmarkStart w:id="459" w:name="_Toc425842753"/>
      <w:bookmarkStart w:id="460" w:name="_Toc426107866"/>
      <w:bookmarkStart w:id="461" w:name="_Toc462413592"/>
      <w:bookmarkStart w:id="462" w:name="_Toc472672392"/>
      <w:bookmarkStart w:id="463" w:name="_Toc472679222"/>
      <w:bookmarkStart w:id="464" w:name="_Toc472679843"/>
      <w:bookmarkStart w:id="465" w:name="_Toc472680188"/>
      <w:bookmarkStart w:id="466" w:name="_Toc473893006"/>
      <w:bookmarkStart w:id="467" w:name="_Toc473893351"/>
      <w:bookmarkStart w:id="468" w:name="_Toc473893696"/>
      <w:r>
        <w:rPr>
          <w:rStyle w:val="CharDivNo"/>
        </w:rPr>
        <w:t>Division 5</w:t>
      </w:r>
      <w:r>
        <w:t> — </w:t>
      </w:r>
      <w:r>
        <w:rPr>
          <w:rStyle w:val="CharDivText"/>
        </w:rPr>
        <w:t>Controlled operations</w:t>
      </w:r>
      <w:bookmarkEnd w:id="459"/>
      <w:bookmarkEnd w:id="460"/>
      <w:bookmarkEnd w:id="461"/>
      <w:bookmarkEnd w:id="462"/>
      <w:bookmarkEnd w:id="463"/>
      <w:bookmarkEnd w:id="464"/>
      <w:bookmarkEnd w:id="465"/>
      <w:bookmarkEnd w:id="466"/>
      <w:bookmarkEnd w:id="467"/>
      <w:bookmarkEnd w:id="468"/>
    </w:p>
    <w:p>
      <w:pPr>
        <w:pStyle w:val="Footnoteheading"/>
        <w:tabs>
          <w:tab w:val="clear" w:pos="879"/>
          <w:tab w:val="left" w:pos="896"/>
        </w:tabs>
      </w:pPr>
      <w:r>
        <w:tab/>
        <w:t>[Heading inserted by No. 78 of 2003 s. 17.]</w:t>
      </w:r>
    </w:p>
    <w:p>
      <w:pPr>
        <w:pStyle w:val="Heading5"/>
      </w:pPr>
      <w:bookmarkStart w:id="469" w:name="_Toc473893697"/>
      <w:bookmarkStart w:id="470" w:name="_Toc462413593"/>
      <w:r>
        <w:rPr>
          <w:rStyle w:val="CharSectno"/>
        </w:rPr>
        <w:t>63</w:t>
      </w:r>
      <w:r>
        <w:t>.</w:t>
      </w:r>
      <w:r>
        <w:tab/>
        <w:t>Terms used</w:t>
      </w:r>
      <w:bookmarkEnd w:id="469"/>
      <w:bookmarkEnd w:id="470"/>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471" w:name="_Toc473893698"/>
      <w:bookmarkStart w:id="472" w:name="_Toc462413594"/>
      <w:r>
        <w:rPr>
          <w:rStyle w:val="CharSectno"/>
        </w:rPr>
        <w:t>64</w:t>
      </w:r>
      <w:r>
        <w:t>.</w:t>
      </w:r>
      <w:r>
        <w:tab/>
        <w:t>Authority to conduct controlled operation and integrity testing</w:t>
      </w:r>
      <w:bookmarkEnd w:id="471"/>
      <w:bookmarkEnd w:id="472"/>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spacing w:before="180"/>
      </w:pPr>
      <w:r>
        <w:tab/>
        <w:t>(2)</w:t>
      </w:r>
      <w:r>
        <w:tab/>
        <w:t>The Commission may under section 123 grant an authority for a police officer to conduct an integrity testing programme as if the police officer were an officer of the Commission.</w:t>
      </w:r>
    </w:p>
    <w:p>
      <w:pPr>
        <w:pStyle w:val="Subsection"/>
        <w:spacing w:before="180"/>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ind w:left="890" w:hanging="890"/>
      </w:pPr>
      <w:r>
        <w:tab/>
        <w:t>[Section 64 inserted by No. 78 of 2003 s. 17.]</w:t>
      </w:r>
    </w:p>
    <w:p>
      <w:pPr>
        <w:pStyle w:val="Heading5"/>
        <w:spacing w:before="240"/>
      </w:pPr>
      <w:bookmarkStart w:id="473" w:name="_Toc473893699"/>
      <w:bookmarkStart w:id="474" w:name="_Toc462413595"/>
      <w:r>
        <w:rPr>
          <w:rStyle w:val="CharSectno"/>
        </w:rPr>
        <w:t>65</w:t>
      </w:r>
      <w:r>
        <w:t>.</w:t>
      </w:r>
      <w:r>
        <w:tab/>
        <w:t>Police to report on controlled operation or integrity testing programme</w:t>
      </w:r>
      <w:bookmarkEnd w:id="473"/>
      <w:bookmarkEnd w:id="474"/>
    </w:p>
    <w:p>
      <w:pPr>
        <w:pStyle w:val="Subsection"/>
        <w:spacing w:before="180"/>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spacing w:before="180"/>
      </w:pPr>
      <w:r>
        <w:tab/>
      </w:r>
      <w:r>
        <w:tab/>
        <w:t>give a report to the Commissioner of Police setting out the particulars required by subsection (2).</w:t>
      </w:r>
    </w:p>
    <w:p>
      <w:pPr>
        <w:pStyle w:val="Subsection"/>
        <w:spacing w:before="180"/>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475" w:name="_Toc473893700"/>
      <w:bookmarkStart w:id="476" w:name="_Toc462413596"/>
      <w:r>
        <w:rPr>
          <w:rStyle w:val="CharSectno"/>
        </w:rPr>
        <w:t>66</w:t>
      </w:r>
      <w:r>
        <w:t>.</w:t>
      </w:r>
      <w:r>
        <w:tab/>
        <w:t>Overseeing exercise of powers under this Division</w:t>
      </w:r>
      <w:bookmarkEnd w:id="475"/>
      <w:bookmarkEnd w:id="476"/>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477" w:name="_Toc425842758"/>
      <w:bookmarkStart w:id="478" w:name="_Toc426107871"/>
      <w:bookmarkStart w:id="479" w:name="_Toc462413597"/>
      <w:bookmarkStart w:id="480" w:name="_Toc472672397"/>
      <w:bookmarkStart w:id="481" w:name="_Toc472679227"/>
      <w:bookmarkStart w:id="482" w:name="_Toc472679848"/>
      <w:bookmarkStart w:id="483" w:name="_Toc472680193"/>
      <w:bookmarkStart w:id="484" w:name="_Toc473893011"/>
      <w:bookmarkStart w:id="485" w:name="_Toc473893356"/>
      <w:bookmarkStart w:id="486" w:name="_Toc473893701"/>
      <w:r>
        <w:rPr>
          <w:rStyle w:val="CharDivNo"/>
        </w:rPr>
        <w:t>Division 6</w:t>
      </w:r>
      <w:r>
        <w:t> — </w:t>
      </w:r>
      <w:r>
        <w:rPr>
          <w:rStyle w:val="CharDivText"/>
        </w:rPr>
        <w:t>Fortifications</w:t>
      </w:r>
      <w:bookmarkEnd w:id="477"/>
      <w:bookmarkEnd w:id="478"/>
      <w:bookmarkEnd w:id="479"/>
      <w:bookmarkEnd w:id="480"/>
      <w:bookmarkEnd w:id="481"/>
      <w:bookmarkEnd w:id="482"/>
      <w:bookmarkEnd w:id="483"/>
      <w:bookmarkEnd w:id="484"/>
      <w:bookmarkEnd w:id="485"/>
      <w:bookmarkEnd w:id="486"/>
    </w:p>
    <w:p>
      <w:pPr>
        <w:pStyle w:val="Footnoteheading"/>
        <w:tabs>
          <w:tab w:val="clear" w:pos="879"/>
          <w:tab w:val="left" w:pos="896"/>
        </w:tabs>
      </w:pPr>
      <w:r>
        <w:tab/>
        <w:t>[Heading inserted by No. 78 of 2003 s. 17.]</w:t>
      </w:r>
    </w:p>
    <w:p>
      <w:pPr>
        <w:pStyle w:val="Heading5"/>
      </w:pPr>
      <w:bookmarkStart w:id="487" w:name="_Toc473893702"/>
      <w:bookmarkStart w:id="488" w:name="_Toc462413598"/>
      <w:r>
        <w:rPr>
          <w:rStyle w:val="CharSectno"/>
        </w:rPr>
        <w:t>67</w:t>
      </w:r>
      <w:r>
        <w:t>.</w:t>
      </w:r>
      <w:r>
        <w:tab/>
        <w:t>Terms used</w:t>
      </w:r>
      <w:bookmarkEnd w:id="487"/>
      <w:bookmarkEnd w:id="488"/>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489" w:name="_Toc473893703"/>
      <w:bookmarkStart w:id="490" w:name="_Toc462413599"/>
      <w:r>
        <w:rPr>
          <w:rStyle w:val="CharSectno"/>
        </w:rPr>
        <w:t>68</w:t>
      </w:r>
      <w:r>
        <w:t>.</w:t>
      </w:r>
      <w:r>
        <w:tab/>
        <w:t>Fortification warning notice: issue of</w:t>
      </w:r>
      <w:bookmarkEnd w:id="489"/>
      <w:bookmarkEnd w:id="490"/>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491" w:name="_Toc473893704"/>
      <w:bookmarkStart w:id="492" w:name="_Toc462413600"/>
      <w:r>
        <w:rPr>
          <w:rStyle w:val="CharSectno"/>
        </w:rPr>
        <w:t>69</w:t>
      </w:r>
      <w:r>
        <w:t>.</w:t>
      </w:r>
      <w:r>
        <w:tab/>
        <w:t>Fortification warning notice: contents of</w:t>
      </w:r>
      <w:bookmarkEnd w:id="491"/>
      <w:bookmarkEnd w:id="492"/>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493" w:name="_Toc473893705"/>
      <w:bookmarkStart w:id="494" w:name="_Toc462413601"/>
      <w:r>
        <w:rPr>
          <w:rStyle w:val="CharSectno"/>
        </w:rPr>
        <w:t>70</w:t>
      </w:r>
      <w:r>
        <w:t>.</w:t>
      </w:r>
      <w:r>
        <w:tab/>
        <w:t>Giving fortification warning notice</w:t>
      </w:r>
      <w:bookmarkEnd w:id="493"/>
      <w:bookmarkEnd w:id="494"/>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495" w:name="_Toc473893706"/>
      <w:bookmarkStart w:id="496" w:name="_Toc462413602"/>
      <w:r>
        <w:rPr>
          <w:rStyle w:val="CharSectno"/>
        </w:rPr>
        <w:t>71</w:t>
      </w:r>
      <w:r>
        <w:t>.</w:t>
      </w:r>
      <w:r>
        <w:tab/>
        <w:t>Withdrawal notice</w:t>
      </w:r>
      <w:bookmarkEnd w:id="495"/>
      <w:bookmarkEnd w:id="496"/>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by No. 78 of 2003 s. 17.]</w:t>
      </w:r>
    </w:p>
    <w:p>
      <w:pPr>
        <w:pStyle w:val="Heading5"/>
      </w:pPr>
      <w:bookmarkStart w:id="497" w:name="_Toc473893707"/>
      <w:bookmarkStart w:id="498" w:name="_Toc462413603"/>
      <w:r>
        <w:rPr>
          <w:rStyle w:val="CharSectno"/>
        </w:rPr>
        <w:t>72</w:t>
      </w:r>
      <w:r>
        <w:t>.</w:t>
      </w:r>
      <w:r>
        <w:tab/>
        <w:t>Fortification removal notice: issue of</w:t>
      </w:r>
      <w:bookmarkEnd w:id="497"/>
      <w:bookmarkEnd w:id="498"/>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499" w:name="_Toc473893708"/>
      <w:bookmarkStart w:id="500" w:name="_Toc462413604"/>
      <w:r>
        <w:rPr>
          <w:rStyle w:val="CharSectno"/>
        </w:rPr>
        <w:t>73</w:t>
      </w:r>
      <w:r>
        <w:t>.</w:t>
      </w:r>
      <w:r>
        <w:tab/>
        <w:t>Fortification removal notice: contents of</w:t>
      </w:r>
      <w:bookmarkEnd w:id="499"/>
      <w:bookmarkEnd w:id="500"/>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501" w:name="_Toc473893709"/>
      <w:bookmarkStart w:id="502" w:name="_Toc462413605"/>
      <w:r>
        <w:rPr>
          <w:rStyle w:val="CharSectno"/>
        </w:rPr>
        <w:t>74</w:t>
      </w:r>
      <w:r>
        <w:t>.</w:t>
      </w:r>
      <w:r>
        <w:tab/>
        <w:t>Giving fortification removal notice</w:t>
      </w:r>
      <w:bookmarkEnd w:id="501"/>
      <w:bookmarkEnd w:id="502"/>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503" w:name="_Toc473893710"/>
      <w:bookmarkStart w:id="504" w:name="_Toc462413606"/>
      <w:r>
        <w:rPr>
          <w:rStyle w:val="CharSectno"/>
        </w:rPr>
        <w:t>75</w:t>
      </w:r>
      <w:r>
        <w:t>.</w:t>
      </w:r>
      <w:r>
        <w:tab/>
        <w:t>Fortification removal notice: enforcing</w:t>
      </w:r>
      <w:bookmarkEnd w:id="503"/>
      <w:bookmarkEnd w:id="504"/>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505" w:name="_Toc473893711"/>
      <w:bookmarkStart w:id="506" w:name="_Toc462413607"/>
      <w:r>
        <w:rPr>
          <w:rStyle w:val="CharSectno"/>
        </w:rPr>
        <w:t>76</w:t>
      </w:r>
      <w:r>
        <w:t>.</w:t>
      </w:r>
      <w:r>
        <w:tab/>
        <w:t>Review of fortification removal notice</w:t>
      </w:r>
      <w:bookmarkEnd w:id="505"/>
      <w:bookmarkEnd w:id="506"/>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507" w:name="_Toc473893712"/>
      <w:bookmarkStart w:id="508" w:name="_Toc462413608"/>
      <w:r>
        <w:rPr>
          <w:rStyle w:val="CharSectno"/>
        </w:rPr>
        <w:t>77</w:t>
      </w:r>
      <w:r>
        <w:t>.</w:t>
      </w:r>
      <w:r>
        <w:tab/>
        <w:t>Hindering removal or modification of fortifications</w:t>
      </w:r>
      <w:bookmarkEnd w:id="507"/>
      <w:bookmarkEnd w:id="508"/>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509" w:name="_Toc473893713"/>
      <w:bookmarkStart w:id="510" w:name="_Toc462413609"/>
      <w:r>
        <w:rPr>
          <w:rStyle w:val="CharSectno"/>
        </w:rPr>
        <w:t>78</w:t>
      </w:r>
      <w:r>
        <w:t>.</w:t>
      </w:r>
      <w:r>
        <w:tab/>
        <w:t>Planning and other approval issues</w:t>
      </w:r>
      <w:bookmarkEnd w:id="509"/>
      <w:bookmarkEnd w:id="510"/>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511" w:name="_Toc473893714"/>
      <w:bookmarkStart w:id="512" w:name="_Toc462413610"/>
      <w:r>
        <w:rPr>
          <w:rStyle w:val="CharSectno"/>
        </w:rPr>
        <w:t>79</w:t>
      </w:r>
      <w:r>
        <w:t>.</w:t>
      </w:r>
      <w:r>
        <w:tab/>
        <w:t>No compensation for removal or modification of fortifications</w:t>
      </w:r>
      <w:bookmarkEnd w:id="511"/>
      <w:bookmarkEnd w:id="512"/>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513" w:name="_Toc473893715"/>
      <w:bookmarkStart w:id="514" w:name="_Toc462413611"/>
      <w:r>
        <w:rPr>
          <w:rStyle w:val="CharSectno"/>
        </w:rPr>
        <w:t>80</w:t>
      </w:r>
      <w:r>
        <w:t>.</w:t>
      </w:r>
      <w:r>
        <w:tab/>
        <w:t>Protection from liability for wrongdoing</w:t>
      </w:r>
      <w:bookmarkEnd w:id="513"/>
      <w:bookmarkEnd w:id="514"/>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515" w:name="_Toc425842773"/>
      <w:bookmarkStart w:id="516" w:name="_Toc426107886"/>
      <w:bookmarkStart w:id="517" w:name="_Toc462413612"/>
      <w:bookmarkStart w:id="518" w:name="_Toc472672412"/>
      <w:bookmarkStart w:id="519" w:name="_Toc472679242"/>
      <w:bookmarkStart w:id="520" w:name="_Toc472679863"/>
      <w:bookmarkStart w:id="521" w:name="_Toc472680208"/>
      <w:bookmarkStart w:id="522" w:name="_Toc473893026"/>
      <w:bookmarkStart w:id="523" w:name="_Toc473893371"/>
      <w:bookmarkStart w:id="524" w:name="_Toc473893716"/>
      <w:r>
        <w:rPr>
          <w:rStyle w:val="CharDivNo"/>
        </w:rPr>
        <w:t>Division 7</w:t>
      </w:r>
      <w:r>
        <w:t> — </w:t>
      </w:r>
      <w:r>
        <w:rPr>
          <w:rStyle w:val="CharDivText"/>
        </w:rPr>
        <w:t>General matters</w:t>
      </w:r>
      <w:bookmarkEnd w:id="515"/>
      <w:bookmarkEnd w:id="516"/>
      <w:bookmarkEnd w:id="517"/>
      <w:bookmarkEnd w:id="518"/>
      <w:bookmarkEnd w:id="519"/>
      <w:bookmarkEnd w:id="520"/>
      <w:bookmarkEnd w:id="521"/>
      <w:bookmarkEnd w:id="522"/>
      <w:bookmarkEnd w:id="523"/>
      <w:bookmarkEnd w:id="524"/>
    </w:p>
    <w:p>
      <w:pPr>
        <w:pStyle w:val="Footnoteheading"/>
        <w:tabs>
          <w:tab w:val="clear" w:pos="879"/>
          <w:tab w:val="left" w:pos="896"/>
        </w:tabs>
      </w:pPr>
      <w:r>
        <w:tab/>
        <w:t>[Heading inserted by No. 78 of 2003 s. 17.]</w:t>
      </w:r>
    </w:p>
    <w:p>
      <w:pPr>
        <w:pStyle w:val="Heading5"/>
      </w:pPr>
      <w:bookmarkStart w:id="525" w:name="_Toc473893717"/>
      <w:bookmarkStart w:id="526" w:name="_Toc462413613"/>
      <w:r>
        <w:rPr>
          <w:rStyle w:val="CharSectno"/>
        </w:rPr>
        <w:t>81</w:t>
      </w:r>
      <w:r>
        <w:t>.</w:t>
      </w:r>
      <w:r>
        <w:tab/>
        <w:t>Part not applicable to juveniles</w:t>
      </w:r>
      <w:bookmarkEnd w:id="525"/>
      <w:bookmarkEnd w:id="526"/>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by No. 78 of 2003 s. 17.]</w:t>
      </w:r>
    </w:p>
    <w:p>
      <w:pPr>
        <w:pStyle w:val="Heading5"/>
      </w:pPr>
      <w:bookmarkStart w:id="527" w:name="_Toc473893718"/>
      <w:bookmarkStart w:id="528" w:name="_Toc462413614"/>
      <w:r>
        <w:rPr>
          <w:rStyle w:val="CharSectno"/>
        </w:rPr>
        <w:t>82</w:t>
      </w:r>
      <w:r>
        <w:t>.</w:t>
      </w:r>
      <w:r>
        <w:tab/>
        <w:t>Delegation by Commissioner of Police</w:t>
      </w:r>
      <w:bookmarkEnd w:id="527"/>
      <w:bookmarkEnd w:id="528"/>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529" w:name="_Toc473893719"/>
      <w:bookmarkStart w:id="530" w:name="_Toc462413615"/>
      <w:r>
        <w:rPr>
          <w:rStyle w:val="CharSectno"/>
        </w:rPr>
        <w:t>83</w:t>
      </w:r>
      <w:r>
        <w:t>.</w:t>
      </w:r>
      <w:r>
        <w:tab/>
        <w:t>Judicial review excluded</w:t>
      </w:r>
      <w:bookmarkEnd w:id="529"/>
      <w:bookmarkEnd w:id="530"/>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531" w:name="_Toc425842777"/>
      <w:bookmarkStart w:id="532" w:name="_Toc426107890"/>
      <w:bookmarkStart w:id="533" w:name="_Toc462413616"/>
      <w:bookmarkStart w:id="534" w:name="_Toc472672416"/>
      <w:bookmarkStart w:id="535" w:name="_Toc472679246"/>
      <w:bookmarkStart w:id="536" w:name="_Toc472679867"/>
      <w:bookmarkStart w:id="537" w:name="_Toc472680212"/>
      <w:bookmarkStart w:id="538" w:name="_Toc473893030"/>
      <w:bookmarkStart w:id="539" w:name="_Toc473893375"/>
      <w:bookmarkStart w:id="540" w:name="_Toc473893720"/>
      <w:r>
        <w:rPr>
          <w:rStyle w:val="CharPartNo"/>
        </w:rPr>
        <w:t>Part 5</w:t>
      </w:r>
      <w:r>
        <w:rPr>
          <w:b w:val="0"/>
        </w:rPr>
        <w:t> </w:t>
      </w:r>
      <w:r>
        <w:t>—</w:t>
      </w:r>
      <w:r>
        <w:rPr>
          <w:b w:val="0"/>
        </w:rPr>
        <w:t> </w:t>
      </w:r>
      <w:r>
        <w:rPr>
          <w:rStyle w:val="CharPartText"/>
        </w:rPr>
        <w:t>Reporting</w:t>
      </w:r>
      <w:bookmarkEnd w:id="531"/>
      <w:bookmarkEnd w:id="532"/>
      <w:bookmarkEnd w:id="533"/>
      <w:bookmarkEnd w:id="534"/>
      <w:bookmarkEnd w:id="535"/>
      <w:bookmarkEnd w:id="536"/>
      <w:bookmarkEnd w:id="537"/>
      <w:bookmarkEnd w:id="538"/>
      <w:bookmarkEnd w:id="539"/>
      <w:bookmarkEnd w:id="540"/>
    </w:p>
    <w:p>
      <w:pPr>
        <w:pStyle w:val="Footnoteheading"/>
        <w:tabs>
          <w:tab w:val="clear" w:pos="879"/>
          <w:tab w:val="left" w:pos="896"/>
        </w:tabs>
      </w:pPr>
      <w:r>
        <w:tab/>
        <w:t>[Heading inserted by No. 78 of 2003 s. 17.]</w:t>
      </w:r>
    </w:p>
    <w:p>
      <w:pPr>
        <w:pStyle w:val="Heading3"/>
      </w:pPr>
      <w:bookmarkStart w:id="541" w:name="_Toc425842778"/>
      <w:bookmarkStart w:id="542" w:name="_Toc426107891"/>
      <w:bookmarkStart w:id="543" w:name="_Toc462413617"/>
      <w:bookmarkStart w:id="544" w:name="_Toc472672417"/>
      <w:bookmarkStart w:id="545" w:name="_Toc472679247"/>
      <w:bookmarkStart w:id="546" w:name="_Toc472679868"/>
      <w:bookmarkStart w:id="547" w:name="_Toc472680213"/>
      <w:bookmarkStart w:id="548" w:name="_Toc473893031"/>
      <w:bookmarkStart w:id="549" w:name="_Toc473893376"/>
      <w:bookmarkStart w:id="550" w:name="_Toc473893721"/>
      <w:r>
        <w:rPr>
          <w:rStyle w:val="CharDivNo"/>
        </w:rPr>
        <w:t>Division 1</w:t>
      </w:r>
      <w:r>
        <w:t> — </w:t>
      </w:r>
      <w:r>
        <w:rPr>
          <w:rStyle w:val="CharDivText"/>
        </w:rPr>
        <w:t>Reports by Commission on specific matters</w:t>
      </w:r>
      <w:bookmarkEnd w:id="541"/>
      <w:bookmarkEnd w:id="542"/>
      <w:bookmarkEnd w:id="543"/>
      <w:bookmarkEnd w:id="544"/>
      <w:bookmarkEnd w:id="545"/>
      <w:bookmarkEnd w:id="546"/>
      <w:bookmarkEnd w:id="547"/>
      <w:bookmarkEnd w:id="548"/>
      <w:bookmarkEnd w:id="549"/>
      <w:bookmarkEnd w:id="550"/>
    </w:p>
    <w:p>
      <w:pPr>
        <w:pStyle w:val="Footnoteheading"/>
        <w:tabs>
          <w:tab w:val="clear" w:pos="879"/>
          <w:tab w:val="left" w:pos="896"/>
        </w:tabs>
      </w:pPr>
      <w:r>
        <w:tab/>
        <w:t>[Heading inserted by No. 78 of 2003 s. 17.]</w:t>
      </w:r>
    </w:p>
    <w:p>
      <w:pPr>
        <w:pStyle w:val="Heading5"/>
      </w:pPr>
      <w:bookmarkStart w:id="551" w:name="_Toc473893722"/>
      <w:bookmarkStart w:id="552" w:name="_Toc462413618"/>
      <w:r>
        <w:rPr>
          <w:rStyle w:val="CharSectno"/>
        </w:rPr>
        <w:t>84</w:t>
      </w:r>
      <w:r>
        <w:t>.</w:t>
      </w:r>
      <w:r>
        <w:tab/>
        <w:t>Report to Parliament on investigation or received matter</w:t>
      </w:r>
      <w:bookmarkEnd w:id="551"/>
      <w:bookmarkEnd w:id="552"/>
    </w:p>
    <w:p>
      <w:pPr>
        <w:pStyle w:val="Subsection"/>
      </w:pPr>
      <w:r>
        <w:tab/>
        <w:t>(1)</w:t>
      </w:r>
      <w:r>
        <w:tab/>
      </w:r>
      <w:r>
        <w:rPr>
          <w:spacing w:val="-4"/>
        </w:rPr>
        <w:t xml:space="preserve">The Commission may at any time prepare a report on any matter that has been the subject of an investigation or other action in respect of </w:t>
      </w:r>
      <w:r>
        <w:t>serious misconduct</w:t>
      </w:r>
      <w:r>
        <w:rPr>
          <w:spacing w:val="-4"/>
        </w:rPr>
        <w: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 amended by No. 35 of 2014 s. 31.]</w:t>
      </w:r>
    </w:p>
    <w:p>
      <w:pPr>
        <w:pStyle w:val="Heading5"/>
      </w:pPr>
      <w:bookmarkStart w:id="553" w:name="_Toc473893723"/>
      <w:bookmarkStart w:id="554" w:name="_Toc462413619"/>
      <w:r>
        <w:rPr>
          <w:rStyle w:val="CharSectno"/>
        </w:rPr>
        <w:t>85</w:t>
      </w:r>
      <w:r>
        <w:t>.</w:t>
      </w:r>
      <w:r>
        <w:tab/>
        <w:t>Report to Parliament on further action by appropriate authority</w:t>
      </w:r>
      <w:bookmarkEnd w:id="553"/>
      <w:bookmarkEnd w:id="554"/>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555" w:name="_Toc473893724"/>
      <w:bookmarkStart w:id="556" w:name="_Toc462413620"/>
      <w:r>
        <w:rPr>
          <w:rStyle w:val="CharSectno"/>
        </w:rPr>
        <w:t>86</w:t>
      </w:r>
      <w:r>
        <w:t>.</w:t>
      </w:r>
      <w:r>
        <w:tab/>
        <w:t>Person subject to adverse report, entitlement of</w:t>
      </w:r>
      <w:bookmarkEnd w:id="555"/>
      <w:bookmarkEnd w:id="556"/>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557" w:name="_Toc473893725"/>
      <w:bookmarkStart w:id="558" w:name="_Toc462413621"/>
      <w:r>
        <w:rPr>
          <w:rStyle w:val="CharSectno"/>
        </w:rPr>
        <w:t>87</w:t>
      </w:r>
      <w:r>
        <w:t>.</w:t>
      </w:r>
      <w:r>
        <w:tab/>
        <w:t>Disclosure of matters in report made under s. 84 or 85</w:t>
      </w:r>
      <w:bookmarkEnd w:id="557"/>
      <w:bookmarkEnd w:id="558"/>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559" w:name="_Toc473893726"/>
      <w:bookmarkStart w:id="560" w:name="_Toc462413622"/>
      <w:r>
        <w:rPr>
          <w:rStyle w:val="CharSectno"/>
        </w:rPr>
        <w:t>88</w:t>
      </w:r>
      <w:r>
        <w:t>.</w:t>
      </w:r>
      <w:r>
        <w:tab/>
        <w:t>Special reports to Parliament on policy matters</w:t>
      </w:r>
      <w:bookmarkEnd w:id="559"/>
      <w:bookmarkEnd w:id="560"/>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by No. 78 of 2003 s. 17.]</w:t>
      </w:r>
    </w:p>
    <w:p>
      <w:pPr>
        <w:pStyle w:val="Heading5"/>
      </w:pPr>
      <w:bookmarkStart w:id="561" w:name="_Toc473893727"/>
      <w:bookmarkStart w:id="562" w:name="_Toc462413623"/>
      <w:r>
        <w:rPr>
          <w:rStyle w:val="CharSectno"/>
        </w:rPr>
        <w:t>89</w:t>
      </w:r>
      <w:r>
        <w:t>.</w:t>
      </w:r>
      <w:r>
        <w:tab/>
        <w:t>Report under s. 84, 85 or 88 may be made to Minister or Standing Committee instead of to Parliament</w:t>
      </w:r>
      <w:bookmarkEnd w:id="561"/>
      <w:bookmarkEnd w:id="562"/>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563" w:name="_Toc473893728"/>
      <w:bookmarkStart w:id="564" w:name="_Toc462413624"/>
      <w:r>
        <w:rPr>
          <w:rStyle w:val="CharSectno"/>
        </w:rPr>
        <w:t>90</w:t>
      </w:r>
      <w:r>
        <w:t>.</w:t>
      </w:r>
      <w:r>
        <w:tab/>
        <w:t>Reports about people proposed as police officers or CEOs</w:t>
      </w:r>
      <w:bookmarkEnd w:id="563"/>
      <w:bookmarkEnd w:id="564"/>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 or</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565" w:name="_Toc425842786"/>
      <w:bookmarkStart w:id="566" w:name="_Toc426107899"/>
      <w:bookmarkStart w:id="567" w:name="_Toc462413625"/>
      <w:bookmarkStart w:id="568" w:name="_Toc472672425"/>
      <w:bookmarkStart w:id="569" w:name="_Toc472679255"/>
      <w:bookmarkStart w:id="570" w:name="_Toc472679876"/>
      <w:bookmarkStart w:id="571" w:name="_Toc472680221"/>
      <w:bookmarkStart w:id="572" w:name="_Toc473893039"/>
      <w:bookmarkStart w:id="573" w:name="_Toc473893384"/>
      <w:bookmarkStart w:id="574" w:name="_Toc473893729"/>
      <w:r>
        <w:rPr>
          <w:rStyle w:val="CharDivNo"/>
        </w:rPr>
        <w:t>Division 2</w:t>
      </w:r>
      <w:r>
        <w:t> — </w:t>
      </w:r>
      <w:r>
        <w:rPr>
          <w:rStyle w:val="CharDivText"/>
        </w:rPr>
        <w:t>General reports</w:t>
      </w:r>
      <w:bookmarkEnd w:id="565"/>
      <w:bookmarkEnd w:id="566"/>
      <w:bookmarkEnd w:id="567"/>
      <w:bookmarkEnd w:id="568"/>
      <w:bookmarkEnd w:id="569"/>
      <w:bookmarkEnd w:id="570"/>
      <w:bookmarkEnd w:id="571"/>
      <w:bookmarkEnd w:id="572"/>
      <w:bookmarkEnd w:id="573"/>
      <w:bookmarkEnd w:id="574"/>
    </w:p>
    <w:p>
      <w:pPr>
        <w:pStyle w:val="Footnoteheading"/>
        <w:tabs>
          <w:tab w:val="clear" w:pos="879"/>
          <w:tab w:val="left" w:pos="896"/>
        </w:tabs>
      </w:pPr>
      <w:r>
        <w:tab/>
        <w:t>[Heading inserted by No. 78 of 2003 s. 17.]</w:t>
      </w:r>
    </w:p>
    <w:p>
      <w:pPr>
        <w:pStyle w:val="Heading5"/>
      </w:pPr>
      <w:bookmarkStart w:id="575" w:name="_Toc473893730"/>
      <w:bookmarkStart w:id="576" w:name="_Toc462413626"/>
      <w:r>
        <w:rPr>
          <w:rStyle w:val="CharSectno"/>
        </w:rPr>
        <w:t>91</w:t>
      </w:r>
      <w:r>
        <w:t>.</w:t>
      </w:r>
      <w:r>
        <w:tab/>
        <w:t>Annual report to Parliament</w:t>
      </w:r>
      <w:bookmarkEnd w:id="575"/>
      <w:bookmarkEnd w:id="576"/>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a description of the general nature and extent of any information furnished under the Act by the Commission to independent agencies; and</w:t>
      </w:r>
    </w:p>
    <w:p>
      <w:pPr>
        <w:pStyle w:val="Indenta"/>
      </w:pPr>
      <w:r>
        <w:tab/>
        <w:t>(e)</w:t>
      </w:r>
      <w:r>
        <w:tab/>
        <w:t>a description of 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by No. 78 of 2003 s. 17; amended by No. 77 of 2006 Sch. 1 cl. 35(5); No. 46 of 2009 s. 17; No. 2 of 2011 s. 12; No. 23 of 2011 s. 95; No. 55 of 2012 s. 112; No. 35 of 2014 s. 22.]</w:t>
      </w:r>
    </w:p>
    <w:p>
      <w:pPr>
        <w:pStyle w:val="Heading5"/>
      </w:pPr>
      <w:bookmarkStart w:id="577" w:name="_Toc473893731"/>
      <w:bookmarkStart w:id="578" w:name="_Toc462413627"/>
      <w:r>
        <w:rPr>
          <w:rStyle w:val="CharSectno"/>
        </w:rPr>
        <w:t>92</w:t>
      </w:r>
      <w:r>
        <w:t>.</w:t>
      </w:r>
      <w:r>
        <w:tab/>
        <w:t>Periodical report to Parliament</w:t>
      </w:r>
      <w:bookmarkEnd w:id="577"/>
      <w:bookmarkEnd w:id="578"/>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579" w:name="_Toc425842789"/>
      <w:bookmarkStart w:id="580" w:name="_Toc426107902"/>
      <w:bookmarkStart w:id="581" w:name="_Toc462413628"/>
      <w:bookmarkStart w:id="582" w:name="_Toc472672428"/>
      <w:bookmarkStart w:id="583" w:name="_Toc472679258"/>
      <w:bookmarkStart w:id="584" w:name="_Toc472679879"/>
      <w:bookmarkStart w:id="585" w:name="_Toc472680224"/>
      <w:bookmarkStart w:id="586" w:name="_Toc473893042"/>
      <w:bookmarkStart w:id="587" w:name="_Toc473893387"/>
      <w:bookmarkStart w:id="588" w:name="_Toc473893732"/>
      <w:r>
        <w:rPr>
          <w:rStyle w:val="CharDivNo"/>
        </w:rPr>
        <w:t>Division 3</w:t>
      </w:r>
      <w:r>
        <w:t> — </w:t>
      </w:r>
      <w:r>
        <w:rPr>
          <w:rStyle w:val="CharDivText"/>
        </w:rPr>
        <w:t>General matters</w:t>
      </w:r>
      <w:bookmarkEnd w:id="579"/>
      <w:bookmarkEnd w:id="580"/>
      <w:bookmarkEnd w:id="581"/>
      <w:bookmarkEnd w:id="582"/>
      <w:bookmarkEnd w:id="583"/>
      <w:bookmarkEnd w:id="584"/>
      <w:bookmarkEnd w:id="585"/>
      <w:bookmarkEnd w:id="586"/>
      <w:bookmarkEnd w:id="587"/>
      <w:bookmarkEnd w:id="588"/>
    </w:p>
    <w:p>
      <w:pPr>
        <w:pStyle w:val="Footnoteheading"/>
        <w:tabs>
          <w:tab w:val="clear" w:pos="879"/>
          <w:tab w:val="left" w:pos="896"/>
        </w:tabs>
      </w:pPr>
      <w:r>
        <w:tab/>
        <w:t>[Heading inserted by No. 78 of 2003 s. 17.]</w:t>
      </w:r>
    </w:p>
    <w:p>
      <w:pPr>
        <w:pStyle w:val="Heading5"/>
        <w:spacing w:before="180"/>
      </w:pPr>
      <w:bookmarkStart w:id="589" w:name="_Toc473893733"/>
      <w:bookmarkStart w:id="590" w:name="_Toc462413629"/>
      <w:r>
        <w:rPr>
          <w:rStyle w:val="CharSectno"/>
        </w:rPr>
        <w:t>93</w:t>
      </w:r>
      <w:r>
        <w:t>.</w:t>
      </w:r>
      <w:r>
        <w:tab/>
        <w:t>Laying documents before House of Parliament that is not sitting</w:t>
      </w:r>
      <w:bookmarkEnd w:id="589"/>
      <w:bookmarkEnd w:id="590"/>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591" w:name="_Toc425842791"/>
      <w:bookmarkStart w:id="592" w:name="_Toc426107904"/>
      <w:bookmarkStart w:id="593" w:name="_Toc462413630"/>
      <w:bookmarkStart w:id="594" w:name="_Toc472672430"/>
      <w:bookmarkStart w:id="595" w:name="_Toc472679260"/>
      <w:bookmarkStart w:id="596" w:name="_Toc472679881"/>
      <w:bookmarkStart w:id="597" w:name="_Toc472680226"/>
      <w:bookmarkStart w:id="598" w:name="_Toc473893044"/>
      <w:bookmarkStart w:id="599" w:name="_Toc473893389"/>
      <w:bookmarkStart w:id="600" w:name="_Toc473893734"/>
      <w:r>
        <w:rPr>
          <w:rStyle w:val="CharPartNo"/>
        </w:rPr>
        <w:t>Part 6</w:t>
      </w:r>
      <w:r>
        <w:rPr>
          <w:b w:val="0"/>
        </w:rPr>
        <w:t> </w:t>
      </w:r>
      <w:r>
        <w:t>—</w:t>
      </w:r>
      <w:r>
        <w:rPr>
          <w:b w:val="0"/>
        </w:rPr>
        <w:t> </w:t>
      </w:r>
      <w:r>
        <w:rPr>
          <w:rStyle w:val="CharPartText"/>
        </w:rPr>
        <w:t>Powers</w:t>
      </w:r>
      <w:bookmarkEnd w:id="591"/>
      <w:bookmarkEnd w:id="592"/>
      <w:bookmarkEnd w:id="593"/>
      <w:bookmarkEnd w:id="594"/>
      <w:bookmarkEnd w:id="595"/>
      <w:bookmarkEnd w:id="596"/>
      <w:bookmarkEnd w:id="597"/>
      <w:bookmarkEnd w:id="598"/>
      <w:bookmarkEnd w:id="599"/>
      <w:bookmarkEnd w:id="600"/>
    </w:p>
    <w:p>
      <w:pPr>
        <w:pStyle w:val="Footnoteheading"/>
        <w:tabs>
          <w:tab w:val="clear" w:pos="879"/>
          <w:tab w:val="left" w:pos="896"/>
        </w:tabs>
      </w:pPr>
      <w:r>
        <w:tab/>
        <w:t>[Heading inserted by No. 78 of 2003 s. 17.]</w:t>
      </w:r>
    </w:p>
    <w:p>
      <w:pPr>
        <w:pStyle w:val="Heading3"/>
      </w:pPr>
      <w:bookmarkStart w:id="601" w:name="_Toc425842792"/>
      <w:bookmarkStart w:id="602" w:name="_Toc426107905"/>
      <w:bookmarkStart w:id="603" w:name="_Toc462413631"/>
      <w:bookmarkStart w:id="604" w:name="_Toc472672431"/>
      <w:bookmarkStart w:id="605" w:name="_Toc472679261"/>
      <w:bookmarkStart w:id="606" w:name="_Toc472679882"/>
      <w:bookmarkStart w:id="607" w:name="_Toc472680227"/>
      <w:bookmarkStart w:id="608" w:name="_Toc473893045"/>
      <w:bookmarkStart w:id="609" w:name="_Toc473893390"/>
      <w:bookmarkStart w:id="610" w:name="_Toc473893735"/>
      <w:r>
        <w:rPr>
          <w:rStyle w:val="CharDivNo"/>
        </w:rPr>
        <w:t>Division 1</w:t>
      </w:r>
      <w:r>
        <w:t> — </w:t>
      </w:r>
      <w:r>
        <w:rPr>
          <w:rStyle w:val="CharDivText"/>
        </w:rPr>
        <w:t>Particular powers to require information or attendance</w:t>
      </w:r>
      <w:bookmarkEnd w:id="601"/>
      <w:bookmarkEnd w:id="602"/>
      <w:bookmarkEnd w:id="603"/>
      <w:bookmarkEnd w:id="604"/>
      <w:bookmarkEnd w:id="605"/>
      <w:bookmarkEnd w:id="606"/>
      <w:bookmarkEnd w:id="607"/>
      <w:bookmarkEnd w:id="608"/>
      <w:bookmarkEnd w:id="609"/>
      <w:bookmarkEnd w:id="610"/>
    </w:p>
    <w:p>
      <w:pPr>
        <w:pStyle w:val="Footnoteheading"/>
        <w:tabs>
          <w:tab w:val="clear" w:pos="879"/>
          <w:tab w:val="left" w:pos="896"/>
        </w:tabs>
      </w:pPr>
      <w:r>
        <w:tab/>
        <w:t>[Heading inserted by No. 78 of 2003 s. 17.]</w:t>
      </w:r>
    </w:p>
    <w:p>
      <w:pPr>
        <w:pStyle w:val="Heading5"/>
      </w:pPr>
      <w:bookmarkStart w:id="611" w:name="_Toc473893736"/>
      <w:bookmarkStart w:id="612" w:name="_Toc462413632"/>
      <w:r>
        <w:rPr>
          <w:rStyle w:val="CharSectno"/>
        </w:rPr>
        <w:t>94</w:t>
      </w:r>
      <w:r>
        <w:t>.</w:t>
      </w:r>
      <w:r>
        <w:tab/>
        <w:t>Power to obtain information from public authority or officer</w:t>
      </w:r>
      <w:bookmarkEnd w:id="611"/>
      <w:bookmarkEnd w:id="612"/>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613" w:name="_Toc473893737"/>
      <w:bookmarkStart w:id="614" w:name="_Toc462413633"/>
      <w:r>
        <w:rPr>
          <w:rStyle w:val="CharSectno"/>
        </w:rPr>
        <w:t>95</w:t>
      </w:r>
      <w:r>
        <w:t>.</w:t>
      </w:r>
      <w:r>
        <w:tab/>
        <w:t>Power to obtain documents and other things</w:t>
      </w:r>
      <w:bookmarkEnd w:id="613"/>
      <w:bookmarkEnd w:id="614"/>
    </w:p>
    <w:p>
      <w:pPr>
        <w:pStyle w:val="Subsection"/>
        <w:spacing w:before="120"/>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spacing w:before="120"/>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Next w:val="0"/>
        <w:keepLines w:val="0"/>
        <w:spacing w:before="180"/>
      </w:pPr>
      <w:bookmarkStart w:id="615" w:name="_Toc473893738"/>
      <w:bookmarkStart w:id="616" w:name="_Toc462413634"/>
      <w:r>
        <w:rPr>
          <w:rStyle w:val="CharSectno"/>
        </w:rPr>
        <w:t>96</w:t>
      </w:r>
      <w:r>
        <w:t>.</w:t>
      </w:r>
      <w:r>
        <w:tab/>
        <w:t>Power to summon witnesses to attend and produce things</w:t>
      </w:r>
      <w:bookmarkEnd w:id="615"/>
      <w:bookmarkEnd w:id="616"/>
    </w:p>
    <w:p>
      <w:pPr>
        <w:pStyle w:val="Subsection"/>
        <w:spacing w:before="120"/>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617" w:name="_Toc473893739"/>
      <w:bookmarkStart w:id="618" w:name="_Toc462413635"/>
      <w:r>
        <w:rPr>
          <w:rStyle w:val="CharSectno"/>
        </w:rPr>
        <w:t>97</w:t>
      </w:r>
      <w:r>
        <w:t>.</w:t>
      </w:r>
      <w:r>
        <w:tab/>
        <w:t>Witnesses to attend until released</w:t>
      </w:r>
      <w:bookmarkEnd w:id="617"/>
      <w:bookmarkEnd w:id="618"/>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619" w:name="_Toc473893740"/>
      <w:bookmarkStart w:id="620" w:name="_Toc462413636"/>
      <w:r>
        <w:rPr>
          <w:rStyle w:val="CharSectno"/>
        </w:rPr>
        <w:t>98</w:t>
      </w:r>
      <w:r>
        <w:t>.</w:t>
      </w:r>
      <w:r>
        <w:tab/>
        <w:t>Powers in relation to things produced</w:t>
      </w:r>
      <w:bookmarkEnd w:id="619"/>
      <w:bookmarkEnd w:id="620"/>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spacing w:before="180"/>
      </w:pPr>
      <w:bookmarkStart w:id="621" w:name="_Toc473893741"/>
      <w:bookmarkStart w:id="622" w:name="_Toc462413637"/>
      <w:r>
        <w:rPr>
          <w:rStyle w:val="CharSectno"/>
        </w:rPr>
        <w:t>99</w:t>
      </w:r>
      <w:r>
        <w:t>.</w:t>
      </w:r>
      <w:r>
        <w:tab/>
        <w:t>Notation on notice or summons to restrict disclosure</w:t>
      </w:r>
      <w:bookmarkEnd w:id="621"/>
      <w:bookmarkEnd w:id="622"/>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spacing w:before="120"/>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spacing w:before="200"/>
      </w:pPr>
      <w:bookmarkStart w:id="623" w:name="_Toc425842799"/>
      <w:bookmarkStart w:id="624" w:name="_Toc426107912"/>
      <w:bookmarkStart w:id="625" w:name="_Toc462413638"/>
      <w:bookmarkStart w:id="626" w:name="_Toc472672438"/>
      <w:bookmarkStart w:id="627" w:name="_Toc472679268"/>
      <w:bookmarkStart w:id="628" w:name="_Toc472679889"/>
      <w:bookmarkStart w:id="629" w:name="_Toc472680234"/>
      <w:bookmarkStart w:id="630" w:name="_Toc473893052"/>
      <w:bookmarkStart w:id="631" w:name="_Toc473893397"/>
      <w:bookmarkStart w:id="632" w:name="_Toc473893742"/>
      <w:r>
        <w:rPr>
          <w:rStyle w:val="CharDivNo"/>
        </w:rPr>
        <w:t>Division 2</w:t>
      </w:r>
      <w:r>
        <w:t> — </w:t>
      </w:r>
      <w:r>
        <w:rPr>
          <w:rStyle w:val="CharDivText"/>
        </w:rPr>
        <w:t>Entry, search and related matters</w:t>
      </w:r>
      <w:bookmarkEnd w:id="623"/>
      <w:bookmarkEnd w:id="624"/>
      <w:bookmarkEnd w:id="625"/>
      <w:bookmarkEnd w:id="626"/>
      <w:bookmarkEnd w:id="627"/>
      <w:bookmarkEnd w:id="628"/>
      <w:bookmarkEnd w:id="629"/>
      <w:bookmarkEnd w:id="630"/>
      <w:bookmarkEnd w:id="631"/>
      <w:bookmarkEnd w:id="632"/>
    </w:p>
    <w:p>
      <w:pPr>
        <w:pStyle w:val="Footnoteheading"/>
        <w:tabs>
          <w:tab w:val="clear" w:pos="879"/>
          <w:tab w:val="left" w:pos="896"/>
        </w:tabs>
        <w:spacing w:before="100"/>
      </w:pPr>
      <w:r>
        <w:tab/>
        <w:t>[Heading inserted by No. 78 of 2003 s. 17.]</w:t>
      </w:r>
    </w:p>
    <w:p>
      <w:pPr>
        <w:pStyle w:val="Heading5"/>
        <w:spacing w:before="180"/>
      </w:pPr>
      <w:bookmarkStart w:id="633" w:name="_Toc473893743"/>
      <w:bookmarkStart w:id="634" w:name="_Toc462413639"/>
      <w:r>
        <w:rPr>
          <w:rStyle w:val="CharSectno"/>
        </w:rPr>
        <w:t>100</w:t>
      </w:r>
      <w:r>
        <w:t>.</w:t>
      </w:r>
      <w:r>
        <w:tab/>
        <w:t>Power to enter and search premises of public authority or officer</w:t>
      </w:r>
      <w:bookmarkEnd w:id="633"/>
      <w:bookmarkEnd w:id="634"/>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serious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 amended by No. 35 of 2014 s. 31.]</w:t>
      </w:r>
    </w:p>
    <w:p>
      <w:pPr>
        <w:pStyle w:val="Heading5"/>
      </w:pPr>
      <w:bookmarkStart w:id="635" w:name="_Toc473893744"/>
      <w:bookmarkStart w:id="636" w:name="_Toc462413640"/>
      <w:r>
        <w:rPr>
          <w:rStyle w:val="CharSectno"/>
        </w:rPr>
        <w:t>101</w:t>
      </w:r>
      <w:r>
        <w:t>.</w:t>
      </w:r>
      <w:r>
        <w:tab/>
        <w:t>Search warrants, issue and effect of</w:t>
      </w:r>
      <w:bookmarkEnd w:id="635"/>
      <w:bookmarkEnd w:id="636"/>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by No. 78 of 2003 s. 17; amended by No. 59 of 2006 s. 10.]</w:t>
      </w:r>
    </w:p>
    <w:p>
      <w:pPr>
        <w:pStyle w:val="Heading3"/>
      </w:pPr>
      <w:bookmarkStart w:id="637" w:name="_Toc425842802"/>
      <w:bookmarkStart w:id="638" w:name="_Toc426107915"/>
      <w:bookmarkStart w:id="639" w:name="_Toc462413641"/>
      <w:bookmarkStart w:id="640" w:name="_Toc472672441"/>
      <w:bookmarkStart w:id="641" w:name="_Toc472679271"/>
      <w:bookmarkStart w:id="642" w:name="_Toc472679892"/>
      <w:bookmarkStart w:id="643" w:name="_Toc472680237"/>
      <w:bookmarkStart w:id="644" w:name="_Toc473893055"/>
      <w:bookmarkStart w:id="645" w:name="_Toc473893400"/>
      <w:bookmarkStart w:id="646" w:name="_Toc473893745"/>
      <w:r>
        <w:rPr>
          <w:rStyle w:val="CharDivNo"/>
        </w:rPr>
        <w:t>Division 3</w:t>
      </w:r>
      <w:r>
        <w:t> — </w:t>
      </w:r>
      <w:r>
        <w:rPr>
          <w:rStyle w:val="CharDivText"/>
        </w:rPr>
        <w:t>Assumed identities</w:t>
      </w:r>
      <w:bookmarkEnd w:id="637"/>
      <w:bookmarkEnd w:id="638"/>
      <w:bookmarkEnd w:id="639"/>
      <w:bookmarkEnd w:id="640"/>
      <w:bookmarkEnd w:id="641"/>
      <w:bookmarkEnd w:id="642"/>
      <w:bookmarkEnd w:id="643"/>
      <w:bookmarkEnd w:id="644"/>
      <w:bookmarkEnd w:id="645"/>
      <w:bookmarkEnd w:id="646"/>
    </w:p>
    <w:p>
      <w:pPr>
        <w:pStyle w:val="Footnoteheading"/>
        <w:tabs>
          <w:tab w:val="clear" w:pos="879"/>
          <w:tab w:val="left" w:pos="896"/>
        </w:tabs>
      </w:pPr>
      <w:r>
        <w:tab/>
        <w:t>[Heading inserted by No. 78 of 2003 s. 17.]</w:t>
      </w:r>
    </w:p>
    <w:p>
      <w:pPr>
        <w:pStyle w:val="Heading5"/>
      </w:pPr>
      <w:bookmarkStart w:id="647" w:name="_Toc473893746"/>
      <w:bookmarkStart w:id="648" w:name="_Toc462413642"/>
      <w:r>
        <w:rPr>
          <w:rStyle w:val="CharSectno"/>
        </w:rPr>
        <w:t>102</w:t>
      </w:r>
      <w:r>
        <w:t>.</w:t>
      </w:r>
      <w:r>
        <w:tab/>
        <w:t>Terms used</w:t>
      </w:r>
      <w:bookmarkEnd w:id="647"/>
      <w:bookmarkEnd w:id="648"/>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649" w:name="_Toc473893747"/>
      <w:bookmarkStart w:id="650" w:name="_Toc462413643"/>
      <w:r>
        <w:rPr>
          <w:rStyle w:val="CharSectno"/>
        </w:rPr>
        <w:t>103</w:t>
      </w:r>
      <w:r>
        <w:t>.</w:t>
      </w:r>
      <w:r>
        <w:tab/>
        <w:t>Assumed identity approval, grant of</w:t>
      </w:r>
      <w:bookmarkEnd w:id="649"/>
      <w:bookmarkEnd w:id="650"/>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651" w:name="_Toc473893748"/>
      <w:bookmarkStart w:id="652" w:name="_Toc462413644"/>
      <w:r>
        <w:rPr>
          <w:rStyle w:val="CharSectno"/>
        </w:rPr>
        <w:t>104</w:t>
      </w:r>
      <w:r>
        <w:t>.</w:t>
      </w:r>
      <w:r>
        <w:tab/>
        <w:t>What assumed identity approval authorises</w:t>
      </w:r>
      <w:bookmarkEnd w:id="651"/>
      <w:bookmarkEnd w:id="652"/>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ind w:left="890" w:hanging="890"/>
      </w:pPr>
      <w:r>
        <w:tab/>
        <w:t>[Section 104 inserted by No. 78 of 2003 s. 17.]</w:t>
      </w:r>
    </w:p>
    <w:p>
      <w:pPr>
        <w:pStyle w:val="Heading5"/>
      </w:pPr>
      <w:bookmarkStart w:id="653" w:name="_Toc473893749"/>
      <w:bookmarkStart w:id="654" w:name="_Toc462413645"/>
      <w:r>
        <w:rPr>
          <w:rStyle w:val="CharSectno"/>
        </w:rPr>
        <w:t>105</w:t>
      </w:r>
      <w:r>
        <w:t>.</w:t>
      </w:r>
      <w:r>
        <w:tab/>
        <w:t>Issuing evidence of assumed identity</w:t>
      </w:r>
      <w:bookmarkEnd w:id="653"/>
      <w:bookmarkEnd w:id="654"/>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655" w:name="_Toc473893750"/>
      <w:bookmarkStart w:id="656" w:name="_Toc462413646"/>
      <w:r>
        <w:rPr>
          <w:rStyle w:val="CharSectno"/>
        </w:rPr>
        <w:t>106</w:t>
      </w:r>
      <w:r>
        <w:t>.</w:t>
      </w:r>
      <w:r>
        <w:tab/>
        <w:t>Court orders as to entries in register</w:t>
      </w:r>
      <w:bookmarkEnd w:id="655"/>
      <w:bookmarkEnd w:id="656"/>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80"/>
      </w:pPr>
      <w:bookmarkStart w:id="657" w:name="_Toc473893751"/>
      <w:bookmarkStart w:id="658" w:name="_Toc462413647"/>
      <w:r>
        <w:rPr>
          <w:rStyle w:val="CharSectno"/>
        </w:rPr>
        <w:t>107</w:t>
      </w:r>
      <w:r>
        <w:t>.</w:t>
      </w:r>
      <w:r>
        <w:tab/>
        <w:t>Hearing of application under s. 106 or 109</w:t>
      </w:r>
      <w:bookmarkEnd w:id="657"/>
      <w:bookmarkEnd w:id="658"/>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80"/>
      </w:pPr>
      <w:bookmarkStart w:id="659" w:name="_Toc473893752"/>
      <w:bookmarkStart w:id="660" w:name="_Toc462413648"/>
      <w:r>
        <w:rPr>
          <w:rStyle w:val="CharSectno"/>
        </w:rPr>
        <w:t>108</w:t>
      </w:r>
      <w:r>
        <w:t>.</w:t>
      </w:r>
      <w:r>
        <w:tab/>
        <w:t>Cancellation of evidence of assumed identity</w:t>
      </w:r>
      <w:bookmarkEnd w:id="659"/>
      <w:bookmarkEnd w:id="660"/>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spacing w:before="180"/>
      </w:pPr>
      <w:bookmarkStart w:id="661" w:name="_Toc473893753"/>
      <w:bookmarkStart w:id="662" w:name="_Toc462413649"/>
      <w:r>
        <w:rPr>
          <w:rStyle w:val="CharSectno"/>
        </w:rPr>
        <w:t>109</w:t>
      </w:r>
      <w:r>
        <w:t>.</w:t>
      </w:r>
      <w:r>
        <w:tab/>
        <w:t>Cancellation of approval affecting entry in register</w:t>
      </w:r>
      <w:bookmarkEnd w:id="661"/>
      <w:bookmarkEnd w:id="662"/>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663" w:name="_Toc473893754"/>
      <w:bookmarkStart w:id="664" w:name="_Toc462413650"/>
      <w:r>
        <w:rPr>
          <w:rStyle w:val="CharSectno"/>
        </w:rPr>
        <w:t>110</w:t>
      </w:r>
      <w:r>
        <w:t>.</w:t>
      </w:r>
      <w:r>
        <w:tab/>
        <w:t>Court may order entries in register to be cancelled</w:t>
      </w:r>
      <w:bookmarkEnd w:id="663"/>
      <w:bookmarkEnd w:id="664"/>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665" w:name="_Toc473893755"/>
      <w:bookmarkStart w:id="666" w:name="_Toc462413651"/>
      <w:r>
        <w:rPr>
          <w:rStyle w:val="CharSectno"/>
        </w:rPr>
        <w:t>111</w:t>
      </w:r>
      <w:r>
        <w:t>.</w:t>
      </w:r>
      <w:r>
        <w:tab/>
        <w:t>Protection from liability</w:t>
      </w:r>
      <w:bookmarkEnd w:id="665"/>
      <w:bookmarkEnd w:id="666"/>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667" w:name="_Toc473893756"/>
      <w:bookmarkStart w:id="668" w:name="_Toc462413652"/>
      <w:r>
        <w:rPr>
          <w:rStyle w:val="CharSectno"/>
        </w:rPr>
        <w:t>112</w:t>
      </w:r>
      <w:r>
        <w:t>.</w:t>
      </w:r>
      <w:r>
        <w:tab/>
        <w:t>Commission to indemnify agencies and officers</w:t>
      </w:r>
      <w:bookmarkEnd w:id="667"/>
      <w:bookmarkEnd w:id="668"/>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669" w:name="_Toc473893757"/>
      <w:bookmarkStart w:id="670" w:name="_Toc462413653"/>
      <w:r>
        <w:rPr>
          <w:rStyle w:val="CharSectno"/>
        </w:rPr>
        <w:t>113</w:t>
      </w:r>
      <w:r>
        <w:t>.</w:t>
      </w:r>
      <w:r>
        <w:tab/>
        <w:t>Operation of s. 111 and 112 limited in some cases</w:t>
      </w:r>
      <w:bookmarkEnd w:id="669"/>
      <w:bookmarkEnd w:id="670"/>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671" w:name="_Toc473893758"/>
      <w:bookmarkStart w:id="672" w:name="_Toc462413654"/>
      <w:r>
        <w:rPr>
          <w:rStyle w:val="CharSectno"/>
        </w:rPr>
        <w:t>114</w:t>
      </w:r>
      <w:r>
        <w:t>.</w:t>
      </w:r>
      <w:r>
        <w:tab/>
        <w:t>Identity of certain officers not to be disclosed in legal proceedings</w:t>
      </w:r>
      <w:bookmarkEnd w:id="671"/>
      <w:bookmarkEnd w:id="672"/>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2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keepNext w:val="0"/>
        <w:keepLines w:val="0"/>
        <w:spacing w:before="180"/>
      </w:pPr>
      <w:bookmarkStart w:id="673" w:name="_Toc473893759"/>
      <w:bookmarkStart w:id="674" w:name="_Toc462413655"/>
      <w:r>
        <w:rPr>
          <w:rStyle w:val="CharSectno"/>
        </w:rPr>
        <w:t>115</w:t>
      </w:r>
      <w:r>
        <w:t>.</w:t>
      </w:r>
      <w:r>
        <w:tab/>
        <w:t>Information about identity not to be disclosed</w:t>
      </w:r>
      <w:bookmarkEnd w:id="673"/>
      <w:bookmarkEnd w:id="674"/>
    </w:p>
    <w:p>
      <w:pPr>
        <w:pStyle w:val="Subsection"/>
        <w:spacing w:before="12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spacing w:before="100"/>
      </w:pPr>
      <w:r>
        <w:tab/>
        <w:t>Penalty: Imprisonment for 5 years and a fine of $100 000.</w:t>
      </w:r>
    </w:p>
    <w:p>
      <w:pPr>
        <w:pStyle w:val="Footnotesection"/>
        <w:ind w:left="890" w:hanging="890"/>
      </w:pPr>
      <w:r>
        <w:tab/>
        <w:t>[Section 115 inserted by No. 78 of 2003 s. 17.]</w:t>
      </w:r>
    </w:p>
    <w:p>
      <w:pPr>
        <w:pStyle w:val="Heading5"/>
        <w:spacing w:before="240"/>
      </w:pPr>
      <w:bookmarkStart w:id="675" w:name="_Toc473893760"/>
      <w:bookmarkStart w:id="676" w:name="_Toc462413656"/>
      <w:r>
        <w:rPr>
          <w:rStyle w:val="CharSectno"/>
        </w:rPr>
        <w:t>116</w:t>
      </w:r>
      <w:r>
        <w:t>.</w:t>
      </w:r>
      <w:r>
        <w:tab/>
        <w:t>Misuse of assumed identity</w:t>
      </w:r>
      <w:bookmarkEnd w:id="675"/>
      <w:bookmarkEnd w:id="676"/>
    </w:p>
    <w:p>
      <w:pPr>
        <w:pStyle w:val="Subsection"/>
        <w:spacing w:before="18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80"/>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ind w:left="890" w:hanging="890"/>
      </w:pPr>
      <w:r>
        <w:tab/>
        <w:t>[Section 116 inserted by No. 78 of 2003 s. 17.]</w:t>
      </w:r>
    </w:p>
    <w:p>
      <w:pPr>
        <w:pStyle w:val="Heading5"/>
        <w:spacing w:before="240"/>
      </w:pPr>
      <w:bookmarkStart w:id="677" w:name="_Toc473893761"/>
      <w:bookmarkStart w:id="678" w:name="_Toc462413657"/>
      <w:r>
        <w:rPr>
          <w:rStyle w:val="CharSectno"/>
        </w:rPr>
        <w:t>117</w:t>
      </w:r>
      <w:r>
        <w:t>.</w:t>
      </w:r>
      <w:r>
        <w:tab/>
        <w:t>Admissibility of certain Commission documents</w:t>
      </w:r>
      <w:bookmarkEnd w:id="677"/>
      <w:bookmarkEnd w:id="678"/>
    </w:p>
    <w:p>
      <w:pPr>
        <w:pStyle w:val="Subsection"/>
        <w:spacing w:before="180"/>
      </w:pPr>
      <w:r>
        <w:tab/>
        <w:t>(1)</w:t>
      </w:r>
      <w:r>
        <w:tab/>
        <w:t>A document purporting to be an approval granted by the Commission is admissible in any legal proceedings.</w:t>
      </w:r>
    </w:p>
    <w:p>
      <w:pPr>
        <w:pStyle w:val="Subsection"/>
        <w:spacing w:before="180"/>
      </w:pPr>
      <w:r>
        <w:tab/>
        <w:t>(2)</w:t>
      </w:r>
      <w:r>
        <w:tab/>
        <w:t xml:space="preserve">A certificate signed by the Commission stating that — </w:t>
      </w:r>
    </w:p>
    <w:p>
      <w:pPr>
        <w:pStyle w:val="Indenta"/>
        <w:spacing w:before="100"/>
      </w:pPr>
      <w:r>
        <w:tab/>
        <w:t>(a)</w:t>
      </w:r>
      <w:r>
        <w:tab/>
        <w:t>a person is authorised by this Division to prepare and provide a specified document or make a specified entry; or</w:t>
      </w:r>
    </w:p>
    <w:p>
      <w:pPr>
        <w:pStyle w:val="Indenta"/>
        <w:spacing w:before="100"/>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679" w:name="_Toc473893762"/>
      <w:bookmarkStart w:id="680" w:name="_Toc462413658"/>
      <w:r>
        <w:rPr>
          <w:rStyle w:val="CharSectno"/>
        </w:rPr>
        <w:t>118</w:t>
      </w:r>
      <w:r>
        <w:t>.</w:t>
      </w:r>
      <w:r>
        <w:tab/>
        <w:t>Assumed identity approvals to be reviewed periodically</w:t>
      </w:r>
      <w:bookmarkEnd w:id="679"/>
      <w:bookmarkEnd w:id="680"/>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681" w:name="_Toc425842820"/>
      <w:bookmarkStart w:id="682" w:name="_Toc426107933"/>
      <w:bookmarkStart w:id="683" w:name="_Toc462413659"/>
      <w:bookmarkStart w:id="684" w:name="_Toc472672459"/>
      <w:bookmarkStart w:id="685" w:name="_Toc472679289"/>
      <w:bookmarkStart w:id="686" w:name="_Toc472679910"/>
      <w:bookmarkStart w:id="687" w:name="_Toc472680255"/>
      <w:bookmarkStart w:id="688" w:name="_Toc473893073"/>
      <w:bookmarkStart w:id="689" w:name="_Toc473893418"/>
      <w:bookmarkStart w:id="690" w:name="_Toc473893763"/>
      <w:r>
        <w:rPr>
          <w:rStyle w:val="CharDivNo"/>
        </w:rPr>
        <w:t>Division 4</w:t>
      </w:r>
      <w:r>
        <w:t> — </w:t>
      </w:r>
      <w:r>
        <w:rPr>
          <w:rStyle w:val="CharDivText"/>
        </w:rPr>
        <w:t>Controlled operations and integrity testing programmes</w:t>
      </w:r>
      <w:bookmarkEnd w:id="681"/>
      <w:bookmarkEnd w:id="682"/>
      <w:bookmarkEnd w:id="683"/>
      <w:bookmarkEnd w:id="684"/>
      <w:bookmarkEnd w:id="685"/>
      <w:bookmarkEnd w:id="686"/>
      <w:bookmarkEnd w:id="687"/>
      <w:bookmarkEnd w:id="688"/>
      <w:bookmarkEnd w:id="689"/>
      <w:bookmarkEnd w:id="690"/>
    </w:p>
    <w:p>
      <w:pPr>
        <w:pStyle w:val="Footnoteheading"/>
        <w:tabs>
          <w:tab w:val="clear" w:pos="879"/>
          <w:tab w:val="left" w:pos="896"/>
        </w:tabs>
      </w:pPr>
      <w:r>
        <w:tab/>
        <w:t>[Heading inserted by No. 78 of 2003 s. 17.]</w:t>
      </w:r>
    </w:p>
    <w:p>
      <w:pPr>
        <w:pStyle w:val="Heading5"/>
      </w:pPr>
      <w:bookmarkStart w:id="691" w:name="_Toc473893764"/>
      <w:bookmarkStart w:id="692" w:name="_Toc462413660"/>
      <w:r>
        <w:rPr>
          <w:rStyle w:val="CharSectno"/>
        </w:rPr>
        <w:t>119</w:t>
      </w:r>
      <w:r>
        <w:t>.</w:t>
      </w:r>
      <w:r>
        <w:tab/>
        <w:t>Terms used</w:t>
      </w:r>
      <w:bookmarkEnd w:id="691"/>
      <w:bookmarkEnd w:id="692"/>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for the purposes of an investigation; and</w:t>
      </w:r>
    </w:p>
    <w:p>
      <w:pPr>
        <w:pStyle w:val="Defpara"/>
      </w:pPr>
      <w:r>
        <w:tab/>
        <w:t>(b)</w:t>
      </w:r>
      <w:r>
        <w:tab/>
        <w:t>involves or may involve a controlled activity;</w:t>
      </w:r>
    </w:p>
    <w:p>
      <w:pPr>
        <w:pStyle w:val="Defstart"/>
        <w:keepNex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 amended by No. 35 of 2014 s. 23.]</w:t>
      </w:r>
    </w:p>
    <w:p>
      <w:pPr>
        <w:pStyle w:val="Heading5"/>
      </w:pPr>
      <w:bookmarkStart w:id="693" w:name="_Toc473893765"/>
      <w:bookmarkStart w:id="694" w:name="_Toc462413661"/>
      <w:r>
        <w:rPr>
          <w:rStyle w:val="CharSectno"/>
        </w:rPr>
        <w:t>120</w:t>
      </w:r>
      <w:r>
        <w:t>.</w:t>
      </w:r>
      <w:r>
        <w:tab/>
        <w:t>Division does not limit certain court powers</w:t>
      </w:r>
      <w:bookmarkEnd w:id="693"/>
      <w:bookmarkEnd w:id="694"/>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695" w:name="_Toc473893766"/>
      <w:bookmarkStart w:id="696" w:name="_Toc462413662"/>
      <w:r>
        <w:rPr>
          <w:rStyle w:val="CharSectno"/>
        </w:rPr>
        <w:t>121</w:t>
      </w:r>
      <w:r>
        <w:t>.</w:t>
      </w:r>
      <w:r>
        <w:tab/>
        <w:t>Controlled operation, grant of authority to conduct</w:t>
      </w:r>
      <w:bookmarkEnd w:id="695"/>
      <w:bookmarkEnd w:id="696"/>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8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80"/>
      </w:pPr>
      <w:r>
        <w:tab/>
      </w:r>
      <w:r>
        <w:tab/>
        <w:t>so long as the assumed identity, code name or code number can be matched to the person’s identity by reference to documentation kept by the Commission.</w:t>
      </w:r>
    </w:p>
    <w:p>
      <w:pPr>
        <w:pStyle w:val="Subsection"/>
        <w:spacing w:before="180"/>
      </w:pPr>
      <w:r>
        <w:tab/>
        <w:t>(5)</w:t>
      </w:r>
      <w:r>
        <w:tab/>
        <w:t>For the purposes of subsection (3)(c) a controlled operation may be identified by reference to a plan of the controlled operation held by the Commission.</w:t>
      </w:r>
    </w:p>
    <w:p>
      <w:pPr>
        <w:pStyle w:val="Subsection"/>
        <w:spacing w:before="180"/>
      </w:pPr>
      <w:r>
        <w:tab/>
        <w:t>(6)</w:t>
      </w:r>
      <w:r>
        <w:tab/>
        <w:t>The authority may be granted subject to conditions specified in the authority.</w:t>
      </w:r>
    </w:p>
    <w:p>
      <w:pPr>
        <w:pStyle w:val="Subsection"/>
        <w:keepNext/>
        <w:keepLines/>
        <w:spacing w:before="18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spacing w:before="120"/>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80"/>
      </w:pPr>
      <w:bookmarkStart w:id="697" w:name="_Toc473893767"/>
      <w:bookmarkStart w:id="698" w:name="_Toc462413663"/>
      <w:r>
        <w:rPr>
          <w:rStyle w:val="CharSectno"/>
        </w:rPr>
        <w:t>122</w:t>
      </w:r>
      <w:r>
        <w:t>.</w:t>
      </w:r>
      <w:r>
        <w:tab/>
        <w:t>Limits as to what may be done in, granting authority for, or who may take part in, controlled operation</w:t>
      </w:r>
      <w:bookmarkEnd w:id="697"/>
      <w:bookmarkEnd w:id="698"/>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699" w:name="_Toc473893768"/>
      <w:bookmarkStart w:id="700" w:name="_Toc462413664"/>
      <w:r>
        <w:rPr>
          <w:rStyle w:val="CharSectno"/>
        </w:rPr>
        <w:t>123</w:t>
      </w:r>
      <w:r>
        <w:t>.</w:t>
      </w:r>
      <w:r>
        <w:tab/>
        <w:t>Integrity testing programme, grant of authority to conduct</w:t>
      </w:r>
      <w:bookmarkEnd w:id="699"/>
      <w:bookmarkEnd w:id="700"/>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keepNext w:val="0"/>
        <w:keepLines w:val="0"/>
        <w:pageBreakBefore/>
        <w:spacing w:before="0"/>
      </w:pPr>
      <w:bookmarkStart w:id="701" w:name="_Toc473893769"/>
      <w:bookmarkStart w:id="702" w:name="_Toc462413665"/>
      <w:r>
        <w:rPr>
          <w:rStyle w:val="CharSectno"/>
        </w:rPr>
        <w:t>124</w:t>
      </w:r>
      <w:r>
        <w:t>.</w:t>
      </w:r>
      <w:r>
        <w:tab/>
        <w:t>Varying  authority</w:t>
      </w:r>
      <w:bookmarkEnd w:id="701"/>
      <w:bookmarkEnd w:id="702"/>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703" w:name="_Toc473893770"/>
      <w:bookmarkStart w:id="704" w:name="_Toc462413666"/>
      <w:r>
        <w:rPr>
          <w:rStyle w:val="CharSectno"/>
        </w:rPr>
        <w:t>125</w:t>
      </w:r>
      <w:r>
        <w:t>.</w:t>
      </w:r>
      <w:r>
        <w:tab/>
        <w:t>Cancelling authority</w:t>
      </w:r>
      <w:bookmarkEnd w:id="703"/>
      <w:bookmarkEnd w:id="704"/>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by No. 78 of 2003 s. 17.]</w:t>
      </w:r>
    </w:p>
    <w:p>
      <w:pPr>
        <w:pStyle w:val="Heading5"/>
      </w:pPr>
      <w:bookmarkStart w:id="705" w:name="_Toc473893771"/>
      <w:bookmarkStart w:id="706" w:name="_Toc462413667"/>
      <w:r>
        <w:rPr>
          <w:rStyle w:val="CharSectno"/>
        </w:rPr>
        <w:t>126</w:t>
      </w:r>
      <w:r>
        <w:t>.</w:t>
      </w:r>
      <w:r>
        <w:tab/>
        <w:t>Effect of authority</w:t>
      </w:r>
      <w:bookmarkEnd w:id="705"/>
      <w:bookmarkEnd w:id="706"/>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by No. 78 of 2003 s. 17.]</w:t>
      </w:r>
    </w:p>
    <w:p>
      <w:pPr>
        <w:pStyle w:val="Heading5"/>
      </w:pPr>
      <w:bookmarkStart w:id="707" w:name="_Toc473893772"/>
      <w:bookmarkStart w:id="708" w:name="_Toc462413668"/>
      <w:r>
        <w:rPr>
          <w:rStyle w:val="CharSectno"/>
        </w:rPr>
        <w:t>127</w:t>
      </w:r>
      <w:r>
        <w:t>.</w:t>
      </w:r>
      <w:r>
        <w:tab/>
        <w:t>Defect in authority</w:t>
      </w:r>
      <w:bookmarkEnd w:id="707"/>
      <w:bookmarkEnd w:id="708"/>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by No. 78 of 2003 s. 17.]</w:t>
      </w:r>
    </w:p>
    <w:p>
      <w:pPr>
        <w:pStyle w:val="Heading5"/>
        <w:spacing w:before="200"/>
      </w:pPr>
      <w:bookmarkStart w:id="709" w:name="_Toc473893773"/>
      <w:bookmarkStart w:id="710" w:name="_Toc462413669"/>
      <w:r>
        <w:rPr>
          <w:rStyle w:val="CharSectno"/>
        </w:rPr>
        <w:t>128</w:t>
      </w:r>
      <w:r>
        <w:t>.</w:t>
      </w:r>
      <w:r>
        <w:tab/>
        <w:t>Protection from criminal responsibility for acts in authorised operation</w:t>
      </w:r>
      <w:bookmarkEnd w:id="709"/>
      <w:bookmarkEnd w:id="710"/>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by No. 78 of 2003 s. 17.]</w:t>
      </w:r>
    </w:p>
    <w:p>
      <w:pPr>
        <w:pStyle w:val="Heading5"/>
      </w:pPr>
      <w:bookmarkStart w:id="711" w:name="_Toc473893774"/>
      <w:bookmarkStart w:id="712" w:name="_Toc462413670"/>
      <w:r>
        <w:rPr>
          <w:rStyle w:val="CharSectno"/>
        </w:rPr>
        <w:t>129</w:t>
      </w:r>
      <w:r>
        <w:t>.</w:t>
      </w:r>
      <w:r>
        <w:tab/>
        <w:t>Indemnity against civil liability for officer participants</w:t>
      </w:r>
      <w:bookmarkEnd w:id="711"/>
      <w:bookmarkEnd w:id="712"/>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713" w:name="_Toc473893775"/>
      <w:bookmarkStart w:id="714" w:name="_Toc462413671"/>
      <w:r>
        <w:rPr>
          <w:rStyle w:val="CharSectno"/>
        </w:rPr>
        <w:t>130</w:t>
      </w:r>
      <w:r>
        <w:t>.</w:t>
      </w:r>
      <w:r>
        <w:tab/>
        <w:t>Requirements to be met to obtain protection from criminal responsibility or indemnity</w:t>
      </w:r>
      <w:bookmarkEnd w:id="713"/>
      <w:bookmarkEnd w:id="714"/>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by No. 78 of 2003 s. 17.]</w:t>
      </w:r>
    </w:p>
    <w:p>
      <w:pPr>
        <w:pStyle w:val="Heading5"/>
      </w:pPr>
      <w:bookmarkStart w:id="715" w:name="_Toc473893776"/>
      <w:bookmarkStart w:id="716" w:name="_Toc462413672"/>
      <w:r>
        <w:rPr>
          <w:rStyle w:val="CharSectno"/>
        </w:rPr>
        <w:t>131</w:t>
      </w:r>
      <w:r>
        <w:t>.</w:t>
      </w:r>
      <w:r>
        <w:tab/>
        <w:t>Effect of being unaware of variation or cancellation of authority</w:t>
      </w:r>
      <w:bookmarkEnd w:id="715"/>
      <w:bookmarkEnd w:id="716"/>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by No. 78 of 2003 s. 17.]</w:t>
      </w:r>
    </w:p>
    <w:p>
      <w:pPr>
        <w:pStyle w:val="Heading5"/>
      </w:pPr>
      <w:bookmarkStart w:id="717" w:name="_Toc473893777"/>
      <w:bookmarkStart w:id="718" w:name="_Toc462413673"/>
      <w:r>
        <w:rPr>
          <w:rStyle w:val="CharSectno"/>
        </w:rPr>
        <w:t>132</w:t>
      </w:r>
      <w:r>
        <w:t>.</w:t>
      </w:r>
      <w:r>
        <w:tab/>
        <w:t>Protection from criminal responsibility for some ancillary activities</w:t>
      </w:r>
      <w:bookmarkEnd w:id="717"/>
      <w:bookmarkEnd w:id="718"/>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by No. 78 of 2003 s. 17.]</w:t>
      </w:r>
    </w:p>
    <w:p>
      <w:pPr>
        <w:pStyle w:val="Heading5"/>
      </w:pPr>
      <w:bookmarkStart w:id="719" w:name="_Toc473893778"/>
      <w:bookmarkStart w:id="720" w:name="_Toc462413674"/>
      <w:r>
        <w:rPr>
          <w:rStyle w:val="CharSectno"/>
        </w:rPr>
        <w:t>133</w:t>
      </w:r>
      <w:r>
        <w:t>.</w:t>
      </w:r>
      <w:r>
        <w:tab/>
        <w:t>Admissibility of certain Commission documents</w:t>
      </w:r>
      <w:bookmarkEnd w:id="719"/>
      <w:bookmarkEnd w:id="720"/>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by No. 78 of 2003 s. 17.]</w:t>
      </w:r>
    </w:p>
    <w:p>
      <w:pPr>
        <w:pStyle w:val="Heading5"/>
        <w:spacing w:before="180"/>
      </w:pPr>
      <w:bookmarkStart w:id="721" w:name="_Toc473893779"/>
      <w:bookmarkStart w:id="722" w:name="_Toc462413675"/>
      <w:r>
        <w:rPr>
          <w:rStyle w:val="CharSectno"/>
        </w:rPr>
        <w:t>134</w:t>
      </w:r>
      <w:r>
        <w:t>.</w:t>
      </w:r>
      <w:r>
        <w:tab/>
        <w:t>Identity of certain participants not to be disclosed in legal proceedings</w:t>
      </w:r>
      <w:bookmarkEnd w:id="721"/>
      <w:bookmarkEnd w:id="722"/>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723" w:name="_Toc425842837"/>
      <w:bookmarkStart w:id="724" w:name="_Toc426107950"/>
      <w:bookmarkStart w:id="725" w:name="_Toc462413676"/>
      <w:bookmarkStart w:id="726" w:name="_Toc472672476"/>
      <w:bookmarkStart w:id="727" w:name="_Toc472679306"/>
      <w:bookmarkStart w:id="728" w:name="_Toc472679927"/>
      <w:bookmarkStart w:id="729" w:name="_Toc472680272"/>
      <w:bookmarkStart w:id="730" w:name="_Toc473893090"/>
      <w:bookmarkStart w:id="731" w:name="_Toc473893435"/>
      <w:bookmarkStart w:id="732" w:name="_Toc473893780"/>
      <w:r>
        <w:rPr>
          <w:rStyle w:val="CharDivNo"/>
        </w:rPr>
        <w:t>Division 5</w:t>
      </w:r>
      <w:r>
        <w:t> — </w:t>
      </w:r>
      <w:r>
        <w:rPr>
          <w:rStyle w:val="CharDivText"/>
        </w:rPr>
        <w:t>General</w:t>
      </w:r>
      <w:bookmarkEnd w:id="723"/>
      <w:bookmarkEnd w:id="724"/>
      <w:bookmarkEnd w:id="725"/>
      <w:bookmarkEnd w:id="726"/>
      <w:bookmarkEnd w:id="727"/>
      <w:bookmarkEnd w:id="728"/>
      <w:bookmarkEnd w:id="729"/>
      <w:bookmarkEnd w:id="730"/>
      <w:bookmarkEnd w:id="731"/>
      <w:bookmarkEnd w:id="732"/>
    </w:p>
    <w:p>
      <w:pPr>
        <w:pStyle w:val="Footnoteheading"/>
        <w:keepNext/>
        <w:tabs>
          <w:tab w:val="clear" w:pos="879"/>
          <w:tab w:val="left" w:pos="896"/>
        </w:tabs>
      </w:pPr>
      <w:r>
        <w:tab/>
        <w:t>[Heading inserted by No. 78 of 2003 s. 17.]</w:t>
      </w:r>
    </w:p>
    <w:p>
      <w:pPr>
        <w:pStyle w:val="Heading5"/>
      </w:pPr>
      <w:bookmarkStart w:id="733" w:name="_Toc473893781"/>
      <w:bookmarkStart w:id="734" w:name="_Toc462413677"/>
      <w:r>
        <w:rPr>
          <w:rStyle w:val="CharSectno"/>
        </w:rPr>
        <w:t>135</w:t>
      </w:r>
      <w:r>
        <w:t>.</w:t>
      </w:r>
      <w:r>
        <w:tab/>
        <w:t>Law of evidence, application to Commission</w:t>
      </w:r>
      <w:bookmarkEnd w:id="733"/>
      <w:bookmarkEnd w:id="734"/>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735" w:name="_Toc473893782"/>
      <w:bookmarkStart w:id="736" w:name="_Toc462413678"/>
      <w:r>
        <w:rPr>
          <w:rStyle w:val="CharSectno"/>
        </w:rPr>
        <w:t>136</w:t>
      </w:r>
      <w:r>
        <w:t>.</w:t>
      </w:r>
      <w:r>
        <w:tab/>
        <w:t>Ancillary powers of Commission</w:t>
      </w:r>
      <w:bookmarkEnd w:id="735"/>
      <w:bookmarkEnd w:id="73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737" w:name="_Toc425842840"/>
      <w:bookmarkStart w:id="738" w:name="_Toc426107953"/>
      <w:bookmarkStart w:id="739" w:name="_Toc462413679"/>
      <w:bookmarkStart w:id="740" w:name="_Toc472672479"/>
      <w:bookmarkStart w:id="741" w:name="_Toc472679309"/>
      <w:bookmarkStart w:id="742" w:name="_Toc472679930"/>
      <w:bookmarkStart w:id="743" w:name="_Toc472680275"/>
      <w:bookmarkStart w:id="744" w:name="_Toc473893093"/>
      <w:bookmarkStart w:id="745" w:name="_Toc473893438"/>
      <w:bookmarkStart w:id="746" w:name="_Toc473893783"/>
      <w:r>
        <w:rPr>
          <w:rStyle w:val="CharPartNo"/>
        </w:rPr>
        <w:t>Part 7</w:t>
      </w:r>
      <w:r>
        <w:rPr>
          <w:b w:val="0"/>
        </w:rPr>
        <w:t> </w:t>
      </w:r>
      <w:r>
        <w:t>—</w:t>
      </w:r>
      <w:r>
        <w:rPr>
          <w:b w:val="0"/>
        </w:rPr>
        <w:t> </w:t>
      </w:r>
      <w:r>
        <w:rPr>
          <w:rStyle w:val="CharPartText"/>
        </w:rPr>
        <w:t>Examinations and deciding claims of privilege and excuse</w:t>
      </w:r>
      <w:bookmarkEnd w:id="737"/>
      <w:bookmarkEnd w:id="738"/>
      <w:bookmarkEnd w:id="739"/>
      <w:bookmarkEnd w:id="740"/>
      <w:bookmarkEnd w:id="741"/>
      <w:bookmarkEnd w:id="742"/>
      <w:bookmarkEnd w:id="743"/>
      <w:bookmarkEnd w:id="744"/>
      <w:bookmarkEnd w:id="745"/>
      <w:bookmarkEnd w:id="746"/>
    </w:p>
    <w:p>
      <w:pPr>
        <w:pStyle w:val="Footnoteheading"/>
        <w:keepNext/>
        <w:tabs>
          <w:tab w:val="clear" w:pos="879"/>
          <w:tab w:val="left" w:pos="896"/>
        </w:tabs>
      </w:pPr>
      <w:r>
        <w:tab/>
        <w:t>[Heading inserted by No. 78 of 2003 s. 17.]</w:t>
      </w:r>
    </w:p>
    <w:p>
      <w:pPr>
        <w:pStyle w:val="Heading3"/>
      </w:pPr>
      <w:bookmarkStart w:id="747" w:name="_Toc425842841"/>
      <w:bookmarkStart w:id="748" w:name="_Toc426107954"/>
      <w:bookmarkStart w:id="749" w:name="_Toc462413680"/>
      <w:bookmarkStart w:id="750" w:name="_Toc472672480"/>
      <w:bookmarkStart w:id="751" w:name="_Toc472679310"/>
      <w:bookmarkStart w:id="752" w:name="_Toc472679931"/>
      <w:bookmarkStart w:id="753" w:name="_Toc472680276"/>
      <w:bookmarkStart w:id="754" w:name="_Toc473893094"/>
      <w:bookmarkStart w:id="755" w:name="_Toc473893439"/>
      <w:bookmarkStart w:id="756" w:name="_Toc473893784"/>
      <w:r>
        <w:rPr>
          <w:rStyle w:val="CharDivNo"/>
        </w:rPr>
        <w:t>Division 1</w:t>
      </w:r>
      <w:r>
        <w:t> — </w:t>
      </w:r>
      <w:r>
        <w:rPr>
          <w:rStyle w:val="CharDivText"/>
        </w:rPr>
        <w:t>Examinations</w:t>
      </w:r>
      <w:bookmarkEnd w:id="747"/>
      <w:bookmarkEnd w:id="748"/>
      <w:bookmarkEnd w:id="749"/>
      <w:bookmarkEnd w:id="750"/>
      <w:bookmarkEnd w:id="751"/>
      <w:bookmarkEnd w:id="752"/>
      <w:bookmarkEnd w:id="753"/>
      <w:bookmarkEnd w:id="754"/>
      <w:bookmarkEnd w:id="755"/>
      <w:bookmarkEnd w:id="756"/>
    </w:p>
    <w:p>
      <w:pPr>
        <w:pStyle w:val="Footnoteheading"/>
        <w:keepNext/>
        <w:tabs>
          <w:tab w:val="clear" w:pos="879"/>
          <w:tab w:val="left" w:pos="896"/>
        </w:tabs>
      </w:pPr>
      <w:r>
        <w:tab/>
        <w:t>[Heading inserted by No. 78 of 2003 s. 17.]</w:t>
      </w:r>
    </w:p>
    <w:p>
      <w:pPr>
        <w:pStyle w:val="Heading5"/>
      </w:pPr>
      <w:bookmarkStart w:id="757" w:name="_Toc473893785"/>
      <w:bookmarkStart w:id="758" w:name="_Toc462413681"/>
      <w:r>
        <w:rPr>
          <w:rStyle w:val="CharSectno"/>
        </w:rPr>
        <w:t>137</w:t>
      </w:r>
      <w:r>
        <w:t>.</w:t>
      </w:r>
      <w:r>
        <w:tab/>
        <w:t>Commission may conduct examinations</w:t>
      </w:r>
      <w:bookmarkEnd w:id="757"/>
      <w:bookmarkEnd w:id="758"/>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759" w:name="_Toc473893786"/>
      <w:bookmarkStart w:id="760" w:name="_Toc462413682"/>
      <w:r>
        <w:rPr>
          <w:rStyle w:val="CharSectno"/>
        </w:rPr>
        <w:t>138</w:t>
      </w:r>
      <w:r>
        <w:t>.</w:t>
      </w:r>
      <w:r>
        <w:tab/>
        <w:t>Conduct of examinations</w:t>
      </w:r>
      <w:bookmarkEnd w:id="759"/>
      <w:bookmarkEnd w:id="760"/>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761" w:name="_Toc473893787"/>
      <w:bookmarkStart w:id="762" w:name="_Toc462413683"/>
      <w:r>
        <w:rPr>
          <w:rStyle w:val="CharSectno"/>
        </w:rPr>
        <w:t>139</w:t>
      </w:r>
      <w:r>
        <w:t>.</w:t>
      </w:r>
      <w:r>
        <w:tab/>
        <w:t>Examination to be private unless otherwise ordered</w:t>
      </w:r>
      <w:bookmarkEnd w:id="761"/>
      <w:bookmarkEnd w:id="762"/>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763" w:name="_Toc473893788"/>
      <w:bookmarkStart w:id="764" w:name="_Toc462413684"/>
      <w:r>
        <w:rPr>
          <w:rStyle w:val="CharSectno"/>
        </w:rPr>
        <w:t>140</w:t>
      </w:r>
      <w:r>
        <w:t>.</w:t>
      </w:r>
      <w:r>
        <w:tab/>
        <w:t>Public examination, when allowed</w:t>
      </w:r>
      <w:bookmarkEnd w:id="763"/>
      <w:bookmarkEnd w:id="764"/>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765" w:name="_Toc473893789"/>
      <w:bookmarkStart w:id="766" w:name="_Toc462413685"/>
      <w:r>
        <w:rPr>
          <w:rStyle w:val="CharSectno"/>
        </w:rPr>
        <w:t>141</w:t>
      </w:r>
      <w:r>
        <w:t>.</w:t>
      </w:r>
      <w:r>
        <w:tab/>
        <w:t>Power to examine on oath or affirmation</w:t>
      </w:r>
      <w:bookmarkEnd w:id="765"/>
      <w:bookmarkEnd w:id="766"/>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767" w:name="_Toc473893790"/>
      <w:bookmarkStart w:id="768" w:name="_Toc462413686"/>
      <w:r>
        <w:rPr>
          <w:rStyle w:val="CharSectno"/>
        </w:rPr>
        <w:t>142</w:t>
      </w:r>
      <w:r>
        <w:t>.</w:t>
      </w:r>
      <w:r>
        <w:tab/>
        <w:t>Legal representation for witnesses and others</w:t>
      </w:r>
      <w:bookmarkEnd w:id="767"/>
      <w:bookmarkEnd w:id="768"/>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769" w:name="_Toc473893791"/>
      <w:bookmarkStart w:id="770" w:name="_Toc462413687"/>
      <w:r>
        <w:rPr>
          <w:rStyle w:val="CharSectno"/>
        </w:rPr>
        <w:t>143</w:t>
      </w:r>
      <w:r>
        <w:t>.</w:t>
      </w:r>
      <w:r>
        <w:tab/>
        <w:t>Examination of witnesses</w:t>
      </w:r>
      <w:bookmarkEnd w:id="769"/>
      <w:bookmarkEnd w:id="770"/>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771" w:name="_Toc425842849"/>
      <w:bookmarkStart w:id="772" w:name="_Toc426107962"/>
      <w:bookmarkStart w:id="773" w:name="_Toc462413688"/>
      <w:bookmarkStart w:id="774" w:name="_Toc472672488"/>
      <w:bookmarkStart w:id="775" w:name="_Toc472679318"/>
      <w:bookmarkStart w:id="776" w:name="_Toc472679939"/>
      <w:bookmarkStart w:id="777" w:name="_Toc472680284"/>
      <w:bookmarkStart w:id="778" w:name="_Toc473893102"/>
      <w:bookmarkStart w:id="779" w:name="_Toc473893447"/>
      <w:bookmarkStart w:id="780" w:name="_Toc473893792"/>
      <w:r>
        <w:rPr>
          <w:rStyle w:val="CharDivNo"/>
        </w:rPr>
        <w:t>Division 2</w:t>
      </w:r>
      <w:r>
        <w:t> — </w:t>
      </w:r>
      <w:r>
        <w:rPr>
          <w:rStyle w:val="CharDivText"/>
        </w:rPr>
        <w:t>Claims of privilege and reasonable excuse</w:t>
      </w:r>
      <w:bookmarkEnd w:id="771"/>
      <w:bookmarkEnd w:id="772"/>
      <w:bookmarkEnd w:id="773"/>
      <w:bookmarkEnd w:id="774"/>
      <w:bookmarkEnd w:id="775"/>
      <w:bookmarkEnd w:id="776"/>
      <w:bookmarkEnd w:id="777"/>
      <w:bookmarkEnd w:id="778"/>
      <w:bookmarkEnd w:id="779"/>
      <w:bookmarkEnd w:id="780"/>
    </w:p>
    <w:p>
      <w:pPr>
        <w:pStyle w:val="Footnoteheading"/>
        <w:keepNext/>
        <w:tabs>
          <w:tab w:val="clear" w:pos="879"/>
          <w:tab w:val="left" w:pos="896"/>
        </w:tabs>
      </w:pPr>
      <w:r>
        <w:tab/>
        <w:t>[Heading inserted by No. 78 of 2003 s. 17.]</w:t>
      </w:r>
    </w:p>
    <w:p>
      <w:pPr>
        <w:pStyle w:val="Heading5"/>
      </w:pPr>
      <w:bookmarkStart w:id="781" w:name="_Toc473893793"/>
      <w:bookmarkStart w:id="782" w:name="_Toc462413689"/>
      <w:r>
        <w:rPr>
          <w:rStyle w:val="CharSectno"/>
        </w:rPr>
        <w:t>144</w:t>
      </w:r>
      <w:r>
        <w:t>.</w:t>
      </w:r>
      <w:r>
        <w:tab/>
        <w:t>Legal professional privilege</w:t>
      </w:r>
      <w:bookmarkEnd w:id="781"/>
      <w:bookmarkEnd w:id="782"/>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783" w:name="_Toc473893794"/>
      <w:bookmarkStart w:id="784" w:name="_Toc462413690"/>
      <w:r>
        <w:rPr>
          <w:rStyle w:val="CharSectno"/>
        </w:rPr>
        <w:t>145</w:t>
      </w:r>
      <w:r>
        <w:t>.</w:t>
      </w:r>
      <w:r>
        <w:tab/>
        <w:t>Use of statements of witness against witness</w:t>
      </w:r>
      <w:bookmarkEnd w:id="783"/>
      <w:bookmarkEnd w:id="784"/>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785" w:name="_Toc425842852"/>
      <w:bookmarkStart w:id="786" w:name="_Toc426107965"/>
      <w:bookmarkStart w:id="787" w:name="_Toc462413691"/>
      <w:bookmarkStart w:id="788" w:name="_Toc472672491"/>
      <w:bookmarkStart w:id="789" w:name="_Toc472679321"/>
      <w:bookmarkStart w:id="790" w:name="_Toc472679942"/>
      <w:bookmarkStart w:id="791" w:name="_Toc472680287"/>
      <w:bookmarkStart w:id="792" w:name="_Toc473893105"/>
      <w:bookmarkStart w:id="793" w:name="_Toc473893450"/>
      <w:bookmarkStart w:id="794" w:name="_Toc473893795"/>
      <w:r>
        <w:rPr>
          <w:rStyle w:val="CharDivNo"/>
        </w:rPr>
        <w:t>Division 3</w:t>
      </w:r>
      <w:r>
        <w:t> — </w:t>
      </w:r>
      <w:r>
        <w:rPr>
          <w:rStyle w:val="CharDivText"/>
        </w:rPr>
        <w:t>General</w:t>
      </w:r>
      <w:bookmarkEnd w:id="785"/>
      <w:bookmarkEnd w:id="786"/>
      <w:bookmarkEnd w:id="787"/>
      <w:bookmarkEnd w:id="788"/>
      <w:bookmarkEnd w:id="789"/>
      <w:bookmarkEnd w:id="790"/>
      <w:bookmarkEnd w:id="791"/>
      <w:bookmarkEnd w:id="792"/>
      <w:bookmarkEnd w:id="793"/>
      <w:bookmarkEnd w:id="794"/>
    </w:p>
    <w:p>
      <w:pPr>
        <w:pStyle w:val="Footnoteheading"/>
        <w:keepNext/>
        <w:tabs>
          <w:tab w:val="clear" w:pos="879"/>
          <w:tab w:val="left" w:pos="896"/>
        </w:tabs>
      </w:pPr>
      <w:r>
        <w:tab/>
        <w:t>[Heading inserted by No. 78 of 2003 s. 17.]</w:t>
      </w:r>
    </w:p>
    <w:p>
      <w:pPr>
        <w:pStyle w:val="Heading5"/>
      </w:pPr>
      <w:bookmarkStart w:id="795" w:name="_Toc473893796"/>
      <w:bookmarkStart w:id="796" w:name="_Toc462413692"/>
      <w:r>
        <w:rPr>
          <w:rStyle w:val="CharSectno"/>
        </w:rPr>
        <w:t>146</w:t>
      </w:r>
      <w:r>
        <w:t>.</w:t>
      </w:r>
      <w:r>
        <w:tab/>
        <w:t>Witnesses’ expenses</w:t>
      </w:r>
      <w:bookmarkEnd w:id="795"/>
      <w:bookmarkEnd w:id="796"/>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797" w:name="_Toc473893797"/>
      <w:bookmarkStart w:id="798" w:name="_Toc462413693"/>
      <w:r>
        <w:rPr>
          <w:rStyle w:val="CharSectno"/>
        </w:rPr>
        <w:t>147</w:t>
      </w:r>
      <w:r>
        <w:t>.</w:t>
      </w:r>
      <w:r>
        <w:tab/>
        <w:t>Protection of Commission, legal representatives and witnesses</w:t>
      </w:r>
      <w:bookmarkEnd w:id="797"/>
      <w:bookmarkEnd w:id="798"/>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799" w:name="_Toc425842855"/>
      <w:bookmarkStart w:id="800" w:name="_Toc426107968"/>
      <w:bookmarkStart w:id="801" w:name="_Toc462413694"/>
      <w:bookmarkStart w:id="802" w:name="_Toc472672494"/>
      <w:bookmarkStart w:id="803" w:name="_Toc472679324"/>
      <w:bookmarkStart w:id="804" w:name="_Toc472679945"/>
      <w:bookmarkStart w:id="805" w:name="_Toc472680290"/>
      <w:bookmarkStart w:id="806" w:name="_Toc473893108"/>
      <w:bookmarkStart w:id="807" w:name="_Toc473893453"/>
      <w:bookmarkStart w:id="808" w:name="_Toc473893798"/>
      <w:r>
        <w:rPr>
          <w:rStyle w:val="CharPartNo"/>
        </w:rPr>
        <w:t>Part 8</w:t>
      </w:r>
      <w:r>
        <w:rPr>
          <w:rStyle w:val="CharDivNo"/>
        </w:rPr>
        <w:t> </w:t>
      </w:r>
      <w:r>
        <w:t>—</w:t>
      </w:r>
      <w:r>
        <w:rPr>
          <w:rStyle w:val="CharDivText"/>
        </w:rPr>
        <w:t> </w:t>
      </w:r>
      <w:r>
        <w:rPr>
          <w:rStyle w:val="CharPartText"/>
        </w:rPr>
        <w:t>Arrest warrants</w:t>
      </w:r>
      <w:bookmarkEnd w:id="799"/>
      <w:bookmarkEnd w:id="800"/>
      <w:bookmarkEnd w:id="801"/>
      <w:bookmarkEnd w:id="802"/>
      <w:bookmarkEnd w:id="803"/>
      <w:bookmarkEnd w:id="804"/>
      <w:bookmarkEnd w:id="805"/>
      <w:bookmarkEnd w:id="806"/>
      <w:bookmarkEnd w:id="807"/>
      <w:bookmarkEnd w:id="808"/>
    </w:p>
    <w:p>
      <w:pPr>
        <w:pStyle w:val="Footnoteheading"/>
        <w:keepNext/>
        <w:tabs>
          <w:tab w:val="clear" w:pos="879"/>
          <w:tab w:val="left" w:pos="896"/>
        </w:tabs>
      </w:pPr>
      <w:r>
        <w:tab/>
        <w:t>[Heading inserted by No. 78 of 2003 s. 17.]</w:t>
      </w:r>
    </w:p>
    <w:p>
      <w:pPr>
        <w:pStyle w:val="Heading5"/>
      </w:pPr>
      <w:bookmarkStart w:id="809" w:name="_Toc473893799"/>
      <w:bookmarkStart w:id="810" w:name="_Toc462413695"/>
      <w:r>
        <w:rPr>
          <w:rStyle w:val="CharSectno"/>
        </w:rPr>
        <w:t>148</w:t>
      </w:r>
      <w:r>
        <w:t>.</w:t>
      </w:r>
      <w:r>
        <w:tab/>
        <w:t>Arrest warrants, issue and execution of</w:t>
      </w:r>
      <w:bookmarkEnd w:id="809"/>
      <w:bookmarkEnd w:id="810"/>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serious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 amended by No. 35 of 2014 s. 31.]</w:t>
      </w:r>
    </w:p>
    <w:p>
      <w:pPr>
        <w:pStyle w:val="Heading5"/>
      </w:pPr>
      <w:bookmarkStart w:id="811" w:name="_Toc473893800"/>
      <w:bookmarkStart w:id="812" w:name="_Toc462413696"/>
      <w:r>
        <w:rPr>
          <w:rStyle w:val="CharSectno"/>
        </w:rPr>
        <w:t>149</w:t>
      </w:r>
      <w:r>
        <w:t>.</w:t>
      </w:r>
      <w:r>
        <w:tab/>
        <w:t>Conditional release of arrested person</w:t>
      </w:r>
      <w:bookmarkEnd w:id="811"/>
      <w:bookmarkEnd w:id="812"/>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813" w:name="_Toc473893801"/>
      <w:bookmarkStart w:id="814" w:name="_Toc462413697"/>
      <w:r>
        <w:rPr>
          <w:rStyle w:val="CharSectno"/>
        </w:rPr>
        <w:t>149A</w:t>
      </w:r>
      <w:r>
        <w:t>.</w:t>
      </w:r>
      <w:r>
        <w:tab/>
        <w:t>Provision for overnight detention</w:t>
      </w:r>
      <w:bookmarkEnd w:id="813"/>
      <w:bookmarkEnd w:id="814"/>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815" w:name="_Toc473893802"/>
      <w:bookmarkStart w:id="816" w:name="_Toc462413698"/>
      <w:r>
        <w:rPr>
          <w:rStyle w:val="CharSectno"/>
        </w:rPr>
        <w:t>150</w:t>
      </w:r>
      <w:r>
        <w:t>.</w:t>
      </w:r>
      <w:r>
        <w:tab/>
        <w:t>Supreme Court may review detention of arrested person</w:t>
      </w:r>
      <w:bookmarkEnd w:id="815"/>
      <w:bookmarkEnd w:id="816"/>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817" w:name="_Toc425842860"/>
      <w:bookmarkStart w:id="818" w:name="_Toc426107973"/>
      <w:bookmarkStart w:id="819" w:name="_Toc462413699"/>
      <w:bookmarkStart w:id="820" w:name="_Toc472672499"/>
      <w:bookmarkStart w:id="821" w:name="_Toc472679329"/>
      <w:bookmarkStart w:id="822" w:name="_Toc472679950"/>
      <w:bookmarkStart w:id="823" w:name="_Toc472680295"/>
      <w:bookmarkStart w:id="824" w:name="_Toc473893113"/>
      <w:bookmarkStart w:id="825" w:name="_Toc473893458"/>
      <w:bookmarkStart w:id="826" w:name="_Toc473893803"/>
      <w:r>
        <w:rPr>
          <w:rStyle w:val="CharPartNo"/>
        </w:rPr>
        <w:t>Part 9</w:t>
      </w:r>
      <w:r>
        <w:rPr>
          <w:rStyle w:val="CharDivNo"/>
        </w:rPr>
        <w:t> </w:t>
      </w:r>
      <w:r>
        <w:t>—</w:t>
      </w:r>
      <w:r>
        <w:rPr>
          <w:rStyle w:val="CharDivText"/>
        </w:rPr>
        <w:t> </w:t>
      </w:r>
      <w:r>
        <w:rPr>
          <w:rStyle w:val="CharPartText"/>
        </w:rPr>
        <w:t>Disclosure, secrecy and protection of witnesses</w:t>
      </w:r>
      <w:bookmarkEnd w:id="817"/>
      <w:bookmarkEnd w:id="818"/>
      <w:bookmarkEnd w:id="819"/>
      <w:bookmarkEnd w:id="820"/>
      <w:bookmarkEnd w:id="821"/>
      <w:bookmarkEnd w:id="822"/>
      <w:bookmarkEnd w:id="823"/>
      <w:bookmarkEnd w:id="824"/>
      <w:bookmarkEnd w:id="825"/>
      <w:bookmarkEnd w:id="826"/>
    </w:p>
    <w:p>
      <w:pPr>
        <w:pStyle w:val="Footnoteheading"/>
        <w:keepNext/>
        <w:tabs>
          <w:tab w:val="clear" w:pos="879"/>
          <w:tab w:val="left" w:pos="896"/>
        </w:tabs>
        <w:ind w:left="938" w:hanging="938"/>
      </w:pPr>
      <w:r>
        <w:tab/>
        <w:t>[Part 9 heading, formerly Part 3 heading, renumbered by No. 78 of 2003 s. 35(2).]</w:t>
      </w:r>
    </w:p>
    <w:p>
      <w:pPr>
        <w:pStyle w:val="Heading5"/>
      </w:pPr>
      <w:bookmarkStart w:id="827" w:name="_Toc473893804"/>
      <w:bookmarkStart w:id="828" w:name="_Toc462413700"/>
      <w:r>
        <w:rPr>
          <w:rStyle w:val="CharSectno"/>
        </w:rPr>
        <w:t>151</w:t>
      </w:r>
      <w:r>
        <w:t>.</w:t>
      </w:r>
      <w:r>
        <w:tab/>
        <w:t>Disclosure of certain information restricted</w:t>
      </w:r>
      <w:bookmarkEnd w:id="827"/>
      <w:bookmarkEnd w:id="828"/>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by No. 78 of 2003 s. 35(13); renumbered as section 151 by No. 78 of 2003 s. 35(1).]</w:t>
      </w:r>
    </w:p>
    <w:p>
      <w:pPr>
        <w:pStyle w:val="Heading5"/>
      </w:pPr>
      <w:bookmarkStart w:id="829" w:name="_Toc473893805"/>
      <w:bookmarkStart w:id="830" w:name="_Toc462413701"/>
      <w:r>
        <w:rPr>
          <w:rStyle w:val="CharSectno"/>
        </w:rPr>
        <w:t>152</w:t>
      </w:r>
      <w:r>
        <w:t>.</w:t>
      </w:r>
      <w:r>
        <w:tab/>
        <w:t>Disclosure by Commission or its officers</w:t>
      </w:r>
      <w:bookmarkEnd w:id="829"/>
      <w:bookmarkEnd w:id="830"/>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831" w:name="_Toc473893806"/>
      <w:bookmarkStart w:id="832" w:name="_Toc462413702"/>
      <w:r>
        <w:rPr>
          <w:rStyle w:val="CharSectno"/>
        </w:rPr>
        <w:t>153</w:t>
      </w:r>
      <w:r>
        <w:t>.</w:t>
      </w:r>
      <w:r>
        <w:tab/>
        <w:t>Disclosure by other officials</w:t>
      </w:r>
      <w:bookmarkEnd w:id="831"/>
      <w:bookmarkEnd w:id="832"/>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833" w:name="_Toc473893807"/>
      <w:bookmarkStart w:id="834" w:name="_Toc462413703"/>
      <w:r>
        <w:rPr>
          <w:rStyle w:val="CharSectno"/>
        </w:rPr>
        <w:t>154</w:t>
      </w:r>
      <w:r>
        <w:t>.</w:t>
      </w:r>
      <w:r>
        <w:tab/>
        <w:t>Exclusion of other laws</w:t>
      </w:r>
      <w:bookmarkEnd w:id="833"/>
      <w:bookmarkEnd w:id="834"/>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by No. 78 of 2003 s. 35(13); renumbered as section 154 by No. 78 of 2003 s. 35(1).]</w:t>
      </w:r>
    </w:p>
    <w:p>
      <w:pPr>
        <w:pStyle w:val="Heading5"/>
      </w:pPr>
      <w:bookmarkStart w:id="835" w:name="_Toc473893808"/>
      <w:bookmarkStart w:id="836" w:name="_Toc462413704"/>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835"/>
      <w:bookmarkEnd w:id="836"/>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by No. 78 of 2003 s. 35(1); amended by No. 2 of 2011 s. 13.]</w:t>
      </w:r>
    </w:p>
    <w:p>
      <w:pPr>
        <w:pStyle w:val="Heading5"/>
      </w:pPr>
      <w:bookmarkStart w:id="837" w:name="_Toc473893809"/>
      <w:bookmarkStart w:id="838" w:name="_Toc462413705"/>
      <w:r>
        <w:rPr>
          <w:rStyle w:val="CharSectno"/>
        </w:rPr>
        <w:t>156</w:t>
      </w:r>
      <w:r>
        <w:t>.</w:t>
      </w:r>
      <w:r>
        <w:tab/>
        <w:t>Witness protection arrangements, Commission may make</w:t>
      </w:r>
      <w:bookmarkEnd w:id="837"/>
      <w:bookmarkEnd w:id="838"/>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r>
        <w:tab/>
        <w:t>[Section 156, formerly section 23, renumbered as section 156 by No. 78 of 2003 s. 35(1).]</w:t>
      </w:r>
    </w:p>
    <w:p>
      <w:pPr>
        <w:pStyle w:val="Heading2"/>
      </w:pPr>
      <w:bookmarkStart w:id="839" w:name="_Toc425842867"/>
      <w:bookmarkStart w:id="840" w:name="_Toc426107980"/>
      <w:bookmarkStart w:id="841" w:name="_Toc462413706"/>
      <w:bookmarkStart w:id="842" w:name="_Toc472672506"/>
      <w:bookmarkStart w:id="843" w:name="_Toc472679336"/>
      <w:bookmarkStart w:id="844" w:name="_Toc472679957"/>
      <w:bookmarkStart w:id="845" w:name="_Toc472680302"/>
      <w:bookmarkStart w:id="846" w:name="_Toc473893120"/>
      <w:bookmarkStart w:id="847" w:name="_Toc473893465"/>
      <w:bookmarkStart w:id="848" w:name="_Toc473893810"/>
      <w:r>
        <w:rPr>
          <w:rStyle w:val="CharPartNo"/>
        </w:rPr>
        <w:t>Part 10</w:t>
      </w:r>
      <w:r>
        <w:rPr>
          <w:b w:val="0"/>
        </w:rPr>
        <w:t> </w:t>
      </w:r>
      <w:r>
        <w:t>—</w:t>
      </w:r>
      <w:r>
        <w:rPr>
          <w:b w:val="0"/>
        </w:rPr>
        <w:t> </w:t>
      </w:r>
      <w:r>
        <w:rPr>
          <w:rStyle w:val="CharPartText"/>
        </w:rPr>
        <w:t>Contempt</w:t>
      </w:r>
      <w:bookmarkEnd w:id="839"/>
      <w:bookmarkEnd w:id="840"/>
      <w:bookmarkEnd w:id="841"/>
      <w:bookmarkEnd w:id="842"/>
      <w:bookmarkEnd w:id="843"/>
      <w:bookmarkEnd w:id="844"/>
      <w:bookmarkEnd w:id="845"/>
      <w:bookmarkEnd w:id="846"/>
      <w:bookmarkEnd w:id="847"/>
      <w:bookmarkEnd w:id="848"/>
    </w:p>
    <w:p>
      <w:pPr>
        <w:pStyle w:val="Footnoteheading"/>
        <w:keepNext/>
        <w:tabs>
          <w:tab w:val="clear" w:pos="879"/>
          <w:tab w:val="left" w:pos="896"/>
        </w:tabs>
      </w:pPr>
      <w:r>
        <w:tab/>
        <w:t>[Heading inserted by No. 78 of 2003 s. 22.]</w:t>
      </w:r>
    </w:p>
    <w:p>
      <w:pPr>
        <w:pStyle w:val="Heading5"/>
      </w:pPr>
      <w:bookmarkStart w:id="849" w:name="_Toc473893811"/>
      <w:bookmarkStart w:id="850" w:name="_Toc462413707"/>
      <w:r>
        <w:rPr>
          <w:rStyle w:val="CharSectno"/>
        </w:rPr>
        <w:t>157</w:t>
      </w:r>
      <w:r>
        <w:t>.</w:t>
      </w:r>
      <w:r>
        <w:tab/>
        <w:t>Term used: reasonable excuse</w:t>
      </w:r>
      <w:bookmarkEnd w:id="849"/>
      <w:bookmarkEnd w:id="850"/>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851" w:name="_Toc473893812"/>
      <w:bookmarkStart w:id="852" w:name="_Toc462413708"/>
      <w:r>
        <w:rPr>
          <w:rStyle w:val="CharSectno"/>
        </w:rPr>
        <w:t>158</w:t>
      </w:r>
      <w:r>
        <w:t>.</w:t>
      </w:r>
      <w:r>
        <w:tab/>
        <w:t>Failing to comply with notice given under s. 94 or 95</w:t>
      </w:r>
      <w:bookmarkEnd w:id="851"/>
      <w:bookmarkEnd w:id="852"/>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853" w:name="_Toc473893813"/>
      <w:bookmarkStart w:id="854" w:name="_Toc462413709"/>
      <w:r>
        <w:rPr>
          <w:rStyle w:val="CharSectno"/>
        </w:rPr>
        <w:t>159</w:t>
      </w:r>
      <w:r>
        <w:t>.</w:t>
      </w:r>
      <w:r>
        <w:tab/>
        <w:t>Failing to obey summons issued under s. 96</w:t>
      </w:r>
      <w:bookmarkEnd w:id="853"/>
      <w:bookmarkEnd w:id="854"/>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855" w:name="_Toc473893814"/>
      <w:bookmarkStart w:id="856" w:name="_Toc462413710"/>
      <w:r>
        <w:rPr>
          <w:rStyle w:val="CharSectno"/>
        </w:rPr>
        <w:t>160</w:t>
      </w:r>
      <w:r>
        <w:t>.</w:t>
      </w:r>
      <w:r>
        <w:tab/>
        <w:t>Failing to be sworn or to give evidence when summonsed</w:t>
      </w:r>
      <w:bookmarkEnd w:id="855"/>
      <w:bookmarkEnd w:id="856"/>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857" w:name="_Toc473893815"/>
      <w:bookmarkStart w:id="858" w:name="_Toc462413711"/>
      <w:r>
        <w:rPr>
          <w:rStyle w:val="CharSectno"/>
        </w:rPr>
        <w:t>161</w:t>
      </w:r>
      <w:r>
        <w:t>.</w:t>
      </w:r>
      <w:r>
        <w:tab/>
        <w:t>Hindering execution of search warrants</w:t>
      </w:r>
      <w:bookmarkEnd w:id="857"/>
      <w:bookmarkEnd w:id="858"/>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859" w:name="_Toc473893816"/>
      <w:bookmarkStart w:id="860" w:name="_Toc462413712"/>
      <w:r>
        <w:rPr>
          <w:rStyle w:val="CharSectno"/>
        </w:rPr>
        <w:t>162</w:t>
      </w:r>
      <w:r>
        <w:t>.</w:t>
      </w:r>
      <w:r>
        <w:tab/>
        <w:t>Other contempts of Commission</w:t>
      </w:r>
      <w:bookmarkEnd w:id="859"/>
      <w:bookmarkEnd w:id="860"/>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861" w:name="_Toc473893817"/>
      <w:bookmarkStart w:id="862" w:name="_Toc462413713"/>
      <w:r>
        <w:rPr>
          <w:rStyle w:val="CharSectno"/>
        </w:rPr>
        <w:t>163</w:t>
      </w:r>
      <w:r>
        <w:t>.</w:t>
      </w:r>
      <w:r>
        <w:tab/>
        <w:t>Punishment of contempt of Commission</w:t>
      </w:r>
      <w:bookmarkEnd w:id="861"/>
      <w:bookmarkEnd w:id="862"/>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863" w:name="_Toc473893818"/>
      <w:bookmarkStart w:id="864" w:name="_Toc462413714"/>
      <w:r>
        <w:rPr>
          <w:rStyle w:val="CharSectno"/>
        </w:rPr>
        <w:t>164</w:t>
      </w:r>
      <w:r>
        <w:t>.</w:t>
      </w:r>
      <w:r>
        <w:tab/>
        <w:t>Conduct that is both a contempt and an offence</w:t>
      </w:r>
      <w:bookmarkEnd w:id="863"/>
      <w:bookmarkEnd w:id="864"/>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865" w:name="_Toc425842876"/>
      <w:bookmarkStart w:id="866" w:name="_Toc426107989"/>
      <w:bookmarkStart w:id="867" w:name="_Toc462413715"/>
      <w:bookmarkStart w:id="868" w:name="_Toc472672515"/>
      <w:bookmarkStart w:id="869" w:name="_Toc472679345"/>
      <w:bookmarkStart w:id="870" w:name="_Toc472679966"/>
      <w:bookmarkStart w:id="871" w:name="_Toc472680311"/>
      <w:bookmarkStart w:id="872" w:name="_Toc473893129"/>
      <w:bookmarkStart w:id="873" w:name="_Toc473893474"/>
      <w:bookmarkStart w:id="874" w:name="_Toc473893819"/>
      <w:r>
        <w:rPr>
          <w:rStyle w:val="CharPartNo"/>
        </w:rPr>
        <w:t>Part 11</w:t>
      </w:r>
      <w:r>
        <w:rPr>
          <w:b w:val="0"/>
        </w:rPr>
        <w:t> </w:t>
      </w:r>
      <w:r>
        <w:t>—</w:t>
      </w:r>
      <w:r>
        <w:rPr>
          <w:b w:val="0"/>
        </w:rPr>
        <w:t> </w:t>
      </w:r>
      <w:r>
        <w:rPr>
          <w:rStyle w:val="CharPartText"/>
        </w:rPr>
        <w:t>Offences</w:t>
      </w:r>
      <w:bookmarkEnd w:id="865"/>
      <w:bookmarkEnd w:id="866"/>
      <w:bookmarkEnd w:id="867"/>
      <w:bookmarkEnd w:id="868"/>
      <w:bookmarkEnd w:id="869"/>
      <w:bookmarkEnd w:id="870"/>
      <w:bookmarkEnd w:id="871"/>
      <w:bookmarkEnd w:id="872"/>
      <w:bookmarkEnd w:id="873"/>
      <w:bookmarkEnd w:id="874"/>
    </w:p>
    <w:p>
      <w:pPr>
        <w:pStyle w:val="Footnoteheading"/>
        <w:keepNext/>
        <w:tabs>
          <w:tab w:val="clear" w:pos="879"/>
          <w:tab w:val="left" w:pos="896"/>
        </w:tabs>
      </w:pPr>
      <w:r>
        <w:tab/>
        <w:t>[Heading inserted by No. 78 of 2003 s. 22.]</w:t>
      </w:r>
    </w:p>
    <w:p>
      <w:pPr>
        <w:pStyle w:val="Heading5"/>
      </w:pPr>
      <w:bookmarkStart w:id="875" w:name="_Toc473893820"/>
      <w:bookmarkStart w:id="876" w:name="_Toc462413716"/>
      <w:r>
        <w:rPr>
          <w:rStyle w:val="CharSectno"/>
        </w:rPr>
        <w:t>165</w:t>
      </w:r>
      <w:r>
        <w:t>.</w:t>
      </w:r>
      <w:r>
        <w:tab/>
        <w:t>Obstructing Commission, Parliamentary Inspector or their officers</w:t>
      </w:r>
      <w:bookmarkEnd w:id="875"/>
      <w:bookmarkEnd w:id="876"/>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877" w:name="_Toc473893821"/>
      <w:bookmarkStart w:id="878" w:name="_Toc462413717"/>
      <w:r>
        <w:rPr>
          <w:rStyle w:val="CharSectno"/>
        </w:rPr>
        <w:t>166</w:t>
      </w:r>
      <w:r>
        <w:t>.</w:t>
      </w:r>
      <w:r>
        <w:tab/>
        <w:t>Malicious disclosure of false allegation of misconduct</w:t>
      </w:r>
      <w:bookmarkEnd w:id="877"/>
      <w:bookmarkEnd w:id="878"/>
    </w:p>
    <w:p>
      <w:pPr>
        <w:pStyle w:val="Subsection"/>
      </w:pPr>
      <w:r>
        <w:tab/>
      </w:r>
      <w:r>
        <w:tab/>
        <w:t>A person who maliciously discloses that an allegation of misconduct has been or is or may be about to be made to the Commission or the Public Sector Commissioner,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 amended by No. 35 of 2014 s. 24.]</w:t>
      </w:r>
    </w:p>
    <w:p>
      <w:pPr>
        <w:pStyle w:val="Heading5"/>
      </w:pPr>
      <w:bookmarkStart w:id="879" w:name="_Toc473893822"/>
      <w:bookmarkStart w:id="880" w:name="_Toc462413718"/>
      <w:r>
        <w:rPr>
          <w:rStyle w:val="CharSectno"/>
        </w:rPr>
        <w:t>167</w:t>
      </w:r>
      <w:r>
        <w:t>.</w:t>
      </w:r>
      <w:r>
        <w:tab/>
        <w:t>Disclosure contrary to notation under s. 99</w:t>
      </w:r>
      <w:bookmarkEnd w:id="879"/>
      <w:bookmarkEnd w:id="880"/>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881" w:name="_Toc473893823"/>
      <w:bookmarkStart w:id="882" w:name="_Toc462413719"/>
      <w:r>
        <w:rPr>
          <w:rStyle w:val="CharSectno"/>
        </w:rPr>
        <w:t>168</w:t>
      </w:r>
      <w:r>
        <w:t>.</w:t>
      </w:r>
      <w:r>
        <w:tab/>
        <w:t>Giving false testimony</w:t>
      </w:r>
      <w:bookmarkEnd w:id="881"/>
      <w:bookmarkEnd w:id="882"/>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883" w:name="_Toc473893824"/>
      <w:bookmarkStart w:id="884" w:name="_Toc462413720"/>
      <w:r>
        <w:rPr>
          <w:rStyle w:val="CharSectno"/>
        </w:rPr>
        <w:t>169</w:t>
      </w:r>
      <w:r>
        <w:t>.</w:t>
      </w:r>
      <w:r>
        <w:tab/>
        <w:t>Bribery of witness</w:t>
      </w:r>
      <w:bookmarkEnd w:id="883"/>
      <w:bookmarkEnd w:id="88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885" w:name="_Toc473893825"/>
      <w:bookmarkStart w:id="886" w:name="_Toc462413721"/>
      <w:r>
        <w:rPr>
          <w:rStyle w:val="CharSectno"/>
        </w:rPr>
        <w:t>170</w:t>
      </w:r>
      <w:r>
        <w:t>.</w:t>
      </w:r>
      <w:r>
        <w:tab/>
        <w:t>Fraud on witness</w:t>
      </w:r>
      <w:bookmarkEnd w:id="885"/>
      <w:bookmarkEnd w:id="886"/>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887" w:name="_Toc473893826"/>
      <w:bookmarkStart w:id="888" w:name="_Toc462413722"/>
      <w:r>
        <w:rPr>
          <w:rStyle w:val="CharSectno"/>
        </w:rPr>
        <w:t>171</w:t>
      </w:r>
      <w:r>
        <w:t>.</w:t>
      </w:r>
      <w:r>
        <w:tab/>
        <w:t>Destroying evidence</w:t>
      </w:r>
      <w:bookmarkEnd w:id="887"/>
      <w:bookmarkEnd w:id="888"/>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889" w:name="_Toc473893827"/>
      <w:bookmarkStart w:id="890" w:name="_Toc462413723"/>
      <w:r>
        <w:rPr>
          <w:rStyle w:val="CharSectno"/>
        </w:rPr>
        <w:t>172</w:t>
      </w:r>
      <w:r>
        <w:t>.</w:t>
      </w:r>
      <w:r>
        <w:tab/>
        <w:t>Preventing witness from attending</w:t>
      </w:r>
      <w:bookmarkEnd w:id="889"/>
      <w:bookmarkEnd w:id="890"/>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891" w:name="_Toc473893828"/>
      <w:bookmarkStart w:id="892" w:name="_Toc462413724"/>
      <w:r>
        <w:rPr>
          <w:rStyle w:val="CharSectno"/>
        </w:rPr>
        <w:t>173</w:t>
      </w:r>
      <w:r>
        <w:t>.</w:t>
      </w:r>
      <w:r>
        <w:tab/>
        <w:t>Injury or detriment to witness</w:t>
      </w:r>
      <w:bookmarkEnd w:id="891"/>
      <w:bookmarkEnd w:id="892"/>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893" w:name="_Toc473893829"/>
      <w:bookmarkStart w:id="894" w:name="_Toc462413725"/>
      <w:r>
        <w:rPr>
          <w:rStyle w:val="CharSectno"/>
        </w:rPr>
        <w:t>174</w:t>
      </w:r>
      <w:r>
        <w:t>.</w:t>
      </w:r>
      <w:r>
        <w:tab/>
        <w:t>Dismissal by employer of witness</w:t>
      </w:r>
      <w:bookmarkEnd w:id="893"/>
      <w:bookmarkEnd w:id="894"/>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895" w:name="_Toc473893830"/>
      <w:bookmarkStart w:id="896" w:name="_Toc462413726"/>
      <w:r>
        <w:rPr>
          <w:rStyle w:val="CharSectno"/>
        </w:rPr>
        <w:t>175</w:t>
      </w:r>
      <w:r>
        <w:t>.</w:t>
      </w:r>
      <w:r>
        <w:tab/>
        <w:t>Victimisation</w:t>
      </w:r>
      <w:bookmarkEnd w:id="895"/>
      <w:bookmarkEnd w:id="896"/>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the Public Sector Commissioner or the Parliamentary Inspector in the performance of functions under this Act.</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 amended by No. 35 of 2014 s. 25.]</w:t>
      </w:r>
    </w:p>
    <w:p>
      <w:pPr>
        <w:pStyle w:val="Heading5"/>
        <w:spacing w:before="180"/>
      </w:pPr>
      <w:bookmarkStart w:id="897" w:name="_Toc473893831"/>
      <w:bookmarkStart w:id="898" w:name="_Toc462413727"/>
      <w:r>
        <w:rPr>
          <w:rStyle w:val="CharSectno"/>
        </w:rPr>
        <w:t>176</w:t>
      </w:r>
      <w:r>
        <w:t>.</w:t>
      </w:r>
      <w:r>
        <w:tab/>
        <w:t>Pretending to be officer</w:t>
      </w:r>
      <w:bookmarkEnd w:id="897"/>
      <w:bookmarkEnd w:id="898"/>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spacing w:before="180"/>
      </w:pPr>
      <w:bookmarkStart w:id="899" w:name="_Toc473893832"/>
      <w:bookmarkStart w:id="900" w:name="_Toc462413728"/>
      <w:r>
        <w:rPr>
          <w:rStyle w:val="CharSectno"/>
        </w:rPr>
        <w:t>177</w:t>
      </w:r>
      <w:r>
        <w:t>.</w:t>
      </w:r>
      <w:r>
        <w:tab/>
        <w:t>Summary conviction of crimes</w:t>
      </w:r>
      <w:bookmarkEnd w:id="899"/>
      <w:bookmarkEnd w:id="900"/>
    </w:p>
    <w:p>
      <w:pPr>
        <w:pStyle w:val="Subsection"/>
        <w:spacing w:before="120"/>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spacing w:before="120"/>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spacing w:before="80"/>
        <w:ind w:left="890" w:hanging="890"/>
      </w:pPr>
      <w:r>
        <w:tab/>
        <w:t>[Section 177 inserted by No. 78 of 2003 s. 22; amended by No. 84 of 2004 s. 82.]</w:t>
      </w:r>
    </w:p>
    <w:p>
      <w:pPr>
        <w:pStyle w:val="Heading5"/>
        <w:rPr>
          <w:b w:val="0"/>
        </w:rPr>
      </w:pPr>
      <w:bookmarkStart w:id="901" w:name="_Toc473893833"/>
      <w:bookmarkStart w:id="902" w:name="_Toc462413729"/>
      <w:r>
        <w:rPr>
          <w:rStyle w:val="CharSectno"/>
        </w:rPr>
        <w:t>177A</w:t>
      </w:r>
      <w:r>
        <w:rPr>
          <w:bCs/>
          <w:sz w:val="22"/>
        </w:rPr>
        <w:t>.</w:t>
      </w:r>
      <w:r>
        <w:rPr>
          <w:bCs/>
          <w:sz w:val="22"/>
        </w:rPr>
        <w:tab/>
      </w:r>
      <w:r>
        <w:rPr>
          <w:bCs/>
        </w:rPr>
        <w:t>Limitation period for prosecution of simple offences</w:t>
      </w:r>
      <w:bookmarkEnd w:id="901"/>
      <w:bookmarkEnd w:id="902"/>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903" w:name="_Toc425842891"/>
      <w:bookmarkStart w:id="904" w:name="_Toc426108004"/>
      <w:bookmarkStart w:id="905" w:name="_Toc462413730"/>
      <w:bookmarkStart w:id="906" w:name="_Toc472672530"/>
      <w:bookmarkStart w:id="907" w:name="_Toc472679360"/>
      <w:bookmarkStart w:id="908" w:name="_Toc472679981"/>
      <w:bookmarkStart w:id="909" w:name="_Toc472680326"/>
      <w:bookmarkStart w:id="910" w:name="_Toc473893144"/>
      <w:bookmarkStart w:id="911" w:name="_Toc473893489"/>
      <w:bookmarkStart w:id="912" w:name="_Toc473893834"/>
      <w:r>
        <w:rPr>
          <w:rStyle w:val="CharPartNo"/>
        </w:rPr>
        <w:t>Part 12</w:t>
      </w:r>
      <w:r>
        <w:t> — </w:t>
      </w:r>
      <w:r>
        <w:rPr>
          <w:rStyle w:val="CharPartText"/>
        </w:rPr>
        <w:t>Administration</w:t>
      </w:r>
      <w:bookmarkEnd w:id="903"/>
      <w:bookmarkEnd w:id="904"/>
      <w:bookmarkEnd w:id="905"/>
      <w:bookmarkEnd w:id="906"/>
      <w:bookmarkEnd w:id="907"/>
      <w:bookmarkEnd w:id="908"/>
      <w:bookmarkEnd w:id="909"/>
      <w:bookmarkEnd w:id="910"/>
      <w:bookmarkEnd w:id="911"/>
      <w:bookmarkEnd w:id="912"/>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913" w:name="_Toc425842892"/>
      <w:bookmarkStart w:id="914" w:name="_Toc426108005"/>
      <w:bookmarkStart w:id="915" w:name="_Toc462413731"/>
      <w:bookmarkStart w:id="916" w:name="_Toc472672531"/>
      <w:bookmarkStart w:id="917" w:name="_Toc472679361"/>
      <w:bookmarkStart w:id="918" w:name="_Toc472679982"/>
      <w:bookmarkStart w:id="919" w:name="_Toc472680327"/>
      <w:bookmarkStart w:id="920" w:name="_Toc473893145"/>
      <w:bookmarkStart w:id="921" w:name="_Toc473893490"/>
      <w:bookmarkStart w:id="922" w:name="_Toc473893835"/>
      <w:r>
        <w:rPr>
          <w:rStyle w:val="CharDivNo"/>
        </w:rPr>
        <w:t>Division 1</w:t>
      </w:r>
      <w:r>
        <w:t> — </w:t>
      </w:r>
      <w:r>
        <w:rPr>
          <w:rStyle w:val="CharDivText"/>
        </w:rPr>
        <w:t>Staff</w:t>
      </w:r>
      <w:bookmarkEnd w:id="913"/>
      <w:bookmarkEnd w:id="914"/>
      <w:bookmarkEnd w:id="915"/>
      <w:bookmarkEnd w:id="916"/>
      <w:bookmarkEnd w:id="917"/>
      <w:bookmarkEnd w:id="918"/>
      <w:bookmarkEnd w:id="919"/>
      <w:bookmarkEnd w:id="920"/>
      <w:bookmarkEnd w:id="921"/>
      <w:bookmarkEnd w:id="922"/>
    </w:p>
    <w:p>
      <w:pPr>
        <w:pStyle w:val="Heading5"/>
      </w:pPr>
      <w:bookmarkStart w:id="923" w:name="_Toc473893836"/>
      <w:bookmarkStart w:id="924" w:name="_Toc462413732"/>
      <w:r>
        <w:rPr>
          <w:rStyle w:val="CharSectno"/>
        </w:rPr>
        <w:t>178</w:t>
      </w:r>
      <w:r>
        <w:t>.</w:t>
      </w:r>
      <w:r>
        <w:tab/>
        <w:t>Commission not SES organisation</w:t>
      </w:r>
      <w:bookmarkEnd w:id="923"/>
      <w:bookmarkEnd w:id="924"/>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by No. 78 of 2003 s. 35(1).]</w:t>
      </w:r>
    </w:p>
    <w:p>
      <w:pPr>
        <w:pStyle w:val="Heading5"/>
      </w:pPr>
      <w:bookmarkStart w:id="925" w:name="_Toc473893837"/>
      <w:bookmarkStart w:id="926" w:name="_Toc462413733"/>
      <w:r>
        <w:rPr>
          <w:rStyle w:val="CharSectno"/>
        </w:rPr>
        <w:t>179</w:t>
      </w:r>
      <w:r>
        <w:t>.</w:t>
      </w:r>
      <w:r>
        <w:tab/>
        <w:t>Staff of Commission</w:t>
      </w:r>
      <w:bookmarkEnd w:id="925"/>
      <w:bookmarkEnd w:id="926"/>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by No. 78 of 2003 s. 35(1).]</w:t>
      </w:r>
    </w:p>
    <w:p>
      <w:pPr>
        <w:pStyle w:val="Heading5"/>
      </w:pPr>
      <w:bookmarkStart w:id="927" w:name="_Toc473893838"/>
      <w:bookmarkStart w:id="928" w:name="_Toc462413734"/>
      <w:r>
        <w:rPr>
          <w:rStyle w:val="CharSectno"/>
        </w:rPr>
        <w:t>180</w:t>
      </w:r>
      <w:r>
        <w:t>.</w:t>
      </w:r>
      <w:r>
        <w:tab/>
        <w:t>Entitlements of public service officers</w:t>
      </w:r>
      <w:bookmarkEnd w:id="927"/>
      <w:bookmarkEnd w:id="928"/>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3</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by No. 78 of 2003 s. 35(13); renumbered as section 180 by No. 78 of 2003 s. 35(1).]</w:t>
      </w:r>
    </w:p>
    <w:p>
      <w:pPr>
        <w:pStyle w:val="Heading5"/>
      </w:pPr>
      <w:bookmarkStart w:id="929" w:name="_Toc473893839"/>
      <w:bookmarkStart w:id="930" w:name="_Toc462413735"/>
      <w:r>
        <w:rPr>
          <w:rStyle w:val="CharSectno"/>
        </w:rPr>
        <w:t>181</w:t>
      </w:r>
      <w:r>
        <w:t>.</w:t>
      </w:r>
      <w:r>
        <w:tab/>
        <w:t>Secondment of staff and use of facilities</w:t>
      </w:r>
      <w:bookmarkEnd w:id="929"/>
      <w:bookmarkEnd w:id="930"/>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(4)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keepNext/>
        <w:spacing w:before="120"/>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by No. 78 of 2003 s. 35(1).]</w:t>
      </w:r>
    </w:p>
    <w:p>
      <w:pPr>
        <w:pStyle w:val="Heading5"/>
      </w:pPr>
      <w:bookmarkStart w:id="931" w:name="_Toc473893840"/>
      <w:bookmarkStart w:id="932" w:name="_Toc462413736"/>
      <w:r>
        <w:rPr>
          <w:rStyle w:val="CharSectno"/>
        </w:rPr>
        <w:t>182</w:t>
      </w:r>
      <w:r>
        <w:t>.</w:t>
      </w:r>
      <w:r>
        <w:tab/>
        <w:t>Engagement of service providers</w:t>
      </w:r>
      <w:bookmarkEnd w:id="931"/>
      <w:bookmarkEnd w:id="932"/>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by No. 78 of 2003 s. 35(1).]</w:t>
      </w:r>
    </w:p>
    <w:p>
      <w:pPr>
        <w:pStyle w:val="Heading5"/>
      </w:pPr>
      <w:bookmarkStart w:id="933" w:name="_Toc473893841"/>
      <w:bookmarkStart w:id="934" w:name="_Toc462413737"/>
      <w:r>
        <w:rPr>
          <w:rStyle w:val="CharSectno"/>
        </w:rPr>
        <w:t>183</w:t>
      </w:r>
      <w:r>
        <w:t>.</w:t>
      </w:r>
      <w:r>
        <w:tab/>
        <w:t>Oath of secrecy for officers</w:t>
      </w:r>
      <w:bookmarkEnd w:id="933"/>
      <w:bookmarkEnd w:id="934"/>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by No. 78 of 2003 s. 35(1).]</w:t>
      </w:r>
    </w:p>
    <w:p>
      <w:pPr>
        <w:pStyle w:val="Heading5"/>
      </w:pPr>
      <w:bookmarkStart w:id="935" w:name="_Toc473893842"/>
      <w:bookmarkStart w:id="936" w:name="_Toc462413738"/>
      <w:r>
        <w:rPr>
          <w:rStyle w:val="CharSectno"/>
        </w:rPr>
        <w:t>184</w:t>
      </w:r>
      <w:r>
        <w:t>.</w:t>
      </w:r>
      <w:r>
        <w:tab/>
        <w:t>Authorised officers, appointment and functions of</w:t>
      </w:r>
      <w:bookmarkEnd w:id="935"/>
      <w:bookmarkEnd w:id="936"/>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by No. 78 of 2003 s. 35(1); amended by No. 59 of 2006 s. 11; No. 5 of 2008 s. 128.]</w:t>
      </w:r>
    </w:p>
    <w:p>
      <w:pPr>
        <w:pStyle w:val="Heading5"/>
      </w:pPr>
      <w:bookmarkStart w:id="937" w:name="_Toc473893843"/>
      <w:bookmarkStart w:id="938" w:name="_Toc462413739"/>
      <w:r>
        <w:rPr>
          <w:rStyle w:val="CharSectno"/>
        </w:rPr>
        <w:t>185</w:t>
      </w:r>
      <w:r>
        <w:t>.</w:t>
      </w:r>
      <w:r>
        <w:tab/>
        <w:t>Delegation by Commission</w:t>
      </w:r>
      <w:bookmarkEnd w:id="937"/>
      <w:bookmarkEnd w:id="938"/>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939" w:name="_Toc425842901"/>
      <w:bookmarkStart w:id="940" w:name="_Toc426108014"/>
      <w:bookmarkStart w:id="941" w:name="_Toc462413740"/>
      <w:bookmarkStart w:id="942" w:name="_Toc472672540"/>
      <w:bookmarkStart w:id="943" w:name="_Toc472679370"/>
      <w:bookmarkStart w:id="944" w:name="_Toc472679991"/>
      <w:bookmarkStart w:id="945" w:name="_Toc472680336"/>
      <w:bookmarkStart w:id="946" w:name="_Toc473893154"/>
      <w:bookmarkStart w:id="947" w:name="_Toc473893499"/>
      <w:bookmarkStart w:id="948" w:name="_Toc473893844"/>
      <w:r>
        <w:rPr>
          <w:rStyle w:val="CharDivNo"/>
        </w:rPr>
        <w:t>Division 2</w:t>
      </w:r>
      <w:r>
        <w:t> — </w:t>
      </w:r>
      <w:r>
        <w:rPr>
          <w:rStyle w:val="CharDivText"/>
        </w:rPr>
        <w:t>Financial provisions</w:t>
      </w:r>
      <w:bookmarkEnd w:id="939"/>
      <w:bookmarkEnd w:id="940"/>
      <w:bookmarkEnd w:id="941"/>
      <w:bookmarkEnd w:id="942"/>
      <w:bookmarkEnd w:id="943"/>
      <w:bookmarkEnd w:id="944"/>
      <w:bookmarkEnd w:id="945"/>
      <w:bookmarkEnd w:id="946"/>
      <w:bookmarkEnd w:id="947"/>
      <w:bookmarkEnd w:id="948"/>
    </w:p>
    <w:p>
      <w:pPr>
        <w:pStyle w:val="Heading5"/>
      </w:pPr>
      <w:bookmarkStart w:id="949" w:name="_Toc473893845"/>
      <w:bookmarkStart w:id="950" w:name="_Toc462413741"/>
      <w:r>
        <w:rPr>
          <w:rStyle w:val="CharSectno"/>
        </w:rPr>
        <w:t>186</w:t>
      </w:r>
      <w:r>
        <w:t>.</w:t>
      </w:r>
      <w:r>
        <w:tab/>
        <w:t>Funds of Commission</w:t>
      </w:r>
      <w:bookmarkEnd w:id="949"/>
      <w:bookmarkEnd w:id="950"/>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by No. 78 of 2003 s. 35(13); renumbered as section 186 by No. 78 of 2003 s. 35(1); amended by No. 77 of 2006 Sch. 1 cl. 35(6) and (7).]</w:t>
      </w:r>
    </w:p>
    <w:p>
      <w:pPr>
        <w:pStyle w:val="Heading5"/>
      </w:pPr>
      <w:bookmarkStart w:id="951" w:name="_Toc473893846"/>
      <w:bookmarkStart w:id="952" w:name="_Toc462413742"/>
      <w:r>
        <w:rPr>
          <w:rStyle w:val="CharSectno"/>
        </w:rPr>
        <w:t>187</w:t>
      </w:r>
      <w:r>
        <w:t>.</w:t>
      </w:r>
      <w:r>
        <w:tab/>
        <w:t xml:space="preserve">Application of </w:t>
      </w:r>
      <w:r>
        <w:rPr>
          <w:i/>
          <w:iCs/>
        </w:rPr>
        <w:t>Financial Management Act 2006</w:t>
      </w:r>
      <w:r>
        <w:t xml:space="preserve"> and </w:t>
      </w:r>
      <w:r>
        <w:rPr>
          <w:i/>
          <w:iCs/>
        </w:rPr>
        <w:t>Auditor General Act 2006</w:t>
      </w:r>
      <w:bookmarkEnd w:id="951"/>
      <w:bookmarkEnd w:id="952"/>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953" w:name="_Toc425842904"/>
      <w:bookmarkStart w:id="954" w:name="_Toc426108017"/>
      <w:bookmarkStart w:id="955" w:name="_Toc462413743"/>
      <w:bookmarkStart w:id="956" w:name="_Toc472672543"/>
      <w:bookmarkStart w:id="957" w:name="_Toc472679373"/>
      <w:bookmarkStart w:id="958" w:name="_Toc472679994"/>
      <w:bookmarkStart w:id="959" w:name="_Toc472680339"/>
      <w:bookmarkStart w:id="960" w:name="_Toc473893157"/>
      <w:bookmarkStart w:id="961" w:name="_Toc473893502"/>
      <w:bookmarkStart w:id="962" w:name="_Toc473893847"/>
      <w:r>
        <w:rPr>
          <w:rStyle w:val="CharPartNo"/>
        </w:rPr>
        <w:t>Part 13</w:t>
      </w:r>
      <w:r>
        <w:t> — </w:t>
      </w:r>
      <w:r>
        <w:rPr>
          <w:rStyle w:val="CharPartText"/>
        </w:rPr>
        <w:t>Parliamentary Inspector of the Corruption and Crime Commission</w:t>
      </w:r>
      <w:bookmarkEnd w:id="953"/>
      <w:bookmarkEnd w:id="954"/>
      <w:bookmarkEnd w:id="955"/>
      <w:bookmarkEnd w:id="956"/>
      <w:bookmarkEnd w:id="957"/>
      <w:bookmarkEnd w:id="958"/>
      <w:bookmarkEnd w:id="959"/>
      <w:bookmarkEnd w:id="960"/>
      <w:bookmarkEnd w:id="961"/>
      <w:bookmarkEnd w:id="962"/>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963" w:name="_Toc425842905"/>
      <w:bookmarkStart w:id="964" w:name="_Toc426108018"/>
      <w:bookmarkStart w:id="965" w:name="_Toc462413744"/>
      <w:bookmarkStart w:id="966" w:name="_Toc472672544"/>
      <w:bookmarkStart w:id="967" w:name="_Toc472679374"/>
      <w:bookmarkStart w:id="968" w:name="_Toc472679995"/>
      <w:bookmarkStart w:id="969" w:name="_Toc472680340"/>
      <w:bookmarkStart w:id="970" w:name="_Toc473893158"/>
      <w:bookmarkStart w:id="971" w:name="_Toc473893503"/>
      <w:bookmarkStart w:id="972" w:name="_Toc473893848"/>
      <w:r>
        <w:rPr>
          <w:rStyle w:val="CharDivNo"/>
        </w:rPr>
        <w:t>Division 1</w:t>
      </w:r>
      <w:r>
        <w:t> — </w:t>
      </w:r>
      <w:r>
        <w:rPr>
          <w:rStyle w:val="CharDivText"/>
        </w:rPr>
        <w:t>Office of Parliamentary Inspector of the Corruption and Crime Commission</w:t>
      </w:r>
      <w:bookmarkEnd w:id="963"/>
      <w:bookmarkEnd w:id="964"/>
      <w:bookmarkEnd w:id="965"/>
      <w:bookmarkEnd w:id="966"/>
      <w:bookmarkEnd w:id="967"/>
      <w:bookmarkEnd w:id="968"/>
      <w:bookmarkEnd w:id="969"/>
      <w:bookmarkEnd w:id="970"/>
      <w:bookmarkEnd w:id="971"/>
      <w:bookmarkEnd w:id="972"/>
    </w:p>
    <w:p>
      <w:pPr>
        <w:pStyle w:val="Heading5"/>
        <w:spacing w:before="180"/>
      </w:pPr>
      <w:bookmarkStart w:id="973" w:name="_Toc473893849"/>
      <w:bookmarkStart w:id="974" w:name="_Toc462413745"/>
      <w:r>
        <w:rPr>
          <w:rStyle w:val="CharSectno"/>
        </w:rPr>
        <w:t>188</w:t>
      </w:r>
      <w:r>
        <w:t>.</w:t>
      </w:r>
      <w:r>
        <w:tab/>
        <w:t>Parliamentary Inspector of Corruption and Crime Commission, office established</w:t>
      </w:r>
      <w:bookmarkEnd w:id="973"/>
      <w:bookmarkEnd w:id="974"/>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975" w:name="_Toc473893850"/>
      <w:bookmarkStart w:id="976" w:name="_Toc462413746"/>
      <w:r>
        <w:rPr>
          <w:rStyle w:val="CharSectno"/>
        </w:rPr>
        <w:t>189</w:t>
      </w:r>
      <w:r>
        <w:t>.</w:t>
      </w:r>
      <w:r>
        <w:tab/>
        <w:t>Parliamentary Inspector, appointment of</w:t>
      </w:r>
      <w:bookmarkEnd w:id="975"/>
      <w:bookmarkEnd w:id="976"/>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977" w:name="_Toc473893851"/>
      <w:bookmarkStart w:id="978" w:name="_Toc462413747"/>
      <w:r>
        <w:rPr>
          <w:rStyle w:val="CharSectno"/>
        </w:rPr>
        <w:t>190</w:t>
      </w:r>
      <w:r>
        <w:t>.</w:t>
      </w:r>
      <w:r>
        <w:tab/>
        <w:t>Qualifications for appointment as Parliamentary Inspector</w:t>
      </w:r>
      <w:bookmarkEnd w:id="977"/>
      <w:bookmarkEnd w:id="978"/>
    </w:p>
    <w:p>
      <w:pPr>
        <w:pStyle w:val="Subsection"/>
        <w:spacing w:before="120"/>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spacing w:before="60"/>
        <w:ind w:left="1610" w:hanging="1610"/>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spacing w:before="120"/>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979" w:name="_Toc473893852"/>
      <w:bookmarkStart w:id="980" w:name="_Toc462413748"/>
      <w:r>
        <w:rPr>
          <w:rStyle w:val="CharSectno"/>
        </w:rPr>
        <w:t>191</w:t>
      </w:r>
      <w:r>
        <w:t>.</w:t>
      </w:r>
      <w:r>
        <w:tab/>
        <w:t>Terms and conditions of service of Parliamentary Inspector</w:t>
      </w:r>
      <w:bookmarkEnd w:id="979"/>
      <w:bookmarkEnd w:id="980"/>
    </w:p>
    <w:p>
      <w:pPr>
        <w:pStyle w:val="Subsection"/>
        <w:spacing w:before="120"/>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by No. 78 of 2003 s. 35(13); renumbered as section 191 by No. 78 of 2003 s. 35(1).]</w:t>
      </w:r>
    </w:p>
    <w:p>
      <w:pPr>
        <w:pStyle w:val="Heading5"/>
        <w:keepNext w:val="0"/>
        <w:keepLines w:val="0"/>
        <w:spacing w:before="180"/>
      </w:pPr>
      <w:bookmarkStart w:id="981" w:name="_Toc473893853"/>
      <w:bookmarkStart w:id="982" w:name="_Toc462413749"/>
      <w:r>
        <w:rPr>
          <w:rStyle w:val="CharSectno"/>
        </w:rPr>
        <w:t>192</w:t>
      </w:r>
      <w:r>
        <w:t>.</w:t>
      </w:r>
      <w:r>
        <w:tab/>
        <w:t>Removal or suspension of Parliamentary Inspector</w:t>
      </w:r>
      <w:bookmarkEnd w:id="981"/>
      <w:bookmarkEnd w:id="982"/>
    </w:p>
    <w:p>
      <w:pPr>
        <w:pStyle w:val="Subsection"/>
        <w:spacing w:before="120"/>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by No. 78 of 2003 s. 35(1).]</w:t>
      </w:r>
    </w:p>
    <w:p>
      <w:pPr>
        <w:pStyle w:val="Heading5"/>
      </w:pPr>
      <w:bookmarkStart w:id="983" w:name="_Toc473893854"/>
      <w:bookmarkStart w:id="984" w:name="_Toc462413750"/>
      <w:r>
        <w:rPr>
          <w:rStyle w:val="CharSectno"/>
        </w:rPr>
        <w:t>193</w:t>
      </w:r>
      <w:r>
        <w:t>.</w:t>
      </w:r>
      <w:r>
        <w:tab/>
        <w:t>Acting Parliamentary Inspector</w:t>
      </w:r>
      <w:bookmarkEnd w:id="983"/>
      <w:bookmarkEnd w:id="984"/>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by No. 78 of 2003 s. 26 and 35(13); renumbered as section 193 by No. 78 of 2003 s. 35(1).]</w:t>
      </w:r>
    </w:p>
    <w:p>
      <w:pPr>
        <w:pStyle w:val="Heading5"/>
        <w:spacing w:before="180"/>
      </w:pPr>
      <w:bookmarkStart w:id="985" w:name="_Toc473893855"/>
      <w:bookmarkStart w:id="986" w:name="_Toc462413751"/>
      <w:r>
        <w:rPr>
          <w:rStyle w:val="CharSectno"/>
        </w:rPr>
        <w:t>194</w:t>
      </w:r>
      <w:r>
        <w:t>.</w:t>
      </w:r>
      <w:r>
        <w:tab/>
        <w:t>Oath or affirmation of office</w:t>
      </w:r>
      <w:bookmarkEnd w:id="985"/>
      <w:bookmarkEnd w:id="986"/>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by No. 78 of 2003 s. 35(1).]</w:t>
      </w:r>
    </w:p>
    <w:p>
      <w:pPr>
        <w:pStyle w:val="Heading3"/>
      </w:pPr>
      <w:bookmarkStart w:id="987" w:name="_Toc425842913"/>
      <w:bookmarkStart w:id="988" w:name="_Toc426108026"/>
      <w:bookmarkStart w:id="989" w:name="_Toc462413752"/>
      <w:bookmarkStart w:id="990" w:name="_Toc472672552"/>
      <w:bookmarkStart w:id="991" w:name="_Toc472679382"/>
      <w:bookmarkStart w:id="992" w:name="_Toc472680003"/>
      <w:bookmarkStart w:id="993" w:name="_Toc472680348"/>
      <w:bookmarkStart w:id="994" w:name="_Toc473893166"/>
      <w:bookmarkStart w:id="995" w:name="_Toc473893511"/>
      <w:bookmarkStart w:id="996" w:name="_Toc473893856"/>
      <w:r>
        <w:rPr>
          <w:rStyle w:val="CharDivNo"/>
        </w:rPr>
        <w:t>Division 2</w:t>
      </w:r>
      <w:r>
        <w:t> — </w:t>
      </w:r>
      <w:r>
        <w:rPr>
          <w:rStyle w:val="CharDivText"/>
        </w:rPr>
        <w:t>Functions of the Parliamentary Inspector</w:t>
      </w:r>
      <w:bookmarkEnd w:id="987"/>
      <w:bookmarkEnd w:id="988"/>
      <w:bookmarkEnd w:id="989"/>
      <w:bookmarkEnd w:id="990"/>
      <w:bookmarkEnd w:id="991"/>
      <w:bookmarkEnd w:id="992"/>
      <w:bookmarkEnd w:id="993"/>
      <w:bookmarkEnd w:id="994"/>
      <w:bookmarkEnd w:id="995"/>
      <w:bookmarkEnd w:id="996"/>
    </w:p>
    <w:p>
      <w:pPr>
        <w:pStyle w:val="Heading5"/>
      </w:pPr>
      <w:bookmarkStart w:id="997" w:name="_Toc473893857"/>
      <w:bookmarkStart w:id="998" w:name="_Toc462413753"/>
      <w:r>
        <w:rPr>
          <w:rStyle w:val="CharSectno"/>
        </w:rPr>
        <w:t>195</w:t>
      </w:r>
      <w:r>
        <w:t>.</w:t>
      </w:r>
      <w:r>
        <w:tab/>
        <w:t>Functions</w:t>
      </w:r>
      <w:bookmarkEnd w:id="997"/>
      <w:bookmarkEnd w:id="998"/>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999" w:name="_Toc473893858"/>
      <w:bookmarkStart w:id="1000" w:name="_Toc462413754"/>
      <w:r>
        <w:rPr>
          <w:rStyle w:val="CharSectno"/>
        </w:rPr>
        <w:t>196</w:t>
      </w:r>
      <w:r>
        <w:t>.</w:t>
      </w:r>
      <w:r>
        <w:tab/>
        <w:t>Powers</w:t>
      </w:r>
      <w:bookmarkEnd w:id="999"/>
      <w:bookmarkEnd w:id="1000"/>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spacing w:before="120"/>
      </w:pPr>
      <w:r>
        <w:tab/>
        <w:t>(8)</w:t>
      </w:r>
      <w:r>
        <w:tab/>
        <w:t>Where the Parliamentary Inspector proposes to act under subsection (7)(a), the Commission must be given a reasonable opportunity to show cause why its determination should not be annulled.</w:t>
      </w:r>
    </w:p>
    <w:p>
      <w:pPr>
        <w:pStyle w:val="Subsection"/>
        <w:spacing w:before="120"/>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spacing w:before="80"/>
        <w:ind w:left="890" w:hanging="890"/>
      </w:pPr>
      <w:r>
        <w:tab/>
        <w:t>[Section 196 inserted by No. 78 of 2003 s. 28.]</w:t>
      </w:r>
    </w:p>
    <w:p>
      <w:pPr>
        <w:pStyle w:val="Heading5"/>
        <w:spacing w:before="180"/>
      </w:pPr>
      <w:bookmarkStart w:id="1001" w:name="_Toc473893859"/>
      <w:bookmarkStart w:id="1002" w:name="_Toc462413755"/>
      <w:r>
        <w:rPr>
          <w:rStyle w:val="CharSectno"/>
        </w:rPr>
        <w:t>197</w:t>
      </w:r>
      <w:r>
        <w:t>.</w:t>
      </w:r>
      <w:r>
        <w:tab/>
        <w:t>Inquiries</w:t>
      </w:r>
      <w:bookmarkEnd w:id="1001"/>
      <w:bookmarkEnd w:id="1002"/>
    </w:p>
    <w:p>
      <w:pPr>
        <w:pStyle w:val="Subsection"/>
        <w:spacing w:before="120"/>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spacing w:before="120"/>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1003" w:name="_Toc473893860"/>
      <w:bookmarkStart w:id="1004" w:name="_Toc462413756"/>
      <w:r>
        <w:rPr>
          <w:rStyle w:val="CharSectno"/>
        </w:rPr>
        <w:t>198</w:t>
      </w:r>
      <w:r>
        <w:t>.</w:t>
      </w:r>
      <w:r>
        <w:tab/>
        <w:t>Parliamentary Inspector not to interfere with Commission’s operations</w:t>
      </w:r>
      <w:bookmarkEnd w:id="1003"/>
      <w:bookmarkEnd w:id="1004"/>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1005" w:name="_Toc425842918"/>
      <w:bookmarkStart w:id="1006" w:name="_Toc426108031"/>
      <w:bookmarkStart w:id="1007" w:name="_Toc462413757"/>
      <w:bookmarkStart w:id="1008" w:name="_Toc472672557"/>
      <w:bookmarkStart w:id="1009" w:name="_Toc472679387"/>
      <w:bookmarkStart w:id="1010" w:name="_Toc472680008"/>
      <w:bookmarkStart w:id="1011" w:name="_Toc472680353"/>
      <w:bookmarkStart w:id="1012" w:name="_Toc473893171"/>
      <w:bookmarkStart w:id="1013" w:name="_Toc473893516"/>
      <w:bookmarkStart w:id="1014" w:name="_Toc473893861"/>
      <w:r>
        <w:rPr>
          <w:rStyle w:val="CharDivNo"/>
        </w:rPr>
        <w:t>Division 3</w:t>
      </w:r>
      <w:r>
        <w:t> — </w:t>
      </w:r>
      <w:r>
        <w:rPr>
          <w:rStyle w:val="CharDivText"/>
        </w:rPr>
        <w:t>Reporting</w:t>
      </w:r>
      <w:bookmarkEnd w:id="1005"/>
      <w:bookmarkEnd w:id="1006"/>
      <w:bookmarkEnd w:id="1007"/>
      <w:bookmarkEnd w:id="1008"/>
      <w:bookmarkEnd w:id="1009"/>
      <w:bookmarkEnd w:id="1010"/>
      <w:bookmarkEnd w:id="1011"/>
      <w:bookmarkEnd w:id="1012"/>
      <w:bookmarkEnd w:id="1013"/>
      <w:bookmarkEnd w:id="1014"/>
    </w:p>
    <w:p>
      <w:pPr>
        <w:pStyle w:val="Footnoteheading"/>
        <w:keepNext/>
        <w:tabs>
          <w:tab w:val="clear" w:pos="879"/>
          <w:tab w:val="left" w:pos="896"/>
        </w:tabs>
      </w:pPr>
      <w:r>
        <w:tab/>
        <w:t>[Heading inserted by No. 78 of 2003 s. 28.]</w:t>
      </w:r>
    </w:p>
    <w:p>
      <w:pPr>
        <w:pStyle w:val="Heading5"/>
      </w:pPr>
      <w:bookmarkStart w:id="1015" w:name="_Toc473893862"/>
      <w:bookmarkStart w:id="1016" w:name="_Toc462413758"/>
      <w:r>
        <w:rPr>
          <w:rStyle w:val="CharSectno"/>
        </w:rPr>
        <w:t>199</w:t>
      </w:r>
      <w:r>
        <w:t>.</w:t>
      </w:r>
      <w:r>
        <w:tab/>
        <w:t>Report to Parliament may be given at any time</w:t>
      </w:r>
      <w:bookmarkEnd w:id="1015"/>
      <w:bookmarkEnd w:id="1016"/>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keepNext/>
      </w:pPr>
      <w:r>
        <w:tab/>
        <w:t>(2)</w:t>
      </w:r>
      <w:r>
        <w:tab/>
        <w:t>The Parliamentary Inspector may cause a report prepared under this section to be laid before each House of Parliament or dealt with under section 206.</w:t>
      </w:r>
    </w:p>
    <w:p>
      <w:pPr>
        <w:pStyle w:val="Footnotesection"/>
      </w:pPr>
      <w:r>
        <w:tab/>
        <w:t>[Section 199 inserted by No. 78 of 2003 s. 28.]</w:t>
      </w:r>
    </w:p>
    <w:p>
      <w:pPr>
        <w:pStyle w:val="Heading5"/>
      </w:pPr>
      <w:bookmarkStart w:id="1017" w:name="_Toc473893863"/>
      <w:bookmarkStart w:id="1018" w:name="_Toc462413759"/>
      <w:r>
        <w:rPr>
          <w:rStyle w:val="CharSectno"/>
        </w:rPr>
        <w:t>200</w:t>
      </w:r>
      <w:r>
        <w:t>.</w:t>
      </w:r>
      <w:r>
        <w:tab/>
        <w:t>Person subject to adverse report, entitlement of</w:t>
      </w:r>
      <w:bookmarkEnd w:id="1017"/>
      <w:bookmarkEnd w:id="1018"/>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1019" w:name="_Toc473893864"/>
      <w:bookmarkStart w:id="1020" w:name="_Toc462413760"/>
      <w:r>
        <w:rPr>
          <w:rStyle w:val="CharSectno"/>
        </w:rPr>
        <w:t>201</w:t>
      </w:r>
      <w:r>
        <w:t>.</w:t>
      </w:r>
      <w:r>
        <w:tab/>
        <w:t>Report under s. 199 may be made to Standing Committee instead of Parliament</w:t>
      </w:r>
      <w:bookmarkEnd w:id="1019"/>
      <w:bookmarkEnd w:id="1020"/>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by No. 78 of 2003 s. 28.]</w:t>
      </w:r>
    </w:p>
    <w:p>
      <w:pPr>
        <w:pStyle w:val="Heading5"/>
      </w:pPr>
      <w:bookmarkStart w:id="1021" w:name="_Toc473893865"/>
      <w:bookmarkStart w:id="1022" w:name="_Toc462413761"/>
      <w:r>
        <w:rPr>
          <w:rStyle w:val="CharSectno"/>
        </w:rPr>
        <w:t>202</w:t>
      </w:r>
      <w:r>
        <w:t>.</w:t>
      </w:r>
      <w:r>
        <w:tab/>
        <w:t>Disclosure of matters in report</w:t>
      </w:r>
      <w:bookmarkEnd w:id="1021"/>
      <w:bookmarkEnd w:id="1022"/>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by No. 78 of 2003 s. 28.]</w:t>
      </w:r>
    </w:p>
    <w:p>
      <w:pPr>
        <w:pStyle w:val="Heading5"/>
      </w:pPr>
      <w:bookmarkStart w:id="1023" w:name="_Toc473893866"/>
      <w:bookmarkStart w:id="1024" w:name="_Toc462413762"/>
      <w:r>
        <w:rPr>
          <w:rStyle w:val="CharSectno"/>
        </w:rPr>
        <w:t>203</w:t>
      </w:r>
      <w:r>
        <w:t>.</w:t>
      </w:r>
      <w:r>
        <w:tab/>
        <w:t>Annual report to Parliament</w:t>
      </w:r>
      <w:bookmarkEnd w:id="1023"/>
      <w:bookmarkEnd w:id="1024"/>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by No. 78 of 2003 s. 28; amended by No. 77 of 2006 Sch. 1 cl. 35(9); No. 46 of 2009 s. 17.]</w:t>
      </w:r>
    </w:p>
    <w:p>
      <w:pPr>
        <w:pStyle w:val="Heading5"/>
      </w:pPr>
      <w:bookmarkStart w:id="1025" w:name="_Toc473893867"/>
      <w:bookmarkStart w:id="1026" w:name="_Toc462413763"/>
      <w:r>
        <w:rPr>
          <w:rStyle w:val="CharSectno"/>
        </w:rPr>
        <w:t>204</w:t>
      </w:r>
      <w:r>
        <w:t>.</w:t>
      </w:r>
      <w:r>
        <w:tab/>
        <w:t>Periodical report to Parliament</w:t>
      </w:r>
      <w:bookmarkEnd w:id="1025"/>
      <w:bookmarkEnd w:id="1026"/>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by No. 78 of 2003 s. 28.]</w:t>
      </w:r>
    </w:p>
    <w:p>
      <w:pPr>
        <w:pStyle w:val="Heading5"/>
      </w:pPr>
      <w:bookmarkStart w:id="1027" w:name="_Toc473893868"/>
      <w:bookmarkStart w:id="1028" w:name="_Toc462413764"/>
      <w:r>
        <w:rPr>
          <w:rStyle w:val="CharSectno"/>
        </w:rPr>
        <w:t>205</w:t>
      </w:r>
      <w:r>
        <w:t>.</w:t>
      </w:r>
      <w:r>
        <w:tab/>
        <w:t>Reports not to include certain information</w:t>
      </w:r>
      <w:bookmarkEnd w:id="1027"/>
      <w:bookmarkEnd w:id="1028"/>
    </w:p>
    <w:p>
      <w:pPr>
        <w:pStyle w:val="Subsection"/>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1029" w:name="_Toc473893869"/>
      <w:bookmarkStart w:id="1030" w:name="_Toc462413765"/>
      <w:r>
        <w:rPr>
          <w:rStyle w:val="CharSectno"/>
        </w:rPr>
        <w:t>206</w:t>
      </w:r>
      <w:r>
        <w:t>.</w:t>
      </w:r>
      <w:r>
        <w:tab/>
        <w:t>Laying documents before House of Parliament that is not sitting</w:t>
      </w:r>
      <w:bookmarkEnd w:id="1029"/>
      <w:bookmarkEnd w:id="1030"/>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ind w:left="890" w:hanging="890"/>
      </w:pPr>
      <w:r>
        <w:tab/>
        <w:t>[Section 206 inserted by No. 78 of 2003 s. 28.]</w:t>
      </w:r>
    </w:p>
    <w:p>
      <w:pPr>
        <w:pStyle w:val="Heading3"/>
      </w:pPr>
      <w:bookmarkStart w:id="1031" w:name="_Toc425842927"/>
      <w:bookmarkStart w:id="1032" w:name="_Toc426108040"/>
      <w:bookmarkStart w:id="1033" w:name="_Toc462413766"/>
      <w:bookmarkStart w:id="1034" w:name="_Toc472672566"/>
      <w:bookmarkStart w:id="1035" w:name="_Toc472679396"/>
      <w:bookmarkStart w:id="1036" w:name="_Toc472680017"/>
      <w:bookmarkStart w:id="1037" w:name="_Toc472680362"/>
      <w:bookmarkStart w:id="1038" w:name="_Toc473893180"/>
      <w:bookmarkStart w:id="1039" w:name="_Toc473893525"/>
      <w:bookmarkStart w:id="1040" w:name="_Toc473893870"/>
      <w:r>
        <w:rPr>
          <w:rStyle w:val="CharDivNo"/>
        </w:rPr>
        <w:t>Division 4</w:t>
      </w:r>
      <w:r>
        <w:t> — </w:t>
      </w:r>
      <w:r>
        <w:rPr>
          <w:rStyle w:val="CharDivText"/>
        </w:rPr>
        <w:t>Disclosure</w:t>
      </w:r>
      <w:bookmarkEnd w:id="1031"/>
      <w:bookmarkEnd w:id="1032"/>
      <w:bookmarkEnd w:id="1033"/>
      <w:bookmarkEnd w:id="1034"/>
      <w:bookmarkEnd w:id="1035"/>
      <w:bookmarkEnd w:id="1036"/>
      <w:bookmarkEnd w:id="1037"/>
      <w:bookmarkEnd w:id="1038"/>
      <w:bookmarkEnd w:id="1039"/>
      <w:bookmarkEnd w:id="1040"/>
    </w:p>
    <w:p>
      <w:pPr>
        <w:pStyle w:val="Footnoteheading"/>
        <w:keepNext/>
        <w:tabs>
          <w:tab w:val="clear" w:pos="879"/>
          <w:tab w:val="left" w:pos="896"/>
        </w:tabs>
        <w:ind w:left="924" w:hanging="924"/>
      </w:pPr>
      <w:r>
        <w:tab/>
        <w:t>[Division 4 heading, formerly Division 3 heading, renumbered by No. 78 of 2003 s. 35(5).]</w:t>
      </w:r>
    </w:p>
    <w:p>
      <w:pPr>
        <w:pStyle w:val="Heading5"/>
        <w:spacing w:before="240"/>
      </w:pPr>
      <w:bookmarkStart w:id="1041" w:name="_Toc473893871"/>
      <w:bookmarkStart w:id="1042" w:name="_Toc462413767"/>
      <w:r>
        <w:rPr>
          <w:rStyle w:val="CharSectno"/>
        </w:rPr>
        <w:t>207</w:t>
      </w:r>
      <w:r>
        <w:t>.</w:t>
      </w:r>
      <w:r>
        <w:tab/>
        <w:t>Restriction on disclosure generally</w:t>
      </w:r>
      <w:bookmarkEnd w:id="1041"/>
      <w:bookmarkEnd w:id="1042"/>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ind w:left="890" w:hanging="890"/>
      </w:pPr>
      <w:r>
        <w:tab/>
        <w:t>[Section 207, formerly section 41, amended by No. 78 of 2003 s. 35(13); renumbered as section 207 by No. 78 of 2003 s. 35(1).]</w:t>
      </w:r>
    </w:p>
    <w:p>
      <w:pPr>
        <w:pStyle w:val="Heading5"/>
      </w:pPr>
      <w:bookmarkStart w:id="1043" w:name="_Toc473893872"/>
      <w:bookmarkStart w:id="1044" w:name="_Toc462413768"/>
      <w:r>
        <w:rPr>
          <w:rStyle w:val="CharSectno"/>
        </w:rPr>
        <w:t>208</w:t>
      </w:r>
      <w:r>
        <w:t>.</w:t>
      </w:r>
      <w:r>
        <w:tab/>
        <w:t>Disclosure by Parliamentary Inspector or officer</w:t>
      </w:r>
      <w:bookmarkEnd w:id="1043"/>
      <w:bookmarkEnd w:id="1044"/>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keepNext/>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spacing w:before="180"/>
      </w:pPr>
      <w:bookmarkStart w:id="1045" w:name="_Toc473893873"/>
      <w:bookmarkStart w:id="1046" w:name="_Toc462413769"/>
      <w:r>
        <w:rPr>
          <w:rStyle w:val="CharSectno"/>
        </w:rPr>
        <w:t>209</w:t>
      </w:r>
      <w:r>
        <w:t>.</w:t>
      </w:r>
      <w:r>
        <w:tab/>
        <w:t>Disclosure by other officials</w:t>
      </w:r>
      <w:bookmarkEnd w:id="1045"/>
      <w:bookmarkEnd w:id="1046"/>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1047" w:name="_Toc425842931"/>
      <w:bookmarkStart w:id="1048" w:name="_Toc426108044"/>
      <w:bookmarkStart w:id="1049" w:name="_Toc462413770"/>
      <w:bookmarkStart w:id="1050" w:name="_Toc472672570"/>
      <w:bookmarkStart w:id="1051" w:name="_Toc472679400"/>
      <w:bookmarkStart w:id="1052" w:name="_Toc472680021"/>
      <w:bookmarkStart w:id="1053" w:name="_Toc472680366"/>
      <w:bookmarkStart w:id="1054" w:name="_Toc473893184"/>
      <w:bookmarkStart w:id="1055" w:name="_Toc473893529"/>
      <w:bookmarkStart w:id="1056" w:name="_Toc473893874"/>
      <w:r>
        <w:rPr>
          <w:rStyle w:val="CharDivNo"/>
        </w:rPr>
        <w:t>Division 5</w:t>
      </w:r>
      <w:r>
        <w:t> — </w:t>
      </w:r>
      <w:r>
        <w:rPr>
          <w:rStyle w:val="CharDivText"/>
        </w:rPr>
        <w:t>Staff</w:t>
      </w:r>
      <w:bookmarkEnd w:id="1047"/>
      <w:bookmarkEnd w:id="1048"/>
      <w:bookmarkEnd w:id="1049"/>
      <w:bookmarkEnd w:id="1050"/>
      <w:bookmarkEnd w:id="1051"/>
      <w:bookmarkEnd w:id="1052"/>
      <w:bookmarkEnd w:id="1053"/>
      <w:bookmarkEnd w:id="1054"/>
      <w:bookmarkEnd w:id="1055"/>
      <w:bookmarkEnd w:id="1056"/>
    </w:p>
    <w:p>
      <w:pPr>
        <w:pStyle w:val="Footnoteheading"/>
        <w:keepNext/>
        <w:tabs>
          <w:tab w:val="clear" w:pos="879"/>
          <w:tab w:val="left" w:pos="896"/>
        </w:tabs>
        <w:ind w:left="924" w:hanging="924"/>
      </w:pPr>
      <w:r>
        <w:tab/>
        <w:t>[Division 5 heading, formerly Division 4 heading, renumbered by No. 78 of 2003 s. 35(6).]</w:t>
      </w:r>
    </w:p>
    <w:p>
      <w:pPr>
        <w:pStyle w:val="Heading5"/>
      </w:pPr>
      <w:bookmarkStart w:id="1057" w:name="_Toc473893875"/>
      <w:bookmarkStart w:id="1058" w:name="_Toc462413771"/>
      <w:r>
        <w:rPr>
          <w:rStyle w:val="CharSectno"/>
        </w:rPr>
        <w:t>210</w:t>
      </w:r>
      <w:r>
        <w:t>.</w:t>
      </w:r>
      <w:r>
        <w:tab/>
        <w:t>Staff of Parliamentary Inspector</w:t>
      </w:r>
      <w:bookmarkEnd w:id="1057"/>
      <w:bookmarkEnd w:id="1058"/>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by No. 78 of 2003 s. 35(1).]</w:t>
      </w:r>
    </w:p>
    <w:p>
      <w:pPr>
        <w:pStyle w:val="Heading5"/>
      </w:pPr>
      <w:bookmarkStart w:id="1059" w:name="_Toc473893876"/>
      <w:bookmarkStart w:id="1060" w:name="_Toc462413772"/>
      <w:r>
        <w:rPr>
          <w:rStyle w:val="CharSectno"/>
        </w:rPr>
        <w:t>211</w:t>
      </w:r>
      <w:r>
        <w:t>.</w:t>
      </w:r>
      <w:r>
        <w:tab/>
        <w:t>Entitlements of public service officers</w:t>
      </w:r>
      <w:bookmarkEnd w:id="1059"/>
      <w:bookmarkEnd w:id="1060"/>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3</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by No. 78 of 2003 s. 35(13); renumbered as section 211 by No. 78 of 2003 s. 35(1).]</w:t>
      </w:r>
    </w:p>
    <w:p>
      <w:pPr>
        <w:pStyle w:val="Heading5"/>
      </w:pPr>
      <w:bookmarkStart w:id="1061" w:name="_Toc473893877"/>
      <w:bookmarkStart w:id="1062" w:name="_Toc462413773"/>
      <w:r>
        <w:rPr>
          <w:rStyle w:val="CharSectno"/>
        </w:rPr>
        <w:t>212</w:t>
      </w:r>
      <w:r>
        <w:t>.</w:t>
      </w:r>
      <w:r>
        <w:tab/>
        <w:t>Secondment of staff and use of facilities</w:t>
      </w:r>
      <w:bookmarkEnd w:id="1061"/>
      <w:bookmarkEnd w:id="1062"/>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keepNext/>
        <w:keepLines/>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by No. 78 of 2003 s. 35(1).]</w:t>
      </w:r>
    </w:p>
    <w:p>
      <w:pPr>
        <w:pStyle w:val="Heading5"/>
      </w:pPr>
      <w:bookmarkStart w:id="1063" w:name="_Toc473893878"/>
      <w:bookmarkStart w:id="1064" w:name="_Toc462413774"/>
      <w:r>
        <w:rPr>
          <w:rStyle w:val="CharSectno"/>
        </w:rPr>
        <w:t>213</w:t>
      </w:r>
      <w:r>
        <w:t>.</w:t>
      </w:r>
      <w:r>
        <w:tab/>
        <w:t>Engagement of service providers</w:t>
      </w:r>
      <w:bookmarkEnd w:id="1063"/>
      <w:bookmarkEnd w:id="1064"/>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by No. 78 of 2003 s. 35(1).]</w:t>
      </w:r>
    </w:p>
    <w:p>
      <w:pPr>
        <w:pStyle w:val="Heading5"/>
      </w:pPr>
      <w:bookmarkStart w:id="1065" w:name="_Toc473893879"/>
      <w:bookmarkStart w:id="1066" w:name="_Toc462413775"/>
      <w:r>
        <w:rPr>
          <w:rStyle w:val="CharSectno"/>
        </w:rPr>
        <w:t>214</w:t>
      </w:r>
      <w:r>
        <w:t>.</w:t>
      </w:r>
      <w:r>
        <w:tab/>
        <w:t>Oath of secrecy for officers</w:t>
      </w:r>
      <w:bookmarkEnd w:id="1065"/>
      <w:bookmarkEnd w:id="1066"/>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1067" w:name="_Toc425842937"/>
      <w:bookmarkStart w:id="1068" w:name="_Toc426108050"/>
      <w:bookmarkStart w:id="1069" w:name="_Toc462413776"/>
      <w:bookmarkStart w:id="1070" w:name="_Toc472672576"/>
      <w:bookmarkStart w:id="1071" w:name="_Toc472679406"/>
      <w:bookmarkStart w:id="1072" w:name="_Toc472680027"/>
      <w:bookmarkStart w:id="1073" w:name="_Toc472680372"/>
      <w:bookmarkStart w:id="1074" w:name="_Toc473893190"/>
      <w:bookmarkStart w:id="1075" w:name="_Toc473893535"/>
      <w:bookmarkStart w:id="1076" w:name="_Toc473893880"/>
      <w:r>
        <w:rPr>
          <w:rStyle w:val="CharDivNo"/>
        </w:rPr>
        <w:t>Division 6</w:t>
      </w:r>
      <w:r>
        <w:t> — </w:t>
      </w:r>
      <w:r>
        <w:rPr>
          <w:rStyle w:val="CharDivText"/>
        </w:rPr>
        <w:t>Financial provisions</w:t>
      </w:r>
      <w:bookmarkEnd w:id="1067"/>
      <w:bookmarkEnd w:id="1068"/>
      <w:bookmarkEnd w:id="1069"/>
      <w:bookmarkEnd w:id="1070"/>
      <w:bookmarkEnd w:id="1071"/>
      <w:bookmarkEnd w:id="1072"/>
      <w:bookmarkEnd w:id="1073"/>
      <w:bookmarkEnd w:id="1074"/>
      <w:bookmarkEnd w:id="1075"/>
      <w:bookmarkEnd w:id="1076"/>
    </w:p>
    <w:p>
      <w:pPr>
        <w:pStyle w:val="Footnoteheading"/>
        <w:keepNext/>
        <w:tabs>
          <w:tab w:val="clear" w:pos="879"/>
          <w:tab w:val="left" w:pos="896"/>
        </w:tabs>
        <w:spacing w:before="80"/>
        <w:ind w:left="936" w:hanging="896"/>
      </w:pPr>
      <w:r>
        <w:tab/>
        <w:t>[Division 6 heading, formerly Division 5 heading, renumbered by No. 78 of 2003 s. 35(7).]</w:t>
      </w:r>
    </w:p>
    <w:p>
      <w:pPr>
        <w:pStyle w:val="Heading5"/>
        <w:spacing w:before="180"/>
      </w:pPr>
      <w:bookmarkStart w:id="1077" w:name="_Toc473893881"/>
      <w:bookmarkStart w:id="1078" w:name="_Toc462413777"/>
      <w:r>
        <w:rPr>
          <w:rStyle w:val="CharSectno"/>
        </w:rPr>
        <w:t>215</w:t>
      </w:r>
      <w:r>
        <w:t>.</w:t>
      </w:r>
      <w:r>
        <w:tab/>
        <w:t>Funds of Parliamentary Inspector</w:t>
      </w:r>
      <w:bookmarkEnd w:id="1077"/>
      <w:bookmarkEnd w:id="1078"/>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r>
        <w:tab/>
        <w:t>[Section 215, formerly section 49, amended by No. 78 of 2003 s. 35(13); renumbered as section 215 by No. 78 of 2003 s. 35(1); amended by No. 77 of 2006 Sch. 1 cl. 35(10) and (11).]</w:t>
      </w:r>
    </w:p>
    <w:p>
      <w:pPr>
        <w:pStyle w:val="Heading5"/>
        <w:rPr>
          <w:i/>
        </w:rPr>
      </w:pPr>
      <w:bookmarkStart w:id="1079" w:name="_Toc473893882"/>
      <w:bookmarkStart w:id="1080" w:name="_Toc462413778"/>
      <w:r>
        <w:rPr>
          <w:rStyle w:val="CharSectno"/>
        </w:rPr>
        <w:t>216</w:t>
      </w:r>
      <w:r>
        <w:t>.</w:t>
      </w:r>
      <w:r>
        <w:tab/>
        <w:t xml:space="preserve">Application of </w:t>
      </w:r>
      <w:r>
        <w:rPr>
          <w:i/>
          <w:iCs/>
        </w:rPr>
        <w:t>Financial Management Act 2006</w:t>
      </w:r>
      <w:r>
        <w:t xml:space="preserve"> and </w:t>
      </w:r>
      <w:r>
        <w:rPr>
          <w:i/>
          <w:iCs/>
        </w:rPr>
        <w:t>Auditor General Act 2006</w:t>
      </w:r>
      <w:bookmarkEnd w:id="1079"/>
      <w:bookmarkEnd w:id="1080"/>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1081" w:name="_Toc425842940"/>
      <w:bookmarkStart w:id="1082" w:name="_Toc426108053"/>
      <w:bookmarkStart w:id="1083" w:name="_Toc462413779"/>
      <w:bookmarkStart w:id="1084" w:name="_Toc472672579"/>
      <w:bookmarkStart w:id="1085" w:name="_Toc472679409"/>
      <w:bookmarkStart w:id="1086" w:name="_Toc472680030"/>
      <w:bookmarkStart w:id="1087" w:name="_Toc472680375"/>
      <w:bookmarkStart w:id="1088" w:name="_Toc473893193"/>
      <w:bookmarkStart w:id="1089" w:name="_Toc473893538"/>
      <w:bookmarkStart w:id="1090" w:name="_Toc473893883"/>
      <w:r>
        <w:rPr>
          <w:rStyle w:val="CharPartNo"/>
        </w:rPr>
        <w:t>Part 13A</w:t>
      </w:r>
      <w:r>
        <w:rPr>
          <w:rStyle w:val="CharDivNo"/>
        </w:rPr>
        <w:t> </w:t>
      </w:r>
      <w:r>
        <w:t>—</w:t>
      </w:r>
      <w:r>
        <w:rPr>
          <w:rStyle w:val="CharDivText"/>
        </w:rPr>
        <w:t> </w:t>
      </w:r>
      <w:r>
        <w:rPr>
          <w:rStyle w:val="CharPartText"/>
        </w:rPr>
        <w:t>Standing Committee</w:t>
      </w:r>
      <w:bookmarkEnd w:id="1081"/>
      <w:bookmarkEnd w:id="1082"/>
      <w:bookmarkEnd w:id="1083"/>
      <w:bookmarkEnd w:id="1084"/>
      <w:bookmarkEnd w:id="1085"/>
      <w:bookmarkEnd w:id="1086"/>
      <w:bookmarkEnd w:id="1087"/>
      <w:bookmarkEnd w:id="1088"/>
      <w:bookmarkEnd w:id="1089"/>
      <w:bookmarkEnd w:id="1090"/>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1091" w:name="_Toc473893884"/>
      <w:bookmarkStart w:id="1092" w:name="_Toc462413780"/>
      <w:r>
        <w:rPr>
          <w:rStyle w:val="CharSectno"/>
        </w:rPr>
        <w:t>216A</w:t>
      </w:r>
      <w:r>
        <w:t>.</w:t>
      </w:r>
      <w:r>
        <w:tab/>
        <w:t>Standing committee of Houses of Parliament</w:t>
      </w:r>
      <w:bookmarkEnd w:id="1091"/>
      <w:bookmarkEnd w:id="1092"/>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1093" w:name="_Toc425842942"/>
      <w:bookmarkStart w:id="1094" w:name="_Toc426108055"/>
      <w:bookmarkStart w:id="1095" w:name="_Toc462413781"/>
      <w:bookmarkStart w:id="1096" w:name="_Toc472672581"/>
      <w:bookmarkStart w:id="1097" w:name="_Toc472679411"/>
      <w:bookmarkStart w:id="1098" w:name="_Toc472680032"/>
      <w:bookmarkStart w:id="1099" w:name="_Toc472680377"/>
      <w:bookmarkStart w:id="1100" w:name="_Toc473893195"/>
      <w:bookmarkStart w:id="1101" w:name="_Toc473893540"/>
      <w:bookmarkStart w:id="1102" w:name="_Toc473893885"/>
      <w:r>
        <w:rPr>
          <w:rStyle w:val="CharPartNo"/>
        </w:rPr>
        <w:t>Part 14</w:t>
      </w:r>
      <w:r>
        <w:rPr>
          <w:rStyle w:val="CharDivNo"/>
        </w:rPr>
        <w:t> </w:t>
      </w:r>
      <w:r>
        <w:t>—</w:t>
      </w:r>
      <w:r>
        <w:rPr>
          <w:rStyle w:val="CharDivText"/>
        </w:rPr>
        <w:t> </w:t>
      </w:r>
      <w:r>
        <w:rPr>
          <w:rStyle w:val="CharPartText"/>
        </w:rPr>
        <w:t>Other matters</w:t>
      </w:r>
      <w:bookmarkEnd w:id="1093"/>
      <w:bookmarkEnd w:id="1094"/>
      <w:bookmarkEnd w:id="1095"/>
      <w:bookmarkEnd w:id="1096"/>
      <w:bookmarkEnd w:id="1097"/>
      <w:bookmarkEnd w:id="1098"/>
      <w:bookmarkEnd w:id="1099"/>
      <w:bookmarkEnd w:id="1100"/>
      <w:bookmarkEnd w:id="1101"/>
      <w:bookmarkEnd w:id="1102"/>
    </w:p>
    <w:p>
      <w:pPr>
        <w:pStyle w:val="Footnoteheading"/>
        <w:keepNext/>
        <w:tabs>
          <w:tab w:val="clear" w:pos="879"/>
          <w:tab w:val="left" w:pos="896"/>
        </w:tabs>
        <w:spacing w:before="80"/>
        <w:ind w:left="924" w:hanging="924"/>
      </w:pPr>
      <w:r>
        <w:tab/>
        <w:t>[Part 14 heading, formerly Part 6 heading, renumbered by No. 78 of 2003 s. 35(8).]</w:t>
      </w:r>
    </w:p>
    <w:p>
      <w:pPr>
        <w:pStyle w:val="Heading5"/>
        <w:spacing w:before="180"/>
      </w:pPr>
      <w:bookmarkStart w:id="1103" w:name="_Toc473893886"/>
      <w:bookmarkStart w:id="1104" w:name="_Toc462413782"/>
      <w:r>
        <w:rPr>
          <w:rStyle w:val="CharSectno"/>
        </w:rPr>
        <w:t>217A</w:t>
      </w:r>
      <w:r>
        <w:t>.</w:t>
      </w:r>
      <w:r>
        <w:tab/>
        <w:t>Findings and opinions of Commission or Public Sector Commissioner</w:t>
      </w:r>
      <w:bookmarkEnd w:id="1103"/>
      <w:bookmarkEnd w:id="1104"/>
    </w:p>
    <w:p>
      <w:pPr>
        <w:pStyle w:val="Subsection"/>
        <w:spacing w:before="120"/>
      </w:pPr>
      <w:r>
        <w:tab/>
        <w:t>(1)</w:t>
      </w:r>
      <w:r>
        <w:tab/>
        <w:t>This section applies in relation to a finding made, or an opinion formed or expressed, by the Commission or the Public Sector Commissioner in the course of performing a function under this Act.</w:t>
      </w:r>
    </w:p>
    <w:p>
      <w:pPr>
        <w:pStyle w:val="Subsection"/>
        <w:spacing w:before="120"/>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Subsection"/>
        <w:spacing w:before="120"/>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Footnotesection"/>
      </w:pPr>
      <w:r>
        <w:tab/>
        <w:t>[Section 217A inserted by No. 35 of 2014 s. 26.]</w:t>
      </w:r>
    </w:p>
    <w:p>
      <w:pPr>
        <w:pStyle w:val="Heading5"/>
        <w:spacing w:before="160"/>
      </w:pPr>
      <w:bookmarkStart w:id="1105" w:name="_Toc473893887"/>
      <w:bookmarkStart w:id="1106" w:name="_Toc462413783"/>
      <w:r>
        <w:rPr>
          <w:rStyle w:val="CharSectno"/>
        </w:rPr>
        <w:t>217</w:t>
      </w:r>
      <w:r>
        <w:t>.</w:t>
      </w:r>
      <w:r>
        <w:tab/>
        <w:t>Facilitating proof of certain documents</w:t>
      </w:r>
      <w:bookmarkEnd w:id="1105"/>
      <w:bookmarkEnd w:id="1106"/>
    </w:p>
    <w:p>
      <w:pPr>
        <w:pStyle w:val="Subsection"/>
        <w:spacing w:before="120"/>
        <w:rPr>
          <w:snapToGrid w:val="0"/>
        </w:rPr>
      </w:pPr>
      <w:r>
        <w:tab/>
        <w:t>(1)</w:t>
      </w:r>
      <w:r>
        <w:tab/>
      </w:r>
      <w:r>
        <w:rPr>
          <w:snapToGrid w:val="0"/>
        </w:rPr>
        <w:t>In all legal proceedings the production of — </w:t>
      </w:r>
    </w:p>
    <w:p>
      <w:pPr>
        <w:pStyle w:val="Indenta"/>
        <w:spacing w:before="60"/>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spacing w:before="60"/>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spacing w:before="80"/>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1107" w:name="_Toc473893888"/>
      <w:bookmarkStart w:id="1108" w:name="_Toc462413784"/>
      <w:r>
        <w:rPr>
          <w:rStyle w:val="CharSectno"/>
        </w:rPr>
        <w:t>218</w:t>
      </w:r>
      <w:r>
        <w:t>.</w:t>
      </w:r>
      <w:r>
        <w:tab/>
        <w:t>Disclosure of material personal interests</w:t>
      </w:r>
      <w:bookmarkEnd w:id="1107"/>
      <w:bookmarkEnd w:id="1108"/>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keepLines/>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by No. 78 of 2003 s. 35(1).]</w:t>
      </w:r>
    </w:p>
    <w:p>
      <w:pPr>
        <w:pStyle w:val="Heading5"/>
      </w:pPr>
      <w:bookmarkStart w:id="1109" w:name="_Toc473893889"/>
      <w:bookmarkStart w:id="1110" w:name="_Toc462413785"/>
      <w:r>
        <w:rPr>
          <w:rStyle w:val="CharSectno"/>
        </w:rPr>
        <w:t>219</w:t>
      </w:r>
      <w:r>
        <w:t>.</w:t>
      </w:r>
      <w:r>
        <w:tab/>
        <w:t>Protection from liability</w:t>
      </w:r>
      <w:bookmarkEnd w:id="1109"/>
      <w:bookmarkEnd w:id="1110"/>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Commission; or</w:t>
      </w:r>
    </w:p>
    <w:p>
      <w:pPr>
        <w:pStyle w:val="Defpara"/>
      </w:pPr>
      <w:r>
        <w:tab/>
        <w:t>(b)</w:t>
      </w:r>
      <w:r>
        <w:tab/>
        <w:t>any person acting on behalf of, or with the authority of, the Commission; or</w:t>
      </w:r>
    </w:p>
    <w:p>
      <w:pPr>
        <w:pStyle w:val="Defpara"/>
      </w:pPr>
      <w:r>
        <w:tab/>
        <w:t>(c)</w:t>
      </w:r>
      <w:r>
        <w:tab/>
        <w:t>the Public Sector Commissioner; or</w:t>
      </w:r>
    </w:p>
    <w:p>
      <w:pPr>
        <w:pStyle w:val="Defpara"/>
      </w:pPr>
      <w:r>
        <w:tab/>
        <w:t>(d)</w:t>
      </w:r>
      <w:r>
        <w:tab/>
        <w:t>any person acting on behalf of, or with the authority of, the Public Sector Commissioner; or</w:t>
      </w:r>
    </w:p>
    <w:p>
      <w:pPr>
        <w:pStyle w:val="Defpara"/>
      </w:pPr>
      <w:r>
        <w:tab/>
        <w:t>(e)</w:t>
      </w:r>
      <w:r>
        <w:tab/>
        <w:t>the Parliamentary Inspector; or</w:t>
      </w:r>
    </w:p>
    <w:p>
      <w:pPr>
        <w:pStyle w:val="Defpara"/>
      </w:pPr>
      <w:r>
        <w:tab/>
        <w:t>(f)</w:t>
      </w:r>
      <w:r>
        <w:tab/>
        <w:t>any person acting on behalf of, or with the authority of, the Parliamentary Inspector.</w:t>
      </w:r>
    </w:p>
    <w:p>
      <w:pPr>
        <w:pStyle w:val="Subsection"/>
      </w:pPr>
      <w:r>
        <w:tab/>
        <w:t>(2)</w:t>
      </w:r>
      <w:r>
        <w:tab/>
        <w:t xml:space="preserve">No action or claim for damages lies against an official for or on account of anything done or omitted, or ordered or authorised to be done or omitted — </w:t>
      </w:r>
    </w:p>
    <w:p>
      <w:pPr>
        <w:pStyle w:val="Indenta"/>
      </w:pPr>
      <w:r>
        <w:tab/>
        <w:t>(a)</w:t>
      </w:r>
      <w:r>
        <w:tab/>
        <w:t>under, or apparently under, this Act; or</w:t>
      </w:r>
    </w:p>
    <w:p>
      <w:pPr>
        <w:pStyle w:val="Indenta"/>
      </w:pPr>
      <w:r>
        <w:tab/>
        <w:t>(b)</w:t>
      </w:r>
      <w:r>
        <w:tab/>
        <w:t>for the purpose, or apparently for the purpose, of giving effect to this Act.</w:t>
      </w:r>
    </w:p>
    <w:p>
      <w:pPr>
        <w:pStyle w:val="Subsection"/>
      </w:pPr>
      <w:r>
        <w:tab/>
        <w:t>(3)</w:t>
      </w:r>
      <w:r>
        <w:tab/>
        <w:t>Subsection (2) does not apply if it is proved that the thing was done or omitted, or ordered or authorised to be done or omitted, maliciously and without reasonable and probable cause.</w:t>
      </w:r>
    </w:p>
    <w:p>
      <w:pPr>
        <w:pStyle w:val="Footnotesection"/>
      </w:pPr>
      <w:r>
        <w:tab/>
        <w:t>[Section 219 inserted by No. 35 of 2014 s. 27.]</w:t>
      </w:r>
    </w:p>
    <w:p>
      <w:pPr>
        <w:pStyle w:val="Heading5"/>
      </w:pPr>
      <w:bookmarkStart w:id="1111" w:name="_Toc473893890"/>
      <w:bookmarkStart w:id="1112" w:name="_Toc462413786"/>
      <w:r>
        <w:rPr>
          <w:rStyle w:val="CharSectno"/>
        </w:rPr>
        <w:t>220</w:t>
      </w:r>
      <w:r>
        <w:t>.</w:t>
      </w:r>
      <w:r>
        <w:tab/>
        <w:t>Protection of persons making allegations and certain disclosures and giving information</w:t>
      </w:r>
      <w:bookmarkEnd w:id="1111"/>
      <w:bookmarkEnd w:id="1112"/>
    </w:p>
    <w:p>
      <w:pPr>
        <w:pStyle w:val="Subsection"/>
        <w:spacing w:before="120"/>
      </w:pPr>
      <w:r>
        <w:tab/>
        <w:t>(1)</w:t>
      </w:r>
      <w:r>
        <w:tab/>
        <w:t xml:space="preserve">In this section — </w:t>
      </w:r>
    </w:p>
    <w:p>
      <w:pPr>
        <w:pStyle w:val="Defstart"/>
        <w:spacing w:before="60"/>
      </w:pPr>
      <w:r>
        <w:rPr>
          <w:b/>
        </w:rPr>
        <w:tab/>
      </w:r>
      <w:r>
        <w:rPr>
          <w:rStyle w:val="CharDefText"/>
        </w:rPr>
        <w:t>allegation</w:t>
      </w:r>
      <w:r>
        <w:t xml:space="preserve"> includes any matter reported, notified or referred to the Parliamentary Inspector.</w:t>
      </w:r>
    </w:p>
    <w:p>
      <w:pPr>
        <w:pStyle w:val="Subsection"/>
        <w:spacing w:before="120"/>
      </w:pPr>
      <w:r>
        <w:tab/>
        <w:t>(2)</w:t>
      </w:r>
      <w:r>
        <w:tab/>
        <w:t>If an allegation has been made to the Commission, the Public Sector Commissioner or the Parliamentary Inspector or any information has been given to the Commission, the Public Sector Commissioner or the Parliamentary Inspector no civil or criminal liability, other than liability under this Act, attaches to a person by reason that the allegation was made or the information was given.</w:t>
      </w:r>
    </w:p>
    <w:p>
      <w:pPr>
        <w:pStyle w:val="Subsection"/>
        <w:spacing w:before="120"/>
      </w:pPr>
      <w:r>
        <w:tab/>
        <w:t>(3)</w:t>
      </w:r>
      <w:r>
        <w:tab/>
        <w:t xml:space="preserve">If a Minister or an independent agency discloses, in good faith — </w:t>
      </w:r>
    </w:p>
    <w:p>
      <w:pPr>
        <w:pStyle w:val="Indenta"/>
        <w:spacing w:before="60"/>
      </w:pPr>
      <w:r>
        <w:tab/>
        <w:t>(a)</w:t>
      </w:r>
      <w:r>
        <w:tab/>
        <w:t>the fact that the Commission or the Public Sector Commissioner has received or initiated an allegation or the details of an allegation; or</w:t>
      </w:r>
    </w:p>
    <w:p>
      <w:pPr>
        <w:pStyle w:val="Indenta"/>
        <w:spacing w:before="60"/>
      </w:pPr>
      <w:r>
        <w:tab/>
        <w:t>(b)</w:t>
      </w:r>
      <w:r>
        <w:tab/>
        <w:t>the fact that the Parliamentary Inspector has received an allegation or the details of an allegation received by the Parliamentary Inspector,</w:t>
      </w:r>
    </w:p>
    <w:p>
      <w:pPr>
        <w:pStyle w:val="Subsection"/>
        <w:spacing w:before="100"/>
      </w:pPr>
      <w:r>
        <w:tab/>
      </w:r>
      <w:r>
        <w:tab/>
        <w:t>no civil or criminal liability attaches to the State, a Minister or an independent agency by reason of that disclosure.</w:t>
      </w:r>
    </w:p>
    <w:p>
      <w:pPr>
        <w:pStyle w:val="Subsection"/>
        <w:spacing w:before="100"/>
      </w:pPr>
      <w:r>
        <w:tab/>
        <w:t>(4)</w:t>
      </w:r>
      <w:r>
        <w:tab/>
        <w:t xml:space="preserve">If — </w:t>
      </w:r>
    </w:p>
    <w:p>
      <w:pPr>
        <w:pStyle w:val="Indenta"/>
        <w:spacing w:before="60"/>
      </w:pPr>
      <w:r>
        <w:tab/>
        <w:t>(a)</w:t>
      </w:r>
      <w:r>
        <w:tab/>
        <w:t>the principal officer of a notifying authority; or</w:t>
      </w:r>
    </w:p>
    <w:p>
      <w:pPr>
        <w:pStyle w:val="Indenta"/>
        <w:spacing w:before="60"/>
      </w:pPr>
      <w:r>
        <w:tab/>
        <w:t>(b)</w:t>
      </w:r>
      <w:r>
        <w:tab/>
        <w:t>the officer constituting a notifying authority,</w:t>
      </w:r>
    </w:p>
    <w:p>
      <w:pPr>
        <w:pStyle w:val="Subsection"/>
        <w:spacing w:before="100"/>
      </w:pPr>
      <w:r>
        <w:tab/>
      </w:r>
      <w:r>
        <w:tab/>
        <w:t>discloses, in good faith, the fact that the officer has made an allegation to the Commission or the Public Sector Commissioner or the details of an allegation that the officer has made to the Commission or the Public Sector Commissioner, no civil or criminal liability attaches to the State, a Minister, the notifying authority or the principal officer or officer by reason of that disclosure.</w:t>
      </w:r>
    </w:p>
    <w:p>
      <w:pPr>
        <w:pStyle w:val="Footnotesection"/>
        <w:spacing w:before="60"/>
        <w:ind w:left="890" w:hanging="890"/>
      </w:pPr>
      <w:r>
        <w:tab/>
        <w:t>[Section 220, formerly section 54, renumbered as section 220 by No. 78 of 2003 s. 35(1); amended by No. 35 of 2014 s. 28.]</w:t>
      </w:r>
    </w:p>
    <w:p>
      <w:pPr>
        <w:pStyle w:val="Heading5"/>
      </w:pPr>
      <w:bookmarkStart w:id="1113" w:name="_Toc473893891"/>
      <w:bookmarkStart w:id="1114" w:name="_Toc462413787"/>
      <w:r>
        <w:rPr>
          <w:rStyle w:val="CharSectno"/>
        </w:rPr>
        <w:t>221</w:t>
      </w:r>
      <w:r>
        <w:t>.</w:t>
      </w:r>
      <w:r>
        <w:tab/>
        <w:t>Protection for compliance with this Act</w:t>
      </w:r>
      <w:bookmarkEnd w:id="1113"/>
      <w:bookmarkEnd w:id="1114"/>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by No. 78 of 2003 s. 35(1).]</w:t>
      </w:r>
    </w:p>
    <w:p>
      <w:pPr>
        <w:pStyle w:val="Heading5"/>
      </w:pPr>
      <w:bookmarkStart w:id="1115" w:name="_Toc473893892"/>
      <w:bookmarkStart w:id="1116" w:name="_Toc462413788"/>
      <w:r>
        <w:rPr>
          <w:rStyle w:val="CharSectno"/>
        </w:rPr>
        <w:t>222</w:t>
      </w:r>
      <w:r>
        <w:t>.</w:t>
      </w:r>
      <w:r>
        <w:tab/>
        <w:t>Proceedings for defamation not to lie</w:t>
      </w:r>
      <w:bookmarkEnd w:id="1115"/>
      <w:bookmarkEnd w:id="1116"/>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the Public Sector Commissioner or the Parliamentary Inspector.</w:t>
      </w:r>
    </w:p>
    <w:p>
      <w:pPr>
        <w:pStyle w:val="Footnotesection"/>
      </w:pPr>
      <w:r>
        <w:tab/>
        <w:t>[Section 222, formerly section 56, renumbered as section 222 by No. 78 of 2003 s. 35(1); amended by No. 35 of 2014 s. 29.]</w:t>
      </w:r>
    </w:p>
    <w:p>
      <w:pPr>
        <w:pStyle w:val="Heading5"/>
      </w:pPr>
      <w:bookmarkStart w:id="1117" w:name="_Toc473893893"/>
      <w:bookmarkStart w:id="1118" w:name="_Toc462413789"/>
      <w:r>
        <w:rPr>
          <w:rStyle w:val="CharSectno"/>
        </w:rPr>
        <w:t>223</w:t>
      </w:r>
      <w:r>
        <w:t>.</w:t>
      </w:r>
      <w:r>
        <w:tab/>
        <w:t>Privilege, protection or immunity not limited or abridged</w:t>
      </w:r>
      <w:bookmarkEnd w:id="1117"/>
      <w:bookmarkEnd w:id="1118"/>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1119" w:name="_Toc473893894"/>
      <w:bookmarkStart w:id="1120" w:name="_Toc462413790"/>
      <w:r>
        <w:rPr>
          <w:rStyle w:val="CharSectno"/>
        </w:rPr>
        <w:t>223A</w:t>
      </w:r>
      <w:r>
        <w:t>.</w:t>
      </w:r>
      <w:r>
        <w:tab/>
        <w:t>Disposal of things seized under this Act</w:t>
      </w:r>
      <w:bookmarkEnd w:id="1119"/>
      <w:bookmarkEnd w:id="1120"/>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spacing w:before="80"/>
        <w:ind w:left="890" w:hanging="890"/>
      </w:pPr>
      <w:r>
        <w:tab/>
        <w:t xml:space="preserve">[Section 223A inserted by No. 59 of 2006 s. 12.] </w:t>
      </w:r>
    </w:p>
    <w:p>
      <w:pPr>
        <w:pStyle w:val="Heading5"/>
        <w:spacing w:before="180"/>
      </w:pPr>
      <w:bookmarkStart w:id="1121" w:name="_Toc473893895"/>
      <w:bookmarkStart w:id="1122" w:name="_Toc462413791"/>
      <w:r>
        <w:rPr>
          <w:rStyle w:val="CharSectno"/>
        </w:rPr>
        <w:t>224</w:t>
      </w:r>
      <w:r>
        <w:t>.</w:t>
      </w:r>
      <w:r>
        <w:tab/>
        <w:t>Records of Commission</w:t>
      </w:r>
      <w:bookmarkEnd w:id="1121"/>
      <w:bookmarkEnd w:id="1122"/>
    </w:p>
    <w:p>
      <w:pPr>
        <w:pStyle w:val="Subsection"/>
        <w:spacing w:before="120"/>
      </w:pPr>
      <w:r>
        <w:tab/>
        <w:t>(1)</w:t>
      </w:r>
      <w:r>
        <w:tab/>
        <w:t>The Commission is to cause records to be kept of any investigation, including transcripts of all examinations before the Commission.</w:t>
      </w:r>
    </w:p>
    <w:p>
      <w:pPr>
        <w:pStyle w:val="Subsection"/>
        <w:spacing w:before="120"/>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spacing w:before="120"/>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spacing w:before="120"/>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spacing w:before="120"/>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spacing w:before="80"/>
        <w:ind w:left="890" w:hanging="890"/>
      </w:pPr>
      <w:r>
        <w:tab/>
        <w:t>[Section 224, formerly section 58, renumbered as section 224 by No. 78 of 2003 s. 35(1).]</w:t>
      </w:r>
    </w:p>
    <w:p>
      <w:pPr>
        <w:pStyle w:val="Heading5"/>
      </w:pPr>
      <w:bookmarkStart w:id="1123" w:name="_Toc473893896"/>
      <w:bookmarkStart w:id="1124" w:name="_Toc462413792"/>
      <w:r>
        <w:rPr>
          <w:rStyle w:val="CharSectno"/>
        </w:rPr>
        <w:t>225</w:t>
      </w:r>
      <w:r>
        <w:t>.</w:t>
      </w:r>
      <w:r>
        <w:tab/>
        <w:t>Execution of documents by Commission</w:t>
      </w:r>
      <w:bookmarkEnd w:id="1123"/>
      <w:bookmarkEnd w:id="1124"/>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by No. 78 of 2003 s. 35(1).]</w:t>
      </w:r>
    </w:p>
    <w:p>
      <w:pPr>
        <w:pStyle w:val="Heading5"/>
      </w:pPr>
      <w:bookmarkStart w:id="1125" w:name="_Toc473893897"/>
      <w:bookmarkStart w:id="1126" w:name="_Toc462413793"/>
      <w:r>
        <w:rPr>
          <w:rStyle w:val="CharSectno"/>
        </w:rPr>
        <w:t>226</w:t>
      </w:r>
      <w:r>
        <w:t>.</w:t>
      </w:r>
      <w:r>
        <w:tab/>
        <w:t>Review of Act</w:t>
      </w:r>
      <w:bookmarkEnd w:id="1125"/>
      <w:bookmarkEnd w:id="1126"/>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pPr>
      <w:r>
        <w:tab/>
        <w:t>(b)</w:t>
      </w:r>
      <w:r>
        <w:tab/>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1127" w:name="_Toc473893898"/>
      <w:bookmarkStart w:id="1128" w:name="_Toc462413794"/>
      <w:r>
        <w:rPr>
          <w:rStyle w:val="CharSectno"/>
        </w:rPr>
        <w:t>227</w:t>
      </w:r>
      <w:r>
        <w:t>.</w:t>
      </w:r>
      <w:r>
        <w:tab/>
        <w:t>Regulations</w:t>
      </w:r>
      <w:bookmarkEnd w:id="1127"/>
      <w:bookmarkEnd w:id="1128"/>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by No. 78 of 2003 s. 35(1).]</w:t>
      </w:r>
    </w:p>
    <w:p>
      <w:pPr>
        <w:pStyle w:val="Heading2"/>
      </w:pPr>
      <w:bookmarkStart w:id="1129" w:name="_Toc425842956"/>
      <w:bookmarkStart w:id="1130" w:name="_Toc426108069"/>
      <w:bookmarkStart w:id="1131" w:name="_Toc462413795"/>
      <w:bookmarkStart w:id="1132" w:name="_Toc472672595"/>
      <w:bookmarkStart w:id="1133" w:name="_Toc472679425"/>
      <w:bookmarkStart w:id="1134" w:name="_Toc472680046"/>
      <w:bookmarkStart w:id="1135" w:name="_Toc472680391"/>
      <w:bookmarkStart w:id="1136" w:name="_Toc473893209"/>
      <w:bookmarkStart w:id="1137" w:name="_Toc473893554"/>
      <w:bookmarkStart w:id="1138" w:name="_Toc473893899"/>
      <w:r>
        <w:rPr>
          <w:rStyle w:val="CharPartNo"/>
        </w:rPr>
        <w:t>Part 15</w:t>
      </w:r>
      <w:r>
        <w:rPr>
          <w:rStyle w:val="CharDivNo"/>
        </w:rPr>
        <w:t> </w:t>
      </w:r>
      <w:r>
        <w:t>—</w:t>
      </w:r>
      <w:r>
        <w:rPr>
          <w:rStyle w:val="CharDivText"/>
        </w:rPr>
        <w:t> </w:t>
      </w:r>
      <w:r>
        <w:rPr>
          <w:rStyle w:val="CharPartText"/>
        </w:rPr>
        <w:t>Transitional matters</w:t>
      </w:r>
      <w:bookmarkEnd w:id="1129"/>
      <w:bookmarkEnd w:id="1130"/>
      <w:bookmarkEnd w:id="1131"/>
      <w:bookmarkEnd w:id="1132"/>
      <w:bookmarkEnd w:id="1133"/>
      <w:bookmarkEnd w:id="1134"/>
      <w:bookmarkEnd w:id="1135"/>
      <w:bookmarkEnd w:id="1136"/>
      <w:bookmarkEnd w:id="1137"/>
      <w:bookmarkEnd w:id="1138"/>
    </w:p>
    <w:p>
      <w:pPr>
        <w:pStyle w:val="Footnoteheading"/>
        <w:tabs>
          <w:tab w:val="clear" w:pos="879"/>
          <w:tab w:val="left" w:pos="896"/>
        </w:tabs>
      </w:pPr>
      <w:r>
        <w:tab/>
        <w:t>[Heading inserted by No. 35 of 2014 s. 30.]</w:t>
      </w:r>
    </w:p>
    <w:p>
      <w:pPr>
        <w:pStyle w:val="Heading5"/>
        <w:rPr>
          <w:snapToGrid w:val="0"/>
        </w:rPr>
      </w:pPr>
      <w:bookmarkStart w:id="1139" w:name="_Toc473893900"/>
      <w:bookmarkStart w:id="1140" w:name="_Toc462413796"/>
      <w:r>
        <w:rPr>
          <w:rStyle w:val="CharSectno"/>
        </w:rPr>
        <w:t>228</w:t>
      </w:r>
      <w:r>
        <w:t>.</w:t>
      </w:r>
      <w:r>
        <w:tab/>
        <w:t xml:space="preserve">Transitional provision for </w:t>
      </w:r>
      <w:r>
        <w:rPr>
          <w:i/>
          <w:snapToGrid w:val="0"/>
        </w:rPr>
        <w:t>Corruption and Crime Commission Amendment (Misconduct) Act 2014</w:t>
      </w:r>
      <w:bookmarkEnd w:id="1139"/>
      <w:bookmarkEnd w:id="1140"/>
    </w:p>
    <w:p>
      <w:pPr>
        <w:pStyle w:val="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w:t>
      </w:r>
      <w:r>
        <w:rPr>
          <w:snapToGrid w:val="0"/>
          <w:vertAlign w:val="superscript"/>
        </w:rPr>
        <w:t> 1</w:t>
      </w:r>
      <w:r>
        <w:rPr>
          <w:snapToGrid w:val="0"/>
        </w:rPr>
        <w:t xml:space="preserve"> must continue to be dealt with under this Act as if that Part had not been enacted.</w:t>
      </w:r>
    </w:p>
    <w:p>
      <w:pPr>
        <w:pStyle w:val="Footnotesection"/>
      </w:pPr>
      <w:r>
        <w:tab/>
        <w:t>[Section 228 inserted by No. 35 of 2014 s. 30.]</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141" w:name="_Toc425842958"/>
      <w:bookmarkStart w:id="1142" w:name="_Toc426108071"/>
      <w:bookmarkStart w:id="1143" w:name="_Toc462413797"/>
      <w:bookmarkStart w:id="1144" w:name="_Toc472672597"/>
      <w:bookmarkStart w:id="1145" w:name="_Toc472679427"/>
      <w:bookmarkStart w:id="1146" w:name="_Toc472680048"/>
      <w:bookmarkStart w:id="1147" w:name="_Toc472680393"/>
      <w:bookmarkStart w:id="1148" w:name="_Toc473893211"/>
      <w:bookmarkStart w:id="1149" w:name="_Toc473893556"/>
      <w:bookmarkStart w:id="1150" w:name="_Toc473893901"/>
      <w:r>
        <w:rPr>
          <w:rStyle w:val="CharSchNo"/>
        </w:rPr>
        <w:t>Schedule 1</w:t>
      </w:r>
      <w:r>
        <w:t> — </w:t>
      </w:r>
      <w:r>
        <w:rPr>
          <w:rStyle w:val="CharSchText"/>
        </w:rPr>
        <w:t>Offences that may be relevant for Part 4</w:t>
      </w:r>
      <w:bookmarkEnd w:id="1141"/>
      <w:bookmarkEnd w:id="1142"/>
      <w:bookmarkEnd w:id="1143"/>
      <w:bookmarkEnd w:id="1144"/>
      <w:bookmarkEnd w:id="1145"/>
      <w:bookmarkEnd w:id="1146"/>
      <w:bookmarkEnd w:id="1147"/>
      <w:bookmarkEnd w:id="1148"/>
      <w:bookmarkEnd w:id="1149"/>
      <w:bookmarkEnd w:id="1150"/>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152" w:name="_Toc425842959"/>
      <w:bookmarkStart w:id="1153" w:name="_Toc426108072"/>
      <w:bookmarkStart w:id="1154" w:name="_Toc462413798"/>
      <w:bookmarkStart w:id="1155" w:name="_Toc472672598"/>
      <w:bookmarkStart w:id="1156" w:name="_Toc472679428"/>
      <w:bookmarkStart w:id="1157" w:name="_Toc472680049"/>
      <w:bookmarkStart w:id="1158" w:name="_Toc472680394"/>
      <w:bookmarkStart w:id="1159" w:name="_Toc473893212"/>
      <w:bookmarkStart w:id="1160" w:name="_Toc473893557"/>
      <w:bookmarkStart w:id="1161" w:name="_Toc473893902"/>
      <w:r>
        <w:rPr>
          <w:rStyle w:val="CharSchNo"/>
        </w:rPr>
        <w:t>Schedule 2</w:t>
      </w:r>
      <w:r>
        <w:t> — </w:t>
      </w:r>
      <w:r>
        <w:rPr>
          <w:rStyle w:val="CharSchText"/>
        </w:rPr>
        <w:t>Terms and conditions of service of Commissioner</w:t>
      </w:r>
      <w:bookmarkEnd w:id="1152"/>
      <w:bookmarkEnd w:id="1153"/>
      <w:bookmarkEnd w:id="1154"/>
      <w:bookmarkEnd w:id="1155"/>
      <w:bookmarkEnd w:id="1156"/>
      <w:bookmarkEnd w:id="1157"/>
      <w:bookmarkEnd w:id="1158"/>
      <w:bookmarkEnd w:id="1159"/>
      <w:bookmarkEnd w:id="1160"/>
      <w:bookmarkEnd w:id="1161"/>
    </w:p>
    <w:p>
      <w:pPr>
        <w:pStyle w:val="yShoulderClause"/>
      </w:pPr>
      <w:r>
        <w:t>[s. 11]</w:t>
      </w:r>
    </w:p>
    <w:p>
      <w:pPr>
        <w:pStyle w:val="yFootnoteheading"/>
      </w:pPr>
      <w:r>
        <w:tab/>
        <w:t>[Heading, formerly Schedule 1, renumbered as Schedule 2 by No. 78 of 2003 s. 35(10).]</w:t>
      </w:r>
    </w:p>
    <w:p>
      <w:pPr>
        <w:pStyle w:val="yHeading5"/>
        <w:outlineLvl w:val="0"/>
      </w:pPr>
      <w:bookmarkStart w:id="1162" w:name="_Toc473893903"/>
      <w:bookmarkStart w:id="1163" w:name="_Toc462413799"/>
      <w:r>
        <w:rPr>
          <w:rStyle w:val="CharSClsNo"/>
        </w:rPr>
        <w:t>1</w:t>
      </w:r>
      <w:r>
        <w:t>.</w:t>
      </w:r>
      <w:r>
        <w:tab/>
        <w:t>Tenure of office</w:t>
      </w:r>
      <w:bookmarkEnd w:id="1162"/>
      <w:bookmarkEnd w:id="1163"/>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1164" w:name="_Toc473893904"/>
      <w:bookmarkStart w:id="1165" w:name="_Toc462413800"/>
      <w:r>
        <w:rPr>
          <w:rStyle w:val="CharSClsNo"/>
        </w:rPr>
        <w:t>2</w:t>
      </w:r>
      <w:r>
        <w:t>.</w:t>
      </w:r>
      <w:r>
        <w:tab/>
        <w:t>Terms of appointment</w:t>
      </w:r>
      <w:bookmarkEnd w:id="1164"/>
      <w:bookmarkEnd w:id="1165"/>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1166" w:name="_Toc473893905"/>
      <w:bookmarkStart w:id="1167" w:name="_Toc462413801"/>
      <w:r>
        <w:rPr>
          <w:rStyle w:val="CharSClsNo"/>
        </w:rPr>
        <w:t>3</w:t>
      </w:r>
      <w:r>
        <w:t>.</w:t>
      </w:r>
      <w:r>
        <w:tab/>
        <w:t>Remuneration, leave and entitlements</w:t>
      </w:r>
      <w:bookmarkEnd w:id="1166"/>
      <w:bookmarkEnd w:id="1167"/>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spacing w:before="100"/>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 No. 35 of 2014 s. 32.]</w:t>
      </w:r>
    </w:p>
    <w:p>
      <w:pPr>
        <w:pStyle w:val="yHeading5"/>
        <w:outlineLvl w:val="0"/>
      </w:pPr>
      <w:bookmarkStart w:id="1168" w:name="_Toc473893906"/>
      <w:bookmarkStart w:id="1169" w:name="_Toc462413802"/>
      <w:r>
        <w:rPr>
          <w:rStyle w:val="CharSClsNo"/>
        </w:rPr>
        <w:t>4</w:t>
      </w:r>
      <w:r>
        <w:t>.</w:t>
      </w:r>
      <w:r>
        <w:tab/>
        <w:t>Provisions where Commissioner was judge</w:t>
      </w:r>
      <w:bookmarkEnd w:id="1168"/>
      <w:bookmarkEnd w:id="1169"/>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spacing w:before="100"/>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spacing w:before="180"/>
        <w:outlineLvl w:val="0"/>
      </w:pPr>
      <w:bookmarkStart w:id="1170" w:name="_Toc473893907"/>
      <w:bookmarkStart w:id="1171" w:name="_Toc462413803"/>
      <w:r>
        <w:rPr>
          <w:rStyle w:val="CharSClsNo"/>
        </w:rPr>
        <w:t>5</w:t>
      </w:r>
      <w:r>
        <w:t>.</w:t>
      </w:r>
      <w:r>
        <w:tab/>
        <w:t>Provisions where Commissioner was public service officer</w:t>
      </w:r>
      <w:bookmarkEnd w:id="1170"/>
      <w:bookmarkEnd w:id="1171"/>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3</w:t>
      </w:r>
      <w:r>
        <w:t>, as if service as Commissioner were a continuation of service as a public service officer.</w:t>
      </w:r>
    </w:p>
    <w:p>
      <w:pPr>
        <w:pStyle w:val="ySubsection"/>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1172" w:name="_Toc473893908"/>
      <w:bookmarkStart w:id="1173" w:name="_Toc462413804"/>
      <w:r>
        <w:rPr>
          <w:rStyle w:val="CharSClsNo"/>
        </w:rPr>
        <w:t>6</w:t>
      </w:r>
      <w:r>
        <w:t>.</w:t>
      </w:r>
      <w:r>
        <w:tab/>
        <w:t>Resignation</w:t>
      </w:r>
      <w:bookmarkEnd w:id="1172"/>
      <w:bookmarkEnd w:id="1173"/>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1174" w:name="_Toc473893909"/>
      <w:bookmarkStart w:id="1175" w:name="_Toc462413805"/>
      <w:r>
        <w:rPr>
          <w:rStyle w:val="CharSClsNo"/>
        </w:rPr>
        <w:t>7</w:t>
      </w:r>
      <w:r>
        <w:t>.</w:t>
      </w:r>
      <w:r>
        <w:tab/>
        <w:t>Vacancy</w:t>
      </w:r>
      <w:bookmarkEnd w:id="1174"/>
      <w:bookmarkEnd w:id="1175"/>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1176" w:name="_Toc425842967"/>
      <w:bookmarkStart w:id="1177" w:name="_Toc426108080"/>
      <w:bookmarkStart w:id="1178" w:name="_Toc462413806"/>
      <w:bookmarkStart w:id="1179" w:name="_Toc472672606"/>
      <w:bookmarkStart w:id="1180" w:name="_Toc472679436"/>
      <w:bookmarkStart w:id="1181" w:name="_Toc472680057"/>
      <w:bookmarkStart w:id="1182" w:name="_Toc472680402"/>
      <w:bookmarkStart w:id="1183" w:name="_Toc473893220"/>
      <w:bookmarkStart w:id="1184" w:name="_Toc473893565"/>
      <w:bookmarkStart w:id="1185" w:name="_Toc473893910"/>
      <w:r>
        <w:rPr>
          <w:rStyle w:val="CharSchNo"/>
        </w:rPr>
        <w:t>Schedule 3</w:t>
      </w:r>
      <w:r>
        <w:t> — </w:t>
      </w:r>
      <w:r>
        <w:rPr>
          <w:rStyle w:val="CharSchText"/>
        </w:rPr>
        <w:t>Terms and conditions of service of Parliamentary Inspector</w:t>
      </w:r>
      <w:bookmarkEnd w:id="1176"/>
      <w:bookmarkEnd w:id="1177"/>
      <w:bookmarkEnd w:id="1178"/>
      <w:bookmarkEnd w:id="1179"/>
      <w:bookmarkEnd w:id="1180"/>
      <w:bookmarkEnd w:id="1181"/>
      <w:bookmarkEnd w:id="1182"/>
      <w:bookmarkEnd w:id="1183"/>
      <w:bookmarkEnd w:id="1184"/>
      <w:bookmarkEnd w:id="1185"/>
    </w:p>
    <w:p>
      <w:pPr>
        <w:pStyle w:val="yShoulderClause"/>
      </w:pPr>
      <w:r>
        <w:t>[s. 191]</w:t>
      </w:r>
    </w:p>
    <w:p>
      <w:pPr>
        <w:pStyle w:val="yFootnotesection"/>
      </w:pPr>
      <w:r>
        <w:tab/>
        <w:t>[Heading, formerly Schedule 2, renumbered as Schedule 3 by No. 78 of 2003 s. 35(11).]</w:t>
      </w:r>
    </w:p>
    <w:p>
      <w:pPr>
        <w:pStyle w:val="yHeading5"/>
        <w:outlineLvl w:val="0"/>
      </w:pPr>
      <w:bookmarkStart w:id="1186" w:name="_Toc473893911"/>
      <w:bookmarkStart w:id="1187" w:name="_Toc462413807"/>
      <w:r>
        <w:rPr>
          <w:rStyle w:val="CharSClsNo"/>
        </w:rPr>
        <w:t>1</w:t>
      </w:r>
      <w:r>
        <w:t>.</w:t>
      </w:r>
      <w:r>
        <w:tab/>
        <w:t>Tenure of office</w:t>
      </w:r>
      <w:bookmarkEnd w:id="1186"/>
      <w:bookmarkEnd w:id="1187"/>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1188" w:name="_Toc473893912"/>
      <w:bookmarkStart w:id="1189" w:name="_Toc462413808"/>
      <w:r>
        <w:rPr>
          <w:rStyle w:val="CharSClsNo"/>
        </w:rPr>
        <w:t>2</w:t>
      </w:r>
      <w:r>
        <w:t>.</w:t>
      </w:r>
      <w:r>
        <w:tab/>
        <w:t>Terms of appointment</w:t>
      </w:r>
      <w:bookmarkEnd w:id="1188"/>
      <w:bookmarkEnd w:id="1189"/>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1190" w:name="_Toc473893913"/>
      <w:bookmarkStart w:id="1191" w:name="_Toc462413809"/>
      <w:r>
        <w:rPr>
          <w:rStyle w:val="CharSClsNo"/>
        </w:rPr>
        <w:t>3</w:t>
      </w:r>
      <w:r>
        <w:t>.</w:t>
      </w:r>
      <w:r>
        <w:tab/>
        <w:t>Remuneration, leave and entitlements</w:t>
      </w:r>
      <w:bookmarkEnd w:id="1190"/>
      <w:bookmarkEnd w:id="1191"/>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1192" w:name="_Toc473893914"/>
      <w:bookmarkStart w:id="1193" w:name="_Toc462413810"/>
      <w:r>
        <w:rPr>
          <w:rStyle w:val="CharSClsNo"/>
        </w:rPr>
        <w:t>4</w:t>
      </w:r>
      <w:r>
        <w:t>.</w:t>
      </w:r>
      <w:r>
        <w:tab/>
        <w:t>Provisions where Parliamentary Inspector was judge</w:t>
      </w:r>
      <w:bookmarkEnd w:id="1192"/>
      <w:bookmarkEnd w:id="1193"/>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1194" w:name="_Toc473893915"/>
      <w:bookmarkStart w:id="1195" w:name="_Toc462413811"/>
      <w:r>
        <w:rPr>
          <w:rStyle w:val="CharSClsNo"/>
        </w:rPr>
        <w:t>5</w:t>
      </w:r>
      <w:r>
        <w:t>.</w:t>
      </w:r>
      <w:r>
        <w:tab/>
        <w:t>Provisions where Parliamentary Inspector was public service officer</w:t>
      </w:r>
      <w:bookmarkEnd w:id="1194"/>
      <w:bookmarkEnd w:id="1195"/>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3</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1196" w:name="_Toc473893916"/>
      <w:bookmarkStart w:id="1197" w:name="_Toc462413812"/>
      <w:r>
        <w:rPr>
          <w:rStyle w:val="CharSClsNo"/>
        </w:rPr>
        <w:t>6</w:t>
      </w:r>
      <w:r>
        <w:t>.</w:t>
      </w:r>
      <w:r>
        <w:tab/>
        <w:t>Resignation</w:t>
      </w:r>
      <w:bookmarkEnd w:id="1196"/>
      <w:bookmarkEnd w:id="1197"/>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1198" w:name="_Toc473893917"/>
      <w:bookmarkStart w:id="1199" w:name="_Toc462413813"/>
      <w:r>
        <w:rPr>
          <w:rStyle w:val="CharSClsNo"/>
        </w:rPr>
        <w:t>7</w:t>
      </w:r>
      <w:r>
        <w:t>.</w:t>
      </w:r>
      <w:r>
        <w:tab/>
        <w:t>Vacancy</w:t>
      </w:r>
      <w:bookmarkEnd w:id="1198"/>
      <w:bookmarkEnd w:id="1199"/>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200" w:name="_Toc473893228"/>
      <w:bookmarkStart w:id="1201" w:name="_Toc473893573"/>
      <w:bookmarkStart w:id="1202" w:name="_Toc473893918"/>
      <w:bookmarkStart w:id="1203" w:name="_Toc425842975"/>
      <w:bookmarkStart w:id="1204" w:name="_Toc426108088"/>
      <w:bookmarkStart w:id="1205" w:name="_Toc462413814"/>
      <w:bookmarkStart w:id="1206" w:name="_Toc425842977"/>
      <w:bookmarkStart w:id="1207" w:name="_Toc426108090"/>
      <w:bookmarkStart w:id="1208" w:name="_Toc462413817"/>
      <w:bookmarkStart w:id="1209" w:name="_Toc472672616"/>
      <w:bookmarkStart w:id="1210" w:name="_Toc472679446"/>
      <w:bookmarkStart w:id="1211" w:name="_Toc472680067"/>
      <w:bookmarkStart w:id="1212" w:name="_Toc472680412"/>
      <w:r>
        <w:t>Notes</w:t>
      </w:r>
      <w:bookmarkEnd w:id="1200"/>
      <w:bookmarkEnd w:id="1201"/>
      <w:bookmarkEnd w:id="1202"/>
      <w:bookmarkEnd w:id="1203"/>
      <w:bookmarkEnd w:id="1204"/>
      <w:bookmarkEnd w:id="1205"/>
    </w:p>
    <w:p>
      <w:pPr>
        <w:pStyle w:val="nSubsection"/>
      </w:pPr>
      <w:r>
        <w:rPr>
          <w:vertAlign w:val="superscript"/>
        </w:rPr>
        <w:t>1</w:t>
      </w:r>
      <w:r>
        <w:tab/>
        <w:t xml:space="preserve">This is a compilation of the </w:t>
      </w:r>
      <w:r>
        <w:rPr>
          <w:i/>
          <w:noProof/>
        </w:rPr>
        <w:t>Corruption, Crime and Misconduct Act 2003</w:t>
      </w:r>
      <w:r>
        <w:t xml:space="preserve"> and includes the amendments made by the other written laws referred to in the following table</w:t>
      </w:r>
      <w:del w:id="1213" w:author="svcMRProcess" w:date="2018-08-22T15:01:00Z">
        <w:r>
          <w:delText> </w:delText>
        </w:r>
        <w:r>
          <w:rPr>
            <w:vertAlign w:val="superscript"/>
          </w:rPr>
          <w:delText>1a</w:delText>
        </w:r>
      </w:del>
      <w:r>
        <w:t>.  The table also contains information about any reprint.</w:t>
      </w:r>
    </w:p>
    <w:p>
      <w:pPr>
        <w:pStyle w:val="nHeading3"/>
        <w:rPr>
          <w:snapToGrid w:val="0"/>
        </w:rPr>
      </w:pPr>
      <w:bookmarkStart w:id="1214" w:name="_Toc473893919"/>
      <w:bookmarkStart w:id="1215" w:name="_Toc462413815"/>
      <w:r>
        <w:rPr>
          <w:snapToGrid w:val="0"/>
        </w:rPr>
        <w:t>Compilation table</w:t>
      </w:r>
      <w:bookmarkEnd w:id="1214"/>
      <w:bookmarkEnd w:id="1215"/>
    </w:p>
    <w:tbl>
      <w:tblPr>
        <w:tblW w:w="7088" w:type="dxa"/>
        <w:tblInd w:w="14"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Corruption and Crime Commission Act 2003</w:t>
            </w:r>
            <w:r>
              <w:rPr>
                <w:noProof/>
                <w:snapToGrid w:val="0"/>
                <w:vertAlign w:val="superscript"/>
              </w:rPr>
              <w:t> 4</w:t>
            </w:r>
          </w:p>
        </w:tc>
        <w:tc>
          <w:tcPr>
            <w:tcW w:w="1134" w:type="dxa"/>
            <w:tcBorders>
              <w:top w:val="single" w:sz="8" w:space="0" w:color="auto"/>
            </w:tcBorders>
          </w:tcPr>
          <w:p>
            <w:pPr>
              <w:pStyle w:val="nTable"/>
              <w:spacing w:after="40"/>
            </w:pPr>
            <w:r>
              <w:t>48 of 2003</w:t>
            </w:r>
          </w:p>
        </w:tc>
        <w:tc>
          <w:tcPr>
            <w:tcW w:w="1134" w:type="dxa"/>
            <w:tcBorders>
              <w:top w:val="single" w:sz="8" w:space="0" w:color="auto"/>
            </w:tcBorders>
          </w:tcPr>
          <w:p>
            <w:pPr>
              <w:pStyle w:val="nTable"/>
              <w:spacing w:after="40"/>
            </w:pPr>
            <w:r>
              <w:t>3 Jul 2003</w:t>
            </w:r>
          </w:p>
        </w:tc>
        <w:tc>
          <w:tcPr>
            <w:tcW w:w="2551" w:type="dxa"/>
            <w:tcBorders>
              <w:top w:val="single" w:sz="8" w:space="0" w:color="auto"/>
            </w:tcBorders>
          </w:tcPr>
          <w:p>
            <w:pPr>
              <w:pStyle w:val="nTable"/>
              <w:spacing w:after="40"/>
            </w:pPr>
            <w:r>
              <w:t>s. 1 and 2: 3 Jul 2003;</w:t>
            </w:r>
            <w:r>
              <w:br/>
              <w:t xml:space="preserve">Act other than s. 1 and 2: 1 Jan 2004 (see s. 2 and </w:t>
            </w:r>
            <w:r>
              <w:rPr>
                <w:i/>
              </w:rPr>
              <w:t>Gazette</w:t>
            </w:r>
            <w:r>
              <w:t xml:space="preserve"> 30 Dec 2003 p. 5723)</w:t>
            </w:r>
          </w:p>
        </w:tc>
      </w:tr>
      <w:tr>
        <w:tc>
          <w:tcPr>
            <w:tcW w:w="2269" w:type="dxa"/>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2, 5, 6</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7088" w:type="dxa"/>
            <w:gridSpan w:val="4"/>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c>
          <w:tcPr>
            <w:tcW w:w="2269" w:type="dxa"/>
          </w:tcPr>
          <w:p>
            <w:pPr>
              <w:pStyle w:val="nTable"/>
              <w:spacing w:after="40"/>
              <w:rPr>
                <w:vertAlign w:val="superscript"/>
              </w:rPr>
            </w:pPr>
            <w:r>
              <w:rPr>
                <w:i/>
                <w:noProof/>
                <w:snapToGrid w:val="0"/>
              </w:rPr>
              <w:t>Criminal</w:t>
            </w:r>
            <w:r>
              <w:rPr>
                <w:i/>
              </w:rPr>
              <w:t xml:space="preserve"> Code Amendment Act 2004 </w:t>
            </w:r>
            <w:r>
              <w:t>s. 24</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pPr>
            <w:r>
              <w:t>21 May 2004 (see s. 2)</w:t>
            </w:r>
          </w:p>
        </w:tc>
      </w:tr>
      <w:tr>
        <w:tc>
          <w:tcPr>
            <w:tcW w:w="2269" w:type="dxa"/>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9" w:type="dxa"/>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tcPr>
          <w:p>
            <w:pPr>
              <w:pStyle w:val="nTable"/>
              <w:spacing w:after="40"/>
              <w:rPr>
                <w:snapToGrid w:val="0"/>
              </w:rPr>
            </w:pPr>
            <w:r>
              <w:rPr>
                <w:snapToGrid w:val="0"/>
              </w:rPr>
              <w:t>70 of 2004</w:t>
            </w:r>
          </w:p>
        </w:tc>
        <w:tc>
          <w:tcPr>
            <w:tcW w:w="1134" w:type="dxa"/>
          </w:tcPr>
          <w:p>
            <w:pPr>
              <w:pStyle w:val="nTable"/>
              <w:spacing w:after="40"/>
            </w:pPr>
            <w:r>
              <w:rPr>
                <w:snapToGrid w:val="0"/>
              </w:rPr>
              <w:t>8 Dec 2004</w:t>
            </w:r>
          </w:p>
        </w:tc>
        <w:tc>
          <w:tcPr>
            <w:tcW w:w="2551" w:type="dxa"/>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c>
          <w:tcPr>
            <w:tcW w:w="2269" w:type="dxa"/>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c>
          <w:tcPr>
            <w:tcW w:w="2269" w:type="dxa"/>
          </w:tcPr>
          <w:p>
            <w:pPr>
              <w:pStyle w:val="nTable"/>
              <w:spacing w:after="40"/>
              <w:rPr>
                <w:i/>
                <w:iCs/>
                <w:snapToGrid w:val="0"/>
              </w:rPr>
            </w:pPr>
            <w:r>
              <w:rPr>
                <w:i/>
                <w:iCs/>
                <w:snapToGrid w:val="0"/>
              </w:rPr>
              <w:t>Nurses and Midwives Act 2006</w:t>
            </w:r>
            <w:r>
              <w:rPr>
                <w:snapToGrid w:val="0"/>
              </w:rPr>
              <w:t xml:space="preserve"> Sch. 3 cl. 4</w:t>
            </w:r>
          </w:p>
        </w:tc>
        <w:tc>
          <w:tcPr>
            <w:tcW w:w="1134" w:type="dxa"/>
          </w:tcPr>
          <w:p>
            <w:pPr>
              <w:pStyle w:val="nTable"/>
              <w:spacing w:after="40"/>
              <w:rPr>
                <w:snapToGrid w:val="0"/>
              </w:rPr>
            </w:pPr>
            <w:r>
              <w:rPr>
                <w:snapToGrid w:val="0"/>
              </w:rPr>
              <w:t>50 of 2006</w:t>
            </w:r>
          </w:p>
        </w:tc>
        <w:tc>
          <w:tcPr>
            <w:tcW w:w="1134"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
                <w:snapToGrid w:val="0"/>
              </w:rPr>
            </w:pPr>
            <w:r>
              <w:rPr>
                <w:i/>
                <w:iCs/>
              </w:rPr>
              <w:t>Acts Amendment (Justice) Act 2008</w:t>
            </w:r>
            <w:r>
              <w:t xml:space="preserve"> s. 128</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
                <w:snapToGrid w:val="0"/>
              </w:rPr>
            </w:pPr>
            <w:r>
              <w:rPr>
                <w:i/>
              </w:rPr>
              <w:t xml:space="preserve">Police Amendment Act 2008 </w:t>
            </w:r>
            <w:r>
              <w:rPr>
                <w:iCs/>
              </w:rPr>
              <w:t>s. 11 and 23(1)</w:t>
            </w:r>
          </w:p>
        </w:tc>
        <w:tc>
          <w:tcPr>
            <w:tcW w:w="1134" w:type="dxa"/>
          </w:tcPr>
          <w:p>
            <w:pPr>
              <w:pStyle w:val="nTable"/>
              <w:spacing w:after="40"/>
              <w:rPr>
                <w:snapToGrid w:val="0"/>
              </w:rPr>
            </w:pPr>
            <w:r>
              <w:t>8 of 2008</w:t>
            </w:r>
          </w:p>
        </w:tc>
        <w:tc>
          <w:tcPr>
            <w:tcW w:w="1134" w:type="dxa"/>
          </w:tcPr>
          <w:p>
            <w:pPr>
              <w:pStyle w:val="nTable"/>
              <w:spacing w:after="40"/>
              <w:rPr>
                <w:snapToGrid w:val="0"/>
              </w:rPr>
            </w:pPr>
            <w:r>
              <w:t>31 Mar 2008</w:t>
            </w:r>
          </w:p>
        </w:tc>
        <w:tc>
          <w:tcPr>
            <w:tcW w:w="2551" w:type="dxa"/>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snapToGrid w:val="0"/>
              </w:rPr>
              <w:t>Medical Practitioners Act 2008</w:t>
            </w:r>
            <w:r>
              <w:t xml:space="preserve"> Sch. 3 cl. 11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9" w:type="dxa"/>
          </w:tcPr>
          <w:p>
            <w:pPr>
              <w:pStyle w:val="nTable"/>
              <w:spacing w:after="40"/>
              <w:rPr>
                <w:i/>
              </w:rPr>
            </w:pPr>
            <w:r>
              <w:rPr>
                <w:i/>
                <w:snapToGrid w:val="0"/>
              </w:rPr>
              <w:t xml:space="preserve">Criminal Law Amendment (Homicide) Act 2008 </w:t>
            </w:r>
            <w:r>
              <w:rPr>
                <w:iCs/>
                <w:snapToGrid w:val="0"/>
              </w:rPr>
              <w:t>s. 26</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41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23</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7088" w:type="dxa"/>
            <w:gridSpan w:val="4"/>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cantSplit/>
        </w:trPr>
        <w:tc>
          <w:tcPr>
            <w:tcW w:w="2269" w:type="dxa"/>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ind w:right="113"/>
              <w:rPr>
                <w:i/>
                <w:snapToGrid w:val="0"/>
              </w:rPr>
            </w:pPr>
            <w:r>
              <w:rPr>
                <w:i/>
                <w:snapToGrid w:val="0"/>
              </w:rPr>
              <w:t>Public Sector Reform Act 2010</w:t>
            </w:r>
            <w:r>
              <w:rPr>
                <w:iCs/>
                <w:snapToGrid w:val="0"/>
              </w:rPr>
              <w:t xml:space="preserve"> s. 74</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Pr>
          <w:p>
            <w:pPr>
              <w:pStyle w:val="nTable"/>
              <w:spacing w:after="40"/>
              <w:ind w:right="113"/>
              <w:rPr>
                <w:i/>
                <w:snapToGrid w:val="0"/>
              </w:rPr>
            </w:pPr>
            <w:r>
              <w:rPr>
                <w:i/>
                <w:snapToGrid w:val="0"/>
              </w:rPr>
              <w:t xml:space="preserve">Telecommunications (Interception)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2011 </w:t>
            </w:r>
            <w:r>
              <w:rPr>
                <w:snapToGrid w:val="0"/>
              </w:rPr>
              <w:t>Pt. 3</w:t>
            </w:r>
          </w:p>
        </w:tc>
        <w:tc>
          <w:tcPr>
            <w:tcW w:w="1134" w:type="dxa"/>
          </w:tcPr>
          <w:p>
            <w:pPr>
              <w:pStyle w:val="nTable"/>
              <w:spacing w:after="40"/>
              <w:rPr>
                <w:snapToGrid w:val="0"/>
              </w:rPr>
            </w:pPr>
            <w:r>
              <w:rPr>
                <w:snapToGrid w:val="0"/>
              </w:rPr>
              <w:t>2 of 2011</w:t>
            </w:r>
          </w:p>
        </w:tc>
        <w:tc>
          <w:tcPr>
            <w:tcW w:w="1134" w:type="dxa"/>
          </w:tcPr>
          <w:p>
            <w:pPr>
              <w:pStyle w:val="nTable"/>
              <w:spacing w:after="40"/>
            </w:pPr>
            <w:r>
              <w:t>1 Mar 2011</w:t>
            </w:r>
          </w:p>
        </w:tc>
        <w:tc>
          <w:tcPr>
            <w:tcW w:w="2551" w:type="dxa"/>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cantSplit/>
        </w:trPr>
        <w:tc>
          <w:tcPr>
            <w:tcW w:w="2269" w:type="dxa"/>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p>
        </w:tc>
        <w:tc>
          <w:tcPr>
            <w:tcW w:w="1134" w:type="dxa"/>
          </w:tcPr>
          <w:p>
            <w:pPr>
              <w:pStyle w:val="nTable"/>
              <w:spacing w:after="40"/>
              <w:rPr>
                <w:snapToGrid w:val="0"/>
              </w:rPr>
            </w:pPr>
            <w:r>
              <w:rPr>
                <w:snapToGrid w:val="0"/>
              </w:rPr>
              <w:t>23 of 2011</w:t>
            </w:r>
          </w:p>
        </w:tc>
        <w:tc>
          <w:tcPr>
            <w:tcW w:w="1134" w:type="dxa"/>
          </w:tcPr>
          <w:p>
            <w:pPr>
              <w:pStyle w:val="nTable"/>
              <w:spacing w:after="40"/>
            </w:pPr>
            <w:r>
              <w:t>11 Jul 2011</w:t>
            </w:r>
          </w:p>
        </w:tc>
        <w:tc>
          <w:tcPr>
            <w:tcW w:w="2551" w:type="dxa"/>
          </w:tcPr>
          <w:p>
            <w:pPr>
              <w:pStyle w:val="nTable"/>
              <w:spacing w:after="40"/>
              <w:rPr>
                <w:snapToGrid w:val="0"/>
              </w:rPr>
            </w:pPr>
            <w:r>
              <w:rPr>
                <w:snapToGrid w:val="0"/>
              </w:rPr>
              <w:t>12 Jul 2011 (see s. 2(b))</w:t>
            </w:r>
          </w:p>
        </w:tc>
      </w:tr>
      <w:tr>
        <w:trPr>
          <w:cantSplit/>
        </w:trPr>
        <w:tc>
          <w:tcPr>
            <w:tcW w:w="2269" w:type="dxa"/>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tcPr>
          <w:p>
            <w:pPr>
              <w:pStyle w:val="nTable"/>
              <w:spacing w:after="40"/>
              <w:rPr>
                <w:snapToGrid w:val="0"/>
              </w:rPr>
            </w:pPr>
            <w:r>
              <w:t>55 of 2012</w:t>
            </w:r>
          </w:p>
        </w:tc>
        <w:tc>
          <w:tcPr>
            <w:tcW w:w="1134" w:type="dxa"/>
          </w:tcPr>
          <w:p>
            <w:pPr>
              <w:pStyle w:val="nTable"/>
              <w:spacing w:after="40"/>
            </w:pPr>
            <w:r>
              <w:t>3 Dec 2012</w:t>
            </w:r>
          </w:p>
        </w:tc>
        <w:tc>
          <w:tcPr>
            <w:tcW w:w="2551" w:type="dxa"/>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cantSplit/>
        </w:trPr>
        <w:tc>
          <w:tcPr>
            <w:tcW w:w="7088" w:type="dxa"/>
            <w:gridSpan w:val="4"/>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w:t>
            </w:r>
            <w:r>
              <w:rPr>
                <w:snapToGrid w:val="0"/>
              </w:rPr>
              <w:t>includes</w:t>
            </w:r>
            <w:r>
              <w:rPr>
                <w:noProof/>
                <w:snapToGrid w:val="0"/>
              </w:rPr>
              <w:t xml:space="preserve"> amendments listed above)</w:t>
            </w:r>
          </w:p>
        </w:tc>
      </w:tr>
      <w:tr>
        <w:trPr>
          <w:cantSplit/>
        </w:trPr>
        <w:tc>
          <w:tcPr>
            <w:tcW w:w="2269" w:type="dxa"/>
          </w:tcPr>
          <w:p>
            <w:pPr>
              <w:pStyle w:val="nTable"/>
              <w:spacing w:after="40"/>
              <w:ind w:right="113"/>
              <w:rPr>
                <w:i/>
                <w:snapToGrid w:val="0"/>
              </w:rPr>
            </w:pPr>
            <w:r>
              <w:rPr>
                <w:i/>
                <w:snapToGrid w:val="0"/>
              </w:rPr>
              <w:t>Corruption and Crime Commission Amendment (Misconduct) Act 2014</w:t>
            </w:r>
            <w:r>
              <w:rPr>
                <w:snapToGrid w:val="0"/>
              </w:rPr>
              <w:t xml:space="preserve"> Pt. 2 (s. 3-32)</w:t>
            </w:r>
          </w:p>
        </w:tc>
        <w:tc>
          <w:tcPr>
            <w:tcW w:w="1134" w:type="dxa"/>
          </w:tcPr>
          <w:p>
            <w:pPr>
              <w:pStyle w:val="nTable"/>
              <w:spacing w:after="40"/>
              <w:rPr>
                <w:snapToGrid w:val="0"/>
              </w:rPr>
            </w:pPr>
            <w:r>
              <w:rPr>
                <w:snapToGrid w:val="0"/>
              </w:rPr>
              <w:t>35 of 2014</w:t>
            </w:r>
          </w:p>
        </w:tc>
        <w:tc>
          <w:tcPr>
            <w:tcW w:w="1134" w:type="dxa"/>
          </w:tcPr>
          <w:p>
            <w:pPr>
              <w:pStyle w:val="nTable"/>
              <w:spacing w:after="40"/>
            </w:pPr>
            <w:r>
              <w:t>9 Dec 2014</w:t>
            </w:r>
          </w:p>
        </w:tc>
        <w:tc>
          <w:tcPr>
            <w:tcW w:w="2551" w:type="dxa"/>
          </w:tcPr>
          <w:p>
            <w:pPr>
              <w:pStyle w:val="nTable"/>
              <w:spacing w:after="40"/>
              <w:rPr>
                <w:snapToGrid w:val="0"/>
              </w:rPr>
            </w:pPr>
            <w:r>
              <w:rPr>
                <w:snapToGrid w:val="0"/>
              </w:rPr>
              <w:t xml:space="preserve">s. 32: 30 Dec 2014 (see s. 2(b) and </w:t>
            </w:r>
            <w:r>
              <w:rPr>
                <w:i/>
                <w:snapToGrid w:val="0"/>
              </w:rPr>
              <w:t>Gazette</w:t>
            </w:r>
            <w:r>
              <w:rPr>
                <w:snapToGrid w:val="0"/>
              </w:rPr>
              <w:t xml:space="preserve"> 30 Dec 2014 p. 5497);</w:t>
            </w:r>
            <w:r>
              <w:rPr>
                <w:snapToGrid w:val="0"/>
              </w:rPr>
              <w:br/>
              <w:t xml:space="preserve">Pt. 2 (other than s. 32): 1 Jul 2015 (see s. 2(b) and </w:t>
            </w:r>
            <w:r>
              <w:rPr>
                <w:i/>
                <w:snapToGrid w:val="0"/>
              </w:rPr>
              <w:t>Gazette</w:t>
            </w:r>
            <w:r>
              <w:rPr>
                <w:snapToGrid w:val="0"/>
              </w:rPr>
              <w:t xml:space="preserve"> 26 Jun 2015 p. 2235)</w:t>
            </w:r>
          </w:p>
        </w:tc>
      </w:tr>
      <w:tr>
        <w:trPr>
          <w:cantSplit/>
        </w:trPr>
        <w:tc>
          <w:tcPr>
            <w:tcW w:w="2269" w:type="dxa"/>
            <w:shd w:val="clear" w:color="auto" w:fill="auto"/>
          </w:tcPr>
          <w:p>
            <w:pPr>
              <w:pStyle w:val="nTable"/>
              <w:spacing w:after="40"/>
              <w:ind w:right="113"/>
              <w:rPr>
                <w:i/>
                <w:snapToGrid w:val="0"/>
              </w:rPr>
            </w:pPr>
            <w:r>
              <w:rPr>
                <w:i/>
              </w:rPr>
              <w:t>Declared Places (Mentally Impaired Accused) Act 2015</w:t>
            </w:r>
            <w:r>
              <w:t xml:space="preserve"> s. 84</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Corruption, Crime and Misconduct Act 2003</w:t>
            </w:r>
            <w:r>
              <w:rPr>
                <w:b/>
                <w:snapToGrid w:val="0"/>
              </w:rPr>
              <w:t xml:space="preserve"> as at 31 Jul 2015</w:t>
            </w:r>
            <w:r>
              <w:rPr>
                <w:snapToGrid w:val="0"/>
              </w:rPr>
              <w:t xml:space="preserve"> (includes amendments listed above)</w:t>
            </w:r>
          </w:p>
        </w:tc>
      </w:tr>
    </w:tbl>
    <w:p>
      <w:pPr>
        <w:pStyle w:val="nSubsection"/>
        <w:spacing w:before="360"/>
        <w:rPr>
          <w:del w:id="1216" w:author="svcMRProcess" w:date="2018-08-22T15:01:00Z"/>
        </w:rPr>
      </w:pPr>
      <w:del w:id="1217" w:author="svcMRProcess" w:date="2018-08-22T15:0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18" w:author="svcMRProcess" w:date="2018-08-22T15:01:00Z"/>
        </w:rPr>
      </w:pPr>
      <w:bookmarkStart w:id="1219" w:name="_Toc462413816"/>
      <w:del w:id="1220" w:author="svcMRProcess" w:date="2018-08-22T15:01:00Z">
        <w:r>
          <w:delText>Provisions that have not come into operation</w:delText>
        </w:r>
        <w:bookmarkEnd w:id="1219"/>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10"/>
        <w:gridCol w:w="1134"/>
        <w:gridCol w:w="1134"/>
        <w:gridCol w:w="2552"/>
      </w:tblGrid>
      <w:tr>
        <w:trPr>
          <w:tblHeader/>
          <w:del w:id="1221" w:author="svcMRProcess" w:date="2018-08-22T15:01:00Z"/>
        </w:trPr>
        <w:tc>
          <w:tcPr>
            <w:tcW w:w="2268" w:type="dxa"/>
          </w:tcPr>
          <w:p>
            <w:pPr>
              <w:pStyle w:val="nTable"/>
              <w:spacing w:after="40"/>
              <w:rPr>
                <w:del w:id="1222" w:author="svcMRProcess" w:date="2018-08-22T15:01:00Z"/>
                <w:b/>
              </w:rPr>
            </w:pPr>
            <w:del w:id="1223" w:author="svcMRProcess" w:date="2018-08-22T15:01:00Z">
              <w:r>
                <w:rPr>
                  <w:b/>
                </w:rPr>
                <w:delText>Short title</w:delText>
              </w:r>
            </w:del>
          </w:p>
        </w:tc>
        <w:tc>
          <w:tcPr>
            <w:tcW w:w="1134" w:type="dxa"/>
          </w:tcPr>
          <w:p>
            <w:pPr>
              <w:pStyle w:val="nTable"/>
              <w:spacing w:after="40"/>
              <w:rPr>
                <w:del w:id="1224" w:author="svcMRProcess" w:date="2018-08-22T15:01:00Z"/>
                <w:b/>
              </w:rPr>
            </w:pPr>
            <w:del w:id="1225" w:author="svcMRProcess" w:date="2018-08-22T15:01:00Z">
              <w:r>
                <w:rPr>
                  <w:b/>
                </w:rPr>
                <w:delText>Number and year</w:delText>
              </w:r>
            </w:del>
          </w:p>
        </w:tc>
        <w:tc>
          <w:tcPr>
            <w:tcW w:w="1134" w:type="dxa"/>
          </w:tcPr>
          <w:p>
            <w:pPr>
              <w:pStyle w:val="nTable"/>
              <w:spacing w:after="40"/>
              <w:rPr>
                <w:del w:id="1226" w:author="svcMRProcess" w:date="2018-08-22T15:01:00Z"/>
                <w:b/>
              </w:rPr>
            </w:pPr>
            <w:del w:id="1227" w:author="svcMRProcess" w:date="2018-08-22T15:01:00Z">
              <w:r>
                <w:rPr>
                  <w:b/>
                </w:rPr>
                <w:delText>Assent</w:delText>
              </w:r>
            </w:del>
          </w:p>
        </w:tc>
        <w:tc>
          <w:tcPr>
            <w:tcW w:w="2552" w:type="dxa"/>
          </w:tcPr>
          <w:p>
            <w:pPr>
              <w:pStyle w:val="nTable"/>
              <w:spacing w:after="40"/>
              <w:rPr>
                <w:del w:id="1228" w:author="svcMRProcess" w:date="2018-08-22T15:01:00Z"/>
                <w:b/>
              </w:rPr>
            </w:pPr>
            <w:del w:id="1229" w:author="svcMRProcess" w:date="2018-08-22T15:01:00Z">
              <w:r>
                <w:rPr>
                  <w:b/>
                </w:rPr>
                <w:delText>Commencement</w:delText>
              </w:r>
            </w:del>
          </w:p>
        </w:tc>
      </w:tr>
      <w:tr>
        <w:tblPrEx>
          <w:tblBorders>
            <w:top w:val="none" w:sz="0" w:space="0" w:color="auto"/>
            <w:bottom w:val="none" w:sz="0" w:space="0" w:color="auto"/>
            <w:insideH w:val="none" w:sz="0" w:space="0" w:color="auto"/>
          </w:tblBorders>
        </w:tblPrEx>
        <w:trPr>
          <w:cantSplit/>
        </w:trPr>
        <w:tc>
          <w:tcPr>
            <w:tcW w:w="2310" w:type="dxa"/>
            <w:tcBorders>
              <w:bottom w:val="single" w:sz="2" w:space="0" w:color="auto"/>
            </w:tcBorders>
            <w:shd w:val="clear" w:color="auto" w:fill="auto"/>
          </w:tcPr>
          <w:p>
            <w:pPr>
              <w:pStyle w:val="nTable"/>
              <w:spacing w:after="40"/>
              <w:rPr>
                <w:b/>
                <w:snapToGrid w:val="0"/>
              </w:rPr>
            </w:pPr>
            <w:r>
              <w:rPr>
                <w:i/>
                <w:snapToGrid w:val="0"/>
                <w:szCs w:val="19"/>
              </w:rPr>
              <w:t>Local Government Legislation Amendment Act 2016</w:t>
            </w:r>
            <w:r>
              <w:rPr>
                <w:snapToGrid w:val="0"/>
                <w:szCs w:val="19"/>
              </w:rPr>
              <w:t xml:space="preserve"> Pt. 3 Div. 11</w:t>
            </w:r>
            <w:del w:id="1230" w:author="svcMRProcess" w:date="2018-08-22T15:01:00Z">
              <w:r>
                <w:rPr>
                  <w:snapToGrid w:val="0"/>
                  <w:szCs w:val="19"/>
                  <w:vertAlign w:val="superscript"/>
                </w:rPr>
                <w:delText> 7</w:delText>
              </w:r>
            </w:del>
          </w:p>
        </w:tc>
        <w:tc>
          <w:tcPr>
            <w:tcW w:w="1134" w:type="dxa"/>
            <w:tcBorders>
              <w:bottom w:val="single" w:sz="2" w:space="0" w:color="auto"/>
            </w:tcBorders>
            <w:shd w:val="clear" w:color="auto" w:fill="auto"/>
          </w:tcPr>
          <w:p>
            <w:pPr>
              <w:pStyle w:val="nTable"/>
              <w:spacing w:after="40"/>
              <w:rPr>
                <w:b/>
                <w:snapToGrid w:val="0"/>
              </w:rPr>
            </w:pPr>
            <w:r>
              <w:t>26 of 2016</w:t>
            </w:r>
          </w:p>
        </w:tc>
        <w:tc>
          <w:tcPr>
            <w:tcW w:w="1134" w:type="dxa"/>
            <w:tcBorders>
              <w:bottom w:val="single" w:sz="2" w:space="0" w:color="auto"/>
            </w:tcBorders>
            <w:shd w:val="clear" w:color="auto" w:fill="auto"/>
          </w:tcPr>
          <w:p>
            <w:pPr>
              <w:pStyle w:val="nTable"/>
              <w:spacing w:after="40"/>
              <w:rPr>
                <w:b/>
                <w:snapToGrid w:val="0"/>
              </w:rPr>
            </w:pPr>
            <w:r>
              <w:t>21 Sep 2016</w:t>
            </w:r>
          </w:p>
        </w:tc>
        <w:tc>
          <w:tcPr>
            <w:tcW w:w="2510" w:type="dxa"/>
            <w:tcBorders>
              <w:bottom w:val="single" w:sz="2" w:space="0" w:color="auto"/>
            </w:tcBorders>
            <w:shd w:val="clear" w:color="auto" w:fill="auto"/>
          </w:tcPr>
          <w:p>
            <w:pPr>
              <w:pStyle w:val="nTable"/>
              <w:spacing w:after="40"/>
              <w:rPr>
                <w:b/>
                <w:snapToGrid w:val="0"/>
              </w:rPr>
            </w:pPr>
            <w:del w:id="1231" w:author="svcMRProcess" w:date="2018-08-22T15:01:00Z">
              <w:r>
                <w:rPr>
                  <w:snapToGrid w:val="0"/>
                </w:rPr>
                <w:delText>To be proclaimed</w:delText>
              </w:r>
            </w:del>
            <w:ins w:id="1232" w:author="svcMRProcess" w:date="2018-08-22T15:01:00Z">
              <w:r>
                <w:rPr>
                  <w:snapToGrid w:val="0"/>
                </w:rPr>
                <w:t>21 Jan 2017</w:t>
              </w:r>
            </w:ins>
            <w:r>
              <w:rPr>
                <w:snapToGrid w:val="0"/>
              </w:rPr>
              <w:t xml:space="preserve"> (see</w:t>
            </w:r>
            <w:del w:id="1233" w:author="svcMRProcess" w:date="2018-08-22T15:01:00Z">
              <w:r>
                <w:rPr>
                  <w:snapToGrid w:val="0"/>
                </w:rPr>
                <w:delText> </w:delText>
              </w:r>
            </w:del>
            <w:ins w:id="1234" w:author="svcMRProcess" w:date="2018-08-22T15:01:00Z">
              <w:r>
                <w:rPr>
                  <w:snapToGrid w:val="0"/>
                </w:rPr>
                <w:t xml:space="preserve"> </w:t>
              </w:r>
            </w:ins>
            <w:r>
              <w:rPr>
                <w:snapToGrid w:val="0"/>
              </w:rPr>
              <w:t>s.</w:t>
            </w:r>
            <w:del w:id="1235" w:author="svcMRProcess" w:date="2018-08-22T15:01:00Z">
              <w:r>
                <w:rPr>
                  <w:snapToGrid w:val="0"/>
                </w:rPr>
                <w:delText> </w:delText>
              </w:r>
            </w:del>
            <w:ins w:id="1236" w:author="svcMRProcess" w:date="2018-08-22T15:01:00Z">
              <w:r>
                <w:rPr>
                  <w:snapToGrid w:val="0"/>
                </w:rPr>
                <w:t xml:space="preserve"> </w:t>
              </w:r>
            </w:ins>
            <w:r>
              <w:rPr>
                <w:snapToGrid w:val="0"/>
              </w:rPr>
              <w:t>2(b</w:t>
            </w:r>
            <w:del w:id="1237" w:author="svcMRProcess" w:date="2018-08-22T15:01:00Z">
              <w:r>
                <w:rPr>
                  <w:snapToGrid w:val="0"/>
                </w:rPr>
                <w:delText>))</w:delText>
              </w:r>
            </w:del>
            <w:ins w:id="1238" w:author="svcMRProcess" w:date="2018-08-22T15:01:00Z">
              <w:r>
                <w:rPr>
                  <w:snapToGrid w:val="0"/>
                </w:rPr>
                <w:t xml:space="preserve">) and </w:t>
              </w:r>
              <w:r>
                <w:rPr>
                  <w:i/>
                  <w:snapToGrid w:val="0"/>
                </w:rPr>
                <w:t>Gazette</w:t>
              </w:r>
              <w:r>
                <w:rPr>
                  <w:snapToGrid w:val="0"/>
                </w:rPr>
                <w:t xml:space="preserve"> 20 Jan 2017 p. 648)</w:t>
              </w:r>
            </w:ins>
          </w:p>
        </w:tc>
      </w:tr>
    </w:tbl>
    <w:p>
      <w:pPr>
        <w:pStyle w:val="nSubsection"/>
        <w:spacing w:before="160"/>
        <w:rPr>
          <w:snapToGrid w:val="0"/>
          <w:vertAlign w:val="superscript"/>
        </w:rPr>
      </w:pPr>
      <w:r>
        <w:rPr>
          <w:snapToGrid w:val="0"/>
          <w:vertAlign w:val="superscript"/>
        </w:rPr>
        <w:t>2</w:t>
      </w:r>
      <w:r>
        <w:rPr>
          <w:snapToGrid w:val="0"/>
        </w:rPr>
        <w:tab/>
        <w:t xml:space="preserve">The </w:t>
      </w:r>
      <w:r>
        <w:rPr>
          <w:i/>
          <w:iCs/>
          <w:snapToGrid w:val="0"/>
        </w:rPr>
        <w:t xml:space="preserve">Anti-Corruption Commission Act 1988 </w:t>
      </w:r>
      <w:r>
        <w:rPr>
          <w:iCs/>
          <w:snapToGrid w:val="0"/>
        </w:rPr>
        <w:t xml:space="preserve">was repealed by the </w:t>
      </w:r>
      <w:r>
        <w:rPr>
          <w:i/>
          <w:iCs/>
          <w:snapToGrid w:val="0"/>
        </w:rPr>
        <w:t>Corruption and Crime Commission Amendment and Repeal Act 2003.</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Now known as the </w:t>
      </w:r>
      <w:r>
        <w:rPr>
          <w:i/>
          <w:noProof/>
          <w:snapToGrid w:val="0"/>
        </w:rPr>
        <w:t>Corruption, Crime and Misconduct Act 2003</w:t>
      </w:r>
      <w:r>
        <w:t>; short title changed (see note under s. 1).</w:t>
      </w:r>
    </w:p>
    <w:p>
      <w:pPr>
        <w:pStyle w:val="nSubsection"/>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keepNext w:val="0"/>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w:t>
      </w:r>
      <w:r>
        <w:rPr>
          <w:i/>
        </w:rPr>
        <w:t>Corruption and Crime Commission Act 2003</w:t>
      </w:r>
      <w:r>
        <w:t>;</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 xml:space="preserve">means the </w:t>
      </w:r>
      <w:r>
        <w:rPr>
          <w:i/>
        </w:rPr>
        <w:t>Financial Administration and Audit Act 1985</w:t>
      </w:r>
      <w:r>
        <w:t>;</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rPr>
          <w:sz w:val="16"/>
          <w:szCs w:val="16"/>
        </w:rPr>
      </w:pPr>
    </w:p>
    <w:p>
      <w:pPr>
        <w:pStyle w:val="nSubsection"/>
        <w:spacing w:before="40"/>
      </w:pPr>
      <w:r>
        <w:rPr>
          <w:vertAlign w:val="superscript"/>
        </w:rPr>
        <w:t>6</w:t>
      </w:r>
      <w:r>
        <w:tab/>
        <w:t xml:space="preserve">The </w:t>
      </w:r>
      <w:r>
        <w:rPr>
          <w:i/>
        </w:rPr>
        <w:t>Corruption and Crime Commission Amendment and Repeal Act 2003</w:t>
      </w:r>
      <w:r>
        <w:t xml:space="preserve"> Pt. 3 Div. 7 reads as follows:</w:t>
      </w:r>
    </w:p>
    <w:p>
      <w:pPr>
        <w:pStyle w:val="BlankOpen"/>
        <w:rPr>
          <w:sz w:val="16"/>
          <w:szCs w:val="16"/>
        </w:rPr>
      </w:pPr>
    </w:p>
    <w:p>
      <w:pPr>
        <w:pStyle w:val="nzHeading2"/>
        <w:spacing w:before="40"/>
      </w:pPr>
      <w:r>
        <w:t>Part 3 — Repeals, transitional and savings provisions, and consequential amendments</w:t>
      </w:r>
    </w:p>
    <w:p>
      <w:pPr>
        <w:pStyle w:val="nzHeading3"/>
        <w:spacing w:before="80"/>
      </w:pPr>
      <w:r>
        <w:t>Division 7 — General</w:t>
      </w:r>
    </w:p>
    <w:p>
      <w:pPr>
        <w:pStyle w:val="nzHeading5"/>
      </w:pPr>
      <w:r>
        <w:t>75.</w:t>
      </w:r>
      <w:r>
        <w:tab/>
        <w:t>Further transitional provisions may be made</w:t>
      </w:r>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keepLines/>
        <w:spacing w:before="120"/>
        <w:rPr>
          <w:del w:id="1239" w:author="svcMRProcess" w:date="2018-08-22T15:01:00Z"/>
          <w:snapToGrid w:val="0"/>
        </w:rPr>
      </w:pPr>
      <w:del w:id="1240" w:author="svcMRProcess" w:date="2018-08-22T15:01:00Z">
        <w:r>
          <w:rPr>
            <w:snapToGrid w:val="0"/>
            <w:szCs w:val="19"/>
            <w:vertAlign w:val="superscript"/>
          </w:rPr>
          <w:delText>7</w:delText>
        </w:r>
        <w:r>
          <w:rPr>
            <w:snapToGrid w:val="0"/>
            <w:szCs w:val="19"/>
            <w:vertAlign w:val="superscript"/>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 xml:space="preserve">Local Government Legislation Amendment Act 2016 </w:delText>
        </w:r>
        <w:r>
          <w:rPr>
            <w:noProof/>
            <w:snapToGrid w:val="0"/>
          </w:rPr>
          <w:delText>Pt. 3 Div. 11</w:delText>
        </w:r>
        <w:r>
          <w:rPr>
            <w:snapToGrid w:val="0"/>
          </w:rPr>
          <w:delText xml:space="preserve"> had not come into operation.  It reads as follows:</w:delText>
        </w:r>
      </w:del>
    </w:p>
    <w:p>
      <w:pPr>
        <w:pStyle w:val="BlankOpen"/>
        <w:rPr>
          <w:del w:id="1241" w:author="svcMRProcess" w:date="2018-08-22T15:01:00Z"/>
          <w:snapToGrid w:val="0"/>
        </w:rPr>
      </w:pPr>
    </w:p>
    <w:p>
      <w:pPr>
        <w:pStyle w:val="nzHeading2"/>
        <w:rPr>
          <w:del w:id="1242" w:author="svcMRProcess" w:date="2018-08-22T15:01:00Z"/>
          <w:rStyle w:val="CharPartText"/>
        </w:rPr>
      </w:pPr>
      <w:bookmarkStart w:id="1243" w:name="_Toc404165586"/>
      <w:bookmarkStart w:id="1244" w:name="_Toc404165739"/>
      <w:bookmarkStart w:id="1245" w:name="_Toc404165892"/>
      <w:bookmarkStart w:id="1246" w:name="_Toc404171391"/>
      <w:bookmarkStart w:id="1247" w:name="_Toc404172158"/>
      <w:bookmarkStart w:id="1248" w:name="_Toc404260322"/>
      <w:bookmarkStart w:id="1249" w:name="_Toc404260475"/>
      <w:bookmarkStart w:id="1250" w:name="_Toc404261292"/>
      <w:bookmarkStart w:id="1251" w:name="_Toc404317240"/>
      <w:bookmarkStart w:id="1252" w:name="_Toc451258323"/>
      <w:bookmarkStart w:id="1253" w:name="_Toc451258476"/>
      <w:bookmarkStart w:id="1254" w:name="_Toc451258629"/>
      <w:bookmarkStart w:id="1255" w:name="_Toc451259646"/>
      <w:bookmarkStart w:id="1256" w:name="_Toc451259982"/>
      <w:bookmarkStart w:id="1257" w:name="_Toc451260135"/>
      <w:bookmarkStart w:id="1258" w:name="_Toc451261427"/>
      <w:bookmarkStart w:id="1259" w:name="_Toc451331863"/>
      <w:bookmarkStart w:id="1260" w:name="_Toc461700764"/>
      <w:bookmarkStart w:id="1261" w:name="_Toc461700914"/>
      <w:bookmarkStart w:id="1262" w:name="_Toc461701064"/>
      <w:bookmarkStart w:id="1263" w:name="_Toc461786171"/>
      <w:bookmarkStart w:id="1264" w:name="_Toc461786446"/>
      <w:bookmarkStart w:id="1265" w:name="_Toc461786636"/>
      <w:bookmarkStart w:id="1266" w:name="_Toc461799213"/>
      <w:bookmarkStart w:id="1267" w:name="_Toc462241277"/>
      <w:del w:id="1268" w:author="svcMRProcess" w:date="2018-08-22T15:01:00Z">
        <w:r>
          <w:rPr>
            <w:rStyle w:val="CharPartNo"/>
          </w:rPr>
          <w:delText>Part 3</w:delText>
        </w:r>
        <w:r>
          <w:delText> — </w:delText>
        </w:r>
        <w:r>
          <w:rPr>
            <w:rStyle w:val="CharPartText"/>
          </w:rPr>
          <w:delText>Amendments to other Acts in relation to regional subsidiaries</w:delTex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del>
    </w:p>
    <w:p>
      <w:pPr>
        <w:pStyle w:val="nzHeading3"/>
        <w:rPr>
          <w:del w:id="1269" w:author="svcMRProcess" w:date="2018-08-22T15:01:00Z"/>
          <w:rStyle w:val="CharDivText"/>
        </w:rPr>
      </w:pPr>
      <w:bookmarkStart w:id="1270" w:name="_Toc404165618"/>
      <w:bookmarkStart w:id="1271" w:name="_Toc404165771"/>
      <w:bookmarkStart w:id="1272" w:name="_Toc404165924"/>
      <w:bookmarkStart w:id="1273" w:name="_Toc404171423"/>
      <w:bookmarkStart w:id="1274" w:name="_Toc404172190"/>
      <w:bookmarkStart w:id="1275" w:name="_Toc404260354"/>
      <w:bookmarkStart w:id="1276" w:name="_Toc404260507"/>
      <w:bookmarkStart w:id="1277" w:name="_Toc404261324"/>
      <w:bookmarkStart w:id="1278" w:name="_Toc404317272"/>
      <w:bookmarkStart w:id="1279" w:name="_Toc451258355"/>
      <w:bookmarkStart w:id="1280" w:name="_Toc451258508"/>
      <w:bookmarkStart w:id="1281" w:name="_Toc451258661"/>
      <w:bookmarkStart w:id="1282" w:name="_Toc451259678"/>
      <w:bookmarkStart w:id="1283" w:name="_Toc451260014"/>
      <w:bookmarkStart w:id="1284" w:name="_Toc451260167"/>
      <w:bookmarkStart w:id="1285" w:name="_Toc451261459"/>
      <w:bookmarkStart w:id="1286" w:name="_Toc451331895"/>
      <w:bookmarkStart w:id="1287" w:name="_Toc461700796"/>
      <w:bookmarkStart w:id="1288" w:name="_Toc461700946"/>
      <w:bookmarkStart w:id="1289" w:name="_Toc461701096"/>
      <w:bookmarkStart w:id="1290" w:name="_Toc461786203"/>
      <w:bookmarkStart w:id="1291" w:name="_Toc461786478"/>
      <w:bookmarkStart w:id="1292" w:name="_Toc461786668"/>
      <w:bookmarkStart w:id="1293" w:name="_Toc461799245"/>
      <w:bookmarkStart w:id="1294" w:name="_Toc462241309"/>
      <w:del w:id="1295" w:author="svcMRProcess" w:date="2018-08-22T15:01:00Z">
        <w:r>
          <w:rPr>
            <w:rStyle w:val="CharDivNo"/>
          </w:rPr>
          <w:delText>Division 11</w:delText>
        </w:r>
        <w:r>
          <w:delText> — </w:delText>
        </w:r>
        <w:r>
          <w:rPr>
            <w:i/>
          </w:rPr>
          <w:delText>Corruption, Crime and Misconduct Act 2003</w:delText>
        </w:r>
        <w:r>
          <w:rPr>
            <w:rStyle w:val="CharDivText"/>
          </w:rPr>
          <w:delText xml:space="preserve"> amended</w:delTex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del>
    </w:p>
    <w:p>
      <w:pPr>
        <w:pStyle w:val="nzHeading5"/>
        <w:rPr>
          <w:del w:id="1296" w:author="svcMRProcess" w:date="2018-08-22T15:01:00Z"/>
        </w:rPr>
      </w:pPr>
      <w:bookmarkStart w:id="1297" w:name="_Toc461799246"/>
      <w:bookmarkStart w:id="1298" w:name="_Toc462241310"/>
      <w:del w:id="1299" w:author="svcMRProcess" w:date="2018-08-22T15:01:00Z">
        <w:r>
          <w:rPr>
            <w:rStyle w:val="CharSectno"/>
          </w:rPr>
          <w:delText>47</w:delText>
        </w:r>
        <w:r>
          <w:delText>.</w:delText>
        </w:r>
        <w:r>
          <w:tab/>
          <w:delText>Act amended</w:delText>
        </w:r>
        <w:bookmarkEnd w:id="1297"/>
        <w:bookmarkEnd w:id="1298"/>
      </w:del>
    </w:p>
    <w:p>
      <w:pPr>
        <w:pStyle w:val="nzSubsection"/>
        <w:rPr>
          <w:del w:id="1300" w:author="svcMRProcess" w:date="2018-08-22T15:01:00Z"/>
        </w:rPr>
      </w:pPr>
      <w:del w:id="1301" w:author="svcMRProcess" w:date="2018-08-22T15:01:00Z">
        <w:r>
          <w:tab/>
        </w:r>
        <w:r>
          <w:tab/>
          <w:delText xml:space="preserve">This Division amends the </w:delText>
        </w:r>
        <w:r>
          <w:rPr>
            <w:i/>
          </w:rPr>
          <w:delText>Corruption, Crime and Misconduct Act 2003</w:delText>
        </w:r>
        <w:r>
          <w:delText>.</w:delText>
        </w:r>
      </w:del>
    </w:p>
    <w:p>
      <w:pPr>
        <w:pStyle w:val="nzHeading5"/>
        <w:rPr>
          <w:del w:id="1302" w:author="svcMRProcess" w:date="2018-08-22T15:01:00Z"/>
        </w:rPr>
      </w:pPr>
      <w:bookmarkStart w:id="1303" w:name="_Toc461799247"/>
      <w:bookmarkStart w:id="1304" w:name="_Toc462241311"/>
      <w:del w:id="1305" w:author="svcMRProcess" w:date="2018-08-22T15:01:00Z">
        <w:r>
          <w:rPr>
            <w:rStyle w:val="CharSectno"/>
          </w:rPr>
          <w:delText>48</w:delText>
        </w:r>
        <w:r>
          <w:delText>.</w:delText>
        </w:r>
        <w:r>
          <w:tab/>
          <w:delText>Section 3 amended</w:delText>
        </w:r>
        <w:bookmarkEnd w:id="1303"/>
        <w:bookmarkEnd w:id="1304"/>
      </w:del>
    </w:p>
    <w:p>
      <w:pPr>
        <w:pStyle w:val="nzSubsection"/>
        <w:rPr>
          <w:del w:id="1306" w:author="svcMRProcess" w:date="2018-08-22T15:01:00Z"/>
        </w:rPr>
      </w:pPr>
      <w:del w:id="1307" w:author="svcMRProcess" w:date="2018-08-22T15:01:00Z">
        <w:r>
          <w:tab/>
          <w:delText>(1)</w:delText>
        </w:r>
        <w:r>
          <w:tab/>
          <w:delText xml:space="preserve">In section 3(1) in the definition of </w:delText>
        </w:r>
        <w:r>
          <w:rPr>
            <w:b/>
            <w:bCs/>
            <w:i/>
            <w:iCs/>
          </w:rPr>
          <w:delText>minor misconduct</w:delText>
        </w:r>
        <w:r>
          <w:delText xml:space="preserve"> delete paragraph (c) and insert:</w:delText>
        </w:r>
      </w:del>
    </w:p>
    <w:p>
      <w:pPr>
        <w:pStyle w:val="BlankOpen"/>
        <w:rPr>
          <w:del w:id="1308" w:author="svcMRProcess" w:date="2018-08-22T15:01:00Z"/>
        </w:rPr>
      </w:pPr>
    </w:p>
    <w:p>
      <w:pPr>
        <w:pStyle w:val="nzDefpara"/>
        <w:rPr>
          <w:del w:id="1309" w:author="svcMRProcess" w:date="2018-08-22T15:01:00Z"/>
        </w:rPr>
      </w:pPr>
      <w:del w:id="1310" w:author="svcMRProcess" w:date="2018-08-22T15:01:00Z">
        <w:r>
          <w:tab/>
          <w:delText>(c)</w:delText>
        </w:r>
        <w:r>
          <w:tab/>
          <w:delText xml:space="preserve">conduct engaged in by — </w:delText>
        </w:r>
      </w:del>
    </w:p>
    <w:p>
      <w:pPr>
        <w:pStyle w:val="nzDefsubpara"/>
        <w:rPr>
          <w:del w:id="1311" w:author="svcMRProcess" w:date="2018-08-22T15:01:00Z"/>
        </w:rPr>
      </w:pPr>
      <w:del w:id="1312" w:author="svcMRProcess" w:date="2018-08-22T15:01:00Z">
        <w:r>
          <w:tab/>
          <w:delText>(i)</w:delText>
        </w:r>
        <w:r>
          <w:tab/>
          <w:delText>a member of a local government or council of a local government; or</w:delText>
        </w:r>
      </w:del>
    </w:p>
    <w:p>
      <w:pPr>
        <w:pStyle w:val="nzDefsubpara"/>
        <w:rPr>
          <w:del w:id="1313" w:author="svcMRProcess" w:date="2018-08-22T15:01:00Z"/>
        </w:rPr>
      </w:pPr>
      <w:del w:id="1314" w:author="svcMRProcess" w:date="2018-08-22T15:01:00Z">
        <w:r>
          <w:tab/>
          <w:delText>(ii)</w:delText>
        </w:r>
        <w:r>
          <w:tab/>
          <w:delText>a member of a council of a regional local government;</w:delText>
        </w:r>
      </w:del>
    </w:p>
    <w:p>
      <w:pPr>
        <w:pStyle w:val="BlankClose"/>
        <w:rPr>
          <w:del w:id="1315" w:author="svcMRProcess" w:date="2018-08-22T15:01:00Z"/>
        </w:rPr>
      </w:pPr>
    </w:p>
    <w:p>
      <w:pPr>
        <w:pStyle w:val="nzSubsection"/>
        <w:rPr>
          <w:del w:id="1316" w:author="svcMRProcess" w:date="2018-08-22T15:01:00Z"/>
        </w:rPr>
      </w:pPr>
      <w:del w:id="1317" w:author="svcMRProcess" w:date="2018-08-22T15:01:00Z">
        <w:r>
          <w:tab/>
          <w:delText>(2)</w:delText>
        </w:r>
        <w:r>
          <w:tab/>
          <w:delText xml:space="preserve">In section 3(1) in the definition of </w:delText>
        </w:r>
        <w:r>
          <w:rPr>
            <w:b/>
            <w:bCs/>
            <w:i/>
            <w:iCs/>
          </w:rPr>
          <w:delText>public authority</w:delText>
        </w:r>
        <w:r>
          <w:delText xml:space="preserve"> paragraph (c) delete “regional local government” and insert:</w:delText>
        </w:r>
      </w:del>
    </w:p>
    <w:p>
      <w:pPr>
        <w:pStyle w:val="BlankOpen"/>
        <w:rPr>
          <w:del w:id="1318" w:author="svcMRProcess" w:date="2018-08-22T15:01:00Z"/>
        </w:rPr>
      </w:pPr>
    </w:p>
    <w:p>
      <w:pPr>
        <w:pStyle w:val="nzSubsection"/>
        <w:rPr>
          <w:del w:id="1319" w:author="svcMRProcess" w:date="2018-08-22T15:01:00Z"/>
        </w:rPr>
      </w:pPr>
      <w:del w:id="1320" w:author="svcMRProcess" w:date="2018-08-22T15:01:00Z">
        <w:r>
          <w:tab/>
        </w:r>
        <w:r>
          <w:tab/>
          <w:delText>regional local government, regional subsidiary</w:delText>
        </w:r>
      </w:del>
    </w:p>
    <w:p>
      <w:pPr>
        <w:pStyle w:val="BlankClose"/>
        <w:rPr>
          <w:del w:id="1321" w:author="svcMRProcess" w:date="2018-08-22T15:01:00Z"/>
        </w:rPr>
      </w:pPr>
    </w:p>
    <w:p>
      <w:pPr>
        <w:pStyle w:val="BlankClose"/>
        <w:rPr>
          <w:del w:id="1322" w:author="svcMRProcess" w:date="2018-08-22T15:01:00Z"/>
        </w:rPr>
      </w:pPr>
    </w:p>
    <w:p>
      <w:pPr>
        <w:rPr>
          <w:del w:id="1323" w:author="svcMRProcess" w:date="2018-08-22T15:01:00Z"/>
        </w:rPr>
      </w:pPr>
    </w:p>
    <w:p>
      <w:pPr>
        <w:sectPr>
          <w:headerReference w:type="even" r:id="rId28"/>
          <w:headerReference w:type="default" r:id="rId29"/>
          <w:pgSz w:w="11907" w:h="16840" w:code="9"/>
          <w:pgMar w:top="2376" w:right="2405" w:bottom="3542" w:left="2405" w:header="706" w:footer="3380" w:gutter="0"/>
          <w:cols w:space="720"/>
          <w:noEndnote/>
          <w:docGrid w:linePitch="326"/>
        </w:sectPr>
      </w:pPr>
    </w:p>
    <w:bookmarkEnd w:id="1206"/>
    <w:bookmarkEnd w:id="1207"/>
    <w:bookmarkEnd w:id="1208"/>
    <w:bookmarkEnd w:id="1209"/>
    <w:bookmarkEnd w:id="1210"/>
    <w:bookmarkEnd w:id="1211"/>
    <w:bookmarkEnd w:id="1212"/>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24" w:name="Compilation"/>
    <w:bookmarkEnd w:id="132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5" w:name="Coversheet"/>
    <w:bookmarkEnd w:id="13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1151" w:name="Schedule"/>
    <w:bookmarkEnd w:id="115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lvlText w:val="%1."/>
      <w:lvlJc w:val="left"/>
      <w:pPr>
        <w:tabs>
          <w:tab w:val="num" w:pos="1800"/>
        </w:tabs>
        <w:ind w:left="1800" w:hanging="360"/>
      </w:pPr>
    </w:lvl>
  </w:abstractNum>
  <w:abstractNum w:abstractNumId="1">
    <w:nsid w:val="FFFFFF7D"/>
    <w:multiLevelType w:val="singleLevel"/>
    <w:tmpl w:val="A4BEA788"/>
    <w:lvl w:ilvl="0">
      <w:start w:val="1"/>
      <w:numFmt w:val="decimal"/>
      <w:lvlText w:val="%1."/>
      <w:lvlJc w:val="left"/>
      <w:pPr>
        <w:tabs>
          <w:tab w:val="num" w:pos="1440"/>
        </w:tabs>
        <w:ind w:left="1440" w:hanging="360"/>
      </w:pPr>
    </w:lvl>
  </w:abstractNum>
  <w:abstractNum w:abstractNumId="2">
    <w:nsid w:val="FFFFFF7E"/>
    <w:multiLevelType w:val="singleLevel"/>
    <w:tmpl w:val="BE14BD82"/>
    <w:lvl w:ilvl="0">
      <w:start w:val="1"/>
      <w:numFmt w:val="decimal"/>
      <w:lvlText w:val="%1."/>
      <w:lvlJc w:val="left"/>
      <w:pPr>
        <w:tabs>
          <w:tab w:val="num" w:pos="1080"/>
        </w:tabs>
        <w:ind w:left="1080" w:hanging="360"/>
      </w:pPr>
    </w:lvl>
  </w:abstractNum>
  <w:abstractNum w:abstractNumId="3">
    <w:nsid w:val="FFFFFF7F"/>
    <w:multiLevelType w:val="singleLevel"/>
    <w:tmpl w:val="E31AD958"/>
    <w:lvl w:ilvl="0">
      <w:start w:val="1"/>
      <w:numFmt w:val="decimal"/>
      <w:lvlText w:val="%1."/>
      <w:lvlJc w:val="left"/>
      <w:pPr>
        <w:tabs>
          <w:tab w:val="num" w:pos="720"/>
        </w:tabs>
        <w:ind w:left="720" w:hanging="360"/>
      </w:pPr>
    </w:lvl>
  </w:abstractNum>
  <w:abstractNum w:abstractNumId="4">
    <w:nsid w:val="FFFFFF80"/>
    <w:multiLevelType w:val="singleLevel"/>
    <w:tmpl w:val="80D605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lvlText w:val="%1."/>
      <w:lvlJc w:val="left"/>
      <w:pPr>
        <w:tabs>
          <w:tab w:val="num" w:pos="360"/>
        </w:tabs>
        <w:ind w:left="360" w:hanging="360"/>
      </w:pPr>
    </w:lvl>
  </w:abstractNum>
  <w:abstractNum w:abstractNumId="9">
    <w:nsid w:val="FFFFFF89"/>
    <w:multiLevelType w:val="singleLevel"/>
    <w:tmpl w:val="4B1A7F82"/>
    <w:lvl w:ilvl="0">
      <w:start w:val="1"/>
      <w:numFmt w:val="bullet"/>
      <w:lvlText w:val=""/>
      <w:lvlJc w:val="left"/>
      <w:pPr>
        <w:tabs>
          <w:tab w:val="num" w:pos="360"/>
        </w:tabs>
        <w:ind w:left="360" w:hanging="360"/>
      </w:pPr>
      <w:rPr>
        <w:rFonts w:ascii="Symbol" w:hAnsi="Symbol" w:hint="default"/>
      </w:rPr>
    </w:lvl>
  </w:abstractNum>
  <w:abstractNum w:abstractNumId="10">
    <w:nsid w:val="10C86AB7"/>
    <w:multiLevelType w:val="multilevel"/>
    <w:tmpl w:val="7F78A0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3E30FE6"/>
    <w:multiLevelType w:val="hybridMultilevel"/>
    <w:tmpl w:val="4E08DD38"/>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478E84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35053"/>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 w:name="WAFER_20150728102710" w:val="RemoveTocBookmarks,RemoveUnusedBookmarks,RemoveLanguageTags,UsedStyles,RemoveTrackChanges"/>
    <w:docVar w:name="WAFER_20150728102710_GUID" w:val="70349007-3df2-47b1-b90b-1440a219cc39"/>
    <w:docVar w:name="WAFER_20150728102732" w:val="RemoveTocBookmarks,RemoveLanguageTags,RemoveTrackChanges,RunningHeaders"/>
    <w:docVar w:name="WAFER_20150728102732_GUID" w:val="8b273aa9-eafb-4bc2-b4a9-7b3c59dd0ee8"/>
    <w:docVar w:name="WAFER_20151102162201" w:val="UpdateStyles,UsedStyles"/>
    <w:docVar w:name="WAFER_20151102162201_GUID" w:val="11edcd45-4296-4989-a08e-131298e7d594"/>
    <w:docVar w:name="WAFER_20151102162217" w:val="UpdateStyles,UsedStyles"/>
    <w:docVar w:name="WAFER_20151102162217_GUID" w:val="fd2ecf28-a8a5-4513-a1c3-c9ef47583231"/>
    <w:docVar w:name="WAFER_20151202135053" w:val="UpdateStyles"/>
    <w:docVar w:name="WAFER_20151202135053_GUID" w:val="38daad88-34b6-470f-8538-f9de0b0e9e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8ED6B-1B4E-4117-B1C4-EBF9D62F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52281</Words>
  <Characters>254611</Characters>
  <Application>Microsoft Office Word</Application>
  <DocSecurity>0</DocSecurity>
  <Lines>6700</Lines>
  <Paragraphs>3653</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303239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Act 2003 06-b0-00 - 06-c0-01</dc:title>
  <dc:subject/>
  <dc:creator/>
  <cp:keywords/>
  <dc:description/>
  <cp:lastModifiedBy>svcMRProcess</cp:lastModifiedBy>
  <cp:revision>2</cp:revision>
  <cp:lastPrinted>2015-08-03T04:00:00Z</cp:lastPrinted>
  <dcterms:created xsi:type="dcterms:W3CDTF">2018-08-22T07:01:00Z</dcterms:created>
  <dcterms:modified xsi:type="dcterms:W3CDTF">2018-08-22T07:01:00Z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edAsAt">
    <vt:filetime>2015-07-30T16:00:00Z</vt:filetime>
  </property>
  <property fmtid="{D5CDD505-2E9C-101B-9397-08002B2CF9AE}" pid="6" name="ReprintNo">
    <vt:lpwstr>6</vt:lpwstr>
  </property>
  <property fmtid="{D5CDD505-2E9C-101B-9397-08002B2CF9AE}" pid="7" name="CommencementDate">
    <vt:lpwstr>20170121</vt:lpwstr>
  </property>
  <property fmtid="{D5CDD505-2E9C-101B-9397-08002B2CF9AE}" pid="8" name="FromSuffix">
    <vt:lpwstr>06-b0-00</vt:lpwstr>
  </property>
  <property fmtid="{D5CDD505-2E9C-101B-9397-08002B2CF9AE}" pid="9" name="FromAsAtDate">
    <vt:lpwstr>21 Sep 2016</vt:lpwstr>
  </property>
  <property fmtid="{D5CDD505-2E9C-101B-9397-08002B2CF9AE}" pid="10" name="ToSuffix">
    <vt:lpwstr>06-c0-01</vt:lpwstr>
  </property>
  <property fmtid="{D5CDD505-2E9C-101B-9397-08002B2CF9AE}" pid="11" name="ToAsAtDate">
    <vt:lpwstr>21 Jan 2017</vt:lpwstr>
  </property>
</Properties>
</file>