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1" w:name="_GoBack"/>
      <w:bookmarkEnd w:id="1"/>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381880541"/>
      <w:bookmarkStart w:id="3" w:name="_Toc381880582"/>
      <w:bookmarkStart w:id="4" w:name="_Toc406080261"/>
      <w:bookmarkStart w:id="5" w:name="_Toc406080303"/>
      <w:bookmarkStart w:id="6" w:name="_Toc423090507"/>
      <w:bookmarkStart w:id="7" w:name="_Toc423593815"/>
      <w:bookmarkStart w:id="8" w:name="_Toc423593856"/>
      <w:bookmarkStart w:id="9" w:name="_Toc462733346"/>
      <w:bookmarkStart w:id="10" w:name="_Toc462751942"/>
      <w:bookmarkStart w:id="11" w:name="_Toc462751984"/>
      <w:bookmarkStart w:id="12" w:name="_Toc472681755"/>
      <w:bookmarkStart w:id="13" w:name="_Toc47268521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06080304"/>
      <w:bookmarkStart w:id="15" w:name="_Toc472685219"/>
      <w:bookmarkStart w:id="16" w:name="_Toc462751985"/>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17" w:name="_Toc406080305"/>
      <w:bookmarkStart w:id="18" w:name="_Toc472685220"/>
      <w:bookmarkStart w:id="19" w:name="_Toc462751986"/>
      <w:r>
        <w:rPr>
          <w:rStyle w:val="CharSectno"/>
        </w:rPr>
        <w:t>2</w:t>
      </w:r>
      <w:r>
        <w:rPr>
          <w:snapToGrid w:val="0"/>
        </w:rPr>
        <w:t>.</w:t>
      </w:r>
      <w:r>
        <w:rPr>
          <w:snapToGrid w:val="0"/>
        </w:rPr>
        <w:tab/>
        <w:t>Commencement</w:t>
      </w:r>
      <w:bookmarkEnd w:id="17"/>
      <w:bookmarkEnd w:id="18"/>
      <w:bookmarkEnd w:id="19"/>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0" w:name="_Toc406080306"/>
      <w:bookmarkStart w:id="21" w:name="_Toc472685221"/>
      <w:bookmarkStart w:id="22" w:name="_Toc462751987"/>
      <w:r>
        <w:rPr>
          <w:rStyle w:val="CharSectno"/>
        </w:rPr>
        <w:t>3</w:t>
      </w:r>
      <w:r>
        <w:t>.</w:t>
      </w:r>
      <w:r>
        <w:tab/>
        <w:t>Terms used</w:t>
      </w:r>
      <w:bookmarkEnd w:id="20"/>
      <w:bookmarkEnd w:id="21"/>
      <w:bookmarkEnd w:id="22"/>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lastRenderedPageBreak/>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w:t>
      </w:r>
      <w:del w:id="23" w:author="svcMRProcess" w:date="2019-01-23T12:20:00Z">
        <w:r>
          <w:delText xml:space="preserve"> or</w:delText>
        </w:r>
      </w:del>
      <w:ins w:id="24" w:author="svcMRProcess" w:date="2019-01-23T12:20:00Z">
        <w:r>
          <w:t>,</w:t>
        </w:r>
      </w:ins>
      <w:r>
        <w:t xml:space="preserve"> a regional local government</w:t>
      </w:r>
      <w:ins w:id="25" w:author="svcMRProcess" w:date="2019-01-23T12:20:00Z">
        <w:r>
          <w:t xml:space="preserve"> or a regional subsidiary</w:t>
        </w:r>
      </w:ins>
      <w:r>
        <w: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w:t>
      </w:r>
      <w:del w:id="26" w:author="svcMRProcess" w:date="2019-01-23T12:20:00Z">
        <w:r>
          <w:delText xml:space="preserve"> by</w:delText>
        </w:r>
      </w:del>
      <w:ins w:id="27" w:author="svcMRProcess" w:date="2019-01-23T12:20:00Z">
        <w:r>
          <w:t>:</w:t>
        </w:r>
      </w:ins>
      <w:r>
        <w:t xml:space="preserve"> No. 48 of 2003 s. 62; No. 78 of 2003 s. 74(2); No. 59 of 2006 s. 73; No. 77 of 2006 Sch. 1 cl. 136; No. 8 of 2008 s. 18; No. 42 of 2009 s. 22(2) and (3); No. 39 of 2010 s. 82(2); No. 35 of 2014 s. </w:t>
      </w:r>
      <w:del w:id="28" w:author="svcMRProcess" w:date="2019-01-23T12:20:00Z">
        <w:r>
          <w:delText>39</w:delText>
        </w:r>
      </w:del>
      <w:ins w:id="29" w:author="svcMRProcess" w:date="2019-01-23T12:20:00Z">
        <w:r>
          <w:t>39; No. 26 of 2016 s. 84</w:t>
        </w:r>
      </w:ins>
      <w:r>
        <w:t>.]</w:t>
      </w:r>
    </w:p>
    <w:p>
      <w:pPr>
        <w:pStyle w:val="Heading5"/>
      </w:pPr>
      <w:bookmarkStart w:id="30" w:name="_Toc406080307"/>
      <w:bookmarkStart w:id="31" w:name="_Toc472685222"/>
      <w:bookmarkStart w:id="32" w:name="_Toc462751988"/>
      <w:r>
        <w:rPr>
          <w:rStyle w:val="CharSectno"/>
        </w:rPr>
        <w:t>4</w:t>
      </w:r>
      <w:r>
        <w:t>.</w:t>
      </w:r>
      <w:r>
        <w:tab/>
        <w:t>Crown bound</w:t>
      </w:r>
      <w:bookmarkEnd w:id="30"/>
      <w:bookmarkEnd w:id="31"/>
      <w:bookmarkEnd w:id="32"/>
    </w:p>
    <w:p>
      <w:pPr>
        <w:pStyle w:val="Subsection"/>
      </w:pPr>
      <w:r>
        <w:tab/>
      </w:r>
      <w:r>
        <w:tab/>
        <w:t>This Act binds the Crown in right of the State.</w:t>
      </w:r>
    </w:p>
    <w:p>
      <w:pPr>
        <w:pStyle w:val="Heading2"/>
      </w:pPr>
      <w:bookmarkStart w:id="33" w:name="_Toc381880546"/>
      <w:bookmarkStart w:id="34" w:name="_Toc381880587"/>
      <w:bookmarkStart w:id="35" w:name="_Toc406080266"/>
      <w:bookmarkStart w:id="36" w:name="_Toc406080308"/>
      <w:bookmarkStart w:id="37" w:name="_Toc423090512"/>
      <w:bookmarkStart w:id="38" w:name="_Toc423593820"/>
      <w:bookmarkStart w:id="39" w:name="_Toc423593861"/>
      <w:bookmarkStart w:id="40" w:name="_Toc462733351"/>
      <w:bookmarkStart w:id="41" w:name="_Toc462751947"/>
      <w:bookmarkStart w:id="42" w:name="_Toc462751989"/>
      <w:bookmarkStart w:id="43" w:name="_Toc472681760"/>
      <w:bookmarkStart w:id="44" w:name="_Toc472685223"/>
      <w:r>
        <w:rPr>
          <w:rStyle w:val="CharPartNo"/>
        </w:rPr>
        <w:t>Part 2</w:t>
      </w:r>
      <w:r>
        <w:t xml:space="preserve"> — </w:t>
      </w:r>
      <w:r>
        <w:rPr>
          <w:rStyle w:val="CharPartText"/>
        </w:rPr>
        <w:t>Public interest disclosures</w:t>
      </w:r>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381880547"/>
      <w:bookmarkStart w:id="46" w:name="_Toc381880588"/>
      <w:bookmarkStart w:id="47" w:name="_Toc406080267"/>
      <w:bookmarkStart w:id="48" w:name="_Toc406080309"/>
      <w:bookmarkStart w:id="49" w:name="_Toc423090513"/>
      <w:bookmarkStart w:id="50" w:name="_Toc423593821"/>
      <w:bookmarkStart w:id="51" w:name="_Toc423593862"/>
      <w:bookmarkStart w:id="52" w:name="_Toc462733352"/>
      <w:bookmarkStart w:id="53" w:name="_Toc462751948"/>
      <w:bookmarkStart w:id="54" w:name="_Toc462751990"/>
      <w:bookmarkStart w:id="55" w:name="_Toc472681761"/>
      <w:bookmarkStart w:id="56" w:name="_Toc472685224"/>
      <w:r>
        <w:rPr>
          <w:rStyle w:val="CharDivNo"/>
        </w:rPr>
        <w:t>Division 1</w:t>
      </w:r>
      <w:r>
        <w:t xml:space="preserve"> — </w:t>
      </w:r>
      <w:r>
        <w:rPr>
          <w:rStyle w:val="CharDivText"/>
        </w:rPr>
        <w:t>Disclosures</w:t>
      </w:r>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06080310"/>
      <w:bookmarkStart w:id="58" w:name="_Toc472685225"/>
      <w:bookmarkStart w:id="59" w:name="_Toc462751991"/>
      <w:r>
        <w:rPr>
          <w:rStyle w:val="CharSectno"/>
        </w:rPr>
        <w:t>5</w:t>
      </w:r>
      <w:r>
        <w:t>.</w:t>
      </w:r>
      <w:r>
        <w:tab/>
        <w:t>Appropriate disclosure of public interest information, making</w:t>
      </w:r>
      <w:bookmarkEnd w:id="57"/>
      <w:bookmarkEnd w:id="58"/>
      <w:bookmarkEnd w:id="59"/>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w:t>
      </w:r>
      <w:del w:id="60" w:author="svcMRProcess" w:date="2019-01-23T12:20:00Z">
        <w:r>
          <w:delText xml:space="preserve"> by</w:delText>
        </w:r>
      </w:del>
      <w:ins w:id="61" w:author="svcMRProcess" w:date="2019-01-23T12:20:00Z">
        <w:r>
          <w:t>:</w:t>
        </w:r>
      </w:ins>
      <w:r>
        <w:t xml:space="preserve"> No. 48 of 2003 s. 62; No. 78 of 2003 s. 74(2); No. 42 of 2009 s. 22(4); No. 31 of 2012 s. 9.]</w:t>
      </w:r>
    </w:p>
    <w:p>
      <w:pPr>
        <w:pStyle w:val="Heading5"/>
      </w:pPr>
      <w:bookmarkStart w:id="62" w:name="_Toc406080311"/>
      <w:bookmarkStart w:id="63" w:name="_Toc472685226"/>
      <w:bookmarkStart w:id="64" w:name="_Toc462751992"/>
      <w:r>
        <w:rPr>
          <w:rStyle w:val="CharSectno"/>
        </w:rPr>
        <w:t>6</w:t>
      </w:r>
      <w:r>
        <w:t>.</w:t>
      </w:r>
      <w:r>
        <w:tab/>
        <w:t>Liability of person disclosing unaffected</w:t>
      </w:r>
      <w:bookmarkEnd w:id="62"/>
      <w:bookmarkEnd w:id="63"/>
      <w:bookmarkEnd w:id="64"/>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65" w:name="_Toc406080312"/>
      <w:bookmarkStart w:id="66" w:name="_Toc472685227"/>
      <w:bookmarkStart w:id="67" w:name="_Toc462751993"/>
      <w:r>
        <w:rPr>
          <w:rStyle w:val="CharSectno"/>
        </w:rPr>
        <w:t>7A</w:t>
      </w:r>
      <w:r>
        <w:t>.</w:t>
      </w:r>
      <w:r>
        <w:tab/>
        <w:t>Disclosure of public interest information to journalist, when may be made</w:t>
      </w:r>
      <w:bookmarkEnd w:id="65"/>
      <w:bookmarkEnd w:id="66"/>
      <w:bookmarkEnd w:id="67"/>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w:t>
      </w:r>
      <w:del w:id="68" w:author="svcMRProcess" w:date="2019-01-23T12:20:00Z">
        <w:r>
          <w:delText xml:space="preserve"> by</w:delText>
        </w:r>
      </w:del>
      <w:ins w:id="69" w:author="svcMRProcess" w:date="2019-01-23T12:20:00Z">
        <w:r>
          <w:t>:</w:t>
        </w:r>
      </w:ins>
      <w:r>
        <w:t xml:space="preserve"> No. 31 of 2012 s. 15.]</w:t>
      </w:r>
    </w:p>
    <w:p>
      <w:pPr>
        <w:pStyle w:val="Heading3"/>
      </w:pPr>
      <w:bookmarkStart w:id="70" w:name="_Toc381880551"/>
      <w:bookmarkStart w:id="71" w:name="_Toc381880592"/>
      <w:bookmarkStart w:id="72" w:name="_Toc406080271"/>
      <w:bookmarkStart w:id="73" w:name="_Toc406080313"/>
      <w:bookmarkStart w:id="74" w:name="_Toc423090517"/>
      <w:bookmarkStart w:id="75" w:name="_Toc423593825"/>
      <w:bookmarkStart w:id="76" w:name="_Toc423593866"/>
      <w:bookmarkStart w:id="77" w:name="_Toc462733356"/>
      <w:bookmarkStart w:id="78" w:name="_Toc462751952"/>
      <w:bookmarkStart w:id="79" w:name="_Toc462751994"/>
      <w:bookmarkStart w:id="80" w:name="_Toc472681765"/>
      <w:bookmarkStart w:id="81" w:name="_Toc472685228"/>
      <w:r>
        <w:rPr>
          <w:rStyle w:val="CharDivNo"/>
        </w:rPr>
        <w:t>Division 2</w:t>
      </w:r>
      <w:r>
        <w:t xml:space="preserve"> — </w:t>
      </w:r>
      <w:r>
        <w:rPr>
          <w:rStyle w:val="CharDivText"/>
        </w:rPr>
        <w:t>Obligations of a person to whom a disclosure is made</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06080314"/>
      <w:bookmarkStart w:id="83" w:name="_Toc472685229"/>
      <w:bookmarkStart w:id="84" w:name="_Toc462751995"/>
      <w:r>
        <w:rPr>
          <w:rStyle w:val="CharSectno"/>
        </w:rPr>
        <w:t>7</w:t>
      </w:r>
      <w:r>
        <w:t>.</w:t>
      </w:r>
      <w:r>
        <w:tab/>
        <w:t>Term used: proper authority</w:t>
      </w:r>
      <w:bookmarkEnd w:id="82"/>
      <w:bookmarkEnd w:id="83"/>
      <w:bookmarkEnd w:id="84"/>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85" w:name="_Toc406080315"/>
      <w:bookmarkStart w:id="86" w:name="_Toc472685230"/>
      <w:bookmarkStart w:id="87" w:name="_Toc462751996"/>
      <w:r>
        <w:rPr>
          <w:rStyle w:val="CharSectno"/>
        </w:rPr>
        <w:t>8</w:t>
      </w:r>
      <w:r>
        <w:t>.</w:t>
      </w:r>
      <w:r>
        <w:tab/>
        <w:t>Proper authority’s functions as to disclosed information</w:t>
      </w:r>
      <w:bookmarkEnd w:id="85"/>
      <w:bookmarkEnd w:id="86"/>
      <w:bookmarkEnd w:id="87"/>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w:t>
      </w:r>
      <w:del w:id="88" w:author="svcMRProcess" w:date="2019-01-23T12:20:00Z">
        <w:r>
          <w:delText xml:space="preserve"> by</w:delText>
        </w:r>
      </w:del>
      <w:ins w:id="89" w:author="svcMRProcess" w:date="2019-01-23T12:20:00Z">
        <w:r>
          <w:t>:</w:t>
        </w:r>
      </w:ins>
      <w:r>
        <w:t xml:space="preserve"> No. 31 of 2012 s. 10.]</w:t>
      </w:r>
    </w:p>
    <w:p>
      <w:pPr>
        <w:pStyle w:val="Heading5"/>
        <w:rPr>
          <w:snapToGrid w:val="0"/>
        </w:rPr>
      </w:pPr>
      <w:bookmarkStart w:id="90" w:name="_Toc406080316"/>
      <w:bookmarkStart w:id="91" w:name="_Toc472685231"/>
      <w:bookmarkStart w:id="92" w:name="_Toc462751997"/>
      <w:r>
        <w:rPr>
          <w:rStyle w:val="CharSectno"/>
        </w:rPr>
        <w:t>9</w:t>
      </w:r>
      <w:r>
        <w:rPr>
          <w:snapToGrid w:val="0"/>
        </w:rPr>
        <w:t>.</w:t>
      </w:r>
      <w:r>
        <w:rPr>
          <w:snapToGrid w:val="0"/>
        </w:rPr>
        <w:tab/>
        <w:t>Proper authority’s duties as to matter that might be disclosed</w:t>
      </w:r>
      <w:bookmarkEnd w:id="90"/>
      <w:bookmarkEnd w:id="91"/>
      <w:bookmarkEnd w:id="92"/>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93" w:name="_Toc406080317"/>
      <w:bookmarkStart w:id="94" w:name="_Toc472685232"/>
      <w:bookmarkStart w:id="95" w:name="_Toc462751998"/>
      <w:r>
        <w:rPr>
          <w:rStyle w:val="CharSectno"/>
        </w:rPr>
        <w:t>10</w:t>
      </w:r>
      <w:r>
        <w:t>.</w:t>
      </w:r>
      <w:r>
        <w:tab/>
        <w:t>Proper authority to notify informant of action taken</w:t>
      </w:r>
      <w:bookmarkEnd w:id="93"/>
      <w:bookmarkEnd w:id="94"/>
      <w:bookmarkEnd w:id="95"/>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w:t>
      </w:r>
      <w:del w:id="96" w:author="svcMRProcess" w:date="2019-01-23T12:20:00Z">
        <w:r>
          <w:delText xml:space="preserve"> by</w:delText>
        </w:r>
      </w:del>
      <w:ins w:id="97" w:author="svcMRProcess" w:date="2019-01-23T12:20:00Z">
        <w:r>
          <w:t>:</w:t>
        </w:r>
      </w:ins>
      <w:r>
        <w:t xml:space="preserve"> No. 31 of 2012 s. 11.]</w:t>
      </w:r>
    </w:p>
    <w:p>
      <w:pPr>
        <w:pStyle w:val="Heading5"/>
        <w:rPr>
          <w:snapToGrid w:val="0"/>
        </w:rPr>
      </w:pPr>
      <w:bookmarkStart w:id="98" w:name="_Toc406080318"/>
      <w:bookmarkStart w:id="99" w:name="_Toc472685233"/>
      <w:bookmarkStart w:id="100" w:name="_Toc462751999"/>
      <w:r>
        <w:rPr>
          <w:rStyle w:val="CharSectno"/>
        </w:rPr>
        <w:t>11</w:t>
      </w:r>
      <w:r>
        <w:rPr>
          <w:snapToGrid w:val="0"/>
        </w:rPr>
        <w:t>.</w:t>
      </w:r>
      <w:r>
        <w:rPr>
          <w:snapToGrid w:val="0"/>
        </w:rPr>
        <w:tab/>
        <w:t>Notice under s. 10 not to disclose certain matters</w:t>
      </w:r>
      <w:bookmarkEnd w:id="98"/>
      <w:bookmarkEnd w:id="99"/>
      <w:bookmarkEnd w:id="100"/>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Crime and Misconduct Act 2003</w:t>
      </w:r>
      <w:r>
        <w:t xml:space="preserve"> prevents a person from disclosing is not to be given or disclosed under section 10.</w:t>
      </w:r>
    </w:p>
    <w:p>
      <w:pPr>
        <w:pStyle w:val="Footnotesection"/>
      </w:pPr>
      <w:r>
        <w:tab/>
        <w:t>[Section 11 amended</w:t>
      </w:r>
      <w:del w:id="101" w:author="svcMRProcess" w:date="2019-01-23T12:20:00Z">
        <w:r>
          <w:delText xml:space="preserve"> by</w:delText>
        </w:r>
      </w:del>
      <w:ins w:id="102" w:author="svcMRProcess" w:date="2019-01-23T12:20:00Z">
        <w:r>
          <w:t>:</w:t>
        </w:r>
      </w:ins>
      <w:r>
        <w:t xml:space="preserve"> No. 48 of 2003 s. 62 (as amended</w:t>
      </w:r>
      <w:del w:id="103" w:author="svcMRProcess" w:date="2019-01-23T12:20:00Z">
        <w:r>
          <w:delText xml:space="preserve"> by</w:delText>
        </w:r>
      </w:del>
      <w:ins w:id="104" w:author="svcMRProcess" w:date="2019-01-23T12:20:00Z">
        <w:r>
          <w:t>:</w:t>
        </w:r>
      </w:ins>
      <w:r>
        <w:t xml:space="preserve"> No. 78 of 2003 s. 35(13)); No. 78 of 2003 s. 74(2); No. 35 of 2014 s. 39.]</w:t>
      </w:r>
    </w:p>
    <w:p>
      <w:pPr>
        <w:pStyle w:val="Heading5"/>
      </w:pPr>
      <w:bookmarkStart w:id="105" w:name="_Toc406080319"/>
      <w:bookmarkStart w:id="106" w:name="_Toc472685234"/>
      <w:bookmarkStart w:id="107" w:name="_Toc462752000"/>
      <w:r>
        <w:rPr>
          <w:rStyle w:val="CharSectno"/>
        </w:rPr>
        <w:t>12</w:t>
      </w:r>
      <w:r>
        <w:t>.</w:t>
      </w:r>
      <w:r>
        <w:tab/>
        <w:t>Duties under this Act of certain persons limited</w:t>
      </w:r>
      <w:bookmarkEnd w:id="105"/>
      <w:bookmarkEnd w:id="106"/>
      <w:bookmarkEnd w:id="107"/>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w:t>
      </w:r>
      <w:del w:id="108" w:author="svcMRProcess" w:date="2019-01-23T12:20:00Z">
        <w:r>
          <w:delText xml:space="preserve"> by</w:delText>
        </w:r>
      </w:del>
      <w:ins w:id="109" w:author="svcMRProcess" w:date="2019-01-23T12:20:00Z">
        <w:r>
          <w:t>:</w:t>
        </w:r>
      </w:ins>
      <w:r>
        <w:t xml:space="preserve"> No. 48 of 2003 s. 62; No. 78 of 2003 s. 74(2); No. 8 of 2009 s. 104(2); No. 31 of 2012 s. 12.]</w:t>
      </w:r>
    </w:p>
    <w:p>
      <w:pPr>
        <w:pStyle w:val="Heading2"/>
      </w:pPr>
      <w:bookmarkStart w:id="110" w:name="_Toc381880558"/>
      <w:bookmarkStart w:id="111" w:name="_Toc381880599"/>
      <w:bookmarkStart w:id="112" w:name="_Toc406080278"/>
      <w:bookmarkStart w:id="113" w:name="_Toc406080320"/>
      <w:bookmarkStart w:id="114" w:name="_Toc423090524"/>
      <w:bookmarkStart w:id="115" w:name="_Toc423593832"/>
      <w:bookmarkStart w:id="116" w:name="_Toc423593873"/>
      <w:bookmarkStart w:id="117" w:name="_Toc462733363"/>
      <w:bookmarkStart w:id="118" w:name="_Toc462751959"/>
      <w:bookmarkStart w:id="119" w:name="_Toc462752001"/>
      <w:bookmarkStart w:id="120" w:name="_Toc472681772"/>
      <w:bookmarkStart w:id="121" w:name="_Toc472685235"/>
      <w:r>
        <w:rPr>
          <w:rStyle w:val="CharPartNo"/>
        </w:rPr>
        <w:t>Part 3</w:t>
      </w:r>
      <w:r>
        <w:rPr>
          <w:rStyle w:val="CharDivNo"/>
        </w:rPr>
        <w:t xml:space="preserve"> </w:t>
      </w:r>
      <w:r>
        <w:t>—</w:t>
      </w:r>
      <w:r>
        <w:rPr>
          <w:rStyle w:val="CharDivText"/>
        </w:rPr>
        <w:t xml:space="preserve"> </w:t>
      </w:r>
      <w:r>
        <w:rPr>
          <w:rStyle w:val="CharPartText"/>
        </w:rPr>
        <w:t>Protection</w:t>
      </w:r>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06080321"/>
      <w:bookmarkStart w:id="123" w:name="_Toc472685236"/>
      <w:bookmarkStart w:id="124" w:name="_Toc462752002"/>
      <w:r>
        <w:rPr>
          <w:rStyle w:val="CharSectno"/>
        </w:rPr>
        <w:t>13</w:t>
      </w:r>
      <w:r>
        <w:t>.</w:t>
      </w:r>
      <w:r>
        <w:tab/>
        <w:t>Immunity for person making appropriate disclosure of public interest information</w:t>
      </w:r>
      <w:bookmarkEnd w:id="122"/>
      <w:bookmarkEnd w:id="123"/>
      <w:bookmarkEnd w:id="124"/>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25" w:name="_Toc406080322"/>
      <w:bookmarkStart w:id="126" w:name="_Toc472685237"/>
      <w:bookmarkStart w:id="127" w:name="_Toc462752003"/>
      <w:r>
        <w:rPr>
          <w:rStyle w:val="CharSectno"/>
        </w:rPr>
        <w:t>14</w:t>
      </w:r>
      <w:r>
        <w:t>.</w:t>
      </w:r>
      <w:r>
        <w:tab/>
        <w:t>Detrimental action against informant etc., offence</w:t>
      </w:r>
      <w:bookmarkEnd w:id="125"/>
      <w:bookmarkEnd w:id="126"/>
      <w:bookmarkEnd w:id="12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28" w:name="_Toc406080323"/>
      <w:bookmarkStart w:id="129" w:name="_Toc472685238"/>
      <w:bookmarkStart w:id="130" w:name="_Toc462752004"/>
      <w:r>
        <w:rPr>
          <w:rStyle w:val="CharSectno"/>
        </w:rPr>
        <w:t>15A</w:t>
      </w:r>
      <w:r>
        <w:t>.</w:t>
      </w:r>
      <w:r>
        <w:tab/>
        <w:t>Injunction etc. as to detrimental action</w:t>
      </w:r>
      <w:bookmarkEnd w:id="128"/>
      <w:bookmarkEnd w:id="129"/>
      <w:bookmarkEnd w:id="130"/>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w:t>
      </w:r>
      <w:del w:id="131" w:author="svcMRProcess" w:date="2019-01-23T12:20:00Z">
        <w:r>
          <w:delText xml:space="preserve"> by</w:delText>
        </w:r>
      </w:del>
      <w:ins w:id="132" w:author="svcMRProcess" w:date="2019-01-23T12:20:00Z">
        <w:r>
          <w:t>:</w:t>
        </w:r>
      </w:ins>
      <w:r>
        <w:t xml:space="preserve"> No. 31 of 2012 s. 7.]</w:t>
      </w:r>
    </w:p>
    <w:p>
      <w:pPr>
        <w:pStyle w:val="Heading5"/>
      </w:pPr>
      <w:bookmarkStart w:id="133" w:name="_Toc406080324"/>
      <w:bookmarkStart w:id="134" w:name="_Toc472685239"/>
      <w:bookmarkStart w:id="135" w:name="_Toc462752005"/>
      <w:r>
        <w:rPr>
          <w:rStyle w:val="CharSectno"/>
        </w:rPr>
        <w:t>15B</w:t>
      </w:r>
      <w:r>
        <w:t>.</w:t>
      </w:r>
      <w:r>
        <w:tab/>
        <w:t>Public service employee, relocating to prevent etc. reprisal</w:t>
      </w:r>
      <w:bookmarkEnd w:id="133"/>
      <w:bookmarkEnd w:id="134"/>
      <w:bookmarkEnd w:id="135"/>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w:t>
      </w:r>
      <w:del w:id="136" w:author="svcMRProcess" w:date="2019-01-23T12:20:00Z">
        <w:r>
          <w:delText xml:space="preserve"> by</w:delText>
        </w:r>
      </w:del>
      <w:ins w:id="137" w:author="svcMRProcess" w:date="2019-01-23T12:20:00Z">
        <w:r>
          <w:t>:</w:t>
        </w:r>
      </w:ins>
      <w:r>
        <w:t xml:space="preserve"> No. 31 of 2012 s. 8.]</w:t>
      </w:r>
    </w:p>
    <w:p>
      <w:pPr>
        <w:pStyle w:val="Heading5"/>
      </w:pPr>
      <w:bookmarkStart w:id="138" w:name="_Toc406080325"/>
      <w:bookmarkStart w:id="139" w:name="_Toc472685240"/>
      <w:bookmarkStart w:id="140" w:name="_Toc462752006"/>
      <w:r>
        <w:rPr>
          <w:rStyle w:val="CharSectno"/>
        </w:rPr>
        <w:t>15</w:t>
      </w:r>
      <w:r>
        <w:t>.</w:t>
      </w:r>
      <w:r>
        <w:tab/>
        <w:t>Act of victimisation defined; remedies for</w:t>
      </w:r>
      <w:bookmarkEnd w:id="138"/>
      <w:bookmarkEnd w:id="139"/>
      <w:bookmarkEnd w:id="140"/>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41" w:name="_Toc406080326"/>
      <w:bookmarkStart w:id="142" w:name="_Toc472685241"/>
      <w:bookmarkStart w:id="143" w:name="_Toc462752007"/>
      <w:r>
        <w:rPr>
          <w:rStyle w:val="CharSectno"/>
        </w:rPr>
        <w:t>16</w:t>
      </w:r>
      <w:r>
        <w:t>.</w:t>
      </w:r>
      <w:r>
        <w:tab/>
        <w:t>Disclosure of identity of informant etc. restricted</w:t>
      </w:r>
      <w:bookmarkEnd w:id="141"/>
      <w:bookmarkEnd w:id="142"/>
      <w:bookmarkEnd w:id="143"/>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Crime and Misconduct 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Crime and Misconduct Act 2003</w:t>
      </w:r>
      <w:r>
        <w:t>.</w:t>
      </w:r>
    </w:p>
    <w:p>
      <w:pPr>
        <w:pStyle w:val="Penstart"/>
        <w:rPr>
          <w:snapToGrid w:val="0"/>
        </w:rPr>
      </w:pPr>
      <w:r>
        <w:rPr>
          <w:snapToGrid w:val="0"/>
        </w:rPr>
        <w:tab/>
        <w:t>Penalty: $24 000 or imprisonment for 2 years.</w:t>
      </w:r>
    </w:p>
    <w:p>
      <w:pPr>
        <w:pStyle w:val="Footnotesection"/>
        <w:ind w:left="890" w:hanging="890"/>
      </w:pPr>
      <w:r>
        <w:tab/>
        <w:t>[Section 16 amended</w:t>
      </w:r>
      <w:del w:id="144" w:author="svcMRProcess" w:date="2019-01-23T12:20:00Z">
        <w:r>
          <w:delText xml:space="preserve"> by</w:delText>
        </w:r>
      </w:del>
      <w:ins w:id="145" w:author="svcMRProcess" w:date="2019-01-23T12:20:00Z">
        <w:r>
          <w:t>:</w:t>
        </w:r>
      </w:ins>
      <w:r>
        <w:t xml:space="preserve"> No. 48 of 2003 s. 62 (as amended</w:t>
      </w:r>
      <w:del w:id="146" w:author="svcMRProcess" w:date="2019-01-23T12:20:00Z">
        <w:r>
          <w:delText xml:space="preserve"> by</w:delText>
        </w:r>
      </w:del>
      <w:ins w:id="147" w:author="svcMRProcess" w:date="2019-01-23T12:20:00Z">
        <w:r>
          <w:t>:</w:t>
        </w:r>
      </w:ins>
      <w:r>
        <w:t xml:space="preserve"> No. 78 of 2003 s. 35(13)); No. 78 of 2003 s. 74(2); No. 8 of 2009 s. 104(3); No. 31 of 2012 s. 13 and 16; No. 35 of 2014 s. 39.]</w:t>
      </w:r>
    </w:p>
    <w:p>
      <w:pPr>
        <w:pStyle w:val="Heading5"/>
      </w:pPr>
      <w:bookmarkStart w:id="148" w:name="_Toc406080327"/>
      <w:bookmarkStart w:id="149" w:name="_Toc472685242"/>
      <w:bookmarkStart w:id="150" w:name="_Toc462752008"/>
      <w:r>
        <w:rPr>
          <w:rStyle w:val="CharSectno"/>
        </w:rPr>
        <w:t>17</w:t>
      </w:r>
      <w:r>
        <w:t>.</w:t>
      </w:r>
      <w:r>
        <w:tab/>
        <w:t>Protection of s. 13 forfeited in some cases etc.</w:t>
      </w:r>
      <w:bookmarkEnd w:id="148"/>
      <w:bookmarkEnd w:id="149"/>
      <w:bookmarkEnd w:id="150"/>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w:t>
      </w:r>
      <w:del w:id="151" w:author="svcMRProcess" w:date="2019-01-23T12:20:00Z">
        <w:r>
          <w:delText xml:space="preserve"> by</w:delText>
        </w:r>
      </w:del>
      <w:ins w:id="152" w:author="svcMRProcess" w:date="2019-01-23T12:20:00Z">
        <w:r>
          <w:t>:</w:t>
        </w:r>
      </w:ins>
      <w:r>
        <w:t xml:space="preserve"> No. 31 of 2012 s. 14.]</w:t>
      </w:r>
    </w:p>
    <w:p>
      <w:pPr>
        <w:pStyle w:val="Heading5"/>
      </w:pPr>
      <w:bookmarkStart w:id="153" w:name="_Toc406080328"/>
      <w:bookmarkStart w:id="154" w:name="_Toc472685243"/>
      <w:bookmarkStart w:id="155" w:name="_Toc462752009"/>
      <w:r>
        <w:rPr>
          <w:rStyle w:val="CharSectno"/>
        </w:rPr>
        <w:t>18A</w:t>
      </w:r>
      <w:r>
        <w:t>.</w:t>
      </w:r>
      <w:r>
        <w:tab/>
        <w:t>Disclosure under s. 7A(2) to journalist, application of Part to</w:t>
      </w:r>
      <w:bookmarkEnd w:id="153"/>
      <w:bookmarkEnd w:id="154"/>
      <w:bookmarkEnd w:id="155"/>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w:t>
      </w:r>
      <w:del w:id="156" w:author="svcMRProcess" w:date="2019-01-23T12:20:00Z">
        <w:r>
          <w:delText xml:space="preserve"> by</w:delText>
        </w:r>
      </w:del>
      <w:ins w:id="157" w:author="svcMRProcess" w:date="2019-01-23T12:20:00Z">
        <w:r>
          <w:t>:</w:t>
        </w:r>
      </w:ins>
      <w:r>
        <w:t xml:space="preserve"> No. 31 of 2012 s. 17.]</w:t>
      </w:r>
    </w:p>
    <w:p>
      <w:pPr>
        <w:pStyle w:val="Heading2"/>
      </w:pPr>
      <w:bookmarkStart w:id="158" w:name="_Toc381880567"/>
      <w:bookmarkStart w:id="159" w:name="_Toc381880608"/>
      <w:bookmarkStart w:id="160" w:name="_Toc406080287"/>
      <w:bookmarkStart w:id="161" w:name="_Toc406080329"/>
      <w:bookmarkStart w:id="162" w:name="_Toc423090533"/>
      <w:bookmarkStart w:id="163" w:name="_Toc423593841"/>
      <w:bookmarkStart w:id="164" w:name="_Toc423593882"/>
      <w:bookmarkStart w:id="165" w:name="_Toc462733372"/>
      <w:bookmarkStart w:id="166" w:name="_Toc462751968"/>
      <w:bookmarkStart w:id="167" w:name="_Toc462752010"/>
      <w:bookmarkStart w:id="168" w:name="_Toc472681781"/>
      <w:bookmarkStart w:id="169" w:name="_Toc472685244"/>
      <w:r>
        <w:rPr>
          <w:rStyle w:val="CharPartNo"/>
        </w:rPr>
        <w:t>Part 4</w:t>
      </w:r>
      <w:r>
        <w:rPr>
          <w:rStyle w:val="CharDivNo"/>
        </w:rPr>
        <w:t> </w:t>
      </w:r>
      <w:r>
        <w:t>—</w:t>
      </w:r>
      <w:r>
        <w:rPr>
          <w:rStyle w:val="CharDivText"/>
        </w:rPr>
        <w:t> </w:t>
      </w:r>
      <w:r>
        <w:rPr>
          <w:rStyle w:val="CharPartText"/>
        </w:rPr>
        <w:t>Role of Public Sector Commissioner</w:t>
      </w:r>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w:t>
      </w:r>
      <w:del w:id="170" w:author="svcMRProcess" w:date="2019-01-23T12:20:00Z">
        <w:r>
          <w:delText xml:space="preserve"> by</w:delText>
        </w:r>
      </w:del>
      <w:ins w:id="171" w:author="svcMRProcess" w:date="2019-01-23T12:20:00Z">
        <w:r>
          <w:t>:</w:t>
        </w:r>
      </w:ins>
      <w:r>
        <w:t xml:space="preserve"> No. 39 of 2010 s. 82(3).]</w:t>
      </w:r>
    </w:p>
    <w:p>
      <w:pPr>
        <w:pStyle w:val="Heading5"/>
      </w:pPr>
      <w:bookmarkStart w:id="172" w:name="_Toc406080330"/>
      <w:bookmarkStart w:id="173" w:name="_Toc472685245"/>
      <w:bookmarkStart w:id="174" w:name="_Toc462752011"/>
      <w:r>
        <w:rPr>
          <w:rStyle w:val="CharSectno"/>
        </w:rPr>
        <w:t>18</w:t>
      </w:r>
      <w:r>
        <w:t>.</w:t>
      </w:r>
      <w:r>
        <w:tab/>
        <w:t>Term used: proper authority</w:t>
      </w:r>
      <w:bookmarkEnd w:id="172"/>
      <w:bookmarkEnd w:id="173"/>
      <w:bookmarkEnd w:id="174"/>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75" w:name="_Toc406080331"/>
      <w:bookmarkStart w:id="176" w:name="_Toc472685246"/>
      <w:bookmarkStart w:id="177" w:name="_Toc462752012"/>
      <w:r>
        <w:rPr>
          <w:rStyle w:val="CharSectno"/>
        </w:rPr>
        <w:t>19</w:t>
      </w:r>
      <w:r>
        <w:t>.</w:t>
      </w:r>
      <w:r>
        <w:tab/>
        <w:t>Commissioner’s functions</w:t>
      </w:r>
      <w:bookmarkEnd w:id="175"/>
      <w:bookmarkEnd w:id="176"/>
      <w:bookmarkEnd w:id="177"/>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178" w:name="_Toc406080332"/>
      <w:bookmarkStart w:id="179" w:name="_Toc472685247"/>
      <w:bookmarkStart w:id="180" w:name="_Toc462752013"/>
      <w:r>
        <w:rPr>
          <w:rStyle w:val="CharSectno"/>
        </w:rPr>
        <w:t>20</w:t>
      </w:r>
      <w:r>
        <w:t>.</w:t>
      </w:r>
      <w:r>
        <w:tab/>
        <w:t>Code of minimum standards of conduct etc., establishing etc.</w:t>
      </w:r>
      <w:bookmarkEnd w:id="178"/>
      <w:bookmarkEnd w:id="179"/>
      <w:bookmarkEnd w:id="180"/>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81" w:name="_Toc406080333"/>
      <w:bookmarkStart w:id="182" w:name="_Toc472685248"/>
      <w:bookmarkStart w:id="183" w:name="_Toc462752014"/>
      <w:r>
        <w:rPr>
          <w:rStyle w:val="CharSectno"/>
        </w:rPr>
        <w:t>21</w:t>
      </w:r>
      <w:r>
        <w:t>.</w:t>
      </w:r>
      <w:r>
        <w:tab/>
        <w:t>Guidelines, Commissioner’s duties as to</w:t>
      </w:r>
      <w:bookmarkEnd w:id="181"/>
      <w:bookmarkEnd w:id="182"/>
      <w:bookmarkEnd w:id="183"/>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184" w:name="_Toc406080334"/>
      <w:bookmarkStart w:id="185" w:name="_Toc472685249"/>
      <w:bookmarkStart w:id="186" w:name="_Toc462752015"/>
      <w:r>
        <w:rPr>
          <w:rStyle w:val="CharSectno"/>
        </w:rPr>
        <w:t>22</w:t>
      </w:r>
      <w:r>
        <w:t>.</w:t>
      </w:r>
      <w:r>
        <w:tab/>
        <w:t>Annual report and other reports to Parliament</w:t>
      </w:r>
      <w:bookmarkEnd w:id="184"/>
      <w:bookmarkEnd w:id="185"/>
      <w:bookmarkEnd w:id="186"/>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187" w:name="_Toc381880573"/>
      <w:bookmarkStart w:id="188" w:name="_Toc381880614"/>
      <w:bookmarkStart w:id="189" w:name="_Toc406080293"/>
      <w:bookmarkStart w:id="190" w:name="_Toc406080335"/>
      <w:bookmarkStart w:id="191" w:name="_Toc423090539"/>
      <w:bookmarkStart w:id="192" w:name="_Toc423593847"/>
      <w:bookmarkStart w:id="193" w:name="_Toc423593888"/>
      <w:bookmarkStart w:id="194" w:name="_Toc462733378"/>
      <w:bookmarkStart w:id="195" w:name="_Toc462751974"/>
      <w:bookmarkStart w:id="196" w:name="_Toc462752016"/>
      <w:bookmarkStart w:id="197" w:name="_Toc472681787"/>
      <w:bookmarkStart w:id="198" w:name="_Toc472685250"/>
      <w:r>
        <w:rPr>
          <w:rStyle w:val="CharPartNo"/>
        </w:rPr>
        <w:t>Part 5</w:t>
      </w:r>
      <w:r>
        <w:rPr>
          <w:rStyle w:val="CharDivNo"/>
        </w:rPr>
        <w:t xml:space="preserve"> </w:t>
      </w:r>
      <w:r>
        <w:t>—</w:t>
      </w:r>
      <w:r>
        <w:rPr>
          <w:rStyle w:val="CharDivText"/>
        </w:rPr>
        <w:t xml:space="preserve"> </w:t>
      </w:r>
      <w:r>
        <w:rPr>
          <w:rStyle w:val="CharPartText"/>
        </w:rPr>
        <w:t>Miscellaneous</w:t>
      </w:r>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06080336"/>
      <w:bookmarkStart w:id="200" w:name="_Toc472685251"/>
      <w:bookmarkStart w:id="201" w:name="_Toc462752017"/>
      <w:r>
        <w:rPr>
          <w:rStyle w:val="CharSectno"/>
        </w:rPr>
        <w:t>23</w:t>
      </w:r>
      <w:r>
        <w:t>.</w:t>
      </w:r>
      <w:r>
        <w:tab/>
        <w:t>Principal executive officer of public authority, duties of</w:t>
      </w:r>
      <w:bookmarkEnd w:id="199"/>
      <w:bookmarkEnd w:id="200"/>
      <w:bookmarkEnd w:id="201"/>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02" w:name="_Toc406080337"/>
      <w:bookmarkStart w:id="203" w:name="_Toc472685252"/>
      <w:bookmarkStart w:id="204" w:name="_Toc462752018"/>
      <w:r>
        <w:rPr>
          <w:rStyle w:val="CharSectno"/>
        </w:rPr>
        <w:t>24</w:t>
      </w:r>
      <w:r>
        <w:t>.</w:t>
      </w:r>
      <w:r>
        <w:tab/>
        <w:t>False or misleading disclosure, offence</w:t>
      </w:r>
      <w:bookmarkEnd w:id="202"/>
      <w:bookmarkEnd w:id="203"/>
      <w:bookmarkEnd w:id="204"/>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w:t>
      </w:r>
      <w:del w:id="205" w:author="svcMRProcess" w:date="2019-01-23T12:20:00Z">
        <w:r>
          <w:delText xml:space="preserve"> by</w:delText>
        </w:r>
      </w:del>
      <w:ins w:id="206" w:author="svcMRProcess" w:date="2019-01-23T12:20:00Z">
        <w:r>
          <w:t>:</w:t>
        </w:r>
      </w:ins>
      <w:r>
        <w:t xml:space="preserve"> No. 48 of 2003 s. 62.]</w:t>
      </w:r>
    </w:p>
    <w:p>
      <w:pPr>
        <w:pStyle w:val="Heading5"/>
        <w:rPr>
          <w:snapToGrid w:val="0"/>
        </w:rPr>
      </w:pPr>
      <w:bookmarkStart w:id="207" w:name="_Toc406080338"/>
      <w:bookmarkStart w:id="208" w:name="_Toc472685253"/>
      <w:bookmarkStart w:id="209" w:name="_Toc462752019"/>
      <w:r>
        <w:rPr>
          <w:rStyle w:val="CharSectno"/>
        </w:rPr>
        <w:t>25</w:t>
      </w:r>
      <w:r>
        <w:rPr>
          <w:snapToGrid w:val="0"/>
        </w:rPr>
        <w:t>.</w:t>
      </w:r>
      <w:r>
        <w:rPr>
          <w:snapToGrid w:val="0"/>
        </w:rPr>
        <w:tab/>
        <w:t>Other laws not excluded</w:t>
      </w:r>
      <w:bookmarkEnd w:id="207"/>
      <w:bookmarkEnd w:id="208"/>
      <w:bookmarkEnd w:id="209"/>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10" w:name="_Toc406080339"/>
      <w:bookmarkStart w:id="211" w:name="_Toc472685254"/>
      <w:bookmarkStart w:id="212" w:name="_Toc462752020"/>
      <w:r>
        <w:rPr>
          <w:rStyle w:val="CharSectno"/>
        </w:rPr>
        <w:t>26</w:t>
      </w:r>
      <w:r>
        <w:t>.</w:t>
      </w:r>
      <w:r>
        <w:tab/>
        <w:t>Regulations</w:t>
      </w:r>
      <w:bookmarkEnd w:id="210"/>
      <w:bookmarkEnd w:id="211"/>
      <w:bookmarkEnd w:id="21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3" w:name="_Toc406080340"/>
      <w:bookmarkStart w:id="214" w:name="_Toc472685255"/>
      <w:bookmarkStart w:id="215" w:name="_Toc462752021"/>
      <w:r>
        <w:rPr>
          <w:rStyle w:val="CharSectno"/>
        </w:rPr>
        <w:t>27</w:t>
      </w:r>
      <w:r>
        <w:t>.</w:t>
      </w:r>
      <w:r>
        <w:tab/>
        <w:t>Review of Act</w:t>
      </w:r>
      <w:bookmarkEnd w:id="213"/>
      <w:bookmarkEnd w:id="214"/>
      <w:bookmarkEnd w:id="215"/>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nHeading2"/>
      </w:pPr>
      <w:bookmarkStart w:id="216" w:name="_Toc381880579"/>
      <w:bookmarkStart w:id="217" w:name="_Toc381880620"/>
      <w:bookmarkStart w:id="218" w:name="_Toc406080299"/>
      <w:bookmarkStart w:id="219" w:name="_Toc406080341"/>
      <w:bookmarkStart w:id="220" w:name="_Toc423090545"/>
      <w:bookmarkStart w:id="221" w:name="_Toc423593853"/>
      <w:bookmarkStart w:id="222" w:name="_Toc423593894"/>
      <w:bookmarkStart w:id="223" w:name="_Toc462733384"/>
      <w:bookmarkStart w:id="224" w:name="_Toc462751980"/>
      <w:bookmarkStart w:id="225" w:name="_Toc462752022"/>
      <w:bookmarkStart w:id="226" w:name="_Toc472681793"/>
      <w:bookmarkStart w:id="227" w:name="_Toc472685256"/>
      <w:r>
        <w:t>Notes</w:t>
      </w:r>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del w:id="228" w:author="svcMRProcess" w:date="2019-01-23T12:20:00Z">
        <w:r>
          <w:rPr>
            <w:snapToGrid w:val="0"/>
            <w:vertAlign w:val="superscript"/>
          </w:rPr>
          <w:delText> 1a</w:delText>
        </w:r>
      </w:del>
      <w:r>
        <w:rPr>
          <w:snapToGrid w:val="0"/>
        </w:rPr>
        <w:t>.  The table also contains information about any reprint.</w:t>
      </w:r>
    </w:p>
    <w:p>
      <w:pPr>
        <w:pStyle w:val="nHeading3"/>
        <w:rPr>
          <w:snapToGrid w:val="0"/>
        </w:rPr>
      </w:pPr>
      <w:bookmarkStart w:id="229" w:name="_Toc406080342"/>
      <w:bookmarkStart w:id="230" w:name="_Toc472685257"/>
      <w:bookmarkStart w:id="231" w:name="_Toc462752023"/>
      <w:r>
        <w:rPr>
          <w:snapToGrid w:val="0"/>
        </w:rPr>
        <w:t>Compilation table</w:t>
      </w:r>
      <w:bookmarkEnd w:id="229"/>
      <w:bookmarkEnd w:id="230"/>
      <w:bookmarkEnd w:id="2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Public Interest Disclosure Act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29 of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22 May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22 May 2003;</w:t>
            </w:r>
            <w:r>
              <w:rPr>
                <w:rFonts w:ascii="Times New Roman" w:hAnsi="Times New Roman"/>
              </w:rPr>
              <w:br/>
              <w:t xml:space="preserve">Act other than s. 1 and 2: 1 Jul 2003 (see s. 2 and </w:t>
            </w:r>
            <w:r>
              <w:rPr>
                <w:rFonts w:ascii="Times New Roman" w:hAnsi="Times New Roman"/>
                <w:i/>
              </w:rPr>
              <w:t>Gazette</w:t>
            </w:r>
            <w:r>
              <w:rPr>
                <w:rFonts w:ascii="Times New Roman" w:hAnsi="Times New Roman"/>
              </w:rPr>
              <w:t xml:space="preserve"> 27 Jun 2003 p. 2383)</w:t>
            </w:r>
          </w:p>
        </w:tc>
      </w:tr>
      <w:tr>
        <w:tc>
          <w:tcPr>
            <w:tcW w:w="2268" w:type="dxa"/>
          </w:tcPr>
          <w:p>
            <w:pPr>
              <w:pStyle w:val="nTable"/>
              <w:spacing w:after="40"/>
              <w:rPr>
                <w:rFonts w:ascii="Times New Roman" w:hAnsi="Times New Roman"/>
                <w:noProof/>
                <w:snapToGrid w:val="0"/>
                <w:vertAlign w:val="superscript"/>
              </w:rPr>
            </w:pPr>
            <w:r>
              <w:rPr>
                <w:rFonts w:ascii="Times New Roman" w:hAnsi="Times New Roman"/>
                <w:i/>
                <w:noProof/>
                <w:snapToGrid w:val="0"/>
              </w:rPr>
              <w:t>Corruption and Crime Commission Act 2003</w:t>
            </w:r>
            <w:r>
              <w:rPr>
                <w:rFonts w:ascii="Times New Roman" w:hAnsi="Times New Roman"/>
                <w:noProof/>
                <w:snapToGrid w:val="0"/>
              </w:rPr>
              <w:t xml:space="preserve"> s. 62</w:t>
            </w:r>
            <w:r>
              <w:rPr>
                <w:rFonts w:ascii="Times New Roman" w:hAnsi="Times New Roman"/>
                <w:noProof/>
                <w:snapToGrid w:val="0"/>
                <w:vertAlign w:val="superscript"/>
              </w:rPr>
              <w:t> 2</w:t>
            </w:r>
          </w:p>
        </w:tc>
        <w:tc>
          <w:tcPr>
            <w:tcW w:w="1134" w:type="dxa"/>
          </w:tcPr>
          <w:p>
            <w:pPr>
              <w:pStyle w:val="nTable"/>
              <w:spacing w:after="40"/>
              <w:rPr>
                <w:rFonts w:ascii="Times New Roman" w:hAnsi="Times New Roman"/>
              </w:rPr>
            </w:pPr>
            <w:r>
              <w:rPr>
                <w:rFonts w:ascii="Times New Roman" w:hAnsi="Times New Roman"/>
              </w:rPr>
              <w:t>48 of 2003</w:t>
            </w:r>
            <w:r>
              <w:rPr>
                <w:rFonts w:ascii="Times New Roman" w:hAnsi="Times New Roman"/>
              </w:rPr>
              <w:br/>
              <w:t>(as amended by No. 78 of 2003 s. 35(13))</w:t>
            </w:r>
          </w:p>
        </w:tc>
        <w:tc>
          <w:tcPr>
            <w:tcW w:w="1134" w:type="dxa"/>
          </w:tcPr>
          <w:p>
            <w:pPr>
              <w:pStyle w:val="nTable"/>
              <w:spacing w:after="40"/>
              <w:rPr>
                <w:rFonts w:ascii="Times New Roman" w:hAnsi="Times New Roman"/>
              </w:rPr>
            </w:pPr>
            <w:r>
              <w:rPr>
                <w:rFonts w:ascii="Times New Roman" w:hAnsi="Times New Roman"/>
              </w:rPr>
              <w:t>3 Jul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5723)</w:t>
            </w:r>
          </w:p>
        </w:tc>
      </w:tr>
      <w:tr>
        <w:trPr>
          <w:cantSplit/>
        </w:trPr>
        <w:tc>
          <w:tcPr>
            <w:tcW w:w="2268" w:type="dxa"/>
          </w:tcPr>
          <w:p>
            <w:pPr>
              <w:pStyle w:val="nTable"/>
              <w:spacing w:after="40"/>
              <w:ind w:right="113"/>
              <w:rPr>
                <w:rFonts w:ascii="Times New Roman" w:hAnsi="Times New Roman"/>
              </w:rPr>
            </w:pPr>
            <w:r>
              <w:rPr>
                <w:rFonts w:ascii="Times New Roman" w:hAnsi="Times New Roman"/>
                <w:i/>
              </w:rPr>
              <w:t>Corruption and Crime Commission Amendment and Repeal Act 2003</w:t>
            </w:r>
            <w:r>
              <w:rPr>
                <w:rFonts w:ascii="Times New Roman" w:hAnsi="Times New Roman"/>
              </w:rPr>
              <w:t xml:space="preserve"> s. 74(2)</w:t>
            </w:r>
            <w:r>
              <w:rPr>
                <w:rFonts w:ascii="Times New Roman" w:hAnsi="Times New Roman"/>
                <w:vertAlign w:val="superscript"/>
              </w:rPr>
              <w:t xml:space="preserve"> </w:t>
            </w:r>
          </w:p>
        </w:tc>
        <w:tc>
          <w:tcPr>
            <w:tcW w:w="1134" w:type="dxa"/>
          </w:tcPr>
          <w:p>
            <w:pPr>
              <w:pStyle w:val="nTable"/>
              <w:spacing w:after="40"/>
              <w:rPr>
                <w:rFonts w:ascii="Times New Roman" w:hAnsi="Times New Roman"/>
              </w:rPr>
            </w:pPr>
            <w:r>
              <w:rPr>
                <w:rFonts w:ascii="Times New Roman" w:hAnsi="Times New Roman"/>
              </w:rPr>
              <w:t>78 of 2003</w:t>
            </w:r>
          </w:p>
        </w:tc>
        <w:tc>
          <w:tcPr>
            <w:tcW w:w="1134" w:type="dxa"/>
          </w:tcPr>
          <w:p>
            <w:pPr>
              <w:pStyle w:val="nTable"/>
              <w:spacing w:after="40"/>
              <w:rPr>
                <w:rFonts w:ascii="Times New Roman" w:hAnsi="Times New Roman"/>
              </w:rPr>
            </w:pPr>
            <w:r>
              <w:rPr>
                <w:rFonts w:ascii="Times New Roman" w:hAnsi="Times New Roman"/>
              </w:rPr>
              <w:t>22 Dec 2003</w:t>
            </w:r>
          </w:p>
        </w:tc>
        <w:tc>
          <w:tcPr>
            <w:tcW w:w="2551" w:type="dxa"/>
          </w:tcPr>
          <w:p>
            <w:pPr>
              <w:pStyle w:val="nTable"/>
              <w:spacing w:after="40"/>
              <w:rPr>
                <w:rFonts w:ascii="Times New Roman" w:hAnsi="Times New Roman"/>
              </w:rPr>
            </w:pPr>
            <w:r>
              <w:rPr>
                <w:rFonts w:ascii="Times New Roman" w:hAnsi="Times New Roman"/>
              </w:rPr>
              <w:t xml:space="preserve">7 Jul 2004 (see s. 2 and </w:t>
            </w:r>
            <w:r>
              <w:rPr>
                <w:rFonts w:ascii="Times New Roman" w:hAnsi="Times New Roman"/>
                <w:i/>
              </w:rPr>
              <w:t xml:space="preserve">Gazette </w:t>
            </w:r>
            <w:r>
              <w:rPr>
                <w:rFonts w:ascii="Times New Roman" w:hAnsi="Times New Roman"/>
              </w:rPr>
              <w:t>6 Jul 2004 p. 2697)</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s. 73</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 xml:space="preserve">Financial Legislation Amendment and Repeal Act 2006 </w:t>
            </w:r>
            <w:r>
              <w:rPr>
                <w:rFonts w:ascii="Times New Roman" w:hAnsi="Times New Roman"/>
                <w:iCs/>
                <w:snapToGrid w:val="0"/>
              </w:rPr>
              <w:t>Sch. 1 cl. 136</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87"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Public Interest Disclosure Act 2003</w:t>
            </w:r>
            <w:r>
              <w:rPr>
                <w:rFonts w:ascii="Times New Roman" w:hAnsi="Times New Roman"/>
                <w:b/>
                <w:bCs/>
                <w:snapToGrid w:val="0"/>
              </w:rPr>
              <w:t xml:space="preserve"> as at 12 Oct 2007</w:t>
            </w:r>
            <w:r>
              <w:rPr>
                <w:rFonts w:ascii="Times New Roman" w:hAnsi="Times New Roman"/>
                <w:snapToGrid w:val="0"/>
              </w:rPr>
              <w:t xml:space="preserve"> (includes amendments listed above)</w:t>
            </w:r>
          </w:p>
        </w:tc>
      </w:tr>
      <w:tr>
        <w:trPr>
          <w:cantSplit/>
        </w:trPr>
        <w:tc>
          <w:tcPr>
            <w:tcW w:w="2268" w:type="dxa"/>
          </w:tcPr>
          <w:p>
            <w:pPr>
              <w:pStyle w:val="nTable"/>
              <w:spacing w:after="40"/>
              <w:ind w:right="170"/>
              <w:rPr>
                <w:rFonts w:ascii="Times New Roman" w:hAnsi="Times New Roman"/>
                <w:iCs/>
              </w:rPr>
            </w:pPr>
            <w:r>
              <w:rPr>
                <w:rFonts w:ascii="Times New Roman" w:hAnsi="Times New Roman"/>
                <w:i/>
              </w:rPr>
              <w:t xml:space="preserve">Police Amendment Act 2008 </w:t>
            </w:r>
            <w:r>
              <w:rPr>
                <w:rFonts w:ascii="Times New Roman" w:hAnsi="Times New Roman"/>
                <w:iCs/>
              </w:rPr>
              <w:t>s. 18</w:t>
            </w:r>
          </w:p>
        </w:tc>
        <w:tc>
          <w:tcPr>
            <w:tcW w:w="1134" w:type="dxa"/>
          </w:tcPr>
          <w:p>
            <w:pPr>
              <w:pStyle w:val="nTable"/>
              <w:spacing w:after="40"/>
              <w:rPr>
                <w:rFonts w:ascii="Times New Roman" w:hAnsi="Times New Roman"/>
              </w:rPr>
            </w:pPr>
            <w:r>
              <w:rPr>
                <w:rFonts w:ascii="Times New Roman" w:hAnsi="Times New Roman"/>
              </w:rPr>
              <w:t>8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1" w:type="dxa"/>
          </w:tcPr>
          <w:p>
            <w:pPr>
              <w:pStyle w:val="nTable"/>
              <w:keepNext/>
              <w:keepLines/>
              <w:spacing w:after="40"/>
              <w:rPr>
                <w:rFonts w:ascii="Times New Roman" w:hAnsi="Times New Roman"/>
              </w:rPr>
            </w:pPr>
            <w:r>
              <w:rPr>
                <w:rFonts w:ascii="Times New Roman" w:hAnsi="Times New Roman"/>
              </w:rPr>
              <w:t>1 Apr 2008 (see s. 2(1))</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104</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22</w:t>
            </w:r>
          </w:p>
        </w:tc>
        <w:tc>
          <w:tcPr>
            <w:tcW w:w="1134" w:type="dxa"/>
          </w:tcPr>
          <w:p>
            <w:pPr>
              <w:pStyle w:val="nTable"/>
              <w:spacing w:after="40"/>
              <w:rPr>
                <w:rFonts w:ascii="Times New Roman" w:hAnsi="Times New Roman"/>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1" w:type="dxa"/>
          </w:tcPr>
          <w:p>
            <w:pPr>
              <w:pStyle w:val="nTable"/>
              <w:spacing w:after="40"/>
              <w:rPr>
                <w:rFonts w:ascii="Times New Roman" w:hAnsi="Times New Roman"/>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82</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snapToGrid w:val="0"/>
              </w:rPr>
            </w:pPr>
            <w:r>
              <w:rPr>
                <w:rFonts w:ascii="Times New Roman" w:hAnsi="Times New Roman"/>
              </w:rPr>
              <w:t>1 Oct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shd w:val="clear" w:color="auto" w:fill="auto"/>
          </w:tcPr>
          <w:p>
            <w:pPr>
              <w:pStyle w:val="nTable"/>
              <w:spacing w:after="40"/>
              <w:ind w:right="113"/>
              <w:rPr>
                <w:rFonts w:ascii="Times New Roman" w:hAnsi="Times New Roman"/>
                <w:snapToGrid w:val="0"/>
              </w:rPr>
            </w:pPr>
            <w:r>
              <w:rPr>
                <w:rFonts w:ascii="Times New Roman" w:hAnsi="Times New Roman"/>
                <w:i/>
                <w:snapToGrid w:val="0"/>
              </w:rPr>
              <w:t>Evidence and Public Interest Disclosure Legislation Amendment Act 2012</w:t>
            </w:r>
            <w:r>
              <w:rPr>
                <w:rFonts w:ascii="Times New Roman" w:hAnsi="Times New Roman"/>
                <w:snapToGrid w:val="0"/>
              </w:rPr>
              <w:t xml:space="preserve"> Pt.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31 of 2012</w:t>
            </w:r>
          </w:p>
        </w:tc>
        <w:tc>
          <w:tcPr>
            <w:tcW w:w="1134" w:type="dxa"/>
            <w:shd w:val="clear" w:color="auto" w:fill="auto"/>
          </w:tcPr>
          <w:p>
            <w:pPr>
              <w:pStyle w:val="nTable"/>
              <w:spacing w:after="40"/>
              <w:rPr>
                <w:rFonts w:ascii="Times New Roman" w:hAnsi="Times New Roman"/>
              </w:rPr>
            </w:pPr>
            <w:r>
              <w:rPr>
                <w:rFonts w:ascii="Times New Roman" w:hAnsi="Times New Roman"/>
              </w:rPr>
              <w:t>2 Oct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21 Nov 2012 (see s. 2(b) and </w:t>
            </w:r>
            <w:r>
              <w:rPr>
                <w:rFonts w:ascii="Times New Roman" w:hAnsi="Times New Roman"/>
                <w:i/>
                <w:snapToGrid w:val="0"/>
              </w:rPr>
              <w:t>Gazette</w:t>
            </w:r>
            <w:r>
              <w:rPr>
                <w:rFonts w:ascii="Times New Roman" w:hAnsi="Times New Roman"/>
                <w:snapToGrid w:val="0"/>
              </w:rPr>
              <w:t xml:space="preserve"> 20 Nov 2012 p. 5685)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Public Interest Disclosure Act 2003</w:t>
            </w:r>
            <w:r>
              <w:rPr>
                <w:rFonts w:ascii="Times New Roman" w:hAnsi="Times New Roman"/>
                <w:b/>
                <w:bCs/>
                <w:snapToGrid w:val="0"/>
              </w:rPr>
              <w:t xml:space="preserve"> as at 1 Feb 2013</w:t>
            </w:r>
            <w:r>
              <w:rPr>
                <w:rFonts w:ascii="Times New Roman" w:hAnsi="Times New Roman"/>
                <w:snapToGrid w:val="0"/>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snapToGrid w:val="0"/>
              </w:rPr>
            </w:pPr>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lang w:val="en-US"/>
              </w:rPr>
              <w:t>35 of 2014</w:t>
            </w:r>
          </w:p>
        </w:tc>
        <w:tc>
          <w:tcPr>
            <w:tcW w:w="1134" w:type="dxa"/>
            <w:shd w:val="clear" w:color="auto" w:fill="auto"/>
          </w:tcPr>
          <w:p>
            <w:pPr>
              <w:pStyle w:val="nTable"/>
              <w:spacing w:after="40"/>
              <w:rPr>
                <w:rFonts w:ascii="Times New Roman" w:hAnsi="Times New Roman"/>
              </w:rPr>
            </w:pPr>
            <w:r>
              <w:rPr>
                <w:rFonts w:ascii="Times New Roman" w:hAnsi="Times New Roman"/>
              </w:rPr>
              <w:t>9 Dec 2014</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bl>
    <w:p>
      <w:pPr>
        <w:pStyle w:val="nSubsection"/>
        <w:spacing w:before="360"/>
        <w:rPr>
          <w:del w:id="232" w:author="svcMRProcess" w:date="2019-01-23T12:20:00Z"/>
        </w:rPr>
      </w:pPr>
      <w:del w:id="233" w:author="svcMRProcess" w:date="2019-01-23T12: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4" w:author="svcMRProcess" w:date="2019-01-23T12:20:00Z"/>
        </w:rPr>
      </w:pPr>
      <w:bookmarkStart w:id="235" w:name="_Toc462730972"/>
      <w:bookmarkStart w:id="236" w:name="_Toc462731920"/>
      <w:bookmarkStart w:id="237" w:name="_Toc462752024"/>
      <w:del w:id="238" w:author="svcMRProcess" w:date="2019-01-23T12:20:00Z">
        <w:r>
          <w:delText>Provisions that have not come into operation</w:delText>
        </w:r>
        <w:bookmarkEnd w:id="235"/>
        <w:bookmarkEnd w:id="236"/>
        <w:bookmarkEnd w:id="237"/>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39" w:author="svcMRProcess" w:date="2019-01-23T12:20:00Z"/>
        </w:trPr>
        <w:tc>
          <w:tcPr>
            <w:tcW w:w="2268" w:type="dxa"/>
            <w:tcBorders>
              <w:top w:val="single" w:sz="8" w:space="0" w:color="auto"/>
              <w:bottom w:val="single" w:sz="8" w:space="0" w:color="auto"/>
            </w:tcBorders>
            <w:shd w:val="clear" w:color="auto" w:fill="auto"/>
          </w:tcPr>
          <w:p>
            <w:pPr>
              <w:pStyle w:val="nTable"/>
              <w:spacing w:after="40"/>
              <w:rPr>
                <w:del w:id="240" w:author="svcMRProcess" w:date="2019-01-23T12:20:00Z"/>
                <w:rFonts w:ascii="Times New Roman" w:hAnsi="Times New Roman"/>
                <w:b/>
              </w:rPr>
            </w:pPr>
            <w:del w:id="241" w:author="svcMRProcess" w:date="2019-01-23T12:20:00Z">
              <w:r>
                <w:rPr>
                  <w:rFonts w:ascii="Times New Roman" w:hAnsi="Times New Roman"/>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242" w:author="svcMRProcess" w:date="2019-01-23T12:20:00Z"/>
                <w:rFonts w:ascii="Times New Roman" w:hAnsi="Times New Roman"/>
                <w:b/>
              </w:rPr>
            </w:pPr>
            <w:del w:id="243" w:author="svcMRProcess" w:date="2019-01-23T12:20:00Z">
              <w:r>
                <w:rPr>
                  <w:rFonts w:ascii="Times New Roman" w:hAnsi="Times New Roman"/>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244" w:author="svcMRProcess" w:date="2019-01-23T12:20:00Z"/>
                <w:rFonts w:ascii="Times New Roman" w:hAnsi="Times New Roman"/>
                <w:b/>
              </w:rPr>
            </w:pPr>
            <w:del w:id="245" w:author="svcMRProcess" w:date="2019-01-23T12:20:00Z">
              <w:r>
                <w:rPr>
                  <w:rFonts w:ascii="Times New Roman" w:hAnsi="Times New Roman"/>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246" w:author="svcMRProcess" w:date="2019-01-23T12:20:00Z"/>
                <w:rFonts w:ascii="Times New Roman" w:hAnsi="Times New Roman"/>
                <w:b/>
              </w:rPr>
            </w:pPr>
            <w:del w:id="247" w:author="svcMRProcess" w:date="2019-01-23T12:20:00Z">
              <w:r>
                <w:rPr>
                  <w:rFonts w:ascii="Times New Roman" w:hAnsi="Times New Roman"/>
                  <w:b/>
                </w:rPr>
                <w:delText>Commencement</w:delText>
              </w:r>
            </w:del>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snapToGrid w:val="0"/>
                <w:lang w:val="en-US"/>
              </w:rPr>
            </w:pPr>
            <w:r>
              <w:rPr>
                <w:i/>
                <w:snapToGrid w:val="0"/>
                <w:szCs w:val="19"/>
              </w:rPr>
              <w:t>Local Government Legislation Amendment Act 2016</w:t>
            </w:r>
            <w:r>
              <w:rPr>
                <w:snapToGrid w:val="0"/>
                <w:szCs w:val="19"/>
              </w:rPr>
              <w:t xml:space="preserve"> Pt. 3 Div. 29</w:t>
            </w:r>
            <w:del w:id="248" w:author="svcMRProcess" w:date="2019-01-23T12:20:00Z">
              <w:r>
                <w:rPr>
                  <w:snapToGrid w:val="0"/>
                  <w:szCs w:val="19"/>
                  <w:vertAlign w:val="superscript"/>
                </w:rPr>
                <w:delText> 3</w:delText>
              </w:r>
            </w:del>
          </w:p>
        </w:tc>
        <w:tc>
          <w:tcPr>
            <w:tcW w:w="1134" w:type="dxa"/>
            <w:tcBorders>
              <w:bottom w:val="single" w:sz="4" w:space="0" w:color="auto"/>
            </w:tcBorders>
            <w:shd w:val="clear" w:color="auto" w:fill="auto"/>
          </w:tcPr>
          <w:p>
            <w:pPr>
              <w:pStyle w:val="nTable"/>
              <w:spacing w:after="40"/>
              <w:rPr>
                <w:rFonts w:ascii="Times New Roman" w:hAnsi="Times New Roman"/>
                <w:snapToGrid w:val="0"/>
                <w:lang w:val="en-US"/>
              </w:rPr>
            </w:pPr>
            <w:r>
              <w:rPr>
                <w:rFonts w:ascii="Times New Roman" w:hAnsi="Times New Roman"/>
              </w:rPr>
              <w:t>26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del w:id="249" w:author="svcMRProcess" w:date="2019-01-23T12:20:00Z">
              <w:r>
                <w:rPr>
                  <w:rFonts w:ascii="Times New Roman" w:hAnsi="Times New Roman"/>
                  <w:snapToGrid w:val="0"/>
                </w:rPr>
                <w:delText>To be proclaimed</w:delText>
              </w:r>
            </w:del>
            <w:ins w:id="250" w:author="svcMRProcess" w:date="2019-01-23T12:20:00Z">
              <w:r>
                <w:rPr>
                  <w:rFonts w:ascii="Times New Roman" w:hAnsi="Times New Roman"/>
                  <w:snapToGrid w:val="0"/>
                </w:rPr>
                <w:t>21 Jan 2017</w:t>
              </w:r>
            </w:ins>
            <w:r>
              <w:rPr>
                <w:rFonts w:ascii="Times New Roman" w:hAnsi="Times New Roman"/>
                <w:snapToGrid w:val="0"/>
              </w:rPr>
              <w:t xml:space="preserve"> (see</w:t>
            </w:r>
            <w:del w:id="251" w:author="svcMRProcess" w:date="2019-01-23T12:20:00Z">
              <w:r>
                <w:rPr>
                  <w:rFonts w:ascii="Times New Roman" w:hAnsi="Times New Roman"/>
                  <w:snapToGrid w:val="0"/>
                </w:rPr>
                <w:delText> </w:delText>
              </w:r>
            </w:del>
            <w:ins w:id="252" w:author="svcMRProcess" w:date="2019-01-23T12:20:00Z">
              <w:r>
                <w:rPr>
                  <w:rFonts w:ascii="Times New Roman" w:hAnsi="Times New Roman"/>
                  <w:snapToGrid w:val="0"/>
                </w:rPr>
                <w:t xml:space="preserve"> </w:t>
              </w:r>
            </w:ins>
            <w:r>
              <w:rPr>
                <w:rFonts w:ascii="Times New Roman" w:hAnsi="Times New Roman"/>
                <w:snapToGrid w:val="0"/>
              </w:rPr>
              <w:t>s.</w:t>
            </w:r>
            <w:del w:id="253" w:author="svcMRProcess" w:date="2019-01-23T12:20:00Z">
              <w:r>
                <w:rPr>
                  <w:rFonts w:ascii="Times New Roman" w:hAnsi="Times New Roman"/>
                  <w:snapToGrid w:val="0"/>
                </w:rPr>
                <w:delText> </w:delText>
              </w:r>
            </w:del>
            <w:ins w:id="254" w:author="svcMRProcess" w:date="2019-01-23T12:20:00Z">
              <w:r>
                <w:rPr>
                  <w:rFonts w:ascii="Times New Roman" w:hAnsi="Times New Roman"/>
                  <w:snapToGrid w:val="0"/>
                </w:rPr>
                <w:t xml:space="preserve"> </w:t>
              </w:r>
            </w:ins>
            <w:r>
              <w:rPr>
                <w:rFonts w:ascii="Times New Roman" w:hAnsi="Times New Roman"/>
                <w:snapToGrid w:val="0"/>
              </w:rPr>
              <w:t>2(b</w:t>
            </w:r>
            <w:del w:id="255" w:author="svcMRProcess" w:date="2019-01-23T12:20:00Z">
              <w:r>
                <w:rPr>
                  <w:rFonts w:ascii="Times New Roman" w:hAnsi="Times New Roman"/>
                  <w:snapToGrid w:val="0"/>
                </w:rPr>
                <w:delText>))</w:delText>
              </w:r>
            </w:del>
            <w:ins w:id="256" w:author="svcMRProcess" w:date="2019-01-23T12:20: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Lines/>
        <w:spacing w:before="120"/>
        <w:rPr>
          <w:del w:id="257" w:author="svcMRProcess" w:date="2019-01-23T12:20:00Z"/>
          <w:snapToGrid w:val="0"/>
        </w:rPr>
      </w:pPr>
      <w:del w:id="258" w:author="svcMRProcess" w:date="2019-01-23T12:20:00Z">
        <w:r>
          <w:rPr>
            <w:snapToGrid w:val="0"/>
            <w:vertAlign w:val="superscript"/>
          </w:rPr>
          <w:delText>3</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29</w:delText>
        </w:r>
        <w:r>
          <w:rPr>
            <w:snapToGrid w:val="0"/>
          </w:rPr>
          <w:delText xml:space="preserve"> had not come into operation.  It reads as follows:</w:delText>
        </w:r>
      </w:del>
    </w:p>
    <w:p>
      <w:pPr>
        <w:pStyle w:val="BlankOpen"/>
        <w:rPr>
          <w:del w:id="259" w:author="svcMRProcess" w:date="2019-01-23T12:20:00Z"/>
        </w:rPr>
      </w:pPr>
    </w:p>
    <w:p>
      <w:pPr>
        <w:pStyle w:val="nzHeading2"/>
        <w:rPr>
          <w:del w:id="260" w:author="svcMRProcess" w:date="2019-01-23T12:20:00Z"/>
        </w:rPr>
      </w:pPr>
      <w:del w:id="261" w:author="svcMRProcess" w:date="2019-01-23T12:20:00Z">
        <w:r>
          <w:rPr>
            <w:rStyle w:val="CharPartNo"/>
          </w:rPr>
          <w:delText>Part 3</w:delText>
        </w:r>
        <w:r>
          <w:delText> — </w:delText>
        </w:r>
        <w:r>
          <w:rPr>
            <w:rStyle w:val="CharPartText"/>
          </w:rPr>
          <w:delText>Amendments to other Acts in relation to regional subsidiaries</w:delText>
        </w:r>
      </w:del>
    </w:p>
    <w:p>
      <w:pPr>
        <w:pStyle w:val="nzHeading3"/>
        <w:rPr>
          <w:del w:id="262" w:author="svcMRProcess" w:date="2019-01-23T12:20:00Z"/>
        </w:rPr>
      </w:pPr>
      <w:bookmarkStart w:id="263" w:name="_Toc461700850"/>
      <w:bookmarkStart w:id="264" w:name="_Toc461701000"/>
      <w:bookmarkStart w:id="265" w:name="_Toc461701150"/>
      <w:bookmarkStart w:id="266" w:name="_Toc461786257"/>
      <w:bookmarkStart w:id="267" w:name="_Toc461786532"/>
      <w:bookmarkStart w:id="268" w:name="_Toc461786722"/>
      <w:bookmarkStart w:id="269" w:name="_Toc461799299"/>
      <w:bookmarkStart w:id="270" w:name="_Toc462241363"/>
      <w:del w:id="271" w:author="svcMRProcess" w:date="2019-01-23T12:20:00Z">
        <w:r>
          <w:rPr>
            <w:rStyle w:val="CharDivNo"/>
          </w:rPr>
          <w:delText>Division 29</w:delText>
        </w:r>
        <w:r>
          <w:delText> — </w:delText>
        </w:r>
        <w:r>
          <w:rPr>
            <w:rStyle w:val="CharDivText"/>
            <w:i/>
          </w:rPr>
          <w:delText>Public Interest Disclosure Act 2003</w:delText>
        </w:r>
        <w:r>
          <w:rPr>
            <w:rStyle w:val="CharDivText"/>
          </w:rPr>
          <w:delText xml:space="preserve"> amended</w:delText>
        </w:r>
        <w:bookmarkEnd w:id="263"/>
        <w:bookmarkEnd w:id="264"/>
        <w:bookmarkEnd w:id="265"/>
        <w:bookmarkEnd w:id="266"/>
        <w:bookmarkEnd w:id="267"/>
        <w:bookmarkEnd w:id="268"/>
        <w:bookmarkEnd w:id="269"/>
        <w:bookmarkEnd w:id="270"/>
      </w:del>
    </w:p>
    <w:p>
      <w:pPr>
        <w:pStyle w:val="nzHeading5"/>
        <w:rPr>
          <w:del w:id="272" w:author="svcMRProcess" w:date="2019-01-23T12:20:00Z"/>
        </w:rPr>
      </w:pPr>
      <w:bookmarkStart w:id="273" w:name="_Toc461799300"/>
      <w:bookmarkStart w:id="274" w:name="_Toc462241364"/>
      <w:del w:id="275" w:author="svcMRProcess" w:date="2019-01-23T12:20:00Z">
        <w:r>
          <w:rPr>
            <w:rStyle w:val="CharSectno"/>
          </w:rPr>
          <w:delText>83</w:delText>
        </w:r>
        <w:r>
          <w:delText>.</w:delText>
        </w:r>
        <w:r>
          <w:tab/>
          <w:delText>Act amended</w:delText>
        </w:r>
        <w:bookmarkEnd w:id="273"/>
        <w:bookmarkEnd w:id="274"/>
      </w:del>
    </w:p>
    <w:p>
      <w:pPr>
        <w:pStyle w:val="nzSubsection"/>
        <w:rPr>
          <w:del w:id="276" w:author="svcMRProcess" w:date="2019-01-23T12:20:00Z"/>
        </w:rPr>
      </w:pPr>
      <w:del w:id="277" w:author="svcMRProcess" w:date="2019-01-23T12:20:00Z">
        <w:r>
          <w:tab/>
        </w:r>
        <w:r>
          <w:tab/>
          <w:delText xml:space="preserve">This Division amends the </w:delText>
        </w:r>
        <w:r>
          <w:rPr>
            <w:i/>
          </w:rPr>
          <w:delText>Public Interest Disclosure Act 2003</w:delText>
        </w:r>
        <w:r>
          <w:delText>.</w:delText>
        </w:r>
      </w:del>
    </w:p>
    <w:p>
      <w:pPr>
        <w:pStyle w:val="nzHeading5"/>
        <w:rPr>
          <w:del w:id="278" w:author="svcMRProcess" w:date="2019-01-23T12:20:00Z"/>
        </w:rPr>
      </w:pPr>
      <w:bookmarkStart w:id="279" w:name="_Toc461799301"/>
      <w:bookmarkStart w:id="280" w:name="_Toc462241365"/>
      <w:del w:id="281" w:author="svcMRProcess" w:date="2019-01-23T12:20:00Z">
        <w:r>
          <w:rPr>
            <w:rStyle w:val="CharSectno"/>
          </w:rPr>
          <w:delText>84</w:delText>
        </w:r>
        <w:r>
          <w:delText>.</w:delText>
        </w:r>
        <w:r>
          <w:tab/>
          <w:delText>Section 3 amended</w:delText>
        </w:r>
        <w:bookmarkEnd w:id="279"/>
        <w:bookmarkEnd w:id="280"/>
      </w:del>
    </w:p>
    <w:p>
      <w:pPr>
        <w:pStyle w:val="nzSubsection"/>
        <w:rPr>
          <w:del w:id="282" w:author="svcMRProcess" w:date="2019-01-23T12:20:00Z"/>
        </w:rPr>
      </w:pPr>
      <w:del w:id="283" w:author="svcMRProcess" w:date="2019-01-23T12:20:00Z">
        <w:r>
          <w:tab/>
        </w:r>
        <w:r>
          <w:tab/>
          <w:delText xml:space="preserve">In section 3(1) in the definition of </w:delText>
        </w:r>
        <w:r>
          <w:rPr>
            <w:b/>
            <w:i/>
          </w:rPr>
          <w:delText>public authority</w:delText>
        </w:r>
        <w:r>
          <w:delText xml:space="preserve"> delete paragraph (d) and insert:</w:delText>
        </w:r>
      </w:del>
    </w:p>
    <w:p>
      <w:pPr>
        <w:pStyle w:val="BlankOpen"/>
        <w:rPr>
          <w:del w:id="284" w:author="svcMRProcess" w:date="2019-01-23T12:20:00Z"/>
        </w:rPr>
      </w:pPr>
    </w:p>
    <w:p>
      <w:pPr>
        <w:pStyle w:val="nzDefpara"/>
        <w:rPr>
          <w:del w:id="285" w:author="svcMRProcess" w:date="2019-01-23T12:20:00Z"/>
        </w:rPr>
      </w:pPr>
      <w:del w:id="286" w:author="svcMRProcess" w:date="2019-01-23T12:20:00Z">
        <w:r>
          <w:tab/>
          <w:delText>(d)</w:delText>
        </w:r>
        <w:r>
          <w:tab/>
          <w:delText>a local government, a regional local government or a regional subsidiary;</w:delText>
        </w:r>
      </w:del>
    </w:p>
    <w:p>
      <w:pPr>
        <w:pStyle w:val="BlankClose"/>
        <w:rPr>
          <w:del w:id="287" w:author="svcMRProcess" w:date="2019-01-23T12:20:00Z"/>
        </w:rPr>
      </w:pPr>
    </w:p>
    <w:p>
      <w:pPr>
        <w:pStyle w:val="BlankClose"/>
        <w:rPr>
          <w:del w:id="288" w:author="svcMRProcess" w:date="2019-01-23T12:20: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0" w:name="Coversheet"/>
    <w:bookmarkEnd w:id="2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5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 w:name="WAFER_20151109113057" w:val="UpdateStyles,UsedStyles"/>
    <w:docVar w:name="WAFER_20151109113057_GUID" w:val="c6e8d200-0f52-4739-8826-4f5eabda5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8E19-49B7-4888-8A91-2035E322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6495</Words>
  <Characters>31241</Characters>
  <Application>Microsoft Office Word</Application>
  <DocSecurity>0</DocSecurity>
  <Lines>867</Lines>
  <Paragraphs>460</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37276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02-d0-01 - 02-e0-01</dc:title>
  <dc:subject/>
  <dc:creator/>
  <cp:keywords/>
  <dc:description/>
  <cp:lastModifiedBy>svcMRProcess</cp:lastModifiedBy>
  <cp:revision>2</cp:revision>
  <cp:lastPrinted>2013-02-05T00:20:00Z</cp:lastPrinted>
  <dcterms:created xsi:type="dcterms:W3CDTF">2019-01-23T04:20:00Z</dcterms:created>
  <dcterms:modified xsi:type="dcterms:W3CDTF">2019-01-23T04:20:00Z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DocumentType">
    <vt:lpwstr>Act</vt:lpwstr>
  </property>
  <property fmtid="{D5CDD505-2E9C-101B-9397-08002B2CF9AE}" pid="4" name="OwlsUID">
    <vt:i4>6372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20170121</vt:lpwstr>
  </property>
  <property fmtid="{D5CDD505-2E9C-101B-9397-08002B2CF9AE}" pid="8" name="FromSuffix">
    <vt:lpwstr>02-d0-01</vt:lpwstr>
  </property>
  <property fmtid="{D5CDD505-2E9C-101B-9397-08002B2CF9AE}" pid="9" name="FromAsAtDate">
    <vt:lpwstr>21 Sep 2016</vt:lpwstr>
  </property>
  <property fmtid="{D5CDD505-2E9C-101B-9397-08002B2CF9AE}" pid="10" name="ToSuffix">
    <vt:lpwstr>02-e0-01</vt:lpwstr>
  </property>
  <property fmtid="{D5CDD505-2E9C-101B-9397-08002B2CF9AE}" pid="11" name="ToAsAtDate">
    <vt:lpwstr>21 Jan 2017</vt:lpwstr>
  </property>
</Properties>
</file>