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720"/>
      </w:pPr>
      <w:r>
        <w:t xml:space="preserve">Waterways Conservation Act 1976 </w:t>
      </w:r>
    </w:p>
    <w:p>
      <w:pPr>
        <w:pStyle w:val="LongTitle"/>
        <w:spacing w:before="120"/>
        <w:rPr>
          <w:snapToGrid w:val="0"/>
        </w:rPr>
      </w:pPr>
      <w:r>
        <w:rPr>
          <w:snapToGrid w:val="0"/>
        </w:rPr>
        <w:t>A</w:t>
      </w:r>
      <w:bookmarkStart w:id="1" w:name="_GoBack"/>
      <w:bookmarkEnd w:id="1"/>
      <w:r>
        <w:rPr>
          <w:snapToGrid w:val="0"/>
        </w:rPr>
        <w:t xml:space="preserve">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No. 38 of 2007 s. 141.] </w:t>
      </w:r>
    </w:p>
    <w:p>
      <w:pPr>
        <w:pStyle w:val="Heading2"/>
      </w:pPr>
      <w:bookmarkStart w:id="2" w:name="_Toc473107365"/>
      <w:bookmarkStart w:id="3" w:name="_Toc471909172"/>
      <w:bookmarkStart w:id="4" w:name="_Toc472004280"/>
      <w:r>
        <w:rPr>
          <w:rStyle w:val="CharPartNo"/>
        </w:rPr>
        <w:lastRenderedPageBreak/>
        <w:t>Part 1</w:t>
      </w:r>
      <w:r>
        <w:rPr>
          <w:b w:val="0"/>
        </w:rPr>
        <w:t> </w:t>
      </w:r>
      <w:r>
        <w:t>—</w:t>
      </w:r>
      <w:r>
        <w:rPr>
          <w:b w:val="0"/>
        </w:rPr>
        <w:t> </w:t>
      </w:r>
      <w:r>
        <w:rPr>
          <w:rStyle w:val="CharPartText"/>
        </w:rPr>
        <w:t>Preliminary</w:t>
      </w:r>
      <w:bookmarkEnd w:id="2"/>
      <w:bookmarkEnd w:id="3"/>
      <w:bookmarkEnd w:id="4"/>
    </w:p>
    <w:p>
      <w:pPr>
        <w:pStyle w:val="Footnoteheading"/>
      </w:pPr>
      <w:r>
        <w:tab/>
        <w:t>[Heading inserted by No. 38 of 2007 s. 142.]</w:t>
      </w:r>
    </w:p>
    <w:p>
      <w:pPr>
        <w:pStyle w:val="Heading5"/>
        <w:rPr>
          <w:snapToGrid w:val="0"/>
        </w:rPr>
      </w:pPr>
      <w:bookmarkStart w:id="5" w:name="_Toc473107366"/>
      <w:bookmarkStart w:id="6" w:name="_Toc472004281"/>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7" w:name="_Toc473107367"/>
      <w:bookmarkStart w:id="8" w:name="_Toc472004282"/>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9" w:name="_Toc473107368"/>
      <w:bookmarkStart w:id="10" w:name="_Toc472004283"/>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lastRenderedPageBreak/>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11" w:name="_Toc473107369"/>
      <w:bookmarkStart w:id="12" w:name="_Toc472004284"/>
      <w:r>
        <w:rPr>
          <w:rStyle w:val="CharSectno"/>
        </w:rPr>
        <w:t>4</w:t>
      </w:r>
      <w:r>
        <w:rPr>
          <w:snapToGrid w:val="0"/>
        </w:rPr>
        <w:t>.</w:t>
      </w:r>
      <w:r>
        <w:rPr>
          <w:snapToGrid w:val="0"/>
        </w:rPr>
        <w:tab/>
        <w:t>Repeal and transitional provisions</w:t>
      </w:r>
      <w:bookmarkEnd w:id="11"/>
      <w:bookmarkEnd w:id="12"/>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by No. 21 of 1988 s. 24; No. 73 of 1995 s. 167.] </w:t>
      </w:r>
    </w:p>
    <w:p>
      <w:pPr>
        <w:pStyle w:val="Heading5"/>
        <w:rPr>
          <w:snapToGrid w:val="0"/>
        </w:rPr>
      </w:pPr>
      <w:bookmarkStart w:id="13" w:name="_Toc473107370"/>
      <w:bookmarkStart w:id="14" w:name="_Toc472004285"/>
      <w:r>
        <w:rPr>
          <w:rStyle w:val="CharSectno"/>
        </w:rPr>
        <w:t>5</w:t>
      </w:r>
      <w:r>
        <w:rPr>
          <w:snapToGrid w:val="0"/>
        </w:rPr>
        <w:t>.</w:t>
      </w:r>
      <w:r>
        <w:rPr>
          <w:snapToGrid w:val="0"/>
        </w:rPr>
        <w:tab/>
        <w:t>Construction of this Act</w:t>
      </w:r>
      <w:bookmarkEnd w:id="13"/>
      <w:bookmarkEnd w:id="14"/>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rPr>
        <w:t xml:space="preserve">Health </w:t>
      </w:r>
      <w:ins w:id="15" w:author="svcMRProcess" w:date="2018-09-10T00:02:00Z">
        <w:r>
          <w:rPr>
            <w:i/>
          </w:rPr>
          <w:t xml:space="preserve">(Miscellaneous Provisions) </w:t>
        </w:r>
      </w:ins>
      <w:r>
        <w:rPr>
          <w:i/>
        </w:rPr>
        <w:t>Act 1911</w:t>
      </w:r>
      <w:r>
        <w:rPr>
          <w:snapToGrid w:val="0"/>
        </w:rP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spacing w:before="180"/>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[Section 5 amended by No. 77 of 1986 s. 37; No. 14 of 1996 s. 4; No. 31 of 1997 s. 141; No. 35 of 2007 s. 108; No. 38 of 2007 s. 144 and 188</w:t>
      </w:r>
      <w:del w:id="16" w:author="svcMRProcess" w:date="2018-09-10T00:02:00Z">
        <w:r>
          <w:delText>.]</w:delText>
        </w:r>
      </w:del>
      <w:ins w:id="17" w:author="svcMRProcess" w:date="2018-09-10T00:02:00Z">
        <w:r>
          <w:t>; No. 19 of 2016 s. 101.]</w:t>
        </w:r>
      </w:ins>
      <w:r>
        <w:t xml:space="preserve"> </w:t>
      </w:r>
    </w:p>
    <w:p>
      <w:pPr>
        <w:pStyle w:val="Heading5"/>
        <w:rPr>
          <w:snapToGrid w:val="0"/>
        </w:rPr>
      </w:pPr>
      <w:bookmarkStart w:id="18" w:name="_Toc473107371"/>
      <w:bookmarkStart w:id="19" w:name="_Toc472004286"/>
      <w:r>
        <w:rPr>
          <w:rStyle w:val="CharSectno"/>
        </w:rPr>
        <w:t>6</w:t>
      </w:r>
      <w:r>
        <w:rPr>
          <w:snapToGrid w:val="0"/>
        </w:rPr>
        <w:t>.</w:t>
      </w:r>
      <w:r>
        <w:rPr>
          <w:snapToGrid w:val="0"/>
        </w:rPr>
        <w:tab/>
        <w:t>Crown bound</w:t>
      </w:r>
      <w:bookmarkEnd w:id="18"/>
      <w:bookmarkEnd w:id="1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0" w:name="_Toc473107372"/>
      <w:bookmarkStart w:id="21" w:name="_Toc472004287"/>
      <w:r>
        <w:rPr>
          <w:rStyle w:val="CharSectno"/>
        </w:rPr>
        <w:t>7</w:t>
      </w:r>
      <w:r>
        <w:rPr>
          <w:snapToGrid w:val="0"/>
        </w:rPr>
        <w:t>.</w:t>
      </w:r>
      <w:r>
        <w:rPr>
          <w:snapToGrid w:val="0"/>
        </w:rPr>
        <w:tab/>
        <w:t>Saving of rights at law</w:t>
      </w:r>
      <w:bookmarkEnd w:id="20"/>
      <w:bookmarkEnd w:id="21"/>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2" w:name="_Toc473107373"/>
      <w:bookmarkStart w:id="23" w:name="_Toc472004288"/>
      <w:r>
        <w:rPr>
          <w:rStyle w:val="CharSectno"/>
        </w:rPr>
        <w:t>8</w:t>
      </w:r>
      <w:r>
        <w:rPr>
          <w:snapToGrid w:val="0"/>
        </w:rPr>
        <w:t>.</w:t>
      </w:r>
      <w:r>
        <w:rPr>
          <w:snapToGrid w:val="0"/>
        </w:rPr>
        <w:tab/>
        <w:t>Exemptions</w:t>
      </w:r>
      <w:bookmarkEnd w:id="22"/>
      <w:bookmarkEnd w:id="23"/>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by No. 38 of 2007 s. 145 and 188.]</w:t>
      </w:r>
    </w:p>
    <w:p>
      <w:pPr>
        <w:pStyle w:val="Heading2"/>
      </w:pPr>
      <w:bookmarkStart w:id="24" w:name="_Toc473107374"/>
      <w:bookmarkStart w:id="25" w:name="_Toc471909181"/>
      <w:bookmarkStart w:id="26" w:name="_Toc472004289"/>
      <w:r>
        <w:rPr>
          <w:rStyle w:val="CharPartNo"/>
        </w:rPr>
        <w:t>Part 2</w:t>
      </w:r>
      <w:r>
        <w:rPr>
          <w:b w:val="0"/>
        </w:rPr>
        <w:t> </w:t>
      </w:r>
      <w:r>
        <w:t>—</w:t>
      </w:r>
      <w:r>
        <w:rPr>
          <w:b w:val="0"/>
        </w:rPr>
        <w:t> </w:t>
      </w:r>
      <w:r>
        <w:rPr>
          <w:rStyle w:val="CharPartText"/>
        </w:rPr>
        <w:t>Application of the Act</w:t>
      </w:r>
      <w:bookmarkEnd w:id="24"/>
      <w:bookmarkEnd w:id="25"/>
      <w:bookmarkEnd w:id="26"/>
    </w:p>
    <w:p>
      <w:pPr>
        <w:pStyle w:val="Footnoteheading"/>
      </w:pPr>
      <w:r>
        <w:tab/>
        <w:t>[Heading inserted by No. 38 of 2007 s. 146.]</w:t>
      </w:r>
    </w:p>
    <w:p>
      <w:pPr>
        <w:pStyle w:val="Heading5"/>
        <w:rPr>
          <w:snapToGrid w:val="0"/>
        </w:rPr>
      </w:pPr>
      <w:bookmarkStart w:id="27" w:name="_Toc473107375"/>
      <w:bookmarkStart w:id="28" w:name="_Toc472004290"/>
      <w:r>
        <w:rPr>
          <w:rStyle w:val="CharSectno"/>
        </w:rPr>
        <w:t>9</w:t>
      </w:r>
      <w:r>
        <w:rPr>
          <w:snapToGrid w:val="0"/>
        </w:rPr>
        <w:t>.</w:t>
      </w:r>
      <w:r>
        <w:rPr>
          <w:snapToGrid w:val="0"/>
        </w:rPr>
        <w:tab/>
        <w:t>Application</w:t>
      </w:r>
      <w:bookmarkEnd w:id="27"/>
      <w:bookmarkEnd w:id="28"/>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by No. 21 of 1988 s. 25; No. 52 of 2006 s. 6; No. 38 of 2007 s. 147.] </w:t>
      </w:r>
    </w:p>
    <w:p>
      <w:pPr>
        <w:pStyle w:val="Heading5"/>
        <w:rPr>
          <w:snapToGrid w:val="0"/>
        </w:rPr>
      </w:pPr>
      <w:bookmarkStart w:id="29" w:name="_Toc473107376"/>
      <w:bookmarkStart w:id="30" w:name="_Toc472004291"/>
      <w:r>
        <w:rPr>
          <w:rStyle w:val="CharSectno"/>
        </w:rPr>
        <w:t>10</w:t>
      </w:r>
      <w:r>
        <w:rPr>
          <w:snapToGrid w:val="0"/>
        </w:rPr>
        <w:t>.</w:t>
      </w:r>
      <w:r>
        <w:rPr>
          <w:snapToGrid w:val="0"/>
        </w:rPr>
        <w:tab/>
        <w:t>Management areas</w:t>
      </w:r>
      <w:bookmarkEnd w:id="29"/>
      <w:bookmarkEnd w:id="30"/>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No. 38 of 2007 s. 148.] </w:t>
      </w:r>
    </w:p>
    <w:p>
      <w:pPr>
        <w:pStyle w:val="Heading2"/>
      </w:pPr>
      <w:bookmarkStart w:id="31" w:name="_Toc473107377"/>
      <w:bookmarkStart w:id="32" w:name="_Toc471909184"/>
      <w:bookmarkStart w:id="33" w:name="_Toc472004292"/>
      <w:r>
        <w:rPr>
          <w:rStyle w:val="CharPartNo"/>
        </w:rPr>
        <w:t>Part 3</w:t>
      </w:r>
      <w:r>
        <w:rPr>
          <w:b w:val="0"/>
        </w:rPr>
        <w:t> </w:t>
      </w:r>
      <w:r>
        <w:t>—</w:t>
      </w:r>
      <w:r>
        <w:rPr>
          <w:b w:val="0"/>
        </w:rPr>
        <w:t> </w:t>
      </w:r>
      <w:r>
        <w:rPr>
          <w:rStyle w:val="CharPartText"/>
        </w:rPr>
        <w:t>Functions of the Minister</w:t>
      </w:r>
      <w:bookmarkEnd w:id="31"/>
      <w:bookmarkEnd w:id="32"/>
      <w:bookmarkEnd w:id="33"/>
    </w:p>
    <w:p>
      <w:pPr>
        <w:pStyle w:val="Footnoteheading"/>
      </w:pPr>
      <w:r>
        <w:tab/>
        <w:t>[Heading inserted by No. 38 of 2007 s. 149.]</w:t>
      </w:r>
    </w:p>
    <w:p>
      <w:pPr>
        <w:pStyle w:val="Heading5"/>
      </w:pPr>
      <w:bookmarkStart w:id="34" w:name="_Toc473107378"/>
      <w:bookmarkStart w:id="35" w:name="_Toc472004293"/>
      <w:r>
        <w:rPr>
          <w:rStyle w:val="CharSectno"/>
        </w:rPr>
        <w:t>11</w:t>
      </w:r>
      <w:r>
        <w:t>.</w:t>
      </w:r>
      <w:r>
        <w:tab/>
        <w:t>Functions of Minister</w:t>
      </w:r>
      <w:bookmarkEnd w:id="34"/>
      <w:bookmarkEnd w:id="35"/>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by No. 38 of 2007 s. 150.]</w:t>
      </w:r>
    </w:p>
    <w:p>
      <w:pPr>
        <w:pStyle w:val="Heading5"/>
      </w:pPr>
      <w:bookmarkStart w:id="36" w:name="_Toc473107379"/>
      <w:bookmarkStart w:id="37" w:name="_Toc472004294"/>
      <w:r>
        <w:rPr>
          <w:rStyle w:val="CharSectno"/>
        </w:rPr>
        <w:t>12</w:t>
      </w:r>
      <w:r>
        <w:t>.</w:t>
      </w:r>
      <w:r>
        <w:tab/>
        <w:t xml:space="preserve">Performance of functions of </w:t>
      </w:r>
      <w:r>
        <w:rPr>
          <w:snapToGrid w:val="0"/>
        </w:rPr>
        <w:t>Minister</w:t>
      </w:r>
      <w:bookmarkEnd w:id="36"/>
      <w:bookmarkEnd w:id="37"/>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by No. 38 of 2007 s. 150.]</w:t>
      </w:r>
    </w:p>
    <w:p>
      <w:pPr>
        <w:pStyle w:val="Ednotesection"/>
      </w:pPr>
      <w:r>
        <w:t>[</w:t>
      </w:r>
      <w:r>
        <w:rPr>
          <w:b/>
        </w:rPr>
        <w:t>13.</w:t>
      </w:r>
      <w:r>
        <w:tab/>
        <w:t xml:space="preserve">Deleted by No. 73 of 1995 s. 170.] </w:t>
      </w:r>
    </w:p>
    <w:p>
      <w:pPr>
        <w:pStyle w:val="Ednotesection"/>
      </w:pPr>
      <w:r>
        <w:t>[</w:t>
      </w:r>
      <w:r>
        <w:rPr>
          <w:b/>
        </w:rPr>
        <w:t>14</w:t>
      </w:r>
      <w:r>
        <w:rPr>
          <w:b/>
        </w:rPr>
        <w:noBreakHyphen/>
        <w:t>29.</w:t>
      </w:r>
      <w:r>
        <w:tab/>
        <w:t xml:space="preserve">Deleted by No. 38 of 2007 s. 150.] </w:t>
      </w:r>
    </w:p>
    <w:p>
      <w:pPr>
        <w:pStyle w:val="Heading2"/>
      </w:pPr>
      <w:bookmarkStart w:id="38" w:name="_Toc473107380"/>
      <w:bookmarkStart w:id="39" w:name="_Toc471909187"/>
      <w:bookmarkStart w:id="40" w:name="_Toc472004295"/>
      <w:r>
        <w:rPr>
          <w:rStyle w:val="CharPartNo"/>
        </w:rPr>
        <w:t>Part 4</w:t>
      </w:r>
      <w:r>
        <w:rPr>
          <w:b w:val="0"/>
        </w:rPr>
        <w:t> </w:t>
      </w:r>
      <w:r>
        <w:t>—</w:t>
      </w:r>
      <w:r>
        <w:rPr>
          <w:b w:val="0"/>
        </w:rPr>
        <w:t> </w:t>
      </w:r>
      <w:r>
        <w:rPr>
          <w:rStyle w:val="CharPartText"/>
        </w:rPr>
        <w:t>Agreements, management programmes and consultation</w:t>
      </w:r>
      <w:bookmarkEnd w:id="38"/>
      <w:bookmarkEnd w:id="39"/>
      <w:bookmarkEnd w:id="40"/>
    </w:p>
    <w:p>
      <w:pPr>
        <w:pStyle w:val="Footnoteheading"/>
      </w:pPr>
      <w:r>
        <w:tab/>
        <w:t>[Heading inserted by No. 38 of 2007 s. 151.]</w:t>
      </w:r>
    </w:p>
    <w:p>
      <w:pPr>
        <w:pStyle w:val="Heading5"/>
        <w:spacing w:before="240"/>
      </w:pPr>
      <w:bookmarkStart w:id="41" w:name="_Toc473107381"/>
      <w:bookmarkStart w:id="42" w:name="_Toc472004296"/>
      <w:r>
        <w:rPr>
          <w:rStyle w:val="CharSectno"/>
        </w:rPr>
        <w:t>30</w:t>
      </w:r>
      <w:r>
        <w:t>.</w:t>
      </w:r>
      <w:r>
        <w:tab/>
        <w:t>Covenants</w:t>
      </w:r>
      <w:bookmarkEnd w:id="41"/>
      <w:bookmarkEnd w:id="42"/>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by No. 38 of 2007 s. 151.]</w:t>
      </w:r>
    </w:p>
    <w:p>
      <w:pPr>
        <w:pStyle w:val="Heading5"/>
        <w:keepLines w:val="0"/>
        <w:rPr>
          <w:snapToGrid w:val="0"/>
        </w:rPr>
      </w:pPr>
      <w:bookmarkStart w:id="43" w:name="_Toc473107382"/>
      <w:bookmarkStart w:id="44" w:name="_Toc472004297"/>
      <w:r>
        <w:rPr>
          <w:rStyle w:val="CharSectno"/>
        </w:rPr>
        <w:t>31</w:t>
      </w:r>
      <w:r>
        <w:rPr>
          <w:snapToGrid w:val="0"/>
        </w:rPr>
        <w:t>.</w:t>
      </w:r>
      <w:r>
        <w:rPr>
          <w:snapToGrid w:val="0"/>
        </w:rPr>
        <w:tab/>
        <w:t>Agreements as to private land</w:t>
      </w:r>
      <w:bookmarkEnd w:id="43"/>
      <w:bookmarkEnd w:id="44"/>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by No. 38 of 2007 s. 152.]</w:t>
      </w:r>
    </w:p>
    <w:p>
      <w:pPr>
        <w:pStyle w:val="Heading5"/>
        <w:rPr>
          <w:snapToGrid w:val="0"/>
        </w:rPr>
      </w:pPr>
      <w:bookmarkStart w:id="45" w:name="_Toc473107383"/>
      <w:bookmarkStart w:id="46" w:name="_Toc472004298"/>
      <w:r>
        <w:rPr>
          <w:rStyle w:val="CharSectno"/>
        </w:rPr>
        <w:t>32</w:t>
      </w:r>
      <w:r>
        <w:rPr>
          <w:snapToGrid w:val="0"/>
        </w:rPr>
        <w:t>.</w:t>
      </w:r>
      <w:r>
        <w:rPr>
          <w:snapToGrid w:val="0"/>
        </w:rPr>
        <w:tab/>
        <w:t>Reserves may be placed under control of Minister</w:t>
      </w:r>
      <w:bookmarkEnd w:id="45"/>
      <w:bookmarkEnd w:id="46"/>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rStyle w:val="CharDefText"/>
        </w:rPr>
        <w:t xml:space="preserve"> 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by No. 14 of 1996 s. 4; No. 31 of 1997 s. 139; No. 38 of 2007 s. 153.] </w:t>
      </w:r>
    </w:p>
    <w:p>
      <w:pPr>
        <w:pStyle w:val="Heading5"/>
        <w:keepNext w:val="0"/>
        <w:keepLines w:val="0"/>
        <w:spacing w:before="180"/>
        <w:rPr>
          <w:snapToGrid w:val="0"/>
        </w:rPr>
      </w:pPr>
      <w:bookmarkStart w:id="47" w:name="_Toc473107384"/>
      <w:bookmarkStart w:id="48" w:name="_Toc472004299"/>
      <w:r>
        <w:rPr>
          <w:rStyle w:val="CharSectno"/>
        </w:rPr>
        <w:t>33</w:t>
      </w:r>
      <w:r>
        <w:rPr>
          <w:snapToGrid w:val="0"/>
        </w:rPr>
        <w:t>.</w:t>
      </w:r>
      <w:r>
        <w:rPr>
          <w:snapToGrid w:val="0"/>
        </w:rPr>
        <w:tab/>
        <w:t>Local government consultations, and initiatives</w:t>
      </w:r>
      <w:bookmarkEnd w:id="47"/>
      <w:bookmarkEnd w:id="48"/>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by No. 14 of 1996 s. 4; No. 38 of 2007 s. 154.] </w:t>
      </w:r>
    </w:p>
    <w:p>
      <w:pPr>
        <w:pStyle w:val="Ednotesection"/>
      </w:pPr>
      <w:r>
        <w:t>[</w:t>
      </w:r>
      <w:r>
        <w:rPr>
          <w:b/>
          <w:bCs/>
        </w:rPr>
        <w:t>34.</w:t>
      </w:r>
      <w:r>
        <w:tab/>
        <w:t>Deleted by No. 38 of 2007 s. 155.]</w:t>
      </w:r>
    </w:p>
    <w:p>
      <w:pPr>
        <w:pStyle w:val="Heading5"/>
        <w:spacing w:before="180"/>
        <w:rPr>
          <w:snapToGrid w:val="0"/>
        </w:rPr>
      </w:pPr>
      <w:bookmarkStart w:id="49" w:name="_Toc473107385"/>
      <w:bookmarkStart w:id="50" w:name="_Toc472004300"/>
      <w:r>
        <w:rPr>
          <w:rStyle w:val="CharSectno"/>
        </w:rPr>
        <w:t>35</w:t>
      </w:r>
      <w:r>
        <w:rPr>
          <w:snapToGrid w:val="0"/>
        </w:rPr>
        <w:t>.</w:t>
      </w:r>
      <w:r>
        <w:rPr>
          <w:snapToGrid w:val="0"/>
        </w:rPr>
        <w:tab/>
        <w:t>Management programmes</w:t>
      </w:r>
      <w:bookmarkEnd w:id="49"/>
      <w:bookmarkEnd w:id="50"/>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by No. 14 of 1996 s. 4; No. 38 of 2007 s. 156.] </w:t>
      </w:r>
    </w:p>
    <w:p>
      <w:pPr>
        <w:pStyle w:val="Heading5"/>
        <w:spacing w:before="180"/>
        <w:rPr>
          <w:snapToGrid w:val="0"/>
        </w:rPr>
      </w:pPr>
      <w:bookmarkStart w:id="51" w:name="_Toc473107386"/>
      <w:bookmarkStart w:id="52" w:name="_Toc472004301"/>
      <w:r>
        <w:rPr>
          <w:rStyle w:val="CharSectno"/>
        </w:rPr>
        <w:t>36</w:t>
      </w:r>
      <w:r>
        <w:rPr>
          <w:snapToGrid w:val="0"/>
        </w:rPr>
        <w:t>.</w:t>
      </w:r>
      <w:r>
        <w:rPr>
          <w:snapToGrid w:val="0"/>
        </w:rPr>
        <w:tab/>
        <w:t>Town planning referrals</w:t>
      </w:r>
      <w:bookmarkEnd w:id="51"/>
      <w:bookmarkEnd w:id="52"/>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by No. 84 of 1994 s. 46; No. 57 of 1997 s. 127; No. 38 of 2005 s. 15; No. 38 of 2007 s. 157 and 188; No. 28 of 2010 s. 39.] </w:t>
      </w:r>
    </w:p>
    <w:p>
      <w:pPr>
        <w:pStyle w:val="Heading5"/>
        <w:rPr>
          <w:snapToGrid w:val="0"/>
        </w:rPr>
      </w:pPr>
      <w:bookmarkStart w:id="53" w:name="_Toc473107387"/>
      <w:bookmarkStart w:id="54" w:name="_Toc472004302"/>
      <w:r>
        <w:rPr>
          <w:rStyle w:val="CharSectno"/>
        </w:rPr>
        <w:t>37</w:t>
      </w:r>
      <w:r>
        <w:rPr>
          <w:snapToGrid w:val="0"/>
        </w:rPr>
        <w:t>.</w:t>
      </w:r>
      <w:r>
        <w:rPr>
          <w:snapToGrid w:val="0"/>
        </w:rPr>
        <w:tab/>
        <w:t>Ministerial referrals</w:t>
      </w:r>
      <w:bookmarkEnd w:id="53"/>
      <w:bookmarkEnd w:id="54"/>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by No. 38 of 2007 s. 158 and 188.]</w:t>
      </w:r>
    </w:p>
    <w:p>
      <w:pPr>
        <w:pStyle w:val="Heading5"/>
        <w:rPr>
          <w:snapToGrid w:val="0"/>
        </w:rPr>
      </w:pPr>
      <w:bookmarkStart w:id="55" w:name="_Toc473107388"/>
      <w:bookmarkStart w:id="56" w:name="_Toc472004303"/>
      <w:r>
        <w:rPr>
          <w:rStyle w:val="CharSectno"/>
        </w:rPr>
        <w:t>38</w:t>
      </w:r>
      <w:r>
        <w:rPr>
          <w:snapToGrid w:val="0"/>
        </w:rPr>
        <w:t>.</w:t>
      </w:r>
      <w:r>
        <w:rPr>
          <w:snapToGrid w:val="0"/>
        </w:rPr>
        <w:tab/>
        <w:t>Public referrals</w:t>
      </w:r>
      <w:bookmarkEnd w:id="55"/>
      <w:bookmarkEnd w:id="56"/>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by No. 38 of 2007 s. 159 and 188.]</w:t>
      </w:r>
    </w:p>
    <w:p>
      <w:pPr>
        <w:pStyle w:val="Ednotesection"/>
      </w:pPr>
      <w:r>
        <w:t>[</w:t>
      </w:r>
      <w:r>
        <w:rPr>
          <w:b/>
        </w:rPr>
        <w:t>39.</w:t>
      </w:r>
      <w:r>
        <w:tab/>
        <w:t xml:space="preserve">Deleted by No. 38 of 2007 s. 160.] </w:t>
      </w:r>
    </w:p>
    <w:p>
      <w:pPr>
        <w:pStyle w:val="Ednotesection"/>
        <w:spacing w:before="180"/>
        <w:ind w:left="890" w:hanging="890"/>
      </w:pPr>
      <w:r>
        <w:t>[</w:t>
      </w:r>
      <w:r>
        <w:rPr>
          <w:b/>
        </w:rPr>
        <w:t>40, 41.</w:t>
      </w:r>
      <w:r>
        <w:tab/>
        <w:t xml:space="preserve">Deleted by No. 73 of 1995 s. 181.] </w:t>
      </w:r>
    </w:p>
    <w:p>
      <w:pPr>
        <w:pStyle w:val="Ednotesection"/>
      </w:pPr>
      <w:r>
        <w:t>[</w:t>
      </w:r>
      <w:r>
        <w:rPr>
          <w:b/>
        </w:rPr>
        <w:t>42, 43.</w:t>
      </w:r>
      <w:r>
        <w:tab/>
        <w:t xml:space="preserve">Deleted by No. 38 of 2007 s. 160.] </w:t>
      </w:r>
    </w:p>
    <w:p>
      <w:pPr>
        <w:pStyle w:val="Ednotesection"/>
      </w:pPr>
      <w:r>
        <w:t>[</w:t>
      </w:r>
      <w:r>
        <w:rPr>
          <w:b/>
        </w:rPr>
        <w:t>44.</w:t>
      </w:r>
      <w:r>
        <w:tab/>
        <w:t xml:space="preserve">Deleted by No. 98 of 1985 s. 3.] </w:t>
      </w:r>
    </w:p>
    <w:p>
      <w:pPr>
        <w:pStyle w:val="Ednotesection"/>
      </w:pPr>
      <w:r>
        <w:t>[</w:t>
      </w:r>
      <w:r>
        <w:rPr>
          <w:b/>
        </w:rPr>
        <w:t>45.</w:t>
      </w:r>
      <w:r>
        <w:tab/>
        <w:t>Deleted by No. 38 of 2007 s. 160.]</w:t>
      </w:r>
    </w:p>
    <w:p>
      <w:pPr>
        <w:pStyle w:val="Heading2"/>
      </w:pPr>
      <w:bookmarkStart w:id="57" w:name="_Toc473107389"/>
      <w:bookmarkStart w:id="58" w:name="_Toc471909196"/>
      <w:bookmarkStart w:id="59" w:name="_Toc472004304"/>
      <w:r>
        <w:rPr>
          <w:rStyle w:val="CharPartNo"/>
        </w:rPr>
        <w:t>Part 5</w:t>
      </w:r>
      <w:r>
        <w:rPr>
          <w:b w:val="0"/>
        </w:rPr>
        <w:t> </w:t>
      </w:r>
      <w:r>
        <w:t>—</w:t>
      </w:r>
      <w:r>
        <w:rPr>
          <w:b w:val="0"/>
        </w:rPr>
        <w:t> </w:t>
      </w:r>
      <w:r>
        <w:rPr>
          <w:rStyle w:val="CharPartText"/>
        </w:rPr>
        <w:t>Protection of waters and land</w:t>
      </w:r>
      <w:bookmarkEnd w:id="57"/>
      <w:bookmarkEnd w:id="58"/>
      <w:bookmarkEnd w:id="59"/>
    </w:p>
    <w:p>
      <w:pPr>
        <w:pStyle w:val="Footnoteheading"/>
      </w:pPr>
      <w:r>
        <w:tab/>
        <w:t>[Heading inserted by No. 38 of 2007 s. 161.]</w:t>
      </w:r>
    </w:p>
    <w:p>
      <w:pPr>
        <w:pStyle w:val="Heading5"/>
        <w:rPr>
          <w:snapToGrid w:val="0"/>
        </w:rPr>
      </w:pPr>
      <w:bookmarkStart w:id="60" w:name="_Toc473107390"/>
      <w:bookmarkStart w:id="61" w:name="_Toc472004305"/>
      <w:r>
        <w:rPr>
          <w:rStyle w:val="CharSectno"/>
        </w:rPr>
        <w:t>46</w:t>
      </w:r>
      <w:r>
        <w:rPr>
          <w:snapToGrid w:val="0"/>
        </w:rPr>
        <w:t>.</w:t>
      </w:r>
      <w:r>
        <w:rPr>
          <w:snapToGrid w:val="0"/>
        </w:rPr>
        <w:tab/>
        <w:t>Licences</w:t>
      </w:r>
      <w:bookmarkEnd w:id="60"/>
      <w:bookmarkEnd w:id="61"/>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by No. 78 of 1995 s. 135; No. 55 of 2004 s. 1306; No. 38 of 2007 s. 162 and 188.] </w:t>
      </w:r>
    </w:p>
    <w:p>
      <w:pPr>
        <w:pStyle w:val="Heading5"/>
        <w:rPr>
          <w:snapToGrid w:val="0"/>
        </w:rPr>
      </w:pPr>
      <w:bookmarkStart w:id="62" w:name="_Toc473107391"/>
      <w:bookmarkStart w:id="63" w:name="_Toc472004306"/>
      <w:r>
        <w:rPr>
          <w:rStyle w:val="CharSectno"/>
        </w:rPr>
        <w:t>47</w:t>
      </w:r>
      <w:r>
        <w:rPr>
          <w:snapToGrid w:val="0"/>
        </w:rPr>
        <w:t>.</w:t>
      </w:r>
      <w:r>
        <w:rPr>
          <w:snapToGrid w:val="0"/>
        </w:rPr>
        <w:tab/>
        <w:t>Disposal licences</w:t>
      </w:r>
      <w:bookmarkEnd w:id="62"/>
      <w:bookmarkEnd w:id="63"/>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by No. 38 of 2007 s. 188.]</w:t>
      </w:r>
    </w:p>
    <w:p>
      <w:pPr>
        <w:pStyle w:val="Heading5"/>
        <w:keepNext w:val="0"/>
        <w:keepLines w:val="0"/>
        <w:pageBreakBefore/>
        <w:widowControl w:val="0"/>
        <w:spacing w:before="0"/>
        <w:rPr>
          <w:snapToGrid w:val="0"/>
        </w:rPr>
      </w:pPr>
      <w:bookmarkStart w:id="64" w:name="_Toc473107392"/>
      <w:bookmarkStart w:id="65" w:name="_Toc472004307"/>
      <w:r>
        <w:rPr>
          <w:rStyle w:val="CharSectno"/>
        </w:rPr>
        <w:t>48</w:t>
      </w:r>
      <w:r>
        <w:rPr>
          <w:snapToGrid w:val="0"/>
        </w:rPr>
        <w:t>.</w:t>
      </w:r>
      <w:r>
        <w:rPr>
          <w:snapToGrid w:val="0"/>
        </w:rPr>
        <w:tab/>
        <w:t>Control of pollution, and use of waters</w:t>
      </w:r>
      <w:bookmarkEnd w:id="64"/>
      <w:bookmarkEnd w:id="65"/>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No. 38 of 2007 s. 163 and 188.] </w:t>
      </w:r>
    </w:p>
    <w:p>
      <w:pPr>
        <w:pStyle w:val="Heading5"/>
        <w:rPr>
          <w:snapToGrid w:val="0"/>
        </w:rPr>
      </w:pPr>
      <w:bookmarkStart w:id="66" w:name="_Toc473107393"/>
      <w:bookmarkStart w:id="67" w:name="_Toc472004308"/>
      <w:r>
        <w:rPr>
          <w:rStyle w:val="CharSectno"/>
        </w:rPr>
        <w:t>49</w:t>
      </w:r>
      <w:r>
        <w:rPr>
          <w:snapToGrid w:val="0"/>
        </w:rPr>
        <w:t>.</w:t>
      </w:r>
      <w:r>
        <w:rPr>
          <w:snapToGrid w:val="0"/>
        </w:rPr>
        <w:tab/>
        <w:t>Injunctions</w:t>
      </w:r>
      <w:bookmarkEnd w:id="66"/>
      <w:bookmarkEnd w:id="67"/>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by No. 38 of 2007 s. 164.]</w:t>
      </w:r>
    </w:p>
    <w:p>
      <w:pPr>
        <w:pStyle w:val="Heading5"/>
        <w:rPr>
          <w:snapToGrid w:val="0"/>
        </w:rPr>
      </w:pPr>
      <w:bookmarkStart w:id="68" w:name="_Toc473107394"/>
      <w:bookmarkStart w:id="69" w:name="_Toc472004309"/>
      <w:r>
        <w:rPr>
          <w:rStyle w:val="CharSectno"/>
        </w:rPr>
        <w:t>50</w:t>
      </w:r>
      <w:r>
        <w:rPr>
          <w:snapToGrid w:val="0"/>
        </w:rPr>
        <w:t>.</w:t>
      </w:r>
      <w:r>
        <w:rPr>
          <w:snapToGrid w:val="0"/>
        </w:rPr>
        <w:tab/>
        <w:t>Orders</w:t>
      </w:r>
      <w:bookmarkEnd w:id="68"/>
      <w:bookmarkEnd w:id="69"/>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by No. 38 of 2007 s. 165.]</w:t>
      </w:r>
    </w:p>
    <w:p>
      <w:pPr>
        <w:pStyle w:val="Heading5"/>
        <w:rPr>
          <w:snapToGrid w:val="0"/>
        </w:rPr>
      </w:pPr>
      <w:bookmarkStart w:id="70" w:name="_Toc473107395"/>
      <w:bookmarkStart w:id="71" w:name="_Toc472004310"/>
      <w:r>
        <w:rPr>
          <w:rStyle w:val="CharSectno"/>
        </w:rPr>
        <w:t>51</w:t>
      </w:r>
      <w:r>
        <w:rPr>
          <w:snapToGrid w:val="0"/>
        </w:rPr>
        <w:t>.</w:t>
      </w:r>
      <w:r>
        <w:rPr>
          <w:snapToGrid w:val="0"/>
        </w:rPr>
        <w:tab/>
        <w:t>Removal of structures</w:t>
      </w:r>
      <w:bookmarkEnd w:id="70"/>
      <w:bookmarkEnd w:id="71"/>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by No. 38 of 2007 s. 166 and 188.]</w:t>
      </w:r>
    </w:p>
    <w:p>
      <w:pPr>
        <w:pStyle w:val="Heading5"/>
        <w:rPr>
          <w:snapToGrid w:val="0"/>
        </w:rPr>
      </w:pPr>
      <w:bookmarkStart w:id="72" w:name="_Toc473107396"/>
      <w:bookmarkStart w:id="73" w:name="_Toc472004311"/>
      <w:r>
        <w:rPr>
          <w:rStyle w:val="CharSectno"/>
        </w:rPr>
        <w:t>52</w:t>
      </w:r>
      <w:r>
        <w:rPr>
          <w:snapToGrid w:val="0"/>
        </w:rPr>
        <w:t>.</w:t>
      </w:r>
      <w:r>
        <w:rPr>
          <w:snapToGrid w:val="0"/>
        </w:rPr>
        <w:tab/>
        <w:t>Remedial works</w:t>
      </w:r>
      <w:bookmarkEnd w:id="72"/>
      <w:bookmarkEnd w:id="73"/>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by No. 38 of 2007 s. 167.]</w:t>
      </w:r>
    </w:p>
    <w:p>
      <w:pPr>
        <w:pStyle w:val="Heading5"/>
        <w:rPr>
          <w:snapToGrid w:val="0"/>
        </w:rPr>
      </w:pPr>
      <w:bookmarkStart w:id="74" w:name="_Toc473107397"/>
      <w:bookmarkStart w:id="75" w:name="_Toc472004312"/>
      <w:r>
        <w:rPr>
          <w:rStyle w:val="CharSectno"/>
        </w:rPr>
        <w:t>53</w:t>
      </w:r>
      <w:r>
        <w:rPr>
          <w:snapToGrid w:val="0"/>
        </w:rPr>
        <w:t>.</w:t>
      </w:r>
      <w:r>
        <w:rPr>
          <w:snapToGrid w:val="0"/>
        </w:rPr>
        <w:tab/>
        <w:t>Recovery of expenses</w:t>
      </w:r>
      <w:bookmarkEnd w:id="74"/>
      <w:bookmarkEnd w:id="75"/>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by No. 38 of 2007 s. 168.]</w:t>
      </w:r>
    </w:p>
    <w:p>
      <w:pPr>
        <w:pStyle w:val="Heading2"/>
      </w:pPr>
      <w:bookmarkStart w:id="76" w:name="_Toc473107398"/>
      <w:bookmarkStart w:id="77" w:name="_Toc471909205"/>
      <w:bookmarkStart w:id="78" w:name="_Toc472004313"/>
      <w:r>
        <w:rPr>
          <w:rStyle w:val="CharPartNo"/>
        </w:rPr>
        <w:t>Part 6</w:t>
      </w:r>
      <w:r>
        <w:rPr>
          <w:b w:val="0"/>
        </w:rPr>
        <w:t> </w:t>
      </w:r>
      <w:r>
        <w:t>—</w:t>
      </w:r>
      <w:r>
        <w:rPr>
          <w:b w:val="0"/>
        </w:rPr>
        <w:t> </w:t>
      </w:r>
      <w:r>
        <w:rPr>
          <w:rStyle w:val="CharPartText"/>
        </w:rPr>
        <w:t>General provisions</w:t>
      </w:r>
      <w:bookmarkEnd w:id="76"/>
      <w:bookmarkEnd w:id="77"/>
      <w:bookmarkEnd w:id="78"/>
    </w:p>
    <w:p>
      <w:pPr>
        <w:pStyle w:val="Footnoteheading"/>
      </w:pPr>
      <w:r>
        <w:tab/>
        <w:t>[Heading inserted by No. 38 of 2007 s. 169.]</w:t>
      </w:r>
    </w:p>
    <w:p>
      <w:pPr>
        <w:pStyle w:val="Heading3"/>
      </w:pPr>
      <w:bookmarkStart w:id="79" w:name="_Toc473107399"/>
      <w:bookmarkStart w:id="80" w:name="_Toc471909206"/>
      <w:bookmarkStart w:id="81" w:name="_Toc472004314"/>
      <w:r>
        <w:rPr>
          <w:rStyle w:val="CharDivNo"/>
        </w:rPr>
        <w:t>Division 1</w:t>
      </w:r>
      <w:r>
        <w:t> — </w:t>
      </w:r>
      <w:r>
        <w:rPr>
          <w:rStyle w:val="CharDivText"/>
        </w:rPr>
        <w:t>By</w:t>
      </w:r>
      <w:r>
        <w:rPr>
          <w:rStyle w:val="CharDivText"/>
        </w:rPr>
        <w:noBreakHyphen/>
        <w:t>laws</w:t>
      </w:r>
      <w:bookmarkEnd w:id="79"/>
      <w:bookmarkEnd w:id="80"/>
      <w:bookmarkEnd w:id="81"/>
    </w:p>
    <w:p>
      <w:pPr>
        <w:pStyle w:val="Footnoteheading"/>
      </w:pPr>
      <w:r>
        <w:tab/>
        <w:t>[Heading inserted by No. 38 of 2007 s. 169.]</w:t>
      </w:r>
    </w:p>
    <w:p>
      <w:pPr>
        <w:pStyle w:val="Heading5"/>
      </w:pPr>
      <w:bookmarkStart w:id="82" w:name="_Toc473107400"/>
      <w:bookmarkStart w:id="83" w:name="_Toc472004315"/>
      <w:r>
        <w:rPr>
          <w:rStyle w:val="CharSectno"/>
        </w:rPr>
        <w:t>54</w:t>
      </w:r>
      <w:r>
        <w:t>.</w:t>
      </w:r>
      <w:r>
        <w:tab/>
        <w:t>By</w:t>
      </w:r>
      <w:r>
        <w:noBreakHyphen/>
        <w:t>laws</w:t>
      </w:r>
      <w:bookmarkEnd w:id="82"/>
      <w:bookmarkEnd w:id="83"/>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by No. 38 of 2007 s. 170.]</w:t>
      </w:r>
    </w:p>
    <w:p>
      <w:pPr>
        <w:pStyle w:val="Heading5"/>
        <w:rPr>
          <w:snapToGrid w:val="0"/>
        </w:rPr>
      </w:pPr>
      <w:bookmarkStart w:id="84" w:name="_Toc473107401"/>
      <w:bookmarkStart w:id="85" w:name="_Toc472004316"/>
      <w:r>
        <w:rPr>
          <w:rStyle w:val="CharSectno"/>
        </w:rPr>
        <w:t>55</w:t>
      </w:r>
      <w:r>
        <w:rPr>
          <w:snapToGrid w:val="0"/>
        </w:rPr>
        <w:t>.</w:t>
      </w:r>
      <w:r>
        <w:rPr>
          <w:snapToGrid w:val="0"/>
        </w:rPr>
        <w:tab/>
        <w:t>General provisions relating to by</w:t>
      </w:r>
      <w:r>
        <w:rPr>
          <w:snapToGrid w:val="0"/>
        </w:rPr>
        <w:noBreakHyphen/>
        <w:t>laws</w:t>
      </w:r>
      <w:bookmarkEnd w:id="84"/>
      <w:bookmarkEnd w:id="85"/>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86" w:name="_Toc473107402"/>
      <w:bookmarkStart w:id="87" w:name="_Toc472004317"/>
      <w:r>
        <w:rPr>
          <w:rStyle w:val="CharSectno"/>
        </w:rPr>
        <w:t>56</w:t>
      </w:r>
      <w:r>
        <w:rPr>
          <w:snapToGrid w:val="0"/>
        </w:rPr>
        <w:t>.</w:t>
      </w:r>
      <w:r>
        <w:rPr>
          <w:snapToGrid w:val="0"/>
        </w:rPr>
        <w:tab/>
        <w:t>Local laws</w:t>
      </w:r>
      <w:bookmarkEnd w:id="86"/>
      <w:bookmarkEnd w:id="87"/>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No. 38 of 2007 s. 171.] </w:t>
      </w:r>
    </w:p>
    <w:p>
      <w:pPr>
        <w:pStyle w:val="Heading5"/>
        <w:spacing w:before="240"/>
        <w:rPr>
          <w:snapToGrid w:val="0"/>
        </w:rPr>
      </w:pPr>
      <w:bookmarkStart w:id="88" w:name="_Toc473107403"/>
      <w:bookmarkStart w:id="89" w:name="_Toc472004318"/>
      <w:r>
        <w:rPr>
          <w:rStyle w:val="CharSectno"/>
        </w:rPr>
        <w:t>57</w:t>
      </w:r>
      <w:r>
        <w:rPr>
          <w:snapToGrid w:val="0"/>
        </w:rPr>
        <w:t>.</w:t>
      </w:r>
      <w:r>
        <w:rPr>
          <w:snapToGrid w:val="0"/>
        </w:rPr>
        <w:tab/>
        <w:t>Inconsistency of by</w:t>
      </w:r>
      <w:r>
        <w:rPr>
          <w:snapToGrid w:val="0"/>
        </w:rPr>
        <w:noBreakHyphen/>
        <w:t>laws with regulations</w:t>
      </w:r>
      <w:bookmarkEnd w:id="88"/>
      <w:bookmarkEnd w:id="89"/>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by No. 14 of 1996 s. 4; No. 38 of 2007 s. 172.] </w:t>
      </w:r>
    </w:p>
    <w:p>
      <w:pPr>
        <w:pStyle w:val="Ednotesection"/>
      </w:pPr>
      <w:r>
        <w:t>[</w:t>
      </w:r>
      <w:r>
        <w:rPr>
          <w:b/>
          <w:bCs/>
        </w:rPr>
        <w:t>58, 59.</w:t>
      </w:r>
      <w:r>
        <w:rPr>
          <w:b/>
          <w:bCs/>
        </w:rPr>
        <w:tab/>
      </w:r>
      <w:r>
        <w:t>Deleted by No. 38 of 2007 s. 173.]</w:t>
      </w:r>
    </w:p>
    <w:p>
      <w:pPr>
        <w:pStyle w:val="Ednotesection"/>
      </w:pPr>
      <w:r>
        <w:t>[</w:t>
      </w:r>
      <w:r>
        <w:rPr>
          <w:b/>
        </w:rPr>
        <w:t>60.</w:t>
      </w:r>
      <w:r>
        <w:tab/>
        <w:t xml:space="preserve">Deleted by No. 21 of 1988 s. 31.] </w:t>
      </w:r>
    </w:p>
    <w:p>
      <w:pPr>
        <w:pStyle w:val="Heading3"/>
      </w:pPr>
      <w:bookmarkStart w:id="90" w:name="_Toc473107404"/>
      <w:bookmarkStart w:id="91" w:name="_Toc471909211"/>
      <w:bookmarkStart w:id="92" w:name="_Toc472004319"/>
      <w:r>
        <w:rPr>
          <w:rStyle w:val="CharDivNo"/>
        </w:rPr>
        <w:t>Division 2</w:t>
      </w:r>
      <w:r>
        <w:t> — </w:t>
      </w:r>
      <w:r>
        <w:rPr>
          <w:rStyle w:val="CharDivText"/>
        </w:rPr>
        <w:t>Enforcement provisions</w:t>
      </w:r>
      <w:bookmarkEnd w:id="90"/>
      <w:bookmarkEnd w:id="91"/>
      <w:bookmarkEnd w:id="92"/>
    </w:p>
    <w:p>
      <w:pPr>
        <w:pStyle w:val="Footnoteheading"/>
      </w:pPr>
      <w:r>
        <w:rPr>
          <w:rStyle w:val="CharSectno"/>
        </w:rPr>
        <w:tab/>
        <w:t>[Heading inserted by No. 38 of 2007 s. 174.]</w:t>
      </w:r>
    </w:p>
    <w:p>
      <w:pPr>
        <w:pStyle w:val="Heading5"/>
        <w:rPr>
          <w:snapToGrid w:val="0"/>
        </w:rPr>
      </w:pPr>
      <w:bookmarkStart w:id="93" w:name="_Toc473107405"/>
      <w:bookmarkStart w:id="94" w:name="_Toc472004320"/>
      <w:r>
        <w:rPr>
          <w:rStyle w:val="CharSectno"/>
        </w:rPr>
        <w:t>61</w:t>
      </w:r>
      <w:r>
        <w:rPr>
          <w:snapToGrid w:val="0"/>
        </w:rPr>
        <w:t>.</w:t>
      </w:r>
      <w:r>
        <w:rPr>
          <w:snapToGrid w:val="0"/>
        </w:rPr>
        <w:tab/>
        <w:t>Inspectors</w:t>
      </w:r>
      <w:bookmarkEnd w:id="93"/>
      <w:bookmarkEnd w:id="94"/>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No. 38 of 2007 s. 175.] </w:t>
      </w:r>
    </w:p>
    <w:p>
      <w:pPr>
        <w:pStyle w:val="Heading5"/>
        <w:keepNext w:val="0"/>
        <w:keepLines w:val="0"/>
        <w:pageBreakBefore/>
        <w:widowControl w:val="0"/>
        <w:spacing w:before="120"/>
        <w:rPr>
          <w:snapToGrid w:val="0"/>
        </w:rPr>
      </w:pPr>
      <w:bookmarkStart w:id="95" w:name="_Toc473107406"/>
      <w:bookmarkStart w:id="96" w:name="_Toc472004321"/>
      <w:r>
        <w:rPr>
          <w:rStyle w:val="CharSectno"/>
        </w:rPr>
        <w:t>62</w:t>
      </w:r>
      <w:r>
        <w:rPr>
          <w:snapToGrid w:val="0"/>
        </w:rPr>
        <w:t>.</w:t>
      </w:r>
      <w:r>
        <w:rPr>
          <w:snapToGrid w:val="0"/>
        </w:rPr>
        <w:tab/>
        <w:t>Honorary wardens</w:t>
      </w:r>
      <w:bookmarkEnd w:id="95"/>
      <w:bookmarkEnd w:id="96"/>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No. 52 of 2006 s. 6; No. 38 of 2007 s. 176.] </w:t>
      </w:r>
    </w:p>
    <w:p>
      <w:pPr>
        <w:pStyle w:val="Heading5"/>
        <w:spacing w:before="240"/>
        <w:rPr>
          <w:snapToGrid w:val="0"/>
        </w:rPr>
      </w:pPr>
      <w:bookmarkStart w:id="97" w:name="_Toc473107407"/>
      <w:bookmarkStart w:id="98" w:name="_Toc472004322"/>
      <w:r>
        <w:rPr>
          <w:rStyle w:val="CharSectno"/>
        </w:rPr>
        <w:t>63</w:t>
      </w:r>
      <w:r>
        <w:rPr>
          <w:snapToGrid w:val="0"/>
        </w:rPr>
        <w:t>.</w:t>
      </w:r>
      <w:r>
        <w:rPr>
          <w:snapToGrid w:val="0"/>
        </w:rPr>
        <w:tab/>
        <w:t>Powers of inspectors etc.</w:t>
      </w:r>
      <w:bookmarkEnd w:id="97"/>
      <w:bookmarkEnd w:id="98"/>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Sch. 2 cl. 6; No. 38 of 2007 s. 177.]</w:t>
      </w:r>
    </w:p>
    <w:p>
      <w:pPr>
        <w:pStyle w:val="Heading5"/>
        <w:keepNext w:val="0"/>
        <w:keepLines w:val="0"/>
        <w:pageBreakBefore/>
        <w:spacing w:before="120"/>
        <w:rPr>
          <w:snapToGrid w:val="0"/>
        </w:rPr>
      </w:pPr>
      <w:bookmarkStart w:id="99" w:name="_Toc473107408"/>
      <w:bookmarkStart w:id="100" w:name="_Toc472004323"/>
      <w:r>
        <w:rPr>
          <w:rStyle w:val="CharSectno"/>
        </w:rPr>
        <w:t>64</w:t>
      </w:r>
      <w:r>
        <w:rPr>
          <w:snapToGrid w:val="0"/>
        </w:rPr>
        <w:t>.</w:t>
      </w:r>
      <w:r>
        <w:rPr>
          <w:snapToGrid w:val="0"/>
        </w:rPr>
        <w:tab/>
        <w:t>Duty of police officers etc.</w:t>
      </w:r>
      <w:bookmarkEnd w:id="99"/>
      <w:bookmarkEnd w:id="100"/>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by No. 38 of 2007 s. 178.]</w:t>
      </w:r>
    </w:p>
    <w:p>
      <w:pPr>
        <w:pStyle w:val="Heading5"/>
        <w:rPr>
          <w:snapToGrid w:val="0"/>
        </w:rPr>
      </w:pPr>
      <w:bookmarkStart w:id="101" w:name="_Toc473107409"/>
      <w:bookmarkStart w:id="102" w:name="_Toc472004324"/>
      <w:r>
        <w:rPr>
          <w:rStyle w:val="CharSectno"/>
        </w:rPr>
        <w:t>65</w:t>
      </w:r>
      <w:r>
        <w:rPr>
          <w:snapToGrid w:val="0"/>
        </w:rPr>
        <w:t>.</w:t>
      </w:r>
      <w:r>
        <w:rPr>
          <w:snapToGrid w:val="0"/>
        </w:rPr>
        <w:tab/>
        <w:t>Persons obstructing execution of this Act</w:t>
      </w:r>
      <w:bookmarkEnd w:id="101"/>
      <w:bookmarkEnd w:id="102"/>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by No. 38 of 2007 s. 179.]</w:t>
      </w:r>
    </w:p>
    <w:p>
      <w:pPr>
        <w:pStyle w:val="Heading3"/>
      </w:pPr>
      <w:bookmarkStart w:id="103" w:name="_Toc473107410"/>
      <w:bookmarkStart w:id="104" w:name="_Toc471909217"/>
      <w:bookmarkStart w:id="105" w:name="_Toc472004325"/>
      <w:r>
        <w:rPr>
          <w:rStyle w:val="CharDivNo"/>
        </w:rPr>
        <w:t>Division 3</w:t>
      </w:r>
      <w:r>
        <w:t> — </w:t>
      </w:r>
      <w:r>
        <w:rPr>
          <w:rStyle w:val="CharDivText"/>
        </w:rPr>
        <w:t>General offence and procedural provisions</w:t>
      </w:r>
      <w:bookmarkEnd w:id="103"/>
      <w:bookmarkEnd w:id="104"/>
      <w:bookmarkEnd w:id="105"/>
    </w:p>
    <w:p>
      <w:pPr>
        <w:pStyle w:val="Footnoteheading"/>
      </w:pPr>
      <w:r>
        <w:tab/>
        <w:t>[Heading inserted by No. 38 of 2007 s. 180.]</w:t>
      </w:r>
    </w:p>
    <w:p>
      <w:pPr>
        <w:pStyle w:val="Heading5"/>
        <w:rPr>
          <w:snapToGrid w:val="0"/>
        </w:rPr>
      </w:pPr>
      <w:bookmarkStart w:id="106" w:name="_Toc473107411"/>
      <w:bookmarkStart w:id="107" w:name="_Toc472004326"/>
      <w:r>
        <w:rPr>
          <w:rStyle w:val="CharSectno"/>
        </w:rPr>
        <w:t>68</w:t>
      </w:r>
      <w:r>
        <w:rPr>
          <w:snapToGrid w:val="0"/>
        </w:rPr>
        <w:t>.</w:t>
      </w:r>
      <w:r>
        <w:rPr>
          <w:snapToGrid w:val="0"/>
        </w:rPr>
        <w:tab/>
        <w:t>Prosecution expenses</w:t>
      </w:r>
      <w:bookmarkEnd w:id="106"/>
      <w:bookmarkEnd w:id="107"/>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08" w:name="_Toc473107412"/>
      <w:bookmarkStart w:id="109" w:name="_Toc472004327"/>
      <w:r>
        <w:rPr>
          <w:rStyle w:val="CharSectno"/>
        </w:rPr>
        <w:t>69</w:t>
      </w:r>
      <w:r>
        <w:rPr>
          <w:snapToGrid w:val="0"/>
        </w:rPr>
        <w:t>.</w:t>
      </w:r>
      <w:r>
        <w:rPr>
          <w:snapToGrid w:val="0"/>
        </w:rPr>
        <w:tab/>
        <w:t>Offences generally</w:t>
      </w:r>
      <w:bookmarkEnd w:id="108"/>
      <w:bookmarkEnd w:id="109"/>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by No. 38 of 2007 s. 181.]</w:t>
      </w:r>
    </w:p>
    <w:p>
      <w:pPr>
        <w:pStyle w:val="Heading5"/>
        <w:rPr>
          <w:snapToGrid w:val="0"/>
        </w:rPr>
      </w:pPr>
      <w:bookmarkStart w:id="110" w:name="_Toc473107413"/>
      <w:bookmarkStart w:id="111" w:name="_Toc472004328"/>
      <w:r>
        <w:rPr>
          <w:rStyle w:val="CharSectno"/>
        </w:rPr>
        <w:t>70</w:t>
      </w:r>
      <w:r>
        <w:rPr>
          <w:snapToGrid w:val="0"/>
        </w:rPr>
        <w:t>.</w:t>
      </w:r>
      <w:r>
        <w:rPr>
          <w:snapToGrid w:val="0"/>
        </w:rPr>
        <w:tab/>
        <w:t>General penalty</w:t>
      </w:r>
      <w:bookmarkEnd w:id="110"/>
      <w:bookmarkEnd w:id="111"/>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12" w:name="_Toc473107414"/>
      <w:bookmarkStart w:id="113" w:name="_Toc472004329"/>
      <w:r>
        <w:rPr>
          <w:rStyle w:val="CharSectno"/>
        </w:rPr>
        <w:t>71</w:t>
      </w:r>
      <w:r>
        <w:rPr>
          <w:snapToGrid w:val="0"/>
        </w:rPr>
        <w:t>.</w:t>
      </w:r>
      <w:r>
        <w:rPr>
          <w:snapToGrid w:val="0"/>
        </w:rPr>
        <w:tab/>
        <w:t>Proceedings</w:t>
      </w:r>
      <w:bookmarkEnd w:id="112"/>
      <w:bookmarkEnd w:id="113"/>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 No. 38 of 2007 s. 182.]</w:t>
      </w:r>
    </w:p>
    <w:p>
      <w:pPr>
        <w:pStyle w:val="Heading5"/>
        <w:rPr>
          <w:snapToGrid w:val="0"/>
        </w:rPr>
      </w:pPr>
      <w:bookmarkStart w:id="114" w:name="_Toc473107415"/>
      <w:bookmarkStart w:id="115" w:name="_Toc472004330"/>
      <w:r>
        <w:rPr>
          <w:rStyle w:val="CharSectno"/>
        </w:rPr>
        <w:t>72</w:t>
      </w:r>
      <w:r>
        <w:rPr>
          <w:snapToGrid w:val="0"/>
        </w:rPr>
        <w:t>.</w:t>
      </w:r>
      <w:r>
        <w:rPr>
          <w:snapToGrid w:val="0"/>
        </w:rPr>
        <w:tab/>
        <w:t>Liability for the acts of others etc.</w:t>
      </w:r>
      <w:bookmarkEnd w:id="114"/>
      <w:bookmarkEnd w:id="115"/>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116" w:name="_Toc473107416"/>
      <w:bookmarkStart w:id="117" w:name="_Toc472004331"/>
      <w:r>
        <w:rPr>
          <w:rStyle w:val="CharSectno"/>
        </w:rPr>
        <w:t>73</w:t>
      </w:r>
      <w:r>
        <w:rPr>
          <w:snapToGrid w:val="0"/>
        </w:rPr>
        <w:t>.</w:t>
      </w:r>
      <w:r>
        <w:rPr>
          <w:snapToGrid w:val="0"/>
        </w:rPr>
        <w:tab/>
        <w:t>Offences by bodies corporate</w:t>
      </w:r>
      <w:bookmarkEnd w:id="116"/>
      <w:bookmarkEnd w:id="117"/>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118" w:name="_Toc473107417"/>
      <w:bookmarkStart w:id="119" w:name="_Toc472004332"/>
      <w:r>
        <w:rPr>
          <w:rStyle w:val="CharSectno"/>
        </w:rPr>
        <w:t>74</w:t>
      </w:r>
      <w:r>
        <w:rPr>
          <w:snapToGrid w:val="0"/>
        </w:rPr>
        <w:t>.</w:t>
      </w:r>
      <w:r>
        <w:rPr>
          <w:snapToGrid w:val="0"/>
        </w:rPr>
        <w:tab/>
        <w:t>Recovery of penalty and costs paid</w:t>
      </w:r>
      <w:bookmarkEnd w:id="118"/>
      <w:bookmarkEnd w:id="119"/>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120" w:name="_Toc473107418"/>
      <w:bookmarkStart w:id="121" w:name="_Toc472004333"/>
      <w:r>
        <w:rPr>
          <w:rStyle w:val="CharSectno"/>
        </w:rPr>
        <w:t>75</w:t>
      </w:r>
      <w:r>
        <w:rPr>
          <w:snapToGrid w:val="0"/>
        </w:rPr>
        <w:t>.</w:t>
      </w:r>
      <w:r>
        <w:rPr>
          <w:snapToGrid w:val="0"/>
        </w:rPr>
        <w:tab/>
        <w:t>Evidentiary provisions</w:t>
      </w:r>
      <w:bookmarkEnd w:id="120"/>
      <w:bookmarkEnd w:id="121"/>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by No. 73 of 1995 s. 186; No. 84 of 2004 s. 80; No. 38 of 2007 s. 183.] </w:t>
      </w:r>
    </w:p>
    <w:p>
      <w:pPr>
        <w:pStyle w:val="Heading3"/>
        <w:keepNext w:val="0"/>
        <w:pageBreakBefore/>
        <w:widowControl w:val="0"/>
        <w:spacing w:before="0"/>
      </w:pPr>
      <w:bookmarkStart w:id="122" w:name="_Toc473107419"/>
      <w:bookmarkStart w:id="123" w:name="_Toc471909226"/>
      <w:bookmarkStart w:id="124" w:name="_Toc472004334"/>
      <w:r>
        <w:rPr>
          <w:rStyle w:val="CharDivNo"/>
        </w:rPr>
        <w:t>Division 4</w:t>
      </w:r>
      <w:r>
        <w:t> — </w:t>
      </w:r>
      <w:r>
        <w:rPr>
          <w:rStyle w:val="CharDivText"/>
        </w:rPr>
        <w:t>Administrative provisions</w:t>
      </w:r>
      <w:bookmarkEnd w:id="122"/>
      <w:bookmarkEnd w:id="123"/>
      <w:bookmarkEnd w:id="124"/>
    </w:p>
    <w:p>
      <w:pPr>
        <w:pStyle w:val="Footnoteheading"/>
      </w:pPr>
      <w:r>
        <w:tab/>
        <w:t>[Heading inserted by No. 38 of 2007 s. 184.]</w:t>
      </w:r>
    </w:p>
    <w:p>
      <w:pPr>
        <w:pStyle w:val="Heading5"/>
      </w:pPr>
      <w:bookmarkStart w:id="125" w:name="_Toc473107420"/>
      <w:bookmarkStart w:id="126" w:name="_Toc472004335"/>
      <w:r>
        <w:rPr>
          <w:rStyle w:val="CharSectno"/>
        </w:rPr>
        <w:t>76</w:t>
      </w:r>
      <w:r>
        <w:t>.</w:t>
      </w:r>
      <w:r>
        <w:tab/>
        <w:t>Delegation by Minister</w:t>
      </w:r>
      <w:bookmarkEnd w:id="125"/>
      <w:bookmarkEnd w:id="126"/>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by No. 38 of 2007 s. 184.]</w:t>
      </w:r>
    </w:p>
    <w:p>
      <w:pPr>
        <w:pStyle w:val="Heading5"/>
      </w:pPr>
      <w:bookmarkStart w:id="127" w:name="_Toc473107421"/>
      <w:bookmarkStart w:id="128" w:name="_Toc472004336"/>
      <w:r>
        <w:rPr>
          <w:rStyle w:val="CharSectno"/>
        </w:rPr>
        <w:t>77</w:t>
      </w:r>
      <w:r>
        <w:t>.</w:t>
      </w:r>
      <w:r>
        <w:tab/>
        <w:t>Delegation by CEO</w:t>
      </w:r>
      <w:bookmarkEnd w:id="127"/>
      <w:bookmarkEnd w:id="128"/>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by No. 38 of 2007 s. 184.]</w:t>
      </w:r>
    </w:p>
    <w:p>
      <w:pPr>
        <w:pStyle w:val="Heading5"/>
      </w:pPr>
      <w:bookmarkStart w:id="129" w:name="_Toc473107422"/>
      <w:bookmarkStart w:id="130" w:name="_Toc472004337"/>
      <w:r>
        <w:rPr>
          <w:rStyle w:val="CharSectno"/>
        </w:rPr>
        <w:t>78</w:t>
      </w:r>
      <w:r>
        <w:t>.</w:t>
      </w:r>
      <w:r>
        <w:tab/>
        <w:t>Public consultation</w:t>
      </w:r>
      <w:bookmarkEnd w:id="129"/>
      <w:bookmarkEnd w:id="130"/>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by No. 38 of 2007 s. 184.]</w:t>
      </w:r>
    </w:p>
    <w:p>
      <w:pPr>
        <w:pStyle w:val="Heading5"/>
      </w:pPr>
      <w:bookmarkStart w:id="131" w:name="_Toc473107423"/>
      <w:bookmarkStart w:id="132" w:name="_Toc472004338"/>
      <w:r>
        <w:rPr>
          <w:rStyle w:val="CharSectno"/>
        </w:rPr>
        <w:t>79</w:t>
      </w:r>
      <w:r>
        <w:t>.</w:t>
      </w:r>
      <w:r>
        <w:tab/>
        <w:t>Information officially obtained to be confidential</w:t>
      </w:r>
      <w:bookmarkEnd w:id="131"/>
      <w:bookmarkEnd w:id="132"/>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by No. 38 of 2007 s. 184.]</w:t>
      </w:r>
    </w:p>
    <w:p>
      <w:pPr>
        <w:pStyle w:val="Heading5"/>
      </w:pPr>
      <w:bookmarkStart w:id="133" w:name="_Toc473107424"/>
      <w:bookmarkStart w:id="134" w:name="_Toc472004339"/>
      <w:r>
        <w:rPr>
          <w:rStyle w:val="CharSectno"/>
        </w:rPr>
        <w:t>80</w:t>
      </w:r>
      <w:r>
        <w:t>.</w:t>
      </w:r>
      <w:r>
        <w:tab/>
        <w:t>Annual reports</w:t>
      </w:r>
      <w:bookmarkEnd w:id="133"/>
      <w:bookmarkEnd w:id="134"/>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by No. 38 of 2007 s. 184.]</w:t>
      </w:r>
    </w:p>
    <w:p>
      <w:pPr>
        <w:pStyle w:val="Heading5"/>
        <w:spacing w:before="180"/>
      </w:pPr>
      <w:bookmarkStart w:id="135" w:name="_Toc473107425"/>
      <w:bookmarkStart w:id="136" w:name="_Toc472004340"/>
      <w:r>
        <w:rPr>
          <w:rStyle w:val="CharSectno"/>
        </w:rPr>
        <w:t>81</w:t>
      </w:r>
      <w:r>
        <w:t>.</w:t>
      </w:r>
      <w:r>
        <w:tab/>
        <w:t>Protection from liability for wrongdoing</w:t>
      </w:r>
      <w:bookmarkEnd w:id="135"/>
      <w:bookmarkEnd w:id="136"/>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by No. 38 of 2007 s. 184.]</w:t>
      </w:r>
    </w:p>
    <w:p>
      <w:pPr>
        <w:pStyle w:val="Heading5"/>
        <w:spacing w:before="180"/>
        <w:rPr>
          <w:snapToGrid w:val="0"/>
        </w:rPr>
      </w:pPr>
      <w:bookmarkStart w:id="137" w:name="_Toc473107426"/>
      <w:bookmarkStart w:id="138" w:name="_Toc472004341"/>
      <w:r>
        <w:rPr>
          <w:rStyle w:val="CharSectno"/>
        </w:rPr>
        <w:t>82</w:t>
      </w:r>
      <w:r>
        <w:rPr>
          <w:snapToGrid w:val="0"/>
        </w:rPr>
        <w:t>.</w:t>
      </w:r>
      <w:r>
        <w:rPr>
          <w:snapToGrid w:val="0"/>
        </w:rPr>
        <w:tab/>
        <w:t>Regulations</w:t>
      </w:r>
      <w:bookmarkEnd w:id="137"/>
      <w:bookmarkEnd w:id="138"/>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by No. 55 of 2004 s. 1307, </w:t>
      </w:r>
      <w:r>
        <w:rPr>
          <w:iCs/>
        </w:rPr>
        <w:t>renumbered as section 82</w:t>
      </w:r>
      <w:r>
        <w:t xml:space="preserve"> by No. 38 of 2007 s. 185; amended by No. 38 of 2007 s. 186.]</w:t>
      </w:r>
    </w:p>
    <w:p>
      <w:pPr>
        <w:pStyle w:val="yEdnoteschedule"/>
        <w:spacing w:before="120"/>
      </w:pPr>
      <w:r>
        <w:t>[Schedule deleted by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39" w:name="_Toc473107427"/>
      <w:bookmarkStart w:id="140" w:name="_Toc471909234"/>
      <w:bookmarkStart w:id="141" w:name="_Toc472004342"/>
      <w:r>
        <w:t>Notes</w:t>
      </w:r>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rPr>
        <w:t xml:space="preserve">Waterways Conservation Act 1976 </w:t>
      </w:r>
      <w:r>
        <w:rPr>
          <w:snapToGrid w:val="0"/>
        </w:rPr>
        <w:t>and includes the amendments made by the other written laws referred to in the following table</w:t>
      </w:r>
      <w:r>
        <w:rPr>
          <w:snapToGrid w:val="0"/>
          <w:vertAlign w:val="superscript"/>
        </w:rPr>
        <w:t> 1a</w:t>
      </w:r>
      <w:r>
        <w:rPr>
          <w:snapToGrid w:val="0"/>
        </w:rPr>
        <w:t>, </w:t>
      </w:r>
      <w:r>
        <w:rPr>
          <w:snapToGrid w:val="0"/>
          <w:vertAlign w:val="superscript"/>
        </w:rPr>
        <w:t>5</w:t>
      </w:r>
      <w:r>
        <w:rPr>
          <w:snapToGrid w:val="0"/>
        </w:rPr>
        <w:t>.  The table also contains information about any reprint.</w:t>
      </w:r>
    </w:p>
    <w:p>
      <w:pPr>
        <w:pStyle w:val="nHeading3"/>
        <w:rPr>
          <w:snapToGrid w:val="0"/>
        </w:rPr>
      </w:pPr>
      <w:bookmarkStart w:id="142" w:name="_Toc473107428"/>
      <w:bookmarkStart w:id="143" w:name="_Toc472004343"/>
      <w:r>
        <w:rPr>
          <w:snapToGrid w:val="0"/>
        </w:rPr>
        <w:t>Compilation table</w:t>
      </w:r>
      <w:bookmarkEnd w:id="142"/>
      <w:bookmarkEnd w:id="143"/>
    </w:p>
    <w:tbl>
      <w:tblPr>
        <w:tblW w:w="7089" w:type="dxa"/>
        <w:tblInd w:w="27" w:type="dxa"/>
        <w:tblLayout w:type="fixed"/>
        <w:tblCellMar>
          <w:left w:w="56" w:type="dxa"/>
          <w:right w:w="56" w:type="dxa"/>
        </w:tblCellMar>
        <w:tblLook w:val="0000" w:firstRow="0" w:lastRow="0" w:firstColumn="0" w:lastColumn="0" w:noHBand="0" w:noVBand="0"/>
      </w:tblPr>
      <w:tblGrid>
        <w:gridCol w:w="2268"/>
        <w:gridCol w:w="1093"/>
        <w:gridCol w:w="41"/>
        <w:gridCol w:w="1082"/>
        <w:gridCol w:w="79"/>
        <w:gridCol w:w="2526"/>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2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pPr>
            <w:r>
              <w:rPr>
                <w:i/>
              </w:rPr>
              <w:t>Waterways Conservation Act 1976</w:t>
            </w:r>
          </w:p>
        </w:tc>
        <w:tc>
          <w:tcPr>
            <w:tcW w:w="1134" w:type="dxa"/>
            <w:gridSpan w:val="2"/>
          </w:tcPr>
          <w:p>
            <w:pPr>
              <w:pStyle w:val="nTable"/>
              <w:spacing w:after="40"/>
            </w:pPr>
            <w:r>
              <w:t>131 of 1976</w:t>
            </w:r>
          </w:p>
        </w:tc>
        <w:tc>
          <w:tcPr>
            <w:tcW w:w="1161" w:type="dxa"/>
            <w:gridSpan w:val="2"/>
          </w:tcPr>
          <w:p>
            <w:pPr>
              <w:pStyle w:val="nTable"/>
              <w:spacing w:after="40"/>
            </w:pPr>
            <w:r>
              <w:t>9 Dec 1976</w:t>
            </w:r>
          </w:p>
        </w:tc>
        <w:tc>
          <w:tcPr>
            <w:tcW w:w="2523"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9" w:type="dxa"/>
          </w:tcPr>
          <w:p>
            <w:pPr>
              <w:pStyle w:val="nTable"/>
              <w:spacing w:after="40"/>
            </w:pPr>
            <w:r>
              <w:rPr>
                <w:i/>
              </w:rPr>
              <w:t>Waterways Conservation Amendment Act 1980</w:t>
            </w:r>
          </w:p>
        </w:tc>
        <w:tc>
          <w:tcPr>
            <w:tcW w:w="1134" w:type="dxa"/>
            <w:gridSpan w:val="2"/>
          </w:tcPr>
          <w:p>
            <w:pPr>
              <w:pStyle w:val="nTable"/>
              <w:spacing w:after="40"/>
            </w:pPr>
            <w:r>
              <w:t>16 of 1980</w:t>
            </w:r>
          </w:p>
        </w:tc>
        <w:tc>
          <w:tcPr>
            <w:tcW w:w="1161" w:type="dxa"/>
            <w:gridSpan w:val="2"/>
          </w:tcPr>
          <w:p>
            <w:pPr>
              <w:pStyle w:val="nTable"/>
              <w:spacing w:after="40"/>
            </w:pPr>
            <w:r>
              <w:t>15 Oct 1980</w:t>
            </w:r>
          </w:p>
        </w:tc>
        <w:tc>
          <w:tcPr>
            <w:tcW w:w="2523" w:type="dxa"/>
          </w:tcPr>
          <w:p>
            <w:pPr>
              <w:pStyle w:val="nTable"/>
              <w:spacing w:after="40"/>
            </w:pPr>
            <w:r>
              <w:t>12 Nov 1980</w:t>
            </w:r>
          </w:p>
        </w:tc>
      </w:tr>
      <w:tr>
        <w:trPr>
          <w:cantSplit/>
        </w:trPr>
        <w:tc>
          <w:tcPr>
            <w:tcW w:w="2269" w:type="dxa"/>
          </w:tcPr>
          <w:p>
            <w:pPr>
              <w:pStyle w:val="nTable"/>
              <w:spacing w:after="40"/>
            </w:pPr>
            <w:r>
              <w:rPr>
                <w:i/>
              </w:rPr>
              <w:t>Waterways Conservation Amendment Act 1982</w:t>
            </w:r>
          </w:p>
        </w:tc>
        <w:tc>
          <w:tcPr>
            <w:tcW w:w="1134" w:type="dxa"/>
            <w:gridSpan w:val="2"/>
          </w:tcPr>
          <w:p>
            <w:pPr>
              <w:pStyle w:val="nTable"/>
              <w:spacing w:after="40"/>
            </w:pPr>
            <w:r>
              <w:t>97 of 1982</w:t>
            </w:r>
          </w:p>
        </w:tc>
        <w:tc>
          <w:tcPr>
            <w:tcW w:w="1161" w:type="dxa"/>
            <w:gridSpan w:val="2"/>
          </w:tcPr>
          <w:p>
            <w:pPr>
              <w:pStyle w:val="nTable"/>
              <w:spacing w:after="40"/>
            </w:pPr>
            <w:r>
              <w:t>22 Nov 1982</w:t>
            </w:r>
          </w:p>
        </w:tc>
        <w:tc>
          <w:tcPr>
            <w:tcW w:w="2523" w:type="dxa"/>
          </w:tcPr>
          <w:p>
            <w:pPr>
              <w:pStyle w:val="nTable"/>
              <w:spacing w:after="40"/>
            </w:pPr>
            <w:r>
              <w:t>22 Nov 1982</w:t>
            </w:r>
          </w:p>
        </w:tc>
      </w:tr>
      <w:tr>
        <w:trPr>
          <w:cantSplit/>
        </w:trPr>
        <w:tc>
          <w:tcPr>
            <w:tcW w:w="2269" w:type="dxa"/>
          </w:tcPr>
          <w:p>
            <w:pPr>
              <w:pStyle w:val="nTable"/>
              <w:spacing w:after="40"/>
            </w:pPr>
            <w:r>
              <w:rPr>
                <w:i/>
              </w:rPr>
              <w:t xml:space="preserve">Acts Amendment and Repeal (Disqualification for Parliament) Act 1984 </w:t>
            </w:r>
            <w:r>
              <w:t>s. 22</w:t>
            </w:r>
          </w:p>
        </w:tc>
        <w:tc>
          <w:tcPr>
            <w:tcW w:w="1134" w:type="dxa"/>
            <w:gridSpan w:val="2"/>
          </w:tcPr>
          <w:p>
            <w:pPr>
              <w:pStyle w:val="nTable"/>
              <w:spacing w:after="40"/>
            </w:pPr>
            <w:r>
              <w:t>78 of 1984</w:t>
            </w:r>
          </w:p>
        </w:tc>
        <w:tc>
          <w:tcPr>
            <w:tcW w:w="1161" w:type="dxa"/>
            <w:gridSpan w:val="2"/>
          </w:tcPr>
          <w:p>
            <w:pPr>
              <w:pStyle w:val="nTable"/>
              <w:spacing w:after="40"/>
            </w:pPr>
            <w:r>
              <w:t>14 Nov 1984</w:t>
            </w:r>
          </w:p>
        </w:tc>
        <w:tc>
          <w:tcPr>
            <w:tcW w:w="2523" w:type="dxa"/>
          </w:tcPr>
          <w:p>
            <w:pPr>
              <w:pStyle w:val="nTable"/>
              <w:spacing w:after="40"/>
            </w:pPr>
            <w:r>
              <w:t xml:space="preserve">1 Jul 1985 (see s. 2 and </w:t>
            </w:r>
            <w:r>
              <w:rPr>
                <w:i/>
              </w:rPr>
              <w:t xml:space="preserve">Gazette </w:t>
            </w:r>
            <w:r>
              <w:t>17 May 1985 p. 1671)</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gridSpan w:val="2"/>
          </w:tcPr>
          <w:p>
            <w:pPr>
              <w:pStyle w:val="nTable"/>
              <w:spacing w:after="40"/>
            </w:pPr>
            <w:r>
              <w:t>98 of 1985</w:t>
            </w:r>
          </w:p>
        </w:tc>
        <w:tc>
          <w:tcPr>
            <w:tcW w:w="1161" w:type="dxa"/>
            <w:gridSpan w:val="2"/>
          </w:tcPr>
          <w:p>
            <w:pPr>
              <w:pStyle w:val="nTable"/>
              <w:spacing w:after="40"/>
            </w:pPr>
            <w:r>
              <w:t>4 Dec 1985</w:t>
            </w:r>
          </w:p>
        </w:tc>
        <w:tc>
          <w:tcPr>
            <w:tcW w:w="2523"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pPr>
            <w:r>
              <w:rPr>
                <w:i/>
              </w:rPr>
              <w:t>Acts Amendment and Repeal (Environmental Protection) Act 1986</w:t>
            </w:r>
            <w:r>
              <w:t xml:space="preserve"> Pt. IX</w:t>
            </w:r>
          </w:p>
        </w:tc>
        <w:tc>
          <w:tcPr>
            <w:tcW w:w="1134" w:type="dxa"/>
            <w:gridSpan w:val="2"/>
          </w:tcPr>
          <w:p>
            <w:pPr>
              <w:pStyle w:val="nTable"/>
              <w:keepNext/>
              <w:spacing w:after="40"/>
            </w:pPr>
            <w:r>
              <w:t>77 of 1986</w:t>
            </w:r>
          </w:p>
        </w:tc>
        <w:tc>
          <w:tcPr>
            <w:tcW w:w="1161" w:type="dxa"/>
            <w:gridSpan w:val="2"/>
          </w:tcPr>
          <w:p>
            <w:pPr>
              <w:pStyle w:val="nTable"/>
              <w:keepNext/>
              <w:spacing w:after="40"/>
            </w:pPr>
            <w:r>
              <w:t>4 Dec 1986</w:t>
            </w:r>
          </w:p>
        </w:tc>
        <w:tc>
          <w:tcPr>
            <w:tcW w:w="2523" w:type="dxa"/>
          </w:tcPr>
          <w:p>
            <w:pPr>
              <w:pStyle w:val="nTable"/>
              <w:keepNext/>
              <w:spacing w:after="40"/>
            </w:pPr>
            <w:r>
              <w:t xml:space="preserve">20 Feb 1987 (see s. 2 and </w:t>
            </w:r>
            <w:r>
              <w:rPr>
                <w:i/>
              </w:rPr>
              <w:t>Gazette</w:t>
            </w:r>
            <w:r>
              <w:t xml:space="preserve"> 20 Feb 1987 p. 440)</w:t>
            </w:r>
          </w:p>
        </w:tc>
      </w:tr>
      <w:tr>
        <w:trPr>
          <w:cantSplit/>
        </w:trPr>
        <w:tc>
          <w:tcPr>
            <w:tcW w:w="2269" w:type="dxa"/>
          </w:tcPr>
          <w:p>
            <w:pPr>
              <w:pStyle w:val="nTable"/>
              <w:spacing w:after="40"/>
            </w:pPr>
            <w:r>
              <w:rPr>
                <w:i/>
              </w:rPr>
              <w:t xml:space="preserve">Acts Amendment (Public Service) Act 1987 </w:t>
            </w:r>
            <w:r>
              <w:t>s. 32</w:t>
            </w:r>
          </w:p>
        </w:tc>
        <w:tc>
          <w:tcPr>
            <w:tcW w:w="1134" w:type="dxa"/>
            <w:gridSpan w:val="2"/>
          </w:tcPr>
          <w:p>
            <w:pPr>
              <w:pStyle w:val="nTable"/>
              <w:spacing w:after="40"/>
            </w:pPr>
            <w:r>
              <w:t>113 of 1987</w:t>
            </w:r>
          </w:p>
        </w:tc>
        <w:tc>
          <w:tcPr>
            <w:tcW w:w="1161" w:type="dxa"/>
            <w:gridSpan w:val="2"/>
          </w:tcPr>
          <w:p>
            <w:pPr>
              <w:pStyle w:val="nTable"/>
              <w:spacing w:after="40"/>
            </w:pPr>
            <w:r>
              <w:t>31 Dec 1987</w:t>
            </w:r>
          </w:p>
        </w:tc>
        <w:tc>
          <w:tcPr>
            <w:tcW w:w="2523" w:type="dxa"/>
          </w:tcPr>
          <w:p>
            <w:pPr>
              <w:pStyle w:val="nTable"/>
              <w:spacing w:after="40"/>
            </w:pPr>
            <w:r>
              <w:t xml:space="preserve">16 Mar 1988 (see s. 2 and </w:t>
            </w:r>
            <w:r>
              <w:rPr>
                <w:i/>
              </w:rPr>
              <w:t xml:space="preserve">Gazette </w:t>
            </w:r>
            <w:r>
              <w:t>16 Mar 1988 p. 813)</w:t>
            </w:r>
          </w:p>
        </w:tc>
      </w:tr>
      <w:tr>
        <w:trPr>
          <w:cantSplit/>
        </w:trPr>
        <w:tc>
          <w:tcPr>
            <w:tcW w:w="2269" w:type="dxa"/>
          </w:tcPr>
          <w:p>
            <w:pPr>
              <w:pStyle w:val="nTable"/>
              <w:spacing w:after="40"/>
            </w:pPr>
            <w:r>
              <w:rPr>
                <w:i/>
              </w:rPr>
              <w:t>Acts Amendment (Swan River Trust) Act 1988</w:t>
            </w:r>
            <w:r>
              <w:t xml:space="preserve"> Pt. 10</w:t>
            </w:r>
          </w:p>
        </w:tc>
        <w:tc>
          <w:tcPr>
            <w:tcW w:w="1134" w:type="dxa"/>
            <w:gridSpan w:val="2"/>
          </w:tcPr>
          <w:p>
            <w:pPr>
              <w:pStyle w:val="nTable"/>
              <w:spacing w:after="40"/>
            </w:pPr>
            <w:r>
              <w:t>21 of 1988</w:t>
            </w:r>
          </w:p>
        </w:tc>
        <w:tc>
          <w:tcPr>
            <w:tcW w:w="1161" w:type="dxa"/>
            <w:gridSpan w:val="2"/>
          </w:tcPr>
          <w:p>
            <w:pPr>
              <w:pStyle w:val="nTable"/>
              <w:spacing w:after="40"/>
            </w:pPr>
            <w:r>
              <w:t>5 Oct 1988</w:t>
            </w:r>
          </w:p>
        </w:tc>
        <w:tc>
          <w:tcPr>
            <w:tcW w:w="2523" w:type="dxa"/>
          </w:tcPr>
          <w:p>
            <w:pPr>
              <w:pStyle w:val="nTable"/>
              <w:spacing w:after="40"/>
            </w:pPr>
            <w:r>
              <w:t xml:space="preserve">1 Mar 1989 (see s. 2 and </w:t>
            </w:r>
            <w:r>
              <w:rPr>
                <w:i/>
              </w:rPr>
              <w:t xml:space="preserve">Gazette </w:t>
            </w:r>
            <w:r>
              <w:t>27 Jan 1989 p. 264)</w:t>
            </w:r>
          </w:p>
        </w:tc>
      </w:tr>
      <w:tr>
        <w:trPr>
          <w:cantSplit/>
        </w:trPr>
        <w:tc>
          <w:tcPr>
            <w:tcW w:w="2269" w:type="dxa"/>
          </w:tcPr>
          <w:p>
            <w:pPr>
              <w:pStyle w:val="nTable"/>
              <w:spacing w:after="40"/>
            </w:pPr>
            <w:r>
              <w:rPr>
                <w:i/>
              </w:rPr>
              <w:t xml:space="preserve">Guardianship and Administration Act 1990 </w:t>
            </w:r>
            <w:r>
              <w:t>s. 123</w:t>
            </w:r>
          </w:p>
        </w:tc>
        <w:tc>
          <w:tcPr>
            <w:tcW w:w="1134" w:type="dxa"/>
            <w:gridSpan w:val="2"/>
          </w:tcPr>
          <w:p>
            <w:pPr>
              <w:pStyle w:val="nTable"/>
              <w:spacing w:after="40"/>
            </w:pPr>
            <w:r>
              <w:t>24 of 1990</w:t>
            </w:r>
          </w:p>
        </w:tc>
        <w:tc>
          <w:tcPr>
            <w:tcW w:w="1161" w:type="dxa"/>
            <w:gridSpan w:val="2"/>
          </w:tcPr>
          <w:p>
            <w:pPr>
              <w:pStyle w:val="nTable"/>
              <w:spacing w:after="40"/>
            </w:pPr>
            <w:r>
              <w:t>7 Sep 1990</w:t>
            </w:r>
          </w:p>
        </w:tc>
        <w:tc>
          <w:tcPr>
            <w:tcW w:w="2523" w:type="dxa"/>
          </w:tcPr>
          <w:p>
            <w:pPr>
              <w:pStyle w:val="nTable"/>
              <w:spacing w:after="40"/>
            </w:pPr>
            <w:r>
              <w:t xml:space="preserve">20 Oct 1992 (see s. 2 and </w:t>
            </w:r>
            <w:r>
              <w:rPr>
                <w:i/>
              </w:rPr>
              <w:t xml:space="preserve">Gazette </w:t>
            </w:r>
            <w:r>
              <w:t>2 Oct 1992 p. 4811)</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61" w:type="dxa"/>
            <w:gridSpan w:val="2"/>
          </w:tcPr>
          <w:p>
            <w:pPr>
              <w:pStyle w:val="nTable"/>
              <w:spacing w:after="40"/>
            </w:pPr>
            <w:r>
              <w:t>27 Aug 1993</w:t>
            </w:r>
          </w:p>
        </w:tc>
        <w:tc>
          <w:tcPr>
            <w:tcW w:w="2523"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61" w:type="dxa"/>
            <w:gridSpan w:val="2"/>
          </w:tcPr>
          <w:p>
            <w:pPr>
              <w:pStyle w:val="nTable"/>
              <w:spacing w:after="40"/>
            </w:pPr>
            <w:r>
              <w:t>29 Jun 1994</w:t>
            </w:r>
          </w:p>
        </w:tc>
        <w:tc>
          <w:tcPr>
            <w:tcW w:w="2523" w:type="dxa"/>
          </w:tcPr>
          <w:p>
            <w:pPr>
              <w:pStyle w:val="nTable"/>
              <w:spacing w:after="40"/>
            </w:pPr>
            <w:r>
              <w:t xml:space="preserve">1 Oct 1994 (see s. 2 and </w:t>
            </w:r>
            <w:r>
              <w:rPr>
                <w:i/>
              </w:rPr>
              <w:t xml:space="preserve">Gazette </w:t>
            </w:r>
            <w:r>
              <w:t>30 Sep 1994 p. 4948)</w:t>
            </w:r>
          </w:p>
        </w:tc>
      </w:tr>
      <w:tr>
        <w:trPr>
          <w:cantSplit/>
        </w:trPr>
        <w:tc>
          <w:tcPr>
            <w:tcW w:w="2269" w:type="dxa"/>
          </w:tcPr>
          <w:p>
            <w:pPr>
              <w:pStyle w:val="nTable"/>
              <w:spacing w:after="40"/>
            </w:pPr>
            <w:r>
              <w:rPr>
                <w:i/>
              </w:rPr>
              <w:t xml:space="preserve">Fish Resources Management Act 1994 </w:t>
            </w:r>
            <w:r>
              <w:t>s. 264</w:t>
            </w:r>
          </w:p>
        </w:tc>
        <w:tc>
          <w:tcPr>
            <w:tcW w:w="1134" w:type="dxa"/>
            <w:gridSpan w:val="2"/>
          </w:tcPr>
          <w:p>
            <w:pPr>
              <w:pStyle w:val="nTable"/>
              <w:spacing w:after="40"/>
            </w:pPr>
            <w:r>
              <w:t>53 of 1994</w:t>
            </w:r>
          </w:p>
        </w:tc>
        <w:tc>
          <w:tcPr>
            <w:tcW w:w="1161" w:type="dxa"/>
            <w:gridSpan w:val="2"/>
          </w:tcPr>
          <w:p>
            <w:pPr>
              <w:pStyle w:val="nTable"/>
              <w:spacing w:after="40"/>
            </w:pPr>
            <w:r>
              <w:t>2 Nov 1994</w:t>
            </w:r>
          </w:p>
        </w:tc>
        <w:tc>
          <w:tcPr>
            <w:tcW w:w="2523" w:type="dxa"/>
          </w:tcPr>
          <w:p>
            <w:pPr>
              <w:pStyle w:val="nTable"/>
              <w:spacing w:after="40"/>
            </w:pPr>
            <w:r>
              <w:t xml:space="preserve">1 Oct 1995 (see s. 2 and </w:t>
            </w:r>
            <w:r>
              <w:rPr>
                <w:i/>
              </w:rPr>
              <w:t xml:space="preserve">Gazette </w:t>
            </w:r>
            <w:r>
              <w:t>29 Sep 1995 p. 4649)</w:t>
            </w:r>
          </w:p>
        </w:tc>
      </w:tr>
      <w:tr>
        <w:trPr>
          <w:cantSplit/>
        </w:trPr>
        <w:tc>
          <w:tcPr>
            <w:tcW w:w="2269" w:type="dxa"/>
          </w:tcPr>
          <w:p>
            <w:pPr>
              <w:pStyle w:val="nTable"/>
              <w:spacing w:after="40"/>
            </w:pPr>
            <w:r>
              <w:rPr>
                <w:i/>
              </w:rPr>
              <w:t xml:space="preserve">Planning Legislation Amendment Act (No. 2) 1994 </w:t>
            </w:r>
            <w:r>
              <w:t>s. 46(13)</w:t>
            </w:r>
          </w:p>
        </w:tc>
        <w:tc>
          <w:tcPr>
            <w:tcW w:w="1134" w:type="dxa"/>
            <w:gridSpan w:val="2"/>
          </w:tcPr>
          <w:p>
            <w:pPr>
              <w:pStyle w:val="nTable"/>
              <w:spacing w:after="40"/>
            </w:pPr>
            <w:r>
              <w:t>84 of 1994</w:t>
            </w:r>
          </w:p>
        </w:tc>
        <w:tc>
          <w:tcPr>
            <w:tcW w:w="1161" w:type="dxa"/>
            <w:gridSpan w:val="2"/>
          </w:tcPr>
          <w:p>
            <w:pPr>
              <w:pStyle w:val="nTable"/>
              <w:spacing w:after="40"/>
            </w:pPr>
            <w:r>
              <w:t>13 Jan 1995</w:t>
            </w:r>
          </w:p>
        </w:tc>
        <w:tc>
          <w:tcPr>
            <w:tcW w:w="2523"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pPr>
            <w:r>
              <w:rPr>
                <w:i/>
              </w:rPr>
              <w:t xml:space="preserve">Industrial Legislation Amendment Act 1995 </w:t>
            </w:r>
            <w:r>
              <w:t>s. 35</w:t>
            </w:r>
          </w:p>
        </w:tc>
        <w:tc>
          <w:tcPr>
            <w:tcW w:w="1134" w:type="dxa"/>
            <w:gridSpan w:val="2"/>
          </w:tcPr>
          <w:p>
            <w:pPr>
              <w:pStyle w:val="nTable"/>
              <w:keepNext/>
              <w:spacing w:after="40"/>
            </w:pPr>
            <w:r>
              <w:t>1 of 1995</w:t>
            </w:r>
          </w:p>
        </w:tc>
        <w:tc>
          <w:tcPr>
            <w:tcW w:w="1161" w:type="dxa"/>
            <w:gridSpan w:val="2"/>
          </w:tcPr>
          <w:p>
            <w:pPr>
              <w:pStyle w:val="nTable"/>
              <w:keepNext/>
              <w:spacing w:after="40"/>
            </w:pPr>
            <w:r>
              <w:t>9 May 1995</w:t>
            </w:r>
          </w:p>
        </w:tc>
        <w:tc>
          <w:tcPr>
            <w:tcW w:w="2523" w:type="dxa"/>
          </w:tcPr>
          <w:p>
            <w:pPr>
              <w:pStyle w:val="nTable"/>
              <w:keepNext/>
              <w:spacing w:after="40"/>
            </w:pPr>
            <w:r>
              <w:t xml:space="preserve">1 Jan 1996 (see s. 2(2) and </w:t>
            </w:r>
            <w:r>
              <w:rPr>
                <w:i/>
              </w:rPr>
              <w:t>Gazette</w:t>
            </w:r>
            <w:r>
              <w:t xml:space="preserve"> 24 Nov 1995 p. 5389)</w:t>
            </w:r>
          </w:p>
        </w:tc>
      </w:tr>
      <w:tr>
        <w:trPr>
          <w:cantSplit/>
        </w:trPr>
        <w:tc>
          <w:tcPr>
            <w:tcW w:w="2269"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6</w:t>
            </w:r>
          </w:p>
        </w:tc>
        <w:tc>
          <w:tcPr>
            <w:tcW w:w="1134" w:type="dxa"/>
            <w:gridSpan w:val="2"/>
          </w:tcPr>
          <w:p>
            <w:pPr>
              <w:pStyle w:val="nTable"/>
              <w:keepNext/>
              <w:spacing w:after="40"/>
            </w:pPr>
            <w:r>
              <w:t>73 of 1995</w:t>
            </w:r>
          </w:p>
        </w:tc>
        <w:tc>
          <w:tcPr>
            <w:tcW w:w="1161" w:type="dxa"/>
            <w:gridSpan w:val="2"/>
          </w:tcPr>
          <w:p>
            <w:pPr>
              <w:pStyle w:val="nTable"/>
              <w:keepNext/>
              <w:spacing w:after="40"/>
            </w:pPr>
            <w:r>
              <w:t>27 Dec 1995</w:t>
            </w:r>
          </w:p>
        </w:tc>
        <w:tc>
          <w:tcPr>
            <w:tcW w:w="2523" w:type="dxa"/>
          </w:tcPr>
          <w:p>
            <w:pPr>
              <w:pStyle w:val="nTable"/>
              <w:keepNext/>
              <w:spacing w:after="40"/>
            </w:pPr>
            <w:r>
              <w:t xml:space="preserve">1 Jan 1996 (see s. 2(2) and </w:t>
            </w:r>
            <w:r>
              <w:rPr>
                <w:i/>
              </w:rPr>
              <w:t>Gazette</w:t>
            </w:r>
            <w:r>
              <w:t xml:space="preserve"> 29 Dec 1995 p. 6291)</w:t>
            </w:r>
          </w:p>
        </w:tc>
      </w:tr>
      <w:tr>
        <w:trPr>
          <w:cantSplit/>
        </w:trPr>
        <w:tc>
          <w:tcPr>
            <w:tcW w:w="2269" w:type="dxa"/>
          </w:tcPr>
          <w:p>
            <w:pPr>
              <w:pStyle w:val="nTable"/>
              <w:spacing w:after="40"/>
            </w:pPr>
            <w:r>
              <w:rPr>
                <w:i/>
              </w:rPr>
              <w:t xml:space="preserve">Sentencing (Consequential Provisions) Act 1995 </w:t>
            </w:r>
            <w:r>
              <w:t>Pt. 82</w:t>
            </w:r>
          </w:p>
        </w:tc>
        <w:tc>
          <w:tcPr>
            <w:tcW w:w="1134" w:type="dxa"/>
            <w:gridSpan w:val="2"/>
          </w:tcPr>
          <w:p>
            <w:pPr>
              <w:pStyle w:val="nTable"/>
              <w:spacing w:after="40"/>
            </w:pPr>
            <w:r>
              <w:t>78 of 1995</w:t>
            </w:r>
          </w:p>
        </w:tc>
        <w:tc>
          <w:tcPr>
            <w:tcW w:w="1161" w:type="dxa"/>
            <w:gridSpan w:val="2"/>
          </w:tcPr>
          <w:p>
            <w:pPr>
              <w:pStyle w:val="nTable"/>
              <w:spacing w:after="40"/>
            </w:pPr>
            <w:r>
              <w:t>16 Jan 1996</w:t>
            </w:r>
          </w:p>
        </w:tc>
        <w:tc>
          <w:tcPr>
            <w:tcW w:w="2523" w:type="dxa"/>
          </w:tcPr>
          <w:p>
            <w:pPr>
              <w:pStyle w:val="nTable"/>
              <w:spacing w:after="40"/>
            </w:pPr>
            <w:r>
              <w:t xml:space="preserve">4 Nov 1996 (see s. 2 and </w:t>
            </w:r>
            <w:r>
              <w:rPr>
                <w:i/>
              </w:rPr>
              <w:t>Gazette</w:t>
            </w:r>
            <w:r>
              <w:t xml:space="preserve"> 25 Oct 1996 p. 5632)</w:t>
            </w:r>
          </w:p>
        </w:tc>
      </w:tr>
      <w:tr>
        <w:trPr>
          <w:cantSplit/>
        </w:trPr>
        <w:tc>
          <w:tcPr>
            <w:tcW w:w="7087" w:type="dxa"/>
            <w:gridSpan w:val="6"/>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61" w:type="dxa"/>
            <w:gridSpan w:val="2"/>
          </w:tcPr>
          <w:p>
            <w:pPr>
              <w:pStyle w:val="nTable"/>
              <w:spacing w:after="40"/>
            </w:pPr>
            <w:r>
              <w:t>28 Jun 1996</w:t>
            </w:r>
          </w:p>
        </w:tc>
        <w:tc>
          <w:tcPr>
            <w:tcW w:w="2523" w:type="dxa"/>
          </w:tcPr>
          <w:p>
            <w:pPr>
              <w:pStyle w:val="nTable"/>
              <w:spacing w:after="40"/>
            </w:pPr>
            <w:r>
              <w:t>1 Jul 1996 (see s. 2)</w:t>
            </w:r>
          </w:p>
        </w:tc>
      </w:tr>
      <w:tr>
        <w:trPr>
          <w:cantSplit/>
        </w:trPr>
        <w:tc>
          <w:tcPr>
            <w:tcW w:w="2269" w:type="dxa"/>
          </w:tcPr>
          <w:p>
            <w:pPr>
              <w:pStyle w:val="nTable"/>
              <w:spacing w:after="40"/>
            </w:pPr>
            <w:r>
              <w:rPr>
                <w:i/>
              </w:rPr>
              <w:t>Acts Amendment (Land Administration) Act 1997</w:t>
            </w:r>
            <w:r>
              <w:t xml:space="preserve"> Pt. 66 and s. 141</w:t>
            </w:r>
          </w:p>
        </w:tc>
        <w:tc>
          <w:tcPr>
            <w:tcW w:w="1134" w:type="dxa"/>
            <w:gridSpan w:val="2"/>
          </w:tcPr>
          <w:p>
            <w:pPr>
              <w:pStyle w:val="nTable"/>
              <w:spacing w:after="40"/>
            </w:pPr>
            <w:r>
              <w:t>31 of 1997</w:t>
            </w:r>
          </w:p>
        </w:tc>
        <w:tc>
          <w:tcPr>
            <w:tcW w:w="1161" w:type="dxa"/>
            <w:gridSpan w:val="2"/>
          </w:tcPr>
          <w:p>
            <w:pPr>
              <w:pStyle w:val="nTable"/>
              <w:spacing w:after="40"/>
            </w:pPr>
            <w:r>
              <w:t>3 Oct 1997</w:t>
            </w:r>
          </w:p>
        </w:tc>
        <w:tc>
          <w:tcPr>
            <w:tcW w:w="2523"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pPr>
            <w:r>
              <w:rPr>
                <w:i/>
              </w:rPr>
              <w:t xml:space="preserve">Statutes (Repeals and Minor Amendments) Act 1997 </w:t>
            </w:r>
            <w:r>
              <w:t>s. 127</w:t>
            </w:r>
          </w:p>
        </w:tc>
        <w:tc>
          <w:tcPr>
            <w:tcW w:w="1134" w:type="dxa"/>
            <w:gridSpan w:val="2"/>
          </w:tcPr>
          <w:p>
            <w:pPr>
              <w:pStyle w:val="nTable"/>
              <w:spacing w:after="40"/>
            </w:pPr>
            <w:r>
              <w:t>57 of 1997</w:t>
            </w:r>
          </w:p>
        </w:tc>
        <w:tc>
          <w:tcPr>
            <w:tcW w:w="1161" w:type="dxa"/>
            <w:gridSpan w:val="2"/>
          </w:tcPr>
          <w:p>
            <w:pPr>
              <w:pStyle w:val="nTable"/>
              <w:spacing w:after="40"/>
            </w:pPr>
            <w:r>
              <w:t>15 Dec 1997</w:t>
            </w:r>
          </w:p>
        </w:tc>
        <w:tc>
          <w:tcPr>
            <w:tcW w:w="2523" w:type="dxa"/>
          </w:tcPr>
          <w:p>
            <w:pPr>
              <w:pStyle w:val="nTable"/>
              <w:spacing w:after="40"/>
            </w:pPr>
            <w:r>
              <w:t>15 Dec 1997 (see s. 2(1))</w:t>
            </w:r>
          </w:p>
        </w:tc>
      </w:tr>
      <w:tr>
        <w:trPr>
          <w:cantSplit/>
        </w:trPr>
        <w:tc>
          <w:tcPr>
            <w:tcW w:w="2269" w:type="dxa"/>
          </w:tcPr>
          <w:p>
            <w:pPr>
              <w:pStyle w:val="nTable"/>
              <w:spacing w:after="40"/>
            </w:pPr>
            <w:r>
              <w:rPr>
                <w:i/>
              </w:rPr>
              <w:t>Criminal Investigation (Identifying People) Act 2002</w:t>
            </w:r>
            <w:r>
              <w:t xml:space="preserve"> Sch. 2 cl. 6</w:t>
            </w:r>
          </w:p>
        </w:tc>
        <w:tc>
          <w:tcPr>
            <w:tcW w:w="1134" w:type="dxa"/>
            <w:gridSpan w:val="2"/>
          </w:tcPr>
          <w:p>
            <w:pPr>
              <w:pStyle w:val="nTable"/>
              <w:spacing w:after="40"/>
            </w:pPr>
            <w:r>
              <w:t>6 of 2002</w:t>
            </w:r>
          </w:p>
        </w:tc>
        <w:tc>
          <w:tcPr>
            <w:tcW w:w="1161" w:type="dxa"/>
            <w:gridSpan w:val="2"/>
          </w:tcPr>
          <w:p>
            <w:pPr>
              <w:pStyle w:val="nTable"/>
              <w:spacing w:after="40"/>
            </w:pPr>
            <w:r>
              <w:t>4 Jun 2002</w:t>
            </w:r>
          </w:p>
        </w:tc>
        <w:tc>
          <w:tcPr>
            <w:tcW w:w="2523" w:type="dxa"/>
          </w:tcPr>
          <w:p>
            <w:pPr>
              <w:pStyle w:val="nTable"/>
              <w:spacing w:after="40"/>
            </w:pPr>
            <w:r>
              <w:t xml:space="preserve">29 Jun 2002 (see s. 2 and </w:t>
            </w:r>
            <w:r>
              <w:rPr>
                <w:i/>
              </w:rPr>
              <w:t xml:space="preserve">Gazette </w:t>
            </w:r>
            <w:r>
              <w:t>28 Jun 2002 p. 3037)</w:t>
            </w:r>
          </w:p>
        </w:tc>
      </w:tr>
      <w:tr>
        <w:trPr>
          <w:cantSplit/>
        </w:trPr>
        <w:tc>
          <w:tcPr>
            <w:tcW w:w="7087" w:type="dxa"/>
            <w:gridSpan w:val="6"/>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61" w:type="dxa"/>
            <w:gridSpan w:val="2"/>
          </w:tcPr>
          <w:p>
            <w:pPr>
              <w:pStyle w:val="nTable"/>
              <w:spacing w:after="40"/>
            </w:pPr>
            <w:r>
              <w:t>23 Nov 2004</w:t>
            </w:r>
          </w:p>
        </w:tc>
        <w:tc>
          <w:tcPr>
            <w:tcW w:w="2523"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9" w:type="dxa"/>
          </w:tcPr>
          <w:p>
            <w:pPr>
              <w:pStyle w:val="nTable"/>
              <w:spacing w:after="40"/>
            </w:pPr>
            <w:r>
              <w:rPr>
                <w:i/>
              </w:rPr>
              <w:t>State Administrative Tribunal (Conferral of Jurisdiction) Amendment and Repeal Act 2004</w:t>
            </w:r>
            <w:r>
              <w:rPr>
                <w:iCs/>
              </w:rPr>
              <w:t xml:space="preserve"> Pt. 2 Div. 134</w:t>
            </w:r>
            <w:r>
              <w:rPr>
                <w:iCs/>
                <w:vertAlign w:val="superscript"/>
              </w:rPr>
              <w:t> 7</w:t>
            </w:r>
          </w:p>
        </w:tc>
        <w:tc>
          <w:tcPr>
            <w:tcW w:w="1134" w:type="dxa"/>
            <w:gridSpan w:val="2"/>
          </w:tcPr>
          <w:p>
            <w:pPr>
              <w:pStyle w:val="nTable"/>
              <w:spacing w:after="40"/>
            </w:pPr>
            <w:r>
              <w:t>55 of 2004</w:t>
            </w:r>
          </w:p>
        </w:tc>
        <w:tc>
          <w:tcPr>
            <w:tcW w:w="1161" w:type="dxa"/>
            <w:gridSpan w:val="2"/>
          </w:tcPr>
          <w:p>
            <w:pPr>
              <w:pStyle w:val="nTable"/>
              <w:spacing w:after="40"/>
            </w:pPr>
            <w:r>
              <w:t>24 Nov 2004</w:t>
            </w:r>
          </w:p>
        </w:tc>
        <w:tc>
          <w:tcPr>
            <w:tcW w:w="2523" w:type="dxa"/>
          </w:tcPr>
          <w:p>
            <w:pPr>
              <w:pStyle w:val="nTable"/>
              <w:spacing w:after="40"/>
            </w:pPr>
            <w:r>
              <w:t xml:space="preserve">1 Jan 2005 (see s. 2 and </w:t>
            </w:r>
            <w:r>
              <w:rPr>
                <w:i/>
                <w:iCs/>
              </w:rPr>
              <w:t>Gazette</w:t>
            </w:r>
            <w:r>
              <w:t xml:space="preserve"> 31 Dec 2004 p. 7130)</w:t>
            </w:r>
          </w:p>
        </w:tc>
      </w:tr>
      <w:tr>
        <w:trPr>
          <w:cantSplit/>
        </w:trPr>
        <w:tc>
          <w:tcPr>
            <w:tcW w:w="2269"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61" w:type="dxa"/>
            <w:gridSpan w:val="2"/>
          </w:tcPr>
          <w:p>
            <w:pPr>
              <w:pStyle w:val="nTable"/>
              <w:spacing w:after="40"/>
            </w:pPr>
            <w:r>
              <w:t>16 Dec 2004</w:t>
            </w:r>
          </w:p>
        </w:tc>
        <w:tc>
          <w:tcPr>
            <w:tcW w:w="2523"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9"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61" w:type="dxa"/>
            <w:gridSpan w:val="2"/>
          </w:tcPr>
          <w:p>
            <w:pPr>
              <w:pStyle w:val="nTable"/>
              <w:spacing w:after="40"/>
            </w:pPr>
            <w:r>
              <w:t>12 Dec 2005</w:t>
            </w:r>
          </w:p>
        </w:tc>
        <w:tc>
          <w:tcPr>
            <w:tcW w:w="252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61" w:type="dxa"/>
            <w:gridSpan w:val="2"/>
          </w:tcPr>
          <w:p>
            <w:pPr>
              <w:pStyle w:val="nTable"/>
              <w:spacing w:after="40"/>
              <w:rPr>
                <w:snapToGrid w:val="0"/>
              </w:rPr>
            </w:pPr>
            <w:r>
              <w:rPr>
                <w:snapToGrid w:val="0"/>
              </w:rPr>
              <w:t>6 Oct 2006</w:t>
            </w:r>
          </w:p>
        </w:tc>
        <w:tc>
          <w:tcPr>
            <w:tcW w:w="2523"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9"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gridSpan w:val="2"/>
          </w:tcPr>
          <w:p>
            <w:pPr>
              <w:pStyle w:val="nTable"/>
              <w:spacing w:after="40"/>
              <w:rPr>
                <w:snapToGrid w:val="0"/>
              </w:rPr>
            </w:pPr>
            <w:r>
              <w:rPr>
                <w:snapToGrid w:val="0"/>
              </w:rPr>
              <w:t>77 of 2006</w:t>
            </w:r>
          </w:p>
        </w:tc>
        <w:tc>
          <w:tcPr>
            <w:tcW w:w="1161" w:type="dxa"/>
            <w:gridSpan w:val="2"/>
          </w:tcPr>
          <w:p>
            <w:pPr>
              <w:pStyle w:val="nTable"/>
              <w:spacing w:after="40"/>
            </w:pPr>
            <w:r>
              <w:t>21 Dec 2006</w:t>
            </w:r>
          </w:p>
        </w:tc>
        <w:tc>
          <w:tcPr>
            <w:tcW w:w="252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9" w:type="dxa"/>
          </w:tcPr>
          <w:p>
            <w:pPr>
              <w:pStyle w:val="nTable"/>
              <w:spacing w:after="40"/>
              <w:rPr>
                <w:i/>
                <w:snapToGrid w:val="0"/>
              </w:rPr>
            </w:pPr>
            <w:r>
              <w:rPr>
                <w:i/>
                <w:snapToGrid w:val="0"/>
              </w:rPr>
              <w:t>Petroleum Amendment Act 2007</w:t>
            </w:r>
            <w:r>
              <w:rPr>
                <w:iCs/>
                <w:snapToGrid w:val="0"/>
              </w:rPr>
              <w:t xml:space="preserve"> s. 108</w:t>
            </w:r>
          </w:p>
        </w:tc>
        <w:tc>
          <w:tcPr>
            <w:tcW w:w="1134" w:type="dxa"/>
            <w:gridSpan w:val="2"/>
          </w:tcPr>
          <w:p>
            <w:pPr>
              <w:pStyle w:val="nTable"/>
              <w:keepNext/>
              <w:spacing w:after="40"/>
              <w:rPr>
                <w:snapToGrid w:val="0"/>
              </w:rPr>
            </w:pPr>
            <w:r>
              <w:t>35 of 2007</w:t>
            </w:r>
          </w:p>
        </w:tc>
        <w:tc>
          <w:tcPr>
            <w:tcW w:w="1161" w:type="dxa"/>
            <w:gridSpan w:val="2"/>
          </w:tcPr>
          <w:p>
            <w:pPr>
              <w:pStyle w:val="nTable"/>
              <w:spacing w:after="40"/>
              <w:rPr>
                <w:snapToGrid w:val="0"/>
              </w:rPr>
            </w:pPr>
            <w:r>
              <w:t>21 Dec 2007</w:t>
            </w:r>
          </w:p>
        </w:tc>
        <w:tc>
          <w:tcPr>
            <w:tcW w:w="252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9"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gridSpan w:val="2"/>
          </w:tcPr>
          <w:p>
            <w:pPr>
              <w:pStyle w:val="nTable"/>
              <w:keepNext/>
              <w:spacing w:after="40"/>
            </w:pPr>
            <w:r>
              <w:rPr>
                <w:snapToGrid w:val="0"/>
              </w:rPr>
              <w:t>38 of 2007</w:t>
            </w:r>
          </w:p>
        </w:tc>
        <w:tc>
          <w:tcPr>
            <w:tcW w:w="1161" w:type="dxa"/>
            <w:gridSpan w:val="2"/>
          </w:tcPr>
          <w:p>
            <w:pPr>
              <w:pStyle w:val="nTable"/>
              <w:spacing w:after="40"/>
            </w:pPr>
            <w:r>
              <w:t>21 Dec 2007</w:t>
            </w:r>
          </w:p>
        </w:tc>
        <w:tc>
          <w:tcPr>
            <w:tcW w:w="2523" w:type="dxa"/>
          </w:tcPr>
          <w:p>
            <w:pPr>
              <w:pStyle w:val="nTable"/>
              <w:spacing w:after="40"/>
            </w:pPr>
            <w:r>
              <w:t xml:space="preserve">1 Feb 2008 (see s. 2(2) and </w:t>
            </w:r>
            <w:r>
              <w:rPr>
                <w:i/>
                <w:iCs/>
              </w:rPr>
              <w:t>Gazette</w:t>
            </w:r>
            <w:r>
              <w:t xml:space="preserve"> 31 Jan 2008 p. 251)</w:t>
            </w:r>
          </w:p>
        </w:tc>
      </w:tr>
      <w:tr>
        <w:trPr>
          <w:cantSplit/>
        </w:trPr>
        <w:tc>
          <w:tcPr>
            <w:tcW w:w="2269" w:type="dxa"/>
          </w:tcPr>
          <w:p>
            <w:pPr>
              <w:pStyle w:val="nTable"/>
              <w:spacing w:after="40"/>
              <w:rPr>
                <w:i/>
                <w:snapToGrid w:val="0"/>
              </w:rPr>
            </w:pPr>
            <w:r>
              <w:rPr>
                <w:i/>
                <w:snapToGrid w:val="0"/>
              </w:rPr>
              <w:t>Approvals and Related Reforms (No. 4) (Planning) Act 2010</w:t>
            </w:r>
            <w:r>
              <w:t xml:space="preserve"> s. 39</w:t>
            </w:r>
          </w:p>
        </w:tc>
        <w:tc>
          <w:tcPr>
            <w:tcW w:w="1134" w:type="dxa"/>
            <w:gridSpan w:val="2"/>
          </w:tcPr>
          <w:p>
            <w:pPr>
              <w:pStyle w:val="nTable"/>
              <w:keepNext/>
              <w:spacing w:after="40"/>
              <w:rPr>
                <w:snapToGrid w:val="0"/>
              </w:rPr>
            </w:pPr>
            <w:r>
              <w:rPr>
                <w:snapToGrid w:val="0"/>
              </w:rPr>
              <w:t>28 of 2010</w:t>
            </w:r>
          </w:p>
        </w:tc>
        <w:tc>
          <w:tcPr>
            <w:tcW w:w="1161" w:type="dxa"/>
            <w:gridSpan w:val="2"/>
          </w:tcPr>
          <w:p>
            <w:pPr>
              <w:pStyle w:val="nTable"/>
              <w:spacing w:after="40"/>
            </w:pPr>
            <w:r>
              <w:rPr>
                <w:snapToGrid w:val="0"/>
              </w:rPr>
              <w:t>19 Aug 2010</w:t>
            </w:r>
          </w:p>
        </w:tc>
        <w:tc>
          <w:tcPr>
            <w:tcW w:w="2523" w:type="dxa"/>
          </w:tcPr>
          <w:p>
            <w:pPr>
              <w:pStyle w:val="nTable"/>
              <w:spacing w:after="40"/>
            </w:pPr>
            <w:r>
              <w:t xml:space="preserve">22 Nov 2010 (see s. 2(b) and </w:t>
            </w:r>
            <w:r>
              <w:rPr>
                <w:i/>
                <w:iCs/>
              </w:rPr>
              <w:t>Gazette</w:t>
            </w:r>
            <w:r>
              <w:t xml:space="preserve"> 19 Nov 2010 p. 5709)</w:t>
            </w:r>
          </w:p>
        </w:tc>
      </w:tr>
      <w:tr>
        <w:trPr>
          <w:cantSplit/>
        </w:trPr>
        <w:tc>
          <w:tcPr>
            <w:tcW w:w="7087" w:type="dxa"/>
            <w:gridSpan w:val="6"/>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ins w:id="144" w:author="svcMRProcess" w:date="2018-09-10T00:02:00Z"/>
        </w:trPr>
        <w:tc>
          <w:tcPr>
            <w:tcW w:w="2268" w:type="dxa"/>
            <w:tcBorders>
              <w:top w:val="nil"/>
              <w:bottom w:val="single" w:sz="4" w:space="0" w:color="auto"/>
            </w:tcBorders>
          </w:tcPr>
          <w:p>
            <w:pPr>
              <w:pStyle w:val="nTable"/>
              <w:keepNext/>
              <w:spacing w:after="40"/>
              <w:rPr>
                <w:ins w:id="145" w:author="svcMRProcess" w:date="2018-09-10T00:02:00Z"/>
                <w:noProof/>
                <w:snapToGrid w:val="0"/>
              </w:rPr>
            </w:pPr>
            <w:ins w:id="146" w:author="svcMRProcess" w:date="2018-09-10T00:02:00Z">
              <w:r>
                <w:rPr>
                  <w:i/>
                </w:rPr>
                <w:t>Public Health (Consequential Provisions) Act 2016</w:t>
              </w:r>
              <w:r>
                <w:t xml:space="preserve"> s. 101</w:t>
              </w:r>
            </w:ins>
          </w:p>
        </w:tc>
        <w:tc>
          <w:tcPr>
            <w:tcW w:w="1093" w:type="dxa"/>
            <w:tcBorders>
              <w:top w:val="nil"/>
              <w:bottom w:val="single" w:sz="4" w:space="0" w:color="auto"/>
            </w:tcBorders>
          </w:tcPr>
          <w:p>
            <w:pPr>
              <w:pStyle w:val="nTable"/>
              <w:keepNext/>
              <w:spacing w:after="40"/>
              <w:rPr>
                <w:ins w:id="147" w:author="svcMRProcess" w:date="2018-09-10T00:02:00Z"/>
              </w:rPr>
            </w:pPr>
            <w:ins w:id="148" w:author="svcMRProcess" w:date="2018-09-10T00:02:00Z">
              <w:r>
                <w:t>19 of 2016</w:t>
              </w:r>
            </w:ins>
          </w:p>
        </w:tc>
        <w:tc>
          <w:tcPr>
            <w:tcW w:w="1123" w:type="dxa"/>
            <w:gridSpan w:val="2"/>
            <w:tcBorders>
              <w:top w:val="nil"/>
              <w:bottom w:val="single" w:sz="4" w:space="0" w:color="auto"/>
            </w:tcBorders>
          </w:tcPr>
          <w:p>
            <w:pPr>
              <w:pStyle w:val="nTable"/>
              <w:keepNext/>
              <w:spacing w:after="40"/>
              <w:rPr>
                <w:ins w:id="149" w:author="svcMRProcess" w:date="2018-09-10T00:02:00Z"/>
              </w:rPr>
            </w:pPr>
            <w:ins w:id="150" w:author="svcMRProcess" w:date="2018-09-10T00:02:00Z">
              <w:r>
                <w:t>25 Jul 2016</w:t>
              </w:r>
            </w:ins>
          </w:p>
        </w:tc>
        <w:tc>
          <w:tcPr>
            <w:tcW w:w="2605" w:type="dxa"/>
            <w:gridSpan w:val="2"/>
            <w:tcBorders>
              <w:top w:val="nil"/>
              <w:bottom w:val="single" w:sz="4" w:space="0" w:color="auto"/>
            </w:tcBorders>
          </w:tcPr>
          <w:p>
            <w:pPr>
              <w:pStyle w:val="nTable"/>
              <w:keepNext/>
              <w:spacing w:after="40"/>
              <w:rPr>
                <w:ins w:id="151" w:author="svcMRProcess" w:date="2018-09-10T00:02:00Z"/>
                <w:snapToGrid w:val="0"/>
              </w:rPr>
            </w:pPr>
            <w:ins w:id="152" w:author="svcMRProcess" w:date="2018-09-10T00:02:00Z">
              <w:r>
                <w:rPr>
                  <w:snapToGrid w:val="0"/>
                </w:rPr>
                <w:t xml:space="preserve">24 Jan 2017 (see s. 2(1)(c) and </w:t>
              </w:r>
              <w:r>
                <w:rPr>
                  <w:i/>
                  <w:snapToGrid w:val="0"/>
                </w:rPr>
                <w:t>Gazette</w:t>
              </w:r>
              <w:r>
                <w:rPr>
                  <w:snapToGrid w:val="0"/>
                </w:rPr>
                <w:t xml:space="preserve"> 10 Jan 2017 p. 165)</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3" w:name="_Toc473107429"/>
      <w:bookmarkStart w:id="154" w:name="_Toc472004344"/>
      <w:r>
        <w:t>Provisions that have not come into operation</w:t>
      </w:r>
      <w:bookmarkEnd w:id="153"/>
      <w:bookmarkEnd w:id="1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3"/>
        <w:gridCol w:w="1123"/>
        <w:gridCol w:w="10"/>
        <w:gridCol w:w="2595"/>
      </w:tblGrid>
      <w:tr>
        <w:trPr>
          <w:tblHeader/>
        </w:trPr>
        <w:tc>
          <w:tcPr>
            <w:tcW w:w="2268" w:type="dxa"/>
          </w:tcPr>
          <w:p>
            <w:pPr>
              <w:pStyle w:val="nTable"/>
              <w:keepNext/>
              <w:spacing w:after="40"/>
              <w:rPr>
                <w:b/>
              </w:rPr>
            </w:pPr>
            <w:r>
              <w:rPr>
                <w:b/>
              </w:rPr>
              <w:t>Short title</w:t>
            </w:r>
          </w:p>
        </w:tc>
        <w:tc>
          <w:tcPr>
            <w:tcW w:w="1093" w:type="dxa"/>
          </w:tcPr>
          <w:p>
            <w:pPr>
              <w:pStyle w:val="nTable"/>
              <w:keepNext/>
              <w:spacing w:after="40"/>
              <w:rPr>
                <w:b/>
              </w:rPr>
            </w:pPr>
            <w:r>
              <w:rPr>
                <w:b/>
              </w:rPr>
              <w:t>Number and year</w:t>
            </w:r>
          </w:p>
        </w:tc>
        <w:tc>
          <w:tcPr>
            <w:tcW w:w="1133" w:type="dxa"/>
            <w:gridSpan w:val="2"/>
          </w:tcPr>
          <w:p>
            <w:pPr>
              <w:pStyle w:val="nTable"/>
              <w:keepNext/>
              <w:spacing w:after="40"/>
              <w:rPr>
                <w:b/>
              </w:rPr>
            </w:pPr>
            <w:r>
              <w:rPr>
                <w:b/>
              </w:rPr>
              <w:t>Assent</w:t>
            </w:r>
          </w:p>
        </w:tc>
        <w:tc>
          <w:tcPr>
            <w:tcW w:w="2595" w:type="dxa"/>
          </w:tcPr>
          <w:p>
            <w:pPr>
              <w:pStyle w:val="nTable"/>
              <w:keepNext/>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keepNext/>
              <w:spacing w:after="40"/>
              <w:rPr>
                <w:noProof/>
                <w:snapToGrid w:val="0"/>
              </w:rPr>
            </w:pPr>
            <w:r>
              <w:rPr>
                <w:i/>
              </w:rPr>
              <w:t>Public Health (Consequential Provisions) Act 2016</w:t>
            </w:r>
            <w:r>
              <w:t xml:space="preserve"> </w:t>
            </w:r>
            <w:del w:id="155" w:author="svcMRProcess" w:date="2018-09-10T00:02:00Z">
              <w:r>
                <w:delText xml:space="preserve">s. 101 and </w:delText>
              </w:r>
            </w:del>
            <w:r>
              <w:t>Pt. 5 Div. 28</w:t>
            </w:r>
            <w:r>
              <w:rPr>
                <w:vertAlign w:val="superscript"/>
              </w:rPr>
              <w:t> 8</w:t>
            </w:r>
          </w:p>
        </w:tc>
        <w:tc>
          <w:tcPr>
            <w:tcW w:w="1093" w:type="dxa"/>
            <w:tcBorders>
              <w:top w:val="nil"/>
              <w:bottom w:val="nil"/>
            </w:tcBorders>
          </w:tcPr>
          <w:p>
            <w:pPr>
              <w:pStyle w:val="nTable"/>
              <w:keepNext/>
              <w:spacing w:after="40"/>
            </w:pPr>
            <w:r>
              <w:t>19 of 2016</w:t>
            </w:r>
          </w:p>
        </w:tc>
        <w:tc>
          <w:tcPr>
            <w:tcW w:w="1123" w:type="dxa"/>
            <w:tcBorders>
              <w:top w:val="nil"/>
              <w:bottom w:val="nil"/>
            </w:tcBorders>
          </w:tcPr>
          <w:p>
            <w:pPr>
              <w:pStyle w:val="nTable"/>
              <w:keepNext/>
              <w:spacing w:after="40"/>
            </w:pPr>
            <w:r>
              <w:t>25 Jul 2016</w:t>
            </w:r>
          </w:p>
        </w:tc>
        <w:tc>
          <w:tcPr>
            <w:tcW w:w="2605" w:type="dxa"/>
            <w:gridSpan w:val="2"/>
            <w:tcBorders>
              <w:top w:val="nil"/>
              <w:bottom w:val="nil"/>
            </w:tcBorders>
          </w:tcPr>
          <w:p>
            <w:pPr>
              <w:pStyle w:val="nTable"/>
              <w:keepNext/>
              <w:spacing w:after="40"/>
              <w:rPr>
                <w:snapToGrid w:val="0"/>
              </w:rPr>
            </w:pPr>
            <w:del w:id="156" w:author="svcMRProcess" w:date="2018-09-10T00:02:00Z">
              <w:r>
                <w:delText xml:space="preserve">s. 101: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delText xml:space="preserve">Pt. 5 Div. 28: </w:delText>
              </w:r>
              <w:r>
                <w:rPr>
                  <w:snapToGrid w:val="0"/>
                </w:rPr>
                <w:delText>to</w:delText>
              </w:r>
            </w:del>
            <w:ins w:id="157" w:author="svcMRProcess" w:date="2018-09-10T00:02:00Z">
              <w:r>
                <w:t>To</w:t>
              </w:r>
            </w:ins>
            <w:r>
              <w:rPr>
                <w:snapToGrid w:val="0"/>
              </w:rPr>
              <w:t xml:space="preserve"> be proclaimed (see s. 2(1)(c))</w:t>
            </w:r>
          </w:p>
        </w:tc>
      </w:tr>
      <w:tr>
        <w:tblPrEx>
          <w:tblCellMar>
            <w:left w:w="57" w:type="dxa"/>
            <w:right w:w="57" w:type="dxa"/>
          </w:tblCellMar>
        </w:tblPrEx>
        <w:tc>
          <w:tcPr>
            <w:tcW w:w="2268" w:type="dxa"/>
            <w:tcBorders>
              <w:top w:val="nil"/>
              <w:bottom w:val="single" w:sz="4" w:space="0" w:color="auto"/>
            </w:tcBorders>
          </w:tcPr>
          <w:p>
            <w:pPr>
              <w:pStyle w:val="nTable"/>
              <w:keepNext/>
              <w:spacing w:after="40"/>
              <w:rPr>
                <w:i/>
              </w:rPr>
            </w:pPr>
            <w:r>
              <w:rPr>
                <w:i/>
                <w:snapToGrid w:val="0"/>
              </w:rPr>
              <w:t>Aquatic Resources Management Act 2016</w:t>
            </w:r>
            <w:r>
              <w:rPr>
                <w:snapToGrid w:val="0"/>
              </w:rPr>
              <w:t xml:space="preserve"> s. 374</w:t>
            </w:r>
            <w:r>
              <w:rPr>
                <w:snapToGrid w:val="0"/>
                <w:vertAlign w:val="superscript"/>
              </w:rPr>
              <w:t> 9</w:t>
            </w:r>
          </w:p>
        </w:tc>
        <w:tc>
          <w:tcPr>
            <w:tcW w:w="1093" w:type="dxa"/>
            <w:tcBorders>
              <w:top w:val="nil"/>
              <w:bottom w:val="single" w:sz="4" w:space="0" w:color="auto"/>
            </w:tcBorders>
          </w:tcPr>
          <w:p>
            <w:pPr>
              <w:pStyle w:val="nTable"/>
              <w:keepNext/>
              <w:spacing w:after="40"/>
            </w:pPr>
            <w:r>
              <w:t>53 of 2016</w:t>
            </w:r>
          </w:p>
        </w:tc>
        <w:tc>
          <w:tcPr>
            <w:tcW w:w="1123" w:type="dxa"/>
            <w:tcBorders>
              <w:top w:val="nil"/>
              <w:bottom w:val="single" w:sz="4" w:space="0" w:color="auto"/>
            </w:tcBorders>
          </w:tcPr>
          <w:p>
            <w:pPr>
              <w:pStyle w:val="nTable"/>
              <w:keepNext/>
              <w:spacing w:after="40"/>
            </w:pPr>
            <w:r>
              <w:t>29 Nov 2016</w:t>
            </w:r>
          </w:p>
        </w:tc>
        <w:tc>
          <w:tcPr>
            <w:tcW w:w="2605" w:type="dxa"/>
            <w:gridSpan w:val="2"/>
            <w:tcBorders>
              <w:top w:val="nil"/>
              <w:bottom w:val="single" w:sz="4" w:space="0" w:color="auto"/>
            </w:tcBorders>
          </w:tcPr>
          <w:p>
            <w:pPr>
              <w:pStyle w:val="nTable"/>
              <w:keepNext/>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rPr>
        <w:t>Public Health (Consequential Provisions) Act 2016</w:t>
      </w:r>
      <w:r>
        <w:t xml:space="preserve"> </w:t>
      </w:r>
      <w:del w:id="158" w:author="svcMRProcess" w:date="2018-09-10T00:02:00Z">
        <w:r>
          <w:delText>s. 101</w:delText>
        </w:r>
        <w:r>
          <w:rPr>
            <w:snapToGrid w:val="0"/>
          </w:rPr>
          <w:delText xml:space="preserve"> </w:delText>
        </w:r>
        <w:r>
          <w:delText xml:space="preserve">and </w:delText>
        </w:r>
      </w:del>
      <w:r>
        <w:t xml:space="preserve">Pt. 5 Div. 28 </w:t>
      </w:r>
      <w:r>
        <w:rPr>
          <w:snapToGrid w:val="0"/>
        </w:rPr>
        <w:t xml:space="preserve">had not come into operation.  </w:t>
      </w:r>
      <w:del w:id="159" w:author="svcMRProcess" w:date="2018-09-10T00:02:00Z">
        <w:r>
          <w:rPr>
            <w:snapToGrid w:val="0"/>
          </w:rPr>
          <w:delText>They read</w:delText>
        </w:r>
      </w:del>
      <w:ins w:id="160" w:author="svcMRProcess" w:date="2018-09-10T00:02:00Z">
        <w:r>
          <w:rPr>
            <w:snapToGrid w:val="0"/>
          </w:rPr>
          <w:t>It reads</w:t>
        </w:r>
      </w:ins>
      <w:r>
        <w:rPr>
          <w:snapToGrid w:val="0"/>
        </w:rPr>
        <w:t xml:space="preserve"> as follows:</w:t>
      </w:r>
    </w:p>
    <w:p>
      <w:pPr>
        <w:pStyle w:val="BlankOpen"/>
        <w:rPr>
          <w:del w:id="161" w:author="svcMRProcess" w:date="2018-09-10T00:02:00Z"/>
          <w:snapToGrid w:val="0"/>
        </w:rPr>
      </w:pPr>
    </w:p>
    <w:p>
      <w:pPr>
        <w:pStyle w:val="nzHeading5"/>
        <w:rPr>
          <w:del w:id="162" w:author="svcMRProcess" w:date="2018-09-10T00:02:00Z"/>
        </w:rPr>
      </w:pPr>
      <w:del w:id="163" w:author="svcMRProcess" w:date="2018-09-10T00:02:00Z">
        <w:r>
          <w:rPr>
            <w:rStyle w:val="CharSectno"/>
          </w:rPr>
          <w:delText>101</w:delText>
        </w:r>
        <w:r>
          <w:delText>.</w:delText>
        </w:r>
        <w:r>
          <w:tab/>
          <w:delText>Various references to “</w:delText>
        </w:r>
        <w:r>
          <w:rPr>
            <w:i/>
          </w:rPr>
          <w:delText>Health Act 1911</w:delText>
        </w:r>
        <w:r>
          <w:delText>” amended</w:delText>
        </w:r>
      </w:del>
    </w:p>
    <w:p>
      <w:pPr>
        <w:pStyle w:val="nzSubsection"/>
        <w:rPr>
          <w:del w:id="164" w:author="svcMRProcess" w:date="2018-09-10T00:02:00Z"/>
        </w:rPr>
      </w:pPr>
      <w:del w:id="165" w:author="svcMRProcess" w:date="2018-09-10T00:02:00Z">
        <w:r>
          <w:tab/>
          <w:delText>(1)</w:delText>
        </w:r>
        <w:r>
          <w:tab/>
          <w:delText>This section amends the Acts listed in the Table.</w:delText>
        </w:r>
      </w:del>
    </w:p>
    <w:p>
      <w:pPr>
        <w:pStyle w:val="nzSubsection"/>
        <w:rPr>
          <w:del w:id="166" w:author="svcMRProcess" w:date="2018-09-10T00:02:00Z"/>
        </w:rPr>
      </w:pPr>
      <w:del w:id="167" w:author="svcMRProcess" w:date="2018-09-10T00:02:00Z">
        <w:r>
          <w:tab/>
          <w:delText>(2)</w:delText>
        </w:r>
        <w:r>
          <w:tab/>
          <w:delText>In the provisions listed in the Table delete “</w:delText>
        </w:r>
        <w:r>
          <w:rPr>
            <w:i/>
          </w:rPr>
          <w:delText>Health Act 1911</w:delText>
        </w:r>
        <w:r>
          <w:delText>” (each occurrence) and insert:</w:delText>
        </w:r>
      </w:del>
    </w:p>
    <w:p>
      <w:pPr>
        <w:pStyle w:val="BlankOpen"/>
        <w:rPr>
          <w:del w:id="168" w:author="svcMRProcess" w:date="2018-09-10T00:02:00Z"/>
        </w:rPr>
      </w:pPr>
    </w:p>
    <w:p>
      <w:pPr>
        <w:pStyle w:val="nzSubsection"/>
        <w:rPr>
          <w:del w:id="169" w:author="svcMRProcess" w:date="2018-09-10T00:02:00Z"/>
        </w:rPr>
      </w:pPr>
      <w:del w:id="170" w:author="svcMRProcess" w:date="2018-09-10T00:02:00Z">
        <w:r>
          <w:rPr>
            <w:i/>
          </w:rPr>
          <w:tab/>
        </w:r>
        <w:r>
          <w:rPr>
            <w:i/>
          </w:rPr>
          <w:tab/>
          <w:delText>Health (Miscellaneous Provisions) Act 1911</w:delText>
        </w:r>
      </w:del>
    </w:p>
    <w:p>
      <w:pPr>
        <w:pStyle w:val="BlankClose"/>
        <w:rPr>
          <w:del w:id="171" w:author="svcMRProcess" w:date="2018-09-10T00:02:00Z"/>
        </w:rPr>
      </w:pPr>
    </w:p>
    <w:p>
      <w:pPr>
        <w:pStyle w:val="nzMiscellaneousHeading"/>
        <w:rPr>
          <w:del w:id="172" w:author="svcMRProcess" w:date="2018-09-10T00:02:00Z"/>
        </w:rPr>
      </w:pPr>
      <w:del w:id="173" w:author="svcMRProcess" w:date="2018-09-10T00:02: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74" w:author="svcMRProcess" w:date="2018-09-10T00:02:00Z"/>
        </w:trPr>
        <w:tc>
          <w:tcPr>
            <w:tcW w:w="3402" w:type="dxa"/>
          </w:tcPr>
          <w:p>
            <w:pPr>
              <w:pStyle w:val="TableAm"/>
              <w:rPr>
                <w:del w:id="175" w:author="svcMRProcess" w:date="2018-09-10T00:02:00Z"/>
                <w:iCs/>
                <w:sz w:val="20"/>
              </w:rPr>
            </w:pPr>
            <w:del w:id="176" w:author="svcMRProcess" w:date="2018-09-10T00:02:00Z">
              <w:r>
                <w:rPr>
                  <w:i/>
                  <w:iCs/>
                  <w:sz w:val="20"/>
                </w:rPr>
                <w:delText>Waterways Conservation Act 1976</w:delText>
              </w:r>
            </w:del>
          </w:p>
        </w:tc>
        <w:tc>
          <w:tcPr>
            <w:tcW w:w="3402" w:type="dxa"/>
          </w:tcPr>
          <w:p>
            <w:pPr>
              <w:pStyle w:val="TableAm"/>
              <w:rPr>
                <w:del w:id="177" w:author="svcMRProcess" w:date="2018-09-10T00:02:00Z"/>
                <w:sz w:val="20"/>
              </w:rPr>
            </w:pPr>
            <w:del w:id="178" w:author="svcMRProcess" w:date="2018-09-10T00:02:00Z">
              <w:r>
                <w:rPr>
                  <w:sz w:val="20"/>
                </w:rPr>
                <w:delText>s. 5(2)(b)</w:delText>
              </w:r>
            </w:del>
          </w:p>
        </w:tc>
      </w:tr>
    </w:tbl>
    <w:p>
      <w:pPr>
        <w:pStyle w:val="BlankClose"/>
        <w:rPr>
          <w:del w:id="179" w:author="svcMRProcess" w:date="2018-09-10T00:02:00Z"/>
          <w:snapToGrid w:val="0"/>
        </w:rPr>
      </w:pP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28</w:t>
      </w:r>
      <w:r>
        <w:t> — </w:t>
      </w:r>
      <w:r>
        <w:rPr>
          <w:rStyle w:val="CharDivText"/>
          <w:i/>
        </w:rPr>
        <w:t>Waterways Conservation Act 1976</w:t>
      </w:r>
      <w:r>
        <w:rPr>
          <w:rStyle w:val="CharDivText"/>
        </w:rPr>
        <w:t xml:space="preserve"> amended</w:t>
      </w:r>
    </w:p>
    <w:p>
      <w:pPr>
        <w:pStyle w:val="nzHeading5"/>
      </w:pPr>
      <w:r>
        <w:rPr>
          <w:rStyle w:val="CharSectno"/>
        </w:rPr>
        <w:t>342</w:t>
      </w:r>
      <w:r>
        <w:t>.</w:t>
      </w:r>
      <w:r>
        <w:tab/>
        <w:t xml:space="preserve">Act </w:t>
      </w:r>
      <w:r>
        <w:rPr>
          <w:iCs/>
        </w:rPr>
        <w:t>amended</w:t>
      </w:r>
    </w:p>
    <w:p>
      <w:pPr>
        <w:pStyle w:val="nzSubsection"/>
      </w:pPr>
      <w:r>
        <w:tab/>
      </w:r>
      <w:r>
        <w:tab/>
        <w:t xml:space="preserve">This Division amends the </w:t>
      </w:r>
      <w:r>
        <w:rPr>
          <w:i/>
        </w:rPr>
        <w:t>Waterways Conservation Act 1976</w:t>
      </w:r>
      <w:r>
        <w:t>.</w:t>
      </w:r>
    </w:p>
    <w:p>
      <w:pPr>
        <w:pStyle w:val="nzHeading5"/>
      </w:pPr>
      <w:r>
        <w:rPr>
          <w:rStyle w:val="CharSectno"/>
        </w:rPr>
        <w:t>343</w:t>
      </w:r>
      <w:r>
        <w:t>.</w:t>
      </w:r>
      <w:r>
        <w:tab/>
        <w:t>Section 5 amended</w:t>
      </w:r>
    </w:p>
    <w:p>
      <w:pPr>
        <w:pStyle w:val="nzSubsection"/>
      </w:pPr>
      <w:r>
        <w:tab/>
        <w:t>(1)</w:t>
      </w:r>
      <w:r>
        <w:tab/>
        <w:t>In section 5(2) after paragraph (b) insert:</w:t>
      </w:r>
    </w:p>
    <w:p>
      <w:pPr>
        <w:pStyle w:val="BlankOpen"/>
      </w:pPr>
    </w:p>
    <w:p>
      <w:pPr>
        <w:pStyle w:val="nzIndenta"/>
      </w:pPr>
      <w:r>
        <w:tab/>
        <w:t>(ca)</w:t>
      </w:r>
      <w:r>
        <w:tab/>
        <w:t xml:space="preserve">the </w:t>
      </w:r>
      <w:r>
        <w:rPr>
          <w:i/>
          <w:iCs/>
        </w:rPr>
        <w:t>Public Health Act 2016</w:t>
      </w:r>
      <w:r>
        <w:t>; or</w:t>
      </w:r>
    </w:p>
    <w:p>
      <w:pPr>
        <w:pStyle w:val="BlankClose"/>
      </w:pPr>
    </w:p>
    <w:p>
      <w:pPr>
        <w:pStyle w:val="nzSubsection"/>
      </w:pPr>
      <w:r>
        <w:tab/>
        <w:t>(2)</w:t>
      </w:r>
      <w:r>
        <w:tab/>
        <w:t>Delete section 5(2)(b).</w:t>
      </w:r>
    </w:p>
    <w:p>
      <w:pPr>
        <w:pStyle w:val="BlankClose"/>
        <w:rPr>
          <w:snapToGrid w:val="0"/>
        </w:rPr>
      </w:pPr>
    </w:p>
    <w:p>
      <w:pPr>
        <w:pStyle w:val="nSubsection"/>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374 </w:t>
      </w:r>
      <w:r>
        <w:rPr>
          <w:snapToGrid w:val="0"/>
        </w:rPr>
        <w:t>had not come into operation.  It reads as follows:</w:t>
      </w:r>
    </w:p>
    <w:p>
      <w:pPr>
        <w:pStyle w:val="BlankOpen"/>
      </w:pPr>
    </w:p>
    <w:p>
      <w:pPr>
        <w:pStyle w:val="nzHeading5"/>
      </w:pPr>
      <w:r>
        <w:rPr>
          <w:rStyle w:val="CharSectno"/>
        </w:rPr>
        <w:t>374</w:t>
      </w:r>
      <w:r>
        <w:t>.</w:t>
      </w:r>
      <w:r>
        <w:tab/>
      </w:r>
      <w:r>
        <w:rPr>
          <w:i/>
        </w:rPr>
        <w:t>Waterways Conservation Act 1976</w:t>
      </w:r>
      <w:r>
        <w:t xml:space="preserve"> amended</w:t>
      </w:r>
    </w:p>
    <w:p>
      <w:pPr>
        <w:pStyle w:val="nzSubsection"/>
      </w:pPr>
      <w:r>
        <w:tab/>
        <w:t>(1)</w:t>
      </w:r>
      <w:r>
        <w:tab/>
        <w:t xml:space="preserve">This section amends the </w:t>
      </w:r>
      <w:r>
        <w:rPr>
          <w:i/>
        </w:rPr>
        <w:t>Waterways Conservation Act 1976</w:t>
      </w:r>
      <w:r>
        <w:t>.</w:t>
      </w:r>
    </w:p>
    <w:p>
      <w:pPr>
        <w:pStyle w:val="nzSubsection"/>
      </w:pPr>
      <w:r>
        <w:tab/>
        <w:t>(2)</w:t>
      </w:r>
      <w:r>
        <w:tab/>
        <w:t>Delete section 61(5)(a)(ii) and insert:</w:t>
      </w:r>
    </w:p>
    <w:p>
      <w:pPr>
        <w:pStyle w:val="BlankOpen"/>
      </w:pPr>
    </w:p>
    <w:p>
      <w:pPr>
        <w:pStyle w:val="nzIndenti"/>
      </w:pPr>
      <w:r>
        <w:tab/>
        <w:t>(ii)</w:t>
      </w:r>
      <w:r>
        <w:tab/>
        <w:t xml:space="preserve">a compliance officer as defined in the </w:t>
      </w:r>
      <w:r>
        <w:rPr>
          <w:i/>
          <w:snapToGrid w:val="0"/>
        </w:rPr>
        <w:t>Aquatic Resources Management Act 2016</w:t>
      </w:r>
      <w:r>
        <w:t xml:space="preserve"> section 3(1);</w:t>
      </w:r>
    </w:p>
    <w:p>
      <w:pPr>
        <w:pStyle w:val="BlankClose"/>
      </w:pPr>
    </w:p>
    <w:p>
      <w:pPr>
        <w:pStyle w:val="BlankClose"/>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1" w:name="Coversheet"/>
    <w:bookmarkEnd w:id="1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3747"/>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 w:name="WAFER_20170111141048" w:val="RemoveTocBookmarks,RemoveUnusedBookmarks,RemoveLanguageTags,UsedStyles,ResetPageSize"/>
    <w:docVar w:name="WAFER_20170111141048_GUID" w:val="36a5cda5-d301-4c98-8352-dda88a676516"/>
    <w:docVar w:name="WAFER_20170120163747" w:val="RemoveTocBookmarks,RemoveUnusedBookmarks,RemoveLanguageTags,UsedStyles,ResetPageSize"/>
    <w:docVar w:name="WAFER_20170120163747_GUID" w:val="d379df34-eccc-4fce-a2c8-af28c0dc1e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ED7A-3985-43D0-A51E-03E7881F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17391</Words>
  <Characters>81913</Characters>
  <Application>Microsoft Office Word</Application>
  <DocSecurity>0</DocSecurity>
  <Lines>2155</Lines>
  <Paragraphs>1045</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98259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04-c0-01 - 04-d0-00</dc:title>
  <dc:subject/>
  <dc:creator/>
  <cp:keywords/>
  <dc:description/>
  <cp:lastModifiedBy>svcMRProcess</cp:lastModifiedBy>
  <cp:revision>2</cp:revision>
  <cp:lastPrinted>2014-07-29T07:39:00Z</cp:lastPrinted>
  <dcterms:created xsi:type="dcterms:W3CDTF">2018-09-09T16:02:00Z</dcterms:created>
  <dcterms:modified xsi:type="dcterms:W3CDTF">2018-09-09T16:02:00Z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CommencementDate">
    <vt:lpwstr>20170124</vt:lpwstr>
  </property>
  <property fmtid="{D5CDD505-2E9C-101B-9397-08002B2CF9AE}" pid="8" name="FromSuffix">
    <vt:lpwstr>04-c0-01</vt:lpwstr>
  </property>
  <property fmtid="{D5CDD505-2E9C-101B-9397-08002B2CF9AE}" pid="9" name="FromAsAtDate">
    <vt:lpwstr>29 Nov 2016</vt:lpwstr>
  </property>
  <property fmtid="{D5CDD505-2E9C-101B-9397-08002B2CF9AE}" pid="10" name="ToSuffix">
    <vt:lpwstr>04-d0-00</vt:lpwstr>
  </property>
  <property fmtid="{D5CDD505-2E9C-101B-9397-08002B2CF9AE}" pid="11" name="ToAsAtDate">
    <vt:lpwstr>24 Jan 2017</vt:lpwstr>
  </property>
</Properties>
</file>